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14A0" w:rsidRPr="004540EE" w:rsidP="005F0BF2" w14:paraId="34A4FDFD" w14:textId="77777777">
      <w:pPr>
        <w:pStyle w:val="Title"/>
        <w:ind w:right="713"/>
        <w:rPr>
          <w:szCs w:val="24"/>
        </w:rPr>
      </w:pPr>
    </w:p>
    <w:p w:rsidR="00CF4158" w:rsidRPr="004540EE" w:rsidP="005F0BF2" w14:paraId="38B0B478" w14:textId="77777777">
      <w:pPr>
        <w:pStyle w:val="Title"/>
        <w:ind w:right="713"/>
        <w:rPr>
          <w:b w:val="0"/>
          <w:bCs w:val="0"/>
          <w:szCs w:val="24"/>
        </w:rPr>
      </w:pPr>
      <w:r w:rsidRPr="004540EE">
        <w:rPr>
          <w:szCs w:val="24"/>
        </w:rPr>
        <w:t>Supporting Statement</w:t>
      </w:r>
    </w:p>
    <w:p w:rsidR="009340CE" w:rsidRPr="004540EE" w:rsidP="005F0BF2" w14:paraId="6E082619" w14:textId="2E3F2820">
      <w:pPr>
        <w:pStyle w:val="Title"/>
        <w:ind w:right="713"/>
        <w:rPr>
          <w:szCs w:val="24"/>
        </w:rPr>
      </w:pPr>
      <w:r w:rsidRPr="009B08EA">
        <w:rPr>
          <w:szCs w:val="24"/>
        </w:rPr>
        <w:t>Risk-weighted Assets – Market Risk and Credit Valuation Adjustment</w:t>
      </w:r>
      <w:r w:rsidR="00AB6FD8">
        <w:rPr>
          <w:szCs w:val="24"/>
        </w:rPr>
        <w:t xml:space="preserve"> (CVA)</w:t>
      </w:r>
    </w:p>
    <w:p w:rsidR="008214A0" w:rsidRPr="004540EE" w:rsidP="005F0BF2" w14:paraId="49AA8A5D" w14:textId="77777777">
      <w:pPr>
        <w:pStyle w:val="Title"/>
        <w:ind w:right="713"/>
        <w:rPr>
          <w:szCs w:val="24"/>
        </w:rPr>
      </w:pPr>
      <w:r w:rsidRPr="004540EE">
        <w:rPr>
          <w:szCs w:val="24"/>
        </w:rPr>
        <w:t>OMB Control No. 1557-</w:t>
      </w:r>
      <w:r w:rsidRPr="004540EE" w:rsidR="005B4B38">
        <w:rPr>
          <w:szCs w:val="24"/>
        </w:rPr>
        <w:t>0247</w:t>
      </w:r>
    </w:p>
    <w:p w:rsidR="00726A5C" w:rsidP="005F0BF2" w14:paraId="2E8AE03D" w14:textId="77777777">
      <w:pPr>
        <w:jc w:val="center"/>
        <w:rPr>
          <w:b/>
          <w:bCs/>
          <w:szCs w:val="24"/>
        </w:rPr>
      </w:pPr>
    </w:p>
    <w:p w:rsidR="00CC35BC" w:rsidRPr="004540EE" w:rsidP="005F0BF2" w14:paraId="20C93E75" w14:textId="77777777">
      <w:pPr>
        <w:jc w:val="center"/>
        <w:rPr>
          <w:szCs w:val="24"/>
        </w:rPr>
      </w:pPr>
    </w:p>
    <w:p w:rsidR="00726A5C" w:rsidRPr="00BD1672" w:rsidP="005F0BF2" w14:paraId="636DCE1E" w14:textId="77777777">
      <w:pPr>
        <w:rPr>
          <w:b/>
          <w:bCs/>
          <w:i/>
          <w:szCs w:val="24"/>
        </w:rPr>
      </w:pPr>
      <w:r w:rsidRPr="00BD1672">
        <w:rPr>
          <w:b/>
          <w:bCs/>
          <w:i/>
          <w:szCs w:val="24"/>
        </w:rPr>
        <w:t>A.  Justification.</w:t>
      </w:r>
    </w:p>
    <w:p w:rsidR="00726A5C" w:rsidRPr="00BD1672" w:rsidP="005F0BF2" w14:paraId="068936E9" w14:textId="77777777">
      <w:pPr>
        <w:rPr>
          <w:i/>
          <w:szCs w:val="24"/>
        </w:rPr>
      </w:pPr>
    </w:p>
    <w:p w:rsidR="00726A5C" w:rsidRPr="00BD1672" w:rsidP="005F0BF2" w14:paraId="590C2C3C" w14:textId="77777777">
      <w:pPr>
        <w:rPr>
          <w:b/>
          <w:bCs/>
          <w:i/>
          <w:iCs/>
          <w:szCs w:val="24"/>
        </w:rPr>
      </w:pPr>
      <w:r w:rsidRPr="00BD1672">
        <w:rPr>
          <w:b/>
          <w:bCs/>
          <w:i/>
          <w:iCs/>
          <w:szCs w:val="24"/>
        </w:rPr>
        <w:t>1.  Circumstances that make the collection necessary:</w:t>
      </w:r>
    </w:p>
    <w:p w:rsidR="00726A5C" w:rsidRPr="004540EE" w:rsidP="005F0BF2" w14:paraId="4309DE5A" w14:textId="77777777">
      <w:pPr>
        <w:rPr>
          <w:szCs w:val="24"/>
        </w:rPr>
      </w:pPr>
    </w:p>
    <w:p w:rsidR="00DC15DD" w:rsidRPr="004540EE" w:rsidP="00DC15DD" w14:paraId="6CA3F364" w14:textId="14BF07D5">
      <w:pPr>
        <w:ind w:right="720" w:firstLine="720"/>
        <w:rPr>
          <w:szCs w:val="24"/>
        </w:rPr>
      </w:pPr>
      <w:r w:rsidRPr="00E159D8">
        <w:rPr>
          <w:szCs w:val="24"/>
        </w:rPr>
        <w:t>The Office of the Comptroller of the Currency</w:t>
      </w:r>
      <w:r>
        <w:rPr>
          <w:szCs w:val="24"/>
        </w:rPr>
        <w:t xml:space="preserve"> (OCC)</w:t>
      </w:r>
      <w:r w:rsidRPr="00E159D8">
        <w:rPr>
          <w:szCs w:val="24"/>
        </w:rPr>
        <w:t>, the Board of Governors of the Federal Reserve System</w:t>
      </w:r>
      <w:r>
        <w:rPr>
          <w:szCs w:val="24"/>
        </w:rPr>
        <w:t xml:space="preserve"> (the Board)</w:t>
      </w:r>
      <w:r w:rsidRPr="00E159D8">
        <w:rPr>
          <w:szCs w:val="24"/>
        </w:rPr>
        <w:t xml:space="preserve">, and the Federal Deposit Insurance Corporation </w:t>
      </w:r>
      <w:r>
        <w:rPr>
          <w:szCs w:val="24"/>
        </w:rPr>
        <w:t xml:space="preserve">(FDIC) </w:t>
      </w:r>
      <w:r w:rsidRPr="00E159D8">
        <w:rPr>
          <w:szCs w:val="24"/>
        </w:rPr>
        <w:t xml:space="preserve">are </w:t>
      </w:r>
      <w:r w:rsidR="009B08EA">
        <w:rPr>
          <w:szCs w:val="24"/>
        </w:rPr>
        <w:t>issuing a</w:t>
      </w:r>
      <w:r w:rsidRPr="00E159D8">
        <w:rPr>
          <w:szCs w:val="24"/>
        </w:rPr>
        <w:t xml:space="preserve"> proposed rule that would substantially revise the capital requirements applicable to large banking organizations and to banking organizations with significant trading activity. The revisions set forth in the </w:t>
      </w:r>
      <w:r w:rsidR="009B08EA">
        <w:rPr>
          <w:szCs w:val="24"/>
        </w:rPr>
        <w:t>proposed rule</w:t>
      </w:r>
      <w:r w:rsidRPr="00E159D8">
        <w:rPr>
          <w:szCs w:val="24"/>
        </w:rPr>
        <w:t xml:space="preserve"> would improve the calculation of risk-based capital requirements to better reflect the risks of these banking organizations’ exposures, reduce the complexity of the framework, enhance the consistency of requirements across these banking organizations, and facilitate more effective supervisory and market assessments of capital adequacy. </w:t>
      </w:r>
      <w:r w:rsidR="009B08EA">
        <w:rPr>
          <w:szCs w:val="24"/>
        </w:rPr>
        <w:t xml:space="preserve">Specifically, the rule would revise the information collections encompassed by this information collection by revising 12 CFR part 3, subpart F in its entirety. </w:t>
      </w:r>
      <w:r w:rsidRPr="00E159D8">
        <w:rPr>
          <w:szCs w:val="24"/>
        </w:rPr>
        <w:t xml:space="preserve">The revisions would include replacing the current market risk and credit valuation adjustment risk requirements with revised approaches. The proposed revisions would be generally consistent with recent changes to international capital standards issued by the Basel Committee on Banking Supervision. The </w:t>
      </w:r>
      <w:r w:rsidR="009B08EA">
        <w:rPr>
          <w:szCs w:val="24"/>
        </w:rPr>
        <w:t>proposed rule</w:t>
      </w:r>
      <w:r w:rsidRPr="00E159D8">
        <w:rPr>
          <w:szCs w:val="24"/>
        </w:rPr>
        <w:t xml:space="preserve"> would not amend the capital requirements applicable to smaller, less complex banking organizations.</w:t>
      </w:r>
      <w:r w:rsidR="009B08EA">
        <w:rPr>
          <w:szCs w:val="24"/>
        </w:rPr>
        <w:t xml:space="preserve"> </w:t>
      </w:r>
    </w:p>
    <w:p w:rsidR="006C667A" w:rsidRPr="004540EE" w:rsidP="005F0BF2" w14:paraId="68BD3538" w14:textId="77777777">
      <w:pPr>
        <w:ind w:right="713" w:firstLine="720"/>
        <w:rPr>
          <w:szCs w:val="24"/>
        </w:rPr>
      </w:pPr>
    </w:p>
    <w:p w:rsidR="00726A5C" w:rsidRPr="00BD1672" w:rsidP="005F0BF2" w14:paraId="3DAF82C8" w14:textId="77777777">
      <w:pPr>
        <w:pStyle w:val="BodyText"/>
        <w:rPr>
          <w:b/>
          <w:bCs/>
          <w:szCs w:val="24"/>
        </w:rPr>
      </w:pPr>
      <w:r w:rsidRPr="00BD1672">
        <w:rPr>
          <w:b/>
          <w:bCs/>
          <w:szCs w:val="24"/>
        </w:rPr>
        <w:t>2.  Use of the information:</w:t>
      </w:r>
    </w:p>
    <w:p w:rsidR="001630CF" w:rsidRPr="004540EE" w:rsidP="005F0BF2" w14:paraId="1138F98B" w14:textId="77777777">
      <w:pPr>
        <w:pStyle w:val="BodyText"/>
        <w:ind w:right="713"/>
        <w:rPr>
          <w:b/>
          <w:bCs/>
          <w:i w:val="0"/>
          <w:szCs w:val="24"/>
        </w:rPr>
      </w:pPr>
    </w:p>
    <w:p w:rsidR="004540EE" w:rsidP="005F0BF2" w14:paraId="51C9F687" w14:textId="115CBABC">
      <w:pPr>
        <w:ind w:right="720" w:firstLine="720"/>
        <w:rPr>
          <w:szCs w:val="24"/>
        </w:rPr>
      </w:pPr>
      <w:r w:rsidRPr="004540EE">
        <w:rPr>
          <w:rStyle w:val="documentbody1"/>
          <w:rFonts w:ascii="Times New Roman" w:hAnsi="Times New Roman"/>
          <w:color w:val="000000"/>
          <w:sz w:val="24"/>
          <w:szCs w:val="24"/>
        </w:rPr>
        <w:t xml:space="preserve">The information collection requirements </w:t>
      </w:r>
      <w:r w:rsidR="00E159D8">
        <w:rPr>
          <w:rStyle w:val="documentbody1"/>
          <w:rFonts w:ascii="Times New Roman" w:hAnsi="Times New Roman"/>
          <w:color w:val="000000"/>
          <w:sz w:val="24"/>
          <w:szCs w:val="24"/>
        </w:rPr>
        <w:t>will be</w:t>
      </w:r>
      <w:r w:rsidRPr="004540EE" w:rsidR="00E159D8">
        <w:rPr>
          <w:rStyle w:val="documentbody1"/>
          <w:rFonts w:ascii="Times New Roman" w:hAnsi="Times New Roman"/>
          <w:color w:val="000000"/>
          <w:sz w:val="24"/>
          <w:szCs w:val="24"/>
        </w:rPr>
        <w:t xml:space="preserve"> </w:t>
      </w:r>
      <w:r w:rsidRPr="004540EE">
        <w:rPr>
          <w:rStyle w:val="documentbody1"/>
          <w:rFonts w:ascii="Times New Roman" w:hAnsi="Times New Roman"/>
          <w:color w:val="000000"/>
          <w:sz w:val="24"/>
          <w:szCs w:val="24"/>
        </w:rPr>
        <w:t xml:space="preserve">located at 12 CFR </w:t>
      </w:r>
      <w:r w:rsidR="00E159D8">
        <w:rPr>
          <w:rStyle w:val="documentbody1"/>
          <w:rFonts w:ascii="Times New Roman" w:hAnsi="Times New Roman"/>
          <w:color w:val="000000"/>
          <w:sz w:val="24"/>
          <w:szCs w:val="24"/>
        </w:rPr>
        <w:t>part 3, subpart F</w:t>
      </w:r>
      <w:r w:rsidRPr="004540EE">
        <w:rPr>
          <w:rStyle w:val="documentbody1"/>
          <w:rFonts w:ascii="Times New Roman" w:hAnsi="Times New Roman"/>
          <w:color w:val="000000"/>
          <w:sz w:val="24"/>
          <w:szCs w:val="24"/>
        </w:rPr>
        <w:t xml:space="preserve">.  </w:t>
      </w:r>
      <w:r w:rsidRPr="00E159D8" w:rsidR="00E159D8">
        <w:rPr>
          <w:rStyle w:val="documentbody1"/>
          <w:rFonts w:ascii="Times New Roman" w:hAnsi="Times New Roman"/>
          <w:color w:val="000000"/>
          <w:sz w:val="24"/>
          <w:szCs w:val="24"/>
        </w:rPr>
        <w:t xml:space="preserve">The revisions set forth in the </w:t>
      </w:r>
      <w:r w:rsidR="009B08EA">
        <w:rPr>
          <w:rStyle w:val="documentbody1"/>
          <w:rFonts w:ascii="Times New Roman" w:hAnsi="Times New Roman"/>
          <w:color w:val="000000"/>
          <w:sz w:val="24"/>
          <w:szCs w:val="24"/>
        </w:rPr>
        <w:t>proposed rule</w:t>
      </w:r>
      <w:r w:rsidRPr="00E159D8" w:rsidR="00E159D8">
        <w:rPr>
          <w:rStyle w:val="documentbody1"/>
          <w:rFonts w:ascii="Times New Roman" w:hAnsi="Times New Roman"/>
          <w:color w:val="000000"/>
          <w:sz w:val="24"/>
          <w:szCs w:val="24"/>
        </w:rPr>
        <w:t xml:space="preserve"> would strengthen the calculation of risk-based capital requirements to better reflect the risks of these banking organizations’ exposures. In addition, the proposed revisions would enhance the consistency of requirements across large banking organizations and facilitate more effective supervisory and market assessments of capital adequacy.</w:t>
      </w:r>
      <w:r w:rsidRPr="004540EE">
        <w:rPr>
          <w:szCs w:val="24"/>
        </w:rPr>
        <w:t xml:space="preserve"> </w:t>
      </w:r>
      <w:r w:rsidR="00174A17">
        <w:rPr>
          <w:szCs w:val="24"/>
        </w:rPr>
        <w:t>A description of each proposed information collection is provided below.</w:t>
      </w:r>
      <w:r w:rsidRPr="004540EE">
        <w:rPr>
          <w:szCs w:val="24"/>
        </w:rPr>
        <w:t xml:space="preserve"> </w:t>
      </w:r>
    </w:p>
    <w:p w:rsidR="00DC15DD" w:rsidRPr="004540EE" w:rsidP="005F0BF2" w14:paraId="4C037940" w14:textId="77777777">
      <w:pPr>
        <w:ind w:right="720" w:firstLine="720"/>
        <w:rPr>
          <w:rStyle w:val="documentbody1"/>
          <w:rFonts w:ascii="Times New Roman" w:hAnsi="Times New Roman"/>
          <w:sz w:val="24"/>
          <w:szCs w:val="24"/>
        </w:rPr>
      </w:pPr>
    </w:p>
    <w:p w:rsidR="00174A17" w:rsidRPr="00074EAF" w:rsidP="00174A17" w14:paraId="5EE07FB8" w14:textId="73F37E49">
      <w:pPr>
        <w:spacing w:after="120"/>
        <w:outlineLvl w:val="0"/>
        <w:rPr>
          <w:rFonts w:eastAsia="Calibri"/>
          <w:i/>
          <w:iCs/>
          <w:szCs w:val="24"/>
        </w:rPr>
      </w:pPr>
      <w:r w:rsidRPr="00074EAF">
        <w:rPr>
          <w:rFonts w:eastAsia="Calibri"/>
          <w:i/>
          <w:iCs/>
          <w:szCs w:val="24"/>
        </w:rPr>
        <w:t xml:space="preserve">Reporting </w:t>
      </w:r>
      <w:r w:rsidR="00752EC6">
        <w:rPr>
          <w:rFonts w:eastAsia="Calibri"/>
          <w:i/>
          <w:iCs/>
          <w:szCs w:val="24"/>
        </w:rPr>
        <w:t>Requirements</w:t>
      </w:r>
    </w:p>
    <w:p w:rsidR="00C4647F" w:rsidRPr="00074EAF" w:rsidP="004C2FEA" w14:paraId="3AF7FD39" w14:textId="2B729832">
      <w:pPr>
        <w:ind w:firstLine="720"/>
        <w:rPr>
          <w:rFonts w:eastAsia="Calibri"/>
          <w:i/>
          <w:iCs/>
          <w:szCs w:val="24"/>
        </w:rPr>
      </w:pPr>
      <w:r w:rsidRPr="00074EAF">
        <w:rPr>
          <w:rFonts w:eastAsia="Calibri"/>
          <w:i/>
          <w:iCs/>
          <w:szCs w:val="24"/>
        </w:rPr>
        <w:t>Prior approvals</w:t>
      </w:r>
    </w:p>
    <w:p w:rsidR="006069E8" w:rsidP="004C2FEA" w14:paraId="3C9C5289" w14:textId="77777777">
      <w:pPr>
        <w:ind w:firstLine="720"/>
        <w:rPr>
          <w:rFonts w:eastAsia="Calibri"/>
          <w:szCs w:val="24"/>
        </w:rPr>
      </w:pPr>
    </w:p>
    <w:p w:rsidR="00C4647F" w:rsidP="005D284F" w14:paraId="703971D7" w14:textId="732968C8">
      <w:pPr>
        <w:ind w:right="720" w:firstLine="720"/>
        <w:rPr>
          <w:rFonts w:eastAsia="Calibri"/>
          <w:szCs w:val="24"/>
        </w:rPr>
      </w:pPr>
      <w:r>
        <w:rPr>
          <w:rFonts w:eastAsia="Calibri"/>
          <w:szCs w:val="24"/>
        </w:rPr>
        <w:t>Sections</w:t>
      </w:r>
      <w:r w:rsidRPr="00891B0D">
        <w:rPr>
          <w:rFonts w:eastAsia="Calibri"/>
          <w:szCs w:val="24"/>
        </w:rPr>
        <w:t xml:space="preserve"> 3.201(b)(5)(i) &amp; (ii)</w:t>
      </w:r>
      <w:r w:rsidR="00FF3756">
        <w:rPr>
          <w:rFonts w:eastAsia="Calibri"/>
          <w:szCs w:val="24"/>
        </w:rPr>
        <w:t xml:space="preserve">, </w:t>
      </w:r>
      <w:r w:rsidRPr="00891B0D">
        <w:rPr>
          <w:rFonts w:eastAsia="Calibri"/>
          <w:szCs w:val="24"/>
        </w:rPr>
        <w:t>3.202</w:t>
      </w:r>
      <w:r w:rsidR="00AB2277">
        <w:rPr>
          <w:rFonts w:eastAsia="Calibri"/>
          <w:szCs w:val="24"/>
        </w:rPr>
        <w:t>(1</w:t>
      </w:r>
      <w:r w:rsidRPr="00891B0D">
        <w:rPr>
          <w:rFonts w:eastAsia="Calibri"/>
          <w:szCs w:val="24"/>
        </w:rPr>
        <w:t xml:space="preserve">)(ii)(A)(2), 3.204(d)(1), </w:t>
      </w:r>
      <w:r w:rsidR="00EC5338">
        <w:rPr>
          <w:rFonts w:eastAsia="Calibri"/>
          <w:szCs w:val="24"/>
        </w:rPr>
        <w:t>3.</w:t>
      </w:r>
      <w:r w:rsidR="00AD3343">
        <w:rPr>
          <w:rFonts w:eastAsia="Calibri"/>
          <w:szCs w:val="24"/>
        </w:rPr>
        <w:t xml:space="preserve">204(d)(3)(i), </w:t>
      </w:r>
      <w:r w:rsidRPr="00891B0D">
        <w:rPr>
          <w:rFonts w:eastAsia="Calibri"/>
          <w:szCs w:val="24"/>
        </w:rPr>
        <w:t xml:space="preserve">3.204(e)(1), </w:t>
      </w:r>
      <w:r w:rsidR="00055E88">
        <w:rPr>
          <w:rFonts w:eastAsia="Calibri"/>
          <w:szCs w:val="24"/>
        </w:rPr>
        <w:t>3.20</w:t>
      </w:r>
      <w:r w:rsidR="00435255">
        <w:rPr>
          <w:rFonts w:eastAsia="Calibri"/>
          <w:szCs w:val="24"/>
        </w:rPr>
        <w:t xml:space="preserve">4(e)(2)(v), </w:t>
      </w:r>
      <w:r w:rsidR="00833D78">
        <w:rPr>
          <w:rFonts w:eastAsia="Calibri"/>
          <w:szCs w:val="24"/>
        </w:rPr>
        <w:t>3.204(e)(3)</w:t>
      </w:r>
      <w:r w:rsidR="00E06450">
        <w:rPr>
          <w:rFonts w:eastAsia="Calibri"/>
          <w:szCs w:val="24"/>
        </w:rPr>
        <w:t xml:space="preserve">, </w:t>
      </w:r>
      <w:r w:rsidRPr="00891B0D">
        <w:rPr>
          <w:rFonts w:eastAsia="Calibri"/>
          <w:szCs w:val="24"/>
        </w:rPr>
        <w:t>3.204(g)</w:t>
      </w:r>
      <w:r w:rsidR="00E06450">
        <w:rPr>
          <w:rFonts w:eastAsia="Calibri"/>
          <w:szCs w:val="24"/>
        </w:rPr>
        <w:t>(2)</w:t>
      </w:r>
      <w:r w:rsidRPr="00891B0D">
        <w:rPr>
          <w:rFonts w:eastAsia="Calibri"/>
          <w:szCs w:val="24"/>
        </w:rPr>
        <w:t xml:space="preserve">, </w:t>
      </w:r>
      <w:r w:rsidR="002625F6">
        <w:rPr>
          <w:rFonts w:eastAsia="Calibri"/>
          <w:szCs w:val="24"/>
        </w:rPr>
        <w:t>3.204</w:t>
      </w:r>
      <w:r w:rsidR="00DF5AB6">
        <w:rPr>
          <w:rFonts w:eastAsia="Calibri"/>
          <w:szCs w:val="24"/>
        </w:rPr>
        <w:t xml:space="preserve">(g)(4), </w:t>
      </w:r>
      <w:r w:rsidR="009B48C8">
        <w:rPr>
          <w:rFonts w:eastAsia="Calibri"/>
          <w:szCs w:val="24"/>
        </w:rPr>
        <w:t>3.205(f)(1</w:t>
      </w:r>
      <w:r w:rsidR="007F66DF">
        <w:rPr>
          <w:rFonts w:eastAsia="Calibri"/>
          <w:szCs w:val="24"/>
        </w:rPr>
        <w:t xml:space="preserve">)(ii), </w:t>
      </w:r>
      <w:r w:rsidRPr="00891B0D">
        <w:rPr>
          <w:rFonts w:eastAsia="Calibri"/>
          <w:szCs w:val="24"/>
        </w:rPr>
        <w:t>3.205(h)(</w:t>
      </w:r>
      <w:r>
        <w:rPr>
          <w:rFonts w:eastAsia="Calibri"/>
          <w:szCs w:val="24"/>
        </w:rPr>
        <w:t>1</w:t>
      </w:r>
      <w:r w:rsidRPr="00891B0D">
        <w:rPr>
          <w:rFonts w:eastAsia="Calibri"/>
          <w:szCs w:val="24"/>
        </w:rPr>
        <w:t>)(i</w:t>
      </w:r>
      <w:r>
        <w:rPr>
          <w:rFonts w:eastAsia="Calibri"/>
          <w:szCs w:val="24"/>
        </w:rPr>
        <w:t>i</w:t>
      </w:r>
      <w:r w:rsidRPr="00891B0D">
        <w:rPr>
          <w:rFonts w:eastAsia="Calibri"/>
          <w:szCs w:val="24"/>
        </w:rPr>
        <w:t xml:space="preserve">)(B), </w:t>
      </w:r>
      <w:r w:rsidR="00587004">
        <w:rPr>
          <w:rFonts w:eastAsia="Calibri"/>
          <w:szCs w:val="24"/>
        </w:rPr>
        <w:t>3.</w:t>
      </w:r>
      <w:r w:rsidR="006242E8">
        <w:rPr>
          <w:rFonts w:eastAsia="Calibri"/>
          <w:szCs w:val="24"/>
        </w:rPr>
        <w:t>205(h)(1)(ii)(A)</w:t>
      </w:r>
      <w:r w:rsidR="00B62C8E">
        <w:rPr>
          <w:rFonts w:eastAsia="Calibri"/>
          <w:szCs w:val="24"/>
        </w:rPr>
        <w:t xml:space="preserve">(3), </w:t>
      </w:r>
      <w:r w:rsidRPr="00891B0D">
        <w:rPr>
          <w:rFonts w:eastAsia="Calibri"/>
          <w:szCs w:val="24"/>
        </w:rPr>
        <w:t xml:space="preserve">3.207(a)(3), (4), &amp; (5), 3.207(a)(8), 3.208(b)(4), 3.208(h)(3)(ii), </w:t>
      </w:r>
      <w:r w:rsidR="00832D3D">
        <w:rPr>
          <w:rFonts w:eastAsia="Calibri"/>
          <w:szCs w:val="24"/>
        </w:rPr>
        <w:t>3.212</w:t>
      </w:r>
      <w:r w:rsidR="0056202B">
        <w:rPr>
          <w:rFonts w:eastAsia="Calibri"/>
          <w:szCs w:val="24"/>
        </w:rPr>
        <w:t>(a)(2)</w:t>
      </w:r>
      <w:r w:rsidR="004375CE">
        <w:rPr>
          <w:rFonts w:eastAsia="Calibri"/>
          <w:szCs w:val="24"/>
        </w:rPr>
        <w:t xml:space="preserve">, </w:t>
      </w:r>
      <w:r w:rsidRPr="00891B0D">
        <w:rPr>
          <w:rFonts w:eastAsia="Calibri"/>
          <w:szCs w:val="24"/>
        </w:rPr>
        <w:t>3.212(b)(</w:t>
      </w:r>
      <w:r w:rsidR="001C0ACF">
        <w:rPr>
          <w:rFonts w:eastAsia="Calibri"/>
          <w:szCs w:val="24"/>
        </w:rPr>
        <w:t>1</w:t>
      </w:r>
      <w:r w:rsidRPr="00891B0D">
        <w:rPr>
          <w:rFonts w:eastAsia="Calibri"/>
          <w:szCs w:val="24"/>
        </w:rPr>
        <w:t>)</w:t>
      </w:r>
      <w:r w:rsidR="00F87A65">
        <w:rPr>
          <w:rFonts w:eastAsia="Calibri"/>
          <w:szCs w:val="24"/>
        </w:rPr>
        <w:t>(iii)(C)</w:t>
      </w:r>
      <w:r w:rsidRPr="00891B0D">
        <w:rPr>
          <w:rFonts w:eastAsia="Calibri"/>
          <w:szCs w:val="24"/>
        </w:rPr>
        <w:t xml:space="preserve">, </w:t>
      </w:r>
      <w:r w:rsidR="00213E84">
        <w:rPr>
          <w:rFonts w:eastAsia="Calibri"/>
          <w:szCs w:val="24"/>
        </w:rPr>
        <w:t xml:space="preserve">3.212(b)(3), </w:t>
      </w:r>
      <w:r w:rsidR="00130A59">
        <w:rPr>
          <w:rFonts w:eastAsia="Calibri"/>
          <w:szCs w:val="24"/>
        </w:rPr>
        <w:t>3.215(c)(1)</w:t>
      </w:r>
      <w:r w:rsidR="00187626">
        <w:rPr>
          <w:rFonts w:eastAsia="Calibri"/>
          <w:szCs w:val="24"/>
        </w:rPr>
        <w:t xml:space="preserve">, </w:t>
      </w:r>
      <w:r w:rsidRPr="00891B0D">
        <w:rPr>
          <w:rFonts w:eastAsia="Calibri"/>
          <w:szCs w:val="24"/>
        </w:rPr>
        <w:t>3.21</w:t>
      </w:r>
      <w:r w:rsidR="00F414C1">
        <w:rPr>
          <w:rFonts w:eastAsia="Calibri"/>
          <w:szCs w:val="24"/>
        </w:rPr>
        <w:t>5</w:t>
      </w:r>
      <w:r w:rsidRPr="00891B0D">
        <w:rPr>
          <w:rFonts w:eastAsia="Calibri"/>
          <w:szCs w:val="24"/>
        </w:rPr>
        <w:t>(</w:t>
      </w:r>
      <w:r w:rsidR="00F414C1">
        <w:rPr>
          <w:rFonts w:eastAsia="Calibri"/>
          <w:szCs w:val="24"/>
        </w:rPr>
        <w:t>d</w:t>
      </w:r>
      <w:r>
        <w:rPr>
          <w:rFonts w:eastAsia="Calibri"/>
          <w:szCs w:val="24"/>
        </w:rPr>
        <w:t>)</w:t>
      </w:r>
      <w:r w:rsidR="00187626">
        <w:rPr>
          <w:rFonts w:eastAsia="Calibri"/>
          <w:szCs w:val="24"/>
        </w:rPr>
        <w:t>(1)(i)</w:t>
      </w:r>
      <w:r w:rsidR="00757618">
        <w:rPr>
          <w:rFonts w:eastAsia="Calibri"/>
          <w:szCs w:val="24"/>
        </w:rPr>
        <w:t>, 3.221(a), 3.221(c)(2)(iii)</w:t>
      </w:r>
      <w:r w:rsidR="00E92303">
        <w:rPr>
          <w:rFonts w:eastAsia="Calibri"/>
          <w:szCs w:val="24"/>
        </w:rPr>
        <w:t xml:space="preserve">, </w:t>
      </w:r>
      <w:r w:rsidR="00C23BFD">
        <w:rPr>
          <w:rFonts w:eastAsia="Calibri"/>
          <w:szCs w:val="24"/>
        </w:rPr>
        <w:t xml:space="preserve">3.221(3), </w:t>
      </w:r>
      <w:r w:rsidR="00303CEC">
        <w:rPr>
          <w:rFonts w:eastAsia="Calibri"/>
          <w:szCs w:val="24"/>
        </w:rPr>
        <w:t xml:space="preserve">3.223(a)(1), </w:t>
      </w:r>
      <w:r w:rsidR="00E02478">
        <w:rPr>
          <w:rFonts w:eastAsia="Calibri"/>
          <w:szCs w:val="24"/>
        </w:rPr>
        <w:t xml:space="preserve">&amp; </w:t>
      </w:r>
      <w:r w:rsidR="00303CEC">
        <w:rPr>
          <w:rFonts w:eastAsia="Calibri"/>
          <w:szCs w:val="24"/>
        </w:rPr>
        <w:t>3.224(d)(3)(iii)</w:t>
      </w:r>
      <w:r>
        <w:rPr>
          <w:rFonts w:eastAsia="Calibri"/>
          <w:szCs w:val="24"/>
        </w:rPr>
        <w:t xml:space="preserve"> require </w:t>
      </w:r>
      <w:r w:rsidR="00E56757">
        <w:rPr>
          <w:rFonts w:eastAsia="Calibri"/>
          <w:szCs w:val="24"/>
        </w:rPr>
        <w:t xml:space="preserve">that </w:t>
      </w:r>
      <w:r>
        <w:rPr>
          <w:rFonts w:eastAsia="Calibri"/>
          <w:szCs w:val="24"/>
        </w:rPr>
        <w:t>a national bank or Federal savings association request prior approval from the OCC before commencing an action.</w:t>
      </w:r>
    </w:p>
    <w:p w:rsidR="00A763CC" w:rsidP="005D284F" w14:paraId="54952144" w14:textId="2E5E72FD">
      <w:pPr>
        <w:ind w:right="720"/>
        <w:rPr>
          <w:rFonts w:eastAsia="Calibri"/>
          <w:szCs w:val="24"/>
        </w:rPr>
      </w:pPr>
    </w:p>
    <w:p w:rsidR="00A763CC" w:rsidP="005D284F" w14:paraId="786E195E" w14:textId="77777777">
      <w:pPr>
        <w:ind w:right="720"/>
        <w:rPr>
          <w:rFonts w:eastAsia="Calibri"/>
          <w:szCs w:val="24"/>
        </w:rPr>
      </w:pPr>
    </w:p>
    <w:p w:rsidR="00A763CC" w:rsidP="00074EAF" w14:paraId="5D1446C9" w14:textId="77777777">
      <w:pPr>
        <w:ind w:left="720" w:right="720"/>
        <w:rPr>
          <w:rFonts w:eastAsia="Calibri"/>
          <w:szCs w:val="24"/>
        </w:rPr>
      </w:pPr>
    </w:p>
    <w:p w:rsidR="00196792" w:rsidP="004C2FEA" w14:paraId="41505F00" w14:textId="77777777">
      <w:pPr>
        <w:ind w:firstLine="720"/>
        <w:rPr>
          <w:rFonts w:eastAsia="Calibri"/>
          <w:i/>
          <w:iCs/>
          <w:szCs w:val="24"/>
        </w:rPr>
      </w:pPr>
      <w:r>
        <w:rPr>
          <w:rFonts w:eastAsia="Calibri"/>
          <w:i/>
          <w:iCs/>
          <w:szCs w:val="24"/>
        </w:rPr>
        <w:t>Model related prior approvals</w:t>
      </w:r>
    </w:p>
    <w:p w:rsidR="0010648B" w:rsidP="004C2FEA" w14:paraId="1ABBBAA7" w14:textId="77777777">
      <w:pPr>
        <w:rPr>
          <w:rFonts w:eastAsia="Calibri"/>
          <w:szCs w:val="24"/>
        </w:rPr>
      </w:pPr>
    </w:p>
    <w:p w:rsidR="00C910E1" w:rsidP="005D284F" w14:paraId="5892CD98" w14:textId="5DB28128">
      <w:pPr>
        <w:ind w:right="720" w:firstLine="720"/>
        <w:rPr>
          <w:rFonts w:eastAsia="Calibri"/>
          <w:szCs w:val="24"/>
        </w:rPr>
      </w:pPr>
      <w:r>
        <w:rPr>
          <w:rFonts w:eastAsia="Calibri"/>
          <w:szCs w:val="24"/>
        </w:rPr>
        <w:t xml:space="preserve">Sections </w:t>
      </w:r>
      <w:r w:rsidR="00653A98">
        <w:rPr>
          <w:rFonts w:eastAsia="Calibri"/>
          <w:szCs w:val="24"/>
        </w:rPr>
        <w:t xml:space="preserve">3.204(g)(1)(iii), 3.212(b)(2), and </w:t>
      </w:r>
      <w:r w:rsidR="00C64D32">
        <w:rPr>
          <w:rFonts w:eastAsia="Calibri"/>
          <w:szCs w:val="24"/>
        </w:rPr>
        <w:t>3.212(c)</w:t>
      </w:r>
      <w:r w:rsidR="0010648B">
        <w:rPr>
          <w:rFonts w:eastAsia="Calibri"/>
          <w:szCs w:val="24"/>
        </w:rPr>
        <w:t xml:space="preserve"> relate to the model-related prior approvals.</w:t>
      </w:r>
    </w:p>
    <w:p w:rsidR="0010648B" w:rsidP="004C2FEA" w14:paraId="2411C1E3" w14:textId="7EC5A79F">
      <w:pPr>
        <w:rPr>
          <w:rFonts w:eastAsia="Calibri"/>
          <w:szCs w:val="24"/>
        </w:rPr>
      </w:pPr>
    </w:p>
    <w:p w:rsidR="001A5281" w:rsidP="004C2FEA" w14:paraId="1D7F7420" w14:textId="53D582C8">
      <w:pPr>
        <w:rPr>
          <w:rFonts w:eastAsia="Calibri"/>
          <w:szCs w:val="24"/>
        </w:rPr>
      </w:pPr>
      <w:r>
        <w:rPr>
          <w:rFonts w:eastAsia="Calibri"/>
          <w:szCs w:val="24"/>
        </w:rPr>
        <w:tab/>
      </w:r>
      <w:r>
        <w:rPr>
          <w:rFonts w:eastAsia="Calibri"/>
          <w:i/>
          <w:iCs/>
          <w:szCs w:val="24"/>
        </w:rPr>
        <w:t>Mapping Demonstration</w:t>
      </w:r>
    </w:p>
    <w:p w:rsidR="00630C74" w:rsidP="004C2FEA" w14:paraId="410714AA" w14:textId="77777777">
      <w:pPr>
        <w:rPr>
          <w:rFonts w:eastAsia="Calibri"/>
          <w:szCs w:val="24"/>
        </w:rPr>
      </w:pPr>
    </w:p>
    <w:p w:rsidR="001A5281" w:rsidRPr="001A5281" w:rsidP="005D284F" w14:paraId="23602D03" w14:textId="25AE3D11">
      <w:pPr>
        <w:ind w:right="720" w:firstLine="720"/>
        <w:rPr>
          <w:rFonts w:eastAsia="Calibri"/>
          <w:szCs w:val="24"/>
        </w:rPr>
      </w:pPr>
      <w:r>
        <w:rPr>
          <w:rFonts w:eastAsia="Calibri"/>
          <w:szCs w:val="24"/>
        </w:rPr>
        <w:t xml:space="preserve">Section 3.224(d)(3)(ii) </w:t>
      </w:r>
      <w:r w:rsidR="002F56B8">
        <w:rPr>
          <w:rFonts w:eastAsia="Calibri"/>
          <w:szCs w:val="24"/>
        </w:rPr>
        <w:t xml:space="preserve">provides that a national bank or Federal savings association may map an illiquid </w:t>
      </w:r>
      <w:r w:rsidR="00E05C4F">
        <w:rPr>
          <w:rFonts w:eastAsia="Calibri"/>
          <w:szCs w:val="24"/>
        </w:rPr>
        <w:t>counterparty to a single liquid reference name if the national bank or Federal savings association demonstrates to the OCC that such mapping is appropriate.</w:t>
      </w:r>
    </w:p>
    <w:p w:rsidR="00174A17" w:rsidRPr="00174A17" w:rsidP="004C2FEA" w14:paraId="7B33DD11" w14:textId="77777777">
      <w:pPr>
        <w:spacing w:after="120"/>
        <w:rPr>
          <w:rFonts w:eastAsia="Calibri"/>
          <w:szCs w:val="24"/>
        </w:rPr>
      </w:pPr>
    </w:p>
    <w:p w:rsidR="00174A17" w:rsidRPr="00074EAF" w:rsidP="004C2FEA" w14:paraId="0FB4DF32" w14:textId="365CA0BC">
      <w:pPr>
        <w:spacing w:after="120"/>
        <w:outlineLvl w:val="0"/>
        <w:rPr>
          <w:rFonts w:eastAsia="Calibri"/>
          <w:i/>
          <w:iCs/>
          <w:szCs w:val="24"/>
        </w:rPr>
      </w:pPr>
      <w:r w:rsidRPr="00074EAF">
        <w:rPr>
          <w:rFonts w:eastAsia="Calibri"/>
          <w:i/>
          <w:iCs/>
          <w:szCs w:val="24"/>
        </w:rPr>
        <w:t>Recordkeeping</w:t>
      </w:r>
      <w:r w:rsidR="00752EC6">
        <w:rPr>
          <w:rFonts w:eastAsia="Calibri"/>
          <w:i/>
          <w:iCs/>
          <w:szCs w:val="24"/>
        </w:rPr>
        <w:t xml:space="preserve"> Requirements</w:t>
      </w:r>
    </w:p>
    <w:p w:rsidR="00D55C0D" w:rsidRPr="00074EAF" w:rsidP="00A36ED3" w14:paraId="5EEFE8CE" w14:textId="7B448A86">
      <w:pPr>
        <w:spacing w:after="120"/>
        <w:ind w:firstLine="720"/>
        <w:outlineLvl w:val="0"/>
        <w:rPr>
          <w:rFonts w:eastAsia="Calibri"/>
          <w:i/>
          <w:iCs/>
          <w:szCs w:val="24"/>
        </w:rPr>
      </w:pPr>
      <w:r w:rsidRPr="00074EAF">
        <w:rPr>
          <w:rFonts w:eastAsia="Calibri"/>
          <w:i/>
          <w:iCs/>
          <w:szCs w:val="24"/>
        </w:rPr>
        <w:t>Market risk policies and procedures</w:t>
      </w:r>
    </w:p>
    <w:p w:rsidR="00D55C0D" w:rsidP="005D284F" w14:paraId="647641F3" w14:textId="0F834379">
      <w:pPr>
        <w:ind w:right="720" w:firstLine="720"/>
        <w:outlineLvl w:val="0"/>
        <w:rPr>
          <w:rFonts w:eastAsia="Calibri"/>
          <w:szCs w:val="24"/>
        </w:rPr>
      </w:pPr>
      <w:r>
        <w:rPr>
          <w:rFonts w:eastAsia="Calibri"/>
          <w:szCs w:val="24"/>
        </w:rPr>
        <w:t>Section 3.203(a)(1) require</w:t>
      </w:r>
      <w:r w:rsidR="00BB5818">
        <w:rPr>
          <w:rFonts w:eastAsia="Calibri"/>
          <w:szCs w:val="24"/>
        </w:rPr>
        <w:t>s</w:t>
      </w:r>
      <w:r>
        <w:rPr>
          <w:rFonts w:eastAsia="Calibri"/>
          <w:szCs w:val="24"/>
        </w:rPr>
        <w:t xml:space="preserve"> a </w:t>
      </w:r>
      <w:r w:rsidR="00566809">
        <w:rPr>
          <w:rFonts w:eastAsia="Calibri"/>
          <w:szCs w:val="24"/>
        </w:rPr>
        <w:t>national bank or Federal savings association to</w:t>
      </w:r>
      <w:r>
        <w:rPr>
          <w:rFonts w:eastAsia="Calibri"/>
          <w:szCs w:val="24"/>
        </w:rPr>
        <w:t xml:space="preserve"> have clearly defined policies and procedures for determining its market risk covered positions that are updated annually. </w:t>
      </w:r>
    </w:p>
    <w:p w:rsidR="00791E89" w:rsidRPr="00074EAF" w:rsidP="004C2FEA" w14:paraId="2F9A3969" w14:textId="77777777">
      <w:pPr>
        <w:spacing w:after="120"/>
        <w:outlineLvl w:val="0"/>
        <w:rPr>
          <w:rFonts w:eastAsia="Calibri"/>
          <w:sz w:val="16"/>
          <w:szCs w:val="16"/>
        </w:rPr>
      </w:pPr>
    </w:p>
    <w:p w:rsidR="00D55C0D" w:rsidRPr="00074EAF" w:rsidP="00A36ED3" w14:paraId="3E83C9C2" w14:textId="576D19A6">
      <w:pPr>
        <w:spacing w:after="120"/>
        <w:ind w:firstLine="720"/>
        <w:outlineLvl w:val="0"/>
        <w:rPr>
          <w:rFonts w:eastAsia="Calibri"/>
          <w:i/>
          <w:iCs/>
          <w:szCs w:val="24"/>
        </w:rPr>
      </w:pPr>
      <w:r w:rsidRPr="00074EAF">
        <w:rPr>
          <w:rFonts w:eastAsia="Calibri"/>
          <w:i/>
          <w:iCs/>
          <w:szCs w:val="24"/>
        </w:rPr>
        <w:t>Market risk trading and hedging strategies</w:t>
      </w:r>
    </w:p>
    <w:p w:rsidR="00D55C0D" w:rsidP="005D284F" w14:paraId="0F7DD0A5" w14:textId="55AE85C3">
      <w:pPr>
        <w:ind w:right="720" w:firstLine="720"/>
        <w:outlineLvl w:val="0"/>
        <w:rPr>
          <w:rFonts w:eastAsia="Calibri"/>
          <w:szCs w:val="24"/>
        </w:rPr>
      </w:pPr>
      <w:r>
        <w:rPr>
          <w:rFonts w:eastAsia="Calibri"/>
          <w:szCs w:val="24"/>
        </w:rPr>
        <w:t>Section 3.203(a)(2) require</w:t>
      </w:r>
      <w:r w:rsidR="00BB5818">
        <w:rPr>
          <w:rFonts w:eastAsia="Calibri"/>
          <w:szCs w:val="24"/>
        </w:rPr>
        <w:t>s</w:t>
      </w:r>
      <w:r>
        <w:rPr>
          <w:rFonts w:eastAsia="Calibri"/>
          <w:szCs w:val="24"/>
        </w:rPr>
        <w:t xml:space="preserve"> that a </w:t>
      </w:r>
      <w:r w:rsidRPr="00AC745D" w:rsidR="00AC745D">
        <w:rPr>
          <w:rFonts w:eastAsia="Calibri"/>
          <w:szCs w:val="24"/>
        </w:rPr>
        <w:t xml:space="preserve">national bank or Federal savings association </w:t>
      </w:r>
      <w:r>
        <w:rPr>
          <w:rFonts w:eastAsia="Calibri"/>
          <w:szCs w:val="24"/>
        </w:rPr>
        <w:t>have clearly defined trading and hedging strategies for its market risk covered positions that are approved by senior management.</w:t>
      </w:r>
    </w:p>
    <w:p w:rsidR="00791E89" w:rsidRPr="00074EAF" w:rsidP="004C2FEA" w14:paraId="234E75AA" w14:textId="77777777">
      <w:pPr>
        <w:spacing w:after="120"/>
        <w:outlineLvl w:val="0"/>
        <w:rPr>
          <w:rFonts w:eastAsia="Calibri"/>
          <w:sz w:val="16"/>
          <w:szCs w:val="16"/>
        </w:rPr>
      </w:pPr>
    </w:p>
    <w:p w:rsidR="00BF6328" w:rsidP="00A36ED3" w14:paraId="79824224" w14:textId="6EDE3347">
      <w:pPr>
        <w:spacing w:after="120"/>
        <w:ind w:firstLine="720"/>
        <w:outlineLvl w:val="0"/>
        <w:rPr>
          <w:rFonts w:eastAsia="Calibri"/>
          <w:i/>
          <w:iCs/>
          <w:szCs w:val="24"/>
        </w:rPr>
      </w:pPr>
      <w:r>
        <w:rPr>
          <w:rFonts w:eastAsia="Calibri"/>
          <w:i/>
          <w:iCs/>
          <w:szCs w:val="24"/>
        </w:rPr>
        <w:t>Trading desk policies</w:t>
      </w:r>
    </w:p>
    <w:p w:rsidR="006A1309" w:rsidP="005D284F" w14:paraId="7DCE928F" w14:textId="6417D66F">
      <w:pPr>
        <w:ind w:right="720" w:firstLine="720"/>
        <w:outlineLvl w:val="0"/>
        <w:rPr>
          <w:rFonts w:eastAsia="Calibri"/>
          <w:szCs w:val="24"/>
        </w:rPr>
      </w:pPr>
      <w:r>
        <w:rPr>
          <w:rFonts w:eastAsia="Calibri"/>
          <w:szCs w:val="24"/>
        </w:rPr>
        <w:t xml:space="preserve">Section </w:t>
      </w:r>
      <w:r w:rsidR="00191D43">
        <w:rPr>
          <w:rFonts w:eastAsia="Calibri"/>
          <w:szCs w:val="24"/>
        </w:rPr>
        <w:t xml:space="preserve">3.203(b)(2) </w:t>
      </w:r>
      <w:r w:rsidR="00D57621">
        <w:rPr>
          <w:rFonts w:eastAsia="Calibri"/>
          <w:szCs w:val="24"/>
        </w:rPr>
        <w:t>require</w:t>
      </w:r>
      <w:r w:rsidR="00BB5818">
        <w:rPr>
          <w:rFonts w:eastAsia="Calibri"/>
          <w:szCs w:val="24"/>
        </w:rPr>
        <w:t>s</w:t>
      </w:r>
      <w:r w:rsidR="00D57621">
        <w:rPr>
          <w:rFonts w:eastAsia="Calibri"/>
          <w:szCs w:val="24"/>
        </w:rPr>
        <w:t xml:space="preserve"> that a national bank or Federal savings association have </w:t>
      </w:r>
      <w:r w:rsidR="005A34E3">
        <w:rPr>
          <w:rFonts w:eastAsia="Calibri"/>
          <w:szCs w:val="24"/>
        </w:rPr>
        <w:t>c</w:t>
      </w:r>
      <w:r w:rsidR="00D57621">
        <w:rPr>
          <w:rFonts w:eastAsia="Calibri"/>
          <w:szCs w:val="24"/>
        </w:rPr>
        <w:t xml:space="preserve">learly defined </w:t>
      </w:r>
      <w:r w:rsidR="005A34E3">
        <w:rPr>
          <w:rFonts w:eastAsia="Calibri"/>
          <w:szCs w:val="24"/>
        </w:rPr>
        <w:t xml:space="preserve">trading </w:t>
      </w:r>
      <w:r w:rsidR="00D57621">
        <w:rPr>
          <w:rFonts w:eastAsia="Calibri"/>
          <w:szCs w:val="24"/>
        </w:rPr>
        <w:t>polic</w:t>
      </w:r>
      <w:r w:rsidR="005A34E3">
        <w:rPr>
          <w:rFonts w:eastAsia="Calibri"/>
          <w:szCs w:val="24"/>
        </w:rPr>
        <w:t>ies</w:t>
      </w:r>
      <w:r w:rsidR="00075FFA">
        <w:rPr>
          <w:rFonts w:eastAsia="Calibri"/>
          <w:szCs w:val="24"/>
        </w:rPr>
        <w:t xml:space="preserve"> </w:t>
      </w:r>
      <w:r w:rsidR="00AF7FB1">
        <w:rPr>
          <w:rFonts w:eastAsia="Calibri"/>
          <w:szCs w:val="24"/>
        </w:rPr>
        <w:t>that are approved by sen</w:t>
      </w:r>
      <w:r w:rsidR="00535CF0">
        <w:rPr>
          <w:rFonts w:eastAsia="Calibri"/>
          <w:szCs w:val="24"/>
        </w:rPr>
        <w:t>ior management of the bank.</w:t>
      </w:r>
      <w:r w:rsidR="00327D12">
        <w:rPr>
          <w:rFonts w:eastAsia="Calibri"/>
          <w:szCs w:val="24"/>
        </w:rPr>
        <w:t xml:space="preserve">  The policies </w:t>
      </w:r>
      <w:r w:rsidR="00247B6A">
        <w:rPr>
          <w:rFonts w:eastAsia="Calibri"/>
          <w:szCs w:val="24"/>
        </w:rPr>
        <w:t xml:space="preserve">must </w:t>
      </w:r>
      <w:r w:rsidRPr="006A1309" w:rsidR="00247B6A">
        <w:rPr>
          <w:rFonts w:eastAsia="Calibri"/>
          <w:szCs w:val="24"/>
        </w:rPr>
        <w:t>describe the general strategy of the trading desk, the risk and position limits established for the trading desk, and the internal controls and governance structure established to oversee the risk-taking activities of the trading desk.</w:t>
      </w:r>
    </w:p>
    <w:p w:rsidR="00791E89" w:rsidRPr="00074EAF" w:rsidP="004C2FEA" w14:paraId="018A3AD7" w14:textId="77777777">
      <w:pPr>
        <w:spacing w:after="120"/>
        <w:outlineLvl w:val="0"/>
        <w:rPr>
          <w:rFonts w:eastAsia="Calibri"/>
          <w:sz w:val="16"/>
          <w:szCs w:val="16"/>
        </w:rPr>
      </w:pPr>
    </w:p>
    <w:p w:rsidR="00AF34AE" w:rsidP="00A36ED3" w14:paraId="357984AC" w14:textId="02A3D7A2">
      <w:pPr>
        <w:spacing w:after="120"/>
        <w:ind w:firstLine="720"/>
        <w:outlineLvl w:val="0"/>
        <w:rPr>
          <w:rFonts w:eastAsia="Calibri"/>
          <w:szCs w:val="24"/>
        </w:rPr>
      </w:pPr>
      <w:r>
        <w:rPr>
          <w:rFonts w:eastAsia="Calibri"/>
          <w:i/>
          <w:iCs/>
          <w:szCs w:val="24"/>
        </w:rPr>
        <w:t>Internal market risk management systems</w:t>
      </w:r>
    </w:p>
    <w:p w:rsidR="00725D3B" w:rsidP="005D284F" w14:paraId="629408AA" w14:textId="0C39A909">
      <w:pPr>
        <w:ind w:right="720" w:firstLine="720"/>
        <w:outlineLvl w:val="0"/>
        <w:rPr>
          <w:rFonts w:eastAsia="Calibri"/>
          <w:szCs w:val="24"/>
        </w:rPr>
      </w:pPr>
      <w:r>
        <w:rPr>
          <w:rFonts w:eastAsia="Calibri"/>
          <w:szCs w:val="24"/>
        </w:rPr>
        <w:t xml:space="preserve">Section 3.203(e)(1) </w:t>
      </w:r>
      <w:r w:rsidR="00DA566C">
        <w:rPr>
          <w:rFonts w:eastAsia="Calibri"/>
          <w:szCs w:val="24"/>
        </w:rPr>
        <w:t>require</w:t>
      </w:r>
      <w:r w:rsidR="00BB5818">
        <w:rPr>
          <w:rFonts w:eastAsia="Calibri"/>
          <w:szCs w:val="24"/>
        </w:rPr>
        <w:t>s</w:t>
      </w:r>
      <w:r w:rsidR="00DA566C">
        <w:rPr>
          <w:rFonts w:eastAsia="Calibri"/>
          <w:szCs w:val="24"/>
        </w:rPr>
        <w:t xml:space="preserve"> that a national bank or Federal savings association have internal market risk management systems and processes</w:t>
      </w:r>
      <w:r w:rsidR="00256BF6">
        <w:rPr>
          <w:rFonts w:eastAsia="Calibri"/>
          <w:szCs w:val="24"/>
        </w:rPr>
        <w:t xml:space="preserve"> for identifying, measuring, monitoring, </w:t>
      </w:r>
      <w:r w:rsidR="00D20B72">
        <w:rPr>
          <w:rFonts w:eastAsia="Calibri"/>
          <w:szCs w:val="24"/>
        </w:rPr>
        <w:t>and managing market risk.</w:t>
      </w:r>
    </w:p>
    <w:p w:rsidR="00975E86" w:rsidRPr="00074EAF" w:rsidP="004C2FEA" w14:paraId="1B167D83" w14:textId="77777777">
      <w:pPr>
        <w:spacing w:after="120"/>
        <w:outlineLvl w:val="0"/>
        <w:rPr>
          <w:rFonts w:eastAsia="Calibri"/>
          <w:sz w:val="16"/>
          <w:szCs w:val="16"/>
        </w:rPr>
      </w:pPr>
    </w:p>
    <w:p w:rsidR="004B6877" w:rsidP="00A36ED3" w14:paraId="212C76AC" w14:textId="769FAB13">
      <w:pPr>
        <w:spacing w:after="120"/>
        <w:ind w:firstLine="720"/>
        <w:outlineLvl w:val="0"/>
        <w:rPr>
          <w:rFonts w:eastAsia="Calibri"/>
          <w:szCs w:val="24"/>
        </w:rPr>
      </w:pPr>
      <w:r>
        <w:rPr>
          <w:rFonts w:eastAsia="Calibri"/>
          <w:i/>
          <w:iCs/>
          <w:szCs w:val="24"/>
        </w:rPr>
        <w:t>Internal audit function</w:t>
      </w:r>
    </w:p>
    <w:p w:rsidR="005514CD" w:rsidP="005D284F" w14:paraId="72473C04" w14:textId="4B8684EA">
      <w:pPr>
        <w:ind w:right="720" w:firstLine="720"/>
        <w:outlineLvl w:val="0"/>
        <w:rPr>
          <w:rFonts w:eastAsia="Calibri"/>
          <w:szCs w:val="24"/>
        </w:rPr>
      </w:pPr>
      <w:r>
        <w:rPr>
          <w:rFonts w:eastAsia="Calibri"/>
          <w:szCs w:val="24"/>
        </w:rPr>
        <w:t xml:space="preserve">Section 3.203(e)(3) </w:t>
      </w:r>
      <w:r w:rsidR="00D6788F">
        <w:rPr>
          <w:rFonts w:eastAsia="Calibri"/>
          <w:szCs w:val="24"/>
        </w:rPr>
        <w:t>require</w:t>
      </w:r>
      <w:r w:rsidR="00BB5818">
        <w:rPr>
          <w:rFonts w:eastAsia="Calibri"/>
          <w:szCs w:val="24"/>
        </w:rPr>
        <w:t>s</w:t>
      </w:r>
      <w:r w:rsidR="00D6788F">
        <w:rPr>
          <w:rFonts w:eastAsia="Calibri"/>
          <w:szCs w:val="24"/>
        </w:rPr>
        <w:t xml:space="preserve"> that a national bank or Federal savings association </w:t>
      </w:r>
      <w:r w:rsidR="0034252D">
        <w:rPr>
          <w:rFonts w:eastAsia="Calibri"/>
          <w:szCs w:val="24"/>
        </w:rPr>
        <w:t xml:space="preserve">have an internal audit function </w:t>
      </w:r>
      <w:r w:rsidR="00553B2F">
        <w:rPr>
          <w:rFonts w:eastAsia="Calibri"/>
          <w:szCs w:val="24"/>
        </w:rPr>
        <w:t xml:space="preserve">that </w:t>
      </w:r>
      <w:r w:rsidRPr="005514CD">
        <w:rPr>
          <w:rFonts w:eastAsia="Calibri"/>
          <w:szCs w:val="24"/>
        </w:rPr>
        <w:t>no less than once per assess the effectiveness of the controls supporting its market risk measurement systems, including the activities of the business trading units and independent risk control unit, the initial designation of positions as market risk covered positions and any re-designations of positions, compliance with policies and procedures, and the calculation of its measures for market risk under subpart F, including the mapping of risk factors to liquidity horizons, as applicable.</w:t>
      </w:r>
    </w:p>
    <w:p w:rsidR="00975E86" w:rsidRPr="00074EAF" w:rsidP="004C2FEA" w14:paraId="02A5D1BD" w14:textId="77777777">
      <w:pPr>
        <w:spacing w:after="120"/>
        <w:outlineLvl w:val="0"/>
        <w:rPr>
          <w:rFonts w:eastAsia="Calibri"/>
          <w:sz w:val="16"/>
          <w:szCs w:val="16"/>
        </w:rPr>
      </w:pPr>
    </w:p>
    <w:p w:rsidR="00250F91" w:rsidP="00A36ED3" w14:paraId="5A4215B5" w14:textId="77777777">
      <w:pPr>
        <w:spacing w:after="120"/>
        <w:ind w:firstLine="720"/>
        <w:outlineLvl w:val="0"/>
        <w:rPr>
          <w:rFonts w:eastAsia="Calibri"/>
          <w:i/>
          <w:iCs/>
          <w:szCs w:val="24"/>
        </w:rPr>
      </w:pPr>
      <w:r w:rsidRPr="00074EAF">
        <w:rPr>
          <w:rFonts w:eastAsia="Calibri"/>
          <w:i/>
          <w:iCs/>
          <w:szCs w:val="24"/>
        </w:rPr>
        <w:t xml:space="preserve">Prudent valuation process </w:t>
      </w:r>
    </w:p>
    <w:p w:rsidR="00250F91" w:rsidP="005D284F" w14:paraId="7851E40C" w14:textId="279C89AD">
      <w:pPr>
        <w:ind w:right="720" w:firstLine="720"/>
        <w:outlineLvl w:val="0"/>
        <w:rPr>
          <w:rFonts w:eastAsia="Calibri"/>
          <w:szCs w:val="24"/>
        </w:rPr>
      </w:pPr>
      <w:r w:rsidRPr="00250F91">
        <w:rPr>
          <w:rFonts w:eastAsia="Calibri"/>
          <w:szCs w:val="24"/>
        </w:rPr>
        <w:t>Section 3.203(f) require</w:t>
      </w:r>
      <w:r w:rsidR="00BB5818">
        <w:rPr>
          <w:rFonts w:eastAsia="Calibri"/>
          <w:szCs w:val="24"/>
        </w:rPr>
        <w:t>s</w:t>
      </w:r>
      <w:r w:rsidRPr="00250F91">
        <w:rPr>
          <w:rFonts w:eastAsia="Calibri"/>
          <w:szCs w:val="24"/>
        </w:rPr>
        <w:t xml:space="preserve"> that a national bank or Federal savings association have a process for the prudent valuation of its market risk covered positions that includes policies and procedures on the valuation of its market risk covered positions, determining the fair value of its market risk covered positions, independent price verification, and independent validation of the valuation models and valuation adjustments or reserves.</w:t>
      </w:r>
    </w:p>
    <w:p w:rsidR="00975E86" w:rsidRPr="00074EAF" w:rsidP="004C2FEA" w14:paraId="3B5A688C" w14:textId="77777777">
      <w:pPr>
        <w:spacing w:after="120"/>
        <w:outlineLvl w:val="0"/>
        <w:rPr>
          <w:rFonts w:eastAsia="Calibri"/>
          <w:i/>
          <w:iCs/>
          <w:sz w:val="16"/>
          <w:szCs w:val="16"/>
        </w:rPr>
      </w:pPr>
    </w:p>
    <w:p w:rsidR="006921AB" w:rsidRPr="00074EAF" w:rsidP="00A36ED3" w14:paraId="32029358" w14:textId="77777777">
      <w:pPr>
        <w:spacing w:after="120"/>
        <w:ind w:firstLine="720"/>
        <w:outlineLvl w:val="0"/>
        <w:rPr>
          <w:rFonts w:eastAsia="Calibri"/>
          <w:i/>
          <w:iCs/>
          <w:szCs w:val="24"/>
        </w:rPr>
      </w:pPr>
      <w:r w:rsidRPr="00074EAF">
        <w:rPr>
          <w:rFonts w:eastAsia="Calibri"/>
          <w:i/>
          <w:iCs/>
          <w:szCs w:val="24"/>
        </w:rPr>
        <w:t>Capital adequacy assessment</w:t>
      </w:r>
    </w:p>
    <w:p w:rsidR="006921AB" w:rsidP="005D284F" w14:paraId="2946FE14" w14:textId="53044484">
      <w:pPr>
        <w:ind w:right="720" w:firstLine="720"/>
        <w:outlineLvl w:val="0"/>
        <w:rPr>
          <w:rFonts w:eastAsia="Calibri"/>
          <w:szCs w:val="24"/>
        </w:rPr>
      </w:pPr>
      <w:r w:rsidRPr="006921AB">
        <w:rPr>
          <w:rFonts w:eastAsia="Calibri"/>
          <w:szCs w:val="24"/>
        </w:rPr>
        <w:t xml:space="preserve">Section 3.203(g) requires that a national bank or Federal savings association have a process for assessing its overall capital adequacy in relation to its market risk, </w:t>
      </w:r>
      <w:r w:rsidRPr="006921AB">
        <w:rPr>
          <w:rFonts w:eastAsia="Calibri"/>
          <w:szCs w:val="24"/>
        </w:rPr>
        <w:t>taking into account</w:t>
      </w:r>
      <w:r w:rsidRPr="006921AB">
        <w:rPr>
          <w:rFonts w:eastAsia="Calibri"/>
          <w:szCs w:val="24"/>
        </w:rPr>
        <w:t xml:space="preserve"> risks that may not be captured fully by the standardized measure for market risk or in the models-based measure for market risk, including concentration and liquidity risk under stressed market conditions.</w:t>
      </w:r>
    </w:p>
    <w:p w:rsidR="00975E86" w:rsidRPr="00074EAF" w:rsidP="005D284F" w14:paraId="65C5550A" w14:textId="77777777">
      <w:pPr>
        <w:outlineLvl w:val="0"/>
        <w:rPr>
          <w:rFonts w:eastAsia="Calibri"/>
          <w:sz w:val="16"/>
          <w:szCs w:val="16"/>
        </w:rPr>
      </w:pPr>
    </w:p>
    <w:p w:rsidR="00800B37" w:rsidRPr="00074EAF" w:rsidP="005D284F" w14:paraId="3064B856" w14:textId="5EF0B785">
      <w:pPr>
        <w:ind w:firstLine="720"/>
        <w:rPr>
          <w:rFonts w:eastAsia="Calibri"/>
          <w:i/>
          <w:iCs/>
          <w:szCs w:val="24"/>
        </w:rPr>
      </w:pPr>
      <w:r w:rsidRPr="00074EAF">
        <w:rPr>
          <w:rFonts w:eastAsia="Calibri"/>
          <w:i/>
          <w:iCs/>
          <w:szCs w:val="24"/>
        </w:rPr>
        <w:t>Demonstrations of compliance</w:t>
      </w:r>
    </w:p>
    <w:p w:rsidR="0085391E" w:rsidRPr="00074EAF" w:rsidP="005D284F" w14:paraId="1AB820A5" w14:textId="77777777">
      <w:pPr>
        <w:rPr>
          <w:rFonts w:eastAsia="Calibri"/>
          <w:sz w:val="16"/>
          <w:szCs w:val="16"/>
          <w:u w:val="single"/>
        </w:rPr>
      </w:pPr>
    </w:p>
    <w:p w:rsidR="00D37CB9" w:rsidP="005D284F" w14:paraId="5193300B" w14:textId="3C17C595">
      <w:pPr>
        <w:ind w:right="720" w:firstLine="720"/>
        <w:rPr>
          <w:rFonts w:eastAsiaTheme="majorEastAsia"/>
        </w:rPr>
      </w:pPr>
      <w:r w:rsidRPr="00D37CB9">
        <w:rPr>
          <w:rFonts w:eastAsia="Calibri"/>
          <w:szCs w:val="24"/>
        </w:rPr>
        <w:t xml:space="preserve">Sections </w:t>
      </w:r>
      <w:r w:rsidR="00C350F5">
        <w:rPr>
          <w:rFonts w:eastAsia="Calibri"/>
          <w:szCs w:val="24"/>
        </w:rPr>
        <w:t>3.203(c)</w:t>
      </w:r>
      <w:r w:rsidR="006818B2">
        <w:rPr>
          <w:rFonts w:eastAsiaTheme="majorEastAsia"/>
        </w:rPr>
        <w:t>, 3.203(h), 3.208(h)(1)(ii)(B), and 3.214(b)(7)(iv), (vi), &amp; (vii) requires demonstrations of compliance regarding a</w:t>
      </w:r>
      <w:r w:rsidR="00295010">
        <w:rPr>
          <w:rFonts w:eastAsiaTheme="majorEastAsia"/>
        </w:rPr>
        <w:t xml:space="preserve">ctive risk management of market risk covered positions, due diligence requirements for securitization positions, </w:t>
      </w:r>
      <w:r w:rsidR="00392198">
        <w:rPr>
          <w:rFonts w:eastAsiaTheme="majorEastAsia"/>
        </w:rPr>
        <w:t xml:space="preserve">delta risk factors for foreign exchange risk, and </w:t>
      </w:r>
      <w:r w:rsidR="00812D7E">
        <w:rPr>
          <w:rFonts w:eastAsiaTheme="majorEastAsia"/>
        </w:rPr>
        <w:t>data for modellable risk fa</w:t>
      </w:r>
      <w:r w:rsidR="002251EC">
        <w:rPr>
          <w:rFonts w:eastAsiaTheme="majorEastAsia"/>
        </w:rPr>
        <w:t>ctors.</w:t>
      </w:r>
    </w:p>
    <w:p w:rsidR="00975E86" w:rsidRPr="00074EAF" w:rsidP="005D284F" w14:paraId="68D9A8DF" w14:textId="77777777">
      <w:pPr>
        <w:rPr>
          <w:rFonts w:eastAsiaTheme="majorEastAsia"/>
          <w:sz w:val="16"/>
          <w:szCs w:val="16"/>
        </w:rPr>
      </w:pPr>
    </w:p>
    <w:p w:rsidR="00FB6B7B" w:rsidRPr="00074EAF" w:rsidP="005D284F" w14:paraId="5802934C" w14:textId="77777777">
      <w:pPr>
        <w:rPr>
          <w:rFonts w:eastAsiaTheme="majorEastAsia"/>
          <w:sz w:val="16"/>
          <w:szCs w:val="16"/>
        </w:rPr>
      </w:pPr>
    </w:p>
    <w:p w:rsidR="00FB6B7B" w:rsidP="005D284F" w14:paraId="2932B02C" w14:textId="25AB683E">
      <w:pPr>
        <w:ind w:firstLine="720"/>
        <w:rPr>
          <w:rFonts w:eastAsiaTheme="majorEastAsia"/>
          <w:i/>
          <w:iCs/>
        </w:rPr>
      </w:pPr>
      <w:r w:rsidRPr="00074EAF">
        <w:rPr>
          <w:rFonts w:eastAsiaTheme="majorEastAsia"/>
          <w:i/>
          <w:iCs/>
        </w:rPr>
        <w:t>General recordkeeping</w:t>
      </w:r>
      <w:r w:rsidR="00EC4293">
        <w:rPr>
          <w:rFonts w:eastAsiaTheme="majorEastAsia"/>
          <w:i/>
          <w:iCs/>
        </w:rPr>
        <w:t xml:space="preserve"> (annual)</w:t>
      </w:r>
    </w:p>
    <w:p w:rsidR="00EC4293" w:rsidRPr="00074EAF" w:rsidP="005D284F" w14:paraId="3BCAD476" w14:textId="26AC67F6">
      <w:pPr>
        <w:ind w:firstLine="720"/>
        <w:rPr>
          <w:rFonts w:eastAsiaTheme="majorEastAsia"/>
          <w:i/>
          <w:iCs/>
          <w:sz w:val="16"/>
          <w:szCs w:val="16"/>
        </w:rPr>
      </w:pPr>
    </w:p>
    <w:p w:rsidR="00EF06FB" w:rsidRPr="00EF06FB" w:rsidP="005D284F" w14:paraId="26F34F60" w14:textId="0988B617">
      <w:pPr>
        <w:ind w:right="720" w:firstLine="720"/>
        <w:rPr>
          <w:rFonts w:eastAsiaTheme="majorEastAsia"/>
        </w:rPr>
      </w:pPr>
      <w:r>
        <w:rPr>
          <w:rFonts w:eastAsiaTheme="majorEastAsia"/>
        </w:rPr>
        <w:t xml:space="preserve">Sections </w:t>
      </w:r>
      <w:r w:rsidRPr="00161BAA" w:rsidR="00161BAA">
        <w:rPr>
          <w:rFonts w:eastAsiaTheme="majorEastAsia"/>
        </w:rPr>
        <w:t>3.203(i) and 3.205(h)</w:t>
      </w:r>
      <w:r w:rsidR="00161BAA">
        <w:rPr>
          <w:rFonts w:eastAsiaTheme="majorEastAsia"/>
        </w:rPr>
        <w:t xml:space="preserve"> </w:t>
      </w:r>
      <w:r w:rsidR="00C92800">
        <w:rPr>
          <w:rFonts w:eastAsiaTheme="majorEastAsia"/>
        </w:rPr>
        <w:t xml:space="preserve">contain </w:t>
      </w:r>
      <w:r w:rsidR="00036B8E">
        <w:rPr>
          <w:rFonts w:eastAsiaTheme="majorEastAsia"/>
        </w:rPr>
        <w:t>documentation</w:t>
      </w:r>
      <w:r w:rsidRPr="00C92800" w:rsidR="00C92800">
        <w:rPr>
          <w:rFonts w:eastAsiaTheme="majorEastAsia"/>
        </w:rPr>
        <w:t xml:space="preserve"> requirements that a national bank or Federal savings association must</w:t>
      </w:r>
      <w:r w:rsidR="00B919A0">
        <w:rPr>
          <w:rFonts w:eastAsiaTheme="majorEastAsia"/>
        </w:rPr>
        <w:t xml:space="preserve"> </w:t>
      </w:r>
      <w:r w:rsidRPr="00124B93" w:rsidR="00124B93">
        <w:rPr>
          <w:rFonts w:eastAsiaTheme="majorEastAsia"/>
        </w:rPr>
        <w:t>adequately document all material aspects of its identification, management, and valuation of market risk covered positions,</w:t>
      </w:r>
      <w:r>
        <w:rPr>
          <w:rFonts w:eastAsiaTheme="majorEastAsia"/>
        </w:rPr>
        <w:t xml:space="preserve"> </w:t>
      </w:r>
      <w:r w:rsidRPr="00EF06FB">
        <w:rPr>
          <w:rFonts w:eastAsiaTheme="majorEastAsia"/>
        </w:rPr>
        <w:t>trading desk structure</w:t>
      </w:r>
      <w:r w:rsidR="00727F4A">
        <w:rPr>
          <w:rFonts w:eastAsiaTheme="majorEastAsia"/>
        </w:rPr>
        <w:t>,</w:t>
      </w:r>
      <w:r w:rsidRPr="00EF06FB">
        <w:rPr>
          <w:rFonts w:eastAsiaTheme="majorEastAsia"/>
        </w:rPr>
        <w:t xml:space="preserve"> and </w:t>
      </w:r>
      <w:r w:rsidRPr="00074EAF" w:rsidR="00724464">
        <w:rPr>
          <w:rFonts w:eastAsia="Malgun Gothic"/>
          <w:szCs w:val="24"/>
        </w:rPr>
        <w:t>its internal models, including validation and review processes and results and an explanation of the empirical techniques used to measure market risk.</w:t>
      </w:r>
      <w:r w:rsidR="00727F4A">
        <w:rPr>
          <w:rFonts w:eastAsiaTheme="majorEastAsia"/>
        </w:rPr>
        <w:t xml:space="preserve"> </w:t>
      </w:r>
      <w:r w:rsidR="005A3CA1">
        <w:rPr>
          <w:rFonts w:eastAsiaTheme="majorEastAsia"/>
        </w:rPr>
        <w:t xml:space="preserve"> </w:t>
      </w:r>
      <w:r w:rsidR="00965C7E">
        <w:rPr>
          <w:rFonts w:eastAsiaTheme="majorEastAsia"/>
        </w:rPr>
        <w:t>Documentation for i</w:t>
      </w:r>
      <w:r w:rsidR="00C8463F">
        <w:rPr>
          <w:rFonts w:eastAsiaTheme="majorEastAsia"/>
        </w:rPr>
        <w:t>nternal risk transfer</w:t>
      </w:r>
      <w:r w:rsidR="00965C7E">
        <w:rPr>
          <w:rFonts w:eastAsiaTheme="majorEastAsia"/>
        </w:rPr>
        <w:t>s</w:t>
      </w:r>
      <w:r w:rsidR="00C8463F">
        <w:rPr>
          <w:rFonts w:eastAsiaTheme="majorEastAsia"/>
        </w:rPr>
        <w:t xml:space="preserve"> </w:t>
      </w:r>
      <w:r w:rsidR="00FD55DE">
        <w:rPr>
          <w:rFonts w:eastAsiaTheme="majorEastAsia"/>
        </w:rPr>
        <w:t>must identify exposures under subpart D or subpart E of</w:t>
      </w:r>
      <w:r w:rsidR="00BB214B">
        <w:rPr>
          <w:rFonts w:eastAsiaTheme="majorEastAsia"/>
        </w:rPr>
        <w:t xml:space="preserve"> 12 CFR part 3. </w:t>
      </w:r>
      <w:r w:rsidR="00C8463F">
        <w:rPr>
          <w:rFonts w:eastAsiaTheme="majorEastAsia"/>
        </w:rPr>
        <w:t xml:space="preserve"> </w:t>
      </w:r>
      <w:r w:rsidR="002C6EE3">
        <w:rPr>
          <w:rFonts w:eastAsiaTheme="majorEastAsia"/>
        </w:rPr>
        <w:t xml:space="preserve">A national bank or Federal savings association </w:t>
      </w:r>
      <w:r w:rsidRPr="00C13FE7" w:rsidR="00C13FE7">
        <w:rPr>
          <w:rFonts w:eastAsiaTheme="majorEastAsia"/>
        </w:rPr>
        <w:t xml:space="preserve">that calculates the models-based measure for market risk </w:t>
      </w:r>
      <w:r w:rsidR="00C13FE7">
        <w:rPr>
          <w:rFonts w:eastAsiaTheme="majorEastAsia"/>
        </w:rPr>
        <w:t xml:space="preserve">must </w:t>
      </w:r>
      <w:r w:rsidR="00DB5E32">
        <w:rPr>
          <w:rFonts w:eastAsiaTheme="majorEastAsia"/>
        </w:rPr>
        <w:t xml:space="preserve">also </w:t>
      </w:r>
      <w:r w:rsidR="00C13FE7">
        <w:rPr>
          <w:rFonts w:eastAsiaTheme="majorEastAsia"/>
        </w:rPr>
        <w:t>d</w:t>
      </w:r>
      <w:r w:rsidRPr="00EF06FB">
        <w:rPr>
          <w:rFonts w:eastAsiaTheme="majorEastAsia"/>
        </w:rPr>
        <w:t>ocument</w:t>
      </w:r>
      <w:r w:rsidR="00263711">
        <w:rPr>
          <w:rFonts w:eastAsiaTheme="majorEastAsia"/>
        </w:rPr>
        <w:t xml:space="preserve"> </w:t>
      </w:r>
      <w:r w:rsidRPr="00EF06FB">
        <w:rPr>
          <w:rFonts w:eastAsiaTheme="majorEastAsia"/>
        </w:rPr>
        <w:t xml:space="preserve">policies </w:t>
      </w:r>
      <w:r w:rsidR="009F13F2">
        <w:rPr>
          <w:rFonts w:eastAsiaTheme="majorEastAsia"/>
        </w:rPr>
        <w:t xml:space="preserve">that </w:t>
      </w:r>
      <w:r w:rsidRPr="00EF06FB">
        <w:rPr>
          <w:rFonts w:eastAsiaTheme="majorEastAsia"/>
        </w:rPr>
        <w:t>describ</w:t>
      </w:r>
      <w:r w:rsidR="009F13F2">
        <w:rPr>
          <w:rFonts w:eastAsiaTheme="majorEastAsia"/>
        </w:rPr>
        <w:t>e</w:t>
      </w:r>
      <w:r w:rsidRPr="00EF06FB">
        <w:rPr>
          <w:rFonts w:eastAsiaTheme="majorEastAsia"/>
        </w:rPr>
        <w:t xml:space="preserve"> how each trading desk satisfies applicable requirements</w:t>
      </w:r>
      <w:r w:rsidR="008A7E11">
        <w:rPr>
          <w:rFonts w:eastAsiaTheme="majorEastAsia"/>
        </w:rPr>
        <w:t>.  P</w:t>
      </w:r>
      <w:r w:rsidR="007348AD">
        <w:rPr>
          <w:rFonts w:eastAsiaTheme="majorEastAsia"/>
        </w:rPr>
        <w:t xml:space="preserve">olicies and </w:t>
      </w:r>
      <w:r w:rsidRPr="00FD18C8" w:rsidR="00FD18C8">
        <w:rPr>
          <w:rFonts w:eastAsiaTheme="majorEastAsia"/>
        </w:rPr>
        <w:t>proc</w:t>
      </w:r>
      <w:r w:rsidR="007348AD">
        <w:rPr>
          <w:rFonts w:eastAsiaTheme="majorEastAsia"/>
        </w:rPr>
        <w:t>edures</w:t>
      </w:r>
      <w:r w:rsidRPr="00FD18C8" w:rsidR="00FD18C8">
        <w:rPr>
          <w:rFonts w:eastAsiaTheme="majorEastAsia"/>
        </w:rPr>
        <w:t xml:space="preserve"> </w:t>
      </w:r>
      <w:r w:rsidR="00672F37">
        <w:rPr>
          <w:rFonts w:eastAsiaTheme="majorEastAsia"/>
        </w:rPr>
        <w:t>relate</w:t>
      </w:r>
      <w:r w:rsidR="007348AD">
        <w:rPr>
          <w:rFonts w:eastAsiaTheme="majorEastAsia"/>
        </w:rPr>
        <w:t>d</w:t>
      </w:r>
      <w:r w:rsidR="00672F37">
        <w:rPr>
          <w:rFonts w:eastAsiaTheme="majorEastAsia"/>
        </w:rPr>
        <w:t xml:space="preserve"> to </w:t>
      </w:r>
      <w:r w:rsidR="006A1FE4">
        <w:rPr>
          <w:rFonts w:eastAsiaTheme="majorEastAsia"/>
        </w:rPr>
        <w:t>the risk factor eligibility test, data alignment of hypothetical profit and loss</w:t>
      </w:r>
      <w:r w:rsidR="005A1651">
        <w:rPr>
          <w:rFonts w:eastAsiaTheme="majorEastAsia"/>
        </w:rPr>
        <w:t xml:space="preserve"> </w:t>
      </w:r>
      <w:r w:rsidRPr="00353E87" w:rsidR="005A1651">
        <w:rPr>
          <w:rFonts w:eastAsiaTheme="majorEastAsia"/>
        </w:rPr>
        <w:t>a</w:t>
      </w:r>
      <w:r w:rsidRPr="00074EAF" w:rsidR="005A1651">
        <w:rPr>
          <w:rFonts w:eastAsia="Malgun Gothic"/>
          <w:szCs w:val="24"/>
        </w:rPr>
        <w:t>nd risk-theoretical profit and loss</w:t>
      </w:r>
      <w:r w:rsidR="008A7E11">
        <w:rPr>
          <w:rFonts w:eastAsia="Malgun Gothic"/>
          <w:szCs w:val="24"/>
        </w:rPr>
        <w:t>, and the assignment of risk factors to liquidity horizons</w:t>
      </w:r>
      <w:r w:rsidR="008130AF">
        <w:rPr>
          <w:rFonts w:eastAsia="Malgun Gothic"/>
          <w:szCs w:val="24"/>
        </w:rPr>
        <w:t xml:space="preserve"> must also be documented</w:t>
      </w:r>
      <w:r w:rsidRPr="00EF06FB">
        <w:rPr>
          <w:rFonts w:eastAsiaTheme="majorEastAsia"/>
        </w:rPr>
        <w:t>.</w:t>
      </w:r>
    </w:p>
    <w:p w:rsidR="00EC4293" w:rsidRPr="00074EAF" w:rsidP="005D284F" w14:paraId="3F1D0E0D" w14:textId="5F38DC75">
      <w:pPr>
        <w:ind w:right="720"/>
        <w:rPr>
          <w:rFonts w:eastAsiaTheme="majorEastAsia"/>
          <w:sz w:val="16"/>
          <w:szCs w:val="16"/>
        </w:rPr>
      </w:pPr>
    </w:p>
    <w:p w:rsidR="00FB6B7B" w:rsidP="005D284F" w14:paraId="189D4E92" w14:textId="3D3BBC40">
      <w:pPr>
        <w:ind w:firstLine="720"/>
        <w:rPr>
          <w:rFonts w:eastAsiaTheme="majorEastAsia"/>
          <w:i/>
          <w:iCs/>
        </w:rPr>
      </w:pPr>
      <w:r>
        <w:rPr>
          <w:rFonts w:eastAsiaTheme="majorEastAsia"/>
          <w:i/>
          <w:iCs/>
        </w:rPr>
        <w:t>General recordkeeping (quarterly)</w:t>
      </w:r>
    </w:p>
    <w:p w:rsidR="00E97951" w:rsidRPr="00074EAF" w:rsidP="005D284F" w14:paraId="5D61C5AF" w14:textId="77777777">
      <w:pPr>
        <w:ind w:firstLine="720"/>
        <w:rPr>
          <w:rFonts w:eastAsiaTheme="majorEastAsia"/>
          <w:sz w:val="16"/>
          <w:szCs w:val="16"/>
        </w:rPr>
      </w:pPr>
    </w:p>
    <w:p w:rsidR="002961EA" w:rsidP="005D284F" w14:paraId="37B1BA18" w14:textId="4DA5C78B">
      <w:pPr>
        <w:ind w:right="720" w:firstLine="720"/>
        <w:rPr>
          <w:rFonts w:eastAsiaTheme="majorEastAsia"/>
        </w:rPr>
      </w:pPr>
      <w:r w:rsidRPr="00705940">
        <w:rPr>
          <w:rFonts w:eastAsiaTheme="majorEastAsia"/>
        </w:rPr>
        <w:t>Section 3.203(h)(2)(i)</w:t>
      </w:r>
      <w:r>
        <w:rPr>
          <w:rFonts w:eastAsiaTheme="majorEastAsia"/>
        </w:rPr>
        <w:t xml:space="preserve"> requires a</w:t>
      </w:r>
      <w:r w:rsidR="00F05784">
        <w:rPr>
          <w:rFonts w:eastAsiaTheme="majorEastAsia"/>
        </w:rPr>
        <w:t xml:space="preserve"> national bank or Federal savings association </w:t>
      </w:r>
      <w:r>
        <w:rPr>
          <w:rFonts w:eastAsiaTheme="majorEastAsia"/>
        </w:rPr>
        <w:t>to</w:t>
      </w:r>
      <w:r w:rsidR="00F05784">
        <w:rPr>
          <w:rFonts w:eastAsiaTheme="majorEastAsia"/>
        </w:rPr>
        <w:t xml:space="preserve"> demonstrate its comprehe</w:t>
      </w:r>
      <w:r w:rsidR="00E97951">
        <w:rPr>
          <w:rFonts w:eastAsiaTheme="majorEastAsia"/>
        </w:rPr>
        <w:t xml:space="preserve">nsive understanding of securitization positions by </w:t>
      </w:r>
      <w:r w:rsidR="00D92047">
        <w:rPr>
          <w:rFonts w:eastAsiaTheme="majorEastAsia"/>
        </w:rPr>
        <w:t xml:space="preserve">conducting an analysis of the risk characteristics </w:t>
      </w:r>
      <w:r w:rsidR="00DE6F1A">
        <w:rPr>
          <w:rFonts w:eastAsiaTheme="majorEastAsia"/>
        </w:rPr>
        <w:t xml:space="preserve">of </w:t>
      </w:r>
      <w:r w:rsidR="00B07E0F">
        <w:rPr>
          <w:rFonts w:eastAsiaTheme="majorEastAsia"/>
        </w:rPr>
        <w:t>securitization position</w:t>
      </w:r>
      <w:r w:rsidR="009B14B9">
        <w:rPr>
          <w:rFonts w:eastAsiaTheme="majorEastAsia"/>
        </w:rPr>
        <w:t>s</w:t>
      </w:r>
      <w:r w:rsidR="00B07E0F">
        <w:rPr>
          <w:rFonts w:eastAsiaTheme="majorEastAsia"/>
        </w:rPr>
        <w:t xml:space="preserve"> and document</w:t>
      </w:r>
      <w:r w:rsidR="0095001D">
        <w:rPr>
          <w:rFonts w:eastAsiaTheme="majorEastAsia"/>
        </w:rPr>
        <w:t>ing</w:t>
      </w:r>
      <w:r w:rsidR="00B07E0F">
        <w:rPr>
          <w:rFonts w:eastAsiaTheme="majorEastAsia"/>
        </w:rPr>
        <w:t xml:space="preserve"> </w:t>
      </w:r>
      <w:r w:rsidR="00EB4B5D">
        <w:rPr>
          <w:rFonts w:eastAsiaTheme="majorEastAsia"/>
        </w:rPr>
        <w:t xml:space="preserve">the </w:t>
      </w:r>
      <w:r w:rsidR="00B07E0F">
        <w:rPr>
          <w:rFonts w:eastAsiaTheme="majorEastAsia"/>
        </w:rPr>
        <w:t>analysis.</w:t>
      </w:r>
      <w:r w:rsidR="00CA1ED0">
        <w:rPr>
          <w:rFonts w:eastAsiaTheme="majorEastAsia"/>
        </w:rPr>
        <w:t xml:space="preserve">  </w:t>
      </w:r>
    </w:p>
    <w:p w:rsidR="0027727C" w:rsidP="005D284F" w14:paraId="671974C6" w14:textId="1828F3CF">
      <w:pPr>
        <w:ind w:right="720"/>
        <w:rPr>
          <w:rFonts w:eastAsiaTheme="majorEastAsia"/>
          <w:sz w:val="16"/>
          <w:szCs w:val="16"/>
        </w:rPr>
      </w:pPr>
    </w:p>
    <w:p w:rsidR="00A36ED3" w:rsidP="005D284F" w14:paraId="25AC07FA" w14:textId="77777777">
      <w:pPr>
        <w:rPr>
          <w:rFonts w:eastAsiaTheme="majorEastAsia"/>
          <w:i/>
          <w:iCs/>
          <w:szCs w:val="24"/>
        </w:rPr>
      </w:pPr>
    </w:p>
    <w:p w:rsidR="007C7902" w:rsidP="005D284F" w14:paraId="761DFD46" w14:textId="677F9CB7">
      <w:pPr>
        <w:ind w:firstLine="720"/>
        <w:rPr>
          <w:rFonts w:eastAsiaTheme="majorEastAsia"/>
          <w:i/>
          <w:iCs/>
          <w:szCs w:val="24"/>
        </w:rPr>
      </w:pPr>
      <w:r w:rsidRPr="00074EAF">
        <w:rPr>
          <w:rFonts w:eastAsiaTheme="majorEastAsia"/>
          <w:i/>
          <w:iCs/>
          <w:szCs w:val="24"/>
        </w:rPr>
        <w:t xml:space="preserve">Securitization </w:t>
      </w:r>
      <w:r w:rsidR="00492A88">
        <w:rPr>
          <w:rFonts w:eastAsiaTheme="majorEastAsia"/>
          <w:i/>
          <w:iCs/>
          <w:szCs w:val="24"/>
        </w:rPr>
        <w:t>d</w:t>
      </w:r>
      <w:r w:rsidRPr="00074EAF">
        <w:rPr>
          <w:rFonts w:eastAsiaTheme="majorEastAsia"/>
          <w:i/>
          <w:iCs/>
          <w:szCs w:val="24"/>
        </w:rPr>
        <w:t>ata</w:t>
      </w:r>
    </w:p>
    <w:p w:rsidR="007C7902" w:rsidRPr="007C7902" w:rsidP="005D284F" w14:paraId="1F0B5A6E" w14:textId="77777777">
      <w:pPr>
        <w:ind w:right="720"/>
        <w:rPr>
          <w:rFonts w:eastAsiaTheme="majorEastAsia"/>
          <w:szCs w:val="24"/>
        </w:rPr>
      </w:pPr>
    </w:p>
    <w:p w:rsidR="0027727C" w:rsidP="005D284F" w14:paraId="2FBA4CDF" w14:textId="614A2328">
      <w:pPr>
        <w:ind w:right="720" w:firstLine="720"/>
        <w:rPr>
          <w:rFonts w:eastAsiaTheme="majorEastAsia"/>
        </w:rPr>
      </w:pPr>
      <w:r>
        <w:rPr>
          <w:rFonts w:eastAsiaTheme="majorEastAsia"/>
        </w:rPr>
        <w:t xml:space="preserve">Section 3.203(h)(2)(ii) </w:t>
      </w:r>
      <w:r w:rsidRPr="005C00D0" w:rsidR="005C00D0">
        <w:rPr>
          <w:rFonts w:eastAsiaTheme="majorEastAsia"/>
        </w:rPr>
        <w:t>requires a national bank or Federal savings association</w:t>
      </w:r>
      <w:r w:rsidR="00300B8B">
        <w:rPr>
          <w:rFonts w:eastAsiaTheme="majorEastAsia"/>
        </w:rPr>
        <w:t>,</w:t>
      </w:r>
      <w:r w:rsidRPr="005C00D0" w:rsidR="005C00D0">
        <w:rPr>
          <w:rFonts w:eastAsiaTheme="majorEastAsia"/>
        </w:rPr>
        <w:t xml:space="preserve"> </w:t>
      </w:r>
      <w:r w:rsidR="00A96B61">
        <w:rPr>
          <w:rFonts w:eastAsiaTheme="majorEastAsia"/>
        </w:rPr>
        <w:t>o</w:t>
      </w:r>
      <w:r w:rsidRPr="00A96B61" w:rsidR="00A96B61">
        <w:rPr>
          <w:rFonts w:eastAsiaTheme="majorEastAsia"/>
        </w:rPr>
        <w:t>n an ongoing basis (not less frequently than quarterly),</w:t>
      </w:r>
      <w:r w:rsidR="00A96B61">
        <w:rPr>
          <w:rFonts w:eastAsiaTheme="majorEastAsia"/>
        </w:rPr>
        <w:t xml:space="preserve"> to evaluate and update the analysis required </w:t>
      </w:r>
      <w:r w:rsidR="00BE27BA">
        <w:rPr>
          <w:rFonts w:eastAsiaTheme="majorEastAsia"/>
        </w:rPr>
        <w:t xml:space="preserve">under § 3.203(h)(2)(i) </w:t>
      </w:r>
      <w:r w:rsidR="00300B8B">
        <w:rPr>
          <w:rFonts w:eastAsiaTheme="majorEastAsia"/>
        </w:rPr>
        <w:t xml:space="preserve">for </w:t>
      </w:r>
      <w:r w:rsidR="008C759E">
        <w:rPr>
          <w:rFonts w:eastAsiaTheme="majorEastAsia"/>
        </w:rPr>
        <w:t xml:space="preserve">each </w:t>
      </w:r>
      <w:r w:rsidR="00300B8B">
        <w:rPr>
          <w:rFonts w:eastAsiaTheme="majorEastAsia"/>
        </w:rPr>
        <w:t>securitization position.</w:t>
      </w:r>
    </w:p>
    <w:p w:rsidR="00300B8B" w:rsidRPr="002961EA" w:rsidP="005D284F" w14:paraId="5CB70D35" w14:textId="77777777">
      <w:pPr>
        <w:ind w:right="720"/>
        <w:rPr>
          <w:rFonts w:eastAsiaTheme="majorEastAsia"/>
        </w:rPr>
      </w:pPr>
    </w:p>
    <w:p w:rsidR="00E56757" w:rsidRPr="00074EAF" w:rsidP="005D284F" w14:paraId="37227EC9" w14:textId="2A094141">
      <w:pPr>
        <w:ind w:firstLine="720"/>
        <w:rPr>
          <w:rFonts w:eastAsia="Calibri"/>
          <w:i/>
          <w:iCs/>
          <w:szCs w:val="24"/>
        </w:rPr>
      </w:pPr>
      <w:r w:rsidRPr="00074EAF">
        <w:rPr>
          <w:rFonts w:eastAsia="Calibri"/>
          <w:i/>
          <w:iCs/>
          <w:szCs w:val="24"/>
        </w:rPr>
        <w:t>Profit and loss attribution (PLA)</w:t>
      </w:r>
      <w:r w:rsidRPr="00074EAF">
        <w:rPr>
          <w:rFonts w:eastAsia="Calibri"/>
          <w:i/>
          <w:iCs/>
          <w:szCs w:val="24"/>
        </w:rPr>
        <w:t xml:space="preserve"> testing and </w:t>
      </w:r>
      <w:r w:rsidRPr="00074EAF">
        <w:rPr>
          <w:rFonts w:eastAsia="Calibri"/>
          <w:i/>
          <w:iCs/>
          <w:szCs w:val="24"/>
        </w:rPr>
        <w:t>b</w:t>
      </w:r>
      <w:r w:rsidRPr="00074EAF">
        <w:rPr>
          <w:rFonts w:eastAsia="Calibri"/>
          <w:i/>
          <w:iCs/>
          <w:szCs w:val="24"/>
        </w:rPr>
        <w:t>acktesting</w:t>
      </w:r>
      <w:r w:rsidR="00293440">
        <w:rPr>
          <w:rFonts w:eastAsia="Calibri"/>
          <w:i/>
          <w:iCs/>
          <w:szCs w:val="24"/>
        </w:rPr>
        <w:t xml:space="preserve"> (quarterly)</w:t>
      </w:r>
    </w:p>
    <w:p w:rsidR="006069E8" w:rsidRPr="00E56757" w:rsidP="005D284F" w14:paraId="1ED6F5D3" w14:textId="77777777">
      <w:pPr>
        <w:ind w:firstLine="720"/>
        <w:rPr>
          <w:rFonts w:eastAsiaTheme="majorEastAsia"/>
          <w:u w:val="single"/>
        </w:rPr>
      </w:pPr>
    </w:p>
    <w:p w:rsidR="00E56757" w:rsidP="005D284F" w14:paraId="4F616F74" w14:textId="37CDC988">
      <w:pPr>
        <w:ind w:right="720" w:firstLine="720"/>
        <w:rPr>
          <w:rFonts w:eastAsiaTheme="majorEastAsia"/>
          <w:szCs w:val="24"/>
        </w:rPr>
      </w:pPr>
      <w:r>
        <w:rPr>
          <w:rFonts w:eastAsia="Calibri"/>
          <w:szCs w:val="24"/>
        </w:rPr>
        <w:t>Section 3.213 require</w:t>
      </w:r>
      <w:r w:rsidR="00031897">
        <w:rPr>
          <w:rFonts w:eastAsia="Calibri"/>
          <w:szCs w:val="24"/>
        </w:rPr>
        <w:t>s</w:t>
      </w:r>
      <w:r>
        <w:rPr>
          <w:rFonts w:eastAsia="Calibri"/>
          <w:szCs w:val="24"/>
        </w:rPr>
        <w:t xml:space="preserve"> that a national bank or Federal savings association </w:t>
      </w:r>
      <w:r w:rsidRPr="00E56757">
        <w:rPr>
          <w:rFonts w:eastAsia="Calibri"/>
          <w:szCs w:val="24"/>
        </w:rPr>
        <w:t xml:space="preserve">conduct </w:t>
      </w:r>
      <w:r w:rsidRPr="00E56757">
        <w:rPr>
          <w:rFonts w:eastAsia="Calibri"/>
          <w:szCs w:val="24"/>
        </w:rPr>
        <w:t>backtesting</w:t>
      </w:r>
      <w:r w:rsidRPr="00E56757">
        <w:rPr>
          <w:rFonts w:eastAsia="Calibri"/>
          <w:szCs w:val="24"/>
        </w:rPr>
        <w:t xml:space="preserve"> </w:t>
      </w:r>
      <w:r>
        <w:rPr>
          <w:rFonts w:eastAsia="Calibri"/>
          <w:szCs w:val="24"/>
        </w:rPr>
        <w:t xml:space="preserve">and </w:t>
      </w:r>
      <w:r w:rsidRPr="00E56757">
        <w:rPr>
          <w:rFonts w:eastAsia="Calibri"/>
          <w:szCs w:val="24"/>
        </w:rPr>
        <w:t>PLA testing at the trading desk level on a quarterly basis.</w:t>
      </w:r>
      <w:r>
        <w:rPr>
          <w:rFonts w:eastAsia="Calibri"/>
          <w:szCs w:val="24"/>
        </w:rPr>
        <w:t xml:space="preserve"> The national bank or Federal savings association must be able to demonstrate</w:t>
      </w:r>
      <w:r w:rsidR="007A63F1">
        <w:rPr>
          <w:rFonts w:eastAsia="Calibri"/>
          <w:szCs w:val="24"/>
        </w:rPr>
        <w:t xml:space="preserve"> various practices used in connection with these tests, e.g.,</w:t>
      </w:r>
      <w:r>
        <w:rPr>
          <w:rFonts w:eastAsia="Calibri"/>
          <w:szCs w:val="24"/>
        </w:rPr>
        <w:t xml:space="preserve"> that any exceptions are </w:t>
      </w:r>
      <w:r w:rsidRPr="002B7D22">
        <w:rPr>
          <w:rFonts w:eastAsiaTheme="majorEastAsia"/>
          <w:szCs w:val="24"/>
        </w:rPr>
        <w:t>due to technical issues that are unrelated to internal models</w:t>
      </w:r>
      <w:r>
        <w:rPr>
          <w:rFonts w:eastAsiaTheme="majorEastAsia"/>
          <w:szCs w:val="24"/>
        </w:rPr>
        <w:t xml:space="preserve"> used</w:t>
      </w:r>
      <w:r w:rsidR="007A63F1">
        <w:rPr>
          <w:rFonts w:eastAsiaTheme="majorEastAsia"/>
          <w:szCs w:val="24"/>
        </w:rPr>
        <w:t xml:space="preserve">; </w:t>
      </w:r>
      <w:r w:rsidRPr="002B7D22" w:rsidR="007A63F1">
        <w:rPr>
          <w:rFonts w:eastAsiaTheme="majorEastAsia"/>
          <w:szCs w:val="24"/>
        </w:rPr>
        <w:t xml:space="preserve">that one or more non-modellable risk factors caused </w:t>
      </w:r>
      <w:r w:rsidR="007A63F1">
        <w:rPr>
          <w:rFonts w:eastAsiaTheme="majorEastAsia"/>
          <w:szCs w:val="24"/>
        </w:rPr>
        <w:t>any</w:t>
      </w:r>
      <w:r w:rsidRPr="002B7D22" w:rsidR="007A63F1">
        <w:rPr>
          <w:rFonts w:eastAsiaTheme="majorEastAsia"/>
          <w:szCs w:val="24"/>
        </w:rPr>
        <w:t xml:space="preserve"> relevant loss, and the capital requirement for these non-modellable risk factors exceeds the difference between the </w:t>
      </w:r>
      <w:r w:rsidR="007A63F1">
        <w:rPr>
          <w:rFonts w:eastAsia="Calibri"/>
          <w:szCs w:val="24"/>
        </w:rPr>
        <w:t>national bank or Federal savings association</w:t>
      </w:r>
      <w:r w:rsidRPr="002B7D22" w:rsidR="007A63F1">
        <w:rPr>
          <w:rFonts w:eastAsiaTheme="majorEastAsia"/>
          <w:szCs w:val="24"/>
        </w:rPr>
        <w:t xml:space="preserve">’s </w:t>
      </w:r>
      <w:r w:rsidRPr="007A63F1" w:rsidR="007A63F1">
        <w:rPr>
          <w:rFonts w:eastAsiaTheme="majorEastAsia"/>
          <w:szCs w:val="24"/>
        </w:rPr>
        <w:t xml:space="preserve">Value-at-Risk </w:t>
      </w:r>
      <w:r w:rsidR="007A63F1">
        <w:rPr>
          <w:rFonts w:eastAsiaTheme="majorEastAsia"/>
          <w:szCs w:val="24"/>
        </w:rPr>
        <w:t>(</w:t>
      </w:r>
      <w:r w:rsidRPr="002B7D22" w:rsidR="007A63F1">
        <w:rPr>
          <w:rFonts w:eastAsiaTheme="majorEastAsia"/>
          <w:szCs w:val="24"/>
        </w:rPr>
        <w:t>VaR</w:t>
      </w:r>
      <w:r w:rsidR="007A63F1">
        <w:rPr>
          <w:rFonts w:eastAsiaTheme="majorEastAsia"/>
          <w:szCs w:val="24"/>
        </w:rPr>
        <w:t>)</w:t>
      </w:r>
      <w:r w:rsidRPr="002B7D22" w:rsidR="007A63F1">
        <w:rPr>
          <w:rFonts w:eastAsiaTheme="majorEastAsia"/>
          <w:szCs w:val="24"/>
        </w:rPr>
        <w:t>-based measure and the actual or hypothetical loss for that business day</w:t>
      </w:r>
      <w:r w:rsidR="007A63F1">
        <w:rPr>
          <w:rFonts w:eastAsiaTheme="majorEastAsia"/>
          <w:szCs w:val="24"/>
        </w:rPr>
        <w:t xml:space="preserve">; </w:t>
      </w:r>
      <w:r w:rsidRPr="002B7D22" w:rsidR="007A63F1">
        <w:rPr>
          <w:rFonts w:eastAsiaTheme="majorEastAsia"/>
          <w:szCs w:val="24"/>
        </w:rPr>
        <w:t>that hypothetical profit and loss input data can be used appropriately for risk-theoretical profit and loss purposes</w:t>
      </w:r>
      <w:r w:rsidR="007A63F1">
        <w:rPr>
          <w:rFonts w:eastAsiaTheme="majorEastAsia"/>
          <w:szCs w:val="24"/>
        </w:rPr>
        <w:t xml:space="preserve">; that </w:t>
      </w:r>
      <w:r w:rsidRPr="007A63F1" w:rsidR="007A63F1">
        <w:rPr>
          <w:rFonts w:eastAsiaTheme="majorEastAsia"/>
          <w:szCs w:val="24"/>
        </w:rPr>
        <w:t>no differences in the risk factors or in the valuation models have been omitted</w:t>
      </w:r>
      <w:r w:rsidR="007A63F1">
        <w:rPr>
          <w:rFonts w:eastAsiaTheme="majorEastAsia"/>
          <w:szCs w:val="24"/>
        </w:rPr>
        <w:t>; etc.</w:t>
      </w:r>
    </w:p>
    <w:p w:rsidR="001E3E60" w:rsidP="005D284F" w14:paraId="22033859" w14:textId="7095646D">
      <w:pPr>
        <w:rPr>
          <w:rFonts w:eastAsia="Calibri"/>
          <w:szCs w:val="24"/>
        </w:rPr>
      </w:pPr>
    </w:p>
    <w:p w:rsidR="001E3E60" w:rsidRPr="00074EAF" w:rsidP="005D284F" w14:paraId="2E3AAF59" w14:textId="3755674C">
      <w:pPr>
        <w:ind w:firstLine="720"/>
        <w:rPr>
          <w:rFonts w:eastAsia="Calibri"/>
          <w:i/>
          <w:iCs/>
          <w:szCs w:val="24"/>
        </w:rPr>
      </w:pPr>
      <w:r w:rsidRPr="00074EAF">
        <w:rPr>
          <w:rFonts w:eastAsia="Calibri"/>
          <w:i/>
          <w:iCs/>
          <w:szCs w:val="24"/>
        </w:rPr>
        <w:t xml:space="preserve">Weekly risk factor updates </w:t>
      </w:r>
    </w:p>
    <w:p w:rsidR="001E3E60" w:rsidP="005D284F" w14:paraId="6268A3F3" w14:textId="63669D35">
      <w:pPr>
        <w:ind w:firstLine="720"/>
        <w:rPr>
          <w:rFonts w:eastAsia="Calibri"/>
          <w:szCs w:val="24"/>
        </w:rPr>
      </w:pPr>
    </w:p>
    <w:p w:rsidR="001E3E60" w:rsidP="005D284F" w14:paraId="72A9E4B9" w14:textId="7D0363DB">
      <w:pPr>
        <w:ind w:right="720" w:firstLine="720"/>
        <w:rPr>
          <w:rFonts w:eastAsiaTheme="majorEastAsia"/>
          <w:szCs w:val="24"/>
        </w:rPr>
      </w:pPr>
      <w:r w:rsidRPr="00AD00B0">
        <w:rPr>
          <w:rFonts w:eastAsia="Calibri"/>
          <w:szCs w:val="24"/>
        </w:rPr>
        <w:t>Section 3.214(b)(7)(v)</w:t>
      </w:r>
      <w:r>
        <w:rPr>
          <w:rFonts w:eastAsia="Calibri"/>
          <w:szCs w:val="24"/>
        </w:rPr>
        <w:t xml:space="preserve"> requires that </w:t>
      </w:r>
      <w:r w:rsidR="00534B72">
        <w:rPr>
          <w:rFonts w:eastAsia="Calibri"/>
          <w:szCs w:val="24"/>
        </w:rPr>
        <w:t xml:space="preserve">data </w:t>
      </w:r>
      <w:r w:rsidRPr="00534B72" w:rsidR="00534B72">
        <w:rPr>
          <w:rFonts w:eastAsia="Calibri"/>
          <w:szCs w:val="24"/>
        </w:rPr>
        <w:t xml:space="preserve">used to calibrate the ES-based measure </w:t>
      </w:r>
      <w:r>
        <w:rPr>
          <w:rFonts w:eastAsia="Calibri"/>
          <w:szCs w:val="24"/>
        </w:rPr>
        <w:t xml:space="preserve">be updated by the national bank or Federal savings association </w:t>
      </w:r>
      <w:r w:rsidR="00534B72">
        <w:rPr>
          <w:rFonts w:eastAsia="Calibri"/>
          <w:szCs w:val="24"/>
        </w:rPr>
        <w:t xml:space="preserve">on a </w:t>
      </w:r>
      <w:r>
        <w:rPr>
          <w:rFonts w:eastAsia="Calibri"/>
          <w:szCs w:val="24"/>
        </w:rPr>
        <w:t>weekly basis</w:t>
      </w:r>
      <w:r w:rsidR="00534B72">
        <w:rPr>
          <w:rFonts w:eastAsia="Calibri"/>
          <w:szCs w:val="24"/>
        </w:rPr>
        <w:t>, at minimum</w:t>
      </w:r>
      <w:r>
        <w:rPr>
          <w:rFonts w:eastAsia="Calibri"/>
          <w:szCs w:val="24"/>
        </w:rPr>
        <w:t xml:space="preserve">. </w:t>
      </w:r>
      <w:r w:rsidR="004C0A13">
        <w:rPr>
          <w:rFonts w:eastAsia="Calibri"/>
          <w:szCs w:val="24"/>
        </w:rPr>
        <w:t xml:space="preserve">When regressions are used </w:t>
      </w:r>
      <w:r w:rsidRPr="002B7D22" w:rsidR="004C0A13">
        <w:rPr>
          <w:rFonts w:eastAsiaTheme="majorEastAsia"/>
          <w:szCs w:val="24"/>
        </w:rPr>
        <w:t>to estimate risk factor parameters, these must be re-estimated on a regular basis</w:t>
      </w:r>
      <w:r w:rsidR="004C0A13">
        <w:rPr>
          <w:rFonts w:eastAsiaTheme="majorEastAsia"/>
          <w:szCs w:val="24"/>
        </w:rPr>
        <w:t xml:space="preserve">. The national bank or Federal savings association </w:t>
      </w:r>
      <w:r w:rsidRPr="002B7D22" w:rsidR="004C0A13">
        <w:rPr>
          <w:rFonts w:eastAsiaTheme="majorEastAsia"/>
          <w:szCs w:val="24"/>
        </w:rPr>
        <w:t>must have clear policies and procedures for backfilling and gap-filling missing data.</w:t>
      </w:r>
    </w:p>
    <w:p w:rsidR="004C0A13" w:rsidP="005D284F" w14:paraId="061AC28C" w14:textId="6C867E94">
      <w:pPr>
        <w:ind w:firstLine="720"/>
        <w:rPr>
          <w:rFonts w:eastAsia="Calibri"/>
          <w:szCs w:val="24"/>
        </w:rPr>
      </w:pPr>
    </w:p>
    <w:p w:rsidR="004C0A13" w:rsidRPr="00074EAF" w:rsidP="005D284F" w14:paraId="7EB2D744" w14:textId="7F5E937E">
      <w:pPr>
        <w:ind w:firstLine="720"/>
        <w:rPr>
          <w:rFonts w:eastAsia="Calibri"/>
          <w:i/>
          <w:iCs/>
          <w:szCs w:val="24"/>
        </w:rPr>
      </w:pPr>
      <w:r w:rsidRPr="00074EAF">
        <w:rPr>
          <w:rFonts w:eastAsia="Calibri"/>
          <w:i/>
          <w:iCs/>
          <w:szCs w:val="24"/>
        </w:rPr>
        <w:t xml:space="preserve">Reporting and disclosure policy </w:t>
      </w:r>
    </w:p>
    <w:p w:rsidR="004C0A13" w:rsidP="005D284F" w14:paraId="6A4D5304" w14:textId="33769F3D">
      <w:pPr>
        <w:ind w:firstLine="720"/>
        <w:rPr>
          <w:rFonts w:eastAsia="Calibri"/>
          <w:szCs w:val="24"/>
        </w:rPr>
      </w:pPr>
    </w:p>
    <w:p w:rsidR="004C0A13" w:rsidP="005D284F" w14:paraId="68C7B861" w14:textId="69D608B5">
      <w:pPr>
        <w:ind w:right="720" w:firstLine="720"/>
        <w:rPr>
          <w:rFonts w:eastAsiaTheme="majorEastAsia"/>
          <w:color w:val="000000" w:themeColor="text1"/>
          <w:szCs w:val="24"/>
        </w:rPr>
      </w:pPr>
      <w:r w:rsidRPr="004C0A13">
        <w:rPr>
          <w:rFonts w:eastAsia="Calibri"/>
          <w:szCs w:val="24"/>
        </w:rPr>
        <w:t>Section 3.217(c)</w:t>
      </w:r>
      <w:r>
        <w:rPr>
          <w:rFonts w:eastAsia="Calibri"/>
          <w:szCs w:val="24"/>
        </w:rPr>
        <w:t xml:space="preserve"> </w:t>
      </w:r>
      <w:r w:rsidR="00A00C69">
        <w:rPr>
          <w:rFonts w:eastAsia="Calibri"/>
          <w:szCs w:val="24"/>
        </w:rPr>
        <w:t xml:space="preserve">requires that a </w:t>
      </w:r>
      <w:r w:rsidR="00A00C69">
        <w:rPr>
          <w:rFonts w:eastAsiaTheme="majorEastAsia"/>
          <w:szCs w:val="24"/>
        </w:rPr>
        <w:t xml:space="preserve">national bank or Federal savings association have </w:t>
      </w:r>
      <w:r w:rsidRPr="002B7D22" w:rsidR="00A00C69">
        <w:rPr>
          <w:rFonts w:eastAsiaTheme="majorEastAsia"/>
          <w:color w:val="000000" w:themeColor="text1"/>
          <w:szCs w:val="24"/>
        </w:rPr>
        <w:t xml:space="preserve">a formal reporting and disclosure policy approved by the board of directors that addresses </w:t>
      </w:r>
      <w:r w:rsidR="00A00C69">
        <w:rPr>
          <w:rFonts w:eastAsiaTheme="majorEastAsia"/>
          <w:color w:val="000000" w:themeColor="text1"/>
          <w:szCs w:val="24"/>
        </w:rPr>
        <w:t>its</w:t>
      </w:r>
      <w:r w:rsidRPr="002B7D22" w:rsidR="00A00C69">
        <w:rPr>
          <w:rFonts w:eastAsiaTheme="majorEastAsia"/>
          <w:color w:val="000000" w:themeColor="text1"/>
          <w:szCs w:val="24"/>
        </w:rPr>
        <w:t xml:space="preserve"> approach for determining its market risk reports and disclosures</w:t>
      </w:r>
      <w:r w:rsidR="00A00C69">
        <w:rPr>
          <w:rFonts w:eastAsiaTheme="majorEastAsia"/>
          <w:color w:val="000000" w:themeColor="text1"/>
          <w:szCs w:val="24"/>
        </w:rPr>
        <w:t xml:space="preserve"> and </w:t>
      </w:r>
      <w:r w:rsidRPr="002B7D22" w:rsidR="00A00C69">
        <w:rPr>
          <w:rFonts w:eastAsiaTheme="majorEastAsia"/>
          <w:color w:val="000000" w:themeColor="text1"/>
          <w:szCs w:val="24"/>
        </w:rPr>
        <w:t>the associated internal controls and reporting and disclosure controls and procedures.</w:t>
      </w:r>
    </w:p>
    <w:p w:rsidR="00A00C69" w:rsidP="005D284F" w14:paraId="5318ED95" w14:textId="7E5F4132">
      <w:pPr>
        <w:ind w:firstLine="720"/>
        <w:rPr>
          <w:rFonts w:eastAsiaTheme="majorEastAsia"/>
          <w:color w:val="000000" w:themeColor="text1"/>
          <w:szCs w:val="24"/>
        </w:rPr>
      </w:pPr>
    </w:p>
    <w:p w:rsidR="00A00C69" w:rsidRPr="00074EAF" w:rsidP="005D284F" w14:paraId="275513BA" w14:textId="47FAB142">
      <w:pPr>
        <w:ind w:firstLine="720"/>
        <w:rPr>
          <w:rFonts w:eastAsia="Calibri"/>
          <w:i/>
          <w:iCs/>
          <w:szCs w:val="24"/>
        </w:rPr>
      </w:pPr>
      <w:r w:rsidRPr="00074EAF">
        <w:rPr>
          <w:rFonts w:eastAsia="Calibri"/>
          <w:i/>
          <w:iCs/>
          <w:szCs w:val="24"/>
        </w:rPr>
        <w:t xml:space="preserve">Credit Valuation Adjustment (CVA) hedging policy </w:t>
      </w:r>
    </w:p>
    <w:p w:rsidR="00A00C69" w:rsidP="005D284F" w14:paraId="643C0DA8" w14:textId="6EE4E2A2">
      <w:pPr>
        <w:ind w:firstLine="720"/>
        <w:rPr>
          <w:rFonts w:eastAsia="Calibri"/>
          <w:szCs w:val="24"/>
        </w:rPr>
      </w:pPr>
    </w:p>
    <w:p w:rsidR="00A00C69" w:rsidRPr="00A00C69" w:rsidP="005D284F" w14:paraId="5DD763AD" w14:textId="5CBF4066">
      <w:pPr>
        <w:ind w:right="720" w:firstLine="720"/>
        <w:rPr>
          <w:rFonts w:eastAsia="Calibri"/>
          <w:szCs w:val="24"/>
        </w:rPr>
      </w:pPr>
      <w:r>
        <w:rPr>
          <w:rFonts w:eastAsia="Calibri"/>
          <w:szCs w:val="24"/>
        </w:rPr>
        <w:t xml:space="preserve">Section </w:t>
      </w:r>
      <w:r w:rsidRPr="00A00C69">
        <w:rPr>
          <w:rFonts w:eastAsia="Calibri"/>
          <w:szCs w:val="24"/>
        </w:rPr>
        <w:t>3.220(b)</w:t>
      </w:r>
      <w:r>
        <w:rPr>
          <w:rFonts w:eastAsia="Calibri"/>
          <w:szCs w:val="24"/>
        </w:rPr>
        <w:t xml:space="preserve"> requires that a national bank or Federal savings association </w:t>
      </w:r>
      <w:r w:rsidRPr="002B7D22">
        <w:rPr>
          <w:rFonts w:eastAsiaTheme="majorEastAsia"/>
          <w:color w:val="000000" w:themeColor="text1"/>
        </w:rPr>
        <w:t>that hedges its CVA risk</w:t>
      </w:r>
      <w:r>
        <w:rPr>
          <w:rFonts w:eastAsiaTheme="majorEastAsia"/>
          <w:color w:val="000000" w:themeColor="text1"/>
        </w:rPr>
        <w:t xml:space="preserve"> have a clearly defined </w:t>
      </w:r>
      <w:r w:rsidRPr="002B7D22">
        <w:rPr>
          <w:rFonts w:eastAsiaTheme="majorEastAsia"/>
          <w:color w:val="000000" w:themeColor="text1"/>
        </w:rPr>
        <w:t>hedging policy</w:t>
      </w:r>
      <w:r>
        <w:rPr>
          <w:rFonts w:eastAsiaTheme="majorEastAsia"/>
          <w:color w:val="000000" w:themeColor="text1"/>
        </w:rPr>
        <w:t xml:space="preserve"> that quantifies </w:t>
      </w:r>
      <w:r w:rsidRPr="002B7D22">
        <w:rPr>
          <w:rFonts w:eastAsiaTheme="majorEastAsia"/>
          <w:color w:val="000000" w:themeColor="text1"/>
        </w:rPr>
        <w:t xml:space="preserve">the level of CVA risk that </w:t>
      </w:r>
      <w:r>
        <w:rPr>
          <w:rFonts w:eastAsiaTheme="majorEastAsia"/>
          <w:color w:val="000000" w:themeColor="text1"/>
        </w:rPr>
        <w:t>it</w:t>
      </w:r>
      <w:r w:rsidRPr="002B7D22">
        <w:rPr>
          <w:rFonts w:eastAsiaTheme="majorEastAsia"/>
          <w:color w:val="000000" w:themeColor="text1"/>
        </w:rPr>
        <w:t xml:space="preserve"> is willing to accept and </w:t>
      </w:r>
      <w:r>
        <w:rPr>
          <w:rFonts w:eastAsiaTheme="majorEastAsia"/>
          <w:color w:val="000000" w:themeColor="text1"/>
        </w:rPr>
        <w:t>details</w:t>
      </w:r>
      <w:r w:rsidRPr="002B7D22">
        <w:rPr>
          <w:rFonts w:eastAsiaTheme="majorEastAsia"/>
          <w:color w:val="000000" w:themeColor="text1"/>
        </w:rPr>
        <w:t xml:space="preserve"> the instruments, techniques, and strategies that </w:t>
      </w:r>
      <w:r>
        <w:rPr>
          <w:rFonts w:eastAsiaTheme="majorEastAsia"/>
          <w:color w:val="000000" w:themeColor="text1"/>
        </w:rPr>
        <w:t xml:space="preserve">it </w:t>
      </w:r>
      <w:r w:rsidRPr="002B7D22">
        <w:rPr>
          <w:rFonts w:eastAsiaTheme="majorEastAsia"/>
          <w:color w:val="000000" w:themeColor="text1"/>
        </w:rPr>
        <w:t>will use to hedge CVA risk.</w:t>
      </w:r>
      <w:r>
        <w:rPr>
          <w:rFonts w:eastAsiaTheme="majorEastAsia"/>
          <w:color w:val="000000" w:themeColor="text1"/>
        </w:rPr>
        <w:t xml:space="preserve"> The hedging policy must be </w:t>
      </w:r>
      <w:r w:rsidRPr="002B7D22">
        <w:rPr>
          <w:rFonts w:eastAsiaTheme="majorEastAsia"/>
          <w:color w:val="000000" w:themeColor="text1"/>
        </w:rPr>
        <w:t>reviewed and approved by senior management at least annually.</w:t>
      </w:r>
    </w:p>
    <w:p w:rsidR="004C0A13" w:rsidP="005D284F" w14:paraId="14A0473F" w14:textId="63D9FB20">
      <w:pPr>
        <w:ind w:firstLine="720"/>
        <w:rPr>
          <w:rFonts w:eastAsia="Calibri"/>
          <w:szCs w:val="24"/>
        </w:rPr>
      </w:pPr>
    </w:p>
    <w:p w:rsidR="004C0A13" w:rsidRPr="00074EAF" w:rsidP="005D284F" w14:paraId="3C83E027" w14:textId="4956E59E">
      <w:pPr>
        <w:ind w:firstLine="720"/>
        <w:rPr>
          <w:rFonts w:eastAsia="Calibri"/>
          <w:i/>
          <w:iCs/>
          <w:szCs w:val="24"/>
        </w:rPr>
      </w:pPr>
      <w:r>
        <w:rPr>
          <w:rFonts w:eastAsia="Calibri"/>
          <w:i/>
          <w:iCs/>
          <w:szCs w:val="24"/>
        </w:rPr>
        <w:t>Credit Valuation Adjustment (</w:t>
      </w:r>
      <w:r w:rsidRPr="00074EAF" w:rsidR="006160A2">
        <w:rPr>
          <w:rFonts w:eastAsia="Calibri"/>
          <w:i/>
          <w:iCs/>
          <w:szCs w:val="24"/>
        </w:rPr>
        <w:t>CVA</w:t>
      </w:r>
      <w:r>
        <w:rPr>
          <w:rFonts w:eastAsia="Calibri"/>
          <w:i/>
          <w:iCs/>
          <w:szCs w:val="24"/>
        </w:rPr>
        <w:t>)</w:t>
      </w:r>
      <w:r w:rsidRPr="00074EAF" w:rsidR="006160A2">
        <w:rPr>
          <w:rFonts w:eastAsia="Calibri"/>
          <w:i/>
          <w:iCs/>
          <w:szCs w:val="24"/>
        </w:rPr>
        <w:t xml:space="preserve"> model validation process </w:t>
      </w:r>
    </w:p>
    <w:p w:rsidR="006160A2" w:rsidP="005D284F" w14:paraId="214F8008" w14:textId="01EF80C3">
      <w:pPr>
        <w:ind w:firstLine="720"/>
        <w:rPr>
          <w:rFonts w:eastAsia="Calibri"/>
          <w:szCs w:val="24"/>
        </w:rPr>
      </w:pPr>
    </w:p>
    <w:p w:rsidR="00800B63" w:rsidRPr="00800B63" w:rsidP="005D284F" w14:paraId="014C1B30" w14:textId="45471D9A">
      <w:pPr>
        <w:ind w:right="720" w:firstLine="720"/>
        <w:rPr>
          <w:rFonts w:eastAsiaTheme="majorEastAsia"/>
        </w:rPr>
      </w:pPr>
      <w:r w:rsidRPr="00AD00B0">
        <w:rPr>
          <w:rFonts w:eastAsia="Calibri"/>
          <w:szCs w:val="24"/>
        </w:rPr>
        <w:t>Section</w:t>
      </w:r>
      <w:r w:rsidR="00D40090">
        <w:rPr>
          <w:rFonts w:eastAsia="Calibri"/>
          <w:szCs w:val="24"/>
        </w:rPr>
        <w:t>s</w:t>
      </w:r>
      <w:r w:rsidRPr="00AD00B0">
        <w:rPr>
          <w:rFonts w:eastAsia="Calibri"/>
          <w:szCs w:val="24"/>
        </w:rPr>
        <w:t xml:space="preserve"> 3.223(b)(4)</w:t>
      </w:r>
      <w:r w:rsidR="00D40090">
        <w:rPr>
          <w:rFonts w:eastAsia="Calibri"/>
          <w:szCs w:val="24"/>
        </w:rPr>
        <w:t xml:space="preserve">, (7), and </w:t>
      </w:r>
      <w:r w:rsidR="00E413F2">
        <w:rPr>
          <w:rFonts w:eastAsia="Calibri"/>
          <w:szCs w:val="24"/>
        </w:rPr>
        <w:t>(9)</w:t>
      </w:r>
      <w:r>
        <w:rPr>
          <w:rFonts w:eastAsia="Calibri"/>
          <w:szCs w:val="24"/>
        </w:rPr>
        <w:t xml:space="preserve"> requires that a national bank or Federal savings </w:t>
      </w:r>
      <w:r w:rsidR="00F6511A">
        <w:rPr>
          <w:rFonts w:eastAsia="Calibri"/>
          <w:szCs w:val="24"/>
        </w:rPr>
        <w:t>association</w:t>
      </w:r>
      <w:r w:rsidRPr="002B7D22" w:rsidR="00F6511A">
        <w:rPr>
          <w:rFonts w:eastAsiaTheme="majorEastAsia"/>
        </w:rPr>
        <w:t xml:space="preserve"> </w:t>
      </w:r>
      <w:r w:rsidR="00F6511A">
        <w:rPr>
          <w:rFonts w:eastAsiaTheme="majorEastAsia"/>
        </w:rPr>
        <w:t>have</w:t>
      </w:r>
      <w:r w:rsidR="00E413F2">
        <w:rPr>
          <w:rFonts w:eastAsiaTheme="majorEastAsia"/>
        </w:rPr>
        <w:t xml:space="preserve"> a model </w:t>
      </w:r>
      <w:r w:rsidR="00F6511A">
        <w:rPr>
          <w:rFonts w:eastAsiaTheme="majorEastAsia"/>
        </w:rPr>
        <w:t xml:space="preserve">validation policy.  </w:t>
      </w:r>
      <w:r w:rsidR="00E42857">
        <w:rPr>
          <w:rFonts w:eastAsiaTheme="majorEastAsia"/>
        </w:rPr>
        <w:t xml:space="preserve">Section 3.223(b)(4) provides that the banks must </w:t>
      </w:r>
      <w:r w:rsidRPr="002B7D22">
        <w:rPr>
          <w:rFonts w:eastAsiaTheme="majorEastAsia"/>
        </w:rPr>
        <w:t xml:space="preserve">document the process for initial and ongoing validation of its models used for calculating regulatory CVA under § </w:t>
      </w:r>
      <w:r w:rsidR="00E42857">
        <w:rPr>
          <w:rFonts w:eastAsiaTheme="majorEastAsia"/>
        </w:rPr>
        <w:t>3.</w:t>
      </w:r>
      <w:r w:rsidRPr="002B7D22">
        <w:rPr>
          <w:rFonts w:eastAsiaTheme="majorEastAsia"/>
        </w:rPr>
        <w:t>224(d), including exposure models</w:t>
      </w:r>
      <w:r>
        <w:rPr>
          <w:rFonts w:eastAsiaTheme="majorEastAsia"/>
        </w:rPr>
        <w:t xml:space="preserve">. </w:t>
      </w:r>
      <w:r w:rsidR="00E42857">
        <w:rPr>
          <w:rFonts w:eastAsiaTheme="majorEastAsia"/>
        </w:rPr>
        <w:t>The</w:t>
      </w:r>
      <w:r w:rsidR="00DA7F89">
        <w:rPr>
          <w:rFonts w:eastAsiaTheme="majorEastAsia"/>
        </w:rPr>
        <w:t xml:space="preserve"> </w:t>
      </w:r>
      <w:r w:rsidRPr="00DA7F89" w:rsidR="00DA7F89">
        <w:rPr>
          <w:rFonts w:eastAsiaTheme="majorEastAsia"/>
        </w:rPr>
        <w:t xml:space="preserve">documentation must set out the minimum frequency (no less than annual) with which ongoing validation will be conducted as well as other circumstances (such as a sudden change in market behavior) under which additional validation must be conducted more frequently. In addition, the documentation must sufficiently </w:t>
      </w:r>
      <w:r w:rsidRPr="00DA7F89" w:rsidR="00DA7F89">
        <w:rPr>
          <w:rFonts w:eastAsiaTheme="majorEastAsia"/>
        </w:rPr>
        <w:t>describe how the validation is conducted with respect to data flows and portfolios, what analyses are used, and how representative counterparty portfolios are constructed.</w:t>
      </w:r>
      <w:r w:rsidR="00C333B3">
        <w:rPr>
          <w:rFonts w:eastAsiaTheme="majorEastAsia"/>
        </w:rPr>
        <w:t xml:space="preserve">  Section 3.223(b)(7)</w:t>
      </w:r>
      <w:r w:rsidR="00941156">
        <w:rPr>
          <w:rFonts w:eastAsiaTheme="majorEastAsia"/>
        </w:rPr>
        <w:t xml:space="preserve"> </w:t>
      </w:r>
      <w:r w:rsidR="00E452D4">
        <w:rPr>
          <w:rFonts w:eastAsiaTheme="majorEastAsia"/>
        </w:rPr>
        <w:t xml:space="preserve">describes that the banks </w:t>
      </w:r>
      <w:r w:rsidRPr="006C223A" w:rsidR="006C223A">
        <w:rPr>
          <w:rFonts w:eastAsiaTheme="majorEastAsia"/>
        </w:rPr>
        <w:t>define criteria on which to assess the exposure models and their inputs and have a written policy in place to describe the process to assess the performance of exposure models and remedy unacceptable performance.</w:t>
      </w:r>
      <w:r w:rsidR="00023EB0">
        <w:rPr>
          <w:rFonts w:eastAsiaTheme="majorEastAsia"/>
        </w:rPr>
        <w:t xml:space="preserve">  While under section 3.223(b)(9) </w:t>
      </w:r>
      <w:r w:rsidR="00DA5837">
        <w:rPr>
          <w:rFonts w:eastAsiaTheme="majorEastAsia"/>
        </w:rPr>
        <w:t xml:space="preserve">the bank’s </w:t>
      </w:r>
      <w:r w:rsidRPr="00800B63">
        <w:rPr>
          <w:rFonts w:eastAsiaTheme="majorEastAsia"/>
        </w:rPr>
        <w:t>exposure models must reflect transaction terms and specifications accurately. The terms and specifications must reside in a secure database that is subject to formal and periodic audit no less than annually. The transmission of transaction terms and specifications data to the exposure model must also be subject to internal audit, and formal reconciliation processes must be in place between the internal model and source data systems to verify on an ongoing basis that transaction terms and specifications are being reflected correctly or at least conservatively.</w:t>
      </w:r>
    </w:p>
    <w:p w:rsidR="006160A2" w:rsidP="005D284F" w14:paraId="43ADAE25" w14:textId="78FE9C40">
      <w:pPr>
        <w:rPr>
          <w:rFonts w:eastAsiaTheme="majorEastAsia"/>
        </w:rPr>
      </w:pPr>
    </w:p>
    <w:p w:rsidR="006160A2" w:rsidRPr="00074EAF" w:rsidP="005D284F" w14:paraId="5ABD4925" w14:textId="0B44D807">
      <w:pPr>
        <w:ind w:firstLine="720"/>
        <w:rPr>
          <w:rFonts w:eastAsia="Calibri"/>
          <w:i/>
          <w:iCs/>
          <w:szCs w:val="24"/>
        </w:rPr>
      </w:pPr>
      <w:r w:rsidRPr="00074EAF">
        <w:rPr>
          <w:rFonts w:eastAsia="Calibri"/>
          <w:i/>
          <w:iCs/>
          <w:szCs w:val="24"/>
        </w:rPr>
        <w:t xml:space="preserve">Historical market data </w:t>
      </w:r>
    </w:p>
    <w:p w:rsidR="006160A2" w:rsidP="005D284F" w14:paraId="6B2031A6" w14:textId="4D1D947B">
      <w:pPr>
        <w:ind w:firstLine="720"/>
        <w:rPr>
          <w:rFonts w:eastAsia="Calibri"/>
          <w:szCs w:val="24"/>
        </w:rPr>
      </w:pPr>
    </w:p>
    <w:p w:rsidR="006160A2" w:rsidP="005D284F" w14:paraId="02D6112C" w14:textId="02AC7C88">
      <w:pPr>
        <w:ind w:right="720" w:firstLine="720"/>
        <w:rPr>
          <w:rFonts w:eastAsiaTheme="majorEastAsia"/>
          <w:szCs w:val="24"/>
        </w:rPr>
      </w:pPr>
      <w:r w:rsidRPr="00AD00B0">
        <w:rPr>
          <w:rFonts w:eastAsia="Calibri"/>
          <w:szCs w:val="24"/>
        </w:rPr>
        <w:t>Section 3.223(b)(10)</w:t>
      </w:r>
      <w:r w:rsidR="00DE7A13">
        <w:rPr>
          <w:rFonts w:eastAsia="Calibri"/>
          <w:szCs w:val="24"/>
        </w:rPr>
        <w:t xml:space="preserve"> requires that a national bank or Federal savings association </w:t>
      </w:r>
      <w:r w:rsidRPr="002B7D22" w:rsidR="004F4AE0">
        <w:rPr>
          <w:rFonts w:eastAsiaTheme="majorEastAsia"/>
          <w:szCs w:val="24"/>
        </w:rPr>
        <w:t>acquire current and historical market data</w:t>
      </w:r>
      <w:r w:rsidR="004F4AE0">
        <w:rPr>
          <w:rFonts w:eastAsiaTheme="majorEastAsia"/>
          <w:szCs w:val="24"/>
        </w:rPr>
        <w:t xml:space="preserve">, </w:t>
      </w:r>
      <w:r w:rsidRPr="002B7D22" w:rsidR="00401B4B">
        <w:rPr>
          <w:rFonts w:eastAsiaTheme="majorEastAsia"/>
          <w:szCs w:val="24"/>
        </w:rPr>
        <w:t>maintained in a secure database subject to formal and periodic audit.</w:t>
      </w:r>
      <w:r w:rsidR="0077123B">
        <w:rPr>
          <w:rFonts w:eastAsiaTheme="majorEastAsia"/>
          <w:szCs w:val="24"/>
        </w:rPr>
        <w:t xml:space="preserve"> The national bank or Federal savings association </w:t>
      </w:r>
      <w:r w:rsidRPr="002B7D22" w:rsidR="0077123B">
        <w:rPr>
          <w:rFonts w:eastAsiaTheme="majorEastAsia"/>
          <w:szCs w:val="24"/>
        </w:rPr>
        <w:t>must also have a well-developed data integrity process</w:t>
      </w:r>
      <w:r w:rsidR="00A51E46">
        <w:rPr>
          <w:rFonts w:eastAsiaTheme="majorEastAsia"/>
          <w:szCs w:val="24"/>
        </w:rPr>
        <w:t xml:space="preserve"> and, where </w:t>
      </w:r>
      <w:r w:rsidRPr="002B7D22" w:rsidR="001472CA">
        <w:rPr>
          <w:rFonts w:eastAsiaTheme="majorEastAsia"/>
          <w:szCs w:val="24"/>
        </w:rPr>
        <w:t>an exposure model relies on proxy market data,</w:t>
      </w:r>
      <w:r w:rsidR="003F71B8">
        <w:rPr>
          <w:rFonts w:eastAsiaTheme="majorEastAsia"/>
          <w:szCs w:val="24"/>
        </w:rPr>
        <w:t xml:space="preserve"> </w:t>
      </w:r>
      <w:r w:rsidRPr="002B7D22" w:rsidR="003F71B8">
        <w:rPr>
          <w:rFonts w:eastAsiaTheme="majorEastAsia"/>
          <w:szCs w:val="24"/>
        </w:rPr>
        <w:t>must set internal policies to identify suitable proxies and must demonstrate empirically on an ongoing basis that the proxy provides a conservative representation of the underlying risk under adverse market conditions</w:t>
      </w:r>
      <w:r w:rsidR="003F71B8">
        <w:rPr>
          <w:rFonts w:eastAsiaTheme="majorEastAsia"/>
          <w:szCs w:val="24"/>
        </w:rPr>
        <w:t>.</w:t>
      </w:r>
    </w:p>
    <w:p w:rsidR="003F71B8" w:rsidRPr="006160A2" w:rsidP="005D284F" w14:paraId="2E321D5D" w14:textId="77777777">
      <w:pPr>
        <w:ind w:firstLine="720"/>
        <w:rPr>
          <w:rFonts w:eastAsia="Calibri"/>
          <w:szCs w:val="24"/>
        </w:rPr>
      </w:pPr>
    </w:p>
    <w:p w:rsidR="00174A17" w:rsidP="005D284F" w14:paraId="32CF051B" w14:textId="06C21168">
      <w:pPr>
        <w:outlineLvl w:val="0"/>
        <w:rPr>
          <w:rFonts w:eastAsia="Calibri"/>
          <w:i/>
          <w:iCs/>
          <w:szCs w:val="24"/>
        </w:rPr>
      </w:pPr>
      <w:r w:rsidRPr="00074EAF">
        <w:rPr>
          <w:rFonts w:eastAsia="Calibri"/>
          <w:i/>
          <w:iCs/>
          <w:szCs w:val="24"/>
        </w:rPr>
        <w:t>Disclosure</w:t>
      </w:r>
      <w:r w:rsidR="00752EC6">
        <w:rPr>
          <w:rFonts w:eastAsia="Calibri"/>
          <w:i/>
          <w:iCs/>
          <w:szCs w:val="24"/>
        </w:rPr>
        <w:t xml:space="preserve"> Requirements</w:t>
      </w:r>
    </w:p>
    <w:p w:rsidR="00752EC6" w:rsidRPr="00074EAF" w:rsidP="005D284F" w14:paraId="5E2272F5" w14:textId="77777777">
      <w:pPr>
        <w:outlineLvl w:val="0"/>
        <w:rPr>
          <w:rFonts w:eastAsia="Calibri"/>
          <w:i/>
          <w:iCs/>
          <w:szCs w:val="24"/>
        </w:rPr>
      </w:pPr>
    </w:p>
    <w:p w:rsidR="00CC35BC" w:rsidRPr="00074EAF" w:rsidP="005D284F" w14:paraId="0ACEAD73" w14:textId="26B39CF5">
      <w:pPr>
        <w:pStyle w:val="BodyText"/>
        <w:tabs>
          <w:tab w:val="left" w:pos="0"/>
        </w:tabs>
        <w:ind w:firstLine="720"/>
        <w:rPr>
          <w:rFonts w:eastAsia="Calibri"/>
          <w:szCs w:val="24"/>
        </w:rPr>
      </w:pPr>
      <w:r w:rsidRPr="00074EAF">
        <w:rPr>
          <w:rFonts w:eastAsia="Calibri"/>
          <w:szCs w:val="24"/>
        </w:rPr>
        <w:t xml:space="preserve">Proprietary confidential information </w:t>
      </w:r>
    </w:p>
    <w:p w:rsidR="0028389B" w:rsidP="005D284F" w14:paraId="5399332D" w14:textId="2AC8BCF5">
      <w:pPr>
        <w:pStyle w:val="BodyText"/>
        <w:tabs>
          <w:tab w:val="left" w:pos="0"/>
        </w:tabs>
        <w:ind w:firstLine="720"/>
        <w:rPr>
          <w:rFonts w:eastAsia="Calibri"/>
          <w:i w:val="0"/>
          <w:iCs w:val="0"/>
          <w:szCs w:val="24"/>
        </w:rPr>
      </w:pPr>
    </w:p>
    <w:p w:rsidR="00C85100" w:rsidP="005D284F" w14:paraId="2C6B517C" w14:textId="56C8D840">
      <w:pPr>
        <w:pStyle w:val="BodyText"/>
        <w:tabs>
          <w:tab w:val="left" w:pos="0"/>
        </w:tabs>
        <w:ind w:right="720"/>
        <w:rPr>
          <w:rFonts w:eastAsia="Calibri"/>
          <w:i w:val="0"/>
          <w:iCs w:val="0"/>
          <w:szCs w:val="24"/>
        </w:rPr>
      </w:pPr>
      <w:r>
        <w:rPr>
          <w:rFonts w:eastAsia="Calibri"/>
          <w:i w:val="0"/>
          <w:iCs w:val="0"/>
          <w:szCs w:val="24"/>
        </w:rPr>
        <w:tab/>
      </w:r>
      <w:r w:rsidRPr="002B1FD0" w:rsidR="00285C76">
        <w:rPr>
          <w:rFonts w:eastAsia="Calibri"/>
          <w:i w:val="0"/>
          <w:iCs w:val="0"/>
          <w:szCs w:val="24"/>
        </w:rPr>
        <w:t>Section 3.217(d)</w:t>
      </w:r>
      <w:r w:rsidRPr="002B1FD0" w:rsidR="0070537E">
        <w:rPr>
          <w:rFonts w:eastAsia="Calibri"/>
          <w:i w:val="0"/>
          <w:iCs w:val="0"/>
          <w:szCs w:val="24"/>
        </w:rPr>
        <w:t xml:space="preserve"> provides</w:t>
      </w:r>
      <w:r w:rsidRPr="00DB4741" w:rsidR="00DB4741">
        <w:rPr>
          <w:rFonts w:eastAsia="Calibri"/>
          <w:i w:val="0"/>
          <w:iCs w:val="0"/>
          <w:szCs w:val="24"/>
        </w:rPr>
        <w:t xml:space="preserve"> that in cases where a bank reasonably believes that reporting or disclosure of specific commercial or financial information would materially prejudice its position by making public certain information that is either proprietary or confidential in nature, the bank is not required to publicly report or disclose these specific items, but must report or disclose more general information about the subject matter of the requirement, together with the fact that, and the reason why, the specific items of information have not been disclosed.</w:t>
      </w:r>
    </w:p>
    <w:p w:rsidR="007A0F6B" w:rsidP="005D284F" w14:paraId="4630677A" w14:textId="77777777">
      <w:pPr>
        <w:pStyle w:val="BodyText"/>
        <w:tabs>
          <w:tab w:val="left" w:pos="0"/>
        </w:tabs>
        <w:ind w:firstLine="720"/>
        <w:rPr>
          <w:rFonts w:eastAsia="Calibri"/>
          <w:i w:val="0"/>
          <w:iCs w:val="0"/>
          <w:szCs w:val="24"/>
          <w:u w:val="single"/>
        </w:rPr>
      </w:pPr>
    </w:p>
    <w:p w:rsidR="00C85100" w:rsidRPr="00074EAF" w:rsidP="005D284F" w14:paraId="275FA345" w14:textId="142ABA0E">
      <w:pPr>
        <w:pStyle w:val="BodyText"/>
        <w:tabs>
          <w:tab w:val="left" w:pos="0"/>
        </w:tabs>
        <w:ind w:firstLine="720"/>
        <w:rPr>
          <w:rFonts w:eastAsia="Calibri"/>
          <w:szCs w:val="24"/>
        </w:rPr>
      </w:pPr>
      <w:r w:rsidRPr="00074EAF">
        <w:rPr>
          <w:rFonts w:eastAsia="Calibri"/>
          <w:szCs w:val="24"/>
        </w:rPr>
        <w:t xml:space="preserve">Location </w:t>
      </w:r>
    </w:p>
    <w:p w:rsidR="004F0ABF" w:rsidP="005D284F" w14:paraId="5E93F383" w14:textId="6CF1DDB3">
      <w:pPr>
        <w:pStyle w:val="BodyText"/>
        <w:tabs>
          <w:tab w:val="left" w:pos="0"/>
        </w:tabs>
        <w:ind w:firstLine="720"/>
        <w:rPr>
          <w:rFonts w:eastAsia="Calibri"/>
          <w:i w:val="0"/>
          <w:iCs w:val="0"/>
          <w:szCs w:val="24"/>
        </w:rPr>
      </w:pPr>
    </w:p>
    <w:p w:rsidR="009956A5" w:rsidP="005D284F" w14:paraId="6DF129CB" w14:textId="66EC1CC7">
      <w:pPr>
        <w:pStyle w:val="BodyText"/>
        <w:tabs>
          <w:tab w:val="left" w:pos="0"/>
        </w:tabs>
        <w:ind w:right="720"/>
        <w:rPr>
          <w:rFonts w:eastAsia="Calibri"/>
          <w:i w:val="0"/>
          <w:iCs w:val="0"/>
          <w:szCs w:val="24"/>
        </w:rPr>
      </w:pPr>
      <w:r>
        <w:rPr>
          <w:rFonts w:eastAsia="Calibri"/>
          <w:i w:val="0"/>
          <w:iCs w:val="0"/>
          <w:szCs w:val="24"/>
        </w:rPr>
        <w:tab/>
      </w:r>
      <w:r w:rsidRPr="008A1B78" w:rsidR="008A1B78">
        <w:rPr>
          <w:rFonts w:eastAsia="Calibri"/>
          <w:i w:val="0"/>
          <w:iCs w:val="0"/>
          <w:szCs w:val="24"/>
        </w:rPr>
        <w:t>Section 3.217(e)</w:t>
      </w:r>
      <w:r w:rsidR="0002461F">
        <w:rPr>
          <w:rFonts w:eastAsia="Calibri"/>
          <w:i w:val="0"/>
          <w:iCs w:val="0"/>
          <w:szCs w:val="24"/>
        </w:rPr>
        <w:t xml:space="preserve"> requires that a national bank or Federal savings association </w:t>
      </w:r>
      <w:r w:rsidR="002D7582">
        <w:rPr>
          <w:rFonts w:eastAsia="Calibri"/>
          <w:i w:val="0"/>
          <w:iCs w:val="0"/>
          <w:szCs w:val="24"/>
        </w:rPr>
        <w:t xml:space="preserve">either </w:t>
      </w:r>
      <w:r w:rsidRPr="009956A5">
        <w:rPr>
          <w:rFonts w:eastAsia="Calibri"/>
          <w:i w:val="0"/>
          <w:iCs w:val="0"/>
          <w:szCs w:val="24"/>
        </w:rPr>
        <w:t xml:space="preserve">provide </w:t>
      </w:r>
      <w:r w:rsidRPr="009956A5">
        <w:rPr>
          <w:rFonts w:eastAsia="Calibri"/>
          <w:i w:val="0"/>
          <w:iCs w:val="0"/>
          <w:szCs w:val="24"/>
        </w:rPr>
        <w:t>all of</w:t>
      </w:r>
      <w:r w:rsidRPr="009956A5">
        <w:rPr>
          <w:rFonts w:eastAsia="Calibri"/>
          <w:i w:val="0"/>
          <w:iCs w:val="0"/>
          <w:szCs w:val="24"/>
        </w:rPr>
        <w:t xml:space="preserve"> the public reports and disclosures required in one place on the</w:t>
      </w:r>
      <w:r w:rsidR="00423869">
        <w:rPr>
          <w:rFonts w:eastAsia="Calibri"/>
          <w:i w:val="0"/>
          <w:iCs w:val="0"/>
          <w:szCs w:val="24"/>
        </w:rPr>
        <w:t xml:space="preserve"> </w:t>
      </w:r>
      <w:r w:rsidR="00ED7BE3">
        <w:rPr>
          <w:rFonts w:eastAsia="Calibri"/>
          <w:i w:val="0"/>
          <w:iCs w:val="0"/>
          <w:szCs w:val="24"/>
        </w:rPr>
        <w:t>b</w:t>
      </w:r>
      <w:r w:rsidR="00423869">
        <w:rPr>
          <w:rFonts w:eastAsia="Calibri"/>
          <w:i w:val="0"/>
          <w:iCs w:val="0"/>
          <w:szCs w:val="24"/>
        </w:rPr>
        <w:t>ank</w:t>
      </w:r>
      <w:r w:rsidRPr="009956A5">
        <w:rPr>
          <w:rFonts w:eastAsia="Calibri"/>
          <w:i w:val="0"/>
          <w:iCs w:val="0"/>
          <w:szCs w:val="24"/>
        </w:rPr>
        <w:t xml:space="preserve">’s public website or provide the reporting and disclosures in more than one public financial report or other public regulatory reports, provided that the </w:t>
      </w:r>
      <w:r w:rsidR="00423869">
        <w:rPr>
          <w:rFonts w:eastAsia="Calibri"/>
          <w:i w:val="0"/>
          <w:iCs w:val="0"/>
          <w:szCs w:val="24"/>
        </w:rPr>
        <w:t xml:space="preserve">bank </w:t>
      </w:r>
      <w:r w:rsidRPr="009956A5">
        <w:rPr>
          <w:rFonts w:eastAsia="Calibri"/>
          <w:i w:val="0"/>
          <w:iCs w:val="0"/>
          <w:szCs w:val="24"/>
        </w:rPr>
        <w:t>publicly provides a summary table specifically indicating the location(s) of all such reporting and disclosures.</w:t>
      </w:r>
    </w:p>
    <w:p w:rsidR="008433D8" w:rsidP="005D284F" w14:paraId="3D128B48" w14:textId="0B7614FD">
      <w:pPr>
        <w:pStyle w:val="BodyText"/>
        <w:tabs>
          <w:tab w:val="left" w:pos="0"/>
        </w:tabs>
        <w:rPr>
          <w:rFonts w:eastAsia="Calibri"/>
          <w:i w:val="0"/>
          <w:iCs w:val="0"/>
          <w:szCs w:val="24"/>
        </w:rPr>
      </w:pPr>
    </w:p>
    <w:p w:rsidR="008433D8" w:rsidRPr="00074EAF" w:rsidP="005D284F" w14:paraId="4C0FDA7E" w14:textId="1AA1C880">
      <w:pPr>
        <w:pStyle w:val="BodyText"/>
        <w:tabs>
          <w:tab w:val="left" w:pos="0"/>
        </w:tabs>
        <w:ind w:firstLine="720"/>
        <w:rPr>
          <w:rFonts w:eastAsia="Calibri"/>
          <w:szCs w:val="24"/>
        </w:rPr>
      </w:pPr>
      <w:r w:rsidRPr="00074EAF">
        <w:rPr>
          <w:rFonts w:eastAsia="Calibri"/>
          <w:szCs w:val="24"/>
        </w:rPr>
        <w:t>Quarterly and annual public disclosures</w:t>
      </w:r>
    </w:p>
    <w:p w:rsidR="00285C76" w:rsidP="005D284F" w14:paraId="24E0F32D" w14:textId="64DDC748">
      <w:pPr>
        <w:pStyle w:val="BodyText"/>
        <w:tabs>
          <w:tab w:val="left" w:pos="0"/>
        </w:tabs>
        <w:ind w:firstLine="720"/>
        <w:rPr>
          <w:rFonts w:eastAsia="Calibri"/>
          <w:i w:val="0"/>
          <w:iCs w:val="0"/>
          <w:szCs w:val="24"/>
        </w:rPr>
      </w:pPr>
    </w:p>
    <w:p w:rsidR="006259FA" w:rsidP="005D284F" w14:paraId="4EF14D5B" w14:textId="552AD2F6">
      <w:pPr>
        <w:pStyle w:val="BodyText"/>
        <w:tabs>
          <w:tab w:val="left" w:pos="0"/>
        </w:tabs>
        <w:ind w:right="720"/>
        <w:rPr>
          <w:rStyle w:val="documentbody1"/>
          <w:rFonts w:ascii="Times New Roman" w:hAnsi="Times New Roman"/>
          <w:i w:val="0"/>
          <w:iCs w:val="0"/>
          <w:sz w:val="24"/>
          <w:szCs w:val="24"/>
        </w:rPr>
      </w:pPr>
      <w:r>
        <w:rPr>
          <w:rStyle w:val="documentbody1"/>
          <w:rFonts w:ascii="Times New Roman" w:hAnsi="Times New Roman"/>
          <w:i w:val="0"/>
          <w:iCs w:val="0"/>
          <w:sz w:val="24"/>
          <w:szCs w:val="24"/>
        </w:rPr>
        <w:tab/>
      </w:r>
      <w:r w:rsidR="00816BA4">
        <w:rPr>
          <w:rStyle w:val="documentbody1"/>
          <w:rFonts w:ascii="Times New Roman" w:hAnsi="Times New Roman"/>
          <w:i w:val="0"/>
          <w:iCs w:val="0"/>
          <w:sz w:val="24"/>
          <w:szCs w:val="24"/>
        </w:rPr>
        <w:t xml:space="preserve">Section 3.217(f)(1) requires </w:t>
      </w:r>
      <w:r w:rsidR="009E42B3">
        <w:rPr>
          <w:rStyle w:val="documentbody1"/>
          <w:rFonts w:ascii="Times New Roman" w:hAnsi="Times New Roman"/>
          <w:i w:val="0"/>
          <w:iCs w:val="0"/>
          <w:sz w:val="24"/>
          <w:szCs w:val="24"/>
        </w:rPr>
        <w:t xml:space="preserve">that a national bank or Federal savings association </w:t>
      </w:r>
      <w:r w:rsidR="001E2C13">
        <w:rPr>
          <w:rStyle w:val="documentbody1"/>
          <w:rFonts w:ascii="Times New Roman" w:hAnsi="Times New Roman"/>
          <w:i w:val="0"/>
          <w:iCs w:val="0"/>
          <w:sz w:val="24"/>
          <w:szCs w:val="24"/>
        </w:rPr>
        <w:t xml:space="preserve">publicly </w:t>
      </w:r>
      <w:r w:rsidR="009E42B3">
        <w:rPr>
          <w:rStyle w:val="documentbody1"/>
          <w:rFonts w:ascii="Times New Roman" w:hAnsi="Times New Roman"/>
          <w:i w:val="0"/>
          <w:iCs w:val="0"/>
          <w:sz w:val="24"/>
          <w:szCs w:val="24"/>
        </w:rPr>
        <w:t xml:space="preserve">disclose, </w:t>
      </w:r>
      <w:r w:rsidR="001E2C13">
        <w:rPr>
          <w:rStyle w:val="documentbody1"/>
          <w:rFonts w:ascii="Times New Roman" w:hAnsi="Times New Roman"/>
          <w:i w:val="0"/>
          <w:iCs w:val="0"/>
          <w:sz w:val="24"/>
          <w:szCs w:val="24"/>
        </w:rPr>
        <w:t xml:space="preserve">on </w:t>
      </w:r>
      <w:r w:rsidR="009E42B3">
        <w:rPr>
          <w:rStyle w:val="documentbody1"/>
          <w:rFonts w:ascii="Times New Roman" w:hAnsi="Times New Roman"/>
          <w:i w:val="0"/>
          <w:iCs w:val="0"/>
          <w:sz w:val="24"/>
          <w:szCs w:val="24"/>
        </w:rPr>
        <w:t xml:space="preserve">at least </w:t>
      </w:r>
      <w:r w:rsidR="001E2C13">
        <w:rPr>
          <w:rStyle w:val="documentbody1"/>
          <w:rFonts w:ascii="Times New Roman" w:hAnsi="Times New Roman"/>
          <w:i w:val="0"/>
          <w:iCs w:val="0"/>
          <w:sz w:val="24"/>
          <w:szCs w:val="24"/>
        </w:rPr>
        <w:t xml:space="preserve">a </w:t>
      </w:r>
      <w:r w:rsidR="00816BA4">
        <w:rPr>
          <w:rStyle w:val="documentbody1"/>
          <w:rFonts w:ascii="Times New Roman" w:hAnsi="Times New Roman"/>
          <w:i w:val="0"/>
          <w:iCs w:val="0"/>
          <w:sz w:val="24"/>
          <w:szCs w:val="24"/>
        </w:rPr>
        <w:t>quarterly</w:t>
      </w:r>
      <w:r w:rsidR="001E2C13">
        <w:rPr>
          <w:rStyle w:val="documentbody1"/>
          <w:rFonts w:ascii="Times New Roman" w:hAnsi="Times New Roman"/>
          <w:i w:val="0"/>
          <w:iCs w:val="0"/>
          <w:sz w:val="24"/>
          <w:szCs w:val="24"/>
        </w:rPr>
        <w:t xml:space="preserve"> basis</w:t>
      </w:r>
      <w:r w:rsidR="009E42B3">
        <w:rPr>
          <w:rStyle w:val="documentbody1"/>
          <w:rFonts w:ascii="Times New Roman" w:hAnsi="Times New Roman"/>
          <w:i w:val="0"/>
          <w:iCs w:val="0"/>
          <w:sz w:val="24"/>
          <w:szCs w:val="24"/>
        </w:rPr>
        <w:t xml:space="preserve">, the following: </w:t>
      </w:r>
      <w:r w:rsidR="008B7852">
        <w:rPr>
          <w:rStyle w:val="documentbody1"/>
          <w:rFonts w:ascii="Times New Roman" w:hAnsi="Times New Roman"/>
          <w:i w:val="0"/>
          <w:iCs w:val="0"/>
          <w:sz w:val="24"/>
          <w:szCs w:val="24"/>
        </w:rPr>
        <w:t xml:space="preserve">the </w:t>
      </w:r>
      <w:r w:rsidRPr="008B7852" w:rsidR="008B7852">
        <w:rPr>
          <w:rStyle w:val="documentbody1"/>
          <w:rFonts w:ascii="Times New Roman" w:hAnsi="Times New Roman"/>
          <w:i w:val="0"/>
          <w:iCs w:val="0"/>
          <w:sz w:val="24"/>
          <w:szCs w:val="24"/>
        </w:rPr>
        <w:t>aggregate amount of on-balance sheet and off-balance sheet securitization positions by exposure type</w:t>
      </w:r>
      <w:r w:rsidR="008B7852">
        <w:rPr>
          <w:rStyle w:val="documentbody1"/>
          <w:rFonts w:ascii="Times New Roman" w:hAnsi="Times New Roman"/>
          <w:i w:val="0"/>
          <w:iCs w:val="0"/>
          <w:sz w:val="24"/>
          <w:szCs w:val="24"/>
        </w:rPr>
        <w:t xml:space="preserve">; </w:t>
      </w:r>
      <w:r w:rsidR="00B11619">
        <w:rPr>
          <w:rStyle w:val="documentbody1"/>
          <w:rFonts w:ascii="Times New Roman" w:hAnsi="Times New Roman"/>
          <w:i w:val="0"/>
          <w:iCs w:val="0"/>
          <w:sz w:val="24"/>
          <w:szCs w:val="24"/>
        </w:rPr>
        <w:t xml:space="preserve">the </w:t>
      </w:r>
      <w:r w:rsidRPr="00B11619" w:rsidR="00B11619">
        <w:rPr>
          <w:rStyle w:val="documentbody1"/>
          <w:rFonts w:ascii="Times New Roman" w:hAnsi="Times New Roman"/>
          <w:i w:val="0"/>
          <w:iCs w:val="0"/>
          <w:sz w:val="24"/>
          <w:szCs w:val="24"/>
        </w:rPr>
        <w:t xml:space="preserve">soundness criteria on which </w:t>
      </w:r>
      <w:r w:rsidR="00B11619">
        <w:rPr>
          <w:rStyle w:val="documentbody1"/>
          <w:rFonts w:ascii="Times New Roman" w:hAnsi="Times New Roman"/>
          <w:i w:val="0"/>
          <w:iCs w:val="0"/>
          <w:sz w:val="24"/>
          <w:szCs w:val="24"/>
        </w:rPr>
        <w:t>its</w:t>
      </w:r>
      <w:r w:rsidRPr="00B11619" w:rsidR="00B11619">
        <w:rPr>
          <w:rStyle w:val="documentbody1"/>
          <w:rFonts w:ascii="Times New Roman" w:hAnsi="Times New Roman"/>
          <w:i w:val="0"/>
          <w:iCs w:val="0"/>
          <w:sz w:val="24"/>
          <w:szCs w:val="24"/>
        </w:rPr>
        <w:t xml:space="preserve"> </w:t>
      </w:r>
      <w:r w:rsidRPr="00B11619" w:rsidR="00B11619">
        <w:rPr>
          <w:rStyle w:val="documentbody1"/>
          <w:rFonts w:ascii="Times New Roman" w:hAnsi="Times New Roman"/>
          <w:i w:val="0"/>
          <w:iCs w:val="0"/>
          <w:sz w:val="24"/>
          <w:szCs w:val="24"/>
        </w:rPr>
        <w:t>internal capital adequacy assessment is based and a description of each methodology used to achieve a capital adequacy assessment</w:t>
      </w:r>
      <w:r w:rsidR="00B11619">
        <w:rPr>
          <w:rStyle w:val="documentbody1"/>
          <w:rFonts w:ascii="Times New Roman" w:hAnsi="Times New Roman"/>
          <w:i w:val="0"/>
          <w:iCs w:val="0"/>
          <w:sz w:val="24"/>
          <w:szCs w:val="24"/>
        </w:rPr>
        <w:t xml:space="preserve">; </w:t>
      </w:r>
      <w:r w:rsidR="00B85421">
        <w:rPr>
          <w:rStyle w:val="documentbody1"/>
          <w:rFonts w:ascii="Times New Roman" w:hAnsi="Times New Roman"/>
          <w:i w:val="0"/>
          <w:iCs w:val="0"/>
          <w:sz w:val="24"/>
          <w:szCs w:val="24"/>
        </w:rPr>
        <w:t>t</w:t>
      </w:r>
      <w:r w:rsidRPr="00B85421" w:rsidR="00B85421">
        <w:rPr>
          <w:rStyle w:val="documentbody1"/>
          <w:rFonts w:ascii="Times New Roman" w:hAnsi="Times New Roman"/>
          <w:i w:val="0"/>
          <w:iCs w:val="0"/>
          <w:sz w:val="24"/>
          <w:szCs w:val="24"/>
        </w:rPr>
        <w:t>he aggregate amount of correlation trading positions; and</w:t>
      </w:r>
      <w:r w:rsidR="004453E5">
        <w:rPr>
          <w:rStyle w:val="documentbody1"/>
          <w:rFonts w:ascii="Times New Roman" w:hAnsi="Times New Roman"/>
          <w:i w:val="0"/>
          <w:iCs w:val="0"/>
          <w:sz w:val="24"/>
          <w:szCs w:val="24"/>
        </w:rPr>
        <w:t xml:space="preserve"> f</w:t>
      </w:r>
      <w:r w:rsidRPr="004453E5" w:rsidR="004453E5">
        <w:rPr>
          <w:rStyle w:val="documentbody1"/>
          <w:rFonts w:ascii="Times New Roman" w:hAnsi="Times New Roman"/>
          <w:i w:val="0"/>
          <w:iCs w:val="0"/>
          <w:sz w:val="24"/>
          <w:szCs w:val="24"/>
        </w:rPr>
        <w:t xml:space="preserve">or </w:t>
      </w:r>
      <w:r w:rsidR="004453E5">
        <w:rPr>
          <w:rStyle w:val="documentbody1"/>
          <w:rFonts w:ascii="Times New Roman" w:hAnsi="Times New Roman"/>
          <w:i w:val="0"/>
          <w:iCs w:val="0"/>
          <w:sz w:val="24"/>
          <w:szCs w:val="24"/>
        </w:rPr>
        <w:t>a national bank or Federal savings association</w:t>
      </w:r>
      <w:r w:rsidRPr="004453E5" w:rsidR="004453E5">
        <w:rPr>
          <w:rStyle w:val="documentbody1"/>
          <w:rFonts w:ascii="Times New Roman" w:hAnsi="Times New Roman"/>
          <w:i w:val="0"/>
          <w:iCs w:val="0"/>
          <w:sz w:val="24"/>
          <w:szCs w:val="24"/>
        </w:rPr>
        <w:t xml:space="preserve"> that calculates the models-based measure for market risk, a comparison of </w:t>
      </w:r>
      <w:r w:rsidRPr="004453E5" w:rsidR="004453E5">
        <w:rPr>
          <w:rStyle w:val="documentbody1"/>
          <w:rFonts w:ascii="Times New Roman" w:hAnsi="Times New Roman"/>
          <w:i w:val="0"/>
          <w:iCs w:val="0"/>
          <w:sz w:val="24"/>
          <w:szCs w:val="24"/>
        </w:rPr>
        <w:t>VaR</w:t>
      </w:r>
      <w:r w:rsidRPr="004453E5" w:rsidR="004453E5">
        <w:rPr>
          <w:rStyle w:val="documentbody1"/>
          <w:rFonts w:ascii="Times New Roman" w:hAnsi="Times New Roman"/>
          <w:i w:val="0"/>
          <w:iCs w:val="0"/>
          <w:sz w:val="24"/>
          <w:szCs w:val="24"/>
        </w:rPr>
        <w:t xml:space="preserve">-based estimates with actual gains or losses experienced by the </w:t>
      </w:r>
      <w:r w:rsidR="004453E5">
        <w:rPr>
          <w:rStyle w:val="documentbody1"/>
          <w:rFonts w:ascii="Times New Roman" w:hAnsi="Times New Roman"/>
          <w:i w:val="0"/>
          <w:iCs w:val="0"/>
          <w:sz w:val="24"/>
          <w:szCs w:val="24"/>
        </w:rPr>
        <w:t>national bank or Federal savings association</w:t>
      </w:r>
      <w:r w:rsidRPr="004453E5" w:rsidR="004453E5">
        <w:rPr>
          <w:rStyle w:val="documentbody1"/>
          <w:rFonts w:ascii="Times New Roman" w:hAnsi="Times New Roman"/>
          <w:i w:val="0"/>
          <w:iCs w:val="0"/>
          <w:sz w:val="24"/>
          <w:szCs w:val="24"/>
        </w:rPr>
        <w:t xml:space="preserve"> for each material portfolio of market risk covered positions, including an analysis of important outliers.</w:t>
      </w:r>
      <w:r w:rsidR="0097115C">
        <w:rPr>
          <w:rStyle w:val="documentbody1"/>
          <w:rFonts w:ascii="Times New Roman" w:hAnsi="Times New Roman"/>
          <w:i w:val="0"/>
          <w:iCs w:val="0"/>
          <w:sz w:val="24"/>
          <w:szCs w:val="24"/>
        </w:rPr>
        <w:t xml:space="preserve"> Section 3.217</w:t>
      </w:r>
      <w:r>
        <w:rPr>
          <w:rStyle w:val="documentbody1"/>
          <w:rFonts w:ascii="Times New Roman" w:hAnsi="Times New Roman"/>
          <w:i w:val="0"/>
          <w:iCs w:val="0"/>
          <w:sz w:val="24"/>
          <w:szCs w:val="24"/>
        </w:rPr>
        <w:t xml:space="preserve">(f)(2) requires </w:t>
      </w:r>
      <w:r w:rsidR="00FD2872">
        <w:rPr>
          <w:rStyle w:val="documentbody1"/>
          <w:rFonts w:ascii="Times New Roman" w:hAnsi="Times New Roman"/>
          <w:i w:val="0"/>
          <w:iCs w:val="0"/>
          <w:sz w:val="24"/>
          <w:szCs w:val="24"/>
        </w:rPr>
        <w:t xml:space="preserve">that a national bank or Federal savings association provide </w:t>
      </w:r>
      <w:r>
        <w:rPr>
          <w:rStyle w:val="documentbody1"/>
          <w:rFonts w:ascii="Times New Roman" w:hAnsi="Times New Roman"/>
          <w:i w:val="0"/>
          <w:iCs w:val="0"/>
          <w:sz w:val="24"/>
          <w:szCs w:val="24"/>
        </w:rPr>
        <w:t>annual public disclosure</w:t>
      </w:r>
      <w:r w:rsidR="001E2C13">
        <w:rPr>
          <w:rStyle w:val="documentbody1"/>
          <w:rFonts w:ascii="Times New Roman" w:hAnsi="Times New Roman"/>
          <w:i w:val="0"/>
          <w:iCs w:val="0"/>
          <w:sz w:val="24"/>
          <w:szCs w:val="24"/>
        </w:rPr>
        <w:t>s</w:t>
      </w:r>
      <w:r w:rsidR="00D14672">
        <w:rPr>
          <w:rStyle w:val="documentbody1"/>
          <w:rFonts w:ascii="Times New Roman" w:hAnsi="Times New Roman"/>
          <w:i w:val="0"/>
          <w:iCs w:val="0"/>
          <w:sz w:val="24"/>
          <w:szCs w:val="24"/>
        </w:rPr>
        <w:t xml:space="preserve"> of its market risk</w:t>
      </w:r>
      <w:r w:rsidR="006C48E9">
        <w:rPr>
          <w:rStyle w:val="documentbody1"/>
          <w:rFonts w:ascii="Times New Roman" w:hAnsi="Times New Roman"/>
          <w:i w:val="0"/>
          <w:iCs w:val="0"/>
          <w:sz w:val="24"/>
          <w:szCs w:val="24"/>
        </w:rPr>
        <w:t xml:space="preserve"> strategy</w:t>
      </w:r>
      <w:r w:rsidR="00D14672">
        <w:rPr>
          <w:rStyle w:val="documentbody1"/>
          <w:rFonts w:ascii="Times New Roman" w:hAnsi="Times New Roman"/>
          <w:i w:val="0"/>
          <w:iCs w:val="0"/>
          <w:sz w:val="24"/>
          <w:szCs w:val="24"/>
        </w:rPr>
        <w:t>, including</w:t>
      </w:r>
      <w:r w:rsidR="006C48E9">
        <w:rPr>
          <w:rStyle w:val="documentbody1"/>
          <w:rFonts w:ascii="Times New Roman" w:hAnsi="Times New Roman"/>
          <w:i w:val="0"/>
          <w:iCs w:val="0"/>
          <w:sz w:val="24"/>
          <w:szCs w:val="24"/>
        </w:rPr>
        <w:t>, but not limited to</w:t>
      </w:r>
      <w:r w:rsidR="00FD2872">
        <w:rPr>
          <w:rStyle w:val="documentbody1"/>
          <w:rFonts w:ascii="Times New Roman" w:hAnsi="Times New Roman"/>
          <w:i w:val="0"/>
          <w:iCs w:val="0"/>
          <w:sz w:val="24"/>
          <w:szCs w:val="24"/>
        </w:rPr>
        <w:t xml:space="preserve">: </w:t>
      </w:r>
      <w:r w:rsidR="00D14672">
        <w:rPr>
          <w:rStyle w:val="documentbody1"/>
          <w:rFonts w:ascii="Times New Roman" w:hAnsi="Times New Roman"/>
          <w:i w:val="0"/>
          <w:iCs w:val="0"/>
          <w:sz w:val="24"/>
          <w:szCs w:val="24"/>
        </w:rPr>
        <w:t xml:space="preserve">a </w:t>
      </w:r>
      <w:r w:rsidRPr="00D14672" w:rsidR="00D14672">
        <w:rPr>
          <w:rStyle w:val="documentbody1"/>
          <w:rFonts w:ascii="Times New Roman" w:hAnsi="Times New Roman"/>
          <w:i w:val="0"/>
          <w:iCs w:val="0"/>
          <w:sz w:val="24"/>
          <w:szCs w:val="24"/>
        </w:rPr>
        <w:t>description of the structure and organization of the market risk management system</w:t>
      </w:r>
      <w:r w:rsidR="00D14672">
        <w:rPr>
          <w:rStyle w:val="documentbody1"/>
          <w:rFonts w:ascii="Times New Roman" w:hAnsi="Times New Roman"/>
          <w:i w:val="0"/>
          <w:iCs w:val="0"/>
          <w:sz w:val="24"/>
          <w:szCs w:val="24"/>
        </w:rPr>
        <w:t>;</w:t>
      </w:r>
      <w:r w:rsidR="008902F5">
        <w:rPr>
          <w:rStyle w:val="documentbody1"/>
          <w:rFonts w:ascii="Times New Roman" w:hAnsi="Times New Roman"/>
          <w:i w:val="0"/>
          <w:iCs w:val="0"/>
          <w:sz w:val="24"/>
          <w:szCs w:val="24"/>
        </w:rPr>
        <w:t xml:space="preserve"> a</w:t>
      </w:r>
      <w:r w:rsidRPr="008902F5" w:rsidR="008902F5">
        <w:rPr>
          <w:rStyle w:val="documentbody1"/>
          <w:rFonts w:ascii="Times New Roman" w:hAnsi="Times New Roman"/>
          <w:i w:val="0"/>
          <w:iCs w:val="0"/>
          <w:sz w:val="24"/>
          <w:szCs w:val="24"/>
        </w:rPr>
        <w:t xml:space="preserve"> description of the policies and processes for determining whether a position is designated as a market risk covered position and the risk management policies for monitoring market risk covered positions;</w:t>
      </w:r>
      <w:r w:rsidR="00283207">
        <w:rPr>
          <w:rStyle w:val="documentbody1"/>
          <w:rFonts w:ascii="Times New Roman" w:hAnsi="Times New Roman"/>
          <w:i w:val="0"/>
          <w:iCs w:val="0"/>
          <w:sz w:val="24"/>
          <w:szCs w:val="24"/>
        </w:rPr>
        <w:t xml:space="preserve"> </w:t>
      </w:r>
      <w:r w:rsidRPr="00B807D2" w:rsidR="00283207">
        <w:rPr>
          <w:rStyle w:val="documentbody1"/>
          <w:rFonts w:ascii="Times New Roman" w:hAnsi="Times New Roman"/>
          <w:i w:val="0"/>
          <w:iCs w:val="0"/>
          <w:sz w:val="24"/>
          <w:szCs w:val="24"/>
        </w:rPr>
        <w:t>the composition of material portfolios of market risk covered positions</w:t>
      </w:r>
      <w:r w:rsidRPr="00283207" w:rsidR="00283207">
        <w:rPr>
          <w:rStyle w:val="documentbody1"/>
          <w:rFonts w:ascii="Times New Roman" w:hAnsi="Times New Roman"/>
          <w:i w:val="0"/>
          <w:iCs w:val="0"/>
          <w:sz w:val="24"/>
          <w:szCs w:val="24"/>
        </w:rPr>
        <w:t>;</w:t>
      </w:r>
      <w:r w:rsidR="0032113A">
        <w:rPr>
          <w:rStyle w:val="documentbody1"/>
          <w:rFonts w:ascii="Times New Roman" w:hAnsi="Times New Roman"/>
          <w:i w:val="0"/>
          <w:iCs w:val="0"/>
          <w:sz w:val="24"/>
          <w:szCs w:val="24"/>
        </w:rPr>
        <w:t xml:space="preserve"> </w:t>
      </w:r>
      <w:r w:rsidR="00300CC5">
        <w:rPr>
          <w:rStyle w:val="documentbody1"/>
          <w:rFonts w:ascii="Times New Roman" w:hAnsi="Times New Roman"/>
          <w:i w:val="0"/>
          <w:iCs w:val="0"/>
          <w:sz w:val="24"/>
          <w:szCs w:val="24"/>
        </w:rPr>
        <w:t>a</w:t>
      </w:r>
      <w:r w:rsidRPr="00300CC5" w:rsidR="00300CC5">
        <w:rPr>
          <w:rStyle w:val="documentbody1"/>
          <w:rFonts w:ascii="Times New Roman" w:hAnsi="Times New Roman"/>
          <w:i w:val="0"/>
          <w:iCs w:val="0"/>
          <w:sz w:val="24"/>
          <w:szCs w:val="24"/>
        </w:rPr>
        <w:t xml:space="preserve"> description of the scope and nature of risk reporting and/or measurement systems and the strategies and processes implemented</w:t>
      </w:r>
      <w:r w:rsidR="00300CC5">
        <w:rPr>
          <w:rStyle w:val="documentbody1"/>
          <w:rFonts w:ascii="Times New Roman" w:hAnsi="Times New Roman"/>
          <w:i w:val="0"/>
          <w:iCs w:val="0"/>
          <w:sz w:val="24"/>
          <w:szCs w:val="24"/>
        </w:rPr>
        <w:t xml:space="preserve"> </w:t>
      </w:r>
      <w:r w:rsidRPr="00300CC5" w:rsidR="00300CC5">
        <w:rPr>
          <w:rStyle w:val="documentbody1"/>
          <w:rFonts w:ascii="Times New Roman" w:hAnsi="Times New Roman"/>
          <w:i w:val="0"/>
          <w:iCs w:val="0"/>
          <w:sz w:val="24"/>
          <w:szCs w:val="24"/>
        </w:rPr>
        <w:t xml:space="preserve">to identify, measure, monitor and control market risks, including policies for </w:t>
      </w:r>
      <w:r w:rsidRPr="00300CC5" w:rsidR="002F33EE">
        <w:rPr>
          <w:rStyle w:val="documentbody1"/>
          <w:rFonts w:ascii="Times New Roman" w:hAnsi="Times New Roman"/>
          <w:i w:val="0"/>
          <w:iCs w:val="0"/>
          <w:sz w:val="24"/>
          <w:szCs w:val="24"/>
        </w:rPr>
        <w:t>hedging;</w:t>
      </w:r>
      <w:r w:rsidR="002F33EE">
        <w:rPr>
          <w:rStyle w:val="documentbody1"/>
          <w:rFonts w:ascii="Times New Roman" w:hAnsi="Times New Roman"/>
          <w:i w:val="0"/>
          <w:iCs w:val="0"/>
          <w:sz w:val="24"/>
          <w:szCs w:val="24"/>
        </w:rPr>
        <w:t xml:space="preserve"> a</w:t>
      </w:r>
      <w:r w:rsidRPr="0032113A" w:rsidR="0032113A">
        <w:rPr>
          <w:rStyle w:val="documentbody1"/>
          <w:rFonts w:ascii="Times New Roman" w:hAnsi="Times New Roman"/>
          <w:i w:val="0"/>
          <w:iCs w:val="0"/>
          <w:sz w:val="24"/>
          <w:szCs w:val="24"/>
        </w:rPr>
        <w:t xml:space="preserve"> description of the trading desk structure and the types of market risk covered positions included on the trading desks or in trading desk categorie</w:t>
      </w:r>
      <w:r w:rsidR="0032113A">
        <w:rPr>
          <w:rStyle w:val="documentbody1"/>
          <w:rFonts w:ascii="Times New Roman" w:hAnsi="Times New Roman"/>
          <w:i w:val="0"/>
          <w:iCs w:val="0"/>
          <w:sz w:val="24"/>
          <w:szCs w:val="24"/>
        </w:rPr>
        <w:t>s;</w:t>
      </w:r>
      <w:r w:rsidR="005026EB">
        <w:rPr>
          <w:rStyle w:val="documentbody1"/>
          <w:rFonts w:ascii="Times New Roman" w:hAnsi="Times New Roman"/>
          <w:i w:val="0"/>
          <w:iCs w:val="0"/>
          <w:sz w:val="24"/>
          <w:szCs w:val="24"/>
        </w:rPr>
        <w:t xml:space="preserve"> </w:t>
      </w:r>
      <w:r w:rsidR="00E7631D">
        <w:rPr>
          <w:rStyle w:val="documentbody1"/>
          <w:rFonts w:ascii="Times New Roman" w:hAnsi="Times New Roman"/>
          <w:i w:val="0"/>
          <w:iCs w:val="0"/>
          <w:sz w:val="24"/>
          <w:szCs w:val="24"/>
        </w:rPr>
        <w:t>a</w:t>
      </w:r>
      <w:r w:rsidRPr="00E7631D" w:rsidR="00E7631D">
        <w:rPr>
          <w:rStyle w:val="documentbody1"/>
          <w:rFonts w:ascii="Times New Roman" w:hAnsi="Times New Roman"/>
          <w:i w:val="0"/>
          <w:iCs w:val="0"/>
          <w:sz w:val="24"/>
          <w:szCs w:val="24"/>
        </w:rPr>
        <w:t xml:space="preserve"> description of the approaches used for validating and evaluating the accuracy of internal models and modeling processes for purposes of this subpart F;</w:t>
      </w:r>
      <w:r w:rsidR="00E7631D">
        <w:rPr>
          <w:rStyle w:val="documentbody1"/>
          <w:rFonts w:ascii="Times New Roman" w:hAnsi="Times New Roman"/>
          <w:i w:val="0"/>
          <w:iCs w:val="0"/>
          <w:sz w:val="24"/>
          <w:szCs w:val="24"/>
        </w:rPr>
        <w:t xml:space="preserve"> </w:t>
      </w:r>
      <w:r w:rsidR="005026EB">
        <w:rPr>
          <w:rStyle w:val="documentbody1"/>
          <w:rFonts w:ascii="Times New Roman" w:hAnsi="Times New Roman"/>
          <w:i w:val="0"/>
          <w:iCs w:val="0"/>
          <w:sz w:val="24"/>
          <w:szCs w:val="24"/>
        </w:rPr>
        <w:t xml:space="preserve">etc. </w:t>
      </w:r>
      <w:r w:rsidR="00013835">
        <w:rPr>
          <w:rStyle w:val="documentbody1"/>
          <w:rFonts w:ascii="Times New Roman" w:hAnsi="Times New Roman"/>
          <w:i w:val="0"/>
          <w:iCs w:val="0"/>
          <w:sz w:val="24"/>
          <w:szCs w:val="24"/>
        </w:rPr>
        <w:t xml:space="preserve">Section 3.217 </w:t>
      </w:r>
      <w:r w:rsidR="006C6D66">
        <w:rPr>
          <w:rStyle w:val="documentbody1"/>
          <w:rFonts w:ascii="Times New Roman" w:hAnsi="Times New Roman"/>
          <w:i w:val="0"/>
          <w:iCs w:val="0"/>
          <w:sz w:val="24"/>
          <w:szCs w:val="24"/>
        </w:rPr>
        <w:t>(f)(3) requires</w:t>
      </w:r>
      <w:r w:rsidR="00013835">
        <w:rPr>
          <w:rStyle w:val="documentbody1"/>
          <w:rFonts w:ascii="Times New Roman" w:hAnsi="Times New Roman"/>
          <w:i w:val="0"/>
          <w:iCs w:val="0"/>
          <w:sz w:val="24"/>
          <w:szCs w:val="24"/>
        </w:rPr>
        <w:t xml:space="preserve"> that a national bank or Federal savings association </w:t>
      </w:r>
      <w:r w:rsidRPr="000D2638" w:rsidR="000D2638">
        <w:rPr>
          <w:rStyle w:val="documentbody1"/>
          <w:rFonts w:ascii="Times New Roman" w:hAnsi="Times New Roman"/>
          <w:i w:val="0"/>
          <w:iCs w:val="0"/>
          <w:sz w:val="24"/>
          <w:szCs w:val="24"/>
        </w:rPr>
        <w:t xml:space="preserve">subject to the market risk capital requirements as described in § </w:t>
      </w:r>
      <w:r w:rsidR="000D2638">
        <w:rPr>
          <w:rStyle w:val="documentbody1"/>
          <w:rFonts w:ascii="Times New Roman" w:hAnsi="Times New Roman"/>
          <w:i w:val="0"/>
          <w:iCs w:val="0"/>
          <w:sz w:val="24"/>
          <w:szCs w:val="24"/>
        </w:rPr>
        <w:t>3</w:t>
      </w:r>
      <w:r w:rsidRPr="000D2638" w:rsidR="000D2638">
        <w:rPr>
          <w:rStyle w:val="documentbody1"/>
          <w:rFonts w:ascii="Times New Roman" w:hAnsi="Times New Roman"/>
          <w:i w:val="0"/>
          <w:iCs w:val="0"/>
          <w:sz w:val="24"/>
          <w:szCs w:val="24"/>
        </w:rPr>
        <w:t>.201(b)(1)</w:t>
      </w:r>
      <w:r w:rsidR="000D2638">
        <w:rPr>
          <w:rStyle w:val="documentbody1"/>
          <w:rFonts w:ascii="Times New Roman" w:hAnsi="Times New Roman"/>
          <w:i w:val="0"/>
          <w:iCs w:val="0"/>
          <w:sz w:val="24"/>
          <w:szCs w:val="24"/>
        </w:rPr>
        <w:t xml:space="preserve"> </w:t>
      </w:r>
      <w:r w:rsidR="00013835">
        <w:rPr>
          <w:rStyle w:val="documentbody1"/>
          <w:rFonts w:ascii="Times New Roman" w:hAnsi="Times New Roman"/>
          <w:i w:val="0"/>
          <w:iCs w:val="0"/>
          <w:sz w:val="24"/>
          <w:szCs w:val="24"/>
        </w:rPr>
        <w:t>provide</w:t>
      </w:r>
      <w:r w:rsidR="006C6D66">
        <w:rPr>
          <w:rStyle w:val="documentbody1"/>
          <w:rFonts w:ascii="Times New Roman" w:hAnsi="Times New Roman"/>
          <w:i w:val="0"/>
          <w:iCs w:val="0"/>
          <w:sz w:val="24"/>
          <w:szCs w:val="24"/>
        </w:rPr>
        <w:t xml:space="preserve">, </w:t>
      </w:r>
      <w:r w:rsidRPr="00225BD3" w:rsidR="00225BD3">
        <w:rPr>
          <w:i w:val="0"/>
          <w:iCs w:val="0"/>
          <w:szCs w:val="24"/>
        </w:rPr>
        <w:t xml:space="preserve">in the manner and form prescribed by the </w:t>
      </w:r>
      <w:r w:rsidR="009F3418">
        <w:rPr>
          <w:i w:val="0"/>
          <w:iCs w:val="0"/>
          <w:szCs w:val="24"/>
        </w:rPr>
        <w:t xml:space="preserve">OCC, </w:t>
      </w:r>
      <w:r w:rsidR="006C6D66">
        <w:rPr>
          <w:rStyle w:val="documentbody1"/>
          <w:rFonts w:ascii="Times New Roman" w:hAnsi="Times New Roman"/>
          <w:i w:val="0"/>
          <w:iCs w:val="0"/>
          <w:sz w:val="24"/>
          <w:szCs w:val="24"/>
        </w:rPr>
        <w:t>on a quarterly basis</w:t>
      </w:r>
      <w:r w:rsidR="0024708C">
        <w:rPr>
          <w:rStyle w:val="documentbody1"/>
          <w:rFonts w:ascii="Times New Roman" w:hAnsi="Times New Roman"/>
          <w:i w:val="0"/>
          <w:iCs w:val="0"/>
          <w:sz w:val="24"/>
          <w:szCs w:val="24"/>
        </w:rPr>
        <w:t xml:space="preserve">, </w:t>
      </w:r>
      <w:r w:rsidRPr="0024708C" w:rsidR="0024708C">
        <w:rPr>
          <w:rStyle w:val="documentbody1"/>
          <w:rFonts w:ascii="Times New Roman" w:hAnsi="Times New Roman"/>
          <w:i w:val="0"/>
          <w:iCs w:val="0"/>
          <w:sz w:val="24"/>
          <w:szCs w:val="24"/>
        </w:rPr>
        <w:t>a public report of its measure for market risk</w:t>
      </w:r>
      <w:r w:rsidR="0024708C">
        <w:rPr>
          <w:rStyle w:val="documentbody1"/>
          <w:rFonts w:ascii="Times New Roman" w:hAnsi="Times New Roman"/>
          <w:i w:val="0"/>
          <w:iCs w:val="0"/>
          <w:sz w:val="24"/>
          <w:szCs w:val="24"/>
        </w:rPr>
        <w:t>.</w:t>
      </w:r>
    </w:p>
    <w:p w:rsidR="00416430" w:rsidP="005D284F" w14:paraId="6B914470" w14:textId="77777777">
      <w:pPr>
        <w:pStyle w:val="BodyText"/>
        <w:tabs>
          <w:tab w:val="left" w:pos="0"/>
        </w:tabs>
        <w:ind w:right="720"/>
        <w:rPr>
          <w:rStyle w:val="documentbody1"/>
          <w:rFonts w:ascii="Times New Roman" w:hAnsi="Times New Roman"/>
          <w:i w:val="0"/>
          <w:iCs w:val="0"/>
          <w:sz w:val="24"/>
          <w:szCs w:val="24"/>
        </w:rPr>
      </w:pPr>
    </w:p>
    <w:p w:rsidR="00816BA4" w:rsidP="005D284F" w14:paraId="3671768C" w14:textId="0B18F056">
      <w:pPr>
        <w:pStyle w:val="BodyText"/>
        <w:tabs>
          <w:tab w:val="left" w:pos="0"/>
        </w:tabs>
        <w:ind w:right="720"/>
        <w:rPr>
          <w:rStyle w:val="documentbody1"/>
          <w:rFonts w:ascii="Times New Roman" w:hAnsi="Times New Roman"/>
          <w:i w:val="0"/>
          <w:iCs w:val="0"/>
          <w:sz w:val="24"/>
          <w:szCs w:val="24"/>
        </w:rPr>
      </w:pPr>
      <w:r>
        <w:rPr>
          <w:rStyle w:val="documentbody1"/>
          <w:rFonts w:ascii="Times New Roman" w:hAnsi="Times New Roman"/>
          <w:i w:val="0"/>
          <w:iCs w:val="0"/>
          <w:sz w:val="24"/>
          <w:szCs w:val="24"/>
        </w:rPr>
        <w:tab/>
      </w:r>
      <w:r w:rsidRPr="00416430" w:rsidR="00416430">
        <w:rPr>
          <w:rStyle w:val="documentbody1"/>
          <w:rFonts w:ascii="Times New Roman" w:hAnsi="Times New Roman"/>
          <w:i w:val="0"/>
          <w:iCs w:val="0"/>
          <w:sz w:val="24"/>
          <w:szCs w:val="24"/>
        </w:rPr>
        <w:t xml:space="preserve">Disclosure requirements related to the proposed CVA are included in section </w:t>
      </w:r>
      <w:r w:rsidR="00F356BE">
        <w:rPr>
          <w:rStyle w:val="documentbody1"/>
          <w:rFonts w:ascii="Times New Roman" w:hAnsi="Times New Roman"/>
          <w:i w:val="0"/>
          <w:iCs w:val="0"/>
          <w:sz w:val="24"/>
          <w:szCs w:val="24"/>
        </w:rPr>
        <w:t>3</w:t>
      </w:r>
      <w:r w:rsidRPr="00416430" w:rsidR="00416430">
        <w:rPr>
          <w:rStyle w:val="documentbody1"/>
          <w:rFonts w:ascii="Times New Roman" w:hAnsi="Times New Roman"/>
          <w:i w:val="0"/>
          <w:iCs w:val="0"/>
          <w:sz w:val="24"/>
          <w:szCs w:val="24"/>
        </w:rPr>
        <w:t xml:space="preserve">.162, which would be part of Subpart E of </w:t>
      </w:r>
      <w:r w:rsidR="00010A00">
        <w:rPr>
          <w:rStyle w:val="documentbody1"/>
          <w:rFonts w:ascii="Times New Roman" w:hAnsi="Times New Roman"/>
          <w:i w:val="0"/>
          <w:iCs w:val="0"/>
          <w:sz w:val="24"/>
          <w:szCs w:val="24"/>
        </w:rPr>
        <w:t>the Capital Adequacy Standards</w:t>
      </w:r>
      <w:r w:rsidRPr="00416430" w:rsidR="00416430">
        <w:rPr>
          <w:rStyle w:val="documentbody1"/>
          <w:rFonts w:ascii="Times New Roman" w:hAnsi="Times New Roman"/>
          <w:i w:val="0"/>
          <w:iCs w:val="0"/>
          <w:sz w:val="24"/>
          <w:szCs w:val="24"/>
        </w:rPr>
        <w:t xml:space="preserve">. Therefore, those requirements are included in the </w:t>
      </w:r>
      <w:r w:rsidR="0026557D">
        <w:rPr>
          <w:rStyle w:val="documentbody1"/>
          <w:rFonts w:ascii="Times New Roman" w:hAnsi="Times New Roman"/>
          <w:i w:val="0"/>
          <w:iCs w:val="0"/>
          <w:sz w:val="24"/>
          <w:szCs w:val="24"/>
        </w:rPr>
        <w:t>Capital Adequacy Sta</w:t>
      </w:r>
      <w:r w:rsidR="004626C4">
        <w:rPr>
          <w:rStyle w:val="documentbody1"/>
          <w:rFonts w:ascii="Times New Roman" w:hAnsi="Times New Roman"/>
          <w:i w:val="0"/>
          <w:iCs w:val="0"/>
          <w:sz w:val="24"/>
          <w:szCs w:val="24"/>
        </w:rPr>
        <w:t>ndards</w:t>
      </w:r>
      <w:r w:rsidRPr="00416430" w:rsidR="00416430">
        <w:rPr>
          <w:rStyle w:val="documentbody1"/>
          <w:rFonts w:ascii="Times New Roman" w:hAnsi="Times New Roman"/>
          <w:i w:val="0"/>
          <w:iCs w:val="0"/>
          <w:sz w:val="24"/>
          <w:szCs w:val="24"/>
        </w:rPr>
        <w:t xml:space="preserve"> information collection (</w:t>
      </w:r>
      <w:r w:rsidR="004626C4">
        <w:rPr>
          <w:rStyle w:val="documentbody1"/>
          <w:rFonts w:ascii="Times New Roman" w:hAnsi="Times New Roman"/>
          <w:i w:val="0"/>
          <w:iCs w:val="0"/>
          <w:sz w:val="24"/>
          <w:szCs w:val="24"/>
        </w:rPr>
        <w:t>1557</w:t>
      </w:r>
      <w:r w:rsidRPr="00416430" w:rsidR="00416430">
        <w:rPr>
          <w:rStyle w:val="documentbody1"/>
          <w:rFonts w:ascii="Times New Roman" w:hAnsi="Times New Roman"/>
          <w:i w:val="0"/>
          <w:iCs w:val="0"/>
          <w:sz w:val="24"/>
          <w:szCs w:val="24"/>
        </w:rPr>
        <w:t>-0</w:t>
      </w:r>
      <w:r w:rsidR="004626C4">
        <w:rPr>
          <w:rStyle w:val="documentbody1"/>
          <w:rFonts w:ascii="Times New Roman" w:hAnsi="Times New Roman"/>
          <w:i w:val="0"/>
          <w:iCs w:val="0"/>
          <w:sz w:val="24"/>
          <w:szCs w:val="24"/>
        </w:rPr>
        <w:t>318</w:t>
      </w:r>
      <w:r w:rsidRPr="00416430" w:rsidR="00416430">
        <w:rPr>
          <w:rStyle w:val="documentbody1"/>
          <w:rFonts w:ascii="Times New Roman" w:hAnsi="Times New Roman"/>
          <w:i w:val="0"/>
          <w:iCs w:val="0"/>
          <w:sz w:val="24"/>
          <w:szCs w:val="24"/>
        </w:rPr>
        <w:t>).</w:t>
      </w:r>
    </w:p>
    <w:p w:rsidR="0080575D" w:rsidRPr="0080575D" w:rsidP="00074EAF" w14:paraId="045C13C7" w14:textId="0A185038">
      <w:pPr>
        <w:pStyle w:val="BodyText"/>
        <w:tabs>
          <w:tab w:val="left" w:pos="0"/>
        </w:tabs>
        <w:ind w:right="720"/>
        <w:rPr>
          <w:rStyle w:val="documentbody1"/>
          <w:rFonts w:ascii="Times New Roman" w:hAnsi="Times New Roman"/>
          <w:i w:val="0"/>
          <w:iCs w:val="0"/>
          <w:sz w:val="24"/>
          <w:szCs w:val="24"/>
        </w:rPr>
      </w:pPr>
    </w:p>
    <w:p w:rsidR="00726A5C" w:rsidRPr="00BD1672" w:rsidP="005F0BF2" w14:paraId="35E0C269" w14:textId="77777777">
      <w:pPr>
        <w:rPr>
          <w:b/>
          <w:bCs/>
          <w:i/>
          <w:iCs/>
          <w:szCs w:val="24"/>
        </w:rPr>
      </w:pPr>
      <w:r w:rsidRPr="00BD1672">
        <w:rPr>
          <w:b/>
          <w:bCs/>
          <w:i/>
          <w:iCs/>
          <w:szCs w:val="24"/>
        </w:rPr>
        <w:t>3.  Consideration of the use of improved information technology:</w:t>
      </w:r>
    </w:p>
    <w:p w:rsidR="001630CF" w:rsidRPr="004540EE" w:rsidP="005F0BF2" w14:paraId="0A8F0160" w14:textId="77777777">
      <w:pPr>
        <w:ind w:right="713"/>
        <w:rPr>
          <w:b/>
          <w:bCs/>
          <w:iCs/>
          <w:szCs w:val="24"/>
        </w:rPr>
      </w:pPr>
    </w:p>
    <w:p w:rsidR="00CF4158" w:rsidRPr="004540EE" w:rsidP="005F0BF2" w14:paraId="2B348170" w14:textId="77777777">
      <w:pPr>
        <w:pStyle w:val="BodyText"/>
        <w:ind w:right="713"/>
        <w:rPr>
          <w:i w:val="0"/>
          <w:szCs w:val="24"/>
        </w:rPr>
      </w:pPr>
      <w:r w:rsidRPr="004540EE">
        <w:rPr>
          <w:i w:val="0"/>
          <w:szCs w:val="24"/>
        </w:rPr>
        <w:tab/>
        <w:t>Institutions</w:t>
      </w:r>
      <w:r w:rsidRPr="004540EE">
        <w:rPr>
          <w:i w:val="0"/>
          <w:szCs w:val="24"/>
        </w:rPr>
        <w:t xml:space="preserve"> may use any information technology that permits review by OCC examiners.</w:t>
      </w:r>
    </w:p>
    <w:p w:rsidR="001630CF" w:rsidRPr="004540EE" w:rsidP="005F0BF2" w14:paraId="18567D0E" w14:textId="77777777">
      <w:pPr>
        <w:pStyle w:val="BodyText"/>
        <w:ind w:right="713"/>
        <w:rPr>
          <w:i w:val="0"/>
          <w:iCs w:val="0"/>
          <w:szCs w:val="24"/>
        </w:rPr>
      </w:pPr>
    </w:p>
    <w:p w:rsidR="00726A5C" w:rsidRPr="00BD1672" w:rsidP="005F0BF2" w14:paraId="490853FB" w14:textId="77777777">
      <w:pPr>
        <w:rPr>
          <w:b/>
          <w:bCs/>
          <w:i/>
          <w:iCs/>
          <w:szCs w:val="24"/>
        </w:rPr>
      </w:pPr>
      <w:r w:rsidRPr="00BD1672">
        <w:rPr>
          <w:b/>
          <w:bCs/>
          <w:i/>
          <w:iCs/>
          <w:szCs w:val="24"/>
        </w:rPr>
        <w:t>4.  Efforts to identify duplication:</w:t>
      </w:r>
    </w:p>
    <w:p w:rsidR="001630CF" w:rsidRPr="004540EE" w:rsidP="005F0BF2" w14:paraId="5F8AB27A" w14:textId="77777777">
      <w:pPr>
        <w:ind w:right="713"/>
        <w:rPr>
          <w:b/>
          <w:bCs/>
          <w:iCs/>
          <w:szCs w:val="24"/>
        </w:rPr>
      </w:pPr>
    </w:p>
    <w:p w:rsidR="00CF4158" w:rsidRPr="004540EE" w:rsidP="005F0BF2" w14:paraId="66EDDA8B" w14:textId="77777777">
      <w:pPr>
        <w:ind w:right="713"/>
        <w:rPr>
          <w:szCs w:val="24"/>
        </w:rPr>
      </w:pPr>
      <w:r w:rsidRPr="004540EE">
        <w:rPr>
          <w:szCs w:val="24"/>
        </w:rPr>
        <w:tab/>
      </w:r>
      <w:r w:rsidRPr="004540EE">
        <w:rPr>
          <w:szCs w:val="24"/>
        </w:rPr>
        <w:t>The required information is unique and is not duplicative of any other information already collected.</w:t>
      </w:r>
    </w:p>
    <w:p w:rsidR="00CF4158" w:rsidRPr="004540EE" w:rsidP="005F0BF2" w14:paraId="4DE5F9BC" w14:textId="77777777">
      <w:pPr>
        <w:ind w:right="713"/>
        <w:rPr>
          <w:szCs w:val="24"/>
        </w:rPr>
      </w:pPr>
    </w:p>
    <w:p w:rsidR="00726A5C" w:rsidRPr="00BD1672" w:rsidP="005F0BF2" w14:paraId="0AAA8913" w14:textId="77777777">
      <w:pPr>
        <w:pStyle w:val="BodyText"/>
        <w:rPr>
          <w:b/>
          <w:bCs/>
          <w:szCs w:val="24"/>
        </w:rPr>
      </w:pPr>
      <w:r w:rsidRPr="00BD1672">
        <w:rPr>
          <w:b/>
          <w:bCs/>
          <w:szCs w:val="24"/>
        </w:rPr>
        <w:t>5.  Methods used to minimize burden if the collection has a significant impact on a substantial number of small entities:</w:t>
      </w:r>
    </w:p>
    <w:p w:rsidR="001630CF" w:rsidRPr="004540EE" w:rsidP="005F0BF2" w14:paraId="4B596755" w14:textId="77777777">
      <w:pPr>
        <w:pStyle w:val="BodyText"/>
        <w:ind w:right="713"/>
        <w:rPr>
          <w:b/>
          <w:bCs/>
          <w:i w:val="0"/>
          <w:szCs w:val="24"/>
        </w:rPr>
      </w:pPr>
    </w:p>
    <w:p w:rsidR="001630CF" w:rsidRPr="004540EE" w:rsidP="005F0BF2" w14:paraId="3FDE0205" w14:textId="77777777">
      <w:pPr>
        <w:ind w:right="713"/>
        <w:rPr>
          <w:szCs w:val="24"/>
        </w:rPr>
      </w:pPr>
      <w:r w:rsidRPr="004540EE">
        <w:rPr>
          <w:szCs w:val="24"/>
        </w:rPr>
        <w:tab/>
      </w:r>
      <w:r w:rsidRPr="004540EE" w:rsidR="00CF4158">
        <w:rPr>
          <w:szCs w:val="24"/>
        </w:rPr>
        <w:t xml:space="preserve">Not applicable.  </w:t>
      </w:r>
    </w:p>
    <w:p w:rsidR="00EC76A7" w:rsidRPr="004540EE" w:rsidP="005F0BF2" w14:paraId="43004100" w14:textId="77777777">
      <w:pPr>
        <w:ind w:right="713"/>
        <w:rPr>
          <w:szCs w:val="24"/>
        </w:rPr>
      </w:pPr>
    </w:p>
    <w:p w:rsidR="00726A5C" w:rsidRPr="00BD1672" w:rsidP="005F0BF2" w14:paraId="7BCA65E7" w14:textId="77777777">
      <w:pPr>
        <w:pStyle w:val="BodyText"/>
        <w:rPr>
          <w:b/>
          <w:bCs/>
          <w:szCs w:val="24"/>
        </w:rPr>
      </w:pPr>
      <w:r w:rsidRPr="00BD1672">
        <w:rPr>
          <w:b/>
          <w:bCs/>
          <w:szCs w:val="24"/>
        </w:rPr>
        <w:t xml:space="preserve">6.  Consequences to the </w:t>
      </w:r>
      <w:r w:rsidR="00260CE0">
        <w:rPr>
          <w:b/>
          <w:bCs/>
          <w:szCs w:val="24"/>
        </w:rPr>
        <w:t>f</w:t>
      </w:r>
      <w:r w:rsidR="00677AFC">
        <w:rPr>
          <w:b/>
          <w:bCs/>
          <w:szCs w:val="24"/>
        </w:rPr>
        <w:t>ederal</w:t>
      </w:r>
      <w:r w:rsidRPr="00BD1672">
        <w:rPr>
          <w:b/>
          <w:bCs/>
          <w:szCs w:val="24"/>
        </w:rPr>
        <w:t xml:space="preserve"> program if the collection were conducted less frequently:</w:t>
      </w:r>
    </w:p>
    <w:p w:rsidR="001630CF" w:rsidRPr="004540EE" w:rsidP="005F0BF2" w14:paraId="1EB44502" w14:textId="77777777">
      <w:pPr>
        <w:pStyle w:val="BodyText"/>
        <w:ind w:right="713"/>
        <w:rPr>
          <w:b/>
          <w:bCs/>
          <w:i w:val="0"/>
          <w:szCs w:val="24"/>
        </w:rPr>
      </w:pPr>
    </w:p>
    <w:p w:rsidR="00CF4158" w:rsidRPr="004540EE" w:rsidP="005F0BF2" w14:paraId="04C81B66" w14:textId="77777777">
      <w:pPr>
        <w:ind w:right="713"/>
        <w:rPr>
          <w:szCs w:val="24"/>
        </w:rPr>
      </w:pPr>
      <w:r w:rsidRPr="004540EE">
        <w:rPr>
          <w:szCs w:val="24"/>
        </w:rPr>
        <w:tab/>
      </w:r>
      <w:r w:rsidRPr="004540EE">
        <w:rPr>
          <w:szCs w:val="24"/>
        </w:rPr>
        <w:t>The OCC will not be able to adequately monitor capital levels and ensure safety and soundness.</w:t>
      </w:r>
    </w:p>
    <w:p w:rsidR="001630CF" w:rsidRPr="004540EE" w:rsidP="005F0BF2" w14:paraId="0BCFB7FA" w14:textId="77777777">
      <w:pPr>
        <w:ind w:right="713"/>
        <w:rPr>
          <w:szCs w:val="24"/>
        </w:rPr>
      </w:pPr>
    </w:p>
    <w:p w:rsidR="00726A5C" w:rsidRPr="00BD1672" w:rsidP="005F0BF2" w14:paraId="3AD1B3D5" w14:textId="77777777">
      <w:pPr>
        <w:pStyle w:val="BodyText"/>
        <w:rPr>
          <w:b/>
          <w:bCs/>
          <w:szCs w:val="24"/>
        </w:rPr>
      </w:pPr>
      <w:r w:rsidRPr="00BD1672">
        <w:rPr>
          <w:b/>
          <w:bCs/>
          <w:szCs w:val="24"/>
        </w:rPr>
        <w:t>7.  Special circumstances that would cause an information collection to be conducted in a manner inconsistent with 5 CFR Part 1320:</w:t>
      </w:r>
    </w:p>
    <w:p w:rsidR="001630CF" w:rsidRPr="004540EE" w:rsidP="005F0BF2" w14:paraId="19ECCD32" w14:textId="77777777">
      <w:pPr>
        <w:pStyle w:val="BodyText"/>
        <w:ind w:right="713"/>
        <w:rPr>
          <w:b/>
          <w:bCs/>
          <w:i w:val="0"/>
          <w:szCs w:val="24"/>
        </w:rPr>
      </w:pPr>
    </w:p>
    <w:p w:rsidR="007C16DE" w:rsidRPr="004540EE" w:rsidP="005F0BF2" w14:paraId="2C88B056" w14:textId="77777777">
      <w:pPr>
        <w:ind w:right="713"/>
        <w:rPr>
          <w:szCs w:val="24"/>
        </w:rPr>
      </w:pPr>
      <w:r w:rsidRPr="004540EE">
        <w:rPr>
          <w:szCs w:val="24"/>
        </w:rPr>
        <w:tab/>
      </w:r>
      <w:r w:rsidRPr="004540EE" w:rsidR="00CF4158">
        <w:rPr>
          <w:szCs w:val="24"/>
        </w:rPr>
        <w:t>The information collection will be conducted in a manner cons</w:t>
      </w:r>
      <w:r w:rsidRPr="004540EE">
        <w:rPr>
          <w:szCs w:val="24"/>
        </w:rPr>
        <w:t>istent with 5 CFR</w:t>
      </w:r>
      <w:r w:rsidRPr="004540EE" w:rsidR="00CF4158">
        <w:rPr>
          <w:szCs w:val="24"/>
        </w:rPr>
        <w:t xml:space="preserve"> </w:t>
      </w:r>
      <w:r w:rsidRPr="004540EE" w:rsidR="00726A5C">
        <w:rPr>
          <w:szCs w:val="24"/>
        </w:rPr>
        <w:t xml:space="preserve">part </w:t>
      </w:r>
      <w:r w:rsidRPr="004540EE" w:rsidR="00CF4158">
        <w:rPr>
          <w:szCs w:val="24"/>
        </w:rPr>
        <w:t>1320.</w:t>
      </w:r>
    </w:p>
    <w:p w:rsidR="004F7D16" w:rsidRPr="004540EE" w:rsidP="005F0BF2" w14:paraId="12E19D6D" w14:textId="77777777">
      <w:pPr>
        <w:pStyle w:val="BodyText"/>
        <w:ind w:right="270"/>
        <w:rPr>
          <w:b/>
          <w:bCs/>
          <w:i w:val="0"/>
          <w:iCs w:val="0"/>
          <w:szCs w:val="24"/>
        </w:rPr>
      </w:pPr>
    </w:p>
    <w:p w:rsidR="00F6665D" w:rsidRPr="00BD1672" w:rsidP="005F0BF2" w14:paraId="74610B54" w14:textId="77777777">
      <w:pPr>
        <w:pStyle w:val="BodyText"/>
        <w:rPr>
          <w:b/>
          <w:bCs/>
          <w:szCs w:val="24"/>
        </w:rPr>
      </w:pPr>
      <w:r w:rsidRPr="00BD1672">
        <w:rPr>
          <w:b/>
          <w:bCs/>
          <w:szCs w:val="24"/>
        </w:rPr>
        <w:t>8.  Efforts to consult with persons outside the agency:</w:t>
      </w:r>
    </w:p>
    <w:p w:rsidR="00CF4158" w:rsidRPr="004540EE" w:rsidP="005F0BF2" w14:paraId="49FC8037" w14:textId="77777777">
      <w:pPr>
        <w:pStyle w:val="BodyText"/>
        <w:ind w:right="713"/>
        <w:rPr>
          <w:b/>
          <w:i w:val="0"/>
          <w:iCs w:val="0"/>
          <w:szCs w:val="24"/>
        </w:rPr>
      </w:pPr>
    </w:p>
    <w:p w:rsidR="00CF4158" w:rsidRPr="004540EE" w:rsidP="005F0BF2" w14:paraId="76CF8AA1" w14:textId="03C2DC92">
      <w:pPr>
        <w:pStyle w:val="Footer"/>
        <w:tabs>
          <w:tab w:val="clear" w:pos="4320"/>
          <w:tab w:val="clear" w:pos="8640"/>
        </w:tabs>
        <w:autoSpaceDE w:val="0"/>
        <w:autoSpaceDN w:val="0"/>
        <w:adjustRightInd w:val="0"/>
        <w:ind w:right="713"/>
        <w:rPr>
          <w:szCs w:val="24"/>
        </w:rPr>
      </w:pPr>
      <w:r w:rsidRPr="004540EE">
        <w:rPr>
          <w:szCs w:val="24"/>
        </w:rPr>
        <w:tab/>
      </w:r>
      <w:r w:rsidR="005F0314">
        <w:rPr>
          <w:szCs w:val="24"/>
        </w:rPr>
        <w:t>The OCC</w:t>
      </w:r>
      <w:r w:rsidR="00930D46">
        <w:rPr>
          <w:szCs w:val="24"/>
        </w:rPr>
        <w:t xml:space="preserve">, FRB, and FDIC published a proposed rule </w:t>
      </w:r>
      <w:r w:rsidR="005F0314">
        <w:rPr>
          <w:szCs w:val="24"/>
        </w:rPr>
        <w:t>regarding the collection on</w:t>
      </w:r>
      <w:r w:rsidR="00884074">
        <w:rPr>
          <w:szCs w:val="24"/>
        </w:rPr>
        <w:t xml:space="preserve"> </w:t>
      </w:r>
      <w:r w:rsidRPr="00074EAF" w:rsidR="003A7CEF">
        <w:rPr>
          <w:szCs w:val="24"/>
        </w:rPr>
        <w:t>September</w:t>
      </w:r>
      <w:r w:rsidRPr="00074EAF" w:rsidR="00884074">
        <w:rPr>
          <w:szCs w:val="24"/>
        </w:rPr>
        <w:t xml:space="preserve"> </w:t>
      </w:r>
      <w:r w:rsidRPr="00074EAF" w:rsidR="003A7CEF">
        <w:rPr>
          <w:szCs w:val="24"/>
        </w:rPr>
        <w:t>18</w:t>
      </w:r>
      <w:r w:rsidRPr="00074EAF" w:rsidR="00884074">
        <w:rPr>
          <w:szCs w:val="24"/>
        </w:rPr>
        <w:t xml:space="preserve">, </w:t>
      </w:r>
      <w:r w:rsidRPr="00074EAF" w:rsidR="003A7CEF">
        <w:rPr>
          <w:szCs w:val="24"/>
        </w:rPr>
        <w:t xml:space="preserve">2023 </w:t>
      </w:r>
      <w:r w:rsidRPr="00074EAF" w:rsidR="00E159D8">
        <w:rPr>
          <w:szCs w:val="24"/>
        </w:rPr>
        <w:t>(</w:t>
      </w:r>
      <w:r w:rsidRPr="00074EAF" w:rsidR="00552E68">
        <w:rPr>
          <w:szCs w:val="24"/>
        </w:rPr>
        <w:t xml:space="preserve">88 </w:t>
      </w:r>
      <w:r w:rsidRPr="00074EAF" w:rsidR="00884074">
        <w:rPr>
          <w:szCs w:val="24"/>
        </w:rPr>
        <w:t xml:space="preserve">FR </w:t>
      </w:r>
      <w:r w:rsidRPr="00074EAF" w:rsidR="00552E68">
        <w:rPr>
          <w:szCs w:val="24"/>
        </w:rPr>
        <w:t>64208</w:t>
      </w:r>
      <w:r w:rsidRPr="00074EAF" w:rsidR="00E159D8">
        <w:rPr>
          <w:szCs w:val="24"/>
        </w:rPr>
        <w:t>)</w:t>
      </w:r>
      <w:r w:rsidRPr="00D60526" w:rsidR="005F0314">
        <w:rPr>
          <w:szCs w:val="24"/>
        </w:rPr>
        <w:t>.</w:t>
      </w:r>
      <w:r w:rsidR="005F0314">
        <w:rPr>
          <w:szCs w:val="24"/>
        </w:rPr>
        <w:t xml:space="preserve"> </w:t>
      </w:r>
    </w:p>
    <w:p w:rsidR="00CC35BC" w:rsidP="005F0BF2" w14:paraId="712DFE26" w14:textId="77777777">
      <w:pPr>
        <w:pStyle w:val="BodyText"/>
        <w:rPr>
          <w:b/>
          <w:bCs/>
          <w:i w:val="0"/>
          <w:szCs w:val="24"/>
        </w:rPr>
      </w:pPr>
    </w:p>
    <w:p w:rsidR="00F6665D" w:rsidRPr="00BD1672" w:rsidP="005F0BF2" w14:paraId="0C7BDEC2" w14:textId="77777777">
      <w:pPr>
        <w:pStyle w:val="BodyText"/>
        <w:rPr>
          <w:b/>
          <w:bCs/>
          <w:szCs w:val="24"/>
        </w:rPr>
      </w:pPr>
      <w:r w:rsidRPr="00BD1672">
        <w:rPr>
          <w:b/>
          <w:bCs/>
          <w:szCs w:val="24"/>
        </w:rPr>
        <w:t>9.  Payment or gift to respondents:</w:t>
      </w:r>
    </w:p>
    <w:p w:rsidR="001630CF" w:rsidRPr="004540EE" w:rsidP="005F0BF2" w14:paraId="071D8223" w14:textId="77777777">
      <w:pPr>
        <w:pStyle w:val="BodyText"/>
        <w:ind w:right="713"/>
        <w:rPr>
          <w:b/>
          <w:bCs/>
          <w:i w:val="0"/>
          <w:szCs w:val="24"/>
        </w:rPr>
      </w:pPr>
    </w:p>
    <w:p w:rsidR="00CF4158" w:rsidRPr="004540EE" w:rsidP="005F0BF2" w14:paraId="12161B09" w14:textId="77777777">
      <w:pPr>
        <w:ind w:right="713"/>
        <w:rPr>
          <w:szCs w:val="24"/>
        </w:rPr>
      </w:pPr>
      <w:r w:rsidRPr="004540EE">
        <w:rPr>
          <w:szCs w:val="24"/>
        </w:rPr>
        <w:tab/>
      </w:r>
      <w:r w:rsidRPr="004540EE">
        <w:rPr>
          <w:szCs w:val="24"/>
        </w:rPr>
        <w:t>None.</w:t>
      </w:r>
    </w:p>
    <w:p w:rsidR="001630CF" w:rsidRPr="004540EE" w:rsidP="005F0BF2" w14:paraId="7517E316" w14:textId="77777777">
      <w:pPr>
        <w:ind w:right="713"/>
        <w:rPr>
          <w:szCs w:val="24"/>
        </w:rPr>
      </w:pPr>
    </w:p>
    <w:p w:rsidR="00F6665D" w:rsidRPr="00BD1672" w:rsidP="005F0BF2" w14:paraId="306FB363" w14:textId="77777777">
      <w:pPr>
        <w:pStyle w:val="BodyText"/>
        <w:rPr>
          <w:b/>
          <w:bCs/>
          <w:szCs w:val="24"/>
        </w:rPr>
      </w:pPr>
      <w:r w:rsidRPr="00BD1672">
        <w:rPr>
          <w:b/>
          <w:bCs/>
          <w:szCs w:val="24"/>
        </w:rPr>
        <w:t>10.  Any assurance of confidentiality:</w:t>
      </w:r>
    </w:p>
    <w:p w:rsidR="001630CF" w:rsidRPr="004540EE" w:rsidP="005F0BF2" w14:paraId="4841A220" w14:textId="77777777">
      <w:pPr>
        <w:pStyle w:val="BodyText"/>
        <w:ind w:right="713"/>
        <w:rPr>
          <w:b/>
          <w:bCs/>
          <w:i w:val="0"/>
          <w:szCs w:val="24"/>
        </w:rPr>
      </w:pPr>
    </w:p>
    <w:p w:rsidR="00CF4158" w:rsidRPr="004540EE" w:rsidP="005F0BF2" w14:paraId="18F57234" w14:textId="77777777">
      <w:pPr>
        <w:ind w:right="713"/>
        <w:rPr>
          <w:szCs w:val="24"/>
        </w:rPr>
      </w:pPr>
      <w:r w:rsidRPr="004540EE">
        <w:rPr>
          <w:szCs w:val="24"/>
        </w:rPr>
        <w:tab/>
      </w:r>
      <w:r w:rsidRPr="004540EE" w:rsidR="000614B9">
        <w:rPr>
          <w:szCs w:val="24"/>
        </w:rPr>
        <w:t>The information will be kept confidential to the extent permitted by law.</w:t>
      </w:r>
    </w:p>
    <w:p w:rsidR="001630CF" w:rsidRPr="004540EE" w:rsidP="005F0BF2" w14:paraId="1B2B00CC" w14:textId="77777777">
      <w:pPr>
        <w:ind w:right="713"/>
        <w:rPr>
          <w:szCs w:val="24"/>
        </w:rPr>
      </w:pPr>
    </w:p>
    <w:p w:rsidR="00F6665D" w:rsidRPr="00BD1672" w:rsidP="005F0BF2" w14:paraId="5BCA45A9" w14:textId="77777777">
      <w:pPr>
        <w:pStyle w:val="BodyText"/>
        <w:rPr>
          <w:b/>
          <w:bCs/>
          <w:szCs w:val="24"/>
        </w:rPr>
      </w:pPr>
      <w:r w:rsidRPr="00BD1672">
        <w:rPr>
          <w:b/>
          <w:bCs/>
          <w:szCs w:val="24"/>
        </w:rPr>
        <w:t>11.  Justification for questions of a sensitive nature:</w:t>
      </w:r>
    </w:p>
    <w:p w:rsidR="001630CF" w:rsidRPr="004540EE" w:rsidP="005F0BF2" w14:paraId="79DF3D08" w14:textId="77777777">
      <w:pPr>
        <w:pStyle w:val="BodyText"/>
        <w:ind w:right="713"/>
        <w:rPr>
          <w:b/>
          <w:bCs/>
          <w:i w:val="0"/>
          <w:szCs w:val="24"/>
        </w:rPr>
      </w:pPr>
    </w:p>
    <w:p w:rsidR="00987F88" w:rsidRPr="004540EE" w:rsidP="005F0BF2" w14:paraId="0435578B" w14:textId="77777777">
      <w:pPr>
        <w:ind w:right="713"/>
        <w:rPr>
          <w:szCs w:val="24"/>
        </w:rPr>
      </w:pPr>
      <w:r w:rsidRPr="004540EE">
        <w:rPr>
          <w:szCs w:val="24"/>
        </w:rPr>
        <w:tab/>
      </w:r>
      <w:r w:rsidRPr="004540EE" w:rsidR="000614B9">
        <w:rPr>
          <w:szCs w:val="24"/>
        </w:rPr>
        <w:t xml:space="preserve">Not applicable.  No </w:t>
      </w:r>
      <w:r w:rsidRPr="004540EE">
        <w:rPr>
          <w:szCs w:val="24"/>
        </w:rPr>
        <w:t>sensitive information is collected.</w:t>
      </w:r>
    </w:p>
    <w:p w:rsidR="001630CF" w:rsidRPr="004540EE" w:rsidP="005F0BF2" w14:paraId="0D6C17E3" w14:textId="77777777">
      <w:pPr>
        <w:ind w:right="713"/>
        <w:rPr>
          <w:szCs w:val="24"/>
        </w:rPr>
      </w:pPr>
    </w:p>
    <w:p w:rsidR="00F6665D" w:rsidRPr="00BD1672" w:rsidP="005F0BF2" w14:paraId="06DD0F46" w14:textId="77777777">
      <w:pPr>
        <w:pStyle w:val="BodyText"/>
        <w:rPr>
          <w:b/>
          <w:bCs/>
          <w:szCs w:val="24"/>
        </w:rPr>
      </w:pPr>
      <w:r w:rsidRPr="00BD1672">
        <w:rPr>
          <w:b/>
          <w:bCs/>
          <w:szCs w:val="24"/>
        </w:rPr>
        <w:t>12.  Burden estimate:</w:t>
      </w:r>
    </w:p>
    <w:p w:rsidR="00C01F4A" w:rsidRPr="00C01F4A" w:rsidP="00C01F4A" w14:paraId="54D48C41" w14:textId="77777777">
      <w:pPr>
        <w:pStyle w:val="BodyText"/>
        <w:rPr>
          <w:b/>
          <w:bCs/>
          <w:szCs w:val="24"/>
        </w:rPr>
      </w:pPr>
    </w:p>
    <w:tbl>
      <w:tblPr>
        <w:tblW w:w="10620" w:type="dxa"/>
        <w:tblInd w:w="-1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995"/>
        <w:gridCol w:w="2066"/>
        <w:gridCol w:w="1883"/>
        <w:gridCol w:w="1883"/>
        <w:gridCol w:w="1883"/>
      </w:tblGrid>
      <w:tr w14:paraId="7DC8BA42" w14:textId="77777777" w:rsidTr="00074EAF">
        <w:tblPrEx>
          <w:tblW w:w="10620" w:type="dxa"/>
          <w:tblInd w:w="-1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c>
          <w:tcPr>
            <w:tcW w:w="2895" w:type="dxa"/>
          </w:tcPr>
          <w:p w:rsidR="00C01F4A" w:rsidRPr="00074EAF" w:rsidP="00C01F4A" w14:paraId="79156B48" w14:textId="77777777">
            <w:pPr>
              <w:pStyle w:val="BodyText"/>
              <w:ind w:right="713"/>
              <w:rPr>
                <w:szCs w:val="24"/>
              </w:rPr>
            </w:pPr>
          </w:p>
        </w:tc>
        <w:tc>
          <w:tcPr>
            <w:tcW w:w="2016" w:type="dxa"/>
            <w:vAlign w:val="center"/>
          </w:tcPr>
          <w:p w:rsidR="00C01F4A" w:rsidRPr="00074EAF" w:rsidP="00C01F4A" w14:paraId="45C1A8E9" w14:textId="77777777">
            <w:pPr>
              <w:pStyle w:val="BodyText"/>
              <w:ind w:right="713"/>
              <w:rPr>
                <w:b/>
                <w:bCs/>
                <w:i w:val="0"/>
                <w:iCs w:val="0"/>
                <w:sz w:val="22"/>
                <w:szCs w:val="22"/>
              </w:rPr>
            </w:pPr>
            <w:r w:rsidRPr="00074EAF">
              <w:rPr>
                <w:b/>
                <w:bCs/>
                <w:i w:val="0"/>
                <w:iCs w:val="0"/>
                <w:sz w:val="22"/>
                <w:szCs w:val="22"/>
              </w:rPr>
              <w:t>Estimated</w:t>
            </w:r>
          </w:p>
          <w:p w:rsidR="00C01F4A" w:rsidRPr="00074EAF" w:rsidP="00C01F4A" w14:paraId="3179C0F2" w14:textId="77777777">
            <w:pPr>
              <w:pStyle w:val="BodyText"/>
              <w:ind w:right="713"/>
              <w:rPr>
                <w:b/>
                <w:bCs/>
                <w:i w:val="0"/>
                <w:iCs w:val="0"/>
                <w:sz w:val="22"/>
                <w:szCs w:val="22"/>
              </w:rPr>
            </w:pPr>
            <w:r w:rsidRPr="00074EAF">
              <w:rPr>
                <w:b/>
                <w:bCs/>
                <w:i w:val="0"/>
                <w:iCs w:val="0"/>
                <w:sz w:val="22"/>
                <w:szCs w:val="22"/>
              </w:rPr>
              <w:t>number of</w:t>
            </w:r>
          </w:p>
          <w:p w:rsidR="00C01F4A" w:rsidRPr="00074EAF" w:rsidP="00C01F4A" w14:paraId="26EBD6A3" w14:textId="77777777">
            <w:pPr>
              <w:pStyle w:val="BodyText"/>
              <w:ind w:right="713"/>
              <w:rPr>
                <w:b/>
                <w:bCs/>
                <w:i w:val="0"/>
                <w:iCs w:val="0"/>
                <w:sz w:val="22"/>
                <w:szCs w:val="22"/>
              </w:rPr>
            </w:pPr>
            <w:r w:rsidRPr="00074EAF">
              <w:rPr>
                <w:b/>
                <w:bCs/>
                <w:i w:val="0"/>
                <w:iCs w:val="0"/>
                <w:sz w:val="22"/>
                <w:szCs w:val="22"/>
              </w:rPr>
              <w:t>respondents</w:t>
            </w:r>
          </w:p>
        </w:tc>
        <w:tc>
          <w:tcPr>
            <w:tcW w:w="1839" w:type="dxa"/>
            <w:vAlign w:val="center"/>
          </w:tcPr>
          <w:p w:rsidR="00C01F4A" w:rsidRPr="00074EAF" w:rsidP="00C01F4A" w14:paraId="4095F312" w14:textId="77777777">
            <w:pPr>
              <w:pStyle w:val="BodyText"/>
              <w:ind w:right="713"/>
              <w:rPr>
                <w:b/>
                <w:bCs/>
                <w:i w:val="0"/>
                <w:iCs w:val="0"/>
                <w:sz w:val="22"/>
                <w:szCs w:val="22"/>
              </w:rPr>
            </w:pPr>
            <w:r w:rsidRPr="00074EAF">
              <w:rPr>
                <w:b/>
                <w:bCs/>
                <w:i w:val="0"/>
                <w:iCs w:val="0"/>
                <w:sz w:val="22"/>
                <w:szCs w:val="22"/>
              </w:rPr>
              <w:t>Estimated</w:t>
            </w:r>
          </w:p>
          <w:p w:rsidR="00C01F4A" w:rsidRPr="00074EAF" w:rsidP="00C01F4A" w14:paraId="539ADACC" w14:textId="77777777">
            <w:pPr>
              <w:pStyle w:val="BodyText"/>
              <w:ind w:right="713"/>
              <w:rPr>
                <w:b/>
                <w:bCs/>
                <w:i w:val="0"/>
                <w:iCs w:val="0"/>
                <w:sz w:val="22"/>
                <w:szCs w:val="22"/>
              </w:rPr>
            </w:pPr>
            <w:r w:rsidRPr="00074EAF">
              <w:rPr>
                <w:b/>
                <w:bCs/>
                <w:i w:val="0"/>
                <w:iCs w:val="0"/>
                <w:sz w:val="22"/>
                <w:szCs w:val="22"/>
              </w:rPr>
              <w:t>annual</w:t>
            </w:r>
          </w:p>
          <w:p w:rsidR="00C01F4A" w:rsidRPr="00074EAF" w:rsidP="00C01F4A" w14:paraId="76C8951B" w14:textId="77777777">
            <w:pPr>
              <w:pStyle w:val="BodyText"/>
              <w:ind w:right="713"/>
              <w:rPr>
                <w:b/>
                <w:bCs/>
                <w:i w:val="0"/>
                <w:iCs w:val="0"/>
                <w:sz w:val="22"/>
                <w:szCs w:val="22"/>
              </w:rPr>
            </w:pPr>
            <w:r w:rsidRPr="00074EAF">
              <w:rPr>
                <w:b/>
                <w:bCs/>
                <w:i w:val="0"/>
                <w:iCs w:val="0"/>
                <w:sz w:val="22"/>
                <w:szCs w:val="22"/>
              </w:rPr>
              <w:t>frequency</w:t>
            </w:r>
          </w:p>
        </w:tc>
        <w:tc>
          <w:tcPr>
            <w:tcW w:w="1839" w:type="dxa"/>
            <w:vAlign w:val="center"/>
          </w:tcPr>
          <w:p w:rsidR="00C01F4A" w:rsidRPr="00074EAF" w:rsidP="00C01F4A" w14:paraId="080D1437" w14:textId="77777777">
            <w:pPr>
              <w:pStyle w:val="BodyText"/>
              <w:ind w:right="713"/>
              <w:rPr>
                <w:b/>
                <w:bCs/>
                <w:i w:val="0"/>
                <w:iCs w:val="0"/>
                <w:sz w:val="22"/>
                <w:szCs w:val="22"/>
              </w:rPr>
            </w:pPr>
            <w:r w:rsidRPr="00074EAF">
              <w:rPr>
                <w:b/>
                <w:bCs/>
                <w:i w:val="0"/>
                <w:iCs w:val="0"/>
                <w:sz w:val="22"/>
                <w:szCs w:val="22"/>
              </w:rPr>
              <w:t>Estimated</w:t>
            </w:r>
          </w:p>
          <w:p w:rsidR="00C01F4A" w:rsidRPr="00074EAF" w:rsidP="00C01F4A" w14:paraId="78CD2891" w14:textId="77777777">
            <w:pPr>
              <w:pStyle w:val="BodyText"/>
              <w:ind w:right="713"/>
              <w:rPr>
                <w:b/>
                <w:bCs/>
                <w:i w:val="0"/>
                <w:iCs w:val="0"/>
                <w:sz w:val="22"/>
                <w:szCs w:val="22"/>
              </w:rPr>
            </w:pPr>
            <w:r w:rsidRPr="00074EAF">
              <w:rPr>
                <w:b/>
                <w:bCs/>
                <w:i w:val="0"/>
                <w:iCs w:val="0"/>
                <w:sz w:val="22"/>
                <w:szCs w:val="22"/>
              </w:rPr>
              <w:t>average hours</w:t>
            </w:r>
          </w:p>
          <w:p w:rsidR="00C01F4A" w:rsidRPr="00074EAF" w:rsidP="00C01F4A" w14:paraId="719A316B" w14:textId="77777777">
            <w:pPr>
              <w:pStyle w:val="BodyText"/>
              <w:ind w:right="713"/>
              <w:rPr>
                <w:b/>
                <w:bCs/>
                <w:i w:val="0"/>
                <w:iCs w:val="0"/>
                <w:sz w:val="22"/>
                <w:szCs w:val="22"/>
              </w:rPr>
            </w:pPr>
            <w:r w:rsidRPr="00074EAF">
              <w:rPr>
                <w:b/>
                <w:bCs/>
                <w:i w:val="0"/>
                <w:iCs w:val="0"/>
                <w:sz w:val="22"/>
                <w:szCs w:val="22"/>
              </w:rPr>
              <w:t>per response</w:t>
            </w:r>
          </w:p>
        </w:tc>
        <w:tc>
          <w:tcPr>
            <w:tcW w:w="2031" w:type="dxa"/>
            <w:vAlign w:val="center"/>
          </w:tcPr>
          <w:p w:rsidR="00C01F4A" w:rsidRPr="00074EAF" w:rsidP="00C01F4A" w14:paraId="4366C1B1" w14:textId="77777777">
            <w:pPr>
              <w:pStyle w:val="BodyText"/>
              <w:ind w:right="713"/>
              <w:rPr>
                <w:b/>
                <w:bCs/>
                <w:i w:val="0"/>
                <w:iCs w:val="0"/>
                <w:sz w:val="22"/>
                <w:szCs w:val="22"/>
              </w:rPr>
            </w:pPr>
            <w:r w:rsidRPr="00074EAF">
              <w:rPr>
                <w:b/>
                <w:bCs/>
                <w:i w:val="0"/>
                <w:iCs w:val="0"/>
                <w:sz w:val="22"/>
                <w:szCs w:val="22"/>
              </w:rPr>
              <w:t>Estimated</w:t>
            </w:r>
          </w:p>
          <w:p w:rsidR="00C01F4A" w:rsidRPr="00074EAF" w:rsidP="00C01F4A" w14:paraId="58218BD3" w14:textId="77777777">
            <w:pPr>
              <w:pStyle w:val="BodyText"/>
              <w:ind w:right="713"/>
              <w:rPr>
                <w:b/>
                <w:bCs/>
                <w:i w:val="0"/>
                <w:iCs w:val="0"/>
                <w:sz w:val="22"/>
                <w:szCs w:val="22"/>
              </w:rPr>
            </w:pPr>
            <w:r w:rsidRPr="00074EAF">
              <w:rPr>
                <w:b/>
                <w:bCs/>
                <w:i w:val="0"/>
                <w:iCs w:val="0"/>
                <w:sz w:val="22"/>
                <w:szCs w:val="22"/>
              </w:rPr>
              <w:t>annual burden</w:t>
            </w:r>
          </w:p>
          <w:p w:rsidR="00C01F4A" w:rsidRPr="00074EAF" w:rsidP="00C01F4A" w14:paraId="19FE0668" w14:textId="77777777">
            <w:pPr>
              <w:pStyle w:val="BodyText"/>
              <w:ind w:right="713"/>
              <w:rPr>
                <w:b/>
                <w:bCs/>
                <w:i w:val="0"/>
                <w:iCs w:val="0"/>
                <w:sz w:val="22"/>
                <w:szCs w:val="22"/>
              </w:rPr>
            </w:pPr>
            <w:r w:rsidRPr="00074EAF">
              <w:rPr>
                <w:b/>
                <w:bCs/>
                <w:i w:val="0"/>
                <w:iCs w:val="0"/>
                <w:sz w:val="22"/>
                <w:szCs w:val="22"/>
              </w:rPr>
              <w:t>hours</w:t>
            </w:r>
          </w:p>
        </w:tc>
      </w:tr>
      <w:tr w14:paraId="2154C871" w14:textId="77777777" w:rsidTr="007A6204">
        <w:tblPrEx>
          <w:tblW w:w="10620" w:type="dxa"/>
          <w:tblInd w:w="-185" w:type="dxa"/>
          <w:tblLook w:val="04A0"/>
        </w:tblPrEx>
        <w:tc>
          <w:tcPr>
            <w:tcW w:w="2895" w:type="dxa"/>
          </w:tcPr>
          <w:p w:rsidR="00C01F4A" w:rsidRPr="00074EAF" w:rsidP="00C01F4A" w14:paraId="13B2350C" w14:textId="77777777">
            <w:pPr>
              <w:pStyle w:val="BodyText"/>
              <w:ind w:right="713"/>
              <w:rPr>
                <w:b/>
                <w:bCs/>
                <w:i w:val="0"/>
                <w:iCs w:val="0"/>
                <w:szCs w:val="24"/>
              </w:rPr>
            </w:pPr>
            <w:r w:rsidRPr="00074EAF">
              <w:rPr>
                <w:b/>
                <w:bCs/>
                <w:i w:val="0"/>
                <w:iCs w:val="0"/>
                <w:szCs w:val="24"/>
              </w:rPr>
              <w:t>Reporting</w:t>
            </w:r>
          </w:p>
        </w:tc>
        <w:tc>
          <w:tcPr>
            <w:tcW w:w="2016" w:type="dxa"/>
            <w:vAlign w:val="bottom"/>
          </w:tcPr>
          <w:p w:rsidR="00C01F4A" w:rsidRPr="00074EAF" w:rsidP="00C01F4A" w14:paraId="36A9D96A" w14:textId="77777777">
            <w:pPr>
              <w:pStyle w:val="BodyText"/>
              <w:ind w:right="713"/>
              <w:rPr>
                <w:i w:val="0"/>
                <w:iCs w:val="0"/>
                <w:szCs w:val="24"/>
              </w:rPr>
            </w:pPr>
          </w:p>
        </w:tc>
        <w:tc>
          <w:tcPr>
            <w:tcW w:w="1839" w:type="dxa"/>
            <w:vAlign w:val="bottom"/>
          </w:tcPr>
          <w:p w:rsidR="00C01F4A" w:rsidRPr="00074EAF" w:rsidP="00C01F4A" w14:paraId="2D0678FF" w14:textId="77777777">
            <w:pPr>
              <w:pStyle w:val="BodyText"/>
              <w:ind w:right="713"/>
              <w:rPr>
                <w:i w:val="0"/>
                <w:iCs w:val="0"/>
                <w:szCs w:val="24"/>
              </w:rPr>
            </w:pPr>
          </w:p>
        </w:tc>
        <w:tc>
          <w:tcPr>
            <w:tcW w:w="1839" w:type="dxa"/>
            <w:vAlign w:val="bottom"/>
          </w:tcPr>
          <w:p w:rsidR="00C01F4A" w:rsidRPr="00074EAF" w:rsidP="00C01F4A" w14:paraId="6C5C9F08" w14:textId="77777777">
            <w:pPr>
              <w:pStyle w:val="BodyText"/>
              <w:ind w:right="713"/>
              <w:rPr>
                <w:i w:val="0"/>
                <w:iCs w:val="0"/>
                <w:szCs w:val="24"/>
              </w:rPr>
            </w:pPr>
          </w:p>
        </w:tc>
        <w:tc>
          <w:tcPr>
            <w:tcW w:w="2031" w:type="dxa"/>
            <w:vAlign w:val="bottom"/>
          </w:tcPr>
          <w:p w:rsidR="00C01F4A" w:rsidRPr="00074EAF" w:rsidP="00C01F4A" w14:paraId="384DF24A" w14:textId="77777777">
            <w:pPr>
              <w:pStyle w:val="BodyText"/>
              <w:ind w:right="713"/>
              <w:rPr>
                <w:i w:val="0"/>
                <w:iCs w:val="0"/>
                <w:szCs w:val="24"/>
              </w:rPr>
            </w:pPr>
          </w:p>
        </w:tc>
      </w:tr>
      <w:tr w14:paraId="35BA641A" w14:textId="77777777" w:rsidTr="007A6204">
        <w:tblPrEx>
          <w:tblW w:w="10620" w:type="dxa"/>
          <w:tblInd w:w="-185" w:type="dxa"/>
          <w:tblLook w:val="04A0"/>
        </w:tblPrEx>
        <w:tc>
          <w:tcPr>
            <w:tcW w:w="2895" w:type="dxa"/>
          </w:tcPr>
          <w:p w:rsidR="00C01F4A" w:rsidRPr="00074EAF" w:rsidP="00C01F4A" w14:paraId="4C9A5C6F" w14:textId="77777777">
            <w:pPr>
              <w:pStyle w:val="BodyText"/>
              <w:ind w:right="713"/>
              <w:rPr>
                <w:i w:val="0"/>
                <w:iCs w:val="0"/>
                <w:szCs w:val="24"/>
              </w:rPr>
            </w:pPr>
            <w:r w:rsidRPr="00074EAF">
              <w:rPr>
                <w:i w:val="0"/>
                <w:iCs w:val="0"/>
                <w:szCs w:val="24"/>
              </w:rPr>
              <w:t>Prior approvals (on occasion) --</w:t>
            </w:r>
          </w:p>
          <w:p w:rsidR="00C01F4A" w:rsidRPr="00074EAF" w:rsidP="00C01F4A" w14:paraId="58D8EFCE" w14:textId="20D7BCB8">
            <w:pPr>
              <w:pStyle w:val="BodyText"/>
              <w:ind w:right="713"/>
              <w:rPr>
                <w:i w:val="0"/>
                <w:iCs w:val="0"/>
                <w:szCs w:val="24"/>
              </w:rPr>
            </w:pPr>
            <w:r w:rsidRPr="00074EAF">
              <w:rPr>
                <w:i w:val="0"/>
                <w:iCs w:val="0"/>
                <w:szCs w:val="24"/>
              </w:rPr>
              <w:t xml:space="preserve">Sections: 3.201(b)(5)(i) &amp; (ii), Market Risk Covered Position 3.202(1)(ii)(A)(2), 3.204(d)(1), 3.204(d)(3)(i), 3.204(e)(1), 3.204(e)(2)(v), 3.204(e)(3), 3.204(g)(2), 3.204(g)(4), 3.205(f)(1)(ii), 3.205(h)(1)(ii)(B), 3.205(h)(1)(ii)(A)(3), 3.207(a)(3), (4), and (5), 3.207(a)(8), </w:t>
            </w:r>
            <w:r w:rsidRPr="00074EAF">
              <w:rPr>
                <w:i w:val="0"/>
                <w:iCs w:val="0"/>
                <w:szCs w:val="24"/>
              </w:rPr>
              <w:t>3.208(b)(4), 3.208(h)(3)(ii), 3.212(a)(2), 3.212(b)(1)(iii)(C), 3.212(b)(3), 3.215(c)(1), 3.215(d)(1)(i), 3.221(a), 3.221(c)(2)(iii), 3.221(3), 3.223(a)(1), 3.224(d)(3)(iii)</w:t>
            </w:r>
          </w:p>
          <w:p w:rsidR="00C01F4A" w:rsidRPr="00074EAF" w:rsidP="00C01F4A" w14:paraId="157497BE" w14:textId="77777777">
            <w:pPr>
              <w:pStyle w:val="BodyText"/>
              <w:ind w:right="713"/>
              <w:rPr>
                <w:i w:val="0"/>
                <w:iCs w:val="0"/>
                <w:szCs w:val="24"/>
              </w:rPr>
            </w:pPr>
          </w:p>
        </w:tc>
        <w:tc>
          <w:tcPr>
            <w:tcW w:w="2016" w:type="dxa"/>
            <w:vAlign w:val="bottom"/>
          </w:tcPr>
          <w:p w:rsidR="00C01F4A" w:rsidRPr="00074EAF" w:rsidP="00C01F4A" w14:paraId="34EE08B3" w14:textId="77777777">
            <w:pPr>
              <w:pStyle w:val="BodyText"/>
              <w:ind w:right="713"/>
              <w:rPr>
                <w:i w:val="0"/>
                <w:iCs w:val="0"/>
                <w:szCs w:val="24"/>
              </w:rPr>
            </w:pPr>
            <w:r w:rsidRPr="00074EAF">
              <w:rPr>
                <w:i w:val="0"/>
                <w:iCs w:val="0"/>
                <w:szCs w:val="24"/>
              </w:rPr>
              <w:t>10</w:t>
            </w:r>
          </w:p>
        </w:tc>
        <w:tc>
          <w:tcPr>
            <w:tcW w:w="1839" w:type="dxa"/>
            <w:vAlign w:val="bottom"/>
          </w:tcPr>
          <w:p w:rsidR="00C01F4A" w:rsidRPr="00074EAF" w:rsidP="00C01F4A" w14:paraId="2AD0891B" w14:textId="77777777">
            <w:pPr>
              <w:pStyle w:val="BodyText"/>
              <w:ind w:right="713"/>
              <w:rPr>
                <w:i w:val="0"/>
                <w:iCs w:val="0"/>
                <w:szCs w:val="24"/>
              </w:rPr>
            </w:pPr>
            <w:r w:rsidRPr="00074EAF">
              <w:rPr>
                <w:i w:val="0"/>
                <w:iCs w:val="0"/>
                <w:szCs w:val="24"/>
              </w:rPr>
              <w:t>1</w:t>
            </w:r>
          </w:p>
        </w:tc>
        <w:tc>
          <w:tcPr>
            <w:tcW w:w="1839" w:type="dxa"/>
            <w:vAlign w:val="bottom"/>
          </w:tcPr>
          <w:p w:rsidR="00C01F4A" w:rsidRPr="00074EAF" w:rsidP="00C01F4A" w14:paraId="1D288EA0" w14:textId="77777777">
            <w:pPr>
              <w:pStyle w:val="BodyText"/>
              <w:ind w:right="713"/>
              <w:rPr>
                <w:i w:val="0"/>
                <w:iCs w:val="0"/>
                <w:szCs w:val="24"/>
              </w:rPr>
            </w:pPr>
            <w:r w:rsidRPr="00074EAF">
              <w:rPr>
                <w:i w:val="0"/>
                <w:iCs w:val="0"/>
                <w:szCs w:val="24"/>
              </w:rPr>
              <w:t>1,200</w:t>
            </w:r>
          </w:p>
        </w:tc>
        <w:tc>
          <w:tcPr>
            <w:tcW w:w="2031" w:type="dxa"/>
            <w:vAlign w:val="bottom"/>
          </w:tcPr>
          <w:p w:rsidR="00C01F4A" w:rsidRPr="00074EAF" w:rsidP="00C01F4A" w14:paraId="37F46458" w14:textId="77777777">
            <w:pPr>
              <w:pStyle w:val="BodyText"/>
              <w:ind w:right="713"/>
              <w:rPr>
                <w:i w:val="0"/>
                <w:iCs w:val="0"/>
                <w:szCs w:val="24"/>
              </w:rPr>
            </w:pPr>
            <w:r w:rsidRPr="00074EAF">
              <w:rPr>
                <w:i w:val="0"/>
                <w:iCs w:val="0"/>
                <w:szCs w:val="24"/>
              </w:rPr>
              <w:t>12,000</w:t>
            </w:r>
          </w:p>
        </w:tc>
      </w:tr>
      <w:tr w14:paraId="74D17DED" w14:textId="77777777" w:rsidTr="007A6204">
        <w:tblPrEx>
          <w:tblW w:w="10620" w:type="dxa"/>
          <w:tblInd w:w="-185" w:type="dxa"/>
          <w:tblLook w:val="04A0"/>
        </w:tblPrEx>
        <w:tc>
          <w:tcPr>
            <w:tcW w:w="2895" w:type="dxa"/>
          </w:tcPr>
          <w:p w:rsidR="00C01F4A" w:rsidRPr="00074EAF" w:rsidP="00C01F4A" w14:paraId="4A9F1502" w14:textId="77777777">
            <w:pPr>
              <w:pStyle w:val="BodyText"/>
              <w:ind w:right="713"/>
              <w:rPr>
                <w:i w:val="0"/>
                <w:iCs w:val="0"/>
                <w:szCs w:val="24"/>
              </w:rPr>
            </w:pPr>
            <w:r w:rsidRPr="00074EAF">
              <w:rPr>
                <w:i w:val="0"/>
                <w:iCs w:val="0"/>
                <w:szCs w:val="24"/>
              </w:rPr>
              <w:t xml:space="preserve">Model related prior approvals (on occasion) – </w:t>
            </w:r>
          </w:p>
          <w:p w:rsidR="00C01F4A" w:rsidRPr="00074EAF" w:rsidP="00C01F4A" w14:paraId="53F5C637" w14:textId="77777777">
            <w:pPr>
              <w:pStyle w:val="BodyText"/>
              <w:ind w:right="713"/>
              <w:rPr>
                <w:i w:val="0"/>
                <w:iCs w:val="0"/>
                <w:szCs w:val="24"/>
              </w:rPr>
            </w:pPr>
            <w:r w:rsidRPr="00074EAF">
              <w:rPr>
                <w:i w:val="0"/>
                <w:iCs w:val="0"/>
                <w:szCs w:val="24"/>
              </w:rPr>
              <w:t>Sections: 3.204(g)(1)(iii), 3.212(b)(2), and 3.212(c)</w:t>
            </w:r>
          </w:p>
        </w:tc>
        <w:tc>
          <w:tcPr>
            <w:tcW w:w="2016" w:type="dxa"/>
            <w:vAlign w:val="bottom"/>
          </w:tcPr>
          <w:p w:rsidR="00C01F4A" w:rsidRPr="00074EAF" w:rsidP="00C01F4A" w14:paraId="16C219AE" w14:textId="77777777">
            <w:pPr>
              <w:pStyle w:val="BodyText"/>
              <w:ind w:right="713"/>
              <w:rPr>
                <w:i w:val="0"/>
                <w:iCs w:val="0"/>
                <w:szCs w:val="24"/>
              </w:rPr>
            </w:pPr>
            <w:r w:rsidRPr="00074EAF">
              <w:rPr>
                <w:i w:val="0"/>
                <w:iCs w:val="0"/>
                <w:szCs w:val="24"/>
              </w:rPr>
              <w:t>49</w:t>
            </w:r>
          </w:p>
        </w:tc>
        <w:tc>
          <w:tcPr>
            <w:tcW w:w="1839" w:type="dxa"/>
            <w:vAlign w:val="bottom"/>
          </w:tcPr>
          <w:p w:rsidR="00C01F4A" w:rsidRPr="00074EAF" w:rsidP="00C01F4A" w14:paraId="2F5FD8B1" w14:textId="77777777">
            <w:pPr>
              <w:pStyle w:val="BodyText"/>
              <w:ind w:right="713"/>
              <w:rPr>
                <w:i w:val="0"/>
                <w:iCs w:val="0"/>
                <w:szCs w:val="24"/>
              </w:rPr>
            </w:pPr>
            <w:r w:rsidRPr="00074EAF">
              <w:rPr>
                <w:i w:val="0"/>
                <w:iCs w:val="0"/>
                <w:szCs w:val="24"/>
              </w:rPr>
              <w:t>1</w:t>
            </w:r>
          </w:p>
        </w:tc>
        <w:tc>
          <w:tcPr>
            <w:tcW w:w="1839" w:type="dxa"/>
            <w:vAlign w:val="bottom"/>
          </w:tcPr>
          <w:p w:rsidR="00C01F4A" w:rsidRPr="00074EAF" w:rsidP="00C01F4A" w14:paraId="0B08C5C9" w14:textId="77777777">
            <w:pPr>
              <w:pStyle w:val="BodyText"/>
              <w:ind w:right="713"/>
              <w:rPr>
                <w:i w:val="0"/>
                <w:iCs w:val="0"/>
                <w:szCs w:val="24"/>
              </w:rPr>
            </w:pPr>
            <w:r w:rsidRPr="00074EAF">
              <w:rPr>
                <w:i w:val="0"/>
                <w:iCs w:val="0"/>
                <w:szCs w:val="24"/>
              </w:rPr>
              <w:t>300</w:t>
            </w:r>
          </w:p>
        </w:tc>
        <w:tc>
          <w:tcPr>
            <w:tcW w:w="2031" w:type="dxa"/>
            <w:vAlign w:val="bottom"/>
          </w:tcPr>
          <w:p w:rsidR="00C01F4A" w:rsidRPr="00074EAF" w:rsidP="00C01F4A" w14:paraId="6A986E6F" w14:textId="77777777">
            <w:pPr>
              <w:pStyle w:val="BodyText"/>
              <w:ind w:right="713"/>
              <w:rPr>
                <w:i w:val="0"/>
                <w:iCs w:val="0"/>
                <w:szCs w:val="24"/>
              </w:rPr>
            </w:pPr>
            <w:r w:rsidRPr="00074EAF">
              <w:rPr>
                <w:i w:val="0"/>
                <w:iCs w:val="0"/>
                <w:szCs w:val="24"/>
              </w:rPr>
              <w:t>14,700</w:t>
            </w:r>
          </w:p>
        </w:tc>
      </w:tr>
      <w:tr w14:paraId="315CD0C3" w14:textId="77777777" w:rsidTr="007A6204">
        <w:tblPrEx>
          <w:tblW w:w="10620" w:type="dxa"/>
          <w:tblInd w:w="-185" w:type="dxa"/>
          <w:tblLook w:val="04A0"/>
        </w:tblPrEx>
        <w:tc>
          <w:tcPr>
            <w:tcW w:w="2895" w:type="dxa"/>
          </w:tcPr>
          <w:p w:rsidR="00C01F4A" w:rsidRPr="00074EAF" w:rsidP="00C01F4A" w14:paraId="23D8D2A1" w14:textId="77777777">
            <w:pPr>
              <w:pStyle w:val="BodyText"/>
              <w:ind w:right="713"/>
              <w:rPr>
                <w:i w:val="0"/>
                <w:iCs w:val="0"/>
                <w:szCs w:val="24"/>
              </w:rPr>
            </w:pPr>
            <w:r w:rsidRPr="00074EAF">
              <w:rPr>
                <w:i w:val="0"/>
                <w:iCs w:val="0"/>
                <w:szCs w:val="24"/>
              </w:rPr>
              <w:t>Mapping Demonstration (on occasion) --</w:t>
            </w:r>
          </w:p>
          <w:p w:rsidR="00C01F4A" w:rsidRPr="00074EAF" w:rsidP="00C01F4A" w14:paraId="501522C2" w14:textId="77777777">
            <w:pPr>
              <w:pStyle w:val="BodyText"/>
              <w:ind w:right="713"/>
              <w:rPr>
                <w:i w:val="0"/>
                <w:iCs w:val="0"/>
                <w:szCs w:val="24"/>
              </w:rPr>
            </w:pPr>
            <w:r w:rsidRPr="00074EAF">
              <w:rPr>
                <w:i w:val="0"/>
                <w:iCs w:val="0"/>
                <w:szCs w:val="24"/>
              </w:rPr>
              <w:t>Section: 3.224(d)(3)(ii)</w:t>
            </w:r>
          </w:p>
        </w:tc>
        <w:tc>
          <w:tcPr>
            <w:tcW w:w="2016" w:type="dxa"/>
            <w:vAlign w:val="bottom"/>
          </w:tcPr>
          <w:p w:rsidR="00C01F4A" w:rsidRPr="00074EAF" w:rsidP="00C01F4A" w14:paraId="55E35620" w14:textId="77777777">
            <w:pPr>
              <w:pStyle w:val="BodyText"/>
              <w:ind w:right="713"/>
              <w:rPr>
                <w:i w:val="0"/>
                <w:iCs w:val="0"/>
                <w:szCs w:val="24"/>
              </w:rPr>
            </w:pPr>
            <w:r w:rsidRPr="00074EAF">
              <w:rPr>
                <w:i w:val="0"/>
                <w:iCs w:val="0"/>
                <w:szCs w:val="24"/>
              </w:rPr>
              <w:t>3</w:t>
            </w:r>
          </w:p>
        </w:tc>
        <w:tc>
          <w:tcPr>
            <w:tcW w:w="1839" w:type="dxa"/>
            <w:vAlign w:val="bottom"/>
          </w:tcPr>
          <w:p w:rsidR="00C01F4A" w:rsidRPr="00074EAF" w:rsidP="00C01F4A" w14:paraId="0D6BE7D0" w14:textId="77777777">
            <w:pPr>
              <w:pStyle w:val="BodyText"/>
              <w:ind w:right="713"/>
              <w:rPr>
                <w:i w:val="0"/>
                <w:iCs w:val="0"/>
                <w:szCs w:val="24"/>
              </w:rPr>
            </w:pPr>
            <w:r w:rsidRPr="00074EAF">
              <w:rPr>
                <w:i w:val="0"/>
                <w:iCs w:val="0"/>
                <w:szCs w:val="24"/>
              </w:rPr>
              <w:t>1</w:t>
            </w:r>
          </w:p>
        </w:tc>
        <w:tc>
          <w:tcPr>
            <w:tcW w:w="1839" w:type="dxa"/>
            <w:vAlign w:val="bottom"/>
          </w:tcPr>
          <w:p w:rsidR="00C01F4A" w:rsidRPr="00074EAF" w:rsidP="00C01F4A" w14:paraId="7FA8D666" w14:textId="77777777">
            <w:pPr>
              <w:pStyle w:val="BodyText"/>
              <w:ind w:right="713"/>
              <w:rPr>
                <w:i w:val="0"/>
                <w:iCs w:val="0"/>
                <w:szCs w:val="24"/>
              </w:rPr>
            </w:pPr>
            <w:r w:rsidRPr="00074EAF">
              <w:rPr>
                <w:i w:val="0"/>
                <w:iCs w:val="0"/>
                <w:szCs w:val="24"/>
              </w:rPr>
              <w:t>2</w:t>
            </w:r>
          </w:p>
        </w:tc>
        <w:tc>
          <w:tcPr>
            <w:tcW w:w="2031" w:type="dxa"/>
            <w:vAlign w:val="bottom"/>
          </w:tcPr>
          <w:p w:rsidR="00C01F4A" w:rsidRPr="00074EAF" w:rsidP="00C01F4A" w14:paraId="0B35FDF8" w14:textId="77777777">
            <w:pPr>
              <w:pStyle w:val="BodyText"/>
              <w:ind w:right="713"/>
              <w:rPr>
                <w:i w:val="0"/>
                <w:iCs w:val="0"/>
                <w:szCs w:val="24"/>
              </w:rPr>
            </w:pPr>
            <w:r w:rsidRPr="00074EAF">
              <w:rPr>
                <w:i w:val="0"/>
                <w:iCs w:val="0"/>
                <w:szCs w:val="24"/>
              </w:rPr>
              <w:t>6</w:t>
            </w:r>
          </w:p>
        </w:tc>
      </w:tr>
      <w:tr w14:paraId="44192182" w14:textId="77777777" w:rsidTr="007A6204">
        <w:tblPrEx>
          <w:tblW w:w="10620" w:type="dxa"/>
          <w:tblInd w:w="-185" w:type="dxa"/>
          <w:tblLook w:val="04A0"/>
        </w:tblPrEx>
        <w:tc>
          <w:tcPr>
            <w:tcW w:w="2895" w:type="dxa"/>
          </w:tcPr>
          <w:p w:rsidR="00C01F4A" w:rsidRPr="00074EAF" w:rsidP="00C01F4A" w14:paraId="50C18F1F" w14:textId="77777777">
            <w:pPr>
              <w:pStyle w:val="BodyText"/>
              <w:ind w:right="713"/>
              <w:rPr>
                <w:b/>
                <w:bCs/>
                <w:i w:val="0"/>
                <w:iCs w:val="0"/>
                <w:szCs w:val="24"/>
              </w:rPr>
            </w:pPr>
            <w:r w:rsidRPr="00074EAF">
              <w:rPr>
                <w:b/>
                <w:bCs/>
                <w:i w:val="0"/>
                <w:iCs w:val="0"/>
                <w:szCs w:val="24"/>
              </w:rPr>
              <w:t>Recordkeeping</w:t>
            </w:r>
          </w:p>
        </w:tc>
        <w:tc>
          <w:tcPr>
            <w:tcW w:w="2016" w:type="dxa"/>
            <w:vAlign w:val="bottom"/>
          </w:tcPr>
          <w:p w:rsidR="00C01F4A" w:rsidRPr="00074EAF" w:rsidP="00C01F4A" w14:paraId="2C9C80A3" w14:textId="77777777">
            <w:pPr>
              <w:pStyle w:val="BodyText"/>
              <w:ind w:right="713"/>
              <w:rPr>
                <w:i w:val="0"/>
                <w:iCs w:val="0"/>
                <w:szCs w:val="24"/>
              </w:rPr>
            </w:pPr>
          </w:p>
        </w:tc>
        <w:tc>
          <w:tcPr>
            <w:tcW w:w="1839" w:type="dxa"/>
            <w:vAlign w:val="bottom"/>
          </w:tcPr>
          <w:p w:rsidR="00C01F4A" w:rsidRPr="00074EAF" w:rsidP="00C01F4A" w14:paraId="0AFFC808" w14:textId="77777777">
            <w:pPr>
              <w:pStyle w:val="BodyText"/>
              <w:ind w:right="713"/>
              <w:rPr>
                <w:i w:val="0"/>
                <w:iCs w:val="0"/>
                <w:szCs w:val="24"/>
              </w:rPr>
            </w:pPr>
          </w:p>
        </w:tc>
        <w:tc>
          <w:tcPr>
            <w:tcW w:w="1839" w:type="dxa"/>
            <w:vAlign w:val="bottom"/>
          </w:tcPr>
          <w:p w:rsidR="00C01F4A" w:rsidRPr="00074EAF" w:rsidP="00C01F4A" w14:paraId="11A99414" w14:textId="77777777">
            <w:pPr>
              <w:pStyle w:val="BodyText"/>
              <w:ind w:right="713"/>
              <w:rPr>
                <w:i w:val="0"/>
                <w:iCs w:val="0"/>
                <w:szCs w:val="24"/>
              </w:rPr>
            </w:pPr>
          </w:p>
        </w:tc>
        <w:tc>
          <w:tcPr>
            <w:tcW w:w="2031" w:type="dxa"/>
            <w:vAlign w:val="bottom"/>
          </w:tcPr>
          <w:p w:rsidR="00C01F4A" w:rsidRPr="00074EAF" w:rsidP="00C01F4A" w14:paraId="31A28D72" w14:textId="77777777">
            <w:pPr>
              <w:pStyle w:val="BodyText"/>
              <w:ind w:right="713"/>
              <w:rPr>
                <w:i w:val="0"/>
                <w:iCs w:val="0"/>
                <w:szCs w:val="24"/>
              </w:rPr>
            </w:pPr>
          </w:p>
        </w:tc>
      </w:tr>
      <w:tr w14:paraId="5969BEA8" w14:textId="77777777" w:rsidTr="007A6204">
        <w:tblPrEx>
          <w:tblW w:w="10620" w:type="dxa"/>
          <w:tblInd w:w="-185" w:type="dxa"/>
          <w:tblLook w:val="04A0"/>
        </w:tblPrEx>
        <w:tc>
          <w:tcPr>
            <w:tcW w:w="2895" w:type="dxa"/>
          </w:tcPr>
          <w:p w:rsidR="00C01F4A" w:rsidRPr="00074EAF" w:rsidP="00C01F4A" w14:paraId="132762ED" w14:textId="77777777">
            <w:pPr>
              <w:pStyle w:val="BodyText"/>
              <w:ind w:right="713"/>
              <w:rPr>
                <w:i w:val="0"/>
                <w:iCs w:val="0"/>
                <w:szCs w:val="24"/>
              </w:rPr>
            </w:pPr>
            <w:r w:rsidRPr="00074EAF">
              <w:rPr>
                <w:i w:val="0"/>
                <w:iCs w:val="0"/>
                <w:szCs w:val="24"/>
              </w:rPr>
              <w:t>Market risk policies and procedures (annual) --</w:t>
            </w:r>
          </w:p>
          <w:p w:rsidR="00C01F4A" w:rsidRPr="00074EAF" w:rsidP="00C01F4A" w14:paraId="690AEABF" w14:textId="77777777">
            <w:pPr>
              <w:pStyle w:val="BodyText"/>
              <w:ind w:right="713"/>
              <w:rPr>
                <w:i w:val="0"/>
                <w:iCs w:val="0"/>
                <w:szCs w:val="24"/>
              </w:rPr>
            </w:pPr>
            <w:r w:rsidRPr="00074EAF">
              <w:rPr>
                <w:i w:val="0"/>
                <w:iCs w:val="0"/>
                <w:szCs w:val="24"/>
              </w:rPr>
              <w:t>Section: 3.203(a)(1)</w:t>
            </w:r>
          </w:p>
        </w:tc>
        <w:tc>
          <w:tcPr>
            <w:tcW w:w="2016" w:type="dxa"/>
            <w:vAlign w:val="bottom"/>
          </w:tcPr>
          <w:p w:rsidR="00C01F4A" w:rsidRPr="00074EAF" w:rsidP="00C01F4A" w14:paraId="62DC9A9E" w14:textId="77777777">
            <w:pPr>
              <w:pStyle w:val="BodyText"/>
              <w:ind w:right="713"/>
              <w:rPr>
                <w:i w:val="0"/>
                <w:iCs w:val="0"/>
                <w:szCs w:val="24"/>
              </w:rPr>
            </w:pPr>
            <w:r w:rsidRPr="00074EAF">
              <w:rPr>
                <w:i w:val="0"/>
                <w:iCs w:val="0"/>
                <w:szCs w:val="24"/>
              </w:rPr>
              <w:t>49</w:t>
            </w:r>
          </w:p>
        </w:tc>
        <w:tc>
          <w:tcPr>
            <w:tcW w:w="1839" w:type="dxa"/>
            <w:vAlign w:val="bottom"/>
          </w:tcPr>
          <w:p w:rsidR="00C01F4A" w:rsidRPr="00074EAF" w:rsidP="00C01F4A" w14:paraId="44249B8E" w14:textId="77777777">
            <w:pPr>
              <w:pStyle w:val="BodyText"/>
              <w:ind w:right="713"/>
              <w:rPr>
                <w:i w:val="0"/>
                <w:iCs w:val="0"/>
                <w:szCs w:val="24"/>
              </w:rPr>
            </w:pPr>
            <w:r w:rsidRPr="00074EAF">
              <w:rPr>
                <w:i w:val="0"/>
                <w:iCs w:val="0"/>
                <w:szCs w:val="24"/>
              </w:rPr>
              <w:t>1</w:t>
            </w:r>
          </w:p>
        </w:tc>
        <w:tc>
          <w:tcPr>
            <w:tcW w:w="1839" w:type="dxa"/>
            <w:vAlign w:val="bottom"/>
          </w:tcPr>
          <w:p w:rsidR="00C01F4A" w:rsidRPr="00074EAF" w:rsidP="00C01F4A" w14:paraId="4B706F9A" w14:textId="77777777">
            <w:pPr>
              <w:pStyle w:val="BodyText"/>
              <w:ind w:right="713"/>
              <w:rPr>
                <w:i w:val="0"/>
                <w:iCs w:val="0"/>
                <w:szCs w:val="24"/>
              </w:rPr>
            </w:pPr>
            <w:r w:rsidRPr="00074EAF">
              <w:rPr>
                <w:i w:val="0"/>
                <w:iCs w:val="0"/>
                <w:szCs w:val="24"/>
              </w:rPr>
              <w:t>96</w:t>
            </w:r>
          </w:p>
        </w:tc>
        <w:tc>
          <w:tcPr>
            <w:tcW w:w="2031" w:type="dxa"/>
            <w:vAlign w:val="bottom"/>
          </w:tcPr>
          <w:p w:rsidR="00C01F4A" w:rsidRPr="00074EAF" w:rsidP="00C01F4A" w14:paraId="337638B1" w14:textId="77777777">
            <w:pPr>
              <w:pStyle w:val="BodyText"/>
              <w:ind w:right="713"/>
              <w:rPr>
                <w:i w:val="0"/>
                <w:iCs w:val="0"/>
                <w:szCs w:val="24"/>
              </w:rPr>
            </w:pPr>
            <w:r w:rsidRPr="00074EAF">
              <w:rPr>
                <w:i w:val="0"/>
                <w:iCs w:val="0"/>
                <w:szCs w:val="24"/>
              </w:rPr>
              <w:t>4,704</w:t>
            </w:r>
          </w:p>
        </w:tc>
      </w:tr>
      <w:tr w14:paraId="04FC0B8E" w14:textId="77777777" w:rsidTr="007A6204">
        <w:tblPrEx>
          <w:tblW w:w="10620" w:type="dxa"/>
          <w:tblInd w:w="-185" w:type="dxa"/>
          <w:tblLook w:val="04A0"/>
        </w:tblPrEx>
        <w:tc>
          <w:tcPr>
            <w:tcW w:w="2895" w:type="dxa"/>
          </w:tcPr>
          <w:p w:rsidR="00C01F4A" w:rsidRPr="00074EAF" w:rsidP="00C01F4A" w14:paraId="48C42380" w14:textId="77777777">
            <w:pPr>
              <w:pStyle w:val="BodyText"/>
              <w:ind w:right="713"/>
              <w:rPr>
                <w:i w:val="0"/>
                <w:iCs w:val="0"/>
                <w:szCs w:val="24"/>
              </w:rPr>
            </w:pPr>
            <w:r w:rsidRPr="00074EAF">
              <w:rPr>
                <w:i w:val="0"/>
                <w:iCs w:val="0"/>
                <w:szCs w:val="24"/>
              </w:rPr>
              <w:t>Market risk trading and hedging strategies (annual) --</w:t>
            </w:r>
          </w:p>
          <w:p w:rsidR="00C01F4A" w:rsidRPr="00074EAF" w:rsidP="00C01F4A" w14:paraId="2792B1A1" w14:textId="77777777">
            <w:pPr>
              <w:pStyle w:val="BodyText"/>
              <w:ind w:right="713"/>
              <w:rPr>
                <w:i w:val="0"/>
                <w:iCs w:val="0"/>
                <w:szCs w:val="24"/>
              </w:rPr>
            </w:pPr>
            <w:r w:rsidRPr="00074EAF">
              <w:rPr>
                <w:i w:val="0"/>
                <w:iCs w:val="0"/>
                <w:szCs w:val="24"/>
              </w:rPr>
              <w:t>Section: 3.203(a)(2)</w:t>
            </w:r>
          </w:p>
          <w:p w:rsidR="00C01F4A" w:rsidRPr="00074EAF" w:rsidP="00C01F4A" w14:paraId="41B535F2" w14:textId="77777777">
            <w:pPr>
              <w:pStyle w:val="BodyText"/>
              <w:ind w:right="713"/>
              <w:rPr>
                <w:i w:val="0"/>
                <w:iCs w:val="0"/>
                <w:szCs w:val="24"/>
              </w:rPr>
            </w:pPr>
          </w:p>
        </w:tc>
        <w:tc>
          <w:tcPr>
            <w:tcW w:w="2016" w:type="dxa"/>
            <w:vAlign w:val="bottom"/>
          </w:tcPr>
          <w:p w:rsidR="00C01F4A" w:rsidRPr="00074EAF" w:rsidP="00C01F4A" w14:paraId="5FE35130" w14:textId="77777777">
            <w:pPr>
              <w:pStyle w:val="BodyText"/>
              <w:ind w:right="713"/>
              <w:rPr>
                <w:i w:val="0"/>
                <w:iCs w:val="0"/>
                <w:szCs w:val="24"/>
              </w:rPr>
            </w:pPr>
            <w:r w:rsidRPr="00074EAF">
              <w:rPr>
                <w:i w:val="0"/>
                <w:iCs w:val="0"/>
                <w:szCs w:val="24"/>
              </w:rPr>
              <w:t>49</w:t>
            </w:r>
          </w:p>
        </w:tc>
        <w:tc>
          <w:tcPr>
            <w:tcW w:w="1839" w:type="dxa"/>
            <w:vAlign w:val="bottom"/>
          </w:tcPr>
          <w:p w:rsidR="00C01F4A" w:rsidRPr="00074EAF" w:rsidP="00C01F4A" w14:paraId="2EAE9B32" w14:textId="77777777">
            <w:pPr>
              <w:pStyle w:val="BodyText"/>
              <w:ind w:right="713"/>
              <w:rPr>
                <w:i w:val="0"/>
                <w:iCs w:val="0"/>
                <w:szCs w:val="24"/>
              </w:rPr>
            </w:pPr>
            <w:r w:rsidRPr="00074EAF">
              <w:rPr>
                <w:i w:val="0"/>
                <w:iCs w:val="0"/>
                <w:szCs w:val="24"/>
              </w:rPr>
              <w:t>1</w:t>
            </w:r>
          </w:p>
        </w:tc>
        <w:tc>
          <w:tcPr>
            <w:tcW w:w="1839" w:type="dxa"/>
            <w:vAlign w:val="bottom"/>
          </w:tcPr>
          <w:p w:rsidR="00C01F4A" w:rsidRPr="00074EAF" w:rsidP="00C01F4A" w14:paraId="7B849132" w14:textId="77777777">
            <w:pPr>
              <w:pStyle w:val="BodyText"/>
              <w:ind w:right="713"/>
              <w:rPr>
                <w:i w:val="0"/>
                <w:iCs w:val="0"/>
                <w:szCs w:val="24"/>
              </w:rPr>
            </w:pPr>
            <w:r w:rsidRPr="00074EAF">
              <w:rPr>
                <w:i w:val="0"/>
                <w:iCs w:val="0"/>
                <w:szCs w:val="24"/>
              </w:rPr>
              <w:t>16</w:t>
            </w:r>
          </w:p>
        </w:tc>
        <w:tc>
          <w:tcPr>
            <w:tcW w:w="2031" w:type="dxa"/>
            <w:vAlign w:val="bottom"/>
          </w:tcPr>
          <w:p w:rsidR="00C01F4A" w:rsidRPr="00074EAF" w:rsidP="00C01F4A" w14:paraId="27C328AC" w14:textId="77777777">
            <w:pPr>
              <w:pStyle w:val="BodyText"/>
              <w:ind w:right="713"/>
              <w:rPr>
                <w:i w:val="0"/>
                <w:iCs w:val="0"/>
                <w:szCs w:val="24"/>
              </w:rPr>
            </w:pPr>
            <w:r w:rsidRPr="00074EAF">
              <w:rPr>
                <w:i w:val="0"/>
                <w:iCs w:val="0"/>
                <w:szCs w:val="24"/>
              </w:rPr>
              <w:t>784</w:t>
            </w:r>
          </w:p>
        </w:tc>
      </w:tr>
      <w:tr w14:paraId="700DB6BD" w14:textId="77777777" w:rsidTr="007A6204">
        <w:tblPrEx>
          <w:tblW w:w="10620" w:type="dxa"/>
          <w:tblInd w:w="-185" w:type="dxa"/>
          <w:tblLook w:val="04A0"/>
        </w:tblPrEx>
        <w:tc>
          <w:tcPr>
            <w:tcW w:w="2895" w:type="dxa"/>
          </w:tcPr>
          <w:p w:rsidR="00C01F4A" w:rsidRPr="00074EAF" w:rsidP="00C01F4A" w14:paraId="5453FB7C" w14:textId="77777777">
            <w:pPr>
              <w:pStyle w:val="BodyText"/>
              <w:ind w:right="713"/>
              <w:rPr>
                <w:i w:val="0"/>
                <w:iCs w:val="0"/>
                <w:szCs w:val="24"/>
              </w:rPr>
            </w:pPr>
            <w:r w:rsidRPr="00074EAF">
              <w:rPr>
                <w:i w:val="0"/>
                <w:iCs w:val="0"/>
                <w:szCs w:val="24"/>
              </w:rPr>
              <w:t>Trading desk policies (annual) --</w:t>
            </w:r>
          </w:p>
          <w:p w:rsidR="00C01F4A" w:rsidRPr="00074EAF" w:rsidP="00C01F4A" w14:paraId="34E3A707" w14:textId="77777777">
            <w:pPr>
              <w:pStyle w:val="BodyText"/>
              <w:ind w:right="713"/>
              <w:rPr>
                <w:i w:val="0"/>
                <w:iCs w:val="0"/>
                <w:szCs w:val="24"/>
              </w:rPr>
            </w:pPr>
            <w:r w:rsidRPr="00074EAF">
              <w:rPr>
                <w:i w:val="0"/>
                <w:iCs w:val="0"/>
                <w:szCs w:val="24"/>
              </w:rPr>
              <w:t>Section: 3.203(b)(2)</w:t>
            </w:r>
          </w:p>
        </w:tc>
        <w:tc>
          <w:tcPr>
            <w:tcW w:w="2016" w:type="dxa"/>
            <w:vAlign w:val="bottom"/>
          </w:tcPr>
          <w:p w:rsidR="00C01F4A" w:rsidRPr="00074EAF" w:rsidP="00C01F4A" w14:paraId="1C8B8F5D" w14:textId="77777777">
            <w:pPr>
              <w:pStyle w:val="BodyText"/>
              <w:ind w:right="713"/>
              <w:rPr>
                <w:i w:val="0"/>
                <w:iCs w:val="0"/>
                <w:szCs w:val="24"/>
              </w:rPr>
            </w:pPr>
            <w:r w:rsidRPr="00074EAF">
              <w:rPr>
                <w:i w:val="0"/>
                <w:iCs w:val="0"/>
                <w:szCs w:val="24"/>
              </w:rPr>
              <w:t>49</w:t>
            </w:r>
          </w:p>
        </w:tc>
        <w:tc>
          <w:tcPr>
            <w:tcW w:w="1839" w:type="dxa"/>
            <w:vAlign w:val="bottom"/>
          </w:tcPr>
          <w:p w:rsidR="00C01F4A" w:rsidRPr="00074EAF" w:rsidP="00C01F4A" w14:paraId="310791C4" w14:textId="77777777">
            <w:pPr>
              <w:pStyle w:val="BodyText"/>
              <w:ind w:right="713"/>
              <w:rPr>
                <w:i w:val="0"/>
                <w:iCs w:val="0"/>
                <w:szCs w:val="24"/>
              </w:rPr>
            </w:pPr>
            <w:r w:rsidRPr="00074EAF">
              <w:rPr>
                <w:i w:val="0"/>
                <w:iCs w:val="0"/>
                <w:szCs w:val="24"/>
              </w:rPr>
              <w:t>1</w:t>
            </w:r>
          </w:p>
        </w:tc>
        <w:tc>
          <w:tcPr>
            <w:tcW w:w="1839" w:type="dxa"/>
            <w:vAlign w:val="bottom"/>
          </w:tcPr>
          <w:p w:rsidR="00C01F4A" w:rsidRPr="00074EAF" w:rsidP="00C01F4A" w14:paraId="0A6FE1C6" w14:textId="77777777">
            <w:pPr>
              <w:pStyle w:val="BodyText"/>
              <w:ind w:right="713"/>
              <w:rPr>
                <w:i w:val="0"/>
                <w:iCs w:val="0"/>
                <w:szCs w:val="24"/>
              </w:rPr>
            </w:pPr>
            <w:r w:rsidRPr="00074EAF">
              <w:rPr>
                <w:i w:val="0"/>
                <w:iCs w:val="0"/>
                <w:szCs w:val="24"/>
              </w:rPr>
              <w:t>16</w:t>
            </w:r>
          </w:p>
        </w:tc>
        <w:tc>
          <w:tcPr>
            <w:tcW w:w="2031" w:type="dxa"/>
            <w:vAlign w:val="bottom"/>
          </w:tcPr>
          <w:p w:rsidR="00C01F4A" w:rsidRPr="00074EAF" w:rsidP="00C01F4A" w14:paraId="01352D0B" w14:textId="77777777">
            <w:pPr>
              <w:pStyle w:val="BodyText"/>
              <w:ind w:right="713"/>
              <w:rPr>
                <w:i w:val="0"/>
                <w:iCs w:val="0"/>
                <w:szCs w:val="24"/>
              </w:rPr>
            </w:pPr>
            <w:r w:rsidRPr="00074EAF">
              <w:rPr>
                <w:i w:val="0"/>
                <w:iCs w:val="0"/>
                <w:szCs w:val="24"/>
              </w:rPr>
              <w:t>784</w:t>
            </w:r>
          </w:p>
        </w:tc>
      </w:tr>
      <w:tr w14:paraId="13CAC3E0" w14:textId="77777777" w:rsidTr="007A6204">
        <w:tblPrEx>
          <w:tblW w:w="10620" w:type="dxa"/>
          <w:tblInd w:w="-185" w:type="dxa"/>
          <w:tblLook w:val="04A0"/>
        </w:tblPrEx>
        <w:trPr>
          <w:trHeight w:val="795"/>
        </w:trPr>
        <w:tc>
          <w:tcPr>
            <w:tcW w:w="2895" w:type="dxa"/>
          </w:tcPr>
          <w:p w:rsidR="00C01F4A" w:rsidRPr="00074EAF" w:rsidP="00C01F4A" w14:paraId="59287642" w14:textId="77777777">
            <w:pPr>
              <w:pStyle w:val="BodyText"/>
              <w:ind w:right="713"/>
              <w:rPr>
                <w:i w:val="0"/>
                <w:iCs w:val="0"/>
                <w:szCs w:val="24"/>
              </w:rPr>
            </w:pPr>
            <w:r w:rsidRPr="00074EAF">
              <w:rPr>
                <w:i w:val="0"/>
                <w:iCs w:val="0"/>
                <w:szCs w:val="24"/>
              </w:rPr>
              <w:t>Internal market risk management systems (annual) --</w:t>
            </w:r>
          </w:p>
          <w:p w:rsidR="00C01F4A" w:rsidRPr="00074EAF" w:rsidP="00C01F4A" w14:paraId="004DA243" w14:textId="77777777">
            <w:pPr>
              <w:pStyle w:val="BodyText"/>
              <w:ind w:right="713"/>
              <w:rPr>
                <w:i w:val="0"/>
                <w:iCs w:val="0"/>
                <w:szCs w:val="24"/>
              </w:rPr>
            </w:pPr>
            <w:r w:rsidRPr="00074EAF">
              <w:rPr>
                <w:i w:val="0"/>
                <w:iCs w:val="0"/>
                <w:szCs w:val="24"/>
              </w:rPr>
              <w:t>Section: 3.203(e)(1)</w:t>
            </w:r>
          </w:p>
          <w:p w:rsidR="00C01F4A" w:rsidRPr="00074EAF" w:rsidP="00C01F4A" w14:paraId="3D56A77A" w14:textId="77777777">
            <w:pPr>
              <w:pStyle w:val="BodyText"/>
              <w:ind w:right="713"/>
              <w:rPr>
                <w:i w:val="0"/>
                <w:iCs w:val="0"/>
                <w:szCs w:val="24"/>
              </w:rPr>
            </w:pPr>
          </w:p>
        </w:tc>
        <w:tc>
          <w:tcPr>
            <w:tcW w:w="2016" w:type="dxa"/>
            <w:vAlign w:val="bottom"/>
          </w:tcPr>
          <w:p w:rsidR="00C01F4A" w:rsidRPr="00074EAF" w:rsidP="00C01F4A" w14:paraId="4063C392" w14:textId="77777777">
            <w:pPr>
              <w:pStyle w:val="BodyText"/>
              <w:ind w:right="713"/>
              <w:rPr>
                <w:i w:val="0"/>
                <w:iCs w:val="0"/>
                <w:szCs w:val="24"/>
              </w:rPr>
            </w:pPr>
            <w:r w:rsidRPr="00074EAF">
              <w:rPr>
                <w:i w:val="0"/>
                <w:iCs w:val="0"/>
                <w:szCs w:val="24"/>
              </w:rPr>
              <w:t>49</w:t>
            </w:r>
          </w:p>
        </w:tc>
        <w:tc>
          <w:tcPr>
            <w:tcW w:w="1839" w:type="dxa"/>
            <w:vAlign w:val="bottom"/>
          </w:tcPr>
          <w:p w:rsidR="00C01F4A" w:rsidRPr="00074EAF" w:rsidP="00C01F4A" w14:paraId="4E528E81" w14:textId="77777777">
            <w:pPr>
              <w:pStyle w:val="BodyText"/>
              <w:ind w:right="713"/>
              <w:rPr>
                <w:i w:val="0"/>
                <w:iCs w:val="0"/>
                <w:szCs w:val="24"/>
              </w:rPr>
            </w:pPr>
            <w:r w:rsidRPr="00074EAF">
              <w:rPr>
                <w:i w:val="0"/>
                <w:iCs w:val="0"/>
                <w:szCs w:val="24"/>
              </w:rPr>
              <w:t>1</w:t>
            </w:r>
          </w:p>
        </w:tc>
        <w:tc>
          <w:tcPr>
            <w:tcW w:w="1839" w:type="dxa"/>
            <w:vAlign w:val="bottom"/>
          </w:tcPr>
          <w:p w:rsidR="00C01F4A" w:rsidRPr="00074EAF" w:rsidP="00C01F4A" w14:paraId="5031DC3B" w14:textId="77777777">
            <w:pPr>
              <w:pStyle w:val="BodyText"/>
              <w:ind w:right="713"/>
              <w:rPr>
                <w:i w:val="0"/>
                <w:iCs w:val="0"/>
                <w:szCs w:val="24"/>
              </w:rPr>
            </w:pPr>
            <w:r w:rsidRPr="00074EAF">
              <w:rPr>
                <w:i w:val="0"/>
                <w:iCs w:val="0"/>
                <w:szCs w:val="24"/>
              </w:rPr>
              <w:t>12</w:t>
            </w:r>
          </w:p>
        </w:tc>
        <w:tc>
          <w:tcPr>
            <w:tcW w:w="2031" w:type="dxa"/>
            <w:vAlign w:val="bottom"/>
          </w:tcPr>
          <w:p w:rsidR="00C01F4A" w:rsidRPr="00074EAF" w:rsidP="00C01F4A" w14:paraId="23DA9675" w14:textId="77777777">
            <w:pPr>
              <w:pStyle w:val="BodyText"/>
              <w:ind w:right="713"/>
              <w:rPr>
                <w:i w:val="0"/>
                <w:iCs w:val="0"/>
                <w:szCs w:val="24"/>
              </w:rPr>
            </w:pPr>
            <w:r w:rsidRPr="00074EAF">
              <w:rPr>
                <w:i w:val="0"/>
                <w:iCs w:val="0"/>
                <w:szCs w:val="24"/>
              </w:rPr>
              <w:t>588</w:t>
            </w:r>
          </w:p>
        </w:tc>
      </w:tr>
      <w:tr w14:paraId="0A9F0099" w14:textId="77777777" w:rsidTr="007A6204">
        <w:tblPrEx>
          <w:tblW w:w="10620" w:type="dxa"/>
          <w:tblInd w:w="-185" w:type="dxa"/>
          <w:tblLook w:val="04A0"/>
        </w:tblPrEx>
        <w:trPr>
          <w:trHeight w:val="795"/>
        </w:trPr>
        <w:tc>
          <w:tcPr>
            <w:tcW w:w="2895" w:type="dxa"/>
          </w:tcPr>
          <w:p w:rsidR="00C01F4A" w:rsidRPr="00074EAF" w:rsidP="00C01F4A" w14:paraId="64C912C8" w14:textId="77777777">
            <w:pPr>
              <w:pStyle w:val="BodyText"/>
              <w:ind w:right="713"/>
              <w:rPr>
                <w:i w:val="0"/>
                <w:iCs w:val="0"/>
                <w:szCs w:val="24"/>
              </w:rPr>
            </w:pPr>
            <w:r w:rsidRPr="00074EAF">
              <w:rPr>
                <w:i w:val="0"/>
                <w:iCs w:val="0"/>
                <w:szCs w:val="24"/>
              </w:rPr>
              <w:t>Internal audit function (annual) --</w:t>
            </w:r>
          </w:p>
          <w:p w:rsidR="00C01F4A" w:rsidRPr="00074EAF" w:rsidP="00C01F4A" w14:paraId="10E27B85" w14:textId="77777777">
            <w:pPr>
              <w:pStyle w:val="BodyText"/>
              <w:ind w:right="713"/>
              <w:rPr>
                <w:i w:val="0"/>
                <w:iCs w:val="0"/>
                <w:szCs w:val="24"/>
              </w:rPr>
            </w:pPr>
            <w:r w:rsidRPr="00074EAF">
              <w:rPr>
                <w:i w:val="0"/>
                <w:iCs w:val="0"/>
                <w:szCs w:val="24"/>
              </w:rPr>
              <w:t>Section: 3.203(e)(3)</w:t>
            </w:r>
          </w:p>
          <w:p w:rsidR="00C01F4A" w:rsidRPr="00074EAF" w:rsidP="00C01F4A" w14:paraId="5BA95044" w14:textId="77777777">
            <w:pPr>
              <w:pStyle w:val="BodyText"/>
              <w:ind w:right="713"/>
              <w:rPr>
                <w:i w:val="0"/>
                <w:iCs w:val="0"/>
                <w:szCs w:val="24"/>
              </w:rPr>
            </w:pPr>
          </w:p>
        </w:tc>
        <w:tc>
          <w:tcPr>
            <w:tcW w:w="2016" w:type="dxa"/>
            <w:vAlign w:val="bottom"/>
          </w:tcPr>
          <w:p w:rsidR="00C01F4A" w:rsidRPr="00074EAF" w:rsidP="00C01F4A" w14:paraId="09792E54" w14:textId="77777777">
            <w:pPr>
              <w:pStyle w:val="BodyText"/>
              <w:ind w:right="713"/>
              <w:rPr>
                <w:i w:val="0"/>
                <w:iCs w:val="0"/>
                <w:szCs w:val="24"/>
              </w:rPr>
            </w:pPr>
            <w:r w:rsidRPr="00074EAF">
              <w:rPr>
                <w:i w:val="0"/>
                <w:iCs w:val="0"/>
                <w:szCs w:val="24"/>
              </w:rPr>
              <w:t>49</w:t>
            </w:r>
          </w:p>
        </w:tc>
        <w:tc>
          <w:tcPr>
            <w:tcW w:w="1839" w:type="dxa"/>
            <w:vAlign w:val="bottom"/>
          </w:tcPr>
          <w:p w:rsidR="00C01F4A" w:rsidRPr="00074EAF" w:rsidP="00C01F4A" w14:paraId="08F2F608" w14:textId="77777777">
            <w:pPr>
              <w:pStyle w:val="BodyText"/>
              <w:ind w:right="713"/>
              <w:rPr>
                <w:i w:val="0"/>
                <w:iCs w:val="0"/>
                <w:szCs w:val="24"/>
              </w:rPr>
            </w:pPr>
            <w:r w:rsidRPr="00074EAF">
              <w:rPr>
                <w:i w:val="0"/>
                <w:iCs w:val="0"/>
                <w:szCs w:val="24"/>
              </w:rPr>
              <w:t>1</w:t>
            </w:r>
          </w:p>
        </w:tc>
        <w:tc>
          <w:tcPr>
            <w:tcW w:w="1839" w:type="dxa"/>
            <w:vAlign w:val="bottom"/>
          </w:tcPr>
          <w:p w:rsidR="00C01F4A" w:rsidRPr="00074EAF" w:rsidP="00C01F4A" w14:paraId="6BD53625" w14:textId="77777777">
            <w:pPr>
              <w:pStyle w:val="BodyText"/>
              <w:ind w:right="713"/>
              <w:rPr>
                <w:i w:val="0"/>
                <w:iCs w:val="0"/>
                <w:szCs w:val="24"/>
              </w:rPr>
            </w:pPr>
            <w:r w:rsidRPr="00074EAF">
              <w:rPr>
                <w:i w:val="0"/>
                <w:iCs w:val="0"/>
                <w:szCs w:val="24"/>
              </w:rPr>
              <w:t>12</w:t>
            </w:r>
          </w:p>
        </w:tc>
        <w:tc>
          <w:tcPr>
            <w:tcW w:w="2031" w:type="dxa"/>
            <w:vAlign w:val="bottom"/>
          </w:tcPr>
          <w:p w:rsidR="00C01F4A" w:rsidRPr="00074EAF" w:rsidP="00C01F4A" w14:paraId="6D8B0DD8" w14:textId="77777777">
            <w:pPr>
              <w:pStyle w:val="BodyText"/>
              <w:ind w:right="713"/>
              <w:rPr>
                <w:i w:val="0"/>
                <w:iCs w:val="0"/>
                <w:szCs w:val="24"/>
              </w:rPr>
            </w:pPr>
            <w:r w:rsidRPr="00074EAF">
              <w:rPr>
                <w:i w:val="0"/>
                <w:iCs w:val="0"/>
                <w:szCs w:val="24"/>
              </w:rPr>
              <w:t>588</w:t>
            </w:r>
          </w:p>
        </w:tc>
      </w:tr>
      <w:tr w14:paraId="68C9D24E" w14:textId="77777777" w:rsidTr="007A6204">
        <w:tblPrEx>
          <w:tblW w:w="10620" w:type="dxa"/>
          <w:tblInd w:w="-185" w:type="dxa"/>
          <w:tblLook w:val="04A0"/>
        </w:tblPrEx>
        <w:trPr>
          <w:trHeight w:val="795"/>
        </w:trPr>
        <w:tc>
          <w:tcPr>
            <w:tcW w:w="2895" w:type="dxa"/>
          </w:tcPr>
          <w:p w:rsidR="00C01F4A" w:rsidRPr="00074EAF" w:rsidP="00C01F4A" w14:paraId="10E69B11" w14:textId="77777777">
            <w:pPr>
              <w:pStyle w:val="BodyText"/>
              <w:ind w:right="713"/>
              <w:rPr>
                <w:i w:val="0"/>
                <w:iCs w:val="0"/>
                <w:szCs w:val="24"/>
              </w:rPr>
            </w:pPr>
            <w:r w:rsidRPr="00074EAF">
              <w:rPr>
                <w:i w:val="0"/>
                <w:iCs w:val="0"/>
                <w:szCs w:val="24"/>
              </w:rPr>
              <w:t>Prudent valuation process (annual) --</w:t>
            </w:r>
          </w:p>
          <w:p w:rsidR="00C01F4A" w:rsidRPr="00074EAF" w:rsidP="00C01F4A" w14:paraId="79D79877" w14:textId="77777777">
            <w:pPr>
              <w:pStyle w:val="BodyText"/>
              <w:ind w:right="713"/>
              <w:rPr>
                <w:i w:val="0"/>
                <w:iCs w:val="0"/>
                <w:szCs w:val="24"/>
              </w:rPr>
            </w:pPr>
            <w:r w:rsidRPr="00074EAF">
              <w:rPr>
                <w:i w:val="0"/>
                <w:iCs w:val="0"/>
                <w:szCs w:val="24"/>
              </w:rPr>
              <w:t>Section: 3.203(f)</w:t>
            </w:r>
          </w:p>
          <w:p w:rsidR="00C01F4A" w:rsidRPr="00074EAF" w:rsidP="00C01F4A" w14:paraId="5F00FD66" w14:textId="77777777">
            <w:pPr>
              <w:pStyle w:val="BodyText"/>
              <w:ind w:right="713"/>
              <w:rPr>
                <w:i w:val="0"/>
                <w:iCs w:val="0"/>
                <w:szCs w:val="24"/>
              </w:rPr>
            </w:pPr>
          </w:p>
        </w:tc>
        <w:tc>
          <w:tcPr>
            <w:tcW w:w="2016" w:type="dxa"/>
            <w:vAlign w:val="bottom"/>
          </w:tcPr>
          <w:p w:rsidR="00C01F4A" w:rsidRPr="00074EAF" w:rsidP="00C01F4A" w14:paraId="440608BF" w14:textId="77777777">
            <w:pPr>
              <w:pStyle w:val="BodyText"/>
              <w:ind w:right="713"/>
              <w:rPr>
                <w:i w:val="0"/>
                <w:iCs w:val="0"/>
                <w:szCs w:val="24"/>
              </w:rPr>
            </w:pPr>
            <w:r w:rsidRPr="00074EAF">
              <w:rPr>
                <w:i w:val="0"/>
                <w:iCs w:val="0"/>
                <w:szCs w:val="24"/>
              </w:rPr>
              <w:t>49</w:t>
            </w:r>
          </w:p>
        </w:tc>
        <w:tc>
          <w:tcPr>
            <w:tcW w:w="1839" w:type="dxa"/>
            <w:vAlign w:val="bottom"/>
          </w:tcPr>
          <w:p w:rsidR="00C01F4A" w:rsidRPr="00074EAF" w:rsidP="00C01F4A" w14:paraId="368A674C" w14:textId="77777777">
            <w:pPr>
              <w:pStyle w:val="BodyText"/>
              <w:ind w:right="713"/>
              <w:rPr>
                <w:i w:val="0"/>
                <w:iCs w:val="0"/>
                <w:szCs w:val="24"/>
              </w:rPr>
            </w:pPr>
            <w:r w:rsidRPr="00074EAF">
              <w:rPr>
                <w:i w:val="0"/>
                <w:iCs w:val="0"/>
                <w:szCs w:val="24"/>
              </w:rPr>
              <w:t>1</w:t>
            </w:r>
          </w:p>
        </w:tc>
        <w:tc>
          <w:tcPr>
            <w:tcW w:w="1839" w:type="dxa"/>
            <w:vAlign w:val="bottom"/>
          </w:tcPr>
          <w:p w:rsidR="00C01F4A" w:rsidRPr="00074EAF" w:rsidP="00C01F4A" w14:paraId="76A99544" w14:textId="6D8899CF">
            <w:pPr>
              <w:pStyle w:val="BodyText"/>
              <w:ind w:right="713"/>
              <w:rPr>
                <w:i w:val="0"/>
                <w:iCs w:val="0"/>
                <w:szCs w:val="24"/>
              </w:rPr>
            </w:pPr>
            <w:r w:rsidRPr="00074EAF">
              <w:rPr>
                <w:i w:val="0"/>
                <w:iCs w:val="0"/>
                <w:szCs w:val="24"/>
              </w:rPr>
              <w:t>12</w:t>
            </w:r>
            <w:r w:rsidR="00AE6B44">
              <w:rPr>
                <w:i w:val="0"/>
                <w:iCs w:val="0"/>
                <w:szCs w:val="24"/>
              </w:rPr>
              <w:t>1</w:t>
            </w:r>
          </w:p>
        </w:tc>
        <w:tc>
          <w:tcPr>
            <w:tcW w:w="2031" w:type="dxa"/>
            <w:vAlign w:val="bottom"/>
          </w:tcPr>
          <w:p w:rsidR="00C01F4A" w:rsidRPr="00074EAF" w:rsidP="00C01F4A" w14:paraId="62D0368E" w14:textId="77777777">
            <w:pPr>
              <w:pStyle w:val="BodyText"/>
              <w:ind w:right="713"/>
              <w:rPr>
                <w:i w:val="0"/>
                <w:iCs w:val="0"/>
                <w:szCs w:val="24"/>
              </w:rPr>
            </w:pPr>
            <w:r w:rsidRPr="00074EAF">
              <w:rPr>
                <w:i w:val="0"/>
                <w:iCs w:val="0"/>
                <w:szCs w:val="24"/>
              </w:rPr>
              <w:t>588</w:t>
            </w:r>
          </w:p>
        </w:tc>
      </w:tr>
      <w:tr w14:paraId="49C75507" w14:textId="77777777" w:rsidTr="007A6204">
        <w:tblPrEx>
          <w:tblW w:w="10620" w:type="dxa"/>
          <w:tblInd w:w="-185" w:type="dxa"/>
          <w:tblLook w:val="04A0"/>
        </w:tblPrEx>
        <w:trPr>
          <w:trHeight w:val="795"/>
        </w:trPr>
        <w:tc>
          <w:tcPr>
            <w:tcW w:w="2895" w:type="dxa"/>
          </w:tcPr>
          <w:p w:rsidR="00C01F4A" w:rsidRPr="00074EAF" w:rsidP="00C01F4A" w14:paraId="2195E9AE" w14:textId="77777777">
            <w:pPr>
              <w:pStyle w:val="BodyText"/>
              <w:ind w:right="713"/>
              <w:rPr>
                <w:i w:val="0"/>
                <w:iCs w:val="0"/>
                <w:szCs w:val="24"/>
              </w:rPr>
            </w:pPr>
            <w:r w:rsidRPr="00074EAF">
              <w:rPr>
                <w:i w:val="0"/>
                <w:iCs w:val="0"/>
                <w:szCs w:val="24"/>
              </w:rPr>
              <w:t>Capital adequacy assessment (annual) --</w:t>
            </w:r>
          </w:p>
          <w:p w:rsidR="00C01F4A" w:rsidRPr="00074EAF" w:rsidP="00C01F4A" w14:paraId="0F328EE8" w14:textId="77777777">
            <w:pPr>
              <w:pStyle w:val="BodyText"/>
              <w:ind w:right="713"/>
              <w:rPr>
                <w:i w:val="0"/>
                <w:iCs w:val="0"/>
                <w:szCs w:val="24"/>
              </w:rPr>
            </w:pPr>
            <w:r w:rsidRPr="00074EAF">
              <w:rPr>
                <w:i w:val="0"/>
                <w:iCs w:val="0"/>
                <w:szCs w:val="24"/>
              </w:rPr>
              <w:t>Section: 3.203(g)</w:t>
            </w:r>
          </w:p>
          <w:p w:rsidR="00C01F4A" w:rsidRPr="00074EAF" w:rsidP="00C01F4A" w14:paraId="21A113D4" w14:textId="77777777">
            <w:pPr>
              <w:pStyle w:val="BodyText"/>
              <w:ind w:right="713"/>
              <w:rPr>
                <w:i w:val="0"/>
                <w:iCs w:val="0"/>
                <w:szCs w:val="24"/>
              </w:rPr>
            </w:pPr>
          </w:p>
        </w:tc>
        <w:tc>
          <w:tcPr>
            <w:tcW w:w="2016" w:type="dxa"/>
            <w:vAlign w:val="bottom"/>
          </w:tcPr>
          <w:p w:rsidR="00C01F4A" w:rsidRPr="00074EAF" w:rsidP="00C01F4A" w14:paraId="3B8272AC" w14:textId="77777777">
            <w:pPr>
              <w:pStyle w:val="BodyText"/>
              <w:ind w:right="713"/>
              <w:rPr>
                <w:i w:val="0"/>
                <w:iCs w:val="0"/>
                <w:szCs w:val="24"/>
              </w:rPr>
            </w:pPr>
            <w:r w:rsidRPr="00074EAF">
              <w:rPr>
                <w:i w:val="0"/>
                <w:iCs w:val="0"/>
                <w:szCs w:val="24"/>
              </w:rPr>
              <w:t>49</w:t>
            </w:r>
          </w:p>
        </w:tc>
        <w:tc>
          <w:tcPr>
            <w:tcW w:w="1839" w:type="dxa"/>
            <w:vAlign w:val="bottom"/>
          </w:tcPr>
          <w:p w:rsidR="00C01F4A" w:rsidRPr="00074EAF" w:rsidP="00C01F4A" w14:paraId="16761557" w14:textId="77777777">
            <w:pPr>
              <w:pStyle w:val="BodyText"/>
              <w:ind w:right="713"/>
              <w:rPr>
                <w:i w:val="0"/>
                <w:iCs w:val="0"/>
                <w:szCs w:val="24"/>
              </w:rPr>
            </w:pPr>
            <w:r w:rsidRPr="00074EAF">
              <w:rPr>
                <w:i w:val="0"/>
                <w:iCs w:val="0"/>
                <w:szCs w:val="24"/>
              </w:rPr>
              <w:t>1</w:t>
            </w:r>
          </w:p>
        </w:tc>
        <w:tc>
          <w:tcPr>
            <w:tcW w:w="1839" w:type="dxa"/>
            <w:vAlign w:val="bottom"/>
          </w:tcPr>
          <w:p w:rsidR="00C01F4A" w:rsidRPr="00074EAF" w:rsidP="00C01F4A" w14:paraId="4B1D70D0" w14:textId="77777777">
            <w:pPr>
              <w:pStyle w:val="BodyText"/>
              <w:ind w:right="713"/>
              <w:rPr>
                <w:i w:val="0"/>
                <w:iCs w:val="0"/>
                <w:szCs w:val="24"/>
              </w:rPr>
            </w:pPr>
            <w:r w:rsidRPr="00074EAF">
              <w:rPr>
                <w:i w:val="0"/>
                <w:iCs w:val="0"/>
                <w:szCs w:val="24"/>
              </w:rPr>
              <w:t>12</w:t>
            </w:r>
          </w:p>
        </w:tc>
        <w:tc>
          <w:tcPr>
            <w:tcW w:w="2031" w:type="dxa"/>
            <w:vAlign w:val="bottom"/>
          </w:tcPr>
          <w:p w:rsidR="00C01F4A" w:rsidRPr="00074EAF" w:rsidP="00C01F4A" w14:paraId="437DBCF8" w14:textId="77777777">
            <w:pPr>
              <w:pStyle w:val="BodyText"/>
              <w:ind w:right="713"/>
              <w:rPr>
                <w:i w:val="0"/>
                <w:iCs w:val="0"/>
                <w:szCs w:val="24"/>
              </w:rPr>
            </w:pPr>
            <w:r w:rsidRPr="00074EAF">
              <w:rPr>
                <w:i w:val="0"/>
                <w:iCs w:val="0"/>
                <w:szCs w:val="24"/>
              </w:rPr>
              <w:t>588</w:t>
            </w:r>
          </w:p>
        </w:tc>
      </w:tr>
      <w:tr w14:paraId="73D07D57" w14:textId="77777777" w:rsidTr="007A6204">
        <w:tblPrEx>
          <w:tblW w:w="10620" w:type="dxa"/>
          <w:tblInd w:w="-185" w:type="dxa"/>
          <w:tblLook w:val="04A0"/>
        </w:tblPrEx>
        <w:trPr>
          <w:trHeight w:val="795"/>
        </w:trPr>
        <w:tc>
          <w:tcPr>
            <w:tcW w:w="2895" w:type="dxa"/>
          </w:tcPr>
          <w:p w:rsidR="00C01F4A" w:rsidRPr="00074EAF" w:rsidP="00C01F4A" w14:paraId="7F15CCB3" w14:textId="77777777">
            <w:pPr>
              <w:pStyle w:val="BodyText"/>
              <w:ind w:right="713"/>
              <w:rPr>
                <w:i w:val="0"/>
                <w:iCs w:val="0"/>
                <w:szCs w:val="24"/>
              </w:rPr>
            </w:pPr>
            <w:r w:rsidRPr="00074EAF">
              <w:rPr>
                <w:i w:val="0"/>
                <w:iCs w:val="0"/>
                <w:szCs w:val="24"/>
              </w:rPr>
              <w:t>Demonstrations of compliance (annual) --</w:t>
            </w:r>
          </w:p>
          <w:p w:rsidR="00C01F4A" w:rsidRPr="00074EAF" w:rsidP="00C01F4A" w14:paraId="025AE318" w14:textId="77777777">
            <w:pPr>
              <w:pStyle w:val="BodyText"/>
              <w:ind w:right="713"/>
              <w:rPr>
                <w:i w:val="0"/>
                <w:iCs w:val="0"/>
                <w:szCs w:val="24"/>
              </w:rPr>
            </w:pPr>
            <w:r w:rsidRPr="00074EAF">
              <w:rPr>
                <w:i w:val="0"/>
                <w:iCs w:val="0"/>
                <w:szCs w:val="24"/>
              </w:rPr>
              <w:t>Sections: 3.203(c), 3.203(h), 3.208(h)(1)(ii)(B), and 3.214(b)(7)(iv</w:t>
            </w:r>
            <w:r w:rsidRPr="00074EAF">
              <w:rPr>
                <w:i w:val="0"/>
                <w:iCs w:val="0"/>
                <w:szCs w:val="24"/>
              </w:rPr>
              <w:t>),(</w:t>
            </w:r>
            <w:r w:rsidRPr="00074EAF">
              <w:rPr>
                <w:i w:val="0"/>
                <w:iCs w:val="0"/>
                <w:szCs w:val="24"/>
              </w:rPr>
              <w:t>vi), &amp; (vii)</w:t>
            </w:r>
          </w:p>
          <w:p w:rsidR="00C01F4A" w:rsidRPr="00074EAF" w:rsidP="00C01F4A" w14:paraId="73C6D121" w14:textId="77777777">
            <w:pPr>
              <w:pStyle w:val="BodyText"/>
              <w:ind w:right="713"/>
              <w:rPr>
                <w:i w:val="0"/>
                <w:iCs w:val="0"/>
                <w:szCs w:val="24"/>
              </w:rPr>
            </w:pPr>
          </w:p>
        </w:tc>
        <w:tc>
          <w:tcPr>
            <w:tcW w:w="2016" w:type="dxa"/>
            <w:vAlign w:val="bottom"/>
          </w:tcPr>
          <w:p w:rsidR="00C01F4A" w:rsidRPr="00074EAF" w:rsidP="00C01F4A" w14:paraId="2D51CEC9" w14:textId="77777777">
            <w:pPr>
              <w:pStyle w:val="BodyText"/>
              <w:ind w:right="713"/>
              <w:rPr>
                <w:i w:val="0"/>
                <w:iCs w:val="0"/>
                <w:szCs w:val="24"/>
              </w:rPr>
            </w:pPr>
            <w:r w:rsidRPr="00074EAF">
              <w:rPr>
                <w:i w:val="0"/>
                <w:iCs w:val="0"/>
                <w:szCs w:val="24"/>
              </w:rPr>
              <w:t>49</w:t>
            </w:r>
          </w:p>
        </w:tc>
        <w:tc>
          <w:tcPr>
            <w:tcW w:w="1839" w:type="dxa"/>
            <w:vAlign w:val="bottom"/>
          </w:tcPr>
          <w:p w:rsidR="00C01F4A" w:rsidRPr="00074EAF" w:rsidP="00C01F4A" w14:paraId="3676BFE0" w14:textId="77777777">
            <w:pPr>
              <w:pStyle w:val="BodyText"/>
              <w:ind w:right="713"/>
              <w:rPr>
                <w:i w:val="0"/>
                <w:iCs w:val="0"/>
                <w:szCs w:val="24"/>
              </w:rPr>
            </w:pPr>
            <w:r w:rsidRPr="00074EAF">
              <w:rPr>
                <w:i w:val="0"/>
                <w:iCs w:val="0"/>
                <w:szCs w:val="24"/>
              </w:rPr>
              <w:t>1</w:t>
            </w:r>
          </w:p>
        </w:tc>
        <w:tc>
          <w:tcPr>
            <w:tcW w:w="1839" w:type="dxa"/>
            <w:vAlign w:val="bottom"/>
          </w:tcPr>
          <w:p w:rsidR="00C01F4A" w:rsidRPr="00074EAF" w:rsidP="00C01F4A" w14:paraId="04ABB976" w14:textId="77777777">
            <w:pPr>
              <w:pStyle w:val="BodyText"/>
              <w:ind w:right="713"/>
              <w:rPr>
                <w:i w:val="0"/>
                <w:iCs w:val="0"/>
                <w:szCs w:val="24"/>
              </w:rPr>
            </w:pPr>
            <w:r w:rsidRPr="00074EAF">
              <w:rPr>
                <w:i w:val="0"/>
                <w:iCs w:val="0"/>
                <w:szCs w:val="24"/>
              </w:rPr>
              <w:t>96</w:t>
            </w:r>
          </w:p>
        </w:tc>
        <w:tc>
          <w:tcPr>
            <w:tcW w:w="2031" w:type="dxa"/>
            <w:vAlign w:val="bottom"/>
          </w:tcPr>
          <w:p w:rsidR="00C01F4A" w:rsidRPr="00074EAF" w:rsidP="00C01F4A" w14:paraId="4AF6A97A" w14:textId="77777777">
            <w:pPr>
              <w:pStyle w:val="BodyText"/>
              <w:ind w:right="713"/>
              <w:rPr>
                <w:i w:val="0"/>
                <w:iCs w:val="0"/>
                <w:szCs w:val="24"/>
              </w:rPr>
            </w:pPr>
            <w:r w:rsidRPr="00074EAF">
              <w:rPr>
                <w:i w:val="0"/>
                <w:iCs w:val="0"/>
                <w:szCs w:val="24"/>
              </w:rPr>
              <w:t>4,704</w:t>
            </w:r>
          </w:p>
        </w:tc>
      </w:tr>
      <w:tr w14:paraId="17D7E83E" w14:textId="77777777" w:rsidTr="007A6204">
        <w:tblPrEx>
          <w:tblW w:w="10620" w:type="dxa"/>
          <w:tblInd w:w="-185" w:type="dxa"/>
          <w:tblLook w:val="04A0"/>
        </w:tblPrEx>
        <w:trPr>
          <w:trHeight w:val="1110"/>
        </w:trPr>
        <w:tc>
          <w:tcPr>
            <w:tcW w:w="2895" w:type="dxa"/>
          </w:tcPr>
          <w:p w:rsidR="00C01F4A" w:rsidRPr="00074EAF" w:rsidP="00C01F4A" w14:paraId="20657283" w14:textId="77777777">
            <w:pPr>
              <w:pStyle w:val="BodyText"/>
              <w:ind w:right="713"/>
              <w:rPr>
                <w:i w:val="0"/>
                <w:iCs w:val="0"/>
                <w:szCs w:val="24"/>
              </w:rPr>
            </w:pPr>
            <w:r w:rsidRPr="00074EAF">
              <w:rPr>
                <w:i w:val="0"/>
                <w:iCs w:val="0"/>
                <w:szCs w:val="24"/>
              </w:rPr>
              <w:t>General recordkeeping (annual)--</w:t>
            </w:r>
          </w:p>
          <w:p w:rsidR="00C01F4A" w:rsidRPr="00074EAF" w:rsidP="00C01F4A" w14:paraId="6EE6C176" w14:textId="77777777">
            <w:pPr>
              <w:pStyle w:val="BodyText"/>
              <w:ind w:right="713"/>
              <w:rPr>
                <w:i w:val="0"/>
                <w:iCs w:val="0"/>
                <w:szCs w:val="24"/>
              </w:rPr>
            </w:pPr>
            <w:r w:rsidRPr="00074EAF">
              <w:rPr>
                <w:i w:val="0"/>
                <w:iCs w:val="0"/>
                <w:szCs w:val="24"/>
              </w:rPr>
              <w:t>Sections: 3.203(i), and 3.205(h)</w:t>
            </w:r>
          </w:p>
          <w:p w:rsidR="00C01F4A" w:rsidRPr="00074EAF" w:rsidP="00C01F4A" w14:paraId="2598BCB6" w14:textId="77777777">
            <w:pPr>
              <w:pStyle w:val="BodyText"/>
              <w:ind w:right="713"/>
              <w:rPr>
                <w:i w:val="0"/>
                <w:iCs w:val="0"/>
                <w:szCs w:val="24"/>
              </w:rPr>
            </w:pPr>
          </w:p>
        </w:tc>
        <w:tc>
          <w:tcPr>
            <w:tcW w:w="2016" w:type="dxa"/>
            <w:vAlign w:val="bottom"/>
          </w:tcPr>
          <w:p w:rsidR="00C01F4A" w:rsidRPr="00074EAF" w:rsidP="00C01F4A" w14:paraId="6F8C5ADF" w14:textId="77777777">
            <w:pPr>
              <w:pStyle w:val="BodyText"/>
              <w:ind w:right="713"/>
              <w:rPr>
                <w:i w:val="0"/>
                <w:iCs w:val="0"/>
                <w:szCs w:val="24"/>
              </w:rPr>
            </w:pPr>
            <w:r w:rsidRPr="00074EAF">
              <w:rPr>
                <w:i w:val="0"/>
                <w:iCs w:val="0"/>
                <w:szCs w:val="24"/>
              </w:rPr>
              <w:t>49</w:t>
            </w:r>
          </w:p>
        </w:tc>
        <w:tc>
          <w:tcPr>
            <w:tcW w:w="1839" w:type="dxa"/>
            <w:vAlign w:val="bottom"/>
          </w:tcPr>
          <w:p w:rsidR="00C01F4A" w:rsidRPr="00074EAF" w:rsidP="00C01F4A" w14:paraId="76870529" w14:textId="77777777">
            <w:pPr>
              <w:pStyle w:val="BodyText"/>
              <w:ind w:right="713"/>
              <w:rPr>
                <w:i w:val="0"/>
                <w:iCs w:val="0"/>
                <w:szCs w:val="24"/>
              </w:rPr>
            </w:pPr>
            <w:r w:rsidRPr="00074EAF">
              <w:rPr>
                <w:i w:val="0"/>
                <w:iCs w:val="0"/>
                <w:szCs w:val="24"/>
              </w:rPr>
              <w:t>1</w:t>
            </w:r>
          </w:p>
        </w:tc>
        <w:tc>
          <w:tcPr>
            <w:tcW w:w="1839" w:type="dxa"/>
            <w:vAlign w:val="bottom"/>
          </w:tcPr>
          <w:p w:rsidR="00C01F4A" w:rsidRPr="00074EAF" w:rsidP="00C01F4A" w14:paraId="34DDE251" w14:textId="77777777">
            <w:pPr>
              <w:pStyle w:val="BodyText"/>
              <w:ind w:right="713"/>
              <w:rPr>
                <w:i w:val="0"/>
                <w:iCs w:val="0"/>
                <w:szCs w:val="24"/>
              </w:rPr>
            </w:pPr>
            <w:r w:rsidRPr="00074EAF">
              <w:rPr>
                <w:i w:val="0"/>
                <w:iCs w:val="0"/>
                <w:szCs w:val="24"/>
              </w:rPr>
              <w:t>48</w:t>
            </w:r>
          </w:p>
        </w:tc>
        <w:tc>
          <w:tcPr>
            <w:tcW w:w="2031" w:type="dxa"/>
            <w:vAlign w:val="bottom"/>
          </w:tcPr>
          <w:p w:rsidR="00C01F4A" w:rsidRPr="00074EAF" w:rsidP="00C01F4A" w14:paraId="3F4010F9" w14:textId="77777777">
            <w:pPr>
              <w:pStyle w:val="BodyText"/>
              <w:ind w:right="713"/>
              <w:rPr>
                <w:i w:val="0"/>
                <w:iCs w:val="0"/>
                <w:szCs w:val="24"/>
              </w:rPr>
            </w:pPr>
            <w:r w:rsidRPr="00074EAF">
              <w:rPr>
                <w:i w:val="0"/>
                <w:iCs w:val="0"/>
                <w:szCs w:val="24"/>
              </w:rPr>
              <w:t>2,352</w:t>
            </w:r>
          </w:p>
        </w:tc>
      </w:tr>
      <w:tr w14:paraId="206FAF61" w14:textId="77777777" w:rsidTr="007A6204">
        <w:tblPrEx>
          <w:tblW w:w="10620" w:type="dxa"/>
          <w:tblInd w:w="-185" w:type="dxa"/>
          <w:tblLook w:val="04A0"/>
        </w:tblPrEx>
        <w:trPr>
          <w:trHeight w:val="1110"/>
        </w:trPr>
        <w:tc>
          <w:tcPr>
            <w:tcW w:w="2895" w:type="dxa"/>
          </w:tcPr>
          <w:p w:rsidR="00C01F4A" w:rsidRPr="00074EAF" w:rsidP="00C01F4A" w14:paraId="50F54673" w14:textId="77777777">
            <w:pPr>
              <w:pStyle w:val="BodyText"/>
              <w:ind w:right="713"/>
              <w:rPr>
                <w:i w:val="0"/>
                <w:iCs w:val="0"/>
                <w:szCs w:val="24"/>
              </w:rPr>
            </w:pPr>
            <w:r w:rsidRPr="00074EAF">
              <w:rPr>
                <w:i w:val="0"/>
                <w:iCs w:val="0"/>
                <w:szCs w:val="24"/>
              </w:rPr>
              <w:t>General recordkeeping (quarterly)--</w:t>
            </w:r>
          </w:p>
          <w:p w:rsidR="00C01F4A" w:rsidRPr="00074EAF" w:rsidP="00C01F4A" w14:paraId="6C9C7EE5" w14:textId="77777777">
            <w:pPr>
              <w:pStyle w:val="BodyText"/>
              <w:ind w:right="713"/>
              <w:rPr>
                <w:i w:val="0"/>
                <w:iCs w:val="0"/>
                <w:szCs w:val="24"/>
              </w:rPr>
            </w:pPr>
            <w:r w:rsidRPr="00074EAF">
              <w:rPr>
                <w:i w:val="0"/>
                <w:iCs w:val="0"/>
                <w:szCs w:val="24"/>
              </w:rPr>
              <w:t>Section: 3.203(h)(2)(i)</w:t>
            </w:r>
          </w:p>
        </w:tc>
        <w:tc>
          <w:tcPr>
            <w:tcW w:w="2016" w:type="dxa"/>
            <w:vAlign w:val="bottom"/>
          </w:tcPr>
          <w:p w:rsidR="00C01F4A" w:rsidRPr="00074EAF" w:rsidP="00C01F4A" w14:paraId="4ABCFE38" w14:textId="77777777">
            <w:pPr>
              <w:pStyle w:val="BodyText"/>
              <w:ind w:right="713"/>
              <w:rPr>
                <w:i w:val="0"/>
                <w:iCs w:val="0"/>
                <w:szCs w:val="24"/>
              </w:rPr>
            </w:pPr>
            <w:r w:rsidRPr="00074EAF">
              <w:rPr>
                <w:i w:val="0"/>
                <w:iCs w:val="0"/>
                <w:szCs w:val="24"/>
              </w:rPr>
              <w:t>49</w:t>
            </w:r>
          </w:p>
        </w:tc>
        <w:tc>
          <w:tcPr>
            <w:tcW w:w="1839" w:type="dxa"/>
            <w:vAlign w:val="bottom"/>
          </w:tcPr>
          <w:p w:rsidR="00C01F4A" w:rsidRPr="00074EAF" w:rsidP="00C01F4A" w14:paraId="4F717AE4" w14:textId="77777777">
            <w:pPr>
              <w:pStyle w:val="BodyText"/>
              <w:ind w:right="713"/>
              <w:rPr>
                <w:i w:val="0"/>
                <w:iCs w:val="0"/>
                <w:szCs w:val="24"/>
              </w:rPr>
            </w:pPr>
            <w:r w:rsidRPr="00074EAF">
              <w:rPr>
                <w:i w:val="0"/>
                <w:iCs w:val="0"/>
                <w:szCs w:val="24"/>
              </w:rPr>
              <w:t>4</w:t>
            </w:r>
          </w:p>
        </w:tc>
        <w:tc>
          <w:tcPr>
            <w:tcW w:w="1839" w:type="dxa"/>
            <w:vAlign w:val="bottom"/>
          </w:tcPr>
          <w:p w:rsidR="00C01F4A" w:rsidRPr="00074EAF" w:rsidP="00C01F4A" w14:paraId="4F8460C8" w14:textId="77777777">
            <w:pPr>
              <w:pStyle w:val="BodyText"/>
              <w:ind w:right="713"/>
              <w:rPr>
                <w:i w:val="0"/>
                <w:iCs w:val="0"/>
                <w:szCs w:val="24"/>
              </w:rPr>
            </w:pPr>
            <w:r w:rsidRPr="00074EAF">
              <w:rPr>
                <w:i w:val="0"/>
                <w:iCs w:val="0"/>
                <w:szCs w:val="24"/>
              </w:rPr>
              <w:t>80</w:t>
            </w:r>
          </w:p>
        </w:tc>
        <w:tc>
          <w:tcPr>
            <w:tcW w:w="2031" w:type="dxa"/>
            <w:vAlign w:val="bottom"/>
          </w:tcPr>
          <w:p w:rsidR="00C01F4A" w:rsidRPr="00074EAF" w:rsidP="00C01F4A" w14:paraId="2481BE56" w14:textId="77777777">
            <w:pPr>
              <w:pStyle w:val="BodyText"/>
              <w:ind w:right="713"/>
              <w:rPr>
                <w:i w:val="0"/>
                <w:iCs w:val="0"/>
                <w:szCs w:val="24"/>
              </w:rPr>
            </w:pPr>
            <w:r w:rsidRPr="00074EAF">
              <w:rPr>
                <w:i w:val="0"/>
                <w:iCs w:val="0"/>
                <w:szCs w:val="24"/>
              </w:rPr>
              <w:t>15,680</w:t>
            </w:r>
          </w:p>
        </w:tc>
      </w:tr>
      <w:tr w14:paraId="0E3874FD" w14:textId="77777777" w:rsidTr="007A6204">
        <w:tblPrEx>
          <w:tblW w:w="10620" w:type="dxa"/>
          <w:tblInd w:w="-185" w:type="dxa"/>
          <w:tblLook w:val="04A0"/>
        </w:tblPrEx>
        <w:tc>
          <w:tcPr>
            <w:tcW w:w="2895" w:type="dxa"/>
          </w:tcPr>
          <w:p w:rsidR="00C01F4A" w:rsidRPr="00074EAF" w:rsidP="00C01F4A" w14:paraId="77A7D04F" w14:textId="77777777">
            <w:pPr>
              <w:pStyle w:val="BodyText"/>
              <w:ind w:right="713"/>
              <w:rPr>
                <w:i w:val="0"/>
                <w:iCs w:val="0"/>
                <w:szCs w:val="24"/>
              </w:rPr>
            </w:pPr>
            <w:r w:rsidRPr="00074EAF">
              <w:rPr>
                <w:i w:val="0"/>
                <w:iCs w:val="0"/>
                <w:szCs w:val="24"/>
              </w:rPr>
              <w:t>Securitization data (quarterly) --</w:t>
            </w:r>
          </w:p>
          <w:p w:rsidR="00C01F4A" w:rsidRPr="00074EAF" w:rsidP="00C01F4A" w14:paraId="7BEF701D" w14:textId="77777777">
            <w:pPr>
              <w:pStyle w:val="BodyText"/>
              <w:ind w:right="713"/>
              <w:rPr>
                <w:i w:val="0"/>
                <w:iCs w:val="0"/>
                <w:szCs w:val="24"/>
              </w:rPr>
            </w:pPr>
            <w:r w:rsidRPr="00074EAF">
              <w:rPr>
                <w:i w:val="0"/>
                <w:iCs w:val="0"/>
                <w:szCs w:val="24"/>
              </w:rPr>
              <w:t>Section: 3.203(h)(2)(ii)</w:t>
            </w:r>
          </w:p>
          <w:p w:rsidR="00C01F4A" w:rsidRPr="00074EAF" w:rsidP="00C01F4A" w14:paraId="2BAD0DD6" w14:textId="77777777">
            <w:pPr>
              <w:pStyle w:val="BodyText"/>
              <w:ind w:right="713"/>
              <w:rPr>
                <w:i w:val="0"/>
                <w:iCs w:val="0"/>
                <w:szCs w:val="24"/>
              </w:rPr>
            </w:pPr>
          </w:p>
        </w:tc>
        <w:tc>
          <w:tcPr>
            <w:tcW w:w="2016" w:type="dxa"/>
            <w:vAlign w:val="bottom"/>
          </w:tcPr>
          <w:p w:rsidR="00C01F4A" w:rsidRPr="00074EAF" w:rsidP="00C01F4A" w14:paraId="28F8839D" w14:textId="77777777">
            <w:pPr>
              <w:pStyle w:val="BodyText"/>
              <w:ind w:right="713"/>
              <w:rPr>
                <w:i w:val="0"/>
                <w:iCs w:val="0"/>
                <w:szCs w:val="24"/>
              </w:rPr>
            </w:pPr>
            <w:r w:rsidRPr="00074EAF">
              <w:rPr>
                <w:i w:val="0"/>
                <w:iCs w:val="0"/>
                <w:szCs w:val="24"/>
              </w:rPr>
              <w:t>49</w:t>
            </w:r>
          </w:p>
        </w:tc>
        <w:tc>
          <w:tcPr>
            <w:tcW w:w="1839" w:type="dxa"/>
            <w:vAlign w:val="bottom"/>
          </w:tcPr>
          <w:p w:rsidR="00C01F4A" w:rsidRPr="00074EAF" w:rsidP="00C01F4A" w14:paraId="60DDF2B4" w14:textId="77777777">
            <w:pPr>
              <w:pStyle w:val="BodyText"/>
              <w:ind w:right="713"/>
              <w:rPr>
                <w:i w:val="0"/>
                <w:iCs w:val="0"/>
                <w:szCs w:val="24"/>
              </w:rPr>
            </w:pPr>
            <w:r w:rsidRPr="00074EAF">
              <w:rPr>
                <w:i w:val="0"/>
                <w:iCs w:val="0"/>
                <w:szCs w:val="24"/>
              </w:rPr>
              <w:t>4</w:t>
            </w:r>
          </w:p>
        </w:tc>
        <w:tc>
          <w:tcPr>
            <w:tcW w:w="1839" w:type="dxa"/>
            <w:vAlign w:val="bottom"/>
          </w:tcPr>
          <w:p w:rsidR="00C01F4A" w:rsidRPr="00074EAF" w:rsidP="00C01F4A" w14:paraId="3DB4C6F9" w14:textId="77777777">
            <w:pPr>
              <w:pStyle w:val="BodyText"/>
              <w:ind w:right="713"/>
              <w:rPr>
                <w:i w:val="0"/>
                <w:iCs w:val="0"/>
                <w:szCs w:val="24"/>
              </w:rPr>
            </w:pPr>
            <w:r w:rsidRPr="00074EAF">
              <w:rPr>
                <w:i w:val="0"/>
                <w:iCs w:val="0"/>
                <w:szCs w:val="24"/>
              </w:rPr>
              <w:t>12</w:t>
            </w:r>
          </w:p>
        </w:tc>
        <w:tc>
          <w:tcPr>
            <w:tcW w:w="2031" w:type="dxa"/>
            <w:vAlign w:val="bottom"/>
          </w:tcPr>
          <w:p w:rsidR="00C01F4A" w:rsidRPr="00074EAF" w:rsidP="00C01F4A" w14:paraId="5B42014B" w14:textId="77777777">
            <w:pPr>
              <w:pStyle w:val="BodyText"/>
              <w:ind w:right="713"/>
              <w:rPr>
                <w:i w:val="0"/>
                <w:iCs w:val="0"/>
                <w:szCs w:val="24"/>
              </w:rPr>
            </w:pPr>
            <w:r w:rsidRPr="00074EAF">
              <w:rPr>
                <w:i w:val="0"/>
                <w:iCs w:val="0"/>
                <w:szCs w:val="24"/>
              </w:rPr>
              <w:t>2,352</w:t>
            </w:r>
          </w:p>
        </w:tc>
      </w:tr>
      <w:tr w14:paraId="0620984B" w14:textId="77777777" w:rsidTr="007A6204">
        <w:tblPrEx>
          <w:tblW w:w="10620" w:type="dxa"/>
          <w:tblInd w:w="-185" w:type="dxa"/>
          <w:tblLook w:val="04A0"/>
        </w:tblPrEx>
        <w:tc>
          <w:tcPr>
            <w:tcW w:w="2895" w:type="dxa"/>
          </w:tcPr>
          <w:p w:rsidR="00C01F4A" w:rsidRPr="00074EAF" w:rsidP="00C01F4A" w14:paraId="26ECC01D" w14:textId="77777777">
            <w:pPr>
              <w:pStyle w:val="BodyText"/>
              <w:ind w:right="713"/>
              <w:rPr>
                <w:i w:val="0"/>
                <w:iCs w:val="0"/>
                <w:szCs w:val="24"/>
              </w:rPr>
            </w:pPr>
            <w:r w:rsidRPr="00074EAF">
              <w:rPr>
                <w:i w:val="0"/>
                <w:iCs w:val="0"/>
                <w:szCs w:val="24"/>
              </w:rPr>
              <w:t xml:space="preserve">PLA testing and </w:t>
            </w:r>
            <w:r w:rsidRPr="00074EAF">
              <w:rPr>
                <w:i w:val="0"/>
                <w:iCs w:val="0"/>
                <w:szCs w:val="24"/>
              </w:rPr>
              <w:t>Backtesting</w:t>
            </w:r>
            <w:r w:rsidRPr="00074EAF">
              <w:rPr>
                <w:i w:val="0"/>
                <w:iCs w:val="0"/>
                <w:szCs w:val="24"/>
              </w:rPr>
              <w:t xml:space="preserve"> (quarterly) --</w:t>
            </w:r>
          </w:p>
          <w:p w:rsidR="00C01F4A" w:rsidRPr="00074EAF" w:rsidP="00C01F4A" w14:paraId="6392E6D5" w14:textId="77777777">
            <w:pPr>
              <w:pStyle w:val="BodyText"/>
              <w:ind w:right="713"/>
              <w:rPr>
                <w:i w:val="0"/>
                <w:iCs w:val="0"/>
                <w:szCs w:val="24"/>
              </w:rPr>
            </w:pPr>
            <w:r w:rsidRPr="00074EAF">
              <w:rPr>
                <w:i w:val="0"/>
                <w:iCs w:val="0"/>
                <w:szCs w:val="24"/>
              </w:rPr>
              <w:t xml:space="preserve">Section: 3.213 </w:t>
            </w:r>
          </w:p>
        </w:tc>
        <w:tc>
          <w:tcPr>
            <w:tcW w:w="2016" w:type="dxa"/>
            <w:vAlign w:val="bottom"/>
          </w:tcPr>
          <w:p w:rsidR="00C01F4A" w:rsidRPr="00074EAF" w:rsidP="00C01F4A" w14:paraId="15AE7277" w14:textId="77777777">
            <w:pPr>
              <w:pStyle w:val="BodyText"/>
              <w:ind w:right="713"/>
              <w:rPr>
                <w:i w:val="0"/>
                <w:iCs w:val="0"/>
                <w:szCs w:val="24"/>
              </w:rPr>
            </w:pPr>
            <w:r w:rsidRPr="00074EAF">
              <w:rPr>
                <w:i w:val="0"/>
                <w:iCs w:val="0"/>
                <w:szCs w:val="24"/>
              </w:rPr>
              <w:t>49</w:t>
            </w:r>
          </w:p>
        </w:tc>
        <w:tc>
          <w:tcPr>
            <w:tcW w:w="1839" w:type="dxa"/>
            <w:vAlign w:val="bottom"/>
          </w:tcPr>
          <w:p w:rsidR="00C01F4A" w:rsidRPr="00074EAF" w:rsidP="00C01F4A" w14:paraId="606A0716" w14:textId="77777777">
            <w:pPr>
              <w:pStyle w:val="BodyText"/>
              <w:ind w:right="713"/>
              <w:rPr>
                <w:i w:val="0"/>
                <w:iCs w:val="0"/>
                <w:szCs w:val="24"/>
              </w:rPr>
            </w:pPr>
            <w:r w:rsidRPr="00074EAF">
              <w:rPr>
                <w:i w:val="0"/>
                <w:iCs w:val="0"/>
                <w:szCs w:val="24"/>
              </w:rPr>
              <w:t>4</w:t>
            </w:r>
          </w:p>
        </w:tc>
        <w:tc>
          <w:tcPr>
            <w:tcW w:w="1839" w:type="dxa"/>
            <w:vAlign w:val="bottom"/>
          </w:tcPr>
          <w:p w:rsidR="00C01F4A" w:rsidRPr="00074EAF" w:rsidP="00C01F4A" w14:paraId="5E9EB83F" w14:textId="77777777">
            <w:pPr>
              <w:pStyle w:val="BodyText"/>
              <w:ind w:right="713"/>
              <w:rPr>
                <w:i w:val="0"/>
                <w:iCs w:val="0"/>
                <w:szCs w:val="24"/>
              </w:rPr>
            </w:pPr>
            <w:r w:rsidRPr="00074EAF">
              <w:rPr>
                <w:i w:val="0"/>
                <w:iCs w:val="0"/>
                <w:szCs w:val="24"/>
              </w:rPr>
              <w:t>128</w:t>
            </w:r>
          </w:p>
        </w:tc>
        <w:tc>
          <w:tcPr>
            <w:tcW w:w="2031" w:type="dxa"/>
            <w:vAlign w:val="bottom"/>
          </w:tcPr>
          <w:p w:rsidR="00C01F4A" w:rsidRPr="00074EAF" w:rsidP="00C01F4A" w14:paraId="0A0F4040" w14:textId="77777777">
            <w:pPr>
              <w:pStyle w:val="BodyText"/>
              <w:ind w:right="713"/>
              <w:rPr>
                <w:i w:val="0"/>
                <w:iCs w:val="0"/>
                <w:szCs w:val="24"/>
              </w:rPr>
            </w:pPr>
            <w:r w:rsidRPr="00074EAF">
              <w:rPr>
                <w:i w:val="0"/>
                <w:iCs w:val="0"/>
                <w:szCs w:val="24"/>
              </w:rPr>
              <w:t>25,088</w:t>
            </w:r>
          </w:p>
        </w:tc>
      </w:tr>
      <w:tr w14:paraId="37E76CCF" w14:textId="77777777" w:rsidTr="007A6204">
        <w:tblPrEx>
          <w:tblW w:w="10620" w:type="dxa"/>
          <w:tblInd w:w="-185" w:type="dxa"/>
          <w:tblLook w:val="04A0"/>
        </w:tblPrEx>
        <w:tc>
          <w:tcPr>
            <w:tcW w:w="2895" w:type="dxa"/>
          </w:tcPr>
          <w:p w:rsidR="00C01F4A" w:rsidRPr="00074EAF" w:rsidP="00C01F4A" w14:paraId="2B7F1BD6" w14:textId="77777777">
            <w:pPr>
              <w:pStyle w:val="BodyText"/>
              <w:ind w:right="713"/>
              <w:rPr>
                <w:i w:val="0"/>
                <w:iCs w:val="0"/>
                <w:szCs w:val="24"/>
              </w:rPr>
            </w:pPr>
            <w:r w:rsidRPr="00074EAF">
              <w:rPr>
                <w:i w:val="0"/>
                <w:iCs w:val="0"/>
                <w:szCs w:val="24"/>
              </w:rPr>
              <w:t>Weekly risk factor updates (weekly) --</w:t>
            </w:r>
          </w:p>
          <w:p w:rsidR="00C01F4A" w:rsidRPr="00074EAF" w:rsidP="00C01F4A" w14:paraId="465BA91F" w14:textId="77777777">
            <w:pPr>
              <w:pStyle w:val="BodyText"/>
              <w:ind w:right="713"/>
              <w:rPr>
                <w:i w:val="0"/>
                <w:iCs w:val="0"/>
                <w:szCs w:val="24"/>
              </w:rPr>
            </w:pPr>
            <w:r w:rsidRPr="00074EAF">
              <w:rPr>
                <w:i w:val="0"/>
                <w:iCs w:val="0"/>
                <w:szCs w:val="24"/>
              </w:rPr>
              <w:t>Section: 3.214(b)(7)(v)</w:t>
            </w:r>
          </w:p>
          <w:p w:rsidR="00C01F4A" w:rsidRPr="00074EAF" w:rsidP="00C01F4A" w14:paraId="4573F5EF" w14:textId="77777777">
            <w:pPr>
              <w:pStyle w:val="BodyText"/>
              <w:ind w:right="713"/>
              <w:rPr>
                <w:i w:val="0"/>
                <w:iCs w:val="0"/>
                <w:szCs w:val="24"/>
              </w:rPr>
            </w:pPr>
          </w:p>
        </w:tc>
        <w:tc>
          <w:tcPr>
            <w:tcW w:w="2016" w:type="dxa"/>
            <w:vAlign w:val="bottom"/>
          </w:tcPr>
          <w:p w:rsidR="00C01F4A" w:rsidRPr="00074EAF" w:rsidP="00C01F4A" w14:paraId="0CAEAC57" w14:textId="77777777">
            <w:pPr>
              <w:pStyle w:val="BodyText"/>
              <w:ind w:right="713"/>
              <w:rPr>
                <w:i w:val="0"/>
                <w:iCs w:val="0"/>
                <w:szCs w:val="24"/>
              </w:rPr>
            </w:pPr>
            <w:r w:rsidRPr="00074EAF">
              <w:rPr>
                <w:i w:val="0"/>
                <w:iCs w:val="0"/>
                <w:szCs w:val="24"/>
              </w:rPr>
              <w:t>49</w:t>
            </w:r>
          </w:p>
        </w:tc>
        <w:tc>
          <w:tcPr>
            <w:tcW w:w="1839" w:type="dxa"/>
            <w:vAlign w:val="bottom"/>
          </w:tcPr>
          <w:p w:rsidR="00C01F4A" w:rsidRPr="00074EAF" w:rsidP="00C01F4A" w14:paraId="24164945" w14:textId="77777777">
            <w:pPr>
              <w:pStyle w:val="BodyText"/>
              <w:ind w:right="713"/>
              <w:rPr>
                <w:i w:val="0"/>
                <w:iCs w:val="0"/>
                <w:szCs w:val="24"/>
              </w:rPr>
            </w:pPr>
            <w:r w:rsidRPr="00074EAF">
              <w:rPr>
                <w:i w:val="0"/>
                <w:iCs w:val="0"/>
                <w:szCs w:val="24"/>
              </w:rPr>
              <w:t>52</w:t>
            </w:r>
          </w:p>
        </w:tc>
        <w:tc>
          <w:tcPr>
            <w:tcW w:w="1839" w:type="dxa"/>
            <w:vAlign w:val="bottom"/>
          </w:tcPr>
          <w:p w:rsidR="00C01F4A" w:rsidRPr="00074EAF" w:rsidP="00C01F4A" w14:paraId="0605905F" w14:textId="77777777">
            <w:pPr>
              <w:pStyle w:val="BodyText"/>
              <w:ind w:right="713"/>
              <w:rPr>
                <w:i w:val="0"/>
                <w:iCs w:val="0"/>
                <w:szCs w:val="24"/>
              </w:rPr>
            </w:pPr>
            <w:r w:rsidRPr="00074EAF">
              <w:rPr>
                <w:i w:val="0"/>
                <w:iCs w:val="0"/>
                <w:szCs w:val="24"/>
              </w:rPr>
              <w:t>12</w:t>
            </w:r>
          </w:p>
        </w:tc>
        <w:tc>
          <w:tcPr>
            <w:tcW w:w="2031" w:type="dxa"/>
            <w:vAlign w:val="bottom"/>
          </w:tcPr>
          <w:p w:rsidR="00C01F4A" w:rsidRPr="00074EAF" w:rsidP="00C01F4A" w14:paraId="1E8037BF" w14:textId="77777777">
            <w:pPr>
              <w:pStyle w:val="BodyText"/>
              <w:ind w:right="713"/>
              <w:rPr>
                <w:i w:val="0"/>
                <w:iCs w:val="0"/>
                <w:szCs w:val="24"/>
              </w:rPr>
            </w:pPr>
            <w:r w:rsidRPr="00074EAF">
              <w:rPr>
                <w:i w:val="0"/>
                <w:iCs w:val="0"/>
                <w:szCs w:val="24"/>
              </w:rPr>
              <w:t>30,576</w:t>
            </w:r>
          </w:p>
        </w:tc>
      </w:tr>
      <w:tr w14:paraId="62E8EEEA" w14:textId="77777777" w:rsidTr="007A6204">
        <w:tblPrEx>
          <w:tblW w:w="10620" w:type="dxa"/>
          <w:tblInd w:w="-185" w:type="dxa"/>
          <w:tblLook w:val="04A0"/>
        </w:tblPrEx>
        <w:tc>
          <w:tcPr>
            <w:tcW w:w="2895" w:type="dxa"/>
          </w:tcPr>
          <w:p w:rsidR="00C01F4A" w:rsidRPr="00074EAF" w:rsidP="00C01F4A" w14:paraId="4446138C" w14:textId="77777777">
            <w:pPr>
              <w:pStyle w:val="BodyText"/>
              <w:ind w:right="713"/>
              <w:rPr>
                <w:i w:val="0"/>
                <w:iCs w:val="0"/>
                <w:szCs w:val="24"/>
              </w:rPr>
            </w:pPr>
            <w:r w:rsidRPr="00074EAF">
              <w:rPr>
                <w:i w:val="0"/>
                <w:iCs w:val="0"/>
                <w:szCs w:val="24"/>
              </w:rPr>
              <w:t>Reporting and disclosure policy (annual) --</w:t>
            </w:r>
          </w:p>
          <w:p w:rsidR="00C01F4A" w:rsidRPr="00074EAF" w:rsidP="00C01F4A" w14:paraId="4F68AD3D" w14:textId="77777777">
            <w:pPr>
              <w:pStyle w:val="BodyText"/>
              <w:ind w:right="713"/>
              <w:rPr>
                <w:i w:val="0"/>
                <w:iCs w:val="0"/>
                <w:szCs w:val="24"/>
              </w:rPr>
            </w:pPr>
            <w:r w:rsidRPr="00074EAF">
              <w:rPr>
                <w:i w:val="0"/>
                <w:iCs w:val="0"/>
                <w:szCs w:val="24"/>
              </w:rPr>
              <w:t>Section: 3.217(c)</w:t>
            </w:r>
          </w:p>
          <w:p w:rsidR="00C01F4A" w:rsidRPr="00074EAF" w:rsidP="00C01F4A" w14:paraId="7DCACCA8" w14:textId="77777777">
            <w:pPr>
              <w:pStyle w:val="BodyText"/>
              <w:ind w:right="713"/>
              <w:rPr>
                <w:i w:val="0"/>
                <w:iCs w:val="0"/>
                <w:szCs w:val="24"/>
              </w:rPr>
            </w:pPr>
          </w:p>
        </w:tc>
        <w:tc>
          <w:tcPr>
            <w:tcW w:w="2016" w:type="dxa"/>
            <w:vAlign w:val="bottom"/>
          </w:tcPr>
          <w:p w:rsidR="00C01F4A" w:rsidRPr="00074EAF" w:rsidP="00C01F4A" w14:paraId="681A3E84" w14:textId="77777777">
            <w:pPr>
              <w:pStyle w:val="BodyText"/>
              <w:ind w:right="713"/>
              <w:rPr>
                <w:i w:val="0"/>
                <w:iCs w:val="0"/>
                <w:szCs w:val="24"/>
              </w:rPr>
            </w:pPr>
            <w:r w:rsidRPr="00074EAF">
              <w:rPr>
                <w:i w:val="0"/>
                <w:iCs w:val="0"/>
                <w:szCs w:val="24"/>
              </w:rPr>
              <w:t>49</w:t>
            </w:r>
          </w:p>
        </w:tc>
        <w:tc>
          <w:tcPr>
            <w:tcW w:w="1839" w:type="dxa"/>
            <w:vAlign w:val="bottom"/>
          </w:tcPr>
          <w:p w:rsidR="00C01F4A" w:rsidRPr="00074EAF" w:rsidP="00C01F4A" w14:paraId="51DD46F6" w14:textId="77777777">
            <w:pPr>
              <w:pStyle w:val="BodyText"/>
              <w:ind w:right="713"/>
              <w:rPr>
                <w:i w:val="0"/>
                <w:iCs w:val="0"/>
                <w:szCs w:val="24"/>
              </w:rPr>
            </w:pPr>
            <w:r w:rsidRPr="00074EAF">
              <w:rPr>
                <w:i w:val="0"/>
                <w:iCs w:val="0"/>
                <w:szCs w:val="24"/>
              </w:rPr>
              <w:t>1</w:t>
            </w:r>
          </w:p>
        </w:tc>
        <w:tc>
          <w:tcPr>
            <w:tcW w:w="1839" w:type="dxa"/>
            <w:vAlign w:val="bottom"/>
          </w:tcPr>
          <w:p w:rsidR="00C01F4A" w:rsidRPr="00074EAF" w:rsidP="00C01F4A" w14:paraId="30F8329F" w14:textId="77777777">
            <w:pPr>
              <w:pStyle w:val="BodyText"/>
              <w:ind w:right="713"/>
              <w:rPr>
                <w:i w:val="0"/>
                <w:iCs w:val="0"/>
                <w:szCs w:val="24"/>
              </w:rPr>
            </w:pPr>
            <w:r w:rsidRPr="00074EAF">
              <w:rPr>
                <w:i w:val="0"/>
                <w:iCs w:val="0"/>
                <w:szCs w:val="24"/>
              </w:rPr>
              <w:t>40</w:t>
            </w:r>
          </w:p>
        </w:tc>
        <w:tc>
          <w:tcPr>
            <w:tcW w:w="2031" w:type="dxa"/>
            <w:vAlign w:val="bottom"/>
          </w:tcPr>
          <w:p w:rsidR="00C01F4A" w:rsidRPr="00074EAF" w:rsidP="00C01F4A" w14:paraId="3CBABCC7" w14:textId="77777777">
            <w:pPr>
              <w:pStyle w:val="BodyText"/>
              <w:ind w:right="713"/>
              <w:rPr>
                <w:i w:val="0"/>
                <w:iCs w:val="0"/>
                <w:szCs w:val="24"/>
              </w:rPr>
            </w:pPr>
            <w:r w:rsidRPr="00074EAF">
              <w:rPr>
                <w:i w:val="0"/>
                <w:iCs w:val="0"/>
                <w:szCs w:val="24"/>
              </w:rPr>
              <w:t>1,960</w:t>
            </w:r>
          </w:p>
        </w:tc>
      </w:tr>
      <w:tr w14:paraId="611B18BF" w14:textId="77777777" w:rsidTr="007A6204">
        <w:tblPrEx>
          <w:tblW w:w="10620" w:type="dxa"/>
          <w:tblInd w:w="-185" w:type="dxa"/>
          <w:tblLook w:val="04A0"/>
        </w:tblPrEx>
        <w:tc>
          <w:tcPr>
            <w:tcW w:w="2895" w:type="dxa"/>
          </w:tcPr>
          <w:p w:rsidR="00C01F4A" w:rsidRPr="00074EAF" w:rsidP="00C01F4A" w14:paraId="1D2271EF" w14:textId="77777777">
            <w:pPr>
              <w:pStyle w:val="BodyText"/>
              <w:ind w:right="713"/>
              <w:rPr>
                <w:i w:val="0"/>
                <w:iCs w:val="0"/>
                <w:szCs w:val="24"/>
              </w:rPr>
            </w:pPr>
            <w:r w:rsidRPr="00074EAF">
              <w:rPr>
                <w:i w:val="0"/>
                <w:iCs w:val="0"/>
                <w:szCs w:val="24"/>
              </w:rPr>
              <w:t>CVA hedging policy (annual) --</w:t>
            </w:r>
          </w:p>
          <w:p w:rsidR="00C01F4A" w:rsidRPr="00074EAF" w:rsidP="00C01F4A" w14:paraId="4D799904" w14:textId="77777777">
            <w:pPr>
              <w:pStyle w:val="BodyText"/>
              <w:ind w:right="713"/>
              <w:rPr>
                <w:i w:val="0"/>
                <w:iCs w:val="0"/>
                <w:szCs w:val="24"/>
              </w:rPr>
            </w:pPr>
            <w:r w:rsidRPr="00074EAF">
              <w:rPr>
                <w:i w:val="0"/>
                <w:iCs w:val="0"/>
                <w:szCs w:val="24"/>
              </w:rPr>
              <w:t>Section: 3.220(b)</w:t>
            </w:r>
          </w:p>
          <w:p w:rsidR="00C01F4A" w:rsidRPr="00074EAF" w:rsidP="00C01F4A" w14:paraId="4CF01B53" w14:textId="77777777">
            <w:pPr>
              <w:pStyle w:val="BodyText"/>
              <w:ind w:right="713"/>
              <w:rPr>
                <w:i w:val="0"/>
                <w:iCs w:val="0"/>
                <w:szCs w:val="24"/>
              </w:rPr>
            </w:pPr>
          </w:p>
        </w:tc>
        <w:tc>
          <w:tcPr>
            <w:tcW w:w="2016" w:type="dxa"/>
            <w:vAlign w:val="bottom"/>
          </w:tcPr>
          <w:p w:rsidR="00C01F4A" w:rsidRPr="00074EAF" w:rsidP="00C01F4A" w14:paraId="32551612" w14:textId="77777777">
            <w:pPr>
              <w:pStyle w:val="BodyText"/>
              <w:ind w:right="713"/>
              <w:rPr>
                <w:i w:val="0"/>
                <w:iCs w:val="0"/>
                <w:szCs w:val="24"/>
              </w:rPr>
            </w:pPr>
            <w:r w:rsidRPr="00074EAF">
              <w:rPr>
                <w:i w:val="0"/>
                <w:iCs w:val="0"/>
                <w:szCs w:val="24"/>
              </w:rPr>
              <w:t>49</w:t>
            </w:r>
          </w:p>
        </w:tc>
        <w:tc>
          <w:tcPr>
            <w:tcW w:w="1839" w:type="dxa"/>
            <w:vAlign w:val="bottom"/>
          </w:tcPr>
          <w:p w:rsidR="00C01F4A" w:rsidRPr="00074EAF" w:rsidP="00C01F4A" w14:paraId="053C7EFE" w14:textId="77777777">
            <w:pPr>
              <w:pStyle w:val="BodyText"/>
              <w:ind w:right="713"/>
              <w:rPr>
                <w:i w:val="0"/>
                <w:iCs w:val="0"/>
                <w:szCs w:val="24"/>
              </w:rPr>
            </w:pPr>
            <w:r w:rsidRPr="00074EAF">
              <w:rPr>
                <w:i w:val="0"/>
                <w:iCs w:val="0"/>
                <w:szCs w:val="24"/>
              </w:rPr>
              <w:t>1</w:t>
            </w:r>
          </w:p>
        </w:tc>
        <w:tc>
          <w:tcPr>
            <w:tcW w:w="1839" w:type="dxa"/>
            <w:vAlign w:val="bottom"/>
          </w:tcPr>
          <w:p w:rsidR="00C01F4A" w:rsidRPr="00074EAF" w:rsidP="00C01F4A" w14:paraId="7CE09090" w14:textId="77777777">
            <w:pPr>
              <w:pStyle w:val="BodyText"/>
              <w:ind w:right="713"/>
              <w:rPr>
                <w:i w:val="0"/>
                <w:iCs w:val="0"/>
                <w:szCs w:val="24"/>
              </w:rPr>
            </w:pPr>
            <w:r w:rsidRPr="00074EAF">
              <w:rPr>
                <w:i w:val="0"/>
                <w:iCs w:val="0"/>
                <w:szCs w:val="24"/>
              </w:rPr>
              <w:t>40</w:t>
            </w:r>
          </w:p>
        </w:tc>
        <w:tc>
          <w:tcPr>
            <w:tcW w:w="2031" w:type="dxa"/>
            <w:vAlign w:val="bottom"/>
          </w:tcPr>
          <w:p w:rsidR="00C01F4A" w:rsidRPr="00074EAF" w:rsidP="00C01F4A" w14:paraId="4E16F0A7" w14:textId="77777777">
            <w:pPr>
              <w:pStyle w:val="BodyText"/>
              <w:ind w:right="713"/>
              <w:rPr>
                <w:i w:val="0"/>
                <w:iCs w:val="0"/>
                <w:szCs w:val="24"/>
              </w:rPr>
            </w:pPr>
            <w:r w:rsidRPr="00074EAF">
              <w:rPr>
                <w:i w:val="0"/>
                <w:iCs w:val="0"/>
                <w:szCs w:val="24"/>
              </w:rPr>
              <w:t>1,960</w:t>
            </w:r>
          </w:p>
        </w:tc>
      </w:tr>
      <w:tr w14:paraId="4C66E425" w14:textId="77777777" w:rsidTr="007A6204">
        <w:tblPrEx>
          <w:tblW w:w="10620" w:type="dxa"/>
          <w:tblInd w:w="-185" w:type="dxa"/>
          <w:tblLook w:val="04A0"/>
        </w:tblPrEx>
        <w:tc>
          <w:tcPr>
            <w:tcW w:w="2895" w:type="dxa"/>
          </w:tcPr>
          <w:p w:rsidR="00C01F4A" w:rsidRPr="00074EAF" w:rsidP="00C01F4A" w14:paraId="67914EAC" w14:textId="77777777">
            <w:pPr>
              <w:pStyle w:val="BodyText"/>
              <w:ind w:right="713"/>
              <w:rPr>
                <w:i w:val="0"/>
                <w:iCs w:val="0"/>
                <w:szCs w:val="24"/>
              </w:rPr>
            </w:pPr>
            <w:r w:rsidRPr="00074EAF">
              <w:rPr>
                <w:i w:val="0"/>
                <w:iCs w:val="0"/>
                <w:szCs w:val="24"/>
              </w:rPr>
              <w:t>CVA model validation process (annual) --</w:t>
            </w:r>
          </w:p>
          <w:p w:rsidR="00C01F4A" w:rsidRPr="00074EAF" w:rsidP="00C01F4A" w14:paraId="4C83FCEB" w14:textId="77777777">
            <w:pPr>
              <w:pStyle w:val="BodyText"/>
              <w:ind w:right="713"/>
              <w:rPr>
                <w:i w:val="0"/>
                <w:iCs w:val="0"/>
                <w:szCs w:val="24"/>
              </w:rPr>
            </w:pPr>
            <w:r w:rsidRPr="00074EAF">
              <w:rPr>
                <w:i w:val="0"/>
                <w:iCs w:val="0"/>
                <w:szCs w:val="24"/>
              </w:rPr>
              <w:t>Section: 3.223(b)(4), 3.223(b)(7), and 3.223(b)(9)</w:t>
            </w:r>
          </w:p>
          <w:p w:rsidR="00C01F4A" w:rsidRPr="00074EAF" w:rsidP="00C01F4A" w14:paraId="7E8A9471" w14:textId="77777777">
            <w:pPr>
              <w:pStyle w:val="BodyText"/>
              <w:ind w:right="713"/>
              <w:rPr>
                <w:i w:val="0"/>
                <w:iCs w:val="0"/>
                <w:szCs w:val="24"/>
              </w:rPr>
            </w:pPr>
          </w:p>
        </w:tc>
        <w:tc>
          <w:tcPr>
            <w:tcW w:w="2016" w:type="dxa"/>
            <w:vAlign w:val="bottom"/>
          </w:tcPr>
          <w:p w:rsidR="00C01F4A" w:rsidRPr="00074EAF" w:rsidP="00C01F4A" w14:paraId="256DA16C" w14:textId="77777777">
            <w:pPr>
              <w:pStyle w:val="BodyText"/>
              <w:ind w:right="713"/>
              <w:rPr>
                <w:i w:val="0"/>
                <w:iCs w:val="0"/>
                <w:szCs w:val="24"/>
              </w:rPr>
            </w:pPr>
            <w:r w:rsidRPr="00074EAF">
              <w:rPr>
                <w:i w:val="0"/>
                <w:iCs w:val="0"/>
                <w:szCs w:val="24"/>
              </w:rPr>
              <w:t>49</w:t>
            </w:r>
          </w:p>
        </w:tc>
        <w:tc>
          <w:tcPr>
            <w:tcW w:w="1839" w:type="dxa"/>
            <w:vAlign w:val="bottom"/>
          </w:tcPr>
          <w:p w:rsidR="00C01F4A" w:rsidRPr="00074EAF" w:rsidP="00C01F4A" w14:paraId="79D67523" w14:textId="77777777">
            <w:pPr>
              <w:pStyle w:val="BodyText"/>
              <w:ind w:right="713"/>
              <w:rPr>
                <w:i w:val="0"/>
                <w:iCs w:val="0"/>
                <w:szCs w:val="24"/>
              </w:rPr>
            </w:pPr>
            <w:r w:rsidRPr="00074EAF">
              <w:rPr>
                <w:i w:val="0"/>
                <w:iCs w:val="0"/>
                <w:szCs w:val="24"/>
              </w:rPr>
              <w:t>1</w:t>
            </w:r>
          </w:p>
        </w:tc>
        <w:tc>
          <w:tcPr>
            <w:tcW w:w="1839" w:type="dxa"/>
            <w:vAlign w:val="bottom"/>
          </w:tcPr>
          <w:p w:rsidR="00C01F4A" w:rsidRPr="00074EAF" w:rsidP="00C01F4A" w14:paraId="3358B5CE" w14:textId="77777777">
            <w:pPr>
              <w:pStyle w:val="BodyText"/>
              <w:ind w:right="713"/>
              <w:rPr>
                <w:i w:val="0"/>
                <w:iCs w:val="0"/>
                <w:szCs w:val="24"/>
              </w:rPr>
            </w:pPr>
            <w:r w:rsidRPr="00074EAF">
              <w:rPr>
                <w:i w:val="0"/>
                <w:iCs w:val="0"/>
                <w:szCs w:val="24"/>
              </w:rPr>
              <w:t>40</w:t>
            </w:r>
          </w:p>
        </w:tc>
        <w:tc>
          <w:tcPr>
            <w:tcW w:w="2031" w:type="dxa"/>
            <w:vAlign w:val="bottom"/>
          </w:tcPr>
          <w:p w:rsidR="00C01F4A" w:rsidRPr="00074EAF" w:rsidP="00C01F4A" w14:paraId="6D435D80" w14:textId="77777777">
            <w:pPr>
              <w:pStyle w:val="BodyText"/>
              <w:ind w:right="713"/>
              <w:rPr>
                <w:i w:val="0"/>
                <w:iCs w:val="0"/>
                <w:szCs w:val="24"/>
              </w:rPr>
            </w:pPr>
            <w:r w:rsidRPr="00074EAF">
              <w:rPr>
                <w:i w:val="0"/>
                <w:iCs w:val="0"/>
                <w:szCs w:val="24"/>
              </w:rPr>
              <w:t>1,960</w:t>
            </w:r>
          </w:p>
        </w:tc>
      </w:tr>
      <w:tr w14:paraId="04C97D3F" w14:textId="77777777" w:rsidTr="007A6204">
        <w:tblPrEx>
          <w:tblW w:w="10620" w:type="dxa"/>
          <w:tblInd w:w="-185" w:type="dxa"/>
          <w:tblLook w:val="04A0"/>
        </w:tblPrEx>
        <w:trPr>
          <w:trHeight w:val="795"/>
        </w:trPr>
        <w:tc>
          <w:tcPr>
            <w:tcW w:w="2895" w:type="dxa"/>
          </w:tcPr>
          <w:p w:rsidR="00C01F4A" w:rsidRPr="00074EAF" w:rsidP="00C01F4A" w14:paraId="224B47F8" w14:textId="77777777">
            <w:pPr>
              <w:pStyle w:val="BodyText"/>
              <w:ind w:right="713"/>
              <w:rPr>
                <w:i w:val="0"/>
                <w:iCs w:val="0"/>
                <w:szCs w:val="24"/>
              </w:rPr>
            </w:pPr>
            <w:r w:rsidRPr="00074EAF">
              <w:rPr>
                <w:i w:val="0"/>
                <w:iCs w:val="0"/>
                <w:szCs w:val="24"/>
              </w:rPr>
              <w:t>Historical market data (annual) --</w:t>
            </w:r>
          </w:p>
          <w:p w:rsidR="00C01F4A" w:rsidRPr="00074EAF" w:rsidP="00C01F4A" w14:paraId="3D14B77B" w14:textId="77777777">
            <w:pPr>
              <w:pStyle w:val="BodyText"/>
              <w:ind w:right="713"/>
              <w:rPr>
                <w:i w:val="0"/>
                <w:iCs w:val="0"/>
                <w:szCs w:val="24"/>
              </w:rPr>
            </w:pPr>
            <w:r w:rsidRPr="00074EAF">
              <w:rPr>
                <w:i w:val="0"/>
                <w:iCs w:val="0"/>
                <w:szCs w:val="24"/>
              </w:rPr>
              <w:t>Section: 3.223(b)(10)</w:t>
            </w:r>
          </w:p>
          <w:p w:rsidR="00C01F4A" w:rsidRPr="00074EAF" w:rsidP="00C01F4A" w14:paraId="5ECFC0F9" w14:textId="77777777">
            <w:pPr>
              <w:pStyle w:val="BodyText"/>
              <w:ind w:right="713"/>
              <w:rPr>
                <w:i w:val="0"/>
                <w:iCs w:val="0"/>
                <w:szCs w:val="24"/>
              </w:rPr>
            </w:pPr>
          </w:p>
        </w:tc>
        <w:tc>
          <w:tcPr>
            <w:tcW w:w="2016" w:type="dxa"/>
            <w:vAlign w:val="bottom"/>
          </w:tcPr>
          <w:p w:rsidR="00C01F4A" w:rsidRPr="00074EAF" w:rsidP="00C01F4A" w14:paraId="632B01BF" w14:textId="77777777">
            <w:pPr>
              <w:pStyle w:val="BodyText"/>
              <w:ind w:right="713"/>
              <w:rPr>
                <w:i w:val="0"/>
                <w:iCs w:val="0"/>
                <w:szCs w:val="24"/>
              </w:rPr>
            </w:pPr>
            <w:r w:rsidRPr="00074EAF">
              <w:rPr>
                <w:i w:val="0"/>
                <w:iCs w:val="0"/>
                <w:szCs w:val="24"/>
              </w:rPr>
              <w:t>49</w:t>
            </w:r>
          </w:p>
        </w:tc>
        <w:tc>
          <w:tcPr>
            <w:tcW w:w="1839" w:type="dxa"/>
            <w:vAlign w:val="bottom"/>
          </w:tcPr>
          <w:p w:rsidR="00C01F4A" w:rsidRPr="00074EAF" w:rsidP="00C01F4A" w14:paraId="03EEEECE" w14:textId="77777777">
            <w:pPr>
              <w:pStyle w:val="BodyText"/>
              <w:ind w:right="713"/>
              <w:rPr>
                <w:i w:val="0"/>
                <w:iCs w:val="0"/>
                <w:szCs w:val="24"/>
              </w:rPr>
            </w:pPr>
            <w:r w:rsidRPr="00074EAF">
              <w:rPr>
                <w:i w:val="0"/>
                <w:iCs w:val="0"/>
                <w:szCs w:val="24"/>
              </w:rPr>
              <w:t>1</w:t>
            </w:r>
          </w:p>
        </w:tc>
        <w:tc>
          <w:tcPr>
            <w:tcW w:w="1839" w:type="dxa"/>
            <w:vAlign w:val="bottom"/>
          </w:tcPr>
          <w:p w:rsidR="00C01F4A" w:rsidRPr="00074EAF" w:rsidP="00C01F4A" w14:paraId="004C1654" w14:textId="77777777">
            <w:pPr>
              <w:pStyle w:val="BodyText"/>
              <w:ind w:right="713"/>
              <w:rPr>
                <w:i w:val="0"/>
                <w:iCs w:val="0"/>
                <w:szCs w:val="24"/>
              </w:rPr>
            </w:pPr>
            <w:r w:rsidRPr="00074EAF">
              <w:rPr>
                <w:i w:val="0"/>
                <w:iCs w:val="0"/>
                <w:szCs w:val="24"/>
              </w:rPr>
              <w:t>12</w:t>
            </w:r>
          </w:p>
        </w:tc>
        <w:tc>
          <w:tcPr>
            <w:tcW w:w="2031" w:type="dxa"/>
            <w:vAlign w:val="bottom"/>
          </w:tcPr>
          <w:p w:rsidR="00C01F4A" w:rsidRPr="00074EAF" w:rsidP="00C01F4A" w14:paraId="02013E8E" w14:textId="77777777">
            <w:pPr>
              <w:pStyle w:val="BodyText"/>
              <w:ind w:right="713"/>
              <w:rPr>
                <w:i w:val="0"/>
                <w:iCs w:val="0"/>
                <w:szCs w:val="24"/>
              </w:rPr>
            </w:pPr>
            <w:r w:rsidRPr="00074EAF">
              <w:rPr>
                <w:i w:val="0"/>
                <w:iCs w:val="0"/>
                <w:szCs w:val="24"/>
              </w:rPr>
              <w:t>588</w:t>
            </w:r>
          </w:p>
        </w:tc>
      </w:tr>
      <w:tr w14:paraId="7639F92B" w14:textId="77777777" w:rsidTr="007A6204">
        <w:tblPrEx>
          <w:tblW w:w="10620" w:type="dxa"/>
          <w:tblInd w:w="-185" w:type="dxa"/>
          <w:tblLook w:val="04A0"/>
        </w:tblPrEx>
        <w:tc>
          <w:tcPr>
            <w:tcW w:w="2895" w:type="dxa"/>
          </w:tcPr>
          <w:p w:rsidR="00C01F4A" w:rsidRPr="00074EAF" w:rsidP="00C01F4A" w14:paraId="40D68974" w14:textId="77777777">
            <w:pPr>
              <w:pStyle w:val="BodyText"/>
              <w:ind w:right="713"/>
              <w:rPr>
                <w:b/>
                <w:bCs/>
                <w:i w:val="0"/>
                <w:iCs w:val="0"/>
                <w:szCs w:val="24"/>
              </w:rPr>
            </w:pPr>
            <w:r w:rsidRPr="00074EAF">
              <w:rPr>
                <w:b/>
                <w:bCs/>
                <w:i w:val="0"/>
                <w:iCs w:val="0"/>
                <w:szCs w:val="24"/>
              </w:rPr>
              <w:t>Disclosure</w:t>
            </w:r>
          </w:p>
        </w:tc>
        <w:tc>
          <w:tcPr>
            <w:tcW w:w="2016" w:type="dxa"/>
            <w:vAlign w:val="bottom"/>
          </w:tcPr>
          <w:p w:rsidR="00C01F4A" w:rsidRPr="00074EAF" w:rsidP="00C01F4A" w14:paraId="01640E35" w14:textId="77777777">
            <w:pPr>
              <w:pStyle w:val="BodyText"/>
              <w:ind w:right="713"/>
              <w:rPr>
                <w:i w:val="0"/>
                <w:iCs w:val="0"/>
                <w:szCs w:val="24"/>
              </w:rPr>
            </w:pPr>
          </w:p>
        </w:tc>
        <w:tc>
          <w:tcPr>
            <w:tcW w:w="1839" w:type="dxa"/>
            <w:vAlign w:val="bottom"/>
          </w:tcPr>
          <w:p w:rsidR="00C01F4A" w:rsidRPr="00074EAF" w:rsidP="00C01F4A" w14:paraId="7681C7FD" w14:textId="77777777">
            <w:pPr>
              <w:pStyle w:val="BodyText"/>
              <w:ind w:right="713"/>
              <w:rPr>
                <w:i w:val="0"/>
                <w:iCs w:val="0"/>
                <w:szCs w:val="24"/>
              </w:rPr>
            </w:pPr>
          </w:p>
        </w:tc>
        <w:tc>
          <w:tcPr>
            <w:tcW w:w="1839" w:type="dxa"/>
            <w:vAlign w:val="bottom"/>
          </w:tcPr>
          <w:p w:rsidR="00C01F4A" w:rsidRPr="00074EAF" w:rsidP="00C01F4A" w14:paraId="6BE232B7" w14:textId="77777777">
            <w:pPr>
              <w:pStyle w:val="BodyText"/>
              <w:ind w:right="713"/>
              <w:rPr>
                <w:i w:val="0"/>
                <w:iCs w:val="0"/>
                <w:szCs w:val="24"/>
              </w:rPr>
            </w:pPr>
          </w:p>
        </w:tc>
        <w:tc>
          <w:tcPr>
            <w:tcW w:w="2031" w:type="dxa"/>
            <w:vAlign w:val="bottom"/>
          </w:tcPr>
          <w:p w:rsidR="00C01F4A" w:rsidRPr="00074EAF" w:rsidP="00C01F4A" w14:paraId="5FC07AF5" w14:textId="77777777">
            <w:pPr>
              <w:pStyle w:val="BodyText"/>
              <w:ind w:right="713"/>
              <w:rPr>
                <w:i w:val="0"/>
                <w:iCs w:val="0"/>
                <w:szCs w:val="24"/>
              </w:rPr>
            </w:pPr>
          </w:p>
        </w:tc>
      </w:tr>
      <w:tr w14:paraId="01142E07" w14:textId="77777777" w:rsidTr="007A6204">
        <w:tblPrEx>
          <w:tblW w:w="10620" w:type="dxa"/>
          <w:tblInd w:w="-185" w:type="dxa"/>
          <w:tblLook w:val="04A0"/>
        </w:tblPrEx>
        <w:tc>
          <w:tcPr>
            <w:tcW w:w="2895" w:type="dxa"/>
          </w:tcPr>
          <w:p w:rsidR="00C01F4A" w:rsidRPr="00074EAF" w:rsidP="00C01F4A" w14:paraId="2918E39A" w14:textId="77777777">
            <w:pPr>
              <w:pStyle w:val="BodyText"/>
              <w:ind w:right="713"/>
              <w:rPr>
                <w:i w:val="0"/>
                <w:iCs w:val="0"/>
                <w:szCs w:val="24"/>
              </w:rPr>
            </w:pPr>
            <w:r w:rsidRPr="00074EAF">
              <w:rPr>
                <w:i w:val="0"/>
                <w:iCs w:val="0"/>
                <w:szCs w:val="24"/>
              </w:rPr>
              <w:t>Proprietary confidential information (on occasion) --</w:t>
            </w:r>
          </w:p>
          <w:p w:rsidR="00C01F4A" w:rsidRPr="00074EAF" w:rsidP="00C01F4A" w14:paraId="3AE063E3" w14:textId="77777777">
            <w:pPr>
              <w:pStyle w:val="BodyText"/>
              <w:ind w:right="713"/>
              <w:rPr>
                <w:i w:val="0"/>
                <w:iCs w:val="0"/>
                <w:szCs w:val="24"/>
              </w:rPr>
            </w:pPr>
            <w:r w:rsidRPr="00074EAF">
              <w:rPr>
                <w:i w:val="0"/>
                <w:iCs w:val="0"/>
                <w:szCs w:val="24"/>
              </w:rPr>
              <w:t>Section: 3.217(d)</w:t>
            </w:r>
          </w:p>
          <w:p w:rsidR="00C01F4A" w:rsidRPr="00074EAF" w:rsidP="00C01F4A" w14:paraId="4D64C63E" w14:textId="77777777">
            <w:pPr>
              <w:pStyle w:val="BodyText"/>
              <w:ind w:right="713"/>
              <w:rPr>
                <w:i w:val="0"/>
                <w:iCs w:val="0"/>
                <w:szCs w:val="24"/>
              </w:rPr>
            </w:pPr>
          </w:p>
        </w:tc>
        <w:tc>
          <w:tcPr>
            <w:tcW w:w="2016" w:type="dxa"/>
            <w:vAlign w:val="bottom"/>
          </w:tcPr>
          <w:p w:rsidR="00C01F4A" w:rsidRPr="00074EAF" w:rsidP="00C01F4A" w14:paraId="2E161D01" w14:textId="77777777">
            <w:pPr>
              <w:pStyle w:val="BodyText"/>
              <w:ind w:right="713"/>
              <w:rPr>
                <w:i w:val="0"/>
                <w:iCs w:val="0"/>
                <w:szCs w:val="24"/>
              </w:rPr>
            </w:pPr>
            <w:r w:rsidRPr="00074EAF">
              <w:rPr>
                <w:i w:val="0"/>
                <w:iCs w:val="0"/>
                <w:szCs w:val="24"/>
              </w:rPr>
              <w:t>49</w:t>
            </w:r>
          </w:p>
        </w:tc>
        <w:tc>
          <w:tcPr>
            <w:tcW w:w="1839" w:type="dxa"/>
            <w:vAlign w:val="bottom"/>
          </w:tcPr>
          <w:p w:rsidR="00C01F4A" w:rsidRPr="00074EAF" w:rsidP="00C01F4A" w14:paraId="21637918" w14:textId="77777777">
            <w:pPr>
              <w:pStyle w:val="BodyText"/>
              <w:ind w:right="713"/>
              <w:rPr>
                <w:i w:val="0"/>
                <w:iCs w:val="0"/>
                <w:szCs w:val="24"/>
              </w:rPr>
            </w:pPr>
            <w:r w:rsidRPr="00074EAF">
              <w:rPr>
                <w:i w:val="0"/>
                <w:iCs w:val="0"/>
                <w:szCs w:val="24"/>
              </w:rPr>
              <w:t>1</w:t>
            </w:r>
          </w:p>
        </w:tc>
        <w:tc>
          <w:tcPr>
            <w:tcW w:w="1839" w:type="dxa"/>
            <w:vAlign w:val="bottom"/>
          </w:tcPr>
          <w:p w:rsidR="00C01F4A" w:rsidRPr="00074EAF" w:rsidP="00C01F4A" w14:paraId="00295D5F" w14:textId="77777777">
            <w:pPr>
              <w:pStyle w:val="BodyText"/>
              <w:ind w:right="713"/>
              <w:rPr>
                <w:i w:val="0"/>
                <w:iCs w:val="0"/>
                <w:szCs w:val="24"/>
              </w:rPr>
            </w:pPr>
            <w:r w:rsidRPr="00074EAF">
              <w:rPr>
                <w:i w:val="0"/>
                <w:iCs w:val="0"/>
                <w:szCs w:val="24"/>
              </w:rPr>
              <w:t>12</w:t>
            </w:r>
          </w:p>
        </w:tc>
        <w:tc>
          <w:tcPr>
            <w:tcW w:w="2031" w:type="dxa"/>
            <w:vAlign w:val="bottom"/>
          </w:tcPr>
          <w:p w:rsidR="00C01F4A" w:rsidRPr="00074EAF" w:rsidP="00C01F4A" w14:paraId="4DEFBC35" w14:textId="77777777">
            <w:pPr>
              <w:pStyle w:val="BodyText"/>
              <w:ind w:right="713"/>
              <w:rPr>
                <w:i w:val="0"/>
                <w:iCs w:val="0"/>
                <w:szCs w:val="24"/>
              </w:rPr>
            </w:pPr>
            <w:r w:rsidRPr="00074EAF">
              <w:rPr>
                <w:i w:val="0"/>
                <w:iCs w:val="0"/>
                <w:szCs w:val="24"/>
              </w:rPr>
              <w:t>588</w:t>
            </w:r>
          </w:p>
        </w:tc>
      </w:tr>
      <w:tr w14:paraId="3F386C63" w14:textId="77777777" w:rsidTr="007A6204">
        <w:tblPrEx>
          <w:tblW w:w="10620" w:type="dxa"/>
          <w:tblInd w:w="-185" w:type="dxa"/>
          <w:tblLook w:val="04A0"/>
        </w:tblPrEx>
        <w:tc>
          <w:tcPr>
            <w:tcW w:w="2895" w:type="dxa"/>
          </w:tcPr>
          <w:p w:rsidR="00C01F4A" w:rsidRPr="00074EAF" w:rsidP="00C01F4A" w14:paraId="7E366C33" w14:textId="77777777">
            <w:pPr>
              <w:pStyle w:val="BodyText"/>
              <w:ind w:right="713"/>
              <w:rPr>
                <w:i w:val="0"/>
                <w:iCs w:val="0"/>
                <w:szCs w:val="24"/>
              </w:rPr>
            </w:pPr>
            <w:r w:rsidRPr="00074EAF">
              <w:rPr>
                <w:i w:val="0"/>
                <w:iCs w:val="0"/>
                <w:szCs w:val="24"/>
              </w:rPr>
              <w:t xml:space="preserve">Location (on occasion) -- </w:t>
            </w:r>
          </w:p>
          <w:p w:rsidR="00C01F4A" w:rsidRPr="00074EAF" w:rsidP="00C01F4A" w14:paraId="08E1E06F" w14:textId="77777777">
            <w:pPr>
              <w:pStyle w:val="BodyText"/>
              <w:ind w:right="713"/>
              <w:rPr>
                <w:i w:val="0"/>
                <w:iCs w:val="0"/>
                <w:szCs w:val="24"/>
              </w:rPr>
            </w:pPr>
            <w:r w:rsidRPr="00074EAF">
              <w:rPr>
                <w:i w:val="0"/>
                <w:iCs w:val="0"/>
                <w:szCs w:val="24"/>
              </w:rPr>
              <w:t>Section: 3.217(e)</w:t>
            </w:r>
          </w:p>
          <w:p w:rsidR="00C01F4A" w:rsidRPr="00074EAF" w:rsidP="00C01F4A" w14:paraId="5C6BC3BC" w14:textId="77777777">
            <w:pPr>
              <w:pStyle w:val="BodyText"/>
              <w:ind w:right="713"/>
              <w:rPr>
                <w:i w:val="0"/>
                <w:iCs w:val="0"/>
                <w:szCs w:val="24"/>
              </w:rPr>
            </w:pPr>
          </w:p>
        </w:tc>
        <w:tc>
          <w:tcPr>
            <w:tcW w:w="2016" w:type="dxa"/>
            <w:vAlign w:val="bottom"/>
          </w:tcPr>
          <w:p w:rsidR="00C01F4A" w:rsidRPr="00074EAF" w:rsidP="00C01F4A" w14:paraId="2D40F317" w14:textId="77777777">
            <w:pPr>
              <w:pStyle w:val="BodyText"/>
              <w:ind w:right="713"/>
              <w:rPr>
                <w:i w:val="0"/>
                <w:iCs w:val="0"/>
                <w:szCs w:val="24"/>
              </w:rPr>
            </w:pPr>
            <w:r w:rsidRPr="00074EAF">
              <w:rPr>
                <w:i w:val="0"/>
                <w:iCs w:val="0"/>
                <w:szCs w:val="24"/>
              </w:rPr>
              <w:t>49</w:t>
            </w:r>
          </w:p>
        </w:tc>
        <w:tc>
          <w:tcPr>
            <w:tcW w:w="1839" w:type="dxa"/>
            <w:vAlign w:val="bottom"/>
          </w:tcPr>
          <w:p w:rsidR="00C01F4A" w:rsidRPr="00074EAF" w:rsidP="00C01F4A" w14:paraId="2FBA937F" w14:textId="77777777">
            <w:pPr>
              <w:pStyle w:val="BodyText"/>
              <w:ind w:right="713"/>
              <w:rPr>
                <w:i w:val="0"/>
                <w:iCs w:val="0"/>
                <w:szCs w:val="24"/>
              </w:rPr>
            </w:pPr>
            <w:r w:rsidRPr="00074EAF">
              <w:rPr>
                <w:i w:val="0"/>
                <w:iCs w:val="0"/>
                <w:szCs w:val="24"/>
              </w:rPr>
              <w:t>1</w:t>
            </w:r>
          </w:p>
        </w:tc>
        <w:tc>
          <w:tcPr>
            <w:tcW w:w="1839" w:type="dxa"/>
            <w:vAlign w:val="bottom"/>
          </w:tcPr>
          <w:p w:rsidR="00C01F4A" w:rsidRPr="00074EAF" w:rsidP="00C01F4A" w14:paraId="23B93652" w14:textId="77777777">
            <w:pPr>
              <w:pStyle w:val="BodyText"/>
              <w:ind w:right="713"/>
              <w:rPr>
                <w:i w:val="0"/>
                <w:iCs w:val="0"/>
                <w:szCs w:val="24"/>
              </w:rPr>
            </w:pPr>
            <w:r w:rsidRPr="00074EAF">
              <w:rPr>
                <w:i w:val="0"/>
                <w:iCs w:val="0"/>
                <w:szCs w:val="24"/>
              </w:rPr>
              <w:t>12</w:t>
            </w:r>
          </w:p>
        </w:tc>
        <w:tc>
          <w:tcPr>
            <w:tcW w:w="2031" w:type="dxa"/>
            <w:vAlign w:val="bottom"/>
          </w:tcPr>
          <w:p w:rsidR="00C01F4A" w:rsidRPr="00074EAF" w:rsidP="00C01F4A" w14:paraId="1365B0B3" w14:textId="77777777">
            <w:pPr>
              <w:pStyle w:val="BodyText"/>
              <w:ind w:right="713"/>
              <w:rPr>
                <w:i w:val="0"/>
                <w:iCs w:val="0"/>
                <w:szCs w:val="24"/>
              </w:rPr>
            </w:pPr>
            <w:r w:rsidRPr="00074EAF">
              <w:rPr>
                <w:i w:val="0"/>
                <w:iCs w:val="0"/>
                <w:szCs w:val="24"/>
              </w:rPr>
              <w:t>588</w:t>
            </w:r>
          </w:p>
        </w:tc>
      </w:tr>
      <w:tr w14:paraId="5AED834F" w14:textId="77777777" w:rsidTr="007A6204">
        <w:tblPrEx>
          <w:tblW w:w="10620" w:type="dxa"/>
          <w:tblInd w:w="-185" w:type="dxa"/>
          <w:tblLook w:val="04A0"/>
        </w:tblPrEx>
        <w:tc>
          <w:tcPr>
            <w:tcW w:w="2895" w:type="dxa"/>
          </w:tcPr>
          <w:p w:rsidR="00C01F4A" w:rsidRPr="00074EAF" w:rsidP="00C01F4A" w14:paraId="72A2F5FE" w14:textId="77777777">
            <w:pPr>
              <w:pStyle w:val="BodyText"/>
              <w:ind w:right="713"/>
              <w:rPr>
                <w:i w:val="0"/>
                <w:iCs w:val="0"/>
                <w:szCs w:val="24"/>
              </w:rPr>
            </w:pPr>
            <w:r w:rsidRPr="00074EAF">
              <w:rPr>
                <w:i w:val="0"/>
                <w:iCs w:val="0"/>
                <w:szCs w:val="24"/>
              </w:rPr>
              <w:t>Public disclosures (quarterly) --</w:t>
            </w:r>
          </w:p>
          <w:p w:rsidR="00C01F4A" w:rsidRPr="00074EAF" w:rsidP="00C01F4A" w14:paraId="70C3FDEB" w14:textId="77777777">
            <w:pPr>
              <w:pStyle w:val="BodyText"/>
              <w:ind w:right="713"/>
              <w:rPr>
                <w:i w:val="0"/>
                <w:iCs w:val="0"/>
                <w:szCs w:val="24"/>
              </w:rPr>
            </w:pPr>
            <w:r w:rsidRPr="00074EAF">
              <w:rPr>
                <w:i w:val="0"/>
                <w:iCs w:val="0"/>
                <w:szCs w:val="24"/>
              </w:rPr>
              <w:t>Section: 3.217(f)(1) and 3.217(f)(3)</w:t>
            </w:r>
          </w:p>
        </w:tc>
        <w:tc>
          <w:tcPr>
            <w:tcW w:w="2016" w:type="dxa"/>
            <w:vAlign w:val="bottom"/>
          </w:tcPr>
          <w:p w:rsidR="00C01F4A" w:rsidRPr="00074EAF" w:rsidP="00C01F4A" w14:paraId="29F108E6" w14:textId="77777777">
            <w:pPr>
              <w:pStyle w:val="BodyText"/>
              <w:ind w:right="713"/>
              <w:rPr>
                <w:i w:val="0"/>
                <w:iCs w:val="0"/>
                <w:szCs w:val="24"/>
              </w:rPr>
            </w:pPr>
            <w:r w:rsidRPr="00074EAF">
              <w:rPr>
                <w:i w:val="0"/>
                <w:iCs w:val="0"/>
                <w:szCs w:val="24"/>
              </w:rPr>
              <w:t>49</w:t>
            </w:r>
          </w:p>
        </w:tc>
        <w:tc>
          <w:tcPr>
            <w:tcW w:w="1839" w:type="dxa"/>
            <w:vAlign w:val="bottom"/>
          </w:tcPr>
          <w:p w:rsidR="00C01F4A" w:rsidRPr="00074EAF" w:rsidP="00C01F4A" w14:paraId="1EEF2205" w14:textId="77777777">
            <w:pPr>
              <w:pStyle w:val="BodyText"/>
              <w:ind w:right="713"/>
              <w:rPr>
                <w:i w:val="0"/>
                <w:iCs w:val="0"/>
                <w:szCs w:val="24"/>
              </w:rPr>
            </w:pPr>
            <w:r w:rsidRPr="00074EAF">
              <w:rPr>
                <w:i w:val="0"/>
                <w:iCs w:val="0"/>
                <w:szCs w:val="24"/>
              </w:rPr>
              <w:t>4</w:t>
            </w:r>
          </w:p>
        </w:tc>
        <w:tc>
          <w:tcPr>
            <w:tcW w:w="1839" w:type="dxa"/>
            <w:vAlign w:val="bottom"/>
          </w:tcPr>
          <w:p w:rsidR="00C01F4A" w:rsidRPr="00074EAF" w:rsidP="00C01F4A" w14:paraId="56F8D1B6" w14:textId="77777777">
            <w:pPr>
              <w:pStyle w:val="BodyText"/>
              <w:ind w:right="713"/>
              <w:rPr>
                <w:i w:val="0"/>
                <w:iCs w:val="0"/>
                <w:szCs w:val="24"/>
              </w:rPr>
            </w:pPr>
            <w:r w:rsidRPr="00074EAF">
              <w:rPr>
                <w:i w:val="0"/>
                <w:iCs w:val="0"/>
                <w:szCs w:val="24"/>
              </w:rPr>
              <w:t>16</w:t>
            </w:r>
          </w:p>
        </w:tc>
        <w:tc>
          <w:tcPr>
            <w:tcW w:w="2031" w:type="dxa"/>
            <w:vAlign w:val="bottom"/>
          </w:tcPr>
          <w:p w:rsidR="00C01F4A" w:rsidRPr="00074EAF" w:rsidP="00C01F4A" w14:paraId="2292204A" w14:textId="77777777">
            <w:pPr>
              <w:pStyle w:val="BodyText"/>
              <w:ind w:right="713"/>
              <w:rPr>
                <w:i w:val="0"/>
                <w:iCs w:val="0"/>
                <w:szCs w:val="24"/>
              </w:rPr>
            </w:pPr>
            <w:r w:rsidRPr="00074EAF">
              <w:rPr>
                <w:i w:val="0"/>
                <w:iCs w:val="0"/>
                <w:szCs w:val="24"/>
              </w:rPr>
              <w:t>3,136</w:t>
            </w:r>
          </w:p>
        </w:tc>
      </w:tr>
      <w:tr w14:paraId="20A03A59" w14:textId="77777777" w:rsidTr="007A6204">
        <w:tblPrEx>
          <w:tblW w:w="10620" w:type="dxa"/>
          <w:tblInd w:w="-185" w:type="dxa"/>
          <w:tblLook w:val="04A0"/>
        </w:tblPrEx>
        <w:tc>
          <w:tcPr>
            <w:tcW w:w="2895" w:type="dxa"/>
          </w:tcPr>
          <w:p w:rsidR="00C01F4A" w:rsidRPr="00074EAF" w:rsidP="00C01F4A" w14:paraId="64D35207" w14:textId="77777777">
            <w:pPr>
              <w:pStyle w:val="BodyText"/>
              <w:ind w:right="713"/>
              <w:rPr>
                <w:i w:val="0"/>
                <w:iCs w:val="0"/>
                <w:szCs w:val="24"/>
              </w:rPr>
            </w:pPr>
            <w:r w:rsidRPr="00074EAF">
              <w:rPr>
                <w:i w:val="0"/>
                <w:iCs w:val="0"/>
                <w:szCs w:val="24"/>
              </w:rPr>
              <w:t xml:space="preserve">Public disclosures (annual) -- </w:t>
            </w:r>
          </w:p>
          <w:p w:rsidR="00C01F4A" w:rsidRPr="00074EAF" w:rsidP="00C01F4A" w14:paraId="19FEB8B4" w14:textId="77777777">
            <w:pPr>
              <w:pStyle w:val="BodyText"/>
              <w:ind w:right="713"/>
              <w:rPr>
                <w:i w:val="0"/>
                <w:iCs w:val="0"/>
                <w:szCs w:val="24"/>
              </w:rPr>
            </w:pPr>
            <w:r w:rsidRPr="00074EAF">
              <w:rPr>
                <w:i w:val="0"/>
                <w:iCs w:val="0"/>
                <w:szCs w:val="24"/>
              </w:rPr>
              <w:t>Section: 3.217(f)(2)</w:t>
            </w:r>
          </w:p>
        </w:tc>
        <w:tc>
          <w:tcPr>
            <w:tcW w:w="2016" w:type="dxa"/>
            <w:vAlign w:val="bottom"/>
          </w:tcPr>
          <w:p w:rsidR="00C01F4A" w:rsidRPr="00074EAF" w:rsidP="00C01F4A" w14:paraId="5C0082EB" w14:textId="77777777">
            <w:pPr>
              <w:pStyle w:val="BodyText"/>
              <w:ind w:right="713"/>
              <w:rPr>
                <w:i w:val="0"/>
                <w:iCs w:val="0"/>
                <w:szCs w:val="24"/>
              </w:rPr>
            </w:pPr>
            <w:r w:rsidRPr="00074EAF">
              <w:rPr>
                <w:i w:val="0"/>
                <w:iCs w:val="0"/>
                <w:szCs w:val="24"/>
              </w:rPr>
              <w:t>49</w:t>
            </w:r>
          </w:p>
        </w:tc>
        <w:tc>
          <w:tcPr>
            <w:tcW w:w="1839" w:type="dxa"/>
            <w:vAlign w:val="bottom"/>
          </w:tcPr>
          <w:p w:rsidR="00C01F4A" w:rsidRPr="00074EAF" w:rsidP="00C01F4A" w14:paraId="1AAB4DAF" w14:textId="77777777">
            <w:pPr>
              <w:pStyle w:val="BodyText"/>
              <w:ind w:right="713"/>
              <w:rPr>
                <w:i w:val="0"/>
                <w:iCs w:val="0"/>
                <w:szCs w:val="24"/>
              </w:rPr>
            </w:pPr>
            <w:r w:rsidRPr="00074EAF">
              <w:rPr>
                <w:i w:val="0"/>
                <w:iCs w:val="0"/>
                <w:szCs w:val="24"/>
              </w:rPr>
              <w:t>1</w:t>
            </w:r>
          </w:p>
        </w:tc>
        <w:tc>
          <w:tcPr>
            <w:tcW w:w="1839" w:type="dxa"/>
            <w:vAlign w:val="bottom"/>
          </w:tcPr>
          <w:p w:rsidR="00C01F4A" w:rsidRPr="00074EAF" w:rsidP="00C01F4A" w14:paraId="38D00406" w14:textId="77777777">
            <w:pPr>
              <w:pStyle w:val="BodyText"/>
              <w:ind w:right="713"/>
              <w:rPr>
                <w:i w:val="0"/>
                <w:iCs w:val="0"/>
                <w:szCs w:val="24"/>
              </w:rPr>
            </w:pPr>
            <w:r w:rsidRPr="00074EAF">
              <w:rPr>
                <w:i w:val="0"/>
                <w:iCs w:val="0"/>
                <w:szCs w:val="24"/>
              </w:rPr>
              <w:t>8</w:t>
            </w:r>
          </w:p>
        </w:tc>
        <w:tc>
          <w:tcPr>
            <w:tcW w:w="2031" w:type="dxa"/>
            <w:vAlign w:val="bottom"/>
          </w:tcPr>
          <w:p w:rsidR="00C01F4A" w:rsidRPr="00074EAF" w:rsidP="00C01F4A" w14:paraId="1F371EAB" w14:textId="77777777">
            <w:pPr>
              <w:pStyle w:val="BodyText"/>
              <w:ind w:right="713"/>
              <w:rPr>
                <w:i w:val="0"/>
                <w:iCs w:val="0"/>
                <w:szCs w:val="24"/>
              </w:rPr>
            </w:pPr>
            <w:r w:rsidRPr="00074EAF">
              <w:rPr>
                <w:i w:val="0"/>
                <w:iCs w:val="0"/>
                <w:szCs w:val="24"/>
              </w:rPr>
              <w:t>392</w:t>
            </w:r>
          </w:p>
        </w:tc>
      </w:tr>
      <w:tr w14:paraId="3503F208" w14:textId="77777777" w:rsidTr="007A6204">
        <w:tblPrEx>
          <w:tblW w:w="10620" w:type="dxa"/>
          <w:tblInd w:w="-185" w:type="dxa"/>
          <w:tblLook w:val="04A0"/>
        </w:tblPrEx>
        <w:tc>
          <w:tcPr>
            <w:tcW w:w="2895" w:type="dxa"/>
          </w:tcPr>
          <w:p w:rsidR="00C01F4A" w:rsidRPr="00074EAF" w:rsidP="00C01F4A" w14:paraId="3DEB32F6" w14:textId="77777777">
            <w:pPr>
              <w:pStyle w:val="BodyText"/>
              <w:ind w:right="713"/>
              <w:rPr>
                <w:b/>
                <w:bCs/>
                <w:i w:val="0"/>
                <w:iCs w:val="0"/>
                <w:szCs w:val="24"/>
              </w:rPr>
            </w:pPr>
            <w:r w:rsidRPr="00074EAF">
              <w:rPr>
                <w:b/>
                <w:bCs/>
                <w:i w:val="0"/>
                <w:iCs w:val="0"/>
                <w:szCs w:val="24"/>
              </w:rPr>
              <w:t>Total</w:t>
            </w:r>
          </w:p>
        </w:tc>
        <w:tc>
          <w:tcPr>
            <w:tcW w:w="2016" w:type="dxa"/>
            <w:vAlign w:val="bottom"/>
          </w:tcPr>
          <w:p w:rsidR="00C01F4A" w:rsidRPr="00074EAF" w:rsidP="00C01F4A" w14:paraId="030EDDEA" w14:textId="586237B6">
            <w:pPr>
              <w:pStyle w:val="BodyText"/>
              <w:ind w:right="713"/>
              <w:rPr>
                <w:i w:val="0"/>
                <w:iCs w:val="0"/>
                <w:szCs w:val="24"/>
              </w:rPr>
            </w:pPr>
            <w:r>
              <w:rPr>
                <w:i w:val="0"/>
                <w:iCs w:val="0"/>
                <w:szCs w:val="24"/>
              </w:rPr>
              <w:t>49</w:t>
            </w:r>
          </w:p>
        </w:tc>
        <w:tc>
          <w:tcPr>
            <w:tcW w:w="1839" w:type="dxa"/>
            <w:vAlign w:val="bottom"/>
          </w:tcPr>
          <w:p w:rsidR="00C01F4A" w:rsidRPr="00074EAF" w:rsidP="00C01F4A" w14:paraId="6C64059D" w14:textId="77777777">
            <w:pPr>
              <w:pStyle w:val="BodyText"/>
              <w:ind w:right="713"/>
              <w:rPr>
                <w:i w:val="0"/>
                <w:iCs w:val="0"/>
                <w:szCs w:val="24"/>
              </w:rPr>
            </w:pPr>
          </w:p>
        </w:tc>
        <w:tc>
          <w:tcPr>
            <w:tcW w:w="1839" w:type="dxa"/>
            <w:vAlign w:val="bottom"/>
          </w:tcPr>
          <w:p w:rsidR="00C01F4A" w:rsidRPr="00074EAF" w:rsidP="00C01F4A" w14:paraId="54384D4D" w14:textId="77777777">
            <w:pPr>
              <w:pStyle w:val="BodyText"/>
              <w:ind w:right="713"/>
              <w:rPr>
                <w:i w:val="0"/>
                <w:iCs w:val="0"/>
                <w:szCs w:val="24"/>
              </w:rPr>
            </w:pPr>
          </w:p>
        </w:tc>
        <w:tc>
          <w:tcPr>
            <w:tcW w:w="2031" w:type="dxa"/>
            <w:vAlign w:val="bottom"/>
          </w:tcPr>
          <w:p w:rsidR="00C01F4A" w:rsidRPr="00074EAF" w:rsidP="00C01F4A" w14:paraId="0EFA57B8" w14:textId="77777777">
            <w:pPr>
              <w:pStyle w:val="BodyText"/>
              <w:ind w:right="713"/>
              <w:rPr>
                <w:i w:val="0"/>
                <w:iCs w:val="0"/>
                <w:szCs w:val="24"/>
              </w:rPr>
            </w:pPr>
            <w:r w:rsidRPr="00074EAF">
              <w:rPr>
                <w:i w:val="0"/>
                <w:iCs w:val="0"/>
                <w:szCs w:val="24"/>
              </w:rPr>
              <w:t>127,254</w:t>
            </w:r>
          </w:p>
        </w:tc>
      </w:tr>
    </w:tbl>
    <w:p w:rsidR="00F572F1" w:rsidRPr="000E0DC1" w:rsidP="00C01F4A" w14:paraId="667C38E6" w14:textId="77777777">
      <w:pPr>
        <w:pStyle w:val="BodyText"/>
        <w:ind w:right="713"/>
        <w:rPr>
          <w:i w:val="0"/>
          <w:iCs w:val="0"/>
          <w:sz w:val="16"/>
          <w:szCs w:val="16"/>
        </w:rPr>
      </w:pPr>
    </w:p>
    <w:p w:rsidR="00372D4F" w:rsidP="00372D4F" w14:paraId="16BF739D" w14:textId="77777777">
      <w:pPr>
        <w:ind w:firstLine="720"/>
        <w:rPr>
          <w:rStyle w:val="documentbody1"/>
          <w:color w:val="000000"/>
        </w:rPr>
      </w:pPr>
    </w:p>
    <w:p w:rsidR="000E0DC1" w:rsidP="00372D4F" w14:paraId="1128AC70" w14:textId="77777777">
      <w:pPr>
        <w:ind w:firstLine="720"/>
        <w:rPr>
          <w:b/>
          <w:bCs/>
          <w:iCs/>
          <w:szCs w:val="24"/>
        </w:rPr>
      </w:pPr>
    </w:p>
    <w:p w:rsidR="00200DAB" w:rsidP="00372D4F" w14:paraId="7A5A1DF7" w14:textId="77777777">
      <w:pPr>
        <w:ind w:firstLine="720"/>
        <w:rPr>
          <w:b/>
          <w:bCs/>
          <w:iCs/>
          <w:szCs w:val="24"/>
        </w:rPr>
      </w:pPr>
    </w:p>
    <w:p w:rsidR="00200DAB" w:rsidP="00372D4F" w14:paraId="223712BF" w14:textId="77777777">
      <w:pPr>
        <w:ind w:firstLine="720"/>
        <w:rPr>
          <w:b/>
          <w:bCs/>
          <w:iCs/>
          <w:szCs w:val="24"/>
        </w:rPr>
      </w:pPr>
    </w:p>
    <w:p w:rsidR="00CF4158" w:rsidRPr="004540EE" w:rsidP="00372D4F" w14:paraId="472AABDA" w14:textId="6E3C813E">
      <w:pPr>
        <w:ind w:firstLine="720"/>
        <w:rPr>
          <w:bCs/>
          <w:iCs/>
          <w:szCs w:val="24"/>
        </w:rPr>
      </w:pPr>
      <w:r w:rsidRPr="004540EE">
        <w:rPr>
          <w:b/>
          <w:bCs/>
          <w:iCs/>
          <w:szCs w:val="24"/>
        </w:rPr>
        <w:t>Cost of Hour Burden to Respondents:</w:t>
      </w:r>
    </w:p>
    <w:p w:rsidR="000614B9" w:rsidRPr="004540EE" w:rsidP="00372D4F" w14:paraId="4B0FA9F4" w14:textId="77777777">
      <w:pPr>
        <w:ind w:firstLine="720"/>
        <w:rPr>
          <w:bCs/>
          <w:iCs/>
          <w:szCs w:val="24"/>
        </w:rPr>
      </w:pPr>
    </w:p>
    <w:p w:rsidR="000614B9" w:rsidRPr="004540EE" w:rsidP="0051585D" w14:paraId="32F7D4BA" w14:textId="1E832DCD">
      <w:pPr>
        <w:ind w:right="720" w:firstLine="720"/>
        <w:rPr>
          <w:bCs/>
          <w:iCs/>
          <w:szCs w:val="24"/>
        </w:rPr>
      </w:pPr>
      <w:r w:rsidRPr="00074EAF">
        <w:rPr>
          <w:bCs/>
          <w:iCs/>
          <w:szCs w:val="24"/>
        </w:rPr>
        <w:t>127,254</w:t>
      </w:r>
      <w:r w:rsidR="00794E13">
        <w:rPr>
          <w:bCs/>
          <w:iCs/>
          <w:szCs w:val="24"/>
        </w:rPr>
        <w:t xml:space="preserve"> hours</w:t>
      </w:r>
      <w:r w:rsidRPr="004540EE" w:rsidR="00502464">
        <w:rPr>
          <w:bCs/>
          <w:iCs/>
          <w:szCs w:val="24"/>
        </w:rPr>
        <w:t xml:space="preserve"> x </w:t>
      </w:r>
      <w:r w:rsidRPr="00930D46" w:rsidR="00930D46">
        <w:rPr>
          <w:bCs/>
          <w:iCs/>
          <w:szCs w:val="24"/>
        </w:rPr>
        <w:t>$128.05</w:t>
      </w:r>
      <w:r w:rsidR="00F52841">
        <w:rPr>
          <w:bCs/>
          <w:iCs/>
          <w:szCs w:val="24"/>
        </w:rPr>
        <w:t xml:space="preserve"> per hour </w:t>
      </w:r>
      <w:r w:rsidRPr="004540EE">
        <w:rPr>
          <w:bCs/>
          <w:iCs/>
          <w:szCs w:val="24"/>
        </w:rPr>
        <w:t>= $</w:t>
      </w:r>
      <w:r w:rsidR="006032F4">
        <w:rPr>
          <w:bCs/>
          <w:iCs/>
          <w:szCs w:val="24"/>
        </w:rPr>
        <w:t>16,294</w:t>
      </w:r>
      <w:r w:rsidR="00954CA3">
        <w:rPr>
          <w:bCs/>
          <w:iCs/>
          <w:szCs w:val="24"/>
        </w:rPr>
        <w:t>,87</w:t>
      </w:r>
      <w:r w:rsidR="00E70905">
        <w:rPr>
          <w:bCs/>
          <w:iCs/>
          <w:szCs w:val="24"/>
        </w:rPr>
        <w:t>5</w:t>
      </w:r>
    </w:p>
    <w:p w:rsidR="001630CF" w:rsidRPr="004540EE" w:rsidP="00372D4F" w14:paraId="68A8AA4D" w14:textId="77777777">
      <w:pPr>
        <w:ind w:firstLine="720"/>
        <w:rPr>
          <w:b/>
          <w:bCs/>
          <w:iCs/>
          <w:szCs w:val="24"/>
        </w:rPr>
      </w:pPr>
    </w:p>
    <w:p w:rsidR="002B582D" w:rsidRPr="00A62A21" w:rsidP="0051585D" w14:paraId="0EA4FE21" w14:textId="5E532F77">
      <w:pPr>
        <w:ind w:right="720" w:firstLine="720"/>
      </w:pPr>
      <w:r w:rsidRPr="00930D46">
        <w:rPr>
          <w:color w:val="000000"/>
          <w:szCs w:val="24"/>
        </w:rPr>
        <w:t>To estimate wages the OCC reviewed May 2022 data for wages (by industry and occupation) from the U.S. Bureau of Labor Statistics (BLS) for credit intermediation and related activities (NAICS 5220A1).  To estimate compensation costs associated with the rule, the OCC uses $128.05 per hour, which is based on the average of the 90th percentile for six occupations adjusted for inflation (5.1 percent as of Q1 2023), plus an additional 34.3 percent for benefits (based on the percent of total compensation allocated to benefits as of Q4 2022 for NAICS 522: credit intermediation and related activities).</w:t>
      </w:r>
    </w:p>
    <w:p w:rsidR="00CF4158" w:rsidRPr="004540EE" w:rsidP="005F0BF2" w14:paraId="1C5B4F33" w14:textId="77777777">
      <w:pPr>
        <w:ind w:right="713"/>
        <w:rPr>
          <w:szCs w:val="24"/>
        </w:rPr>
      </w:pPr>
      <w:r w:rsidRPr="004540EE">
        <w:rPr>
          <w:szCs w:val="24"/>
        </w:rPr>
        <w:t xml:space="preserve">                                         </w:t>
      </w:r>
      <w:r w:rsidRPr="004540EE">
        <w:rPr>
          <w:szCs w:val="24"/>
        </w:rPr>
        <w:tab/>
      </w:r>
      <w:r w:rsidRPr="004540EE">
        <w:rPr>
          <w:szCs w:val="24"/>
        </w:rPr>
        <w:tab/>
      </w:r>
      <w:r w:rsidRPr="004540EE">
        <w:rPr>
          <w:szCs w:val="24"/>
        </w:rPr>
        <w:tab/>
      </w:r>
    </w:p>
    <w:p w:rsidR="00F6665D" w:rsidRPr="00BD1672" w:rsidP="005F0BF2" w14:paraId="75FA12F1" w14:textId="77777777">
      <w:pPr>
        <w:pStyle w:val="BodyText"/>
        <w:rPr>
          <w:b/>
          <w:bCs/>
          <w:szCs w:val="24"/>
        </w:rPr>
      </w:pPr>
      <w:r w:rsidRPr="00BD1672">
        <w:rPr>
          <w:b/>
          <w:bCs/>
          <w:szCs w:val="24"/>
        </w:rPr>
        <w:t>13.  Estimate of total annual costs to respondents (excluding cost of hour burden in Item #12):</w:t>
      </w:r>
    </w:p>
    <w:p w:rsidR="006350C4" w:rsidRPr="004540EE" w:rsidP="005F0BF2" w14:paraId="15B5A954" w14:textId="77777777">
      <w:pPr>
        <w:pStyle w:val="BodyText"/>
        <w:rPr>
          <w:b/>
          <w:bCs/>
          <w:i w:val="0"/>
          <w:szCs w:val="24"/>
        </w:rPr>
      </w:pPr>
    </w:p>
    <w:p w:rsidR="00CF4158" w:rsidRPr="004540EE" w:rsidP="005F0BF2" w14:paraId="752DC611" w14:textId="77777777">
      <w:pPr>
        <w:ind w:right="713"/>
        <w:rPr>
          <w:szCs w:val="24"/>
        </w:rPr>
      </w:pPr>
      <w:r w:rsidRPr="004540EE">
        <w:rPr>
          <w:szCs w:val="24"/>
        </w:rPr>
        <w:tab/>
      </w:r>
      <w:r w:rsidRPr="004540EE">
        <w:rPr>
          <w:szCs w:val="24"/>
        </w:rPr>
        <w:t>Not applicable.</w:t>
      </w:r>
    </w:p>
    <w:p w:rsidR="001630CF" w:rsidRPr="004540EE" w:rsidP="005F0BF2" w14:paraId="7814701C" w14:textId="77777777">
      <w:pPr>
        <w:ind w:right="713"/>
        <w:rPr>
          <w:szCs w:val="24"/>
        </w:rPr>
      </w:pPr>
    </w:p>
    <w:p w:rsidR="00F6665D" w:rsidRPr="00BD1672" w:rsidP="005F0BF2" w14:paraId="431DDEC7" w14:textId="0FE2921C">
      <w:pPr>
        <w:pStyle w:val="BodyText"/>
        <w:rPr>
          <w:b/>
          <w:bCs/>
          <w:szCs w:val="24"/>
        </w:rPr>
      </w:pPr>
      <w:r w:rsidRPr="00BD1672">
        <w:rPr>
          <w:b/>
          <w:bCs/>
          <w:szCs w:val="24"/>
        </w:rPr>
        <w:t xml:space="preserve">14.  Estimate of annualized costs to the </w:t>
      </w:r>
      <w:r w:rsidR="00B1604A">
        <w:rPr>
          <w:b/>
          <w:bCs/>
          <w:szCs w:val="24"/>
        </w:rPr>
        <w:t>F</w:t>
      </w:r>
      <w:r w:rsidR="00677AFC">
        <w:rPr>
          <w:b/>
          <w:bCs/>
          <w:szCs w:val="24"/>
        </w:rPr>
        <w:t>ederal</w:t>
      </w:r>
      <w:r w:rsidRPr="00BD1672">
        <w:rPr>
          <w:b/>
          <w:bCs/>
          <w:szCs w:val="24"/>
        </w:rPr>
        <w:t xml:space="preserve"> </w:t>
      </w:r>
      <w:r w:rsidR="00B1604A">
        <w:rPr>
          <w:b/>
          <w:bCs/>
          <w:szCs w:val="24"/>
        </w:rPr>
        <w:t>G</w:t>
      </w:r>
      <w:r w:rsidRPr="00BD1672">
        <w:rPr>
          <w:b/>
          <w:bCs/>
          <w:szCs w:val="24"/>
        </w:rPr>
        <w:t>overnment:</w:t>
      </w:r>
    </w:p>
    <w:p w:rsidR="001630CF" w:rsidRPr="006350C4" w:rsidP="006350C4" w14:paraId="6BF854D4" w14:textId="77777777">
      <w:pPr>
        <w:rPr>
          <w:szCs w:val="24"/>
        </w:rPr>
      </w:pPr>
    </w:p>
    <w:p w:rsidR="00CF4158" w:rsidRPr="004540EE" w:rsidP="005F0BF2" w14:paraId="30DB2F5E" w14:textId="77777777">
      <w:pPr>
        <w:ind w:right="713"/>
        <w:rPr>
          <w:szCs w:val="24"/>
        </w:rPr>
      </w:pPr>
      <w:r w:rsidRPr="004540EE">
        <w:rPr>
          <w:szCs w:val="24"/>
        </w:rPr>
        <w:tab/>
      </w:r>
      <w:r w:rsidRPr="004540EE">
        <w:rPr>
          <w:szCs w:val="24"/>
        </w:rPr>
        <w:t>Not applicable.</w:t>
      </w:r>
    </w:p>
    <w:p w:rsidR="001630CF" w:rsidRPr="004540EE" w:rsidP="005F0BF2" w14:paraId="63B507C8" w14:textId="77777777">
      <w:pPr>
        <w:ind w:right="713"/>
        <w:rPr>
          <w:szCs w:val="24"/>
        </w:rPr>
      </w:pPr>
    </w:p>
    <w:p w:rsidR="00F6665D" w:rsidRPr="00BD1672" w:rsidP="005F0BF2" w14:paraId="32F86D4E" w14:textId="77777777">
      <w:pPr>
        <w:pStyle w:val="BodyText"/>
        <w:rPr>
          <w:b/>
          <w:bCs/>
          <w:szCs w:val="24"/>
        </w:rPr>
      </w:pPr>
      <w:r w:rsidRPr="00BD1672">
        <w:rPr>
          <w:b/>
          <w:bCs/>
          <w:szCs w:val="24"/>
        </w:rPr>
        <w:t>15.  Change in burden:</w:t>
      </w:r>
    </w:p>
    <w:p w:rsidR="00B04F97" w:rsidP="00074EAF" w14:paraId="09B22FF9" w14:textId="77777777">
      <w:pPr>
        <w:pStyle w:val="BodyText"/>
        <w:rPr>
          <w:bCs/>
          <w:i w:val="0"/>
          <w:szCs w:val="24"/>
        </w:rPr>
      </w:pPr>
    </w:p>
    <w:p w:rsidR="007E3D46" w:rsidP="0051585D" w14:paraId="67B537B8" w14:textId="314E8E76">
      <w:pPr>
        <w:pStyle w:val="BodyText"/>
        <w:ind w:right="720" w:firstLine="720"/>
        <w:rPr>
          <w:bCs/>
          <w:i w:val="0"/>
          <w:szCs w:val="24"/>
        </w:rPr>
      </w:pPr>
      <w:r w:rsidRPr="007E3D46">
        <w:rPr>
          <w:bCs/>
          <w:i w:val="0"/>
          <w:szCs w:val="24"/>
        </w:rPr>
        <w:t xml:space="preserve">The NPR modifies the reporting, recordkeeping, and disclosure requirements of the regulatory capital rules by adding new requirements and revising existing reporting, recordkeeping, and disclosure requirements. As a result, there is an increase in burden hours of </w:t>
      </w:r>
      <w:r w:rsidR="00162951">
        <w:rPr>
          <w:bCs/>
          <w:i w:val="0"/>
          <w:szCs w:val="24"/>
        </w:rPr>
        <w:t>89</w:t>
      </w:r>
      <w:r w:rsidRPr="007E3D46">
        <w:rPr>
          <w:bCs/>
          <w:i w:val="0"/>
          <w:szCs w:val="24"/>
        </w:rPr>
        <w:t>,9</w:t>
      </w:r>
      <w:r w:rsidR="00162951">
        <w:rPr>
          <w:bCs/>
          <w:i w:val="0"/>
          <w:szCs w:val="24"/>
        </w:rPr>
        <w:t>38</w:t>
      </w:r>
      <w:r w:rsidRPr="007E3D46">
        <w:rPr>
          <w:bCs/>
          <w:i w:val="0"/>
          <w:szCs w:val="24"/>
        </w:rPr>
        <w:t xml:space="preserve"> hours.</w:t>
      </w:r>
    </w:p>
    <w:p w:rsidR="001630CF" w:rsidRPr="004540EE" w:rsidP="005F0BF2" w14:paraId="35D19C4C" w14:textId="77777777">
      <w:pPr>
        <w:ind w:right="713"/>
        <w:rPr>
          <w:szCs w:val="24"/>
        </w:rPr>
      </w:pPr>
    </w:p>
    <w:p w:rsidR="00F6665D" w:rsidRPr="00BD1672" w:rsidP="005F0BF2" w14:paraId="4565F031" w14:textId="77777777">
      <w:pPr>
        <w:pStyle w:val="BodyText"/>
        <w:rPr>
          <w:b/>
          <w:bCs/>
          <w:szCs w:val="24"/>
        </w:rPr>
      </w:pPr>
      <w:r w:rsidRPr="00BD1672">
        <w:rPr>
          <w:b/>
          <w:bCs/>
          <w:szCs w:val="24"/>
        </w:rPr>
        <w:t>16.  Information regarding collections whose results are to be published for statistical use:</w:t>
      </w:r>
    </w:p>
    <w:p w:rsidR="001630CF" w:rsidRPr="004540EE" w:rsidP="005F0BF2" w14:paraId="72BC66CF" w14:textId="77777777">
      <w:pPr>
        <w:pStyle w:val="BodyText"/>
        <w:ind w:right="713"/>
        <w:rPr>
          <w:b/>
          <w:bCs/>
          <w:i w:val="0"/>
          <w:szCs w:val="24"/>
        </w:rPr>
      </w:pPr>
    </w:p>
    <w:p w:rsidR="00CF4158" w:rsidRPr="004540EE" w:rsidP="005F0BF2" w14:paraId="40C0F954" w14:textId="77777777">
      <w:pPr>
        <w:ind w:right="713"/>
        <w:rPr>
          <w:szCs w:val="24"/>
        </w:rPr>
      </w:pPr>
      <w:r w:rsidRPr="004540EE">
        <w:rPr>
          <w:szCs w:val="24"/>
        </w:rPr>
        <w:tab/>
      </w:r>
      <w:r w:rsidRPr="004540EE">
        <w:rPr>
          <w:szCs w:val="24"/>
        </w:rPr>
        <w:t>The OCC has no plans to publish the information for statistical purposes.</w:t>
      </w:r>
    </w:p>
    <w:p w:rsidR="001630CF" w:rsidRPr="004540EE" w:rsidP="005F0BF2" w14:paraId="4629D52C" w14:textId="77777777">
      <w:pPr>
        <w:ind w:right="713"/>
        <w:rPr>
          <w:szCs w:val="24"/>
        </w:rPr>
      </w:pPr>
    </w:p>
    <w:p w:rsidR="00F6665D" w:rsidRPr="00BD1672" w:rsidP="005F0BF2" w14:paraId="4DE3C1AA" w14:textId="77777777">
      <w:pPr>
        <w:pStyle w:val="BodyText"/>
        <w:rPr>
          <w:b/>
          <w:bCs/>
          <w:szCs w:val="24"/>
        </w:rPr>
      </w:pPr>
      <w:r w:rsidRPr="00BD1672">
        <w:rPr>
          <w:b/>
          <w:bCs/>
          <w:szCs w:val="24"/>
        </w:rPr>
        <w:t>17.  Reasons for not displaying OMB approval expiration date:</w:t>
      </w:r>
    </w:p>
    <w:p w:rsidR="001630CF" w:rsidRPr="004540EE" w:rsidP="005F0BF2" w14:paraId="358977F1" w14:textId="77777777">
      <w:pPr>
        <w:pStyle w:val="BodyText"/>
        <w:ind w:right="713"/>
        <w:rPr>
          <w:b/>
          <w:bCs/>
          <w:i w:val="0"/>
          <w:szCs w:val="24"/>
        </w:rPr>
      </w:pPr>
    </w:p>
    <w:p w:rsidR="00CF4158" w:rsidRPr="004540EE" w:rsidP="005F0BF2" w14:paraId="75CB2294" w14:textId="77777777">
      <w:pPr>
        <w:ind w:right="713"/>
        <w:rPr>
          <w:szCs w:val="24"/>
        </w:rPr>
      </w:pPr>
      <w:r w:rsidRPr="004540EE">
        <w:rPr>
          <w:szCs w:val="24"/>
        </w:rPr>
        <w:tab/>
      </w:r>
      <w:r w:rsidRPr="004540EE">
        <w:rPr>
          <w:szCs w:val="24"/>
        </w:rPr>
        <w:t>The OCC is not requesting permission to not display the OMB approval expiration date.</w:t>
      </w:r>
    </w:p>
    <w:p w:rsidR="00340214" w:rsidRPr="004540EE" w:rsidP="005F0BF2" w14:paraId="0CFA734B" w14:textId="77777777">
      <w:pPr>
        <w:pStyle w:val="BodyText"/>
        <w:widowControl w:val="0"/>
        <w:tabs>
          <w:tab w:val="left" w:pos="0"/>
        </w:tabs>
        <w:ind w:left="459" w:hanging="459"/>
        <w:rPr>
          <w:b/>
          <w:i w:val="0"/>
          <w:szCs w:val="24"/>
        </w:rPr>
      </w:pPr>
    </w:p>
    <w:p w:rsidR="001560BF" w:rsidRPr="00BD1672" w:rsidP="005F0BF2" w14:paraId="7F25AA88" w14:textId="77777777">
      <w:pPr>
        <w:pStyle w:val="BodyText"/>
        <w:rPr>
          <w:b/>
          <w:bCs/>
          <w:szCs w:val="24"/>
        </w:rPr>
      </w:pPr>
      <w:r w:rsidRPr="00BD1672">
        <w:rPr>
          <w:b/>
          <w:bCs/>
          <w:szCs w:val="24"/>
        </w:rPr>
        <w:t>18.  Exceptions to the certification statement:</w:t>
      </w:r>
    </w:p>
    <w:p w:rsidR="001560BF" w:rsidP="005F0BF2" w14:paraId="630C1CA3" w14:textId="77777777">
      <w:pPr>
        <w:rPr>
          <w:szCs w:val="24"/>
        </w:rPr>
      </w:pPr>
    </w:p>
    <w:p w:rsidR="001A4D79" w:rsidRPr="004540EE" w:rsidP="005F0BF2" w14:paraId="62B39585" w14:textId="77777777">
      <w:pPr>
        <w:rPr>
          <w:szCs w:val="24"/>
        </w:rPr>
      </w:pPr>
      <w:r>
        <w:rPr>
          <w:szCs w:val="24"/>
        </w:rPr>
        <w:tab/>
        <w:t>None.</w:t>
      </w:r>
    </w:p>
    <w:p w:rsidR="001560BF" w:rsidRPr="004540EE" w:rsidP="005F0BF2" w14:paraId="1E7BF645" w14:textId="77777777">
      <w:pPr>
        <w:rPr>
          <w:b/>
          <w:bCs/>
          <w:szCs w:val="24"/>
        </w:rPr>
      </w:pPr>
      <w:r w:rsidRPr="004540EE">
        <w:rPr>
          <w:szCs w:val="24"/>
        </w:rPr>
        <w:tab/>
      </w:r>
    </w:p>
    <w:p w:rsidR="001560BF" w:rsidRPr="00BD1672" w:rsidP="005F0BF2" w14:paraId="14A37E93" w14:textId="77777777">
      <w:pPr>
        <w:rPr>
          <w:i/>
          <w:szCs w:val="24"/>
        </w:rPr>
      </w:pPr>
      <w:r w:rsidRPr="00BD1672">
        <w:rPr>
          <w:b/>
          <w:bCs/>
          <w:i/>
          <w:szCs w:val="24"/>
        </w:rPr>
        <w:t>B.  Collections of Information Employing Statistical Methods.</w:t>
      </w:r>
    </w:p>
    <w:p w:rsidR="001630CF" w:rsidRPr="004540EE" w:rsidP="005F0BF2" w14:paraId="5F3B8825" w14:textId="77777777">
      <w:pPr>
        <w:pStyle w:val="BodyText"/>
        <w:ind w:right="713"/>
        <w:rPr>
          <w:b/>
          <w:bCs/>
          <w:i w:val="0"/>
          <w:szCs w:val="24"/>
        </w:rPr>
      </w:pPr>
    </w:p>
    <w:p w:rsidR="00CF4158" w:rsidRPr="004540EE" w:rsidP="005F0BF2" w14:paraId="09E2DCDE" w14:textId="77777777">
      <w:pPr>
        <w:ind w:right="713"/>
        <w:rPr>
          <w:szCs w:val="24"/>
        </w:rPr>
      </w:pPr>
      <w:r w:rsidRPr="004540EE">
        <w:rPr>
          <w:szCs w:val="24"/>
        </w:rPr>
        <w:tab/>
      </w:r>
      <w:r w:rsidRPr="004540EE">
        <w:rPr>
          <w:szCs w:val="24"/>
        </w:rPr>
        <w:t>None.</w:t>
      </w:r>
    </w:p>
    <w:p w:rsidR="005A145F" w:rsidRPr="004540EE" w:rsidP="005F0BF2" w14:paraId="5F3FF9ED" w14:textId="77777777">
      <w:pPr>
        <w:ind w:right="713"/>
        <w:jc w:val="center"/>
        <w:rPr>
          <w:szCs w:val="24"/>
        </w:rPr>
      </w:pPr>
    </w:p>
    <w:sectPr w:rsidSect="00D34B00">
      <w:footerReference w:type="even" r:id="rId5"/>
      <w:footerReference w:type="default" r:id="rId6"/>
      <w:pgSz w:w="12240" w:h="15840" w:code="1"/>
      <w:pgMar w:top="1440" w:right="547"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5D1C" w14:paraId="1EA9D37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45D1C" w14:paraId="742179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5D1C" w14:paraId="1EA19B8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03BC">
      <w:rPr>
        <w:rStyle w:val="PageNumber"/>
        <w:noProof/>
      </w:rPr>
      <w:t>2</w:t>
    </w:r>
    <w:r>
      <w:rPr>
        <w:rStyle w:val="PageNumber"/>
      </w:rPr>
      <w:fldChar w:fldCharType="end"/>
    </w:r>
  </w:p>
  <w:p w:rsidR="00945D1C" w14:paraId="38D7F3D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3D1C2304"/>
    <w:multiLevelType w:val="hybridMultilevel"/>
    <w:tmpl w:val="44AE586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C7D2135"/>
    <w:multiLevelType w:val="hybridMultilevel"/>
    <w:tmpl w:val="BF18B7C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926574165">
    <w:abstractNumId w:val="0"/>
  </w:num>
  <w:num w:numId="2" w16cid:durableId="27727960">
    <w:abstractNumId w:val="5"/>
  </w:num>
  <w:num w:numId="3" w16cid:durableId="994802881">
    <w:abstractNumId w:val="2"/>
  </w:num>
  <w:num w:numId="4" w16cid:durableId="1883054049">
    <w:abstractNumId w:val="2"/>
  </w:num>
  <w:num w:numId="5" w16cid:durableId="1856070645">
    <w:abstractNumId w:val="1"/>
  </w:num>
  <w:num w:numId="6" w16cid:durableId="1282690722">
    <w:abstractNumId w:val="1"/>
  </w:num>
  <w:num w:numId="7" w16cid:durableId="789208525">
    <w:abstractNumId w:val="1"/>
  </w:num>
  <w:num w:numId="8" w16cid:durableId="1178082397">
    <w:abstractNumId w:val="1"/>
  </w:num>
  <w:num w:numId="9" w16cid:durableId="1208645860">
    <w:abstractNumId w:val="1"/>
  </w:num>
  <w:num w:numId="10" w16cid:durableId="1905405125">
    <w:abstractNumId w:val="1"/>
  </w:num>
  <w:num w:numId="11" w16cid:durableId="1080785906">
    <w:abstractNumId w:val="1"/>
  </w:num>
  <w:num w:numId="12" w16cid:durableId="1610115643">
    <w:abstractNumId w:val="1"/>
  </w:num>
  <w:num w:numId="13" w16cid:durableId="1909684586">
    <w:abstractNumId w:val="2"/>
  </w:num>
  <w:num w:numId="14" w16cid:durableId="782113020">
    <w:abstractNumId w:val="2"/>
  </w:num>
  <w:num w:numId="15" w16cid:durableId="446049788">
    <w:abstractNumId w:val="2"/>
  </w:num>
  <w:num w:numId="16" w16cid:durableId="322390673">
    <w:abstractNumId w:val="2"/>
  </w:num>
  <w:num w:numId="17" w16cid:durableId="439878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8703748">
    <w:abstractNumId w:val="4"/>
  </w:num>
  <w:num w:numId="19" w16cid:durableId="2003120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793"/>
    <w:rsid w:val="000009B7"/>
    <w:rsid w:val="00001AE3"/>
    <w:rsid w:val="00010A00"/>
    <w:rsid w:val="00013835"/>
    <w:rsid w:val="0001724C"/>
    <w:rsid w:val="000227BF"/>
    <w:rsid w:val="00023EB0"/>
    <w:rsid w:val="0002461F"/>
    <w:rsid w:val="000266FB"/>
    <w:rsid w:val="00031897"/>
    <w:rsid w:val="00032DB4"/>
    <w:rsid w:val="00035C55"/>
    <w:rsid w:val="00036075"/>
    <w:rsid w:val="00036B8E"/>
    <w:rsid w:val="00050D4E"/>
    <w:rsid w:val="0005592A"/>
    <w:rsid w:val="00055E88"/>
    <w:rsid w:val="0005715C"/>
    <w:rsid w:val="000614B9"/>
    <w:rsid w:val="000615EB"/>
    <w:rsid w:val="000621BD"/>
    <w:rsid w:val="00074EAF"/>
    <w:rsid w:val="00075FFA"/>
    <w:rsid w:val="00077DFB"/>
    <w:rsid w:val="00081CF7"/>
    <w:rsid w:val="00084856"/>
    <w:rsid w:val="0008755B"/>
    <w:rsid w:val="0009217E"/>
    <w:rsid w:val="00093554"/>
    <w:rsid w:val="000A0232"/>
    <w:rsid w:val="000C730D"/>
    <w:rsid w:val="000D0AAA"/>
    <w:rsid w:val="000D2638"/>
    <w:rsid w:val="000D2639"/>
    <w:rsid w:val="000D3BB6"/>
    <w:rsid w:val="000E014C"/>
    <w:rsid w:val="000E0DC1"/>
    <w:rsid w:val="000E1F35"/>
    <w:rsid w:val="000E2FD3"/>
    <w:rsid w:val="000E69F2"/>
    <w:rsid w:val="000F33D2"/>
    <w:rsid w:val="00100372"/>
    <w:rsid w:val="0010648B"/>
    <w:rsid w:val="00107592"/>
    <w:rsid w:val="00124B93"/>
    <w:rsid w:val="00125298"/>
    <w:rsid w:val="001271C7"/>
    <w:rsid w:val="00130A59"/>
    <w:rsid w:val="00131147"/>
    <w:rsid w:val="00132E36"/>
    <w:rsid w:val="001472CA"/>
    <w:rsid w:val="001521CA"/>
    <w:rsid w:val="00155BF7"/>
    <w:rsid w:val="001560BF"/>
    <w:rsid w:val="00161BAA"/>
    <w:rsid w:val="00162951"/>
    <w:rsid w:val="001630CF"/>
    <w:rsid w:val="00163806"/>
    <w:rsid w:val="0016794C"/>
    <w:rsid w:val="00174A17"/>
    <w:rsid w:val="00186FA9"/>
    <w:rsid w:val="00187626"/>
    <w:rsid w:val="00191D43"/>
    <w:rsid w:val="00192250"/>
    <w:rsid w:val="00196792"/>
    <w:rsid w:val="001970AA"/>
    <w:rsid w:val="00197230"/>
    <w:rsid w:val="001A159E"/>
    <w:rsid w:val="001A4D79"/>
    <w:rsid w:val="001A5281"/>
    <w:rsid w:val="001B15D2"/>
    <w:rsid w:val="001B59F9"/>
    <w:rsid w:val="001C0ACF"/>
    <w:rsid w:val="001C3E54"/>
    <w:rsid w:val="001D113E"/>
    <w:rsid w:val="001D6119"/>
    <w:rsid w:val="001D6330"/>
    <w:rsid w:val="001E2C13"/>
    <w:rsid w:val="001E3E60"/>
    <w:rsid w:val="001F19AE"/>
    <w:rsid w:val="001F45DF"/>
    <w:rsid w:val="001F6CEE"/>
    <w:rsid w:val="00200DAB"/>
    <w:rsid w:val="002023F4"/>
    <w:rsid w:val="0020689C"/>
    <w:rsid w:val="002073DE"/>
    <w:rsid w:val="00207AC0"/>
    <w:rsid w:val="00213E84"/>
    <w:rsid w:val="00222C36"/>
    <w:rsid w:val="002251EC"/>
    <w:rsid w:val="0022547E"/>
    <w:rsid w:val="002258A6"/>
    <w:rsid w:val="00225BD3"/>
    <w:rsid w:val="00231F86"/>
    <w:rsid w:val="0023458C"/>
    <w:rsid w:val="0024270B"/>
    <w:rsid w:val="0024708C"/>
    <w:rsid w:val="00247B6A"/>
    <w:rsid w:val="00250F91"/>
    <w:rsid w:val="0025330C"/>
    <w:rsid w:val="002567C5"/>
    <w:rsid w:val="00256BF6"/>
    <w:rsid w:val="00260CE0"/>
    <w:rsid w:val="00261FEE"/>
    <w:rsid w:val="002625F6"/>
    <w:rsid w:val="00263711"/>
    <w:rsid w:val="0026557D"/>
    <w:rsid w:val="002730FB"/>
    <w:rsid w:val="0027727C"/>
    <w:rsid w:val="0028062D"/>
    <w:rsid w:val="00283207"/>
    <w:rsid w:val="0028389B"/>
    <w:rsid w:val="00285C76"/>
    <w:rsid w:val="00293440"/>
    <w:rsid w:val="00295010"/>
    <w:rsid w:val="00295E1E"/>
    <w:rsid w:val="002961EA"/>
    <w:rsid w:val="002A2974"/>
    <w:rsid w:val="002A437D"/>
    <w:rsid w:val="002A7141"/>
    <w:rsid w:val="002B1FD0"/>
    <w:rsid w:val="002B582D"/>
    <w:rsid w:val="002B5A66"/>
    <w:rsid w:val="002B7D22"/>
    <w:rsid w:val="002C4957"/>
    <w:rsid w:val="002C6EE3"/>
    <w:rsid w:val="002D6A3E"/>
    <w:rsid w:val="002D7582"/>
    <w:rsid w:val="002E02A3"/>
    <w:rsid w:val="002E4CB8"/>
    <w:rsid w:val="002E513D"/>
    <w:rsid w:val="002F33EE"/>
    <w:rsid w:val="002F56B8"/>
    <w:rsid w:val="00300B8B"/>
    <w:rsid w:val="00300CC5"/>
    <w:rsid w:val="00303915"/>
    <w:rsid w:val="00303CEC"/>
    <w:rsid w:val="00307624"/>
    <w:rsid w:val="00307793"/>
    <w:rsid w:val="00307BD7"/>
    <w:rsid w:val="003103D5"/>
    <w:rsid w:val="003203F1"/>
    <w:rsid w:val="0032113A"/>
    <w:rsid w:val="00323CDB"/>
    <w:rsid w:val="00327D12"/>
    <w:rsid w:val="0033006D"/>
    <w:rsid w:val="00331661"/>
    <w:rsid w:val="00333819"/>
    <w:rsid w:val="00334094"/>
    <w:rsid w:val="00340214"/>
    <w:rsid w:val="00341BFA"/>
    <w:rsid w:val="0034252D"/>
    <w:rsid w:val="003440C7"/>
    <w:rsid w:val="00344BA7"/>
    <w:rsid w:val="00347BB9"/>
    <w:rsid w:val="00353E87"/>
    <w:rsid w:val="00365F08"/>
    <w:rsid w:val="00372D4F"/>
    <w:rsid w:val="00373BCF"/>
    <w:rsid w:val="0037645F"/>
    <w:rsid w:val="00382A0B"/>
    <w:rsid w:val="003877E8"/>
    <w:rsid w:val="00392198"/>
    <w:rsid w:val="003A6907"/>
    <w:rsid w:val="003A7CEF"/>
    <w:rsid w:val="003B2521"/>
    <w:rsid w:val="003B5180"/>
    <w:rsid w:val="003B532E"/>
    <w:rsid w:val="003C0745"/>
    <w:rsid w:val="003D2425"/>
    <w:rsid w:val="003D2AA9"/>
    <w:rsid w:val="003D2B8E"/>
    <w:rsid w:val="003D6D6A"/>
    <w:rsid w:val="003D7457"/>
    <w:rsid w:val="003E7EBB"/>
    <w:rsid w:val="003F1369"/>
    <w:rsid w:val="003F1501"/>
    <w:rsid w:val="003F37A0"/>
    <w:rsid w:val="003F4E67"/>
    <w:rsid w:val="003F71B8"/>
    <w:rsid w:val="00401B4B"/>
    <w:rsid w:val="00416430"/>
    <w:rsid w:val="00422CAC"/>
    <w:rsid w:val="00423869"/>
    <w:rsid w:val="00423C10"/>
    <w:rsid w:val="00426D5B"/>
    <w:rsid w:val="00435255"/>
    <w:rsid w:val="00435FF9"/>
    <w:rsid w:val="004375CE"/>
    <w:rsid w:val="004453E5"/>
    <w:rsid w:val="004540EE"/>
    <w:rsid w:val="00454595"/>
    <w:rsid w:val="004553AD"/>
    <w:rsid w:val="004626C4"/>
    <w:rsid w:val="00472812"/>
    <w:rsid w:val="00474C30"/>
    <w:rsid w:val="004833E3"/>
    <w:rsid w:val="0048530A"/>
    <w:rsid w:val="00485EE9"/>
    <w:rsid w:val="00486C50"/>
    <w:rsid w:val="004908FC"/>
    <w:rsid w:val="00492A88"/>
    <w:rsid w:val="004947FD"/>
    <w:rsid w:val="004A3E5A"/>
    <w:rsid w:val="004A53BE"/>
    <w:rsid w:val="004B1749"/>
    <w:rsid w:val="004B437B"/>
    <w:rsid w:val="004B6877"/>
    <w:rsid w:val="004C0172"/>
    <w:rsid w:val="004C0A13"/>
    <w:rsid w:val="004C2FEA"/>
    <w:rsid w:val="004D25B9"/>
    <w:rsid w:val="004E17C6"/>
    <w:rsid w:val="004E55A0"/>
    <w:rsid w:val="004E75F5"/>
    <w:rsid w:val="004F0ABF"/>
    <w:rsid w:val="004F2063"/>
    <w:rsid w:val="004F4AE0"/>
    <w:rsid w:val="004F4D79"/>
    <w:rsid w:val="004F4DE7"/>
    <w:rsid w:val="004F4E33"/>
    <w:rsid w:val="004F7D16"/>
    <w:rsid w:val="00500179"/>
    <w:rsid w:val="00501A0E"/>
    <w:rsid w:val="00502464"/>
    <w:rsid w:val="005026EB"/>
    <w:rsid w:val="00510815"/>
    <w:rsid w:val="0051585D"/>
    <w:rsid w:val="005265CC"/>
    <w:rsid w:val="0053422C"/>
    <w:rsid w:val="00534B72"/>
    <w:rsid w:val="00535CF0"/>
    <w:rsid w:val="005461B7"/>
    <w:rsid w:val="00547179"/>
    <w:rsid w:val="005505EA"/>
    <w:rsid w:val="005514CD"/>
    <w:rsid w:val="00552E68"/>
    <w:rsid w:val="005537CF"/>
    <w:rsid w:val="00553B2F"/>
    <w:rsid w:val="00553F79"/>
    <w:rsid w:val="005553FA"/>
    <w:rsid w:val="00560413"/>
    <w:rsid w:val="00560B86"/>
    <w:rsid w:val="00561BC0"/>
    <w:rsid w:val="0056202B"/>
    <w:rsid w:val="00564A27"/>
    <w:rsid w:val="00565348"/>
    <w:rsid w:val="00565380"/>
    <w:rsid w:val="00566809"/>
    <w:rsid w:val="00567E04"/>
    <w:rsid w:val="0057745E"/>
    <w:rsid w:val="00581F59"/>
    <w:rsid w:val="0058351E"/>
    <w:rsid w:val="00586D5E"/>
    <w:rsid w:val="00587004"/>
    <w:rsid w:val="00596C68"/>
    <w:rsid w:val="005A145F"/>
    <w:rsid w:val="005A1651"/>
    <w:rsid w:val="005A21CE"/>
    <w:rsid w:val="005A2681"/>
    <w:rsid w:val="005A34E3"/>
    <w:rsid w:val="005A3CA1"/>
    <w:rsid w:val="005B02FE"/>
    <w:rsid w:val="005B1E0E"/>
    <w:rsid w:val="005B4B38"/>
    <w:rsid w:val="005B629D"/>
    <w:rsid w:val="005C00D0"/>
    <w:rsid w:val="005C50A9"/>
    <w:rsid w:val="005C7D96"/>
    <w:rsid w:val="005D284F"/>
    <w:rsid w:val="005E122D"/>
    <w:rsid w:val="005F0314"/>
    <w:rsid w:val="005F0BF2"/>
    <w:rsid w:val="005F7F27"/>
    <w:rsid w:val="00600490"/>
    <w:rsid w:val="006032F4"/>
    <w:rsid w:val="006069E8"/>
    <w:rsid w:val="00607EC0"/>
    <w:rsid w:val="006160A2"/>
    <w:rsid w:val="006242E8"/>
    <w:rsid w:val="006259FA"/>
    <w:rsid w:val="006307CC"/>
    <w:rsid w:val="00630C74"/>
    <w:rsid w:val="006327CF"/>
    <w:rsid w:val="0063312F"/>
    <w:rsid w:val="006350C4"/>
    <w:rsid w:val="0065221B"/>
    <w:rsid w:val="00652C26"/>
    <w:rsid w:val="00653A98"/>
    <w:rsid w:val="00657121"/>
    <w:rsid w:val="00660016"/>
    <w:rsid w:val="00671884"/>
    <w:rsid w:val="00672F37"/>
    <w:rsid w:val="006749E8"/>
    <w:rsid w:val="00677665"/>
    <w:rsid w:val="00677AFC"/>
    <w:rsid w:val="00680BBE"/>
    <w:rsid w:val="006818B2"/>
    <w:rsid w:val="00685E96"/>
    <w:rsid w:val="006868D7"/>
    <w:rsid w:val="00687FC2"/>
    <w:rsid w:val="006921AB"/>
    <w:rsid w:val="0069342D"/>
    <w:rsid w:val="00693AB6"/>
    <w:rsid w:val="006A1309"/>
    <w:rsid w:val="006A1FE4"/>
    <w:rsid w:val="006B077C"/>
    <w:rsid w:val="006C223A"/>
    <w:rsid w:val="006C48E9"/>
    <w:rsid w:val="006C667A"/>
    <w:rsid w:val="006C6D66"/>
    <w:rsid w:val="006C6F95"/>
    <w:rsid w:val="006D71DF"/>
    <w:rsid w:val="006E3A3F"/>
    <w:rsid w:val="006E5AFF"/>
    <w:rsid w:val="006F6F60"/>
    <w:rsid w:val="0070537E"/>
    <w:rsid w:val="00705940"/>
    <w:rsid w:val="00712671"/>
    <w:rsid w:val="00716ECA"/>
    <w:rsid w:val="00717667"/>
    <w:rsid w:val="00720314"/>
    <w:rsid w:val="00722162"/>
    <w:rsid w:val="00722B3B"/>
    <w:rsid w:val="00723828"/>
    <w:rsid w:val="00724464"/>
    <w:rsid w:val="00725D3B"/>
    <w:rsid w:val="00726A5C"/>
    <w:rsid w:val="00727F4A"/>
    <w:rsid w:val="00732179"/>
    <w:rsid w:val="00733950"/>
    <w:rsid w:val="007348AD"/>
    <w:rsid w:val="007379DD"/>
    <w:rsid w:val="00740FDD"/>
    <w:rsid w:val="007416A8"/>
    <w:rsid w:val="007431E3"/>
    <w:rsid w:val="00747AEC"/>
    <w:rsid w:val="00751DA4"/>
    <w:rsid w:val="00752EC6"/>
    <w:rsid w:val="00753B6D"/>
    <w:rsid w:val="00757618"/>
    <w:rsid w:val="00762B23"/>
    <w:rsid w:val="0077123B"/>
    <w:rsid w:val="007729FC"/>
    <w:rsid w:val="00774D5A"/>
    <w:rsid w:val="00780DB5"/>
    <w:rsid w:val="00784061"/>
    <w:rsid w:val="007905A0"/>
    <w:rsid w:val="00791E89"/>
    <w:rsid w:val="0079469E"/>
    <w:rsid w:val="00794E13"/>
    <w:rsid w:val="007A0F6B"/>
    <w:rsid w:val="007A393F"/>
    <w:rsid w:val="007A6204"/>
    <w:rsid w:val="007A63F1"/>
    <w:rsid w:val="007B1355"/>
    <w:rsid w:val="007C0E43"/>
    <w:rsid w:val="007C16DE"/>
    <w:rsid w:val="007C29E5"/>
    <w:rsid w:val="007C7902"/>
    <w:rsid w:val="007C7EFD"/>
    <w:rsid w:val="007D3AFA"/>
    <w:rsid w:val="007E3D46"/>
    <w:rsid w:val="007E538B"/>
    <w:rsid w:val="007F3889"/>
    <w:rsid w:val="007F4439"/>
    <w:rsid w:val="007F65B8"/>
    <w:rsid w:val="007F66DF"/>
    <w:rsid w:val="00800B37"/>
    <w:rsid w:val="00800B63"/>
    <w:rsid w:val="0080339B"/>
    <w:rsid w:val="0080575D"/>
    <w:rsid w:val="00812C53"/>
    <w:rsid w:val="00812D7E"/>
    <w:rsid w:val="008130AF"/>
    <w:rsid w:val="00816BA4"/>
    <w:rsid w:val="008214A0"/>
    <w:rsid w:val="00823178"/>
    <w:rsid w:val="00823DD3"/>
    <w:rsid w:val="00832D3D"/>
    <w:rsid w:val="00833D78"/>
    <w:rsid w:val="008433D8"/>
    <w:rsid w:val="00850A28"/>
    <w:rsid w:val="0085391E"/>
    <w:rsid w:val="008815E7"/>
    <w:rsid w:val="0088244B"/>
    <w:rsid w:val="00884074"/>
    <w:rsid w:val="008902F5"/>
    <w:rsid w:val="008904D2"/>
    <w:rsid w:val="00891B0D"/>
    <w:rsid w:val="00893FA4"/>
    <w:rsid w:val="008967A2"/>
    <w:rsid w:val="008A1B78"/>
    <w:rsid w:val="008A5159"/>
    <w:rsid w:val="008A676C"/>
    <w:rsid w:val="008A7E11"/>
    <w:rsid w:val="008B12B3"/>
    <w:rsid w:val="008B5534"/>
    <w:rsid w:val="008B7852"/>
    <w:rsid w:val="008C14A0"/>
    <w:rsid w:val="008C759E"/>
    <w:rsid w:val="008D09E2"/>
    <w:rsid w:val="008D67E1"/>
    <w:rsid w:val="008E1225"/>
    <w:rsid w:val="008E607E"/>
    <w:rsid w:val="008F2229"/>
    <w:rsid w:val="00900EA7"/>
    <w:rsid w:val="009103AC"/>
    <w:rsid w:val="009141DF"/>
    <w:rsid w:val="009175D9"/>
    <w:rsid w:val="00930D46"/>
    <w:rsid w:val="00931E6C"/>
    <w:rsid w:val="009340CE"/>
    <w:rsid w:val="00941156"/>
    <w:rsid w:val="0094443D"/>
    <w:rsid w:val="00945D1C"/>
    <w:rsid w:val="0095001D"/>
    <w:rsid w:val="009511E3"/>
    <w:rsid w:val="00954CA3"/>
    <w:rsid w:val="00965C7E"/>
    <w:rsid w:val="009662F6"/>
    <w:rsid w:val="009673F3"/>
    <w:rsid w:val="00967E6A"/>
    <w:rsid w:val="0097115C"/>
    <w:rsid w:val="009750A7"/>
    <w:rsid w:val="00975E86"/>
    <w:rsid w:val="00984CC1"/>
    <w:rsid w:val="009853BA"/>
    <w:rsid w:val="00987F88"/>
    <w:rsid w:val="009956A5"/>
    <w:rsid w:val="009958CC"/>
    <w:rsid w:val="009960EC"/>
    <w:rsid w:val="00997324"/>
    <w:rsid w:val="009B0073"/>
    <w:rsid w:val="009B08EA"/>
    <w:rsid w:val="009B14B9"/>
    <w:rsid w:val="009B392E"/>
    <w:rsid w:val="009B48C8"/>
    <w:rsid w:val="009B7020"/>
    <w:rsid w:val="009B7397"/>
    <w:rsid w:val="009C3CB7"/>
    <w:rsid w:val="009C41B6"/>
    <w:rsid w:val="009D1AEB"/>
    <w:rsid w:val="009E42B3"/>
    <w:rsid w:val="009E69F3"/>
    <w:rsid w:val="009F13F2"/>
    <w:rsid w:val="009F3418"/>
    <w:rsid w:val="009F5047"/>
    <w:rsid w:val="00A00C69"/>
    <w:rsid w:val="00A170E1"/>
    <w:rsid w:val="00A2105F"/>
    <w:rsid w:val="00A2130B"/>
    <w:rsid w:val="00A23C58"/>
    <w:rsid w:val="00A241EF"/>
    <w:rsid w:val="00A24F73"/>
    <w:rsid w:val="00A2784B"/>
    <w:rsid w:val="00A30A81"/>
    <w:rsid w:val="00A32C1C"/>
    <w:rsid w:val="00A32EA1"/>
    <w:rsid w:val="00A36ED3"/>
    <w:rsid w:val="00A37962"/>
    <w:rsid w:val="00A40B89"/>
    <w:rsid w:val="00A51E46"/>
    <w:rsid w:val="00A620ED"/>
    <w:rsid w:val="00A62A21"/>
    <w:rsid w:val="00A64431"/>
    <w:rsid w:val="00A71E17"/>
    <w:rsid w:val="00A763CC"/>
    <w:rsid w:val="00A77E28"/>
    <w:rsid w:val="00A82E98"/>
    <w:rsid w:val="00A906FB"/>
    <w:rsid w:val="00A96B61"/>
    <w:rsid w:val="00AA3139"/>
    <w:rsid w:val="00AB06E5"/>
    <w:rsid w:val="00AB1D08"/>
    <w:rsid w:val="00AB2277"/>
    <w:rsid w:val="00AB4340"/>
    <w:rsid w:val="00AB6FD8"/>
    <w:rsid w:val="00AC745D"/>
    <w:rsid w:val="00AD00B0"/>
    <w:rsid w:val="00AD24AF"/>
    <w:rsid w:val="00AD3343"/>
    <w:rsid w:val="00AE0BDF"/>
    <w:rsid w:val="00AE6B44"/>
    <w:rsid w:val="00AF34AE"/>
    <w:rsid w:val="00AF4B19"/>
    <w:rsid w:val="00AF7FB1"/>
    <w:rsid w:val="00B04F97"/>
    <w:rsid w:val="00B06C8B"/>
    <w:rsid w:val="00B07C0C"/>
    <w:rsid w:val="00B07E0F"/>
    <w:rsid w:val="00B11619"/>
    <w:rsid w:val="00B1604A"/>
    <w:rsid w:val="00B326B4"/>
    <w:rsid w:val="00B441B9"/>
    <w:rsid w:val="00B44C67"/>
    <w:rsid w:val="00B51A6A"/>
    <w:rsid w:val="00B522B9"/>
    <w:rsid w:val="00B52FEE"/>
    <w:rsid w:val="00B61C01"/>
    <w:rsid w:val="00B62841"/>
    <w:rsid w:val="00B62C8E"/>
    <w:rsid w:val="00B728B8"/>
    <w:rsid w:val="00B7292F"/>
    <w:rsid w:val="00B7327C"/>
    <w:rsid w:val="00B807D2"/>
    <w:rsid w:val="00B80BAC"/>
    <w:rsid w:val="00B82999"/>
    <w:rsid w:val="00B8318E"/>
    <w:rsid w:val="00B834A2"/>
    <w:rsid w:val="00B85421"/>
    <w:rsid w:val="00B919A0"/>
    <w:rsid w:val="00B92C5D"/>
    <w:rsid w:val="00B94C62"/>
    <w:rsid w:val="00B97342"/>
    <w:rsid w:val="00BA5B4B"/>
    <w:rsid w:val="00BA5DD2"/>
    <w:rsid w:val="00BA789A"/>
    <w:rsid w:val="00BB214B"/>
    <w:rsid w:val="00BB5818"/>
    <w:rsid w:val="00BB6FEC"/>
    <w:rsid w:val="00BC5B90"/>
    <w:rsid w:val="00BC7386"/>
    <w:rsid w:val="00BD10C8"/>
    <w:rsid w:val="00BD1672"/>
    <w:rsid w:val="00BD66AB"/>
    <w:rsid w:val="00BE27BA"/>
    <w:rsid w:val="00BF00B3"/>
    <w:rsid w:val="00BF03BC"/>
    <w:rsid w:val="00BF0BA8"/>
    <w:rsid w:val="00BF4EA2"/>
    <w:rsid w:val="00BF52BA"/>
    <w:rsid w:val="00BF6328"/>
    <w:rsid w:val="00C01F4A"/>
    <w:rsid w:val="00C02ADA"/>
    <w:rsid w:val="00C0430C"/>
    <w:rsid w:val="00C06E68"/>
    <w:rsid w:val="00C13FE7"/>
    <w:rsid w:val="00C146B2"/>
    <w:rsid w:val="00C23BFD"/>
    <w:rsid w:val="00C333B3"/>
    <w:rsid w:val="00C350F5"/>
    <w:rsid w:val="00C4647F"/>
    <w:rsid w:val="00C649A1"/>
    <w:rsid w:val="00C64D32"/>
    <w:rsid w:val="00C73F72"/>
    <w:rsid w:val="00C80C56"/>
    <w:rsid w:val="00C81788"/>
    <w:rsid w:val="00C8463F"/>
    <w:rsid w:val="00C84A73"/>
    <w:rsid w:val="00C85100"/>
    <w:rsid w:val="00C910E1"/>
    <w:rsid w:val="00C92800"/>
    <w:rsid w:val="00C955C6"/>
    <w:rsid w:val="00CA1ED0"/>
    <w:rsid w:val="00CA3740"/>
    <w:rsid w:val="00CB3146"/>
    <w:rsid w:val="00CC0DAC"/>
    <w:rsid w:val="00CC35BC"/>
    <w:rsid w:val="00CC3BF2"/>
    <w:rsid w:val="00CD5B58"/>
    <w:rsid w:val="00CD6A6A"/>
    <w:rsid w:val="00CE3E62"/>
    <w:rsid w:val="00CF4158"/>
    <w:rsid w:val="00D006C8"/>
    <w:rsid w:val="00D04F60"/>
    <w:rsid w:val="00D06A9C"/>
    <w:rsid w:val="00D13540"/>
    <w:rsid w:val="00D14672"/>
    <w:rsid w:val="00D20B72"/>
    <w:rsid w:val="00D21764"/>
    <w:rsid w:val="00D23F38"/>
    <w:rsid w:val="00D26512"/>
    <w:rsid w:val="00D26567"/>
    <w:rsid w:val="00D334A3"/>
    <w:rsid w:val="00D33778"/>
    <w:rsid w:val="00D34B00"/>
    <w:rsid w:val="00D37CB9"/>
    <w:rsid w:val="00D40090"/>
    <w:rsid w:val="00D40839"/>
    <w:rsid w:val="00D42F81"/>
    <w:rsid w:val="00D47056"/>
    <w:rsid w:val="00D47597"/>
    <w:rsid w:val="00D55C0D"/>
    <w:rsid w:val="00D57621"/>
    <w:rsid w:val="00D57A37"/>
    <w:rsid w:val="00D60526"/>
    <w:rsid w:val="00D616E4"/>
    <w:rsid w:val="00D61E0B"/>
    <w:rsid w:val="00D66102"/>
    <w:rsid w:val="00D6788F"/>
    <w:rsid w:val="00D822CC"/>
    <w:rsid w:val="00D85B81"/>
    <w:rsid w:val="00D902D3"/>
    <w:rsid w:val="00D92047"/>
    <w:rsid w:val="00DA4360"/>
    <w:rsid w:val="00DA472F"/>
    <w:rsid w:val="00DA566C"/>
    <w:rsid w:val="00DA5837"/>
    <w:rsid w:val="00DA591E"/>
    <w:rsid w:val="00DA6F46"/>
    <w:rsid w:val="00DA7DE3"/>
    <w:rsid w:val="00DA7F89"/>
    <w:rsid w:val="00DB0001"/>
    <w:rsid w:val="00DB4741"/>
    <w:rsid w:val="00DB5E32"/>
    <w:rsid w:val="00DC159F"/>
    <w:rsid w:val="00DC15DD"/>
    <w:rsid w:val="00DC334E"/>
    <w:rsid w:val="00DD240D"/>
    <w:rsid w:val="00DE4A7E"/>
    <w:rsid w:val="00DE6F1A"/>
    <w:rsid w:val="00DE7A13"/>
    <w:rsid w:val="00DF2D6D"/>
    <w:rsid w:val="00DF4954"/>
    <w:rsid w:val="00DF4A67"/>
    <w:rsid w:val="00DF5AB6"/>
    <w:rsid w:val="00E00A8C"/>
    <w:rsid w:val="00E02478"/>
    <w:rsid w:val="00E05C4F"/>
    <w:rsid w:val="00E06450"/>
    <w:rsid w:val="00E159D8"/>
    <w:rsid w:val="00E17DFD"/>
    <w:rsid w:val="00E17F69"/>
    <w:rsid w:val="00E20575"/>
    <w:rsid w:val="00E22554"/>
    <w:rsid w:val="00E264A0"/>
    <w:rsid w:val="00E26E5A"/>
    <w:rsid w:val="00E27D11"/>
    <w:rsid w:val="00E3144A"/>
    <w:rsid w:val="00E406E9"/>
    <w:rsid w:val="00E413F2"/>
    <w:rsid w:val="00E42857"/>
    <w:rsid w:val="00E452D4"/>
    <w:rsid w:val="00E51ACB"/>
    <w:rsid w:val="00E53C4C"/>
    <w:rsid w:val="00E55554"/>
    <w:rsid w:val="00E56757"/>
    <w:rsid w:val="00E637B5"/>
    <w:rsid w:val="00E70905"/>
    <w:rsid w:val="00E7631D"/>
    <w:rsid w:val="00E77001"/>
    <w:rsid w:val="00E770B4"/>
    <w:rsid w:val="00E82351"/>
    <w:rsid w:val="00E834F8"/>
    <w:rsid w:val="00E9176A"/>
    <w:rsid w:val="00E92303"/>
    <w:rsid w:val="00E97951"/>
    <w:rsid w:val="00EA47DC"/>
    <w:rsid w:val="00EB334F"/>
    <w:rsid w:val="00EB4B5D"/>
    <w:rsid w:val="00EC19DE"/>
    <w:rsid w:val="00EC20BC"/>
    <w:rsid w:val="00EC3BFC"/>
    <w:rsid w:val="00EC3C29"/>
    <w:rsid w:val="00EC4293"/>
    <w:rsid w:val="00EC5338"/>
    <w:rsid w:val="00EC76A7"/>
    <w:rsid w:val="00ED41C3"/>
    <w:rsid w:val="00ED4C23"/>
    <w:rsid w:val="00ED674A"/>
    <w:rsid w:val="00ED6EE0"/>
    <w:rsid w:val="00ED7BE3"/>
    <w:rsid w:val="00EE216E"/>
    <w:rsid w:val="00EF06FB"/>
    <w:rsid w:val="00EF1FAB"/>
    <w:rsid w:val="00EF7EF4"/>
    <w:rsid w:val="00F02A50"/>
    <w:rsid w:val="00F05784"/>
    <w:rsid w:val="00F10DCB"/>
    <w:rsid w:val="00F10DD5"/>
    <w:rsid w:val="00F12874"/>
    <w:rsid w:val="00F20CBD"/>
    <w:rsid w:val="00F213F7"/>
    <w:rsid w:val="00F262EA"/>
    <w:rsid w:val="00F356BE"/>
    <w:rsid w:val="00F414C1"/>
    <w:rsid w:val="00F52841"/>
    <w:rsid w:val="00F572F1"/>
    <w:rsid w:val="00F57530"/>
    <w:rsid w:val="00F61E30"/>
    <w:rsid w:val="00F6231A"/>
    <w:rsid w:val="00F636B6"/>
    <w:rsid w:val="00F6445C"/>
    <w:rsid w:val="00F6511A"/>
    <w:rsid w:val="00F6665D"/>
    <w:rsid w:val="00F71B9F"/>
    <w:rsid w:val="00F71CFF"/>
    <w:rsid w:val="00F76935"/>
    <w:rsid w:val="00F76F3C"/>
    <w:rsid w:val="00F770A2"/>
    <w:rsid w:val="00F8226E"/>
    <w:rsid w:val="00F859A0"/>
    <w:rsid w:val="00F87A65"/>
    <w:rsid w:val="00F93211"/>
    <w:rsid w:val="00F96705"/>
    <w:rsid w:val="00F97AED"/>
    <w:rsid w:val="00FA000B"/>
    <w:rsid w:val="00FA1096"/>
    <w:rsid w:val="00FA314D"/>
    <w:rsid w:val="00FA3159"/>
    <w:rsid w:val="00FA3699"/>
    <w:rsid w:val="00FA401F"/>
    <w:rsid w:val="00FA4B7A"/>
    <w:rsid w:val="00FA4F4A"/>
    <w:rsid w:val="00FB6048"/>
    <w:rsid w:val="00FB6B7B"/>
    <w:rsid w:val="00FB7513"/>
    <w:rsid w:val="00FC0383"/>
    <w:rsid w:val="00FC730C"/>
    <w:rsid w:val="00FD0E12"/>
    <w:rsid w:val="00FD1518"/>
    <w:rsid w:val="00FD18C8"/>
    <w:rsid w:val="00FD2872"/>
    <w:rsid w:val="00FD55DE"/>
    <w:rsid w:val="00FE2172"/>
    <w:rsid w:val="00FF3756"/>
    <w:rsid w:val="00FF4C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240F90"/>
  <w15:docId w15:val="{F3DE3590-2324-4E9A-ADA7-71EE599D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4C62"/>
    <w:rPr>
      <w:sz w:val="24"/>
    </w:rPr>
  </w:style>
  <w:style w:type="paragraph" w:styleId="Heading1">
    <w:name w:val="heading 1"/>
    <w:basedOn w:val="Normal"/>
    <w:next w:val="Normal"/>
    <w:qFormat/>
    <w:rsid w:val="00D34B00"/>
    <w:pPr>
      <w:keepNext/>
      <w:spacing w:before="240" w:after="60"/>
      <w:outlineLvl w:val="0"/>
    </w:pPr>
    <w:rPr>
      <w:b/>
      <w:kern w:val="28"/>
      <w:sz w:val="28"/>
    </w:rPr>
  </w:style>
  <w:style w:type="paragraph" w:styleId="Heading2">
    <w:name w:val="heading 2"/>
    <w:basedOn w:val="Normal"/>
    <w:next w:val="Normal"/>
    <w:qFormat/>
    <w:rsid w:val="00D34B00"/>
    <w:pPr>
      <w:keepNext/>
      <w:spacing w:before="240" w:after="60"/>
      <w:outlineLvl w:val="1"/>
    </w:pPr>
    <w:rPr>
      <w:b/>
    </w:rPr>
  </w:style>
  <w:style w:type="paragraph" w:styleId="Heading3">
    <w:name w:val="heading 3"/>
    <w:basedOn w:val="Normal"/>
    <w:next w:val="Normal"/>
    <w:qFormat/>
    <w:rsid w:val="00D34B00"/>
    <w:pPr>
      <w:keepNext/>
      <w:spacing w:before="240" w:after="60"/>
      <w:outlineLvl w:val="2"/>
    </w:pPr>
    <w:rPr>
      <w:u w:val="single"/>
    </w:rPr>
  </w:style>
  <w:style w:type="paragraph" w:styleId="Heading4">
    <w:name w:val="heading 4"/>
    <w:basedOn w:val="Normal"/>
    <w:next w:val="Normal"/>
    <w:qFormat/>
    <w:rsid w:val="00D34B00"/>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34B00"/>
    <w:rPr>
      <w:vertAlign w:val="superscript"/>
    </w:rPr>
  </w:style>
  <w:style w:type="paragraph" w:styleId="FootnoteText">
    <w:name w:val="footnote text"/>
    <w:basedOn w:val="Normal"/>
    <w:semiHidden/>
    <w:rsid w:val="00D34B00"/>
    <w:rPr>
      <w:sz w:val="20"/>
    </w:rPr>
  </w:style>
  <w:style w:type="paragraph" w:customStyle="1" w:styleId="ArticleNumber">
    <w:name w:val="Article Number"/>
    <w:basedOn w:val="Normal"/>
    <w:rsid w:val="00D34B00"/>
    <w:pPr>
      <w:numPr>
        <w:numId w:val="16"/>
      </w:numPr>
      <w:spacing w:line="480" w:lineRule="auto"/>
      <w:jc w:val="center"/>
    </w:pPr>
  </w:style>
  <w:style w:type="paragraph" w:customStyle="1" w:styleId="ArticleLevel1">
    <w:name w:val="Article Level (1)"/>
    <w:basedOn w:val="Normal"/>
    <w:rsid w:val="00D34B00"/>
    <w:pPr>
      <w:numPr>
        <w:ilvl w:val="1"/>
        <w:numId w:val="13"/>
      </w:numPr>
      <w:tabs>
        <w:tab w:val="clear" w:pos="1080"/>
      </w:tabs>
      <w:spacing w:line="480" w:lineRule="auto"/>
    </w:pPr>
  </w:style>
  <w:style w:type="paragraph" w:customStyle="1" w:styleId="ArticleLevela">
    <w:name w:val="Article Level (a)"/>
    <w:basedOn w:val="Normal"/>
    <w:rsid w:val="00D34B00"/>
    <w:pPr>
      <w:numPr>
        <w:ilvl w:val="2"/>
        <w:numId w:val="14"/>
      </w:numPr>
      <w:tabs>
        <w:tab w:val="clear" w:pos="1440"/>
      </w:tabs>
      <w:spacing w:line="480" w:lineRule="auto"/>
      <w:ind w:left="2160"/>
    </w:pPr>
  </w:style>
  <w:style w:type="paragraph" w:customStyle="1" w:styleId="ArticleLeveli">
    <w:name w:val="Article Level (i)"/>
    <w:basedOn w:val="Normal"/>
    <w:rsid w:val="00D34B00"/>
    <w:pPr>
      <w:numPr>
        <w:ilvl w:val="3"/>
        <w:numId w:val="15"/>
      </w:numPr>
      <w:tabs>
        <w:tab w:val="clear" w:pos="2160"/>
      </w:tabs>
      <w:spacing w:line="480" w:lineRule="auto"/>
      <w:ind w:left="2880"/>
    </w:pPr>
  </w:style>
  <w:style w:type="paragraph" w:styleId="Title">
    <w:name w:val="Title"/>
    <w:basedOn w:val="Normal"/>
    <w:link w:val="TitleChar"/>
    <w:qFormat/>
    <w:rsid w:val="00D34B00"/>
    <w:pPr>
      <w:jc w:val="center"/>
    </w:pPr>
    <w:rPr>
      <w:b/>
      <w:bCs/>
    </w:rPr>
  </w:style>
  <w:style w:type="paragraph" w:styleId="Footer">
    <w:name w:val="footer"/>
    <w:basedOn w:val="Normal"/>
    <w:rsid w:val="00D34B00"/>
    <w:pPr>
      <w:tabs>
        <w:tab w:val="center" w:pos="4320"/>
        <w:tab w:val="right" w:pos="8640"/>
      </w:tabs>
    </w:pPr>
  </w:style>
  <w:style w:type="character" w:styleId="PageNumber">
    <w:name w:val="page number"/>
    <w:basedOn w:val="DefaultParagraphFont"/>
    <w:rsid w:val="00D34B00"/>
  </w:style>
  <w:style w:type="paragraph" w:styleId="BodyText">
    <w:name w:val="Body Text"/>
    <w:basedOn w:val="Normal"/>
    <w:link w:val="BodyTextChar"/>
    <w:rsid w:val="00D34B00"/>
    <w:rPr>
      <w:i/>
      <w:iCs/>
    </w:rPr>
  </w:style>
  <w:style w:type="character" w:customStyle="1" w:styleId="a">
    <w:name w:val="_"/>
    <w:rsid w:val="00D34B00"/>
  </w:style>
  <w:style w:type="character" w:customStyle="1" w:styleId="documentbody1">
    <w:name w:val="documentbody1"/>
    <w:basedOn w:val="DefaultParagraphFont"/>
    <w:rsid w:val="00D34B00"/>
    <w:rPr>
      <w:rFonts w:ascii="Verdana" w:hAnsi="Verdana" w:hint="default"/>
      <w:sz w:val="19"/>
      <w:szCs w:val="19"/>
    </w:rPr>
  </w:style>
  <w:style w:type="character" w:styleId="Hyperlink">
    <w:name w:val="Hyperlink"/>
    <w:basedOn w:val="DefaultParagraphFont"/>
    <w:rsid w:val="00D34B00"/>
    <w:rPr>
      <w:color w:val="0000FF"/>
      <w:u w:val="single"/>
    </w:rPr>
  </w:style>
  <w:style w:type="paragraph" w:styleId="BodyTextIndent">
    <w:name w:val="Body Text Indent"/>
    <w:basedOn w:val="Normal"/>
    <w:rsid w:val="00D34B00"/>
    <w:pPr>
      <w:ind w:firstLine="720"/>
    </w:pPr>
    <w:rPr>
      <w:color w:val="000000"/>
    </w:rPr>
  </w:style>
  <w:style w:type="character" w:styleId="CommentReference">
    <w:name w:val="annotation reference"/>
    <w:basedOn w:val="DefaultParagraphFont"/>
    <w:uiPriority w:val="99"/>
    <w:semiHidden/>
    <w:rsid w:val="00D34B00"/>
    <w:rPr>
      <w:sz w:val="16"/>
      <w:szCs w:val="16"/>
    </w:rPr>
  </w:style>
  <w:style w:type="paragraph" w:styleId="CommentText">
    <w:name w:val="annotation text"/>
    <w:basedOn w:val="Normal"/>
    <w:link w:val="CommentTextChar"/>
    <w:uiPriority w:val="99"/>
    <w:semiHidden/>
    <w:rsid w:val="00D34B00"/>
    <w:rPr>
      <w:sz w:val="20"/>
    </w:rPr>
  </w:style>
  <w:style w:type="paragraph" w:styleId="BalloonText">
    <w:name w:val="Balloon Text"/>
    <w:basedOn w:val="Normal"/>
    <w:semiHidden/>
    <w:rsid w:val="00307793"/>
    <w:rPr>
      <w:rFonts w:ascii="Tahoma" w:hAnsi="Tahoma" w:cs="Tahoma"/>
      <w:sz w:val="16"/>
      <w:szCs w:val="16"/>
    </w:rPr>
  </w:style>
  <w:style w:type="paragraph" w:styleId="CommentSubject">
    <w:name w:val="annotation subject"/>
    <w:basedOn w:val="CommentText"/>
    <w:next w:val="CommentText"/>
    <w:semiHidden/>
    <w:rsid w:val="00AB4340"/>
    <w:rPr>
      <w:b/>
      <w:bCs/>
    </w:rPr>
  </w:style>
  <w:style w:type="character" w:customStyle="1" w:styleId="TitleChar">
    <w:name w:val="Title Char"/>
    <w:basedOn w:val="DefaultParagraphFont"/>
    <w:link w:val="Title"/>
    <w:rsid w:val="00726A5C"/>
    <w:rPr>
      <w:b/>
      <w:bCs/>
      <w:sz w:val="24"/>
    </w:rPr>
  </w:style>
  <w:style w:type="character" w:customStyle="1" w:styleId="BodyTextChar">
    <w:name w:val="Body Text Char"/>
    <w:basedOn w:val="DefaultParagraphFont"/>
    <w:link w:val="BodyText"/>
    <w:rsid w:val="00726A5C"/>
    <w:rPr>
      <w:i/>
      <w:iCs/>
      <w:sz w:val="24"/>
    </w:rPr>
  </w:style>
  <w:style w:type="paragraph" w:styleId="Revision">
    <w:name w:val="Revision"/>
    <w:hidden/>
    <w:uiPriority w:val="99"/>
    <w:semiHidden/>
    <w:rsid w:val="00A32C1C"/>
    <w:rPr>
      <w:sz w:val="24"/>
    </w:rPr>
  </w:style>
  <w:style w:type="table" w:customStyle="1" w:styleId="TableGrid1">
    <w:name w:val="Table Grid1"/>
    <w:basedOn w:val="TableNormal"/>
    <w:next w:val="TableGrid"/>
    <w:uiPriority w:val="39"/>
    <w:rsid w:val="00930D4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930D46"/>
  </w:style>
  <w:style w:type="table" w:styleId="TableGrid">
    <w:name w:val="Table Grid"/>
    <w:basedOn w:val="TableNormal"/>
    <w:rsid w:val="00930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D51A2-5E42-496A-8520-EC937343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3038</Words>
  <Characters>18512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Merritt, Shaquita</cp:lastModifiedBy>
  <cp:revision>4</cp:revision>
  <cp:lastPrinted>2019-01-24T15:29:00Z</cp:lastPrinted>
  <dcterms:created xsi:type="dcterms:W3CDTF">2023-11-08T18:23:00Z</dcterms:created>
  <dcterms:modified xsi:type="dcterms:W3CDTF">2023-11-22T16:08:00Z</dcterms:modified>
</cp:coreProperties>
</file>