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139D" w:rsidP="00C8139D" w14:paraId="08CD76BF" w14:textId="77777777">
      <w:pPr>
        <w:jc w:val="center"/>
        <w:rPr>
          <w:rFonts w:ascii="Times New Roman" w:hAnsi="Times New Roman" w:cs="Times New Roman"/>
          <w:b/>
          <w:bCs/>
          <w:sz w:val="24"/>
          <w:szCs w:val="24"/>
        </w:rPr>
      </w:pPr>
      <w:r>
        <w:rPr>
          <w:rFonts w:ascii="Times New Roman" w:hAnsi="Times New Roman" w:cs="Times New Roman"/>
          <w:b/>
          <w:bCs/>
          <w:sz w:val="24"/>
          <w:szCs w:val="24"/>
        </w:rPr>
        <w:t>Department of Homeland Security</w:t>
      </w:r>
    </w:p>
    <w:p w:rsidR="00C8139D" w:rsidP="00C8139D" w14:paraId="08CD76C0" w14:textId="77777777">
      <w:pPr>
        <w:jc w:val="center"/>
        <w:rPr>
          <w:rFonts w:ascii="Times New Roman" w:hAnsi="Times New Roman" w:cs="Times New Roman"/>
          <w:b/>
          <w:bCs/>
          <w:sz w:val="24"/>
          <w:szCs w:val="24"/>
        </w:rPr>
      </w:pPr>
      <w:r>
        <w:rPr>
          <w:rFonts w:ascii="Times New Roman" w:hAnsi="Times New Roman" w:cs="Times New Roman"/>
          <w:b/>
          <w:bCs/>
          <w:sz w:val="24"/>
          <w:szCs w:val="24"/>
        </w:rPr>
        <w:t>Federal Emergency Management Agency</w:t>
      </w:r>
    </w:p>
    <w:p w:rsidR="00C8139D" w:rsidP="00C8139D" w14:paraId="08CD76C1" w14:textId="77777777">
      <w:pPr>
        <w:jc w:val="center"/>
        <w:rPr>
          <w:rFonts w:ascii="Arial" w:hAnsi="Arial" w:cs="Arial"/>
          <w:b/>
          <w:bCs/>
          <w:sz w:val="16"/>
          <w:szCs w:val="16"/>
        </w:rPr>
      </w:pPr>
    </w:p>
    <w:p w:rsidR="00C8139D" w:rsidP="00C8139D" w14:paraId="08CD76C2" w14:textId="77777777">
      <w:pPr>
        <w:jc w:val="center"/>
        <w:rPr>
          <w:rFonts w:ascii="Arial" w:hAnsi="Arial" w:cs="Arial"/>
          <w:b/>
          <w:bCs/>
          <w:sz w:val="16"/>
          <w:szCs w:val="16"/>
        </w:rPr>
      </w:pPr>
    </w:p>
    <w:p w:rsidR="0014291D" w:rsidP="0014291D" w14:paraId="08CD76C3" w14:textId="77777777">
      <w:pPr>
        <w:jc w:val="right"/>
        <w:rPr>
          <w:rFonts w:ascii="Arial" w:hAnsi="Arial" w:cs="Arial"/>
          <w:b/>
          <w:bCs/>
          <w:sz w:val="16"/>
          <w:szCs w:val="16"/>
        </w:rPr>
      </w:pPr>
      <w:r>
        <w:rPr>
          <w:rFonts w:ascii="Arial" w:hAnsi="Arial" w:cs="Arial"/>
          <w:b/>
          <w:bCs/>
          <w:sz w:val="16"/>
          <w:szCs w:val="16"/>
        </w:rPr>
        <w:t>OMB Control Number: 1660-0125</w:t>
      </w:r>
    </w:p>
    <w:p w:rsidR="0014291D" w:rsidP="0014291D" w14:paraId="08CD76C4" w14:textId="2EBD2270">
      <w:pPr>
        <w:jc w:val="right"/>
        <w:rPr>
          <w:rFonts w:ascii="Arial" w:hAnsi="Arial" w:cs="Arial"/>
          <w:b/>
          <w:bCs/>
          <w:sz w:val="16"/>
          <w:szCs w:val="16"/>
        </w:rPr>
      </w:pPr>
      <w:r>
        <w:rPr>
          <w:rFonts w:ascii="Arial" w:hAnsi="Arial" w:cs="Arial"/>
          <w:b/>
          <w:bCs/>
          <w:sz w:val="16"/>
          <w:szCs w:val="16"/>
        </w:rPr>
        <w:t>Expiration</w:t>
      </w:r>
      <w:r w:rsidR="0063749C">
        <w:rPr>
          <w:rFonts w:ascii="Arial" w:hAnsi="Arial" w:cs="Arial"/>
          <w:b/>
          <w:bCs/>
          <w:sz w:val="16"/>
          <w:szCs w:val="16"/>
        </w:rPr>
        <w:t xml:space="preserve"> Date</w:t>
      </w:r>
      <w:r w:rsidR="00152E6A">
        <w:rPr>
          <w:rFonts w:ascii="Arial" w:hAnsi="Arial" w:cs="Arial"/>
          <w:b/>
          <w:bCs/>
          <w:sz w:val="16"/>
          <w:szCs w:val="16"/>
        </w:rPr>
        <w:t>: 0</w:t>
      </w:r>
      <w:r w:rsidR="00EC6D90">
        <w:rPr>
          <w:rFonts w:ascii="Arial" w:hAnsi="Arial" w:cs="Arial"/>
          <w:b/>
          <w:bCs/>
          <w:sz w:val="16"/>
          <w:szCs w:val="16"/>
        </w:rPr>
        <w:t>6</w:t>
      </w:r>
      <w:r w:rsidR="00152E6A">
        <w:rPr>
          <w:rFonts w:ascii="Arial" w:hAnsi="Arial" w:cs="Arial"/>
          <w:b/>
          <w:bCs/>
          <w:sz w:val="16"/>
          <w:szCs w:val="16"/>
        </w:rPr>
        <w:t>/30/20</w:t>
      </w:r>
      <w:r w:rsidR="00EC6D90">
        <w:rPr>
          <w:rFonts w:ascii="Arial" w:hAnsi="Arial" w:cs="Arial"/>
          <w:b/>
          <w:bCs/>
          <w:sz w:val="16"/>
          <w:szCs w:val="16"/>
        </w:rPr>
        <w:t>24</w:t>
      </w:r>
    </w:p>
    <w:p w:rsidR="0097172F" w:rsidP="0014291D" w14:paraId="08CD76C5" w14:textId="77777777">
      <w:pPr>
        <w:jc w:val="right"/>
        <w:rPr>
          <w:rFonts w:ascii="Arial" w:hAnsi="Arial" w:cs="Arial"/>
          <w:b/>
          <w:bCs/>
          <w:sz w:val="16"/>
          <w:szCs w:val="16"/>
        </w:rPr>
      </w:pPr>
    </w:p>
    <w:p w:rsidR="0014291D" w:rsidP="0014291D" w14:paraId="08CD76C6" w14:textId="77777777">
      <w:pPr>
        <w:jc w:val="center"/>
        <w:rPr>
          <w:rFonts w:ascii="Arial" w:hAnsi="Arial" w:cs="Arial"/>
          <w:b/>
          <w:bCs/>
          <w:sz w:val="16"/>
          <w:szCs w:val="16"/>
        </w:rPr>
      </w:pPr>
      <w:r>
        <w:rPr>
          <w:rFonts w:ascii="Arial" w:hAnsi="Arial" w:cs="Arial"/>
          <w:b/>
          <w:bCs/>
          <w:sz w:val="16"/>
          <w:szCs w:val="16"/>
        </w:rPr>
        <w:t>PAPERWORK BURDEN DISCLOSURE NOTICE</w:t>
      </w:r>
    </w:p>
    <w:p w:rsidR="0014291D" w:rsidP="0014291D" w14:paraId="08CD76C7" w14:textId="77777777">
      <w:pPr>
        <w:rPr>
          <w:rFonts w:ascii="Arial" w:hAnsi="Arial" w:cs="Arial"/>
          <w:sz w:val="16"/>
          <w:szCs w:val="16"/>
        </w:rPr>
      </w:pPr>
      <w:r>
        <w:rPr>
          <w:rFonts w:ascii="Arial" w:hAnsi="Arial" w:cs="Arial"/>
          <w:sz w:val="16"/>
          <w:szCs w:val="16"/>
        </w:rPr>
        <w:t xml:space="preserve">Public reporting burden for this form is estimated to average </w:t>
      </w:r>
      <w:r w:rsidR="003E46AA">
        <w:rPr>
          <w:rFonts w:ascii="Arial" w:hAnsi="Arial" w:cs="Arial"/>
          <w:sz w:val="16"/>
          <w:szCs w:val="16"/>
        </w:rPr>
        <w:t>4</w:t>
      </w:r>
      <w:r>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w:t>
      </w:r>
      <w:r w:rsidRPr="00AB4DE2" w:rsidR="00AB4DE2">
        <w:rPr>
          <w:rFonts w:ascii="Arial" w:hAnsi="Arial" w:cs="Arial"/>
          <w:sz w:val="16"/>
          <w:szCs w:val="16"/>
        </w:rPr>
        <w:t>500 C Street,</w:t>
      </w:r>
      <w:r w:rsidR="00AB4DE2">
        <w:rPr>
          <w:rFonts w:ascii="Arial" w:hAnsi="Arial" w:cs="Arial"/>
          <w:sz w:val="16"/>
          <w:szCs w:val="16"/>
        </w:rPr>
        <w:t xml:space="preserve"> SW., Washington, DC 20472-3100</w:t>
      </w:r>
      <w:r>
        <w:rPr>
          <w:rFonts w:ascii="Arial" w:hAnsi="Arial" w:cs="Arial"/>
          <w:sz w:val="16"/>
          <w:szCs w:val="16"/>
        </w:rPr>
        <w:t xml:space="preserve">, Paperwork Reduction Project (1660-0125). </w:t>
      </w:r>
      <w:r>
        <w:rPr>
          <w:rFonts w:ascii="Arial" w:hAnsi="Arial" w:cs="Arial"/>
          <w:b/>
          <w:bCs/>
          <w:sz w:val="16"/>
          <w:szCs w:val="16"/>
        </w:rPr>
        <w:t>NOTE: DO NOT SEND YOUR COMPLETED FORM TO THIS ADDRESS.</w:t>
      </w:r>
    </w:p>
    <w:p w:rsidR="0014291D" w:rsidP="0014291D" w14:paraId="08CD76C8" w14:textId="77777777"/>
    <w:p w:rsidR="00C8139D" w:rsidRPr="00C8139D" w:rsidP="00C8139D" w14:paraId="08CD76C9" w14:textId="77777777">
      <w:pPr>
        <w:jc w:val="center"/>
        <w:rPr>
          <w:rFonts w:ascii="Times New Roman" w:hAnsi="Times New Roman" w:cs="Times New Roman"/>
          <w:b/>
          <w:sz w:val="24"/>
          <w:szCs w:val="24"/>
        </w:rPr>
      </w:pPr>
      <w:r w:rsidRPr="00C8139D">
        <w:rPr>
          <w:rFonts w:ascii="Times New Roman" w:hAnsi="Times New Roman" w:cs="Times New Roman"/>
          <w:b/>
          <w:sz w:val="24"/>
          <w:szCs w:val="24"/>
        </w:rPr>
        <w:t>HSGP Operational Overtime</w:t>
      </w:r>
    </w:p>
    <w:p w:rsidR="002E433A" w:rsidRPr="002E433A" w:rsidP="00134AA2" w14:paraId="1DACFBF2" w14:textId="5D4F0D4E">
      <w:pPr>
        <w:pStyle w:val="Heading1"/>
      </w:pPr>
      <w:r>
        <w:rPr>
          <w:rStyle w:val="Strong"/>
          <w:rFonts w:ascii="Source Sans Pro" w:hAnsi="Source Sans Pro"/>
          <w:color w:val="1B1B1B"/>
          <w:sz w:val="26"/>
          <w:szCs w:val="26"/>
        </w:rPr>
        <w:t>Operational Overtime</w:t>
      </w:r>
    </w:p>
    <w:p w:rsidR="00F53199" w:rsidP="0014291D" w14:paraId="412EC5D3" w14:textId="674A7821">
      <w:pPr>
        <w:rPr>
          <w:rFonts w:ascii="Source Sans Pro" w:hAnsi="Source Sans Pro"/>
          <w:color w:val="1B1B1B"/>
          <w:sz w:val="26"/>
          <w:szCs w:val="26"/>
          <w:shd w:val="clear" w:color="auto" w:fill="FFFFFF"/>
        </w:rPr>
      </w:pPr>
      <w:r>
        <w:rPr>
          <w:rFonts w:ascii="Source Sans Pro" w:hAnsi="Source Sans Pro"/>
          <w:color w:val="1B1B1B"/>
          <w:sz w:val="26"/>
          <w:szCs w:val="26"/>
          <w:shd w:val="clear" w:color="auto" w:fill="FFFFFF"/>
        </w:rPr>
        <w:t>In support of efforts to enhance capabilities for detecting, deterring, disrupting, and preventing acts of terrorism and other catastrophic events, </w:t>
      </w:r>
      <w:r>
        <w:rPr>
          <w:rStyle w:val="Strong"/>
          <w:rFonts w:ascii="Source Sans Pro" w:hAnsi="Source Sans Pro"/>
          <w:color w:val="1B1B1B"/>
          <w:sz w:val="26"/>
          <w:szCs w:val="26"/>
          <w:shd w:val="clear" w:color="auto" w:fill="FFFFFF"/>
        </w:rPr>
        <w:t>operational overtime costs are allowable</w:t>
      </w:r>
      <w:r>
        <w:rPr>
          <w:rFonts w:ascii="Source Sans Pro" w:hAnsi="Source Sans Pro"/>
          <w:color w:val="1B1B1B"/>
          <w:sz w:val="26"/>
          <w:szCs w:val="26"/>
          <w:shd w:val="clear" w:color="auto" w:fill="FFFFFF"/>
        </w:rPr>
        <w:t> for increased protective security measures at critical infrastructure sites or other high-risk locations and to enhance public safety during mass gatherings and high-profile events.</w:t>
      </w:r>
    </w:p>
    <w:p w:rsidR="00F53199" w:rsidP="00152E6A" w14:paraId="69CA6DE5" w14:textId="0133965B">
      <w:pPr>
        <w:rPr>
          <w:rFonts w:ascii="Source Sans Pro" w:hAnsi="Source Sans Pro"/>
          <w:color w:val="1B1B1B"/>
          <w:sz w:val="26"/>
          <w:szCs w:val="26"/>
          <w:shd w:val="clear" w:color="auto" w:fill="FFFFFF"/>
        </w:rPr>
      </w:pPr>
    </w:p>
    <w:p w:rsidR="00F53199" w:rsidP="00F53199" w14:paraId="29F3043D" w14:textId="713E5559">
      <w:pPr>
        <w:pStyle w:val="NormalWeb"/>
        <w:shd w:val="clear" w:color="auto" w:fill="FFFFFF"/>
        <w:spacing w:before="0" w:beforeAutospacing="0" w:after="300" w:afterAutospacing="0"/>
        <w:rPr>
          <w:rFonts w:ascii="Source Sans Pro" w:hAnsi="Source Sans Pro"/>
          <w:color w:val="1B1B1B"/>
          <w:sz w:val="26"/>
          <w:szCs w:val="26"/>
        </w:rPr>
      </w:pPr>
      <w:r>
        <w:rPr>
          <w:rFonts w:ascii="Source Sans Pro" w:hAnsi="Source Sans Pro"/>
          <w:color w:val="1B1B1B"/>
          <w:sz w:val="26"/>
          <w:szCs w:val="26"/>
        </w:rPr>
        <w:t>Operational overtime costs are allowed under this program. Prior to use of funds for operational overtime, recipients must receive approval from DHS/FEMA. Operational overtime costs are also subject to the 50% personnel cap. For more information on the 50% personnel cap, please see FEMA </w:t>
      </w:r>
      <w:hyperlink r:id="rId4" w:history="1">
        <w:r>
          <w:rPr>
            <w:rStyle w:val="Hyperlink"/>
            <w:rFonts w:ascii="Source Sans Pro" w:hAnsi="Source Sans Pro"/>
            <w:color w:val="005288"/>
            <w:sz w:val="26"/>
            <w:szCs w:val="26"/>
          </w:rPr>
          <w:t>IB 421b</w:t>
        </w:r>
      </w:hyperlink>
      <w:r>
        <w:rPr>
          <w:rFonts w:ascii="Source Sans Pro" w:hAnsi="Source Sans Pro"/>
          <w:color w:val="1B1B1B"/>
          <w:sz w:val="26"/>
          <w:szCs w:val="26"/>
        </w:rPr>
        <w:t xml:space="preserve">. </w:t>
      </w:r>
    </w:p>
    <w:p w:rsidR="00F53199" w:rsidP="00134AA2" w14:paraId="6AF659DF" w14:textId="77777777">
      <w:pPr>
        <w:pStyle w:val="Heading1"/>
      </w:pPr>
      <w:r>
        <w:rPr>
          <w:rStyle w:val="Strong"/>
          <w:rFonts w:ascii="Source Sans Pro" w:hAnsi="Source Sans Pro"/>
          <w:color w:val="1B1B1B"/>
          <w:sz w:val="26"/>
          <w:szCs w:val="26"/>
        </w:rPr>
        <w:t>Operational Overtime Costs for SHSP and UASI</w:t>
      </w:r>
    </w:p>
    <w:p w:rsidR="00C92DFE" w:rsidRPr="00134AA2" w:rsidP="00134AA2" w14:paraId="4E8D1CB4" w14:textId="77777777">
      <w:pPr>
        <w:pStyle w:val="BodyText"/>
        <w:spacing w:line="240" w:lineRule="auto"/>
      </w:pPr>
      <w:r w:rsidRPr="00134AA2">
        <w:t xml:space="preserve">In support of efforts to enhance capabilities for detecting, deterring, disrupting, and preventing acts of terrorism and other catastrophic events, operational overtime costs are allowable for increased protective security measures at critical infrastructure sites or other high-risk locations and to enhance public safety during mass gatherings and high-profile events. In that regard, HSGP recipients are urged to consider using grant funding to support soft target preparedness activities. SHSP or UASI funds may be used to support select operational expenses associated with increased security measures in the authorized categories cited in the table below, but this table is not exhaustive. FEMA retains the discretion to approve other types of requests that do not fit within one of the categories of the table. </w:t>
      </w:r>
    </w:p>
    <w:p w:rsidR="00C92DFE" w:rsidP="00C92DFE" w14:paraId="16930D9E" w14:textId="77777777">
      <w:pPr>
        <w:pStyle w:val="Caption"/>
      </w:pPr>
      <w:r>
        <w:t xml:space="preserve">Table </w:t>
      </w:r>
      <w:r>
        <w:rPr>
          <w:i/>
          <w:iCs/>
        </w:rPr>
        <w:fldChar w:fldCharType="begin"/>
      </w:r>
      <w:r>
        <w:rPr>
          <w:noProof/>
        </w:rPr>
        <w:instrText xml:space="preserve"> SEQ Table \* ARABIC </w:instrText>
      </w:r>
      <w:r>
        <w:rPr>
          <w:i/>
          <w:iCs/>
        </w:rPr>
        <w:fldChar w:fldCharType="separate"/>
      </w:r>
      <w:r>
        <w:rPr>
          <w:noProof/>
        </w:rPr>
        <w:t>2</w:t>
      </w:r>
      <w:r>
        <w:rPr>
          <w:i/>
          <w:iCs/>
        </w:rPr>
        <w:fldChar w:fldCharType="end"/>
      </w:r>
      <w:r>
        <w:t xml:space="preserve"> - </w:t>
      </w:r>
      <w:r w:rsidRPr="00DC135A">
        <w:t>Authorized Operational Overtime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tblPr>
      <w:tblGrid>
        <w:gridCol w:w="512"/>
        <w:gridCol w:w="2622"/>
        <w:gridCol w:w="6456"/>
      </w:tblGrid>
      <w:tr w14:paraId="3888F1B7" w14:textId="77777777" w:rsidTr="00B076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tblPrEx>
        <w:trPr>
          <w:trHeight w:val="242"/>
          <w:tblHeader/>
        </w:trPr>
        <w:tc>
          <w:tcPr>
            <w:tcW w:w="267" w:type="pct"/>
            <w:shd w:val="clear" w:color="auto" w:fill="B8CCE4" w:themeFill="accent1" w:themeFillTint="66"/>
            <w:vAlign w:val="center"/>
          </w:tcPr>
          <w:p w:rsidR="00C92DFE" w:rsidRPr="00912F02" w:rsidP="00B076CA" w14:paraId="227E3347" w14:textId="77777777">
            <w:pPr>
              <w:pStyle w:val="FEMATableHeading"/>
              <w:spacing w:before="96" w:after="96"/>
            </w:pPr>
          </w:p>
        </w:tc>
        <w:tc>
          <w:tcPr>
            <w:tcW w:w="1367" w:type="pct"/>
            <w:shd w:val="clear" w:color="auto" w:fill="B8CCE4" w:themeFill="accent1" w:themeFillTint="66"/>
            <w:vAlign w:val="center"/>
          </w:tcPr>
          <w:p w:rsidR="00C92DFE" w:rsidRPr="00912F02" w:rsidP="00B076CA" w14:paraId="5E81EC34" w14:textId="77777777">
            <w:pPr>
              <w:pStyle w:val="FEMATableHeading"/>
              <w:spacing w:before="96" w:after="96"/>
              <w:rPr>
                <w:b/>
                <w:color w:val="FFFFFF" w:themeColor="background1"/>
                <w:szCs w:val="22"/>
              </w:rPr>
            </w:pPr>
            <w:r w:rsidRPr="00912F02">
              <w:t>Category</w:t>
            </w:r>
          </w:p>
        </w:tc>
        <w:tc>
          <w:tcPr>
            <w:tcW w:w="3366" w:type="pct"/>
            <w:shd w:val="clear" w:color="auto" w:fill="B8CCE4" w:themeFill="accent1" w:themeFillTint="66"/>
            <w:vAlign w:val="center"/>
          </w:tcPr>
          <w:p w:rsidR="00C92DFE" w:rsidRPr="00912F02" w:rsidP="00B076CA" w14:paraId="394F76AF" w14:textId="77777777">
            <w:pPr>
              <w:pStyle w:val="FEMATableHeading"/>
              <w:spacing w:before="96" w:after="96"/>
              <w:rPr>
                <w:b/>
                <w:color w:val="FFFFFF" w:themeColor="background1"/>
                <w:szCs w:val="22"/>
              </w:rPr>
            </w:pPr>
            <w:r w:rsidRPr="00912F02">
              <w:t>Description</w:t>
            </w:r>
          </w:p>
        </w:tc>
      </w:tr>
      <w:tr w14:paraId="4E094995" w14:textId="77777777" w:rsidTr="00B076CA">
        <w:tblPrEx>
          <w:tblW w:w="5000" w:type="pct"/>
          <w:tblLayout w:type="fixed"/>
          <w:tblCellMar>
            <w:top w:w="43" w:type="dxa"/>
            <w:left w:w="115" w:type="dxa"/>
            <w:bottom w:w="43" w:type="dxa"/>
            <w:right w:w="115" w:type="dxa"/>
          </w:tblCellMar>
          <w:tblLook w:val="04A0"/>
        </w:tblPrEx>
        <w:trPr>
          <w:trHeight w:val="692"/>
        </w:trPr>
        <w:tc>
          <w:tcPr>
            <w:tcW w:w="267" w:type="pct"/>
            <w:vAlign w:val="center"/>
          </w:tcPr>
          <w:p w:rsidR="00C92DFE" w:rsidRPr="00832940" w:rsidP="00B076CA" w14:paraId="78ADC0A9" w14:textId="77777777">
            <w:pPr>
              <w:pStyle w:val="FEMATableText"/>
              <w:spacing w:before="96" w:after="96"/>
              <w:rPr>
                <w:b/>
              </w:rPr>
            </w:pPr>
            <w:r w:rsidRPr="00832940">
              <w:rPr>
                <w:b/>
              </w:rPr>
              <w:t>1</w:t>
            </w:r>
          </w:p>
        </w:tc>
        <w:tc>
          <w:tcPr>
            <w:tcW w:w="1367" w:type="pct"/>
            <w:vAlign w:val="center"/>
          </w:tcPr>
          <w:p w:rsidR="00C92DFE" w:rsidRPr="000115E1" w:rsidP="00B076CA" w14:paraId="3CC502AA" w14:textId="77777777">
            <w:pPr>
              <w:pStyle w:val="FEMATableText"/>
              <w:spacing w:before="96" w:after="96"/>
            </w:pPr>
            <w:r w:rsidRPr="00645AEF">
              <w:t>National Terrorism Advisory System (NTAS)</w:t>
            </w:r>
            <w:r w:rsidRPr="009A482B">
              <w:t xml:space="preserve"> </w:t>
            </w:r>
          </w:p>
        </w:tc>
        <w:tc>
          <w:tcPr>
            <w:tcW w:w="3366" w:type="pct"/>
          </w:tcPr>
          <w:p w:rsidR="00C92DFE" w:rsidRPr="000115E1" w:rsidP="00B076CA" w14:paraId="6D04038E" w14:textId="77777777">
            <w:pPr>
              <w:pStyle w:val="FEMATableText"/>
              <w:spacing w:before="96" w:after="96"/>
            </w:pPr>
            <w:r w:rsidRPr="00645AEF">
              <w:t xml:space="preserve">Security measures in response to an </w:t>
            </w:r>
            <w:r w:rsidRPr="009A482B">
              <w:t>increase in the threat level</w:t>
            </w:r>
            <w:r w:rsidRPr="000115E1">
              <w:t xml:space="preserve"> under the NTAS to an “elevated” or “imminent” alert status. FEMA Information Bulletin No. 367, </w:t>
            </w:r>
            <w:hyperlink r:id="rId5" w:history="1">
              <w:r w:rsidRPr="009A482B">
                <w:rPr>
                  <w:rStyle w:val="Hyperlink"/>
                  <w:color w:val="auto"/>
                  <w:u w:val="none"/>
                </w:rPr>
                <w:t>Impact of National Terrorism Advisory System on Homeland Security Grant Programs</w:t>
              </w:r>
            </w:hyperlink>
            <w:r w:rsidRPr="000115E1">
              <w:t xml:space="preserve">, remains applicable; therefore, advance authorization from FEMA is not required. Refer </w:t>
            </w:r>
            <w:r w:rsidRPr="000115E1">
              <w:t xml:space="preserve">to </w:t>
            </w:r>
            <w:hyperlink r:id="rId6" w:history="1">
              <w:r w:rsidRPr="009A482B">
                <w:rPr>
                  <w:rStyle w:val="Hyperlink"/>
                  <w:color w:val="auto"/>
                  <w:u w:val="none"/>
                </w:rPr>
                <w:t>National Terrorism Advisory System | Homeland Security (dhs.gov)</w:t>
              </w:r>
            </w:hyperlink>
            <w:r w:rsidRPr="000115E1">
              <w:t xml:space="preserve"> for additional information on the NTAS.</w:t>
            </w:r>
          </w:p>
        </w:tc>
      </w:tr>
      <w:tr w14:paraId="758FE22F" w14:textId="77777777" w:rsidTr="00B076CA">
        <w:tblPrEx>
          <w:tblW w:w="5000" w:type="pct"/>
          <w:tblLayout w:type="fixed"/>
          <w:tblCellMar>
            <w:top w:w="43" w:type="dxa"/>
            <w:left w:w="115" w:type="dxa"/>
            <w:bottom w:w="43" w:type="dxa"/>
            <w:right w:w="115" w:type="dxa"/>
          </w:tblCellMar>
          <w:tblLook w:val="04A0"/>
        </w:tblPrEx>
        <w:trPr>
          <w:trHeight w:val="512"/>
        </w:trPr>
        <w:tc>
          <w:tcPr>
            <w:tcW w:w="267" w:type="pct"/>
            <w:vAlign w:val="center"/>
          </w:tcPr>
          <w:p w:rsidR="00C92DFE" w:rsidRPr="00832940" w:rsidP="00B076CA" w14:paraId="5558C1A7" w14:textId="77777777">
            <w:pPr>
              <w:pStyle w:val="FEMATableText"/>
              <w:spacing w:before="96" w:after="96"/>
              <w:rPr>
                <w:b/>
              </w:rPr>
            </w:pPr>
            <w:r w:rsidRPr="00832940">
              <w:rPr>
                <w:b/>
              </w:rPr>
              <w:t>2</w:t>
            </w:r>
          </w:p>
        </w:tc>
        <w:tc>
          <w:tcPr>
            <w:tcW w:w="1367" w:type="pct"/>
            <w:vAlign w:val="center"/>
          </w:tcPr>
          <w:p w:rsidR="00C92DFE" w:rsidRPr="009A482B" w:rsidP="00B076CA" w14:paraId="490A0C6B" w14:textId="77777777">
            <w:pPr>
              <w:pStyle w:val="FEMATableText"/>
              <w:spacing w:before="96" w:after="96"/>
            </w:pPr>
            <w:r w:rsidRPr="00645AEF">
              <w:t xml:space="preserve">National Security Special Event (NSSE) </w:t>
            </w:r>
          </w:p>
        </w:tc>
        <w:tc>
          <w:tcPr>
            <w:tcW w:w="3366" w:type="pct"/>
          </w:tcPr>
          <w:p w:rsidR="00C92DFE" w:rsidRPr="000115E1" w:rsidP="00B076CA" w14:paraId="218B3C2A" w14:textId="77777777">
            <w:pPr>
              <w:pStyle w:val="FEMATableText"/>
              <w:spacing w:before="96" w:after="96"/>
            </w:pPr>
            <w:r w:rsidRPr="00645AEF">
              <w:t xml:space="preserve">Security measures for a </w:t>
            </w:r>
            <w:r w:rsidRPr="009A482B">
              <w:t>designated</w:t>
            </w:r>
            <w:r w:rsidRPr="000115E1">
              <w:t xml:space="preserve"> NSSE. NSSEs are events of national or international significance deemed by DHS to be a potential target for terrorism or other criminal activity.</w:t>
            </w:r>
          </w:p>
        </w:tc>
      </w:tr>
      <w:tr w14:paraId="3794A033" w14:textId="77777777" w:rsidTr="00B076CA">
        <w:tblPrEx>
          <w:tblW w:w="5000" w:type="pct"/>
          <w:tblLayout w:type="fixed"/>
          <w:tblCellMar>
            <w:top w:w="43" w:type="dxa"/>
            <w:left w:w="115" w:type="dxa"/>
            <w:bottom w:w="43" w:type="dxa"/>
            <w:right w:w="115" w:type="dxa"/>
          </w:tblCellMar>
          <w:tblLook w:val="04A0"/>
        </w:tblPrEx>
        <w:tc>
          <w:tcPr>
            <w:tcW w:w="267" w:type="pct"/>
            <w:vAlign w:val="center"/>
          </w:tcPr>
          <w:p w:rsidR="00C92DFE" w:rsidRPr="00832940" w:rsidP="00B076CA" w14:paraId="2BE5177E" w14:textId="77777777">
            <w:pPr>
              <w:pStyle w:val="FEMATableText"/>
              <w:spacing w:before="96" w:after="96"/>
              <w:rPr>
                <w:b/>
              </w:rPr>
            </w:pPr>
            <w:r w:rsidRPr="00832940">
              <w:rPr>
                <w:b/>
              </w:rPr>
              <w:t>3</w:t>
            </w:r>
          </w:p>
        </w:tc>
        <w:tc>
          <w:tcPr>
            <w:tcW w:w="1367" w:type="pct"/>
            <w:vAlign w:val="center"/>
          </w:tcPr>
          <w:p w:rsidR="00C92DFE" w:rsidRPr="000115E1" w:rsidP="00B076CA" w14:paraId="0EC2FE57" w14:textId="77777777">
            <w:pPr>
              <w:pStyle w:val="FEMATableText"/>
              <w:spacing w:before="96" w:after="96"/>
            </w:pPr>
            <w:r w:rsidRPr="00645AEF">
              <w:t>Special Event Assessment Rating (SEAR) Level 1 through Level 4 Events</w:t>
            </w:r>
          </w:p>
        </w:tc>
        <w:tc>
          <w:tcPr>
            <w:tcW w:w="3366" w:type="pct"/>
          </w:tcPr>
          <w:p w:rsidR="00C92DFE" w:rsidRPr="000115E1" w:rsidP="00B076CA" w14:paraId="69A4009B" w14:textId="77777777">
            <w:pPr>
              <w:pStyle w:val="FEMATableText"/>
              <w:spacing w:before="96" w:after="96"/>
            </w:pPr>
            <w:r w:rsidRPr="00645AEF">
              <w:t xml:space="preserve">Security measures required for </w:t>
            </w:r>
            <w:r w:rsidRPr="000115E1">
              <w:t>SEAR Level 1 through Level 4 events as designated by DHS and included in the DHS National Special Events List, as defined below:</w:t>
            </w:r>
          </w:p>
          <w:p w:rsidR="00C92DFE" w:rsidRPr="00645AEF" w:rsidP="00B076CA" w14:paraId="53B83291" w14:textId="77777777">
            <w:pPr>
              <w:pStyle w:val="FEMATableText"/>
              <w:spacing w:before="96" w:after="96"/>
            </w:pPr>
            <w:r w:rsidRPr="00645AEF">
              <w:t>SEAR 1: A significant event with national and/or international importance that may require extensive federal interagency support.</w:t>
            </w:r>
          </w:p>
          <w:p w:rsidR="00C92DFE" w:rsidRPr="00645AEF" w:rsidP="00B076CA" w14:paraId="5C78D2F8" w14:textId="77777777">
            <w:pPr>
              <w:pStyle w:val="FEMATableText"/>
              <w:spacing w:before="96" w:after="96"/>
            </w:pPr>
            <w:r w:rsidRPr="00645AEF">
              <w:t>SEAR 2: A significant event with national and/or international importance that may require some level of federal interagency support.</w:t>
            </w:r>
          </w:p>
          <w:p w:rsidR="00C92DFE" w:rsidRPr="00645AEF" w:rsidP="00B076CA" w14:paraId="22425C52" w14:textId="77777777">
            <w:pPr>
              <w:pStyle w:val="FEMATableText"/>
              <w:spacing w:before="96" w:after="96"/>
            </w:pPr>
            <w:r w:rsidRPr="00645AEF">
              <w:t>SEAR 3: An event of national and/or international importance that requires only limited federal support.</w:t>
            </w:r>
          </w:p>
          <w:p w:rsidR="00C92DFE" w:rsidRPr="00645AEF" w:rsidP="00B076CA" w14:paraId="66DC82AA" w14:textId="77777777">
            <w:pPr>
              <w:pStyle w:val="FEMATableText"/>
              <w:spacing w:before="96" w:after="96"/>
            </w:pPr>
            <w:r w:rsidRPr="00645AEF">
              <w:t xml:space="preserve">SEAR 4: An event with limited national importance that is managed at state and local level. </w:t>
            </w:r>
          </w:p>
          <w:p w:rsidR="00C92DFE" w:rsidRPr="009A482B" w:rsidP="00B076CA" w14:paraId="348D9B89" w14:textId="77777777">
            <w:pPr>
              <w:pStyle w:val="FEMATableText"/>
              <w:spacing w:before="96" w:after="96"/>
            </w:pPr>
            <w:r w:rsidRPr="00645AEF">
              <w:t>NOTE: In cases where a threat of terrorism can be associated with a SEAR Level 5 event, the event planners should coordinate with their state or territory Homeland Security Advi</w:t>
            </w:r>
            <w:r w:rsidRPr="000115E1">
              <w:t>sor to seek re-adjudication of the SEAR rating. Operational overtime for security measures associated with such events will be considered for approval by FEMA if re-adjudication results in a SEAR 1 through 4 rating.</w:t>
            </w:r>
          </w:p>
        </w:tc>
      </w:tr>
      <w:tr w14:paraId="29AF0440" w14:textId="77777777" w:rsidTr="00B076CA">
        <w:tblPrEx>
          <w:tblW w:w="5000" w:type="pct"/>
          <w:tblLayout w:type="fixed"/>
          <w:tblCellMar>
            <w:top w:w="43" w:type="dxa"/>
            <w:left w:w="115" w:type="dxa"/>
            <w:bottom w:w="43" w:type="dxa"/>
            <w:right w:w="115" w:type="dxa"/>
          </w:tblCellMar>
          <w:tblLook w:val="04A0"/>
        </w:tblPrEx>
        <w:tc>
          <w:tcPr>
            <w:tcW w:w="267" w:type="pct"/>
            <w:vAlign w:val="center"/>
          </w:tcPr>
          <w:p w:rsidR="00C92DFE" w:rsidRPr="00832940" w:rsidP="00B076CA" w14:paraId="5BD29EAA" w14:textId="77777777">
            <w:pPr>
              <w:pStyle w:val="FEMATableText"/>
              <w:spacing w:before="96" w:after="96"/>
              <w:rPr>
                <w:b/>
              </w:rPr>
            </w:pPr>
            <w:r w:rsidRPr="00832940">
              <w:rPr>
                <w:b/>
              </w:rPr>
              <w:t>4</w:t>
            </w:r>
          </w:p>
        </w:tc>
        <w:tc>
          <w:tcPr>
            <w:tcW w:w="1367" w:type="pct"/>
            <w:vAlign w:val="center"/>
          </w:tcPr>
          <w:p w:rsidR="00C92DFE" w:rsidRPr="000115E1" w:rsidP="00B076CA" w14:paraId="3A1DCD4E" w14:textId="77777777">
            <w:pPr>
              <w:pStyle w:val="FEMATableText"/>
              <w:spacing w:before="96" w:after="96"/>
            </w:pPr>
            <w:r w:rsidRPr="00645AEF">
              <w:t>States of Emergency</w:t>
            </w:r>
            <w:r w:rsidRPr="000115E1">
              <w:t xml:space="preserve"> </w:t>
            </w:r>
          </w:p>
        </w:tc>
        <w:tc>
          <w:tcPr>
            <w:tcW w:w="3366" w:type="pct"/>
          </w:tcPr>
          <w:p w:rsidR="00C92DFE" w:rsidRPr="009A482B" w:rsidP="00B076CA" w14:paraId="2459F23E" w14:textId="77777777">
            <w:pPr>
              <w:pStyle w:val="FEMATableText"/>
              <w:spacing w:before="96" w:after="96"/>
            </w:pPr>
            <w:r w:rsidRPr="00645AEF">
              <w:t xml:space="preserve">Declarations of states of emergency by the Governor </w:t>
            </w:r>
            <w:r w:rsidRPr="009A482B">
              <w:t>associated with a terrorism-related threat or incident</w:t>
            </w:r>
            <w:r w:rsidRPr="000115E1">
              <w:t>. This excludes Presidentially declared major disasters or emergencies where federal funding support for the proposed grant-funded activity is made available through the FEMA Public Assistance program or other federal disaster grants.</w:t>
            </w:r>
          </w:p>
        </w:tc>
      </w:tr>
      <w:tr w14:paraId="4A54E0CF" w14:textId="77777777" w:rsidTr="00B076CA">
        <w:tblPrEx>
          <w:tblW w:w="5000" w:type="pct"/>
          <w:tblLayout w:type="fixed"/>
          <w:tblCellMar>
            <w:top w:w="43" w:type="dxa"/>
            <w:left w:w="115" w:type="dxa"/>
            <w:bottom w:w="43" w:type="dxa"/>
            <w:right w:w="115" w:type="dxa"/>
          </w:tblCellMar>
          <w:tblLook w:val="04A0"/>
        </w:tblPrEx>
        <w:tc>
          <w:tcPr>
            <w:tcW w:w="267" w:type="pct"/>
            <w:vAlign w:val="center"/>
          </w:tcPr>
          <w:p w:rsidR="00C92DFE" w:rsidRPr="00832940" w:rsidP="00B076CA" w14:paraId="3A42C8EB" w14:textId="77777777">
            <w:pPr>
              <w:pStyle w:val="FEMATableText"/>
              <w:spacing w:before="96" w:after="96"/>
              <w:rPr>
                <w:b/>
              </w:rPr>
            </w:pPr>
            <w:r w:rsidRPr="00832940">
              <w:rPr>
                <w:b/>
              </w:rPr>
              <w:t>5</w:t>
            </w:r>
          </w:p>
        </w:tc>
        <w:tc>
          <w:tcPr>
            <w:tcW w:w="1367" w:type="pct"/>
            <w:vAlign w:val="center"/>
          </w:tcPr>
          <w:p w:rsidR="00C92DFE" w:rsidRPr="009A482B" w:rsidP="00B076CA" w14:paraId="2F22A5A8" w14:textId="77777777">
            <w:pPr>
              <w:pStyle w:val="FEMATableText"/>
              <w:spacing w:before="96" w:after="96"/>
            </w:pPr>
            <w:r w:rsidRPr="00645AEF">
              <w:t xml:space="preserve">National Critical Infrastructure Prioritization Program (NCIPP) </w:t>
            </w:r>
          </w:p>
        </w:tc>
        <w:tc>
          <w:tcPr>
            <w:tcW w:w="3366" w:type="pct"/>
          </w:tcPr>
          <w:p w:rsidR="00C92DFE" w:rsidRPr="009A482B" w:rsidP="00B076CA" w14:paraId="5F39E00B" w14:textId="77777777">
            <w:pPr>
              <w:pStyle w:val="FEMATableText"/>
              <w:spacing w:before="96" w:after="96"/>
            </w:pPr>
            <w:r w:rsidRPr="00645AEF">
              <w:t xml:space="preserve">Protection of Level 1 and Level 2 facilities identified through DHS’s NCIPP </w:t>
            </w:r>
            <w:r w:rsidRPr="009A482B">
              <w:t xml:space="preserve">based on a terrorism-related threat </w:t>
            </w:r>
            <w:r w:rsidRPr="000115E1">
              <w:t>to critical infrastructure.</w:t>
            </w:r>
          </w:p>
        </w:tc>
      </w:tr>
      <w:tr w14:paraId="41991635" w14:textId="77777777" w:rsidTr="00B076CA">
        <w:tblPrEx>
          <w:tblW w:w="5000" w:type="pct"/>
          <w:tblLayout w:type="fixed"/>
          <w:tblCellMar>
            <w:top w:w="43" w:type="dxa"/>
            <w:left w:w="115" w:type="dxa"/>
            <w:bottom w:w="43" w:type="dxa"/>
            <w:right w:w="115" w:type="dxa"/>
          </w:tblCellMar>
          <w:tblLook w:val="04A0"/>
        </w:tblPrEx>
        <w:tc>
          <w:tcPr>
            <w:tcW w:w="267" w:type="pct"/>
            <w:vAlign w:val="center"/>
          </w:tcPr>
          <w:p w:rsidR="00C92DFE" w:rsidRPr="00832940" w:rsidP="00B076CA" w14:paraId="354144BC" w14:textId="77777777">
            <w:pPr>
              <w:pStyle w:val="FEMATableText"/>
              <w:spacing w:before="96" w:after="96"/>
              <w:rPr>
                <w:b/>
              </w:rPr>
            </w:pPr>
            <w:r w:rsidRPr="00832940">
              <w:rPr>
                <w:b/>
              </w:rPr>
              <w:t>6</w:t>
            </w:r>
          </w:p>
        </w:tc>
        <w:tc>
          <w:tcPr>
            <w:tcW w:w="1367" w:type="pct"/>
            <w:vAlign w:val="center"/>
          </w:tcPr>
          <w:p w:rsidR="00C92DFE" w:rsidRPr="000115E1" w:rsidP="00B076CA" w14:paraId="23F6AA7A" w14:textId="77777777">
            <w:pPr>
              <w:pStyle w:val="FEMATableText"/>
              <w:spacing w:before="96" w:after="96"/>
            </w:pPr>
            <w:r w:rsidRPr="00645AEF">
              <w:t>Directed Transit Patrols</w:t>
            </w:r>
            <w:r w:rsidRPr="000115E1">
              <w:t xml:space="preserve"> </w:t>
            </w:r>
          </w:p>
        </w:tc>
        <w:tc>
          <w:tcPr>
            <w:tcW w:w="3366" w:type="pct"/>
          </w:tcPr>
          <w:p w:rsidR="00C92DFE" w:rsidRPr="009A482B" w:rsidP="00B076CA" w14:paraId="48F6DD6A" w14:textId="77777777">
            <w:pPr>
              <w:pStyle w:val="FEMATableText"/>
              <w:spacing w:before="96" w:after="96"/>
            </w:pPr>
            <w:r w:rsidRPr="00645AEF">
              <w:t xml:space="preserve">Targeted security patrols in airports and major transit hubs </w:t>
            </w:r>
            <w:r w:rsidRPr="009A482B">
              <w:t>based on a terrorism-related threat</w:t>
            </w:r>
            <w:r w:rsidRPr="000115E1">
              <w:t xml:space="preserve"> to transportation systems.</w:t>
            </w:r>
          </w:p>
        </w:tc>
      </w:tr>
      <w:tr w14:paraId="4265C575" w14:textId="77777777" w:rsidTr="00B076CA">
        <w:tblPrEx>
          <w:tblW w:w="5000" w:type="pct"/>
          <w:tblLayout w:type="fixed"/>
          <w:tblCellMar>
            <w:top w:w="43" w:type="dxa"/>
            <w:left w:w="115" w:type="dxa"/>
            <w:bottom w:w="43" w:type="dxa"/>
            <w:right w:w="115" w:type="dxa"/>
          </w:tblCellMar>
          <w:tblLook w:val="04A0"/>
        </w:tblPrEx>
        <w:trPr>
          <w:trHeight w:val="649"/>
        </w:trPr>
        <w:tc>
          <w:tcPr>
            <w:tcW w:w="267" w:type="pct"/>
            <w:vAlign w:val="center"/>
          </w:tcPr>
          <w:p w:rsidR="00C92DFE" w:rsidRPr="00832940" w:rsidP="00B076CA" w14:paraId="28F5BBE8" w14:textId="77777777">
            <w:pPr>
              <w:pStyle w:val="FEMATableText"/>
              <w:spacing w:before="96" w:after="96"/>
              <w:rPr>
                <w:b/>
              </w:rPr>
            </w:pPr>
            <w:r w:rsidRPr="00832940">
              <w:rPr>
                <w:b/>
              </w:rPr>
              <w:t>7</w:t>
            </w:r>
          </w:p>
        </w:tc>
        <w:tc>
          <w:tcPr>
            <w:tcW w:w="1367" w:type="pct"/>
            <w:vAlign w:val="center"/>
          </w:tcPr>
          <w:p w:rsidR="00C92DFE" w:rsidRPr="00546E98" w:rsidP="00B076CA" w14:paraId="76368626" w14:textId="77777777">
            <w:pPr>
              <w:pStyle w:val="FEMATableText"/>
              <w:spacing w:before="96" w:after="96"/>
            </w:pPr>
            <w:r w:rsidRPr="00645AEF">
              <w:t>Other Related Personnel Overtime Costs</w:t>
            </w:r>
          </w:p>
        </w:tc>
        <w:tc>
          <w:tcPr>
            <w:tcW w:w="3366" w:type="pct"/>
          </w:tcPr>
          <w:p w:rsidR="00C92DFE" w:rsidRPr="000115E1" w:rsidP="00B076CA" w14:paraId="24C55BF6" w14:textId="77777777">
            <w:pPr>
              <w:pStyle w:val="FEMATableText"/>
              <w:spacing w:before="96" w:after="96"/>
            </w:pPr>
            <w:r w:rsidRPr="00645AEF">
              <w:t xml:space="preserve">Overtime costs may be authorized for personnel assigned to directly support any of the security activities relating to the categories above. Examples include firefighters and emergency </w:t>
            </w:r>
            <w:r w:rsidRPr="00645AEF">
              <w:t>medical services personnel; public works employees who may be responsib</w:t>
            </w:r>
            <w:r w:rsidRPr="000115E1">
              <w:t xml:space="preserve">le for installing protective barriers and fencing; public safety personnel assigned to assist with event access and crowd control; emergency communications specialists; backfill and overtime for staffing state or major urban area fusion centers; state Active Duty National Guard deployments to protect critical infrastructure sites, including all resources that are part of the standard National Guard deployment package (note: consumable costs, such as fuel expenses, are not allowed except as part of the standard National Guard deployment package); contract security services for critical infrastructure sites; participation in Regional Resiliency Assessment Program activities, increased border security activities in coordination with USBP, etc. </w:t>
            </w:r>
          </w:p>
        </w:tc>
      </w:tr>
      <w:tr w14:paraId="5F020947" w14:textId="77777777" w:rsidTr="00B076CA">
        <w:tblPrEx>
          <w:tblW w:w="5000" w:type="pct"/>
          <w:tblLayout w:type="fixed"/>
          <w:tblCellMar>
            <w:top w:w="43" w:type="dxa"/>
            <w:left w:w="115" w:type="dxa"/>
            <w:bottom w:w="43" w:type="dxa"/>
            <w:right w:w="115" w:type="dxa"/>
          </w:tblCellMar>
          <w:tblLook w:val="04A0"/>
        </w:tblPrEx>
        <w:trPr>
          <w:trHeight w:val="2557"/>
        </w:trPr>
        <w:tc>
          <w:tcPr>
            <w:tcW w:w="267" w:type="pct"/>
            <w:vAlign w:val="center"/>
          </w:tcPr>
          <w:p w:rsidR="00C92DFE" w:rsidRPr="00832940" w:rsidP="00B076CA" w14:paraId="5554F238" w14:textId="77777777">
            <w:pPr>
              <w:pStyle w:val="FEMATableText"/>
              <w:spacing w:before="96" w:after="96"/>
              <w:rPr>
                <w:b/>
              </w:rPr>
            </w:pPr>
            <w:r w:rsidRPr="00832940">
              <w:rPr>
                <w:b/>
              </w:rPr>
              <w:t>8</w:t>
            </w:r>
          </w:p>
        </w:tc>
        <w:tc>
          <w:tcPr>
            <w:tcW w:w="1367" w:type="pct"/>
            <w:vAlign w:val="center"/>
          </w:tcPr>
          <w:p w:rsidR="00C92DFE" w:rsidRPr="00546E98" w:rsidP="00B076CA" w14:paraId="36DD2A95" w14:textId="77777777">
            <w:pPr>
              <w:pStyle w:val="FEMATableText"/>
              <w:spacing w:before="96" w:after="96"/>
            </w:pPr>
            <w:r w:rsidRPr="00645AEF">
              <w:t>Operational Support to a Federal Agency</w:t>
            </w:r>
          </w:p>
        </w:tc>
        <w:tc>
          <w:tcPr>
            <w:tcW w:w="3366" w:type="pct"/>
          </w:tcPr>
          <w:p w:rsidR="00C92DFE" w:rsidRPr="000115E1" w:rsidP="00B076CA" w14:paraId="5DB7609B" w14:textId="77777777">
            <w:pPr>
              <w:pStyle w:val="FEMATableText"/>
              <w:spacing w:before="96" w:after="96"/>
            </w:pPr>
            <w:r w:rsidRPr="00645AEF">
              <w:t>Overtime costs are allowable for personnel to participate in information, investigative, and intelligence sharing activities related to homeland security/terrorism preparedness and specifically requested by a federal</w:t>
            </w:r>
            <w:r w:rsidRPr="000115E1">
              <w:t xml:space="preserve"> agency. Allowable costs are limited to overtime associated with federally requested participation in eligible activities, including anti-terrorism task forces, Joint Terrorism Task Forces (JTTFs), Area Maritime Security Committees (as required by the </w:t>
            </w:r>
            <w:r w:rsidRPr="00546E98">
              <w:t>Maritime Transportation Security Act of 2002</w:t>
            </w:r>
            <w:r w:rsidRPr="000115E1">
              <w:t xml:space="preserve">), DHS Border Enforcement Security Task Forces, and Integrated Border Enforcement </w:t>
            </w:r>
            <w:r w:rsidRPr="00134AA2">
              <w:t>Teams.</w:t>
            </w:r>
            <w:r w:rsidRPr="000115E1">
              <w:t xml:space="preserve"> In addition, reimbursement for operational overtime law enforcement activities related to combating transnational crime organizations in support of efforts to enhance capabilities for detecting, deterring, disrupting, and preventing acts of terrorism is an allowable expense under SHSP and UASI on a case-by-case basis. Grant funding can only be used in proportion to the federal man-hour estimate and only after funding for these activities from other federal sources (i.e., FBI JTTF payments to state and local agencies) has been exhausted.</w:t>
            </w:r>
          </w:p>
        </w:tc>
      </w:tr>
    </w:tbl>
    <w:p w:rsidR="00C92DFE" w:rsidRPr="00354FC0" w:rsidP="00134AA2" w14:paraId="6C2AC301" w14:textId="77777777">
      <w:pPr>
        <w:pStyle w:val="BodyText"/>
        <w:spacing w:line="240" w:lineRule="auto"/>
      </w:pPr>
    </w:p>
    <w:p w:rsidR="00C92DFE" w:rsidRPr="00354FC0" w:rsidP="00C92DFE" w14:paraId="3F87F1E1" w14:textId="77777777">
      <w:pPr>
        <w:pStyle w:val="BodyText"/>
        <w:spacing w:line="240" w:lineRule="auto"/>
      </w:pPr>
      <w:r w:rsidRPr="00354FC0">
        <w:t xml:space="preserve">All allowable operational overtime costs are also subject to the administration requirements </w:t>
      </w:r>
      <w:r w:rsidRPr="00354FC0">
        <w:rPr>
          <w:noProof/>
        </w:rPr>
        <w:t>outlined</w:t>
      </w:r>
      <w:r w:rsidRPr="00354FC0">
        <w:t xml:space="preserve"> in the following subsection.</w:t>
      </w:r>
    </w:p>
    <w:p w:rsidR="00C92DFE" w:rsidRPr="002A4DF5" w:rsidP="00C92DFE" w14:paraId="5D570999" w14:textId="77777777">
      <w:pPr>
        <w:pStyle w:val="BodyText"/>
        <w:spacing w:line="240" w:lineRule="auto"/>
      </w:pPr>
      <w:r w:rsidRPr="00546E98">
        <w:rPr>
          <w:b/>
          <w:lang w:bidi="en-US"/>
        </w:rPr>
        <w:t>Administration</w:t>
      </w:r>
      <w:r w:rsidRPr="002A4DF5">
        <w:t xml:space="preserve"> </w:t>
      </w:r>
      <w:r w:rsidRPr="00546E98">
        <w:rPr>
          <w:b/>
          <w:lang w:bidi="en-US"/>
        </w:rPr>
        <w:t>of Operational Overtime Requests</w:t>
      </w:r>
    </w:p>
    <w:p w:rsidR="00C92DFE" w:rsidRPr="003E38F2" w:rsidP="00134AA2" w14:paraId="6F1809A5" w14:textId="77777777">
      <w:pPr>
        <w:pStyle w:val="FEMABullet-1"/>
        <w:spacing w:line="240" w:lineRule="auto"/>
        <w:rPr>
          <w:b/>
          <w:bCs/>
        </w:rPr>
      </w:pPr>
      <w:r w:rsidRPr="00291C39">
        <w:t>Except for an elevated NTAS alert, SHSP or UASI funds may only be spent for operational overtime costs upon prior written approval by FEMA</w:t>
      </w:r>
      <w:r>
        <w:t xml:space="preserve">. </w:t>
      </w:r>
      <w:r w:rsidRPr="003E38F2">
        <w:t xml:space="preserve">The SAA must submit operational overtime requests in writing to its assigned FEMA </w:t>
      </w:r>
      <w:r>
        <w:t xml:space="preserve">Preparedness Officer. </w:t>
      </w:r>
      <w:r w:rsidRPr="003E38F2">
        <w:t>FEMA will consider requests for special event activities up to one year in advance</w:t>
      </w:r>
      <w:r>
        <w:rPr>
          <w:noProof/>
        </w:rPr>
        <w:t xml:space="preserve">. </w:t>
      </w:r>
      <w:r w:rsidRPr="003E38F2">
        <w:rPr>
          <w:noProof/>
        </w:rPr>
        <w:t>However</w:t>
      </w:r>
      <w:r w:rsidRPr="003E38F2">
        <w:t xml:space="preserve"> such requests must be within the award’s current </w:t>
      </w:r>
      <w:r>
        <w:t>POP</w:t>
      </w:r>
      <w:r w:rsidRPr="003E38F2">
        <w:t xml:space="preserve"> and </w:t>
      </w:r>
      <w:r>
        <w:t xml:space="preserve">must </w:t>
      </w:r>
      <w:r w:rsidRPr="003E38F2">
        <w:t>not result in the need for a request to extend the period of performance</w:t>
      </w:r>
      <w:r>
        <w:t xml:space="preserve">. </w:t>
      </w:r>
      <w:r w:rsidRPr="003E38F2">
        <w:t>SAAs should contact the Centralized Scheduling and Information Desk (CSID) for P</w:t>
      </w:r>
      <w:r>
        <w:t>reparedness Officer</w:t>
      </w:r>
      <w:r w:rsidRPr="003E38F2">
        <w:t xml:space="preserve"> contact information</w:t>
      </w:r>
      <w:r>
        <w:t xml:space="preserve">. </w:t>
      </w:r>
      <w:r w:rsidRPr="003E38F2">
        <w:t xml:space="preserve">CSID can be reached by phone at (800) 368-6498 or by e-mail at </w:t>
      </w:r>
      <w:hyperlink r:id="rId7">
        <w:r w:rsidRPr="47FBDBEE">
          <w:rPr>
            <w:u w:val="single"/>
          </w:rPr>
          <w:t>askcsid@fema.dhs.gov</w:t>
        </w:r>
      </w:hyperlink>
      <w:r>
        <w:t xml:space="preserve">, Monday through Friday, 9a.m. </w:t>
      </w:r>
      <w:r w:rsidRPr="003E38F2">
        <w:t>– 5p.m. ET</w:t>
      </w:r>
      <w:r>
        <w:t>;</w:t>
      </w:r>
      <w:r w:rsidRPr="003E38F2">
        <w:t xml:space="preserve"> </w:t>
      </w:r>
    </w:p>
    <w:p w:rsidR="00C92DFE" w:rsidRPr="000F7EDC" w:rsidP="00134AA2" w14:paraId="083701B2" w14:textId="77777777">
      <w:pPr>
        <w:pStyle w:val="FEMABullet-1"/>
        <w:spacing w:line="240" w:lineRule="auto"/>
        <w:rPr>
          <w:b/>
          <w:bCs/>
        </w:rPr>
      </w:pPr>
      <w:r w:rsidRPr="003E38F2">
        <w:t>All operational overtime requests must clearly explain how the request meets the criteria of one or more of the categories listed in the table above</w:t>
      </w:r>
      <w:r>
        <w:t xml:space="preserve">. </w:t>
      </w:r>
      <w:r w:rsidRPr="003E38F2">
        <w:t xml:space="preserve">Requests must address the threat environment as it relates to the event or activity requiring operational overtime support and </w:t>
      </w:r>
      <w:r w:rsidRPr="003E38F2">
        <w:rPr>
          <w:noProof/>
        </w:rPr>
        <w:t>explain</w:t>
      </w:r>
      <w:r w:rsidRPr="003E38F2">
        <w:t xml:space="preserve"> how the overtime activity is responsive to the threat</w:t>
      </w:r>
      <w:r>
        <w:t xml:space="preserve">. </w:t>
      </w:r>
      <w:r w:rsidRPr="003E38F2">
        <w:t>Request letters sent to FEMA must be UNCLASSIFIED but may be labeled “For Official Use Only</w:t>
      </w:r>
      <w:r w:rsidRPr="003E38F2">
        <w:rPr>
          <w:noProof/>
        </w:rPr>
        <w:t>.”</w:t>
      </w:r>
      <w:r w:rsidRPr="003E38F2">
        <w:t xml:space="preserve"> If explaining the threat will require the sharing of</w:t>
      </w:r>
      <w:r w:rsidRPr="000F7EDC">
        <w:t xml:space="preserve"> classified information, the letter should </w:t>
      </w:r>
      <w:r>
        <w:t>state</w:t>
      </w:r>
      <w:r w:rsidRPr="000F7EDC">
        <w:t xml:space="preserve"> </w:t>
      </w:r>
      <w:r>
        <w:t xml:space="preserve">that fact. </w:t>
      </w:r>
      <w:r w:rsidRPr="000F7EDC">
        <w:t>FEMA will then plan for the sharing of classified information through official channels</w:t>
      </w:r>
      <w:r>
        <w:t>;</w:t>
      </w:r>
    </w:p>
    <w:p w:rsidR="00C92DFE" w:rsidRPr="000F7EDC" w:rsidP="00134AA2" w14:paraId="4148BBCB" w14:textId="77777777">
      <w:pPr>
        <w:pStyle w:val="FEMABullet-1"/>
        <w:spacing w:line="240" w:lineRule="auto"/>
        <w:rPr>
          <w:b/>
          <w:bCs/>
        </w:rPr>
      </w:pPr>
      <w:r w:rsidRPr="000F7EDC">
        <w:t>Post-event operational overtime requests will only be considered on a case-by-case basis, where it is demonstrated that exigent circumstances prevented submission of a request in advance of the event or activity</w:t>
      </w:r>
      <w:r>
        <w:t>;</w:t>
      </w:r>
    </w:p>
    <w:p w:rsidR="00C92DFE" w:rsidRPr="000F7EDC" w:rsidP="00134AA2" w14:paraId="1E592215" w14:textId="77777777">
      <w:pPr>
        <w:pStyle w:val="FEMABullet-1"/>
        <w:spacing w:line="240" w:lineRule="auto"/>
        <w:rPr>
          <w:b/>
          <w:bCs/>
        </w:rPr>
      </w:pPr>
      <w:r w:rsidRPr="000F7EDC">
        <w:t>Under no circumstances may</w:t>
      </w:r>
      <w:r>
        <w:t xml:space="preserve"> </w:t>
      </w:r>
      <w:r w:rsidRPr="000F7EDC">
        <w:t xml:space="preserve">FEMA grant funding be used to pay for costs already supported by funding from another </w:t>
      </w:r>
      <w:r>
        <w:t>federal</w:t>
      </w:r>
      <w:r w:rsidRPr="000F7EDC">
        <w:t xml:space="preserve"> source</w:t>
      </w:r>
      <w:r>
        <w:t>;</w:t>
      </w:r>
    </w:p>
    <w:p w:rsidR="00C92DFE" w:rsidRPr="000F7EDC" w:rsidP="00134AA2" w14:paraId="5C7D301B" w14:textId="77777777">
      <w:pPr>
        <w:pStyle w:val="FEMABullet-1"/>
        <w:spacing w:line="240" w:lineRule="auto"/>
        <w:rPr>
          <w:b/>
          <w:bCs/>
        </w:rPr>
      </w:pPr>
      <w:r>
        <w:t>State</w:t>
      </w:r>
      <w:r w:rsidRPr="000F7EDC">
        <w:t xml:space="preserve">s with UASI jurisdictions can use funds retained at the </w:t>
      </w:r>
      <w:r>
        <w:t>state</w:t>
      </w:r>
      <w:r w:rsidRPr="000F7EDC">
        <w:t xml:space="preserve"> level to reimburse eligible operational overtime expenses incurred by the </w:t>
      </w:r>
      <w:r>
        <w:t>state</w:t>
      </w:r>
      <w:r w:rsidRPr="000F7EDC">
        <w:t xml:space="preserve"> (per the above guidance limitations)</w:t>
      </w:r>
      <w:r>
        <w:t xml:space="preserve">. </w:t>
      </w:r>
      <w:r w:rsidRPr="000F7EDC">
        <w:t xml:space="preserve">Any UASI funds retained by the </w:t>
      </w:r>
      <w:r>
        <w:t>state</w:t>
      </w:r>
      <w:r w:rsidRPr="000F7EDC">
        <w:t xml:space="preserve"> must be used in direct support of the </w:t>
      </w:r>
      <w:r>
        <w:t>high-risk u</w:t>
      </w:r>
      <w:r w:rsidRPr="000F7EDC">
        <w:t xml:space="preserve">rban </w:t>
      </w:r>
      <w:r>
        <w:t>a</w:t>
      </w:r>
      <w:r w:rsidRPr="000F7EDC">
        <w:t>rea</w:t>
      </w:r>
      <w:r>
        <w:t>. State</w:t>
      </w:r>
      <w:r w:rsidRPr="000F7EDC">
        <w:t xml:space="preserve">s must provide documentation to the </w:t>
      </w:r>
      <w:r>
        <w:t>Urban Area Working Group (</w:t>
      </w:r>
      <w:r w:rsidRPr="000F7EDC">
        <w:t>UAWG</w:t>
      </w:r>
      <w:r>
        <w:t>)</w:t>
      </w:r>
      <w:r w:rsidRPr="000F7EDC">
        <w:t xml:space="preserve"> and FEMA upon request demonstrating how any UASI funds retained by </w:t>
      </w:r>
      <w:r>
        <w:t>a</w:t>
      </w:r>
      <w:r w:rsidRPr="000F7EDC">
        <w:t xml:space="preserve"> </w:t>
      </w:r>
      <w:r>
        <w:t>state</w:t>
      </w:r>
      <w:r w:rsidRPr="000F7EDC">
        <w:t xml:space="preserve"> would directly support the </w:t>
      </w:r>
      <w:r>
        <w:t>high-risk u</w:t>
      </w:r>
      <w:r w:rsidRPr="000F7EDC">
        <w:t xml:space="preserve">rban </w:t>
      </w:r>
      <w:r>
        <w:t>a</w:t>
      </w:r>
      <w:r w:rsidRPr="000F7EDC">
        <w:t>rea</w:t>
      </w:r>
      <w:r>
        <w:t>; and</w:t>
      </w:r>
    </w:p>
    <w:p w:rsidR="00C92DFE" w:rsidP="00134AA2" w14:paraId="56487E23" w14:textId="13C1635A">
      <w:pPr>
        <w:pStyle w:val="BodyText"/>
        <w:spacing w:line="240" w:lineRule="auto"/>
        <w:rPr>
          <w:rFonts w:ascii="Source Sans Pro" w:hAnsi="Source Sans Pro"/>
          <w:color w:val="1B1B1B"/>
          <w:sz w:val="26"/>
          <w:szCs w:val="26"/>
        </w:rPr>
      </w:pPr>
      <w:r w:rsidRPr="000F7EDC">
        <w:t>FEMA will consult and coordinate with appropriate DHS components as necessary to verify information used to support operational overtime requests</w:t>
      </w:r>
      <w:r>
        <w:t>.</w:t>
      </w:r>
    </w:p>
    <w:p w:rsidR="00F53199" w:rsidP="00134AA2" w14:paraId="4610944F" w14:textId="77777777">
      <w:pPr>
        <w:pStyle w:val="Heading1"/>
      </w:pPr>
      <w:r>
        <w:rPr>
          <w:rStyle w:val="Strong"/>
          <w:rFonts w:ascii="Source Sans Pro" w:hAnsi="Source Sans Pro"/>
          <w:color w:val="1B1B1B"/>
          <w:sz w:val="26"/>
          <w:szCs w:val="26"/>
        </w:rPr>
        <w:t>Operational Overtime Costs for OPSG</w:t>
      </w:r>
    </w:p>
    <w:p w:rsidR="004752C1" w:rsidRPr="00F32BA3" w:rsidP="004752C1" w14:paraId="04B4BD02" w14:textId="77777777">
      <w:pPr>
        <w:pStyle w:val="BodyText"/>
        <w:spacing w:line="240" w:lineRule="auto"/>
      </w:pPr>
      <w:r w:rsidRPr="00291C39">
        <w:t>OPSG funds should be used for operational overtime costs associated with law enforcement activities in support of border law enforcement agencies for enhanced border security.</w:t>
      </w:r>
      <w:r>
        <w:t xml:space="preserve"> </w:t>
      </w:r>
      <w:r w:rsidRPr="00F32BA3">
        <w:t xml:space="preserve">Overtime pay is for </w:t>
      </w:r>
      <w:r>
        <w:t>increased</w:t>
      </w:r>
      <w:r w:rsidRPr="00F32BA3">
        <w:t xml:space="preserve"> patrol </w:t>
      </w:r>
      <w:r>
        <w:t xml:space="preserve">time </w:t>
      </w:r>
      <w:r w:rsidRPr="00F32BA3">
        <w:t>for certified public safety officers, along with limited support for other law enforcement direct support personnel (</w:t>
      </w:r>
      <w:r>
        <w:t>e</w:t>
      </w:r>
      <w:r w:rsidRPr="00F32BA3">
        <w:t>.</w:t>
      </w:r>
      <w:r>
        <w:t>g</w:t>
      </w:r>
      <w:r w:rsidRPr="00F32BA3">
        <w:t>., Communication Officers/Dispatchers, non-sworn patrol pilots</w:t>
      </w:r>
      <w:r>
        <w:t>, etc.</w:t>
      </w:r>
      <w:r w:rsidRPr="00F32BA3">
        <w:t>)</w:t>
      </w:r>
      <w:r>
        <w:t xml:space="preserve">. </w:t>
      </w:r>
      <w:r w:rsidRPr="00F32BA3">
        <w:t>Overtime shall be reimbursed consistent with the non-</w:t>
      </w:r>
      <w:r>
        <w:t>federal</w:t>
      </w:r>
      <w:r w:rsidRPr="00F32BA3">
        <w:t xml:space="preserve"> entity’s overtime policy and the requirements as </w:t>
      </w:r>
      <w:r>
        <w:t>state</w:t>
      </w:r>
      <w:r w:rsidRPr="00F32BA3">
        <w:t>d below:</w:t>
      </w:r>
    </w:p>
    <w:p w:rsidR="004752C1" w:rsidRPr="00F32BA3" w:rsidP="004752C1" w14:paraId="24C395B9" w14:textId="77777777">
      <w:pPr>
        <w:pStyle w:val="FEMABullet-1"/>
        <w:spacing w:line="240" w:lineRule="auto"/>
      </w:pPr>
      <w:r w:rsidRPr="00F32BA3">
        <w:t>Overtime is time worked that exceeds the required number of hours during an employee’s designated shift</w:t>
      </w:r>
      <w:r>
        <w:t>;</w:t>
      </w:r>
    </w:p>
    <w:p w:rsidR="004752C1" w:rsidRPr="00F32BA3" w:rsidP="004752C1" w14:paraId="7E53A32F" w14:textId="77777777">
      <w:pPr>
        <w:pStyle w:val="FEMABullet-1"/>
        <w:spacing w:line="240" w:lineRule="auto"/>
      </w:pPr>
      <w:r w:rsidRPr="00F32BA3">
        <w:t xml:space="preserve">Overtime must be worked to increase patrol capacity and </w:t>
      </w:r>
      <w:r>
        <w:t xml:space="preserve">be </w:t>
      </w:r>
      <w:r w:rsidRPr="00F32BA3">
        <w:t xml:space="preserve">in support of identified and approved </w:t>
      </w:r>
      <w:r>
        <w:t>United States Border Patrol (</w:t>
      </w:r>
      <w:r w:rsidRPr="00F32BA3">
        <w:t>USBP</w:t>
      </w:r>
      <w:r>
        <w:t>)</w:t>
      </w:r>
      <w:r w:rsidRPr="00F32BA3">
        <w:t xml:space="preserve"> border security operations</w:t>
      </w:r>
      <w:r>
        <w:t>;</w:t>
      </w:r>
    </w:p>
    <w:p w:rsidR="004752C1" w:rsidRPr="00F32BA3" w:rsidP="004752C1" w14:paraId="69A83F21" w14:textId="77777777">
      <w:pPr>
        <w:pStyle w:val="FEMABullet-1"/>
        <w:spacing w:line="240" w:lineRule="auto"/>
      </w:pPr>
      <w:r w:rsidRPr="00F32BA3">
        <w:t xml:space="preserve">The OPSG overtime hourly rate of pay will be no more than the approved overtime rate per local law and policy and </w:t>
      </w:r>
      <w:r>
        <w:t xml:space="preserve">must be </w:t>
      </w:r>
      <w:r w:rsidRPr="00F32BA3">
        <w:t xml:space="preserve">in accordance with applicable </w:t>
      </w:r>
      <w:r>
        <w:t>state</w:t>
      </w:r>
      <w:r w:rsidRPr="00F32BA3">
        <w:t xml:space="preserve"> and </w:t>
      </w:r>
      <w:r>
        <w:t>federal</w:t>
      </w:r>
      <w:r w:rsidRPr="00F32BA3">
        <w:t xml:space="preserve"> regulations</w:t>
      </w:r>
      <w:r>
        <w:t>;</w:t>
      </w:r>
    </w:p>
    <w:p w:rsidR="004752C1" w:rsidRPr="00F32BA3" w:rsidP="004752C1" w14:paraId="768AB4F8" w14:textId="77777777">
      <w:pPr>
        <w:pStyle w:val="FEMABullet-1"/>
        <w:spacing w:line="240" w:lineRule="auto"/>
      </w:pPr>
      <w:r>
        <w:t xml:space="preserve">All overtime expenses under OPSG must be reasonable for the services rendered and conform to the non-federal entity’s established written policy, which must apply to both federally funded and non-federally funded activities and comply with the other applicable requirements under 2 C.F.R. </w:t>
      </w:r>
      <w:r w:rsidRPr="008E1F2F">
        <w:t>§§ 200.</w:t>
      </w:r>
      <w:r>
        <w:t>430-200.431; and</w:t>
      </w:r>
    </w:p>
    <w:p w:rsidR="004752C1" w:rsidRPr="00BC5189" w:rsidP="004752C1" w14:paraId="424D8215" w14:textId="77777777">
      <w:pPr>
        <w:pStyle w:val="FEMABullet-1"/>
        <w:spacing w:line="240" w:lineRule="auto"/>
      </w:pPr>
      <w:r w:rsidRPr="00BC5189">
        <w:t xml:space="preserve">The non-federal entity may not utilize OPSG funding to pay for an employee’s overtime hours or pay that exceeds 16 hours worked in any 24-hour period. </w:t>
      </w:r>
    </w:p>
    <w:p w:rsidR="00AF27D5" w:rsidRPr="00134AA2" w:rsidP="00134AA2" w14:paraId="4B45019B" w14:textId="1CDF1732">
      <w:pPr>
        <w:pStyle w:val="Heading2"/>
        <w:rPr>
          <w:rStyle w:val="Strong"/>
          <w:rFonts w:ascii="Source Sans Pro" w:hAnsi="Source Sans Pro"/>
          <w:color w:val="1B1B1B"/>
        </w:rPr>
      </w:pPr>
      <w:bookmarkStart w:id="0" w:name="_Toc138670912"/>
      <w:r w:rsidRPr="00134AA2">
        <w:rPr>
          <w:rStyle w:val="Strong"/>
          <w:rFonts w:ascii="Source Sans Pro" w:hAnsi="Source Sans Pro"/>
          <w:color w:val="1B1B1B"/>
        </w:rPr>
        <w:t>OPSG Transportation Costs and Costs Related to the Provision of Acute Medical Care</w:t>
      </w:r>
      <w:bookmarkEnd w:id="0"/>
    </w:p>
    <w:p w:rsidR="00AF27D5" w:rsidRPr="007C2292" w:rsidP="00AF27D5" w14:paraId="315B8754" w14:textId="77777777">
      <w:pPr>
        <w:pStyle w:val="Default"/>
        <w:spacing w:before="96" w:after="96"/>
        <w:rPr>
          <w:rFonts w:ascii="Franklin Gothic Book" w:hAnsi="Franklin Gothic Book"/>
          <w:sz w:val="22"/>
          <w:szCs w:val="22"/>
        </w:rPr>
      </w:pPr>
      <w:r w:rsidRPr="007C2292">
        <w:rPr>
          <w:rFonts w:ascii="Franklin Gothic Book" w:hAnsi="Franklin Gothic Book"/>
          <w:sz w:val="22"/>
          <w:szCs w:val="22"/>
        </w:rPr>
        <w:t xml:space="preserve">Vehicle, fuel, mileage, operational overtime, and other types of costs otherwise allowable under an OPSG award’s HSGP NOFO are allowable where the costs are in support of the necessary transportation of individuals interdicted while carrying out allowable OPSG-funded activities or operations from the point of interdiction to an applicable law enforcement facility. </w:t>
      </w:r>
    </w:p>
    <w:p w:rsidR="00AF27D5" w:rsidRPr="007C2292" w:rsidP="00AF27D5" w14:paraId="1F636A33" w14:textId="77777777">
      <w:pPr>
        <w:pStyle w:val="Default"/>
        <w:spacing w:before="96" w:after="96"/>
        <w:rPr>
          <w:rFonts w:ascii="Franklin Gothic Book" w:hAnsi="Franklin Gothic Book"/>
          <w:sz w:val="22"/>
          <w:szCs w:val="22"/>
        </w:rPr>
      </w:pPr>
    </w:p>
    <w:p w:rsidR="00AF27D5" w:rsidRPr="007C2292" w:rsidP="00AF27D5" w14:paraId="43EDE159" w14:textId="77777777">
      <w:pPr>
        <w:pStyle w:val="Default"/>
        <w:spacing w:before="96" w:after="96"/>
        <w:rPr>
          <w:rFonts w:ascii="Franklin Gothic Book" w:hAnsi="Franklin Gothic Book"/>
          <w:sz w:val="22"/>
          <w:szCs w:val="22"/>
        </w:rPr>
      </w:pPr>
      <w:r w:rsidRPr="007C2292">
        <w:rPr>
          <w:rFonts w:ascii="Franklin Gothic Book" w:hAnsi="Franklin Gothic Book"/>
          <w:sz w:val="22"/>
          <w:szCs w:val="22"/>
        </w:rPr>
        <w:t xml:space="preserve">When transporting individuals interdicted in the course of carrying out allowable OPSG-funded activities or operations from the point of interdiction, non-Federal entities may charge vehicle, fuel, mileage, operational overtime, and other types of costs otherwise allowable under an OPSG award’s HSGP NOFO associated with necessary transportation to provide acute medical care for individuals being transported from the point of interdiction. In such cases, non-Federal entities may also charge operational overtime for personnel that monitor a detained individual receiving acute medical care where the individual remains in the custody of the non-Federal law enforcement agency. Costs incurred beyond the acute phase of medical care (e.g., upon admission to the hospital, or after transfer from an acute care facility to the hospital) and costs incurred once the custodial responsibility of the individual is transferred to CBP are not allowable under OPSG. </w:t>
      </w:r>
    </w:p>
    <w:p w:rsidR="00AF27D5" w:rsidRPr="007C2292" w:rsidP="00AF27D5" w14:paraId="17EADD5D" w14:textId="77777777">
      <w:pPr>
        <w:pStyle w:val="Default"/>
        <w:spacing w:before="96" w:after="96"/>
        <w:rPr>
          <w:rFonts w:ascii="Franklin Gothic Book" w:hAnsi="Franklin Gothic Book"/>
          <w:sz w:val="22"/>
          <w:szCs w:val="22"/>
        </w:rPr>
      </w:pPr>
    </w:p>
    <w:p w:rsidR="00152E6A" w:rsidP="00134AA2" w14:paraId="08CD76CE" w14:textId="5CA532A1">
      <w:pPr>
        <w:pStyle w:val="Default"/>
      </w:pPr>
      <w:r w:rsidRPr="007C2292">
        <w:rPr>
          <w:rFonts w:ascii="Franklin Gothic Book" w:hAnsi="Franklin Gothic Book"/>
          <w:sz w:val="22"/>
          <w:szCs w:val="22"/>
        </w:rPr>
        <w:t>Costs described above are allowable regardless of what entity or agency initially makes the interdiction. Personnel costs incurred by non-Federal law enforcement agencies eligible under OPSG (including deputies, corrections officers, or detention officers) for costs described above are allowable.</w:t>
      </w:r>
      <w:r>
        <w:rPr>
          <w:rFonts w:ascii="Franklin Gothic Book" w:hAnsi="Franklin Gothic Book"/>
          <w:sz w:val="22"/>
          <w:szCs w:val="22"/>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335625"/>
    <w:multiLevelType w:val="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
    <w:nsid w:val="6955355C"/>
    <w:multiLevelType w:val="multilevel"/>
    <w:tmpl w:val="573ACD06"/>
    <w:lvl w:ilvl="0">
      <w:start w:val="1"/>
      <w:numFmt w:val="none"/>
      <w:pStyle w:val="FEMAHeading0-CHAPTER"/>
      <w:lvlText w:val="%1"/>
      <w:lvlJc w:val="left"/>
      <w:pPr>
        <w:ind w:left="0" w:firstLine="0"/>
      </w:pPr>
      <w:rPr>
        <w:rFonts w:hint="default"/>
      </w:rPr>
    </w:lvl>
    <w:lvl w:ilvl="1">
      <w:start w:val="1"/>
      <w:numFmt w:val="decimal"/>
      <w:pStyle w:val="FEMAHeading1"/>
      <w:lvlText w:val="%1%2."/>
      <w:lvlJc w:val="left"/>
      <w:pPr>
        <w:ind w:left="720" w:hanging="720"/>
      </w:pPr>
      <w:rPr>
        <w:rFonts w:hint="default"/>
      </w:rPr>
    </w:lvl>
    <w:lvl w:ilvl="2">
      <w:start w:val="1"/>
      <w:numFmt w:val="decimal"/>
      <w:pStyle w:val="FEMAHeading2"/>
      <w:lvlText w:val="%1%2.%3."/>
      <w:lvlJc w:val="left"/>
      <w:pPr>
        <w:ind w:left="1080" w:hanging="1080"/>
      </w:pPr>
      <w:rPr>
        <w:rFonts w:hint="default"/>
        <w:i w:val="0"/>
        <w:iCs/>
      </w:rPr>
    </w:lvl>
    <w:lvl w:ilvl="3">
      <w:start w:val="1"/>
      <w:numFmt w:val="decimal"/>
      <w:pStyle w:val="FEMAHeading3"/>
      <w:lvlText w:val="%2.%3.%4."/>
      <w:lvlJc w:val="left"/>
      <w:pPr>
        <w:ind w:left="1296" w:hanging="1296"/>
      </w:pPr>
      <w:rPr>
        <w:rFonts w:ascii="Franklin Gothic Book" w:hAnsi="Franklin Gothic Book" w:hint="default"/>
        <w:i w:val="0"/>
        <w:iCs/>
      </w:rPr>
    </w:lvl>
    <w:lvl w:ilvl="4">
      <w:start w:val="1"/>
      <w:numFmt w:val="none"/>
      <w:pStyle w:val="FEMAHeading4"/>
      <w:suff w:val="nothing"/>
      <w:lvlJc w:val="left"/>
      <w:pPr>
        <w:ind w:left="0" w:firstLine="0"/>
      </w:pPr>
      <w:rPr>
        <w:rFonts w:hint="default"/>
      </w:rPr>
    </w:lvl>
    <w:lvl w:ilvl="5">
      <w:start w:val="1"/>
      <w:numFmt w:val="none"/>
      <w:pStyle w:val="FEMAHeading5"/>
      <w:suff w:val="nothing"/>
      <w:lvlJc w:val="left"/>
      <w:pPr>
        <w:ind w:left="0" w:firstLine="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num w:numId="1" w16cid:durableId="895358252">
    <w:abstractNumId w:val="0"/>
  </w:num>
  <w:num w:numId="2" w16cid:durableId="486630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4291D"/>
    <w:rsid w:val="000115E1"/>
    <w:rsid w:val="0009565C"/>
    <w:rsid w:val="000E1B71"/>
    <w:rsid w:val="000F7EDC"/>
    <w:rsid w:val="00134AA2"/>
    <w:rsid w:val="0014291D"/>
    <w:rsid w:val="00152E6A"/>
    <w:rsid w:val="00190C7C"/>
    <w:rsid w:val="00291C39"/>
    <w:rsid w:val="002A4DF5"/>
    <w:rsid w:val="002B28B2"/>
    <w:rsid w:val="002E433A"/>
    <w:rsid w:val="00354FC0"/>
    <w:rsid w:val="003E38F2"/>
    <w:rsid w:val="003E46AA"/>
    <w:rsid w:val="00452860"/>
    <w:rsid w:val="004752C1"/>
    <w:rsid w:val="004C1AA7"/>
    <w:rsid w:val="005322C9"/>
    <w:rsid w:val="00546E98"/>
    <w:rsid w:val="0063749C"/>
    <w:rsid w:val="00645AEF"/>
    <w:rsid w:val="007C2292"/>
    <w:rsid w:val="00832940"/>
    <w:rsid w:val="008E1F2F"/>
    <w:rsid w:val="00912F02"/>
    <w:rsid w:val="0097172F"/>
    <w:rsid w:val="009A482B"/>
    <w:rsid w:val="00A57DC3"/>
    <w:rsid w:val="00AB4DE2"/>
    <w:rsid w:val="00AF27D5"/>
    <w:rsid w:val="00AF7311"/>
    <w:rsid w:val="00B076CA"/>
    <w:rsid w:val="00B90FCB"/>
    <w:rsid w:val="00BC3E7A"/>
    <w:rsid w:val="00BC5189"/>
    <w:rsid w:val="00C8139D"/>
    <w:rsid w:val="00C92DFE"/>
    <w:rsid w:val="00DC135A"/>
    <w:rsid w:val="00EC6D90"/>
    <w:rsid w:val="00EE188E"/>
    <w:rsid w:val="00F32BA3"/>
    <w:rsid w:val="00F53199"/>
    <w:rsid w:val="47FBDB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CD76BF"/>
  <w15:docId w15:val="{8D573756-E562-44CD-BFBE-9D806DC9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91D"/>
    <w:pPr>
      <w:spacing w:after="0" w:line="240" w:lineRule="auto"/>
    </w:pPr>
    <w:rPr>
      <w:rFonts w:ascii="Calibri" w:hAnsi="Calibri" w:cs="Calibri"/>
    </w:rPr>
  </w:style>
  <w:style w:type="paragraph" w:styleId="Heading1">
    <w:name w:val="heading 1"/>
    <w:basedOn w:val="Normal"/>
    <w:next w:val="Normal"/>
    <w:link w:val="Heading1Char"/>
    <w:uiPriority w:val="9"/>
    <w:qFormat/>
    <w:rsid w:val="00C92D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92D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52E6A"/>
    <w:rPr>
      <w:color w:val="0000FF"/>
      <w:u w:val="single"/>
    </w:rPr>
  </w:style>
  <w:style w:type="paragraph" w:styleId="Revision">
    <w:name w:val="Revision"/>
    <w:hidden/>
    <w:uiPriority w:val="99"/>
    <w:semiHidden/>
    <w:rsid w:val="00190C7C"/>
    <w:pPr>
      <w:spacing w:after="0" w:line="240" w:lineRule="auto"/>
    </w:pPr>
    <w:rPr>
      <w:rFonts w:ascii="Calibri" w:hAnsi="Calibri" w:cs="Calibri"/>
    </w:rPr>
  </w:style>
  <w:style w:type="character" w:styleId="Strong">
    <w:name w:val="Strong"/>
    <w:basedOn w:val="DefaultParagraphFont"/>
    <w:uiPriority w:val="22"/>
    <w:qFormat/>
    <w:rsid w:val="005322C9"/>
    <w:rPr>
      <w:b/>
      <w:bCs/>
    </w:rPr>
  </w:style>
  <w:style w:type="paragraph" w:styleId="NormalWeb">
    <w:name w:val="Normal (Web)"/>
    <w:basedOn w:val="Normal"/>
    <w:uiPriority w:val="99"/>
    <w:unhideWhenUsed/>
    <w:rsid w:val="00F5319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53199"/>
    <w:rPr>
      <w:i/>
      <w:iCs/>
    </w:rPr>
  </w:style>
  <w:style w:type="paragraph" w:styleId="BodyText">
    <w:name w:val="Body Text"/>
    <w:basedOn w:val="Normal"/>
    <w:link w:val="BodyTextChar"/>
    <w:uiPriority w:val="99"/>
    <w:qFormat/>
    <w:rsid w:val="00AF7311"/>
    <w:pPr>
      <w:spacing w:after="240" w:line="288" w:lineRule="auto"/>
    </w:pPr>
    <w:rPr>
      <w:rFonts w:ascii="Franklin Gothic Book" w:hAnsi="Franklin Gothic Book" w:cstheme="minorBidi"/>
      <w:szCs w:val="24"/>
    </w:rPr>
  </w:style>
  <w:style w:type="character" w:customStyle="1" w:styleId="BodyTextChar">
    <w:name w:val="Body Text Char"/>
    <w:basedOn w:val="DefaultParagraphFont"/>
    <w:link w:val="BodyText"/>
    <w:uiPriority w:val="99"/>
    <w:rsid w:val="00AF7311"/>
    <w:rPr>
      <w:rFonts w:ascii="Franklin Gothic Book" w:hAnsi="Franklin Gothic Book"/>
      <w:szCs w:val="24"/>
    </w:rPr>
  </w:style>
  <w:style w:type="paragraph" w:customStyle="1" w:styleId="FEMABullet-1">
    <w:name w:val="FEMA Bullet - 1"/>
    <w:basedOn w:val="Normal"/>
    <w:uiPriority w:val="1"/>
    <w:qFormat/>
    <w:rsid w:val="00AF7311"/>
    <w:pPr>
      <w:numPr>
        <w:numId w:val="1"/>
      </w:numPr>
      <w:spacing w:after="240" w:line="288" w:lineRule="auto"/>
    </w:pPr>
    <w:rPr>
      <w:rFonts w:ascii="Franklin Gothic Book" w:hAnsi="Franklin Gothic Book" w:cstheme="minorBidi"/>
      <w:szCs w:val="24"/>
    </w:rPr>
  </w:style>
  <w:style w:type="paragraph" w:customStyle="1" w:styleId="FEMABullet-2">
    <w:name w:val="FEMA Bullet - 2"/>
    <w:basedOn w:val="FEMABullet-1"/>
    <w:uiPriority w:val="2"/>
    <w:qFormat/>
    <w:rsid w:val="00AF7311"/>
    <w:pPr>
      <w:numPr>
        <w:ilvl w:val="1"/>
      </w:numPr>
    </w:pPr>
  </w:style>
  <w:style w:type="paragraph" w:customStyle="1" w:styleId="FEMABullet-3">
    <w:name w:val="FEMA Bullet - 3"/>
    <w:basedOn w:val="FEMABullet-2"/>
    <w:uiPriority w:val="3"/>
    <w:qFormat/>
    <w:rsid w:val="00AF7311"/>
    <w:pPr>
      <w:numPr>
        <w:ilvl w:val="2"/>
      </w:numPr>
    </w:pPr>
  </w:style>
  <w:style w:type="character" w:styleId="CommentReference">
    <w:name w:val="annotation reference"/>
    <w:basedOn w:val="DefaultParagraphFont"/>
    <w:uiPriority w:val="99"/>
    <w:unhideWhenUsed/>
    <w:rsid w:val="00AF7311"/>
    <w:rPr>
      <w:sz w:val="16"/>
      <w:szCs w:val="16"/>
    </w:rPr>
  </w:style>
  <w:style w:type="paragraph" w:styleId="CommentText">
    <w:name w:val="annotation text"/>
    <w:basedOn w:val="Normal"/>
    <w:link w:val="CommentTextChar"/>
    <w:uiPriority w:val="99"/>
    <w:unhideWhenUsed/>
    <w:rsid w:val="00AF7311"/>
    <w:pPr>
      <w:spacing w:after="240" w:line="288" w:lineRule="auto"/>
    </w:pPr>
    <w:rPr>
      <w:rFonts w:ascii="Franklin Gothic Book" w:hAnsi="Franklin Gothic Book" w:cstheme="minorBidi"/>
      <w:sz w:val="20"/>
      <w:szCs w:val="20"/>
    </w:rPr>
  </w:style>
  <w:style w:type="character" w:customStyle="1" w:styleId="CommentTextChar">
    <w:name w:val="Comment Text Char"/>
    <w:basedOn w:val="DefaultParagraphFont"/>
    <w:link w:val="CommentText"/>
    <w:uiPriority w:val="99"/>
    <w:rsid w:val="00AF7311"/>
    <w:rPr>
      <w:rFonts w:ascii="Franklin Gothic Book" w:hAnsi="Franklin Gothic Book"/>
      <w:sz w:val="20"/>
      <w:szCs w:val="20"/>
    </w:rPr>
  </w:style>
  <w:style w:type="paragraph" w:styleId="Caption">
    <w:name w:val="caption"/>
    <w:basedOn w:val="Normal"/>
    <w:next w:val="Normal"/>
    <w:unhideWhenUsed/>
    <w:qFormat/>
    <w:rsid w:val="00AF7311"/>
    <w:pPr>
      <w:spacing w:before="120" w:after="120" w:line="288" w:lineRule="auto"/>
      <w:jc w:val="center"/>
    </w:pPr>
    <w:rPr>
      <w:rFonts w:ascii="Arial" w:hAnsi="Arial" w:cstheme="minorBidi"/>
      <w:b/>
      <w:bCs/>
      <w:szCs w:val="18"/>
    </w:rPr>
  </w:style>
  <w:style w:type="paragraph" w:customStyle="1" w:styleId="FEMATableHeading">
    <w:name w:val="FEMA Table Heading"/>
    <w:basedOn w:val="FEMATableText"/>
    <w:uiPriority w:val="14"/>
    <w:qFormat/>
    <w:rsid w:val="00AF7311"/>
    <w:pPr>
      <w:keepNext/>
    </w:pPr>
    <w:rPr>
      <w:rFonts w:ascii="Franklin Gothic Medium" w:hAnsi="Franklin Gothic Medium"/>
    </w:rPr>
  </w:style>
  <w:style w:type="paragraph" w:customStyle="1" w:styleId="FEMATableText">
    <w:name w:val="FEMA Table Text"/>
    <w:uiPriority w:val="13"/>
    <w:qFormat/>
    <w:rsid w:val="00AF7311"/>
    <w:pPr>
      <w:spacing w:before="40" w:beforeLines="40" w:after="40" w:afterLines="40" w:line="240" w:lineRule="auto"/>
    </w:pPr>
    <w:rPr>
      <w:rFonts w:ascii="Franklin Gothic Book" w:hAnsi="Franklin Gothic Book" w:cs="Arial"/>
      <w:szCs w:val="24"/>
    </w:rPr>
  </w:style>
  <w:style w:type="character" w:styleId="Mention">
    <w:name w:val="Mention"/>
    <w:basedOn w:val="DefaultParagraphFont"/>
    <w:uiPriority w:val="99"/>
    <w:unhideWhenUsed/>
    <w:rsid w:val="00AF7311"/>
    <w:rPr>
      <w:color w:val="2B579A"/>
      <w:shd w:val="clear" w:color="auto" w:fill="E6E6E6"/>
    </w:rPr>
  </w:style>
  <w:style w:type="paragraph" w:customStyle="1" w:styleId="FEMAHeading1">
    <w:name w:val="FEMA Heading 1"/>
    <w:basedOn w:val="FEMAHeading0-CHAPTER"/>
    <w:next w:val="Normal"/>
    <w:uiPriority w:val="6"/>
    <w:qFormat/>
    <w:rsid w:val="00AF27D5"/>
    <w:pPr>
      <w:pageBreakBefore w:val="0"/>
      <w:numPr>
        <w:ilvl w:val="1"/>
      </w:numPr>
      <w:tabs>
        <w:tab w:val="left" w:pos="720"/>
      </w:tabs>
      <w:spacing w:before="360" w:after="120"/>
      <w:outlineLvl w:val="1"/>
    </w:pPr>
    <w:rPr>
      <w:color w:val="2F2F30"/>
      <w:sz w:val="38"/>
      <w:szCs w:val="38"/>
    </w:rPr>
  </w:style>
  <w:style w:type="paragraph" w:customStyle="1" w:styleId="FEMAHeading2">
    <w:name w:val="FEMA Heading 2"/>
    <w:basedOn w:val="FEMAHeading1"/>
    <w:next w:val="Normal"/>
    <w:uiPriority w:val="7"/>
    <w:qFormat/>
    <w:rsid w:val="00AF27D5"/>
    <w:pPr>
      <w:numPr>
        <w:ilvl w:val="2"/>
      </w:numPr>
      <w:tabs>
        <w:tab w:val="clear" w:pos="720"/>
        <w:tab w:val="left" w:pos="900"/>
      </w:tabs>
      <w:outlineLvl w:val="2"/>
    </w:pPr>
    <w:rPr>
      <w:color w:val="005288"/>
      <w:sz w:val="28"/>
    </w:rPr>
  </w:style>
  <w:style w:type="paragraph" w:customStyle="1" w:styleId="FEMAHeading3">
    <w:name w:val="FEMA Heading 3"/>
    <w:basedOn w:val="FEMAHeading2"/>
    <w:next w:val="Normal"/>
    <w:uiPriority w:val="8"/>
    <w:qFormat/>
    <w:rsid w:val="00AF27D5"/>
    <w:pPr>
      <w:numPr>
        <w:ilvl w:val="3"/>
      </w:numPr>
      <w:outlineLvl w:val="3"/>
    </w:pPr>
    <w:rPr>
      <w:caps/>
      <w:color w:val="2F2F30"/>
      <w:sz w:val="24"/>
    </w:rPr>
  </w:style>
  <w:style w:type="paragraph" w:customStyle="1" w:styleId="FEMAHeading4">
    <w:name w:val="FEMA Heading 4"/>
    <w:basedOn w:val="FEMAHeading3"/>
    <w:next w:val="Normal"/>
    <w:uiPriority w:val="9"/>
    <w:qFormat/>
    <w:rsid w:val="00AF27D5"/>
    <w:pPr>
      <w:numPr>
        <w:ilvl w:val="4"/>
      </w:numPr>
      <w:outlineLvl w:val="4"/>
    </w:pPr>
    <w:rPr>
      <w:rFonts w:eastAsiaTheme="majorEastAsia" w:cstheme="majorBidi"/>
      <w:caps w:val="0"/>
      <w:color w:val="005288"/>
    </w:rPr>
  </w:style>
  <w:style w:type="paragraph" w:customStyle="1" w:styleId="FEMAHeading5">
    <w:name w:val="FEMA Heading 5"/>
    <w:basedOn w:val="FEMAHeading4"/>
    <w:uiPriority w:val="99"/>
    <w:qFormat/>
    <w:rsid w:val="00AF27D5"/>
    <w:pPr>
      <w:numPr>
        <w:ilvl w:val="5"/>
      </w:numPr>
      <w:tabs>
        <w:tab w:val="num" w:pos="360"/>
      </w:tabs>
      <w:outlineLvl w:val="5"/>
    </w:pPr>
    <w:rPr>
      <w:i/>
      <w:color w:val="2F2F30"/>
      <w:sz w:val="22"/>
    </w:rPr>
  </w:style>
  <w:style w:type="paragraph" w:customStyle="1" w:styleId="FEMAHeading0-CHAPTER">
    <w:name w:val="FEMA Heading 0 - CHAPTER"/>
    <w:basedOn w:val="Normal"/>
    <w:next w:val="Normal"/>
    <w:uiPriority w:val="99"/>
    <w:qFormat/>
    <w:rsid w:val="00AF27D5"/>
    <w:pPr>
      <w:keepNext/>
      <w:pageBreakBefore/>
      <w:numPr>
        <w:numId w:val="2"/>
      </w:numPr>
      <w:spacing w:after="240"/>
      <w:outlineLvl w:val="0"/>
    </w:pPr>
    <w:rPr>
      <w:rFonts w:ascii="Franklin Gothic Medium" w:hAnsi="Franklin Gothic Medium" w:cstheme="minorBidi"/>
      <w:color w:val="005288"/>
      <w:sz w:val="60"/>
      <w:szCs w:val="24"/>
    </w:rPr>
  </w:style>
  <w:style w:type="paragraph" w:customStyle="1" w:styleId="Default">
    <w:name w:val="Default"/>
    <w:link w:val="DefaultChar"/>
    <w:rsid w:val="00AF27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locked/>
    <w:rsid w:val="00AF27D5"/>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92DF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92DF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ma.gov/sites/default/files/2020-04/Price_Wavier_Act_Clarification_IB_421B_GPD_Approved.pdf" TargetMode="External" /><Relationship Id="rId5" Type="http://schemas.openxmlformats.org/officeDocument/2006/relationships/hyperlink" Target="https://www.fema.gov/pdf/government/grant/bulletins/info367.pdf" TargetMode="External" /><Relationship Id="rId6" Type="http://schemas.openxmlformats.org/officeDocument/2006/relationships/hyperlink" Target="https://www.dhs.gov/topics/national-terrorism-advisory-system" TargetMode="External" /><Relationship Id="rId7" Type="http://schemas.openxmlformats.org/officeDocument/2006/relationships/hyperlink" Target="mailto:askcsid@fem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Westinson, Krista</cp:lastModifiedBy>
  <cp:revision>20</cp:revision>
  <dcterms:created xsi:type="dcterms:W3CDTF">2015-10-13T20:16:00Z</dcterms:created>
  <dcterms:modified xsi:type="dcterms:W3CDTF">2024-02-06T18:02:00Z</dcterms:modified>
</cp:coreProperties>
</file>