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1B0D" w:rsidRPr="000F0E89" w14:paraId="2F0E0307" w14:textId="5BD21CB2">
      <w:pPr>
        <w:jc w:val="center"/>
        <w:rPr>
          <w:rFonts w:asciiTheme="minorHAnsi" w:hAnsiTheme="minorHAnsi"/>
          <w:b/>
          <w:sz w:val="32"/>
          <w:szCs w:val="32"/>
        </w:rPr>
      </w:pPr>
      <w:r w:rsidRPr="000F0E89">
        <w:rPr>
          <w:rFonts w:asciiTheme="minorHAnsi" w:hAnsiTheme="minorHAnsi"/>
          <w:b/>
          <w:sz w:val="32"/>
        </w:rPr>
        <w:t xml:space="preserve"> </w:t>
      </w:r>
      <w:r w:rsidRPr="000F0E89">
        <w:rPr>
          <w:rFonts w:asciiTheme="minorHAnsi" w:hAnsiTheme="minorHAnsi"/>
          <w:b/>
          <w:sz w:val="32"/>
          <w:szCs w:val="32"/>
        </w:rPr>
        <w:t xml:space="preserve">Instructions for the “Institutional Application and Agreement </w:t>
      </w:r>
      <w:r w:rsidRPr="000F0E89" w:rsidR="003B04E4">
        <w:rPr>
          <w:rFonts w:asciiTheme="minorHAnsi" w:hAnsiTheme="minorHAnsi"/>
          <w:b/>
          <w:sz w:val="32"/>
          <w:szCs w:val="32"/>
        </w:rPr>
        <w:t xml:space="preserve">to </w:t>
      </w:r>
      <w:r w:rsidRPr="000F0E89">
        <w:rPr>
          <w:rFonts w:asciiTheme="minorHAnsi" w:hAnsiTheme="minorHAnsi"/>
          <w:b/>
          <w:sz w:val="32"/>
          <w:szCs w:val="32"/>
        </w:rPr>
        <w:t>Participat</w:t>
      </w:r>
      <w:r w:rsidRPr="000F0E89" w:rsidR="003B04E4">
        <w:rPr>
          <w:rFonts w:asciiTheme="minorHAnsi" w:hAnsiTheme="minorHAnsi"/>
          <w:b/>
          <w:sz w:val="32"/>
          <w:szCs w:val="32"/>
        </w:rPr>
        <w:t>e</w:t>
      </w:r>
      <w:r w:rsidRPr="000F0E89">
        <w:rPr>
          <w:rFonts w:asciiTheme="minorHAnsi" w:hAnsiTheme="minorHAnsi"/>
          <w:b/>
          <w:sz w:val="32"/>
          <w:szCs w:val="32"/>
        </w:rPr>
        <w:t xml:space="preserve"> in the Work Colleges Program” for the </w:t>
      </w:r>
      <w:r w:rsidR="000508BA">
        <w:rPr>
          <w:rFonts w:asciiTheme="minorHAnsi" w:hAnsiTheme="minorHAnsi"/>
          <w:b/>
          <w:sz w:val="32"/>
          <w:szCs w:val="32"/>
        </w:rPr>
        <w:t>2025–26</w:t>
      </w:r>
      <w:r w:rsidRPr="000F0E89" w:rsidR="00345D38">
        <w:rPr>
          <w:rFonts w:asciiTheme="minorHAnsi" w:hAnsiTheme="minorHAnsi"/>
          <w:b/>
          <w:sz w:val="32"/>
          <w:szCs w:val="32"/>
        </w:rPr>
        <w:t xml:space="preserve"> </w:t>
      </w:r>
      <w:r w:rsidRPr="000F0E89">
        <w:rPr>
          <w:rFonts w:asciiTheme="minorHAnsi" w:hAnsiTheme="minorHAnsi"/>
          <w:b/>
          <w:sz w:val="32"/>
          <w:szCs w:val="32"/>
        </w:rPr>
        <w:t>Award Year</w:t>
      </w:r>
    </w:p>
    <w:p w:rsidR="003E1B0D" w:rsidRPr="000F0E89" w14:paraId="2F0E030B" w14:textId="0114178F">
      <w:pPr>
        <w:rPr>
          <w:rFonts w:asciiTheme="minorHAnsi" w:hAnsiTheme="minorHAnsi"/>
          <w:b/>
          <w:sz w:val="32"/>
        </w:rPr>
      </w:pPr>
    </w:p>
    <w:p w:rsidR="003A397F" w:rsidP="00D75E4E" w14:paraId="0A3BA8B3" w14:textId="1D54AB55">
      <w:pPr>
        <w:rPr>
          <w:rFonts w:asciiTheme="minorHAnsi" w:hAnsiTheme="minorHAnsi"/>
        </w:rPr>
      </w:pPr>
      <w:r w:rsidRPr="00514C0F">
        <w:rPr>
          <w:rFonts w:asciiTheme="minorHAnsi" w:hAnsiTheme="minorHAnsi"/>
          <w:b/>
        </w:rPr>
        <w:t>Submission Deadline</w:t>
      </w:r>
      <w:r w:rsidR="002C1062">
        <w:rPr>
          <w:rFonts w:asciiTheme="minorHAnsi" w:hAnsiTheme="minorHAnsi"/>
          <w:b/>
        </w:rPr>
        <w:t>s</w:t>
      </w:r>
    </w:p>
    <w:p w:rsidR="00DD3250" w:rsidP="00D75E4E" w14:paraId="56C041EF" w14:textId="629DBC1D">
      <w:pPr>
        <w:rPr>
          <w:rFonts w:asciiTheme="minorHAnsi" w:hAnsiTheme="minorHAnsi"/>
        </w:rPr>
      </w:pPr>
      <w:r w:rsidRPr="00514C0F">
        <w:rPr>
          <w:rFonts w:asciiTheme="minorHAnsi" w:hAnsiTheme="minorHAnsi"/>
        </w:rPr>
        <w:t xml:space="preserve">You must submit a completed “Institutional Application and Agreement </w:t>
      </w:r>
      <w:r w:rsidRPr="00514C0F" w:rsidR="003B04E4">
        <w:rPr>
          <w:rFonts w:asciiTheme="minorHAnsi" w:hAnsiTheme="minorHAnsi"/>
        </w:rPr>
        <w:t>to</w:t>
      </w:r>
      <w:r w:rsidRPr="00514C0F">
        <w:rPr>
          <w:rFonts w:asciiTheme="minorHAnsi" w:hAnsiTheme="minorHAnsi"/>
        </w:rPr>
        <w:t xml:space="preserve"> Participat</w:t>
      </w:r>
      <w:r w:rsidRPr="00514C0F" w:rsidR="003B04E4">
        <w:rPr>
          <w:rFonts w:asciiTheme="minorHAnsi" w:hAnsiTheme="minorHAnsi"/>
        </w:rPr>
        <w:t>e</w:t>
      </w:r>
      <w:r w:rsidRPr="00514C0F">
        <w:rPr>
          <w:rFonts w:asciiTheme="minorHAnsi" w:hAnsiTheme="minorHAnsi"/>
        </w:rPr>
        <w:t xml:space="preserve"> in the Work Colleges Program” for the </w:t>
      </w:r>
      <w:r w:rsidR="000508BA">
        <w:rPr>
          <w:rFonts w:asciiTheme="minorHAnsi" w:hAnsiTheme="minorHAnsi"/>
        </w:rPr>
        <w:t>2025–26</w:t>
      </w:r>
      <w:r w:rsidRPr="00514C0F">
        <w:rPr>
          <w:rFonts w:asciiTheme="minorHAnsi" w:hAnsiTheme="minorHAnsi"/>
        </w:rPr>
        <w:t xml:space="preserve"> Award Year to the </w:t>
      </w:r>
      <w:r w:rsidRPr="00514C0F" w:rsidR="003B04E4">
        <w:rPr>
          <w:rFonts w:asciiTheme="minorHAnsi" w:hAnsiTheme="minorHAnsi"/>
        </w:rPr>
        <w:t xml:space="preserve">U.S. </w:t>
      </w:r>
      <w:r w:rsidRPr="00514C0F">
        <w:rPr>
          <w:rFonts w:asciiTheme="minorHAnsi" w:hAnsiTheme="minorHAnsi"/>
        </w:rPr>
        <w:t xml:space="preserve">Department </w:t>
      </w:r>
      <w:r w:rsidRPr="00514C0F" w:rsidR="003B04E4">
        <w:rPr>
          <w:rFonts w:asciiTheme="minorHAnsi" w:hAnsiTheme="minorHAnsi"/>
        </w:rPr>
        <w:t>of Education (the Department)</w:t>
      </w:r>
      <w:r w:rsidRPr="00514C0F">
        <w:rPr>
          <w:rFonts w:asciiTheme="minorHAnsi" w:hAnsiTheme="minorHAnsi"/>
        </w:rPr>
        <w:t xml:space="preserve"> by the</w:t>
      </w:r>
      <w:r>
        <w:rPr>
          <w:rFonts w:asciiTheme="minorHAnsi" w:hAnsiTheme="minorHAnsi"/>
        </w:rPr>
        <w:t xml:space="preserve"> </w:t>
      </w:r>
      <w:r w:rsidR="00457841">
        <w:rPr>
          <w:rFonts w:asciiTheme="minorHAnsi" w:hAnsiTheme="minorHAnsi"/>
        </w:rPr>
        <w:t>applicable</w:t>
      </w:r>
      <w:r>
        <w:rPr>
          <w:rFonts w:asciiTheme="minorHAnsi" w:hAnsiTheme="minorHAnsi"/>
        </w:rPr>
        <w:t xml:space="preserve"> deadline: </w:t>
      </w:r>
    </w:p>
    <w:p w:rsidR="00C17316" w:rsidRPr="00514C0F" w:rsidP="00C17316" w14:paraId="1DE8AB0A" w14:textId="79F24535">
      <w:pPr>
        <w:rPr>
          <w:rFonts w:asciiTheme="minorHAnsi" w:hAnsiTheme="minorHAnsi"/>
        </w:rPr>
      </w:pPr>
      <w:r w:rsidRPr="00095F1D">
        <w:rPr>
          <w:rFonts w:asciiTheme="minorHAnsi" w:hAnsiTheme="minorHAnsi"/>
          <w:b/>
          <w:bCs/>
          <w:u w:val="single"/>
        </w:rPr>
        <w:t>New Applicants</w:t>
      </w:r>
      <w:r>
        <w:rPr>
          <w:rFonts w:asciiTheme="minorHAnsi" w:hAnsiTheme="minorHAnsi"/>
        </w:rPr>
        <w:t xml:space="preserve">: </w:t>
      </w:r>
      <w:r w:rsidRPr="00132CAB">
        <w:rPr>
          <w:rFonts w:asciiTheme="minorHAnsi" w:hAnsiTheme="minorHAnsi"/>
          <w:b/>
          <w:bCs/>
          <w:i/>
          <w:iCs/>
        </w:rPr>
        <w:t xml:space="preserve">November 1, </w:t>
      </w:r>
      <w:r w:rsidR="000508BA">
        <w:rPr>
          <w:rFonts w:asciiTheme="minorHAnsi" w:hAnsiTheme="minorHAnsi"/>
          <w:b/>
          <w:bCs/>
          <w:i/>
          <w:iCs/>
        </w:rPr>
        <w:t>2024</w:t>
      </w:r>
      <w:r w:rsidRPr="00514C0F" w:rsidR="0023069F">
        <w:rPr>
          <w:rFonts w:asciiTheme="minorHAnsi" w:hAnsiTheme="minorHAnsi"/>
        </w:rPr>
        <w:t xml:space="preserve">  </w:t>
      </w:r>
    </w:p>
    <w:p w:rsidR="00132CAB" w:rsidP="00D75E4E" w14:paraId="7B7BFC1A" w14:textId="15A7F55D">
      <w:pPr>
        <w:rPr>
          <w:rFonts w:asciiTheme="minorHAnsi" w:hAnsiTheme="minorHAnsi"/>
        </w:rPr>
      </w:pPr>
      <w:r w:rsidRPr="00095F1D">
        <w:rPr>
          <w:rFonts w:asciiTheme="minorHAnsi" w:hAnsiTheme="minorHAnsi"/>
          <w:b/>
          <w:bCs/>
          <w:u w:val="single"/>
        </w:rPr>
        <w:t>Returning Applicants</w:t>
      </w:r>
      <w:r>
        <w:rPr>
          <w:rFonts w:asciiTheme="minorHAnsi" w:hAnsiTheme="minorHAnsi"/>
        </w:rPr>
        <w:t>:</w:t>
      </w:r>
      <w:r w:rsidRPr="00514C0F" w:rsidR="003D54FD">
        <w:rPr>
          <w:rFonts w:asciiTheme="minorHAnsi" w:hAnsiTheme="minorHAnsi"/>
        </w:rPr>
        <w:t xml:space="preserve"> </w:t>
      </w:r>
      <w:r w:rsidRPr="00132CAB" w:rsidR="00E63FEB">
        <w:rPr>
          <w:rFonts w:asciiTheme="minorHAnsi" w:hAnsiTheme="minorHAnsi"/>
          <w:b/>
          <w:bCs/>
          <w:i/>
          <w:iCs/>
        </w:rPr>
        <w:t xml:space="preserve">March </w:t>
      </w:r>
      <w:r w:rsidR="000508BA">
        <w:rPr>
          <w:rFonts w:asciiTheme="minorHAnsi" w:hAnsiTheme="minorHAnsi"/>
          <w:b/>
          <w:bCs/>
          <w:i/>
          <w:iCs/>
        </w:rPr>
        <w:t>3</w:t>
      </w:r>
      <w:r w:rsidRPr="00132CAB" w:rsidR="00E63FEB">
        <w:rPr>
          <w:rFonts w:asciiTheme="minorHAnsi" w:hAnsiTheme="minorHAnsi"/>
          <w:b/>
          <w:bCs/>
          <w:i/>
          <w:iCs/>
        </w:rPr>
        <w:t xml:space="preserve">, </w:t>
      </w:r>
      <w:r w:rsidRPr="00132CAB" w:rsidR="00216856">
        <w:rPr>
          <w:rFonts w:asciiTheme="minorHAnsi" w:hAnsiTheme="minorHAnsi"/>
          <w:b/>
          <w:bCs/>
          <w:i/>
          <w:iCs/>
        </w:rPr>
        <w:t>202</w:t>
      </w:r>
      <w:r w:rsidR="000508BA">
        <w:rPr>
          <w:rFonts w:asciiTheme="minorHAnsi" w:hAnsiTheme="minorHAnsi"/>
          <w:b/>
          <w:bCs/>
          <w:i/>
          <w:iCs/>
        </w:rPr>
        <w:t>5</w:t>
      </w:r>
      <w:r w:rsidRPr="00514C0F" w:rsidR="00216856">
        <w:rPr>
          <w:rFonts w:asciiTheme="minorHAnsi" w:hAnsiTheme="minorHAnsi"/>
        </w:rPr>
        <w:t xml:space="preserve"> </w:t>
      </w:r>
    </w:p>
    <w:p w:rsidR="003D54FD" w:rsidRPr="00514C0F" w:rsidP="00D75E4E" w14:paraId="026E3BDE" w14:textId="77777777">
      <w:pPr>
        <w:rPr>
          <w:rFonts w:asciiTheme="minorHAnsi" w:hAnsiTheme="minorHAnsi"/>
          <w:b/>
        </w:rPr>
      </w:pPr>
    </w:p>
    <w:p w:rsidR="00D76439" w:rsidRPr="00514C0F" w:rsidP="00D75E4E" w14:paraId="05DDA8F6" w14:textId="3C23D29F">
      <w:pPr>
        <w:rPr>
          <w:rFonts w:asciiTheme="minorHAnsi" w:hAnsiTheme="minorHAnsi"/>
          <w:b/>
        </w:rPr>
      </w:pPr>
      <w:r w:rsidRPr="00514C0F">
        <w:rPr>
          <w:rFonts w:asciiTheme="minorHAnsi" w:hAnsiTheme="minorHAnsi"/>
          <w:b/>
        </w:rPr>
        <w:t>Review Requirements</w:t>
      </w:r>
    </w:p>
    <w:p w:rsidR="00D76439" w:rsidRPr="00514C0F" w14:paraId="117DEA82" w14:textId="7FBD6034">
      <w:pPr>
        <w:rPr>
          <w:rFonts w:asciiTheme="minorHAnsi" w:hAnsiTheme="minorHAnsi"/>
        </w:rPr>
      </w:pPr>
      <w:r w:rsidRPr="00514C0F">
        <w:rPr>
          <w:rFonts w:asciiTheme="minorHAnsi" w:hAnsiTheme="minorHAnsi"/>
        </w:rPr>
        <w:t xml:space="preserve">It is important that you read the “Institutional Application and Agreement </w:t>
      </w:r>
      <w:r w:rsidRPr="00514C0F" w:rsidR="003B04E4">
        <w:rPr>
          <w:rFonts w:asciiTheme="minorHAnsi" w:hAnsiTheme="minorHAnsi"/>
        </w:rPr>
        <w:t>to</w:t>
      </w:r>
      <w:r w:rsidRPr="00514C0F">
        <w:rPr>
          <w:rFonts w:asciiTheme="minorHAnsi" w:hAnsiTheme="minorHAnsi"/>
        </w:rPr>
        <w:t xml:space="preserve"> Participat</w:t>
      </w:r>
      <w:r w:rsidRPr="00514C0F" w:rsidR="003B04E4">
        <w:rPr>
          <w:rFonts w:asciiTheme="minorHAnsi" w:hAnsiTheme="minorHAnsi"/>
        </w:rPr>
        <w:t>e</w:t>
      </w:r>
      <w:r w:rsidRPr="00514C0F">
        <w:rPr>
          <w:rFonts w:asciiTheme="minorHAnsi" w:hAnsiTheme="minorHAnsi"/>
        </w:rPr>
        <w:t xml:space="preserve"> in the Work Colleges Program” for the </w:t>
      </w:r>
      <w:r w:rsidR="000508BA">
        <w:rPr>
          <w:rFonts w:asciiTheme="minorHAnsi" w:hAnsiTheme="minorHAnsi"/>
        </w:rPr>
        <w:t>2025–26</w:t>
      </w:r>
      <w:r w:rsidRPr="00514C0F" w:rsidR="00345D38">
        <w:rPr>
          <w:rFonts w:asciiTheme="minorHAnsi" w:hAnsiTheme="minorHAnsi"/>
        </w:rPr>
        <w:t xml:space="preserve"> </w:t>
      </w:r>
      <w:r w:rsidRPr="00514C0F">
        <w:rPr>
          <w:rFonts w:asciiTheme="minorHAnsi" w:hAnsiTheme="minorHAnsi"/>
        </w:rPr>
        <w:t>Award Year thoroughly before completing and su</w:t>
      </w:r>
      <w:r w:rsidRPr="00514C0F" w:rsidR="00064158">
        <w:rPr>
          <w:rFonts w:asciiTheme="minorHAnsi" w:hAnsiTheme="minorHAnsi"/>
        </w:rPr>
        <w:t xml:space="preserve">bmitting it to the Department. </w:t>
      </w:r>
      <w:r w:rsidRPr="00514C0F" w:rsidR="00B2521F">
        <w:rPr>
          <w:rFonts w:asciiTheme="minorHAnsi" w:hAnsiTheme="minorHAnsi"/>
        </w:rPr>
        <w:t>Whether your</w:t>
      </w:r>
      <w:r w:rsidRPr="00514C0F">
        <w:rPr>
          <w:rFonts w:asciiTheme="minorHAnsi" w:hAnsiTheme="minorHAnsi"/>
        </w:rPr>
        <w:t xml:space="preserve"> school currently participates in the program</w:t>
      </w:r>
      <w:r w:rsidRPr="00514C0F" w:rsidR="00182817">
        <w:rPr>
          <w:rFonts w:asciiTheme="minorHAnsi" w:hAnsiTheme="minorHAnsi"/>
        </w:rPr>
        <w:t xml:space="preserve"> or is submitting an initial application</w:t>
      </w:r>
      <w:r w:rsidRPr="00514C0F">
        <w:rPr>
          <w:rFonts w:asciiTheme="minorHAnsi" w:hAnsiTheme="minorHAnsi"/>
        </w:rPr>
        <w:t>, please review all the requirements under the Work Colleges Program</w:t>
      </w:r>
      <w:r w:rsidR="00382E91">
        <w:rPr>
          <w:rFonts w:asciiTheme="minorHAnsi" w:hAnsiTheme="minorHAnsi"/>
        </w:rPr>
        <w:t xml:space="preserve"> </w:t>
      </w:r>
      <w:r w:rsidRPr="00514C0F" w:rsidR="00382E91">
        <w:rPr>
          <w:rFonts w:asciiTheme="minorHAnsi" w:hAnsiTheme="minorHAnsi"/>
        </w:rPr>
        <w:t xml:space="preserve">as indicated in Section 448 of the </w:t>
      </w:r>
      <w:r w:rsidRPr="006A1C49" w:rsidR="00382E91">
        <w:rPr>
          <w:rFonts w:asciiTheme="minorHAnsi" w:hAnsiTheme="minorHAnsi"/>
          <w:i/>
          <w:iCs/>
        </w:rPr>
        <w:t>Higher Education Act of 1965</w:t>
      </w:r>
      <w:r w:rsidRPr="00514C0F" w:rsidR="00382E91">
        <w:rPr>
          <w:rFonts w:asciiTheme="minorHAnsi" w:hAnsiTheme="minorHAnsi"/>
        </w:rPr>
        <w:t>, as amended, and the applicable regulations</w:t>
      </w:r>
      <w:r w:rsidR="00B177BD">
        <w:rPr>
          <w:rFonts w:asciiTheme="minorHAnsi" w:hAnsiTheme="minorHAnsi"/>
        </w:rPr>
        <w:t xml:space="preserve"> (CFR Part 675, Subpart C)</w:t>
      </w:r>
      <w:r w:rsidRPr="00514C0F">
        <w:rPr>
          <w:rFonts w:asciiTheme="minorHAnsi" w:hAnsiTheme="minorHAnsi"/>
        </w:rPr>
        <w:t xml:space="preserve"> to ensure that your school </w:t>
      </w:r>
      <w:r w:rsidRPr="00514C0F" w:rsidR="00EE54E1">
        <w:rPr>
          <w:rFonts w:asciiTheme="minorHAnsi" w:hAnsiTheme="minorHAnsi"/>
        </w:rPr>
        <w:t>is</w:t>
      </w:r>
      <w:r w:rsidR="00514C0F">
        <w:rPr>
          <w:rFonts w:asciiTheme="minorHAnsi" w:hAnsiTheme="minorHAnsi"/>
        </w:rPr>
        <w:t xml:space="preserve"> eligible</w:t>
      </w:r>
      <w:r w:rsidRPr="00514C0F">
        <w:rPr>
          <w:rFonts w:asciiTheme="minorHAnsi" w:hAnsiTheme="minorHAnsi"/>
        </w:rPr>
        <w:t xml:space="preserve"> before requesting an allocation for the </w:t>
      </w:r>
      <w:r w:rsidR="000508BA">
        <w:rPr>
          <w:rFonts w:asciiTheme="minorHAnsi" w:hAnsiTheme="minorHAnsi"/>
        </w:rPr>
        <w:t>2025–26</w:t>
      </w:r>
      <w:r w:rsidRPr="00514C0F" w:rsidR="008A71B3">
        <w:rPr>
          <w:rFonts w:asciiTheme="minorHAnsi" w:hAnsiTheme="minorHAnsi"/>
        </w:rPr>
        <w:t xml:space="preserve"> </w:t>
      </w:r>
      <w:r w:rsidRPr="00514C0F">
        <w:rPr>
          <w:rFonts w:asciiTheme="minorHAnsi" w:hAnsiTheme="minorHAnsi"/>
        </w:rPr>
        <w:t xml:space="preserve">Award Year. </w:t>
      </w:r>
    </w:p>
    <w:p w:rsidR="00D76439" w:rsidRPr="00514C0F" w14:paraId="6F54AB80" w14:textId="77777777">
      <w:pPr>
        <w:rPr>
          <w:rFonts w:asciiTheme="minorHAnsi" w:hAnsiTheme="minorHAnsi"/>
        </w:rPr>
      </w:pPr>
    </w:p>
    <w:p w:rsidR="003E1B0D" w:rsidRPr="00514C0F" w:rsidP="00D75E4E" w14:paraId="2F0E030C" w14:textId="759F3B77">
      <w:pPr>
        <w:rPr>
          <w:rFonts w:asciiTheme="minorHAnsi" w:hAnsiTheme="minorHAnsi"/>
        </w:rPr>
      </w:pPr>
      <w:r w:rsidRPr="00514C0F">
        <w:rPr>
          <w:rFonts w:asciiTheme="minorHAnsi" w:hAnsiTheme="minorHAnsi"/>
          <w:b/>
        </w:rPr>
        <w:t>Submit Application Electronically</w:t>
      </w:r>
    </w:p>
    <w:p w:rsidR="00D76439" w:rsidRPr="00514C0F" w14:paraId="3BBE31F0" w14:textId="5145A3B2">
      <w:pPr>
        <w:rPr>
          <w:rFonts w:asciiTheme="minorHAnsi" w:hAnsiTheme="minorHAnsi"/>
        </w:rPr>
      </w:pPr>
      <w:r w:rsidRPr="00514C0F">
        <w:rPr>
          <w:rFonts w:asciiTheme="minorHAnsi" w:hAnsiTheme="minorHAnsi"/>
        </w:rPr>
        <w:t>You must transmit your application electronically. To access the application,</w:t>
      </w:r>
      <w:r w:rsidRPr="00514C0F" w:rsidR="00AF6E36">
        <w:rPr>
          <w:rFonts w:asciiTheme="minorHAnsi" w:hAnsiTheme="minorHAnsi"/>
        </w:rPr>
        <w:t xml:space="preserve"> login to the C</w:t>
      </w:r>
      <w:r w:rsidRPr="00514C0F" w:rsidR="00354D02">
        <w:rPr>
          <w:rFonts w:asciiTheme="minorHAnsi" w:hAnsiTheme="minorHAnsi"/>
        </w:rPr>
        <w:t xml:space="preserve">ommon </w:t>
      </w:r>
      <w:r w:rsidRPr="00514C0F" w:rsidR="00AF6E36">
        <w:rPr>
          <w:rFonts w:asciiTheme="minorHAnsi" w:hAnsiTheme="minorHAnsi"/>
        </w:rPr>
        <w:t>O</w:t>
      </w:r>
      <w:r w:rsidRPr="00514C0F" w:rsidR="00354D02">
        <w:rPr>
          <w:rFonts w:asciiTheme="minorHAnsi" w:hAnsiTheme="minorHAnsi"/>
        </w:rPr>
        <w:t xml:space="preserve">rigination and </w:t>
      </w:r>
      <w:r w:rsidRPr="00514C0F" w:rsidR="00AF6E36">
        <w:rPr>
          <w:rFonts w:asciiTheme="minorHAnsi" w:hAnsiTheme="minorHAnsi"/>
        </w:rPr>
        <w:t>D</w:t>
      </w:r>
      <w:r w:rsidRPr="00514C0F" w:rsidR="00354D02">
        <w:rPr>
          <w:rFonts w:asciiTheme="minorHAnsi" w:hAnsiTheme="minorHAnsi"/>
        </w:rPr>
        <w:t>isbursement (COD)</w:t>
      </w:r>
      <w:r w:rsidRPr="00514C0F" w:rsidR="00AF6E36">
        <w:rPr>
          <w:rFonts w:asciiTheme="minorHAnsi" w:hAnsiTheme="minorHAnsi"/>
        </w:rPr>
        <w:t xml:space="preserve"> </w:t>
      </w:r>
      <w:r w:rsidRPr="00514C0F" w:rsidR="00354D02">
        <w:rPr>
          <w:rFonts w:asciiTheme="minorHAnsi" w:hAnsiTheme="minorHAnsi"/>
        </w:rPr>
        <w:t>W</w:t>
      </w:r>
      <w:r w:rsidRPr="00514C0F" w:rsidR="00AF6E36">
        <w:rPr>
          <w:rFonts w:asciiTheme="minorHAnsi" w:hAnsiTheme="minorHAnsi"/>
        </w:rPr>
        <w:t>eb</w:t>
      </w:r>
      <w:r w:rsidRPr="00514C0F" w:rsidR="00354D02">
        <w:rPr>
          <w:rFonts w:asciiTheme="minorHAnsi" w:hAnsiTheme="minorHAnsi"/>
        </w:rPr>
        <w:t xml:space="preserve"> S</w:t>
      </w:r>
      <w:r w:rsidRPr="00514C0F" w:rsidR="00AF6E36">
        <w:rPr>
          <w:rFonts w:asciiTheme="minorHAnsi" w:hAnsiTheme="minorHAnsi"/>
        </w:rPr>
        <w:t xml:space="preserve">ite at </w:t>
      </w:r>
      <w:hyperlink r:id="rId8" w:history="1">
        <w:r w:rsidRPr="00514C0F" w:rsidR="00AF6E36">
          <w:rPr>
            <w:rStyle w:val="Hyperlink"/>
            <w:rFonts w:asciiTheme="minorHAnsi" w:hAnsiTheme="minorHAnsi"/>
          </w:rPr>
          <w:t>https://cod.ed.gov</w:t>
        </w:r>
      </w:hyperlink>
      <w:r w:rsidRPr="00514C0F" w:rsidR="00AF6E36">
        <w:rPr>
          <w:rFonts w:asciiTheme="minorHAnsi" w:hAnsiTheme="minorHAnsi"/>
        </w:rPr>
        <w:t>.</w:t>
      </w:r>
      <w:r w:rsidRPr="00514C0F">
        <w:rPr>
          <w:rFonts w:asciiTheme="minorHAnsi" w:hAnsiTheme="minorHAnsi"/>
        </w:rPr>
        <w:t xml:space="preserve"> </w:t>
      </w:r>
      <w:r w:rsidRPr="00514C0F" w:rsidR="0082406D">
        <w:rPr>
          <w:rFonts w:asciiTheme="minorHAnsi" w:hAnsiTheme="minorHAnsi"/>
        </w:rPr>
        <w:t xml:space="preserve"> </w:t>
      </w:r>
      <w:r w:rsidRPr="00514C0F" w:rsidR="00354D02">
        <w:rPr>
          <w:rFonts w:asciiTheme="minorHAnsi" w:hAnsiTheme="minorHAnsi"/>
        </w:rPr>
        <w:t xml:space="preserve">From the ‘School’ tab, select ‘Campus-Based’ from the left navigation menu, then select ‘Forms and Waivers’ from the menu on the Campus-Based homepage.  </w:t>
      </w:r>
      <w:r w:rsidRPr="00514C0F">
        <w:rPr>
          <w:rFonts w:asciiTheme="minorHAnsi" w:hAnsiTheme="minorHAnsi"/>
        </w:rPr>
        <w:t xml:space="preserve"> </w:t>
      </w:r>
    </w:p>
    <w:p w:rsidR="00D76439" w:rsidRPr="00514C0F" w14:paraId="1D8A961F" w14:textId="77777777">
      <w:pPr>
        <w:rPr>
          <w:rFonts w:asciiTheme="minorHAnsi" w:hAnsiTheme="minorHAnsi"/>
        </w:rPr>
      </w:pPr>
    </w:p>
    <w:p w:rsidR="00D76439" w:rsidRPr="000F0E89" w:rsidP="0008176A" w14:paraId="67269EF1" w14:textId="02AD4F8E">
      <w:pPr>
        <w:rPr>
          <w:rFonts w:asciiTheme="minorHAnsi" w:hAnsiTheme="minorHAnsi"/>
          <w:b/>
        </w:rPr>
      </w:pPr>
      <w:r w:rsidRPr="00514C0F">
        <w:rPr>
          <w:rFonts w:asciiTheme="minorHAnsi" w:hAnsiTheme="minorHAnsi"/>
          <w:b/>
        </w:rPr>
        <w:t xml:space="preserve">Sign </w:t>
      </w:r>
      <w:r w:rsidR="00447F65">
        <w:rPr>
          <w:rFonts w:asciiTheme="minorHAnsi" w:hAnsiTheme="minorHAnsi"/>
          <w:b/>
        </w:rPr>
        <w:t xml:space="preserve">and Mail </w:t>
      </w:r>
      <w:r w:rsidRPr="00514C0F" w:rsidR="000F2DEC">
        <w:rPr>
          <w:rFonts w:asciiTheme="minorHAnsi" w:hAnsiTheme="minorHAnsi"/>
          <w:b/>
        </w:rPr>
        <w:t>the Report</w:t>
      </w:r>
      <w:r w:rsidRPr="00514C0F">
        <w:rPr>
          <w:rFonts w:asciiTheme="minorHAnsi" w:hAnsiTheme="minorHAnsi"/>
          <w:b/>
        </w:rPr>
        <w:t xml:space="preserve"> </w:t>
      </w:r>
    </w:p>
    <w:p w:rsidR="008E23F1" w:rsidRPr="00405DAE" w:rsidP="00405DAE" w14:paraId="092ED80C" w14:textId="5B21890B">
      <w:pPr>
        <w:rPr>
          <w:rFonts w:asciiTheme="minorHAnsi" w:hAnsiTheme="minorHAnsi"/>
        </w:rPr>
      </w:pPr>
      <w:r w:rsidRPr="003F4C1E">
        <w:rPr>
          <w:rFonts w:asciiTheme="minorHAnsi" w:hAnsiTheme="minorHAnsi"/>
        </w:rPr>
        <w:t>The CEO must provide an original signature on the printed form</w:t>
      </w:r>
      <w:r w:rsidRPr="003F4C1E" w:rsidR="00086AED">
        <w:rPr>
          <w:rFonts w:asciiTheme="minorHAnsi" w:hAnsiTheme="minorHAnsi"/>
        </w:rPr>
        <w:t xml:space="preserve">. </w:t>
      </w:r>
      <w:r w:rsidRPr="00514C0F" w:rsidR="00071FE0">
        <w:rPr>
          <w:rFonts w:asciiTheme="minorHAnsi" w:hAnsiTheme="minorHAnsi"/>
        </w:rPr>
        <w:t xml:space="preserve">Upon completing the report, click the link to ‘Download Form/Signature Page’ from the ‘Forms and Waivers’ page to obtain the hard copy of the completed report/signature page. </w:t>
      </w:r>
      <w:r w:rsidR="00487682">
        <w:rPr>
          <w:rFonts w:asciiTheme="minorHAnsi" w:hAnsiTheme="minorHAnsi"/>
        </w:rPr>
        <w:t>The signature page must be postmarked by the applicable deadline above and mailed to:</w:t>
      </w:r>
      <w:r w:rsidR="00186879">
        <w:rPr>
          <w:rFonts w:asciiTheme="minorHAnsi" w:hAnsiTheme="minorHAnsi"/>
        </w:rPr>
        <w:t xml:space="preserve"> </w:t>
      </w:r>
      <w:r w:rsidR="007E0869">
        <w:rPr>
          <w:rFonts w:ascii="Calibri" w:hAnsi="Calibri"/>
          <w:sz w:val="22"/>
        </w:rPr>
        <w:br/>
      </w:r>
      <w:r w:rsidR="007E0869">
        <w:rPr>
          <w:rFonts w:ascii="Calibri" w:hAnsi="Calibri"/>
          <w:sz w:val="22"/>
        </w:rPr>
        <w:br/>
      </w:r>
      <w:r w:rsidRPr="00DD589E" w:rsidR="007E0869">
        <w:rPr>
          <w:rFonts w:ascii="Calibri" w:hAnsi="Calibri"/>
          <w:bCs/>
          <w:iCs/>
          <w:sz w:val="22"/>
        </w:rPr>
        <w:t>U.S. Department of Education</w:t>
      </w:r>
      <w:r w:rsidRPr="00DD589E" w:rsidR="007E0869">
        <w:rPr>
          <w:rFonts w:ascii="Calibri" w:hAnsi="Calibri"/>
          <w:bCs/>
          <w:iCs/>
          <w:sz w:val="22"/>
        </w:rPr>
        <w:br/>
      </w:r>
      <w:r w:rsidRPr="002C1062">
        <w:rPr>
          <w:rFonts w:asciiTheme="minorHAnsi" w:hAnsiTheme="minorHAnsi" w:cstheme="minorHAnsi"/>
          <w:sz w:val="22"/>
          <w:szCs w:val="22"/>
        </w:rPr>
        <w:t>P.O. Box 1130</w:t>
      </w:r>
    </w:p>
    <w:p w:rsidR="007E0869" w:rsidRPr="00DD589E" w:rsidP="008E23F1" w14:paraId="13E6907C" w14:textId="6E2D09CA">
      <w:pPr>
        <w:spacing w:after="200"/>
        <w:rPr>
          <w:rFonts w:ascii="Calibri" w:eastAsia="Calibri" w:hAnsi="Calibri"/>
          <w:sz w:val="22"/>
          <w:szCs w:val="22"/>
        </w:rPr>
      </w:pPr>
      <w:r w:rsidRPr="002C1062">
        <w:rPr>
          <w:rFonts w:asciiTheme="minorHAnsi" w:hAnsiTheme="minorHAnsi" w:cstheme="minorHAnsi"/>
          <w:sz w:val="22"/>
          <w:szCs w:val="22"/>
        </w:rPr>
        <w:t>Fairfax, VA  22038</w:t>
      </w:r>
    </w:p>
    <w:p w:rsidR="007E0869" w:rsidRPr="00DD589E" w:rsidP="007E0869" w14:paraId="0F41AEA1" w14:textId="77777777">
      <w:pPr>
        <w:spacing w:after="200"/>
        <w:rPr>
          <w:rFonts w:ascii="Calibri" w:hAnsi="Calibri"/>
        </w:rPr>
      </w:pPr>
      <w:r w:rsidRPr="00DD589E">
        <w:rPr>
          <w:rFonts w:ascii="Calibri" w:hAnsi="Calibri"/>
        </w:rPr>
        <w:t xml:space="preserve">For overnight delivery, mail to: </w:t>
      </w:r>
    </w:p>
    <w:p w:rsidR="0010724F" w:rsidRPr="002C1062" w:rsidP="0010724F" w14:paraId="65CAAC3C" w14:textId="2DB9864A">
      <w:pPr>
        <w:pStyle w:val="Default"/>
        <w:rPr>
          <w:sz w:val="20"/>
          <w:szCs w:val="20"/>
        </w:rPr>
      </w:pPr>
      <w:r>
        <w:rPr>
          <w:rFonts w:ascii="Calibri" w:hAnsi="Calibri"/>
          <w:sz w:val="22"/>
        </w:rPr>
        <w:t>U.S. Department of Education</w:t>
      </w:r>
      <w:r w:rsidR="00DD589E">
        <w:rPr>
          <w:rFonts w:ascii="Calibri" w:hAnsi="Calibri"/>
          <w:sz w:val="22"/>
        </w:rPr>
        <w:br/>
      </w:r>
      <w:r w:rsidRPr="002C1062">
        <w:rPr>
          <w:rFonts w:asciiTheme="minorHAnsi" w:hAnsiTheme="minorHAnsi" w:cstheme="minorHAnsi"/>
          <w:sz w:val="22"/>
          <w:szCs w:val="22"/>
        </w:rPr>
        <w:t>4050 Legato Road, #1100</w:t>
      </w:r>
    </w:p>
    <w:p w:rsidR="003E1B0D" w:rsidRPr="00514C0F" w:rsidP="0010724F" w14:paraId="2F0E0317" w14:textId="50DD8C9C">
      <w:pPr>
        <w:spacing w:after="200"/>
        <w:rPr>
          <w:rFonts w:asciiTheme="minorHAnsi" w:hAnsiTheme="minorHAnsi"/>
        </w:rPr>
      </w:pPr>
      <w:r w:rsidRPr="002C1062">
        <w:rPr>
          <w:rFonts w:asciiTheme="minorHAnsi" w:hAnsiTheme="minorHAnsi" w:cstheme="minorHAnsi"/>
          <w:sz w:val="22"/>
          <w:szCs w:val="22"/>
        </w:rPr>
        <w:t>Fairfax, VA  22033</w:t>
      </w:r>
      <w:r w:rsidR="00150CDE">
        <w:rPr>
          <w:rFonts w:ascii="Calibri" w:hAnsi="Calibri"/>
          <w:sz w:val="22"/>
        </w:rPr>
        <w:br/>
      </w:r>
    </w:p>
    <w:p w:rsidR="003E1B0D" w:rsidRPr="000F0E89" w14:paraId="2F0E0318" w14:textId="1C3CFCC7">
      <w:pPr>
        <w:jc w:val="center"/>
        <w:rPr>
          <w:rFonts w:asciiTheme="minorHAnsi" w:hAnsiTheme="minorHAnsi"/>
          <w:b/>
          <w:sz w:val="28"/>
          <w:szCs w:val="28"/>
          <w:u w:val="single"/>
        </w:rPr>
      </w:pPr>
      <w:r w:rsidRPr="000F0E89">
        <w:rPr>
          <w:rFonts w:asciiTheme="minorHAnsi" w:hAnsiTheme="minorHAnsi"/>
          <w:b/>
          <w:sz w:val="28"/>
          <w:szCs w:val="28"/>
          <w:u w:val="single"/>
        </w:rPr>
        <w:t>Instructions for New Applicants</w:t>
      </w:r>
    </w:p>
    <w:p w:rsidR="003E1B0D" w:rsidRPr="00514C0F" w14:paraId="2F0E0319" w14:textId="77777777">
      <w:pPr>
        <w:rPr>
          <w:rFonts w:asciiTheme="minorHAnsi" w:hAnsiTheme="minorHAnsi"/>
          <w:b/>
        </w:rPr>
      </w:pPr>
    </w:p>
    <w:p w:rsidR="003E1B0D" w:rsidRPr="00514C0F" w14:paraId="2F0E031A" w14:textId="416CF362">
      <w:pPr>
        <w:rPr>
          <w:rFonts w:asciiTheme="minorHAnsi" w:hAnsiTheme="minorHAnsi"/>
        </w:rPr>
      </w:pPr>
      <w:r w:rsidRPr="00514C0F">
        <w:rPr>
          <w:rFonts w:asciiTheme="minorHAnsi" w:hAnsiTheme="minorHAnsi"/>
        </w:rPr>
        <w:t xml:space="preserve">If your school is </w:t>
      </w:r>
      <w:r w:rsidRPr="00514C0F">
        <w:rPr>
          <w:rFonts w:asciiTheme="minorHAnsi" w:hAnsiTheme="minorHAnsi"/>
          <w:b/>
        </w:rPr>
        <w:t>not currently participating</w:t>
      </w:r>
      <w:r w:rsidRPr="00514C0F">
        <w:rPr>
          <w:rFonts w:asciiTheme="minorHAnsi" w:hAnsiTheme="minorHAnsi"/>
        </w:rPr>
        <w:t xml:space="preserve"> in the Work Colleges Program, you are considered a </w:t>
      </w:r>
      <w:r w:rsidRPr="00514C0F" w:rsidR="000626AF">
        <w:rPr>
          <w:rFonts w:asciiTheme="minorHAnsi" w:hAnsiTheme="minorHAnsi"/>
          <w:b/>
        </w:rPr>
        <w:t>new</w:t>
      </w:r>
      <w:r w:rsidRPr="00514C0F" w:rsidR="000626AF">
        <w:rPr>
          <w:rFonts w:asciiTheme="minorHAnsi" w:hAnsiTheme="minorHAnsi"/>
        </w:rPr>
        <w:t xml:space="preserve"> </w:t>
      </w:r>
      <w:r w:rsidRPr="00514C0F">
        <w:rPr>
          <w:rFonts w:asciiTheme="minorHAnsi" w:hAnsiTheme="minorHAnsi"/>
        </w:rPr>
        <w:t>applicant. As a new applicant</w:t>
      </w:r>
      <w:r w:rsidRPr="00514C0F" w:rsidR="00693041">
        <w:rPr>
          <w:rFonts w:asciiTheme="minorHAnsi" w:hAnsiTheme="minorHAnsi"/>
        </w:rPr>
        <w:t>,</w:t>
      </w:r>
      <w:r w:rsidRPr="00514C0F" w:rsidR="000626AF">
        <w:rPr>
          <w:rFonts w:asciiTheme="minorHAnsi" w:hAnsiTheme="minorHAnsi"/>
        </w:rPr>
        <w:t xml:space="preserve"> </w:t>
      </w:r>
      <w:r w:rsidRPr="00514C0F">
        <w:rPr>
          <w:rFonts w:asciiTheme="minorHAnsi" w:hAnsiTheme="minorHAnsi"/>
        </w:rPr>
        <w:t xml:space="preserve">you must also submit documentation in addition to your electronically transmitted application and </w:t>
      </w:r>
      <w:r w:rsidRPr="00514C0F" w:rsidR="00086AED">
        <w:rPr>
          <w:rFonts w:asciiTheme="minorHAnsi" w:hAnsiTheme="minorHAnsi"/>
        </w:rPr>
        <w:t xml:space="preserve">your CEO’s </w:t>
      </w:r>
      <w:r w:rsidRPr="00514C0F" w:rsidR="00090D28">
        <w:rPr>
          <w:rFonts w:asciiTheme="minorHAnsi" w:hAnsiTheme="minorHAnsi"/>
        </w:rPr>
        <w:t xml:space="preserve">original signature on the printed form </w:t>
      </w:r>
      <w:r w:rsidRPr="00514C0F">
        <w:rPr>
          <w:rFonts w:asciiTheme="minorHAnsi" w:hAnsiTheme="minorHAnsi"/>
        </w:rPr>
        <w:t xml:space="preserve">by the </w:t>
      </w:r>
      <w:r w:rsidR="00E97BDE">
        <w:rPr>
          <w:rFonts w:asciiTheme="minorHAnsi" w:hAnsiTheme="minorHAnsi"/>
        </w:rPr>
        <w:t>November 1</w:t>
      </w:r>
      <w:r w:rsidR="00E63FEB">
        <w:rPr>
          <w:rFonts w:asciiTheme="minorHAnsi" w:hAnsiTheme="minorHAnsi"/>
        </w:rPr>
        <w:t xml:space="preserve">, </w:t>
      </w:r>
      <w:r w:rsidR="000508BA">
        <w:rPr>
          <w:rFonts w:asciiTheme="minorHAnsi" w:hAnsiTheme="minorHAnsi"/>
        </w:rPr>
        <w:t>2024</w:t>
      </w:r>
      <w:r w:rsidRPr="00514C0F" w:rsidR="00487682">
        <w:rPr>
          <w:rFonts w:asciiTheme="minorHAnsi" w:hAnsiTheme="minorHAnsi"/>
        </w:rPr>
        <w:t xml:space="preserve"> </w:t>
      </w:r>
      <w:r w:rsidRPr="003F4C1E">
        <w:rPr>
          <w:rFonts w:asciiTheme="minorHAnsi" w:hAnsiTheme="minorHAnsi"/>
        </w:rPr>
        <w:t xml:space="preserve">deadline. Your </w:t>
      </w:r>
      <w:r w:rsidR="00F06ECA">
        <w:rPr>
          <w:rFonts w:asciiTheme="minorHAnsi" w:hAnsiTheme="minorHAnsi"/>
        </w:rPr>
        <w:t xml:space="preserve">supporting </w:t>
      </w:r>
      <w:r w:rsidRPr="003F4C1E">
        <w:rPr>
          <w:rFonts w:asciiTheme="minorHAnsi" w:hAnsiTheme="minorHAnsi"/>
        </w:rPr>
        <w:t>documentation</w:t>
      </w:r>
      <w:r w:rsidR="00EB2FD8">
        <w:rPr>
          <w:rFonts w:asciiTheme="minorHAnsi" w:hAnsiTheme="minorHAnsi"/>
        </w:rPr>
        <w:t xml:space="preserve"> must be sent via email to alanna.nelson@ed.gov.</w:t>
      </w:r>
      <w:r w:rsidRPr="003F4C1E">
        <w:rPr>
          <w:rFonts w:asciiTheme="minorHAnsi" w:hAnsiTheme="minorHAnsi"/>
        </w:rPr>
        <w:t xml:space="preserve"> </w:t>
      </w:r>
    </w:p>
    <w:p w:rsidR="003E1B0D" w:rsidRPr="00514C0F" w14:paraId="2F0E031B" w14:textId="77777777">
      <w:pPr>
        <w:ind w:left="1080"/>
        <w:rPr>
          <w:rFonts w:asciiTheme="minorHAnsi" w:hAnsiTheme="minorHAnsi"/>
        </w:rPr>
      </w:pPr>
    </w:p>
    <w:p w:rsidR="003E1B0D" w:rsidRPr="00514C0F" w14:paraId="2F0E031C" w14:textId="60132DEB">
      <w:pPr>
        <w:rPr>
          <w:rFonts w:asciiTheme="minorHAnsi" w:hAnsiTheme="minorHAnsi"/>
        </w:rPr>
      </w:pPr>
      <w:bookmarkStart w:id="0" w:name="_Hlk150873139"/>
      <w:r w:rsidRPr="00514C0F">
        <w:rPr>
          <w:rFonts w:asciiTheme="minorHAnsi" w:hAnsiTheme="minorHAnsi"/>
        </w:rPr>
        <w:t xml:space="preserve">You must submit any documentation that will verify that your school meets the specific requirements for the Work Colleges Program. Although you must meet all of the general requirements, your documentation must specifically show that your school </w:t>
      </w:r>
      <w:r w:rsidRPr="00514C0F">
        <w:rPr>
          <w:rFonts w:asciiTheme="minorHAnsi" w:hAnsiTheme="minorHAnsi"/>
          <w:b/>
        </w:rPr>
        <w:t>(1)</w:t>
      </w:r>
      <w:r w:rsidRPr="00514C0F">
        <w:rPr>
          <w:rFonts w:asciiTheme="minorHAnsi" w:hAnsiTheme="minorHAnsi"/>
        </w:rPr>
        <w:t xml:space="preserve"> is a public or private nonprofit, four-year, degree-granting institution with a commitment to community service, </w:t>
      </w:r>
      <w:r w:rsidRPr="00514C0F">
        <w:rPr>
          <w:rFonts w:asciiTheme="minorHAnsi" w:hAnsiTheme="minorHAnsi"/>
          <w:b/>
        </w:rPr>
        <w:t>(2)</w:t>
      </w:r>
      <w:r w:rsidRPr="00514C0F">
        <w:rPr>
          <w:rFonts w:asciiTheme="minorHAnsi" w:hAnsiTheme="minorHAnsi"/>
        </w:rPr>
        <w:t xml:space="preserve"> has operated a comprehensive work-learning-service program for at least</w:t>
      </w:r>
      <w:r w:rsidRPr="00514C0F" w:rsidR="00FB0703">
        <w:rPr>
          <w:rFonts w:asciiTheme="minorHAnsi" w:hAnsiTheme="minorHAnsi"/>
        </w:rPr>
        <w:t xml:space="preserve"> </w:t>
      </w:r>
      <w:r w:rsidRPr="00514C0F" w:rsidR="00FB0703">
        <w:rPr>
          <w:rFonts w:asciiTheme="minorHAnsi" w:hAnsiTheme="minorHAnsi"/>
          <w:i/>
        </w:rPr>
        <w:t>two</w:t>
      </w:r>
      <w:r w:rsidRPr="00514C0F">
        <w:rPr>
          <w:rFonts w:asciiTheme="minorHAnsi" w:hAnsiTheme="minorHAnsi"/>
        </w:rPr>
        <w:t xml:space="preserve"> years, </w:t>
      </w:r>
      <w:r w:rsidRPr="00514C0F">
        <w:rPr>
          <w:rFonts w:asciiTheme="minorHAnsi" w:hAnsiTheme="minorHAnsi"/>
          <w:b/>
        </w:rPr>
        <w:t>(3)</w:t>
      </w:r>
      <w:r w:rsidRPr="00514C0F">
        <w:rPr>
          <w:rFonts w:asciiTheme="minorHAnsi" w:hAnsiTheme="minorHAnsi"/>
        </w:rPr>
        <w:t xml:space="preserve"> requires students, including at least one-half of all students who are enrolled on a full-time basis, to participate in a comprehensive work-learning-service program for at least five hours each week, or at least 80 hours during each period of enrollment, except summer school, unless the student is in an approved study abroad or externship program, and </w:t>
      </w:r>
      <w:r w:rsidRPr="00514C0F">
        <w:rPr>
          <w:rFonts w:asciiTheme="minorHAnsi" w:hAnsiTheme="minorHAnsi"/>
          <w:b/>
        </w:rPr>
        <w:t>(4)</w:t>
      </w:r>
      <w:r w:rsidRPr="00514C0F">
        <w:rPr>
          <w:rFonts w:asciiTheme="minorHAnsi" w:hAnsiTheme="minorHAnsi"/>
        </w:rPr>
        <w:t xml:space="preserve"> provides students participating in the comprehensive work-learning-service program with the opportunity to contribute to their education and to the welfare of the community as a whole.</w:t>
      </w:r>
    </w:p>
    <w:p w:rsidR="003E1B0D" w:rsidRPr="00514C0F" w14:paraId="2F0E031D" w14:textId="77777777">
      <w:pPr>
        <w:ind w:left="1080"/>
        <w:rPr>
          <w:rFonts w:asciiTheme="minorHAnsi" w:hAnsiTheme="minorHAnsi"/>
        </w:rPr>
      </w:pPr>
    </w:p>
    <w:p w:rsidR="003E1B0D" w:rsidRPr="00514C0F" w14:paraId="2F0E031E" w14:textId="77777777">
      <w:pPr>
        <w:rPr>
          <w:rFonts w:asciiTheme="minorHAnsi" w:hAnsiTheme="minorHAnsi"/>
        </w:rPr>
      </w:pPr>
      <w:r w:rsidRPr="00514C0F">
        <w:rPr>
          <w:rFonts w:asciiTheme="minorHAnsi" w:hAnsiTheme="minorHAnsi"/>
        </w:rPr>
        <w:t xml:space="preserve">Your documentation must also demonstrate that the comprehensive work-learning-service program at your school </w:t>
      </w:r>
      <w:r w:rsidRPr="00514C0F">
        <w:rPr>
          <w:rFonts w:asciiTheme="minorHAnsi" w:hAnsiTheme="minorHAnsi"/>
          <w:b/>
        </w:rPr>
        <w:t>(1)</w:t>
      </w:r>
      <w:r w:rsidRPr="00514C0F">
        <w:rPr>
          <w:rFonts w:asciiTheme="minorHAnsi" w:hAnsiTheme="minorHAnsi"/>
        </w:rPr>
        <w:t xml:space="preserve"> is an integral and stated part of the school’s educational philosophy and program, </w:t>
      </w:r>
      <w:r w:rsidRPr="00514C0F">
        <w:rPr>
          <w:rFonts w:asciiTheme="minorHAnsi" w:hAnsiTheme="minorHAnsi"/>
          <w:b/>
        </w:rPr>
        <w:t>(2)</w:t>
      </w:r>
      <w:r w:rsidRPr="00514C0F">
        <w:rPr>
          <w:rFonts w:asciiTheme="minorHAnsi" w:hAnsiTheme="minorHAnsi"/>
        </w:rPr>
        <w:t xml:space="preserve"> requires participation of all resident students for enrollment and graduation, </w:t>
      </w:r>
      <w:r w:rsidRPr="00514C0F">
        <w:rPr>
          <w:rFonts w:asciiTheme="minorHAnsi" w:hAnsiTheme="minorHAnsi"/>
          <w:b/>
        </w:rPr>
        <w:t>(3)</w:t>
      </w:r>
      <w:r w:rsidRPr="00514C0F">
        <w:rPr>
          <w:rFonts w:asciiTheme="minorHAnsi" w:hAnsiTheme="minorHAnsi"/>
        </w:rPr>
        <w:t xml:space="preserve"> includes learning objectives, evaluation, and a record of work performance as part of each student’s college record, </w:t>
      </w:r>
      <w:r w:rsidRPr="00514C0F">
        <w:rPr>
          <w:rFonts w:asciiTheme="minorHAnsi" w:hAnsiTheme="minorHAnsi"/>
          <w:b/>
        </w:rPr>
        <w:t>(4)</w:t>
      </w:r>
      <w:r w:rsidRPr="00514C0F">
        <w:rPr>
          <w:rFonts w:asciiTheme="minorHAnsi" w:hAnsiTheme="minorHAnsi"/>
        </w:rPr>
        <w:t xml:space="preserve"> provides programmatic leadership by college personnel at levels comparable to traditional academic programs, </w:t>
      </w:r>
      <w:r w:rsidRPr="00514C0F">
        <w:rPr>
          <w:rFonts w:asciiTheme="minorHAnsi" w:hAnsiTheme="minorHAnsi"/>
          <w:b/>
        </w:rPr>
        <w:t>(5)</w:t>
      </w:r>
      <w:r w:rsidRPr="00514C0F">
        <w:rPr>
          <w:rFonts w:asciiTheme="minorHAnsi" w:hAnsiTheme="minorHAnsi"/>
        </w:rPr>
        <w:t xml:space="preserve"> recognizes the educational role of work-learning-service supervisors, and </w:t>
      </w:r>
      <w:r w:rsidRPr="00514C0F">
        <w:rPr>
          <w:rFonts w:asciiTheme="minorHAnsi" w:hAnsiTheme="minorHAnsi"/>
          <w:b/>
        </w:rPr>
        <w:t>(6)</w:t>
      </w:r>
      <w:r w:rsidRPr="00514C0F">
        <w:rPr>
          <w:rFonts w:asciiTheme="minorHAnsi" w:hAnsiTheme="minorHAnsi"/>
        </w:rPr>
        <w:t xml:space="preserve"> includes consequences for non-performance or failure in the work-learning-service program similar to the consequences for failure in the regular academic program.  </w:t>
      </w:r>
    </w:p>
    <w:bookmarkEnd w:id="0"/>
    <w:p w:rsidR="003E1B0D" w:rsidRPr="00514C0F" w14:paraId="2F0E031F" w14:textId="77777777">
      <w:pPr>
        <w:rPr>
          <w:rFonts w:asciiTheme="minorHAnsi" w:hAnsiTheme="minorHAnsi"/>
        </w:rPr>
      </w:pPr>
    </w:p>
    <w:p w:rsidR="003E1B0D" w:rsidRPr="00514C0F" w14:paraId="2F0E0320" w14:textId="77777777">
      <w:pPr>
        <w:rPr>
          <w:rFonts w:asciiTheme="minorHAnsi" w:hAnsiTheme="minorHAnsi"/>
        </w:rPr>
      </w:pPr>
      <w:r w:rsidRPr="00514C0F">
        <w:rPr>
          <w:rFonts w:asciiTheme="minorHAnsi" w:hAnsiTheme="minorHAnsi"/>
        </w:rPr>
        <w:t>Some examples of acceptable documentation are:</w:t>
      </w:r>
    </w:p>
    <w:p w:rsidR="003E1B0D" w:rsidRPr="00514C0F" w14:paraId="2F0E0321" w14:textId="77777777">
      <w:pPr>
        <w:ind w:left="1080"/>
        <w:rPr>
          <w:rFonts w:asciiTheme="minorHAnsi" w:hAnsiTheme="minorHAnsi"/>
        </w:rPr>
      </w:pPr>
    </w:p>
    <w:p w:rsidR="003E1B0D" w:rsidRPr="00514C0F" w14:paraId="2F0E0322" w14:textId="77777777">
      <w:pPr>
        <w:numPr>
          <w:ilvl w:val="0"/>
          <w:numId w:val="7"/>
        </w:numPr>
        <w:rPr>
          <w:rFonts w:asciiTheme="minorHAnsi" w:hAnsiTheme="minorHAnsi"/>
        </w:rPr>
      </w:pPr>
      <w:r w:rsidRPr="00514C0F">
        <w:rPr>
          <w:rFonts w:asciiTheme="minorHAnsi" w:hAnsiTheme="minorHAnsi"/>
        </w:rPr>
        <w:t>School catalog</w:t>
      </w:r>
    </w:p>
    <w:p w:rsidR="003E1B0D" w:rsidRPr="00514C0F" w14:paraId="2F0E0323" w14:textId="77777777">
      <w:pPr>
        <w:numPr>
          <w:ilvl w:val="0"/>
          <w:numId w:val="7"/>
        </w:numPr>
        <w:rPr>
          <w:rFonts w:asciiTheme="minorHAnsi" w:hAnsiTheme="minorHAnsi"/>
        </w:rPr>
      </w:pPr>
      <w:r w:rsidRPr="00514C0F">
        <w:rPr>
          <w:rFonts w:asciiTheme="minorHAnsi" w:hAnsiTheme="minorHAnsi"/>
        </w:rPr>
        <w:t>Other school publications</w:t>
      </w:r>
    </w:p>
    <w:p w:rsidR="003E1B0D" w:rsidRPr="00514C0F" w14:paraId="2F0E0324" w14:textId="77777777">
      <w:pPr>
        <w:numPr>
          <w:ilvl w:val="0"/>
          <w:numId w:val="7"/>
        </w:numPr>
        <w:rPr>
          <w:rFonts w:asciiTheme="minorHAnsi" w:hAnsiTheme="minorHAnsi"/>
        </w:rPr>
      </w:pPr>
      <w:r w:rsidRPr="00514C0F">
        <w:rPr>
          <w:rFonts w:asciiTheme="minorHAnsi" w:hAnsiTheme="minorHAnsi"/>
        </w:rPr>
        <w:t>Work-learning-service program policies and procedures</w:t>
      </w:r>
    </w:p>
    <w:p w:rsidR="003E1B0D" w:rsidRPr="00514C0F" w14:paraId="2F0E0325" w14:textId="77777777">
      <w:pPr>
        <w:numPr>
          <w:ilvl w:val="0"/>
          <w:numId w:val="7"/>
        </w:numPr>
        <w:rPr>
          <w:rFonts w:asciiTheme="minorHAnsi" w:hAnsiTheme="minorHAnsi"/>
        </w:rPr>
      </w:pPr>
      <w:r w:rsidRPr="00514C0F">
        <w:rPr>
          <w:rFonts w:asciiTheme="minorHAnsi" w:hAnsiTheme="minorHAnsi"/>
        </w:rPr>
        <w:t>Financial aid procedures</w:t>
      </w:r>
    </w:p>
    <w:p w:rsidR="003E1B0D" w:rsidRPr="00514C0F" w14:paraId="2F0E0326" w14:textId="77777777">
      <w:pPr>
        <w:numPr>
          <w:ilvl w:val="0"/>
          <w:numId w:val="7"/>
        </w:numPr>
        <w:rPr>
          <w:rFonts w:asciiTheme="minorHAnsi" w:hAnsiTheme="minorHAnsi"/>
        </w:rPr>
      </w:pPr>
      <w:r w:rsidRPr="00514C0F">
        <w:rPr>
          <w:rFonts w:asciiTheme="minorHAnsi" w:hAnsiTheme="minorHAnsi"/>
        </w:rPr>
        <w:t>Academic policies and procedures</w:t>
      </w:r>
    </w:p>
    <w:p w:rsidR="003E1B0D" w:rsidRPr="00514C0F" w14:paraId="2F0E0327" w14:textId="77777777">
      <w:pPr>
        <w:numPr>
          <w:ilvl w:val="0"/>
          <w:numId w:val="7"/>
        </w:numPr>
        <w:rPr>
          <w:rFonts w:asciiTheme="minorHAnsi" w:hAnsiTheme="minorHAnsi"/>
        </w:rPr>
      </w:pPr>
      <w:r w:rsidRPr="00514C0F">
        <w:rPr>
          <w:rFonts w:asciiTheme="minorHAnsi" w:hAnsiTheme="minorHAnsi"/>
        </w:rPr>
        <w:t>Student work-learning-service records</w:t>
      </w:r>
    </w:p>
    <w:p w:rsidR="003E1B0D" w:rsidRPr="00514C0F" w14:paraId="2F0E0328" w14:textId="77777777">
      <w:pPr>
        <w:numPr>
          <w:ilvl w:val="0"/>
          <w:numId w:val="7"/>
        </w:numPr>
        <w:rPr>
          <w:rFonts w:asciiTheme="minorHAnsi" w:hAnsiTheme="minorHAnsi"/>
        </w:rPr>
      </w:pPr>
      <w:r w:rsidRPr="00514C0F">
        <w:rPr>
          <w:rFonts w:asciiTheme="minorHAnsi" w:hAnsiTheme="minorHAnsi"/>
        </w:rPr>
        <w:t>Course curriculums</w:t>
      </w:r>
    </w:p>
    <w:p w:rsidR="003E1B0D" w:rsidRPr="00514C0F" w14:paraId="2F0E0329" w14:textId="77777777">
      <w:pPr>
        <w:ind w:left="420"/>
        <w:rPr>
          <w:rFonts w:asciiTheme="minorHAnsi" w:hAnsiTheme="minorHAnsi"/>
        </w:rPr>
      </w:pPr>
    </w:p>
    <w:p w:rsidR="003E1B0D" w:rsidRPr="00514C0F" w14:paraId="2F0E032A" w14:textId="0624A789">
      <w:pPr>
        <w:rPr>
          <w:rFonts w:asciiTheme="minorHAnsi" w:hAnsiTheme="minorHAnsi"/>
        </w:rPr>
      </w:pPr>
      <w:r w:rsidRPr="00514C0F">
        <w:rPr>
          <w:rFonts w:asciiTheme="minorHAnsi" w:hAnsiTheme="minorHAnsi"/>
        </w:rPr>
        <w:t xml:space="preserve">If your school is determined to be eligible for participation in the Work Colleges Program, the school’s eligibility will be added to the </w:t>
      </w:r>
      <w:r w:rsidRPr="00514C0F" w:rsidR="00C71569">
        <w:rPr>
          <w:rFonts w:asciiTheme="minorHAnsi" w:hAnsiTheme="minorHAnsi"/>
        </w:rPr>
        <w:t>COD</w:t>
      </w:r>
      <w:r w:rsidRPr="00514C0F">
        <w:rPr>
          <w:rFonts w:asciiTheme="minorHAnsi" w:hAnsiTheme="minorHAnsi"/>
        </w:rPr>
        <w:t xml:space="preserve"> </w:t>
      </w:r>
      <w:r w:rsidRPr="00514C0F" w:rsidR="00AB7939">
        <w:rPr>
          <w:rFonts w:asciiTheme="minorHAnsi" w:hAnsiTheme="minorHAnsi"/>
        </w:rPr>
        <w:t>Web Site</w:t>
      </w:r>
      <w:r w:rsidRPr="00514C0F" w:rsidR="00071FE0">
        <w:rPr>
          <w:rFonts w:asciiTheme="minorHAnsi" w:hAnsiTheme="minorHAnsi"/>
        </w:rPr>
        <w:t xml:space="preserve"> </w:t>
      </w:r>
      <w:r w:rsidRPr="00514C0F">
        <w:rPr>
          <w:rFonts w:asciiTheme="minorHAnsi" w:hAnsiTheme="minorHAnsi"/>
        </w:rPr>
        <w:t xml:space="preserve">and an award will be issued.  </w:t>
      </w:r>
      <w:r w:rsidR="00B177BD">
        <w:rPr>
          <w:rFonts w:asciiTheme="minorHAnsi" w:hAnsiTheme="minorHAnsi"/>
        </w:rPr>
        <w:t>The Department</w:t>
      </w:r>
      <w:r w:rsidRPr="00514C0F" w:rsidR="00B177BD">
        <w:rPr>
          <w:rFonts w:asciiTheme="minorHAnsi" w:hAnsiTheme="minorHAnsi"/>
        </w:rPr>
        <w:t xml:space="preserve"> </w:t>
      </w:r>
      <w:r w:rsidRPr="00514C0F">
        <w:rPr>
          <w:rFonts w:asciiTheme="minorHAnsi" w:hAnsiTheme="minorHAnsi"/>
        </w:rPr>
        <w:t xml:space="preserve">will notify the school by email that the award is reflected in the Statement of Account posted </w:t>
      </w:r>
      <w:r w:rsidRPr="00514C0F" w:rsidR="00F46E1A">
        <w:rPr>
          <w:rFonts w:asciiTheme="minorHAnsi" w:hAnsiTheme="minorHAnsi"/>
        </w:rPr>
        <w:t xml:space="preserve">in </w:t>
      </w:r>
      <w:r w:rsidRPr="00514C0F">
        <w:rPr>
          <w:rFonts w:asciiTheme="minorHAnsi" w:hAnsiTheme="minorHAnsi"/>
        </w:rPr>
        <w:t xml:space="preserve">the </w:t>
      </w:r>
      <w:r w:rsidRPr="003F4C1E" w:rsidR="00C71569">
        <w:rPr>
          <w:rFonts w:asciiTheme="minorHAnsi" w:hAnsiTheme="minorHAnsi"/>
        </w:rPr>
        <w:t xml:space="preserve">Campus-Based </w:t>
      </w:r>
      <w:r w:rsidRPr="00514C0F" w:rsidR="00071FE0">
        <w:rPr>
          <w:rFonts w:asciiTheme="minorHAnsi" w:hAnsiTheme="minorHAnsi"/>
        </w:rPr>
        <w:t xml:space="preserve">section </w:t>
      </w:r>
      <w:r w:rsidRPr="00514C0F" w:rsidR="00C71569">
        <w:rPr>
          <w:rFonts w:asciiTheme="minorHAnsi" w:hAnsiTheme="minorHAnsi"/>
        </w:rPr>
        <w:t xml:space="preserve">of the COD </w:t>
      </w:r>
      <w:r w:rsidRPr="00514C0F" w:rsidR="00AB7939">
        <w:rPr>
          <w:rFonts w:asciiTheme="minorHAnsi" w:hAnsiTheme="minorHAnsi"/>
        </w:rPr>
        <w:t>Web Site</w:t>
      </w:r>
      <w:r w:rsidRPr="00514C0F">
        <w:rPr>
          <w:rFonts w:asciiTheme="minorHAnsi" w:hAnsiTheme="minorHAnsi"/>
        </w:rPr>
        <w:t>.  If your school is</w:t>
      </w:r>
      <w:r w:rsidRPr="003F4C1E">
        <w:rPr>
          <w:rFonts w:asciiTheme="minorHAnsi" w:hAnsiTheme="minorHAnsi"/>
        </w:rPr>
        <w:t xml:space="preserve"> determined to be ineligible for participation, you will receive a</w:t>
      </w:r>
      <w:r w:rsidR="000F1E45">
        <w:rPr>
          <w:rFonts w:asciiTheme="minorHAnsi" w:hAnsiTheme="minorHAnsi"/>
        </w:rPr>
        <w:t>n</w:t>
      </w:r>
      <w:r w:rsidR="002305F4">
        <w:rPr>
          <w:rFonts w:asciiTheme="minorHAnsi" w:hAnsiTheme="minorHAnsi"/>
        </w:rPr>
        <w:t xml:space="preserve"> email</w:t>
      </w:r>
      <w:r w:rsidRPr="003F4C1E">
        <w:rPr>
          <w:rFonts w:asciiTheme="minorHAnsi" w:hAnsiTheme="minorHAnsi"/>
        </w:rPr>
        <w:t xml:space="preserve"> that will explain why your eligibility was denied.</w:t>
      </w:r>
    </w:p>
    <w:p w:rsidR="003E1B0D" w:rsidRPr="00514C0F" w14:paraId="2F0E032B" w14:textId="77777777">
      <w:pPr>
        <w:rPr>
          <w:rFonts w:asciiTheme="minorHAnsi" w:hAnsiTheme="minorHAnsi"/>
        </w:rPr>
      </w:pPr>
    </w:p>
    <w:p w:rsidR="003E1B0D" w:rsidRPr="00514C0F" w14:paraId="2F0E032C" w14:textId="081722E1">
      <w:pPr>
        <w:pStyle w:val="Heading1"/>
        <w:rPr>
          <w:rFonts w:asciiTheme="minorHAnsi" w:hAnsiTheme="minorHAnsi"/>
        </w:rPr>
      </w:pPr>
      <w:r w:rsidRPr="00514C0F">
        <w:rPr>
          <w:rFonts w:asciiTheme="minorHAnsi" w:hAnsiTheme="minorHAnsi"/>
        </w:rPr>
        <w:t xml:space="preserve">Information </w:t>
      </w:r>
      <w:r w:rsidRPr="00514C0F" w:rsidR="00086AED">
        <w:rPr>
          <w:rFonts w:asciiTheme="minorHAnsi" w:hAnsiTheme="minorHAnsi"/>
        </w:rPr>
        <w:t>about</w:t>
      </w:r>
      <w:r w:rsidRPr="00514C0F">
        <w:rPr>
          <w:rFonts w:asciiTheme="minorHAnsi" w:hAnsiTheme="minorHAnsi"/>
        </w:rPr>
        <w:t xml:space="preserve"> Participation in the Work Colleges Program</w:t>
      </w:r>
    </w:p>
    <w:p w:rsidR="003E1B0D" w:rsidRPr="00514C0F" w14:paraId="2F0E032D" w14:textId="77777777">
      <w:pPr>
        <w:jc w:val="center"/>
        <w:rPr>
          <w:rFonts w:asciiTheme="minorHAnsi" w:hAnsiTheme="minorHAnsi"/>
          <w:b/>
        </w:rPr>
      </w:pPr>
    </w:p>
    <w:p w:rsidR="003E1B0D" w:rsidRPr="00514C0F" w14:paraId="2F0E032E" w14:textId="08D78172">
      <w:pPr>
        <w:rPr>
          <w:rFonts w:asciiTheme="minorHAnsi" w:hAnsiTheme="minorHAnsi"/>
        </w:rPr>
      </w:pPr>
      <w:r w:rsidRPr="00514C0F">
        <w:rPr>
          <w:rFonts w:asciiTheme="minorHAnsi" w:hAnsiTheme="minorHAnsi"/>
        </w:rPr>
        <w:t xml:space="preserve">The Work Colleges Program is </w:t>
      </w:r>
      <w:r w:rsidR="0041291A">
        <w:rPr>
          <w:rFonts w:asciiTheme="minorHAnsi" w:hAnsiTheme="minorHAnsi"/>
        </w:rPr>
        <w:t>a component of the</w:t>
      </w:r>
      <w:r w:rsidRPr="0041291A">
        <w:rPr>
          <w:rFonts w:asciiTheme="minorHAnsi" w:hAnsiTheme="minorHAnsi"/>
        </w:rPr>
        <w:t xml:space="preserve"> Federal Work-Study</w:t>
      </w:r>
      <w:r w:rsidR="00B177BD">
        <w:rPr>
          <w:rFonts w:asciiTheme="minorHAnsi" w:hAnsiTheme="minorHAnsi"/>
        </w:rPr>
        <w:t xml:space="preserve"> (FWS)</w:t>
      </w:r>
      <w:r w:rsidRPr="0041291A">
        <w:rPr>
          <w:rFonts w:asciiTheme="minorHAnsi" w:hAnsiTheme="minorHAnsi"/>
        </w:rPr>
        <w:t xml:space="preserve"> Program</w:t>
      </w:r>
      <w:r w:rsidRPr="00514C0F">
        <w:rPr>
          <w:rFonts w:asciiTheme="minorHAnsi" w:hAnsiTheme="minorHAnsi"/>
        </w:rPr>
        <w:t xml:space="preserve">.  </w:t>
      </w:r>
    </w:p>
    <w:p w:rsidR="003E1B0D" w:rsidRPr="00514C0F" w14:paraId="2F0E032F" w14:textId="77777777">
      <w:pPr>
        <w:rPr>
          <w:rFonts w:asciiTheme="minorHAnsi" w:hAnsiTheme="minorHAnsi"/>
        </w:rPr>
      </w:pPr>
    </w:p>
    <w:p w:rsidR="003E1B0D" w:rsidRPr="000F0E89" w14:paraId="2F0E0330" w14:textId="76131D07">
      <w:pPr>
        <w:pStyle w:val="BodyText"/>
        <w:rPr>
          <w:rFonts w:eastAsia="Arial Unicode MS" w:asciiTheme="minorHAnsi" w:hAnsiTheme="minorHAnsi"/>
          <w:szCs w:val="24"/>
        </w:rPr>
      </w:pPr>
      <w:r w:rsidRPr="00382E91">
        <w:rPr>
          <w:rFonts w:asciiTheme="minorHAnsi" w:hAnsiTheme="minorHAnsi"/>
          <w:szCs w:val="24"/>
        </w:rPr>
        <w:t>A school participating in the Work Colleges Program receives an allocation under the FWS Program and another allocation under the Work Colleges Program. The school must set up two accounting records, one for each of these programs even if the school decides to transfer a portion or all of its FWS allocation into the Work Colleges Program. </w:t>
      </w:r>
      <w:r w:rsidRPr="00214DFF">
        <w:rPr>
          <w:rFonts w:asciiTheme="minorHAnsi" w:hAnsiTheme="minorHAnsi"/>
          <w:szCs w:val="24"/>
        </w:rPr>
        <w:t>This is true even though the allocation for the FWS Program and the Work Colleges allocation are in one G5 account. </w:t>
      </w:r>
      <w:r w:rsidRPr="000F0E89">
        <w:rPr>
          <w:rFonts w:asciiTheme="minorHAnsi" w:hAnsiTheme="minorHAnsi"/>
          <w:szCs w:val="24"/>
        </w:rPr>
        <w:t>When a school</w:t>
      </w:r>
      <w:r w:rsidRPr="000F0E89" w:rsidR="00223953">
        <w:rPr>
          <w:rFonts w:asciiTheme="minorHAnsi" w:hAnsiTheme="minorHAnsi"/>
          <w:szCs w:val="24"/>
        </w:rPr>
        <w:t>,</w:t>
      </w:r>
      <w:r w:rsidRPr="000F0E89">
        <w:rPr>
          <w:rFonts w:asciiTheme="minorHAnsi" w:hAnsiTheme="minorHAnsi"/>
          <w:szCs w:val="24"/>
        </w:rPr>
        <w:t xml:space="preserve"> at its option</w:t>
      </w:r>
      <w:r w:rsidRPr="000F0E89" w:rsidR="00223953">
        <w:rPr>
          <w:rFonts w:asciiTheme="minorHAnsi" w:hAnsiTheme="minorHAnsi"/>
          <w:szCs w:val="24"/>
        </w:rPr>
        <w:t>,</w:t>
      </w:r>
      <w:r w:rsidRPr="000F0E89">
        <w:rPr>
          <w:rFonts w:asciiTheme="minorHAnsi" w:hAnsiTheme="minorHAnsi"/>
          <w:szCs w:val="24"/>
        </w:rPr>
        <w:t xml:space="preserve"> transfers a portion or all of its FWS allocation into the Work Colleges Program, the accounting records for each program must clearly show that transfer.</w:t>
      </w:r>
    </w:p>
    <w:p w:rsidR="003E1B0D" w:rsidRPr="0041291A" w14:paraId="2F0E0331" w14:textId="0D04BBAA">
      <w:pPr>
        <w:rPr>
          <w:rFonts w:asciiTheme="minorHAnsi" w:hAnsiTheme="minorHAnsi"/>
          <w:color w:val="000000"/>
        </w:rPr>
      </w:pPr>
      <w:r w:rsidRPr="00514C0F">
        <w:rPr>
          <w:rFonts w:asciiTheme="minorHAnsi" w:hAnsiTheme="minorHAnsi"/>
          <w:color w:val="0000FF"/>
        </w:rPr>
        <w:br/>
      </w:r>
      <w:r w:rsidR="0041291A">
        <w:rPr>
          <w:rFonts w:asciiTheme="minorHAnsi" w:hAnsiTheme="minorHAnsi"/>
          <w:color w:val="000000"/>
        </w:rPr>
        <w:t>The</w:t>
      </w:r>
      <w:r w:rsidRPr="0041291A">
        <w:rPr>
          <w:rFonts w:asciiTheme="minorHAnsi" w:hAnsiTheme="minorHAnsi"/>
          <w:color w:val="000000"/>
        </w:rPr>
        <w:t xml:space="preserve"> Work Colleges Program allocation must always be matched </w:t>
      </w:r>
      <w:r w:rsidR="0041291A">
        <w:rPr>
          <w:rFonts w:asciiTheme="minorHAnsi" w:hAnsiTheme="minorHAnsi"/>
          <w:color w:val="000000"/>
        </w:rPr>
        <w:t xml:space="preserve">with institutional funds </w:t>
      </w:r>
      <w:r w:rsidRPr="0041291A">
        <w:rPr>
          <w:rFonts w:asciiTheme="minorHAnsi" w:hAnsiTheme="minorHAnsi"/>
          <w:color w:val="000000"/>
        </w:rPr>
        <w:t>on a dollar-for-dollar basis.</w:t>
      </w:r>
      <w:r w:rsidR="0041291A">
        <w:rPr>
          <w:rFonts w:asciiTheme="minorHAnsi" w:hAnsiTheme="minorHAnsi"/>
          <w:color w:val="000000"/>
        </w:rPr>
        <w:t xml:space="preserve"> This is also true for any portion </w:t>
      </w:r>
      <w:r w:rsidRPr="0041291A" w:rsidR="0041291A">
        <w:rPr>
          <w:rFonts w:asciiTheme="minorHAnsi" w:hAnsiTheme="minorHAnsi"/>
          <w:color w:val="000000"/>
        </w:rPr>
        <w:t>of the FWS allocation transferred into the Work Colleges Program</w:t>
      </w:r>
      <w:r w:rsidR="0041291A">
        <w:rPr>
          <w:rFonts w:asciiTheme="minorHAnsi" w:hAnsiTheme="minorHAnsi"/>
          <w:color w:val="000000"/>
        </w:rPr>
        <w:t>.</w:t>
      </w:r>
      <w:r w:rsidRPr="0041291A">
        <w:rPr>
          <w:rFonts w:asciiTheme="minorHAnsi" w:hAnsiTheme="minorHAnsi"/>
          <w:color w:val="000000"/>
        </w:rPr>
        <w:t> </w:t>
      </w:r>
      <w:r w:rsidRPr="00514C0F">
        <w:rPr>
          <w:rFonts w:asciiTheme="minorHAnsi" w:hAnsiTheme="minorHAnsi"/>
          <w:color w:val="000000"/>
        </w:rPr>
        <w:t xml:space="preserve">Any of the FWS allocation </w:t>
      </w:r>
      <w:r w:rsidRPr="000F0E89">
        <w:rPr>
          <w:rFonts w:asciiTheme="minorHAnsi" w:hAnsiTheme="minorHAnsi"/>
          <w:b/>
          <w:i/>
          <w:color w:val="000000"/>
        </w:rPr>
        <w:t>not</w:t>
      </w:r>
      <w:r w:rsidRPr="00514C0F">
        <w:rPr>
          <w:rFonts w:asciiTheme="minorHAnsi" w:hAnsiTheme="minorHAnsi"/>
          <w:color w:val="000000"/>
        </w:rPr>
        <w:t xml:space="preserve"> transferred into the Work Colleges Program must follow the various match rates required under the FWS Program. However, those FWS match rates do not apply to funds spent under the Work Colleges Program for either the FWS allocated funds transferred into the Work Colleges Prog</w:t>
      </w:r>
      <w:r w:rsidRPr="0041291A">
        <w:rPr>
          <w:rFonts w:asciiTheme="minorHAnsi" w:hAnsiTheme="minorHAnsi"/>
          <w:color w:val="000000"/>
        </w:rPr>
        <w:t>ram or the Work Colleges allocated funds.</w:t>
      </w:r>
    </w:p>
    <w:p w:rsidR="003E1B0D" w:rsidRPr="00514C0F" w14:paraId="2F0E0332" w14:textId="77777777">
      <w:pPr>
        <w:rPr>
          <w:rFonts w:asciiTheme="minorHAnsi" w:hAnsiTheme="minorHAnsi"/>
          <w:color w:val="000000"/>
        </w:rPr>
      </w:pPr>
    </w:p>
    <w:p w:rsidR="003E1B0D" w:rsidRPr="000F0E89" w14:paraId="2F0E0333" w14:textId="085C3E9E">
      <w:pPr>
        <w:pStyle w:val="BodyText"/>
        <w:rPr>
          <w:rFonts w:asciiTheme="minorHAnsi" w:hAnsiTheme="minorHAnsi"/>
          <w:szCs w:val="24"/>
        </w:rPr>
      </w:pPr>
      <w:r w:rsidRPr="00382E91">
        <w:rPr>
          <w:rFonts w:asciiTheme="minorHAnsi" w:hAnsiTheme="minorHAnsi"/>
          <w:szCs w:val="24"/>
        </w:rPr>
        <w:t>As a Work College participating in the Work Colleges Program the school must require all resident students who reside on campus to participate in a comprehensive work-learning-service program. </w:t>
      </w:r>
      <w:r w:rsidRPr="00214DFF">
        <w:rPr>
          <w:rFonts w:asciiTheme="minorHAnsi" w:hAnsiTheme="minorHAnsi"/>
          <w:szCs w:val="24"/>
        </w:rPr>
        <w:t>The school may only award and pay funds under the Work Colleges Program to those students who have a financial need. </w:t>
      </w:r>
      <w:r w:rsidRPr="000F0E89">
        <w:rPr>
          <w:rFonts w:asciiTheme="minorHAnsi" w:hAnsiTheme="minorHAnsi"/>
          <w:szCs w:val="24"/>
        </w:rPr>
        <w:t xml:space="preserve">The Work Colleges Program award given to a student must not exceed the student’s need. Resident students without a financial need and resident students whose need has been met must be paid with only institutional funds. This also applies to any non-resident students participating in the comprehensive work-learning-service program. </w:t>
      </w:r>
    </w:p>
    <w:p w:rsidR="003E1B0D" w:rsidRPr="00514C0F" w14:paraId="2F0E0334" w14:textId="77777777">
      <w:pPr>
        <w:rPr>
          <w:rFonts w:asciiTheme="minorHAnsi" w:hAnsiTheme="minorHAnsi"/>
          <w:color w:val="000000"/>
        </w:rPr>
      </w:pPr>
      <w:r w:rsidRPr="00514C0F">
        <w:rPr>
          <w:rFonts w:asciiTheme="minorHAnsi" w:hAnsiTheme="minorHAnsi"/>
          <w:color w:val="000000"/>
        </w:rPr>
        <w:t> </w:t>
      </w:r>
    </w:p>
    <w:p w:rsidR="003E1B0D" w:rsidRPr="00514C0F" w14:paraId="2F0E0335" w14:textId="5F4E8C89">
      <w:pPr>
        <w:rPr>
          <w:rFonts w:asciiTheme="minorHAnsi" w:hAnsiTheme="minorHAnsi"/>
          <w:color w:val="000000"/>
        </w:rPr>
      </w:pPr>
      <w:r w:rsidRPr="00514C0F">
        <w:rPr>
          <w:rFonts w:asciiTheme="minorHAnsi" w:hAnsiTheme="minorHAnsi"/>
          <w:color w:val="000000"/>
        </w:rPr>
        <w:t>When a school receives an FWS allocation, even if it decides to transfer a portion or all of that allocation into the Work Colleges Program, the school (unless it receives a waiver</w:t>
      </w:r>
      <w:r w:rsidR="00A21C3D">
        <w:rPr>
          <w:rFonts w:asciiTheme="minorHAnsi" w:hAnsiTheme="minorHAnsi"/>
          <w:color w:val="000000"/>
        </w:rPr>
        <w:t xml:space="preserve">) </w:t>
      </w:r>
      <w:r w:rsidRPr="00514C0F">
        <w:rPr>
          <w:rFonts w:asciiTheme="minorHAnsi" w:hAnsiTheme="minorHAnsi"/>
          <w:color w:val="000000"/>
        </w:rPr>
        <w:t>must spend at least seven percent of its total FWS allocation to pay students employed in community service activities. Further, in meeting this requirement</w:t>
      </w:r>
      <w:r w:rsidRPr="00514C0F" w:rsidR="005057FD">
        <w:rPr>
          <w:rFonts w:asciiTheme="minorHAnsi" w:hAnsiTheme="minorHAnsi"/>
          <w:color w:val="000000"/>
        </w:rPr>
        <w:t>,</w:t>
      </w:r>
      <w:r w:rsidRPr="00514C0F">
        <w:rPr>
          <w:rFonts w:asciiTheme="minorHAnsi" w:hAnsiTheme="minorHAnsi"/>
          <w:color w:val="000000"/>
        </w:rPr>
        <w:t xml:space="preserve"> at least one student must be employed as a reading tutor for children or performing family literacy activities. Although these community service requirements do not apply to the </w:t>
      </w:r>
      <w:r w:rsidRPr="00514C0F">
        <w:rPr>
          <w:rFonts w:asciiTheme="minorHAnsi" w:hAnsiTheme="minorHAnsi"/>
          <w:color w:val="000000"/>
        </w:rPr>
        <w:t xml:space="preserve">Work Colleges allocation, if the school transfers a portion or all of its FWS allocation into the Work Colleges Program, it must still meet the requirements above.  </w:t>
      </w:r>
    </w:p>
    <w:p w:rsidR="003E1B0D" w:rsidRPr="00514C0F" w14:paraId="2F0E0336" w14:textId="2CE319CE">
      <w:pPr>
        <w:rPr>
          <w:rFonts w:asciiTheme="minorHAnsi" w:hAnsiTheme="minorHAnsi"/>
          <w:color w:val="000000"/>
        </w:rPr>
      </w:pPr>
      <w:r w:rsidRPr="00514C0F">
        <w:rPr>
          <w:rFonts w:asciiTheme="minorHAnsi" w:hAnsiTheme="minorHAnsi"/>
          <w:color w:val="000000"/>
        </w:rPr>
        <w:br/>
        <w:t xml:space="preserve">It is important to note that one of the purposes of the Work Colleges Program is to encourage students to participate in community service activities. Also, under the Work Colleges Program a school may use program funds to administer and develop community-based work-learning-service alternatives that expand opportunities for community service. In addition, a school may use those funds to promote the work-learning-service experience as a tool for community service-learning opportunities. </w:t>
      </w:r>
    </w:p>
    <w:p w:rsidR="003E1B0D" w:rsidRPr="00514C0F" w14:paraId="2F0E0337" w14:textId="77777777">
      <w:pPr>
        <w:rPr>
          <w:rFonts w:asciiTheme="minorHAnsi" w:hAnsiTheme="minorHAnsi"/>
          <w:color w:val="000000"/>
        </w:rPr>
      </w:pPr>
      <w:r w:rsidRPr="00514C0F">
        <w:rPr>
          <w:rFonts w:asciiTheme="minorHAnsi" w:hAnsiTheme="minorHAnsi"/>
          <w:color w:val="000000"/>
        </w:rPr>
        <w:t> </w:t>
      </w:r>
    </w:p>
    <w:p w:rsidR="003E1B0D" w:rsidRPr="00514C0F" w14:paraId="2F0E0338" w14:textId="2980A691">
      <w:pPr>
        <w:rPr>
          <w:rFonts w:asciiTheme="minorHAnsi" w:hAnsiTheme="minorHAnsi"/>
          <w:color w:val="000000"/>
        </w:rPr>
      </w:pPr>
      <w:r w:rsidRPr="00514C0F">
        <w:rPr>
          <w:rFonts w:asciiTheme="minorHAnsi" w:hAnsiTheme="minorHAnsi"/>
          <w:color w:val="000000"/>
        </w:rPr>
        <w:t>Students employed under the Work Colleges Program in community service as reading tutors for children or performing family literacy activities or as mathematics tutors for children must still be paid with funds that are matched by the institution on a dollar-for-dollar basis.  The Federal share of 100 percent is only allowed for those types of employment under the FWS Program and not the Work Colleges Program. </w:t>
      </w:r>
      <w:r w:rsidRPr="00514C0F" w:rsidR="00F46E1A">
        <w:rPr>
          <w:rFonts w:asciiTheme="minorHAnsi" w:hAnsiTheme="minorHAnsi"/>
          <w:color w:val="000000"/>
        </w:rPr>
        <w:t>All</w:t>
      </w:r>
      <w:r w:rsidRPr="00514C0F">
        <w:rPr>
          <w:rFonts w:asciiTheme="minorHAnsi" w:hAnsiTheme="minorHAnsi"/>
          <w:color w:val="000000"/>
        </w:rPr>
        <w:t xml:space="preserve"> funds spent under the Work Colleges Program must always be </w:t>
      </w:r>
      <w:r w:rsidRPr="00514C0F" w:rsidR="00F46E1A">
        <w:rPr>
          <w:rFonts w:asciiTheme="minorHAnsi" w:hAnsiTheme="minorHAnsi"/>
          <w:color w:val="000000"/>
        </w:rPr>
        <w:t>matched</w:t>
      </w:r>
      <w:r w:rsidRPr="00514C0F">
        <w:rPr>
          <w:rFonts w:asciiTheme="minorHAnsi" w:hAnsiTheme="minorHAnsi"/>
          <w:color w:val="000000"/>
        </w:rPr>
        <w:t xml:space="preserve"> dollar-for-dollar. </w:t>
      </w:r>
    </w:p>
    <w:p w:rsidR="003E1B0D" w:rsidRPr="00514C0F" w14:paraId="2F0E0339" w14:textId="77777777">
      <w:pPr>
        <w:rPr>
          <w:rFonts w:asciiTheme="minorHAnsi" w:hAnsiTheme="minorHAnsi"/>
          <w:color w:val="000000"/>
        </w:rPr>
      </w:pPr>
      <w:r w:rsidRPr="00514C0F">
        <w:rPr>
          <w:rFonts w:asciiTheme="minorHAnsi" w:hAnsiTheme="minorHAnsi"/>
          <w:color w:val="000000"/>
        </w:rPr>
        <w:t> </w:t>
      </w:r>
    </w:p>
    <w:p w:rsidR="003E1B0D" w:rsidRPr="00514C0F" w14:paraId="2F0E033A" w14:textId="77777777">
      <w:pPr>
        <w:rPr>
          <w:rFonts w:asciiTheme="minorHAnsi" w:hAnsiTheme="minorHAnsi"/>
          <w:color w:val="000000"/>
        </w:rPr>
      </w:pPr>
      <w:r w:rsidRPr="00514C0F">
        <w:rPr>
          <w:rFonts w:asciiTheme="minorHAnsi" w:hAnsiTheme="minorHAnsi"/>
          <w:color w:val="000000"/>
        </w:rPr>
        <w:t xml:space="preserve">It is important to note the following information regarding the percentages for other elements that are not compensation items or community service items under the Work Colleges Program versus the FWS Program: </w:t>
      </w:r>
    </w:p>
    <w:p w:rsidR="003E1B0D" w:rsidRPr="00514C0F" w14:paraId="2F0E033B" w14:textId="77777777">
      <w:pPr>
        <w:rPr>
          <w:rFonts w:asciiTheme="minorHAnsi" w:hAnsiTheme="minorHAnsi"/>
          <w:color w:val="000000"/>
        </w:rPr>
      </w:pPr>
    </w:p>
    <w:p w:rsidR="003E1B0D" w:rsidRPr="00514C0F" w14:paraId="2F0E033C" w14:textId="5282F2CE">
      <w:pPr>
        <w:numPr>
          <w:ilvl w:val="0"/>
          <w:numId w:val="8"/>
        </w:numPr>
        <w:rPr>
          <w:rFonts w:asciiTheme="minorHAnsi" w:hAnsiTheme="minorHAnsi"/>
          <w:color w:val="000000"/>
        </w:rPr>
      </w:pPr>
      <w:r w:rsidRPr="00514C0F">
        <w:rPr>
          <w:rFonts w:asciiTheme="minorHAnsi" w:hAnsiTheme="minorHAnsi"/>
          <w:color w:val="000000"/>
        </w:rPr>
        <w:t xml:space="preserve">Under both the FWS Program and the Work Colleges Program, a school may carry forward and carry back funds up to 10 percent of its allocated funds under either program. </w:t>
      </w:r>
    </w:p>
    <w:p w:rsidR="003E1B0D" w:rsidRPr="00514C0F" w14:paraId="2F0E033D" w14:textId="77777777">
      <w:pPr>
        <w:ind w:left="360"/>
        <w:rPr>
          <w:rFonts w:asciiTheme="minorHAnsi" w:hAnsiTheme="minorHAnsi"/>
          <w:color w:val="000000"/>
        </w:rPr>
      </w:pPr>
    </w:p>
    <w:p w:rsidR="003E1B0D" w:rsidRPr="00514C0F" w14:paraId="2F0E033E" w14:textId="30DBF9A8">
      <w:pPr>
        <w:numPr>
          <w:ilvl w:val="0"/>
          <w:numId w:val="8"/>
        </w:numPr>
        <w:rPr>
          <w:rFonts w:asciiTheme="minorHAnsi" w:hAnsiTheme="minorHAnsi"/>
          <w:color w:val="000000"/>
        </w:rPr>
      </w:pPr>
      <w:r w:rsidRPr="00514C0F">
        <w:rPr>
          <w:rFonts w:asciiTheme="minorHAnsi" w:hAnsiTheme="minorHAnsi"/>
          <w:color w:val="000000"/>
        </w:rPr>
        <w:t xml:space="preserve">Under both the FWS Program and the Work Colleges Program, a school may receive the regular administrative cost allowance based on total compensation paid to eligible students (five percent for the first $2,750,000 spent under campus-based, </w:t>
      </w:r>
      <w:r w:rsidRPr="00514C0F">
        <w:rPr>
          <w:rFonts w:asciiTheme="minorHAnsi" w:hAnsiTheme="minorHAnsi"/>
          <w:color w:val="000000"/>
        </w:rPr>
        <w:t>etc</w:t>
      </w:r>
      <w:r w:rsidRPr="00514C0F">
        <w:rPr>
          <w:rFonts w:asciiTheme="minorHAnsi" w:hAnsiTheme="minorHAnsi"/>
          <w:color w:val="000000"/>
        </w:rPr>
        <w:t xml:space="preserve">). However, in this case you may not claim funds twice by also using the separate Work Colleges allowable administrative allowance to pay for the same costs. </w:t>
      </w:r>
    </w:p>
    <w:p w:rsidR="003E1B0D" w:rsidRPr="00514C0F" w14:paraId="2F0E033F" w14:textId="77777777">
      <w:pPr>
        <w:ind w:left="360"/>
        <w:rPr>
          <w:rFonts w:asciiTheme="minorHAnsi" w:hAnsiTheme="minorHAnsi"/>
          <w:color w:val="000000"/>
        </w:rPr>
      </w:pPr>
    </w:p>
    <w:p w:rsidR="003E1B0D" w:rsidRPr="0041291A" w14:paraId="2F0E0340" w14:textId="2391182C">
      <w:pPr>
        <w:numPr>
          <w:ilvl w:val="0"/>
          <w:numId w:val="8"/>
        </w:numPr>
        <w:rPr>
          <w:rFonts w:asciiTheme="minorHAnsi" w:hAnsiTheme="minorHAnsi"/>
          <w:color w:val="000000"/>
        </w:rPr>
      </w:pPr>
      <w:r w:rsidRPr="00514C0F">
        <w:rPr>
          <w:rFonts w:asciiTheme="minorHAnsi" w:hAnsiTheme="minorHAnsi"/>
          <w:color w:val="000000"/>
        </w:rPr>
        <w:t xml:space="preserve">Under the FWS Program, a school may transfer up to 25 percent of its total FWS allocation for an award year to the Federal Supplemental Educational Opportunity Grant (FSEOG) Program. The school may not transfer any of the Work Colleges allocation to </w:t>
      </w:r>
      <w:r w:rsidRPr="00514C0F" w:rsidR="00F46E1A">
        <w:rPr>
          <w:rFonts w:asciiTheme="minorHAnsi" w:hAnsiTheme="minorHAnsi"/>
          <w:color w:val="000000"/>
        </w:rPr>
        <w:t xml:space="preserve">any other Campus-Based </w:t>
      </w:r>
      <w:r w:rsidRPr="003F4C1E">
        <w:rPr>
          <w:rFonts w:asciiTheme="minorHAnsi" w:hAnsiTheme="minorHAnsi"/>
          <w:color w:val="000000"/>
        </w:rPr>
        <w:t xml:space="preserve">Program. </w:t>
      </w:r>
    </w:p>
    <w:p w:rsidR="003E1B0D" w:rsidRPr="00514C0F" w14:paraId="2F0E0341" w14:textId="77777777">
      <w:pPr>
        <w:ind w:left="360"/>
        <w:rPr>
          <w:rFonts w:asciiTheme="minorHAnsi" w:hAnsiTheme="minorHAnsi"/>
          <w:color w:val="000000"/>
        </w:rPr>
      </w:pPr>
    </w:p>
    <w:p w:rsidR="003E1B0D" w:rsidRPr="00C707D2" w:rsidP="00C707D2" w14:paraId="2F0E034D" w14:textId="5F675748">
      <w:pPr>
        <w:numPr>
          <w:ilvl w:val="0"/>
          <w:numId w:val="8"/>
        </w:numPr>
        <w:rPr>
          <w:rFonts w:asciiTheme="minorHAnsi" w:hAnsiTheme="minorHAnsi"/>
          <w:color w:val="000000"/>
        </w:rPr>
      </w:pPr>
      <w:r w:rsidRPr="00514C0F">
        <w:rPr>
          <w:rFonts w:asciiTheme="minorHAnsi" w:hAnsiTheme="minorHAnsi"/>
          <w:color w:val="000000"/>
        </w:rPr>
        <w:t>Under the J</w:t>
      </w:r>
      <w:r w:rsidR="00DC2390">
        <w:rPr>
          <w:rFonts w:asciiTheme="minorHAnsi" w:hAnsiTheme="minorHAnsi"/>
          <w:color w:val="000000"/>
        </w:rPr>
        <w:t>ob Location and Development (JLD)</w:t>
      </w:r>
      <w:r w:rsidRPr="00514C0F">
        <w:rPr>
          <w:rFonts w:asciiTheme="minorHAnsi" w:hAnsiTheme="minorHAnsi"/>
          <w:color w:val="000000"/>
        </w:rPr>
        <w:t xml:space="preserve"> Program, a school may use the lesser of 10</w:t>
      </w:r>
      <w:r w:rsidR="00DC2390">
        <w:rPr>
          <w:rFonts w:asciiTheme="minorHAnsi" w:hAnsiTheme="minorHAnsi"/>
          <w:color w:val="000000"/>
        </w:rPr>
        <w:t xml:space="preserve"> percent </w:t>
      </w:r>
      <w:r w:rsidRPr="00514C0F">
        <w:rPr>
          <w:rFonts w:asciiTheme="minorHAnsi" w:hAnsiTheme="minorHAnsi"/>
          <w:color w:val="000000"/>
        </w:rPr>
        <w:t>or $75,000 of its FWS allocation for the JLD Program. Under the Work Colleges Program, there is no limit set for JLD activities. Under the JLD Program, the Federal share can be as high as 80 percent when using the FWS allocation. When performing</w:t>
      </w:r>
      <w:r w:rsidRPr="00514C0F" w:rsidR="00B2521F">
        <w:rPr>
          <w:rFonts w:asciiTheme="minorHAnsi" w:hAnsiTheme="minorHAnsi"/>
          <w:color w:val="000000"/>
        </w:rPr>
        <w:t xml:space="preserve"> </w:t>
      </w:r>
      <w:r w:rsidRPr="00514C0F">
        <w:rPr>
          <w:rFonts w:asciiTheme="minorHAnsi" w:hAnsiTheme="minorHAnsi"/>
          <w:color w:val="000000"/>
        </w:rPr>
        <w:t xml:space="preserve">JLD activities under the Work Colleges Program the match is always on a dollar-for-dollar basis. </w:t>
      </w:r>
    </w:p>
    <w:sectPr w:rsidSect="00D532F1">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AED" w14:paraId="2F0E0352" w14:textId="77777777">
    <w:pPr>
      <w:pStyle w:val="Footer"/>
      <w:jc w:val="right"/>
    </w:pPr>
    <w:r>
      <w:fldChar w:fldCharType="begin"/>
    </w:r>
    <w:r>
      <w:instrText xml:space="preserve"> PAGE   \* MERGEFORMAT </w:instrText>
    </w:r>
    <w:r>
      <w:fldChar w:fldCharType="separate"/>
    </w:r>
    <w:r w:rsidR="00CB4CAF">
      <w:rPr>
        <w:noProof/>
      </w:rPr>
      <w:t>1</w:t>
    </w:r>
    <w:r>
      <w:rPr>
        <w:noProof/>
      </w:rPr>
      <w:fldChar w:fldCharType="end"/>
    </w:r>
  </w:p>
  <w:p w:rsidR="00086AED" w14:paraId="2F0E03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AED" w:rsidRPr="00AF6E36" w:rsidP="00AF6E36" w14:paraId="281CEE84" w14:textId="20790CC3">
    <w:pPr>
      <w:pStyle w:val="Header"/>
      <w:jc w:val="right"/>
      <w:rPr>
        <w:rFonts w:asciiTheme="minorHAnsi" w:hAnsiTheme="minorHAnsi"/>
        <w:sz w:val="22"/>
        <w:szCs w:val="22"/>
      </w:rPr>
    </w:pPr>
    <w:r w:rsidRPr="00AF6E36">
      <w:rPr>
        <w:rFonts w:asciiTheme="minorHAnsi" w:hAnsiTheme="minorHAnsi"/>
        <w:sz w:val="22"/>
        <w:szCs w:val="22"/>
      </w:rPr>
      <w:t>OMB No:  1845-</w:t>
    </w:r>
    <w:r w:rsidR="00496EB4">
      <w:rPr>
        <w:rFonts w:asciiTheme="minorHAnsi" w:hAnsiTheme="minorHAnsi"/>
        <w:sz w:val="22"/>
        <w:szCs w:val="22"/>
      </w:rPr>
      <w:t>0153</w:t>
    </w:r>
  </w:p>
  <w:p w:rsidR="00086AED" w:rsidRPr="00AF6E36" w:rsidP="00AF6E36" w14:paraId="55D97B01" w14:textId="1A69B8F6">
    <w:pPr>
      <w:pStyle w:val="Header"/>
      <w:jc w:val="right"/>
      <w:rPr>
        <w:rFonts w:asciiTheme="minorHAnsi" w:hAnsiTheme="minorHAnsi"/>
        <w:sz w:val="22"/>
        <w:szCs w:val="22"/>
      </w:rPr>
    </w:pPr>
    <w:r w:rsidRPr="00C707D2">
      <w:rPr>
        <w:rFonts w:asciiTheme="minorHAnsi" w:hAnsiTheme="minorHAnsi"/>
        <w:sz w:val="22"/>
        <w:szCs w:val="22"/>
      </w:rPr>
      <w:t xml:space="preserve">Expires:  </w:t>
    </w:r>
    <w:r w:rsidR="00B42A68">
      <w:rPr>
        <w:rFonts w:asciiTheme="minorHAnsi" w:hAnsiTheme="minorHAnsi"/>
        <w:sz w:val="22"/>
        <w:szCs w:val="22"/>
      </w:rPr>
      <w:t>xx/xx/</w:t>
    </w:r>
    <w:r w:rsidR="00B42A68">
      <w:rPr>
        <w:rFonts w:asciiTheme="minorHAnsi" w:hAnsiTheme="minorHAnsi"/>
        <w:sz w:val="22"/>
        <w:szCs w:val="22"/>
      </w:rPr>
      <w:t>xxxx</w:t>
    </w:r>
  </w:p>
  <w:p w:rsidR="00086AED" w:rsidRPr="00AF6E36" w:rsidP="00AF6E36" w14:paraId="05FD1823" w14:textId="77777777">
    <w:pPr>
      <w:pStyle w:val="Heade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246A89"/>
    <w:multiLevelType w:val="hybridMultilevel"/>
    <w:tmpl w:val="4A38B28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6E84E98"/>
    <w:multiLevelType w:val="hybridMultilevel"/>
    <w:tmpl w:val="BEB8258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2D90340B"/>
    <w:multiLevelType w:val="hybridMultilevel"/>
    <w:tmpl w:val="D082B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917656"/>
    <w:multiLevelType w:val="hybridMultilevel"/>
    <w:tmpl w:val="BB589C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1796404"/>
    <w:multiLevelType w:val="hybridMultilevel"/>
    <w:tmpl w:val="6EA66D5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2"/>
      <w:numFmt w:val="bullet"/>
      <w:lvlText w:val="-"/>
      <w:lvlJc w:val="left"/>
      <w:pPr>
        <w:tabs>
          <w:tab w:val="num" w:pos="2400"/>
        </w:tabs>
        <w:ind w:left="2400" w:hanging="360"/>
      </w:pPr>
      <w:rPr>
        <w:rFonts w:ascii="Times New Roman" w:eastAsia="Times New Roman" w:hAnsi="Times New Roman" w:cs="Times New Roman"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5">
    <w:nsid w:val="52D75A2B"/>
    <w:multiLevelType w:val="hybridMultilevel"/>
    <w:tmpl w:val="EA3A33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7487687"/>
    <w:multiLevelType w:val="hybridMultilevel"/>
    <w:tmpl w:val="6A0CDC6C"/>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1080"/>
        </w:tabs>
        <w:ind w:left="1080" w:hanging="360"/>
      </w:pPr>
      <w:rPr>
        <w:rFonts w:ascii="Times New Roman" w:eastAsia="Times New Roman" w:hAnsi="Times New Roman" w:cs="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709D0763"/>
    <w:multiLevelType w:val="hybridMultilevel"/>
    <w:tmpl w:val="95DEDA5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764F58"/>
    <w:multiLevelType w:val="hybridMultilevel"/>
    <w:tmpl w:val="9EB0534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3763378">
    <w:abstractNumId w:val="0"/>
  </w:num>
  <w:num w:numId="2" w16cid:durableId="1994555341">
    <w:abstractNumId w:val="6"/>
  </w:num>
  <w:num w:numId="3" w16cid:durableId="1730641228">
    <w:abstractNumId w:val="3"/>
  </w:num>
  <w:num w:numId="4" w16cid:durableId="1440372211">
    <w:abstractNumId w:val="7"/>
  </w:num>
  <w:num w:numId="5" w16cid:durableId="779884727">
    <w:abstractNumId w:val="8"/>
  </w:num>
  <w:num w:numId="6" w16cid:durableId="1006712525">
    <w:abstractNumId w:val="4"/>
  </w:num>
  <w:num w:numId="7" w16cid:durableId="1011952326">
    <w:abstractNumId w:val="1"/>
  </w:num>
  <w:num w:numId="8" w16cid:durableId="303974422">
    <w:abstractNumId w:val="5"/>
  </w:num>
  <w:num w:numId="9" w16cid:durableId="51349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3F"/>
    <w:rsid w:val="00014809"/>
    <w:rsid w:val="000419C0"/>
    <w:rsid w:val="00043D25"/>
    <w:rsid w:val="000508BA"/>
    <w:rsid w:val="00061DCB"/>
    <w:rsid w:val="000626AF"/>
    <w:rsid w:val="00064158"/>
    <w:rsid w:val="00071FE0"/>
    <w:rsid w:val="0008176A"/>
    <w:rsid w:val="0008537E"/>
    <w:rsid w:val="00086AED"/>
    <w:rsid w:val="00090D28"/>
    <w:rsid w:val="000914E4"/>
    <w:rsid w:val="00095F1D"/>
    <w:rsid w:val="000A4E2D"/>
    <w:rsid w:val="000A5204"/>
    <w:rsid w:val="000A6523"/>
    <w:rsid w:val="000E2861"/>
    <w:rsid w:val="000F0E89"/>
    <w:rsid w:val="000F1E45"/>
    <w:rsid w:val="000F2DEC"/>
    <w:rsid w:val="0010724F"/>
    <w:rsid w:val="00110462"/>
    <w:rsid w:val="00126F10"/>
    <w:rsid w:val="00132CAB"/>
    <w:rsid w:val="00135D64"/>
    <w:rsid w:val="00146284"/>
    <w:rsid w:val="00150CDE"/>
    <w:rsid w:val="001513C1"/>
    <w:rsid w:val="00157E39"/>
    <w:rsid w:val="001621E8"/>
    <w:rsid w:val="0016640C"/>
    <w:rsid w:val="00182817"/>
    <w:rsid w:val="00186879"/>
    <w:rsid w:val="001C5F02"/>
    <w:rsid w:val="00214DFF"/>
    <w:rsid w:val="00216856"/>
    <w:rsid w:val="00221AC4"/>
    <w:rsid w:val="00223953"/>
    <w:rsid w:val="00227ABF"/>
    <w:rsid w:val="00227EE4"/>
    <w:rsid w:val="002305F4"/>
    <w:rsid w:val="0023069F"/>
    <w:rsid w:val="00237568"/>
    <w:rsid w:val="00253D05"/>
    <w:rsid w:val="00261518"/>
    <w:rsid w:val="00273904"/>
    <w:rsid w:val="0027696A"/>
    <w:rsid w:val="002A5D08"/>
    <w:rsid w:val="002C1062"/>
    <w:rsid w:val="002C1916"/>
    <w:rsid w:val="002E6184"/>
    <w:rsid w:val="0032696C"/>
    <w:rsid w:val="0033373F"/>
    <w:rsid w:val="00337449"/>
    <w:rsid w:val="00345D38"/>
    <w:rsid w:val="00354D02"/>
    <w:rsid w:val="003624B9"/>
    <w:rsid w:val="00371785"/>
    <w:rsid w:val="00372A03"/>
    <w:rsid w:val="00382E91"/>
    <w:rsid w:val="003847A5"/>
    <w:rsid w:val="00396D5C"/>
    <w:rsid w:val="003A397F"/>
    <w:rsid w:val="003B04E4"/>
    <w:rsid w:val="003B772A"/>
    <w:rsid w:val="003C33A5"/>
    <w:rsid w:val="003D0107"/>
    <w:rsid w:val="003D1F53"/>
    <w:rsid w:val="003D54FD"/>
    <w:rsid w:val="003E1B0D"/>
    <w:rsid w:val="003E35E7"/>
    <w:rsid w:val="003F4C1E"/>
    <w:rsid w:val="00405DAE"/>
    <w:rsid w:val="0041291A"/>
    <w:rsid w:val="00424EDE"/>
    <w:rsid w:val="00434C65"/>
    <w:rsid w:val="00443077"/>
    <w:rsid w:val="0044505D"/>
    <w:rsid w:val="00447F65"/>
    <w:rsid w:val="0045416C"/>
    <w:rsid w:val="00457841"/>
    <w:rsid w:val="00487682"/>
    <w:rsid w:val="00496EB4"/>
    <w:rsid w:val="00497CD3"/>
    <w:rsid w:val="004B0B76"/>
    <w:rsid w:val="004D1071"/>
    <w:rsid w:val="004E464C"/>
    <w:rsid w:val="005057FD"/>
    <w:rsid w:val="00514C0F"/>
    <w:rsid w:val="00523ACF"/>
    <w:rsid w:val="00554BDE"/>
    <w:rsid w:val="00554D59"/>
    <w:rsid w:val="0057318F"/>
    <w:rsid w:val="00582085"/>
    <w:rsid w:val="005B076A"/>
    <w:rsid w:val="005B30B2"/>
    <w:rsid w:val="005B493B"/>
    <w:rsid w:val="005C0C9C"/>
    <w:rsid w:val="005D1F95"/>
    <w:rsid w:val="005E7394"/>
    <w:rsid w:val="00612C4C"/>
    <w:rsid w:val="00612E8A"/>
    <w:rsid w:val="00617F74"/>
    <w:rsid w:val="00626A46"/>
    <w:rsid w:val="006351D5"/>
    <w:rsid w:val="0066100A"/>
    <w:rsid w:val="00673C58"/>
    <w:rsid w:val="0067421D"/>
    <w:rsid w:val="00682499"/>
    <w:rsid w:val="00693041"/>
    <w:rsid w:val="00694C85"/>
    <w:rsid w:val="006A0432"/>
    <w:rsid w:val="006A1C49"/>
    <w:rsid w:val="006C014C"/>
    <w:rsid w:val="006C21DA"/>
    <w:rsid w:val="006C3829"/>
    <w:rsid w:val="006D4DD7"/>
    <w:rsid w:val="006D68FF"/>
    <w:rsid w:val="006D78C7"/>
    <w:rsid w:val="006E3ED9"/>
    <w:rsid w:val="007066B7"/>
    <w:rsid w:val="00733C90"/>
    <w:rsid w:val="0073428F"/>
    <w:rsid w:val="00754F73"/>
    <w:rsid w:val="00772D67"/>
    <w:rsid w:val="00784F6B"/>
    <w:rsid w:val="007A02A0"/>
    <w:rsid w:val="007C14DE"/>
    <w:rsid w:val="007D15E7"/>
    <w:rsid w:val="007D4AE0"/>
    <w:rsid w:val="007E0869"/>
    <w:rsid w:val="007E1934"/>
    <w:rsid w:val="0082406D"/>
    <w:rsid w:val="00853E9E"/>
    <w:rsid w:val="008566AF"/>
    <w:rsid w:val="0086564F"/>
    <w:rsid w:val="00875805"/>
    <w:rsid w:val="00895ACF"/>
    <w:rsid w:val="008A0008"/>
    <w:rsid w:val="008A71B3"/>
    <w:rsid w:val="008C779B"/>
    <w:rsid w:val="008D7239"/>
    <w:rsid w:val="008E23F1"/>
    <w:rsid w:val="008E4527"/>
    <w:rsid w:val="008E61FF"/>
    <w:rsid w:val="009075F1"/>
    <w:rsid w:val="00911C1A"/>
    <w:rsid w:val="00931386"/>
    <w:rsid w:val="009C4797"/>
    <w:rsid w:val="00A02AE4"/>
    <w:rsid w:val="00A20DF1"/>
    <w:rsid w:val="00A21C3D"/>
    <w:rsid w:val="00A37352"/>
    <w:rsid w:val="00A410A0"/>
    <w:rsid w:val="00A52DD3"/>
    <w:rsid w:val="00A663E9"/>
    <w:rsid w:val="00A87195"/>
    <w:rsid w:val="00AA0A2B"/>
    <w:rsid w:val="00AA1ECC"/>
    <w:rsid w:val="00AA7B2A"/>
    <w:rsid w:val="00AB5A0E"/>
    <w:rsid w:val="00AB7939"/>
    <w:rsid w:val="00AC787C"/>
    <w:rsid w:val="00AD1722"/>
    <w:rsid w:val="00AF6E36"/>
    <w:rsid w:val="00AF7E89"/>
    <w:rsid w:val="00B042E3"/>
    <w:rsid w:val="00B14FF0"/>
    <w:rsid w:val="00B177BD"/>
    <w:rsid w:val="00B230E4"/>
    <w:rsid w:val="00B2521F"/>
    <w:rsid w:val="00B35090"/>
    <w:rsid w:val="00B42A68"/>
    <w:rsid w:val="00B44211"/>
    <w:rsid w:val="00B5028E"/>
    <w:rsid w:val="00B7645D"/>
    <w:rsid w:val="00B767E1"/>
    <w:rsid w:val="00B867CA"/>
    <w:rsid w:val="00BA28DF"/>
    <w:rsid w:val="00BA4860"/>
    <w:rsid w:val="00BA6C3D"/>
    <w:rsid w:val="00BA7E48"/>
    <w:rsid w:val="00BB6CB4"/>
    <w:rsid w:val="00BC12E1"/>
    <w:rsid w:val="00BE58F2"/>
    <w:rsid w:val="00BF4E6C"/>
    <w:rsid w:val="00C17316"/>
    <w:rsid w:val="00C42BA0"/>
    <w:rsid w:val="00C707D2"/>
    <w:rsid w:val="00C71569"/>
    <w:rsid w:val="00C85F08"/>
    <w:rsid w:val="00CA3CC2"/>
    <w:rsid w:val="00CB4CAF"/>
    <w:rsid w:val="00CD2F35"/>
    <w:rsid w:val="00CD5880"/>
    <w:rsid w:val="00D26D66"/>
    <w:rsid w:val="00D3150D"/>
    <w:rsid w:val="00D532F1"/>
    <w:rsid w:val="00D75E4E"/>
    <w:rsid w:val="00D76439"/>
    <w:rsid w:val="00D81436"/>
    <w:rsid w:val="00D973F9"/>
    <w:rsid w:val="00DC09C2"/>
    <w:rsid w:val="00DC1670"/>
    <w:rsid w:val="00DC2390"/>
    <w:rsid w:val="00DC5B37"/>
    <w:rsid w:val="00DD3250"/>
    <w:rsid w:val="00DD589E"/>
    <w:rsid w:val="00DD5B63"/>
    <w:rsid w:val="00DE58EA"/>
    <w:rsid w:val="00DF39FA"/>
    <w:rsid w:val="00DF5059"/>
    <w:rsid w:val="00DF6AC6"/>
    <w:rsid w:val="00E22763"/>
    <w:rsid w:val="00E45780"/>
    <w:rsid w:val="00E63FEB"/>
    <w:rsid w:val="00E65029"/>
    <w:rsid w:val="00E90608"/>
    <w:rsid w:val="00E93F01"/>
    <w:rsid w:val="00E97BDE"/>
    <w:rsid w:val="00EA06F6"/>
    <w:rsid w:val="00EA1D72"/>
    <w:rsid w:val="00EA57EC"/>
    <w:rsid w:val="00EB15EE"/>
    <w:rsid w:val="00EB2FD8"/>
    <w:rsid w:val="00EE20CA"/>
    <w:rsid w:val="00EE3193"/>
    <w:rsid w:val="00EE4F64"/>
    <w:rsid w:val="00EE54E1"/>
    <w:rsid w:val="00EF0346"/>
    <w:rsid w:val="00EF0C7E"/>
    <w:rsid w:val="00EF4BB2"/>
    <w:rsid w:val="00F06ECA"/>
    <w:rsid w:val="00F17DB7"/>
    <w:rsid w:val="00F27C37"/>
    <w:rsid w:val="00F342B5"/>
    <w:rsid w:val="00F409DD"/>
    <w:rsid w:val="00F46E1A"/>
    <w:rsid w:val="00F5294C"/>
    <w:rsid w:val="00F81192"/>
    <w:rsid w:val="00F94AC3"/>
    <w:rsid w:val="00F95415"/>
    <w:rsid w:val="00FB0703"/>
    <w:rsid w:val="00FC3766"/>
    <w:rsid w:val="00FD74EA"/>
    <w:rsid w:val="00FE0C47"/>
    <w:rsid w:val="00FE1927"/>
    <w:rsid w:val="00FF139F"/>
    <w:rsid w:val="4636CD67"/>
    <w:rsid w:val="49117D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0E0306"/>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32F1"/>
    <w:rPr>
      <w:sz w:val="24"/>
      <w:szCs w:val="24"/>
    </w:rPr>
  </w:style>
  <w:style w:type="paragraph" w:styleId="Heading1">
    <w:name w:val="heading 1"/>
    <w:basedOn w:val="Normal"/>
    <w:next w:val="Normal"/>
    <w:qFormat/>
    <w:rsid w:val="00D532F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32F1"/>
    <w:rPr>
      <w:color w:val="0000FF"/>
      <w:u w:val="single"/>
    </w:rPr>
  </w:style>
  <w:style w:type="paragraph" w:styleId="BodyText">
    <w:name w:val="Body Text"/>
    <w:basedOn w:val="Normal"/>
    <w:rsid w:val="00D532F1"/>
    <w:rPr>
      <w:color w:val="000000"/>
      <w:szCs w:val="20"/>
    </w:rPr>
  </w:style>
  <w:style w:type="character" w:styleId="FollowedHyperlink">
    <w:name w:val="FollowedHyperlink"/>
    <w:rsid w:val="00D532F1"/>
    <w:rPr>
      <w:color w:val="800080"/>
      <w:u w:val="single"/>
    </w:rPr>
  </w:style>
  <w:style w:type="paragraph" w:styleId="BalloonText">
    <w:name w:val="Balloon Text"/>
    <w:basedOn w:val="Normal"/>
    <w:semiHidden/>
    <w:rsid w:val="00D532F1"/>
    <w:rPr>
      <w:rFonts w:ascii="Tahoma" w:hAnsi="Tahoma" w:cs="Tahoma"/>
      <w:sz w:val="16"/>
      <w:szCs w:val="16"/>
    </w:rPr>
  </w:style>
  <w:style w:type="character" w:styleId="CommentReference">
    <w:name w:val="annotation reference"/>
    <w:semiHidden/>
    <w:rsid w:val="007C14DE"/>
    <w:rPr>
      <w:sz w:val="16"/>
      <w:szCs w:val="16"/>
    </w:rPr>
  </w:style>
  <w:style w:type="paragraph" w:styleId="CommentText">
    <w:name w:val="annotation text"/>
    <w:basedOn w:val="Normal"/>
    <w:link w:val="CommentTextChar"/>
    <w:semiHidden/>
    <w:rsid w:val="007C14DE"/>
    <w:rPr>
      <w:sz w:val="20"/>
      <w:szCs w:val="20"/>
    </w:rPr>
  </w:style>
  <w:style w:type="paragraph" w:styleId="CommentSubject">
    <w:name w:val="annotation subject"/>
    <w:basedOn w:val="CommentText"/>
    <w:next w:val="CommentText"/>
    <w:semiHidden/>
    <w:rsid w:val="007C14DE"/>
    <w:rPr>
      <w:b/>
      <w:bCs/>
    </w:rPr>
  </w:style>
  <w:style w:type="paragraph" w:styleId="Header">
    <w:name w:val="header"/>
    <w:basedOn w:val="Normal"/>
    <w:link w:val="HeaderChar"/>
    <w:rsid w:val="00E22763"/>
    <w:pPr>
      <w:tabs>
        <w:tab w:val="center" w:pos="4680"/>
        <w:tab w:val="right" w:pos="9360"/>
      </w:tabs>
    </w:pPr>
  </w:style>
  <w:style w:type="character" w:customStyle="1" w:styleId="HeaderChar">
    <w:name w:val="Header Char"/>
    <w:link w:val="Header"/>
    <w:rsid w:val="00E22763"/>
    <w:rPr>
      <w:sz w:val="24"/>
      <w:szCs w:val="24"/>
    </w:rPr>
  </w:style>
  <w:style w:type="paragraph" w:styleId="Footer">
    <w:name w:val="footer"/>
    <w:basedOn w:val="Normal"/>
    <w:link w:val="FooterChar"/>
    <w:uiPriority w:val="99"/>
    <w:rsid w:val="00E22763"/>
    <w:pPr>
      <w:tabs>
        <w:tab w:val="center" w:pos="4680"/>
        <w:tab w:val="right" w:pos="9360"/>
      </w:tabs>
    </w:pPr>
  </w:style>
  <w:style w:type="character" w:customStyle="1" w:styleId="FooterChar">
    <w:name w:val="Footer Char"/>
    <w:link w:val="Footer"/>
    <w:uiPriority w:val="99"/>
    <w:rsid w:val="00E22763"/>
    <w:rPr>
      <w:sz w:val="24"/>
      <w:szCs w:val="24"/>
    </w:rPr>
  </w:style>
  <w:style w:type="paragraph" w:styleId="ListParagraph">
    <w:name w:val="List Paragraph"/>
    <w:basedOn w:val="Normal"/>
    <w:uiPriority w:val="34"/>
    <w:qFormat/>
    <w:rsid w:val="00D75E4E"/>
    <w:pPr>
      <w:ind w:left="720"/>
      <w:contextualSpacing/>
    </w:pPr>
  </w:style>
  <w:style w:type="paragraph" w:styleId="BodyText2">
    <w:name w:val="Body Text 2"/>
    <w:basedOn w:val="Normal"/>
    <w:link w:val="BodyText2Char"/>
    <w:semiHidden/>
    <w:unhideWhenUsed/>
    <w:rsid w:val="007E0869"/>
    <w:pPr>
      <w:spacing w:after="120" w:line="480" w:lineRule="auto"/>
    </w:pPr>
  </w:style>
  <w:style w:type="character" w:customStyle="1" w:styleId="BodyText2Char">
    <w:name w:val="Body Text 2 Char"/>
    <w:basedOn w:val="DefaultParagraphFont"/>
    <w:link w:val="BodyText2"/>
    <w:semiHidden/>
    <w:rsid w:val="007E0869"/>
    <w:rPr>
      <w:sz w:val="24"/>
      <w:szCs w:val="24"/>
    </w:rPr>
  </w:style>
  <w:style w:type="paragraph" w:customStyle="1" w:styleId="Default">
    <w:name w:val="Default"/>
    <w:rsid w:val="008E23F1"/>
    <w:pPr>
      <w:autoSpaceDE w:val="0"/>
      <w:autoSpaceDN w:val="0"/>
      <w:adjustRightInd w:val="0"/>
    </w:pPr>
    <w:rPr>
      <w:rFonts w:ascii="Arial" w:eastAsia="MS Mincho" w:hAnsi="Arial" w:cs="Arial"/>
      <w:color w:val="000000"/>
      <w:sz w:val="24"/>
      <w:szCs w:val="24"/>
    </w:rPr>
  </w:style>
  <w:style w:type="character" w:customStyle="1" w:styleId="CommentTextChar">
    <w:name w:val="Comment Text Char"/>
    <w:basedOn w:val="DefaultParagraphFont"/>
    <w:link w:val="CommentText"/>
    <w:semiHidden/>
    <w:rsid w:val="0010724F"/>
  </w:style>
  <w:style w:type="paragraph" w:styleId="Revision">
    <w:name w:val="Revision"/>
    <w:hidden/>
    <w:uiPriority w:val="99"/>
    <w:semiHidden/>
    <w:rsid w:val="000508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od.ed.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2" ma:contentTypeDescription="Create a new document." ma:contentTypeScope="" ma:versionID="01dae1349a7f61092df1597a53a35e70">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8f1d0ca4fda4a462d94ab93920608deb"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F5B7A-EA40-4A8C-8895-B3AC50905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2D5A5-AC0E-4088-938F-AF1998CB2405}">
  <ds:schemaRefs>
    <ds:schemaRef ds:uri="http://schemas.microsoft.com/office/2006/metadata/properties"/>
  </ds:schemaRefs>
</ds:datastoreItem>
</file>

<file path=customXml/itemProps3.xml><?xml version="1.0" encoding="utf-8"?>
<ds:datastoreItem xmlns:ds="http://schemas.openxmlformats.org/officeDocument/2006/customXml" ds:itemID="{E3504A30-F9EE-46E7-B440-ECD3A363454B}">
  <ds:schemaRefs>
    <ds:schemaRef ds:uri="http://schemas.microsoft.com/office/2006/metadata/longProperties"/>
  </ds:schemaRefs>
</ds:datastoreItem>
</file>

<file path=customXml/itemProps4.xml><?xml version="1.0" encoding="utf-8"?>
<ds:datastoreItem xmlns:ds="http://schemas.openxmlformats.org/officeDocument/2006/customXml" ds:itemID="{0D27AB5B-3A88-4E25-BB4B-51014109C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Work Colleges Application Instructions</vt:lpstr>
    </vt:vector>
  </TitlesOfParts>
  <Company>U.S. Department of Education</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Colleges Application Instructions</dc:title>
  <dc:creator>Sandra.Donelson</dc:creator>
  <cp:lastModifiedBy>Mullan, Kate</cp:lastModifiedBy>
  <cp:revision>2</cp:revision>
  <cp:lastPrinted>2013-07-03T00:17:00Z</cp:lastPrinted>
  <dcterms:created xsi:type="dcterms:W3CDTF">2023-11-29T20:05:00Z</dcterms:created>
  <dcterms:modified xsi:type="dcterms:W3CDTF">2023-11-29T20:05:00Z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0x01010024DCB7AC5ECDD740B487BE4C07570BE9</vt:lpwstr>
  </property>
  <property fmtid="{D5CDD505-2E9C-101B-9397-08002B2CF9AE}" pid="4" name="UseMLCFooter">
    <vt:i4>1</vt:i4>
  </property>
</Properties>
</file>