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07F" w:rsidRPr="002705B2" w:rsidP="002705B2" w14:paraId="34B02DCB" w14:textId="653D3E8C">
      <w:pPr>
        <w:spacing w:after="0" w:line="240" w:lineRule="auto"/>
        <w:jc w:val="center"/>
        <w:rPr>
          <w:rFonts w:ascii="Times New Roman" w:hAnsi="Times New Roman"/>
          <w:sz w:val="26"/>
          <w:szCs w:val="24"/>
        </w:rPr>
      </w:pPr>
      <w:r w:rsidRPr="002705B2">
        <w:rPr>
          <w:rFonts w:ascii="Times New Roman" w:hAnsi="Times New Roman"/>
          <w:sz w:val="26"/>
          <w:szCs w:val="24"/>
        </w:rPr>
        <w:t>Supporting Statement</w:t>
      </w:r>
      <w:r w:rsidRPr="002705B2" w:rsidR="00190F9D">
        <w:rPr>
          <w:rFonts w:ascii="Times New Roman" w:hAnsi="Times New Roman"/>
          <w:sz w:val="26"/>
          <w:szCs w:val="24"/>
        </w:rPr>
        <w:t xml:space="preserve"> for</w:t>
      </w:r>
    </w:p>
    <w:p w:rsidR="007D1EDB" w:rsidRPr="002705B2" w:rsidP="002705B2" w14:paraId="65D98BDA" w14:textId="77777777">
      <w:pPr>
        <w:spacing w:after="0" w:line="240" w:lineRule="auto"/>
        <w:jc w:val="center"/>
        <w:rPr>
          <w:rFonts w:ascii="Times New Roman" w:hAnsi="Times New Roman"/>
          <w:b/>
          <w:sz w:val="26"/>
          <w:szCs w:val="24"/>
        </w:rPr>
      </w:pPr>
      <w:r w:rsidRPr="002705B2">
        <w:rPr>
          <w:rFonts w:ascii="Times New Roman" w:hAnsi="Times New Roman"/>
          <w:b/>
          <w:sz w:val="26"/>
          <w:szCs w:val="24"/>
        </w:rPr>
        <w:t>FERC-725</w:t>
      </w:r>
      <w:r w:rsidRPr="002705B2">
        <w:rPr>
          <w:rFonts w:ascii="Times New Roman" w:hAnsi="Times New Roman"/>
          <w:b/>
          <w:sz w:val="26"/>
          <w:szCs w:val="24"/>
        </w:rPr>
        <w:t>A</w:t>
      </w:r>
      <w:r w:rsidRPr="002705B2">
        <w:rPr>
          <w:rFonts w:ascii="Times New Roman" w:hAnsi="Times New Roman"/>
          <w:b/>
          <w:sz w:val="26"/>
          <w:szCs w:val="24"/>
        </w:rPr>
        <w:t>,</w:t>
      </w:r>
      <w:r w:rsidRPr="002705B2" w:rsidR="008F16EE">
        <w:rPr>
          <w:rFonts w:ascii="Times New Roman" w:hAnsi="Times New Roman"/>
          <w:b/>
          <w:sz w:val="26"/>
          <w:szCs w:val="24"/>
        </w:rPr>
        <w:t xml:space="preserve"> Mandatory Reliability Standards</w:t>
      </w:r>
      <w:r w:rsidRPr="002705B2">
        <w:rPr>
          <w:rFonts w:ascii="Times New Roman" w:hAnsi="Times New Roman"/>
          <w:b/>
          <w:sz w:val="26"/>
          <w:szCs w:val="24"/>
        </w:rPr>
        <w:t xml:space="preserve"> for the Bulk Power System</w:t>
      </w:r>
    </w:p>
    <w:p w:rsidR="00FD66F1" w:rsidRPr="002705B2" w:rsidP="002705B2" w14:paraId="06ED65FC" w14:textId="77777777">
      <w:pPr>
        <w:spacing w:after="0" w:line="240" w:lineRule="auto"/>
        <w:rPr>
          <w:rFonts w:ascii="Times New Roman" w:hAnsi="Times New Roman" w:cs="Times New Roman"/>
          <w:sz w:val="26"/>
          <w:szCs w:val="24"/>
        </w:rPr>
      </w:pPr>
    </w:p>
    <w:p w:rsidR="00EA1CE0" w:rsidRPr="002705B2" w:rsidP="002705B2" w14:paraId="126EC46A" w14:textId="6D3ECC4A">
      <w:pPr>
        <w:spacing w:after="0" w:line="240" w:lineRule="auto"/>
        <w:rPr>
          <w:rFonts w:ascii="Times New Roman" w:hAnsi="Times New Roman"/>
          <w:sz w:val="26"/>
          <w:szCs w:val="24"/>
        </w:rPr>
      </w:pPr>
      <w:r w:rsidRPr="002705B2">
        <w:rPr>
          <w:rFonts w:ascii="Times New Roman" w:hAnsi="Times New Roman"/>
          <w:sz w:val="26"/>
          <w:szCs w:val="24"/>
        </w:rPr>
        <w:t xml:space="preserve">Certain </w:t>
      </w:r>
      <w:r w:rsidRPr="002705B2" w:rsidR="00656F55">
        <w:rPr>
          <w:rFonts w:ascii="Times New Roman" w:hAnsi="Times New Roman"/>
          <w:sz w:val="26"/>
          <w:szCs w:val="24"/>
        </w:rPr>
        <w:t>existing</w:t>
      </w:r>
      <w:r w:rsidRPr="002705B2" w:rsidR="00333EE2">
        <w:rPr>
          <w:rFonts w:ascii="Times New Roman" w:hAnsi="Times New Roman"/>
          <w:sz w:val="26"/>
          <w:szCs w:val="24"/>
        </w:rPr>
        <w:t xml:space="preserve"> information collection requireme</w:t>
      </w:r>
      <w:r w:rsidRPr="002705B2" w:rsidR="007A7A19">
        <w:rPr>
          <w:rFonts w:ascii="Times New Roman" w:hAnsi="Times New Roman"/>
          <w:sz w:val="26"/>
          <w:szCs w:val="24"/>
        </w:rPr>
        <w:t>nts</w:t>
      </w:r>
      <w:r w:rsidR="007A2408">
        <w:rPr>
          <w:rFonts w:ascii="Times New Roman" w:hAnsi="Times New Roman"/>
          <w:sz w:val="26"/>
          <w:szCs w:val="24"/>
        </w:rPr>
        <w:t xml:space="preserve"> associated with </w:t>
      </w:r>
      <w:r w:rsidRPr="002705B2" w:rsidR="007E08EF">
        <w:rPr>
          <w:rFonts w:ascii="Times New Roman" w:hAnsi="Times New Roman"/>
          <w:sz w:val="26"/>
          <w:szCs w:val="24"/>
        </w:rPr>
        <w:t xml:space="preserve">Mandatory </w:t>
      </w:r>
      <w:r w:rsidRPr="002705B2" w:rsidR="007A7A19">
        <w:rPr>
          <w:rFonts w:ascii="Times New Roman" w:hAnsi="Times New Roman"/>
          <w:sz w:val="26"/>
          <w:szCs w:val="24"/>
        </w:rPr>
        <w:t>Reliability Standard</w:t>
      </w:r>
      <w:r w:rsidRPr="002705B2" w:rsidR="007E08EF">
        <w:rPr>
          <w:rFonts w:ascii="Times New Roman" w:hAnsi="Times New Roman"/>
          <w:sz w:val="26"/>
          <w:szCs w:val="24"/>
        </w:rPr>
        <w:t>s</w:t>
      </w:r>
      <w:r w:rsidRPr="002705B2" w:rsidR="00D16521">
        <w:rPr>
          <w:rFonts w:ascii="Times New Roman" w:hAnsi="Times New Roman"/>
          <w:sz w:val="26"/>
          <w:szCs w:val="24"/>
        </w:rPr>
        <w:t xml:space="preserve"> have been </w:t>
      </w:r>
      <w:r w:rsidRPr="002705B2" w:rsidR="00333EE2">
        <w:rPr>
          <w:rFonts w:ascii="Times New Roman" w:hAnsi="Times New Roman"/>
          <w:sz w:val="26"/>
          <w:szCs w:val="24"/>
        </w:rPr>
        <w:t>approved by OMB under FERC-725A (</w:t>
      </w:r>
      <w:r w:rsidRPr="002705B2" w:rsidR="001F1AD2">
        <w:rPr>
          <w:rFonts w:ascii="Times New Roman" w:hAnsi="Times New Roman"/>
          <w:sz w:val="26"/>
          <w:szCs w:val="24"/>
        </w:rPr>
        <w:t>OMB Control No.</w:t>
      </w:r>
      <w:r w:rsidRPr="002705B2" w:rsidR="00333EE2">
        <w:rPr>
          <w:rFonts w:ascii="Times New Roman" w:hAnsi="Times New Roman"/>
          <w:sz w:val="26"/>
          <w:szCs w:val="24"/>
        </w:rPr>
        <w:t xml:space="preserve">1902-0244). </w:t>
      </w:r>
      <w:r w:rsidRPr="002705B2" w:rsidR="00BF6199">
        <w:rPr>
          <w:rFonts w:ascii="Times New Roman" w:hAnsi="Times New Roman"/>
          <w:sz w:val="26"/>
          <w:szCs w:val="24"/>
        </w:rPr>
        <w:t xml:space="preserve"> </w:t>
      </w:r>
      <w:r w:rsidRPr="002705B2" w:rsidR="001372FF">
        <w:rPr>
          <w:rFonts w:ascii="Times New Roman" w:hAnsi="Times New Roman"/>
          <w:sz w:val="26"/>
          <w:szCs w:val="24"/>
        </w:rPr>
        <w:t xml:space="preserve">FERC </w:t>
      </w:r>
      <w:r w:rsidRPr="002705B2" w:rsidR="00214792">
        <w:rPr>
          <w:rFonts w:ascii="Times New Roman" w:hAnsi="Times New Roman"/>
          <w:sz w:val="26"/>
          <w:szCs w:val="24"/>
        </w:rPr>
        <w:t xml:space="preserve">has </w:t>
      </w:r>
      <w:r w:rsidRPr="002705B2" w:rsidR="001E3441">
        <w:rPr>
          <w:rFonts w:ascii="Times New Roman" w:hAnsi="Times New Roman"/>
          <w:sz w:val="26"/>
          <w:szCs w:val="24"/>
        </w:rPr>
        <w:t xml:space="preserve">approved </w:t>
      </w:r>
      <w:r w:rsidRPr="002705B2" w:rsidR="00644E06">
        <w:rPr>
          <w:rFonts w:ascii="Times New Roman" w:hAnsi="Times New Roman"/>
          <w:sz w:val="26"/>
          <w:szCs w:val="24"/>
        </w:rPr>
        <w:t>the retirement of six Modeling, Data, and Analysis Reliability Standards (“MOD A Reliability Standards”)</w:t>
      </w:r>
      <w:r w:rsidRPr="002705B2" w:rsidR="00001A41">
        <w:rPr>
          <w:rFonts w:ascii="Times New Roman" w:hAnsi="Times New Roman"/>
          <w:sz w:val="26"/>
          <w:szCs w:val="24"/>
        </w:rPr>
        <w:t xml:space="preserve">, and is now </w:t>
      </w:r>
      <w:r w:rsidRPr="002705B2" w:rsidR="0058043B">
        <w:rPr>
          <w:rFonts w:ascii="Times New Roman" w:hAnsi="Times New Roman"/>
          <w:sz w:val="26"/>
          <w:szCs w:val="24"/>
        </w:rPr>
        <w:t xml:space="preserve">seeking OMB approval </w:t>
      </w:r>
      <w:r w:rsidRPr="002705B2" w:rsidR="008204E6">
        <w:rPr>
          <w:rFonts w:ascii="Times New Roman" w:hAnsi="Times New Roman"/>
          <w:sz w:val="26"/>
          <w:szCs w:val="24"/>
        </w:rPr>
        <w:t xml:space="preserve">of the removal </w:t>
      </w:r>
      <w:r w:rsidRPr="002705B2" w:rsidR="00DC1E3C">
        <w:rPr>
          <w:rFonts w:ascii="Times New Roman" w:hAnsi="Times New Roman"/>
          <w:sz w:val="26"/>
          <w:szCs w:val="24"/>
        </w:rPr>
        <w:t xml:space="preserve">from FERC-725A </w:t>
      </w:r>
      <w:r w:rsidRPr="002705B2">
        <w:rPr>
          <w:rFonts w:ascii="Times New Roman" w:hAnsi="Times New Roman"/>
          <w:sz w:val="26"/>
          <w:szCs w:val="24"/>
        </w:rPr>
        <w:t xml:space="preserve">of </w:t>
      </w:r>
      <w:r w:rsidRPr="002705B2" w:rsidR="00001A41">
        <w:rPr>
          <w:rFonts w:ascii="Times New Roman" w:hAnsi="Times New Roman"/>
          <w:sz w:val="26"/>
          <w:szCs w:val="24"/>
        </w:rPr>
        <w:t>the information coll</w:t>
      </w:r>
      <w:r w:rsidRPr="002705B2" w:rsidR="00925499">
        <w:rPr>
          <w:rFonts w:ascii="Times New Roman" w:hAnsi="Times New Roman"/>
          <w:sz w:val="26"/>
          <w:szCs w:val="24"/>
        </w:rPr>
        <w:t xml:space="preserve">ections </w:t>
      </w:r>
      <w:r w:rsidRPr="002705B2">
        <w:rPr>
          <w:rFonts w:ascii="Times New Roman" w:hAnsi="Times New Roman"/>
          <w:sz w:val="26"/>
          <w:szCs w:val="24"/>
        </w:rPr>
        <w:t>associated with the MOD A Re</w:t>
      </w:r>
      <w:r w:rsidRPr="002705B2" w:rsidR="000233B8">
        <w:rPr>
          <w:rFonts w:ascii="Times New Roman" w:hAnsi="Times New Roman"/>
          <w:sz w:val="26"/>
          <w:szCs w:val="24"/>
        </w:rPr>
        <w:t xml:space="preserve">liability </w:t>
      </w:r>
      <w:r w:rsidRPr="002705B2">
        <w:rPr>
          <w:rFonts w:ascii="Times New Roman" w:hAnsi="Times New Roman"/>
          <w:sz w:val="26"/>
          <w:szCs w:val="24"/>
        </w:rPr>
        <w:t>Standards.</w:t>
      </w:r>
    </w:p>
    <w:p w:rsidR="00B17D68" w:rsidP="00B17D68" w14:paraId="5A3BDDCE" w14:textId="77777777">
      <w:pPr>
        <w:pStyle w:val="ListParagraph"/>
        <w:spacing w:after="0" w:line="240" w:lineRule="auto"/>
        <w:ind w:left="0"/>
        <w:rPr>
          <w:rFonts w:ascii="Times New Roman" w:hAnsi="Times New Roman" w:cs="Times New Roman"/>
          <w:b/>
          <w:sz w:val="26"/>
          <w:szCs w:val="24"/>
        </w:rPr>
      </w:pPr>
    </w:p>
    <w:p w:rsidR="00D514C1" w:rsidP="00964094" w14:paraId="72D8D2EB" w14:textId="4756AC09">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CIRCUMSTANCES THAT MAKE THE COLLECTION OF INFORMATION NECESSARY</w:t>
      </w:r>
    </w:p>
    <w:p w:rsidR="00AC44F0" w:rsidRPr="002705B2" w:rsidP="00AC44F0" w14:paraId="44B4D61D" w14:textId="77777777">
      <w:pPr>
        <w:pStyle w:val="ListParagraph"/>
        <w:spacing w:after="0" w:line="240" w:lineRule="auto"/>
        <w:ind w:left="0"/>
        <w:rPr>
          <w:rFonts w:ascii="Times New Roman" w:hAnsi="Times New Roman" w:cs="Times New Roman"/>
          <w:b/>
          <w:sz w:val="26"/>
          <w:szCs w:val="24"/>
        </w:rPr>
      </w:pPr>
    </w:p>
    <w:p w:rsidR="00A95796" w:rsidP="002705B2" w14:paraId="1BB57600" w14:textId="3059C2D7">
      <w:pPr>
        <w:spacing w:after="0" w:line="240" w:lineRule="auto"/>
        <w:rPr>
          <w:rFonts w:ascii="Times New Roman" w:hAnsi="Times New Roman" w:cs="Times New Roman"/>
          <w:sz w:val="26"/>
          <w:szCs w:val="24"/>
        </w:rPr>
      </w:pPr>
      <w:r w:rsidRPr="004002A4">
        <w:rPr>
          <w:rFonts w:ascii="Times New Roman" w:hAnsi="Times New Roman" w:cs="Times New Roman"/>
          <w:sz w:val="26"/>
          <w:szCs w:val="24"/>
        </w:rPr>
        <w:t xml:space="preserve">On June 7, 2019, </w:t>
      </w:r>
      <w:r w:rsidRPr="002705B2">
        <w:rPr>
          <w:rFonts w:ascii="Times New Roman" w:hAnsi="Times New Roman" w:cs="Times New Roman"/>
          <w:sz w:val="26"/>
          <w:szCs w:val="24"/>
        </w:rPr>
        <w:t>the North American Electric Reliability Corporation (</w:t>
      </w:r>
      <w:r w:rsidRPr="004002A4">
        <w:rPr>
          <w:rFonts w:ascii="Times New Roman" w:hAnsi="Times New Roman" w:cs="Times New Roman"/>
          <w:sz w:val="26"/>
          <w:szCs w:val="24"/>
        </w:rPr>
        <w:t>NERC</w:t>
      </w:r>
      <w:r w:rsidRPr="002705B2" w:rsidR="00554773">
        <w:rPr>
          <w:rFonts w:ascii="Times New Roman" w:hAnsi="Times New Roman" w:cs="Times New Roman"/>
          <w:sz w:val="26"/>
          <w:szCs w:val="24"/>
        </w:rPr>
        <w:t>)</w:t>
      </w:r>
      <w:r w:rsidRPr="004002A4">
        <w:rPr>
          <w:rFonts w:ascii="Times New Roman" w:hAnsi="Times New Roman" w:cs="Times New Roman"/>
          <w:sz w:val="26"/>
          <w:szCs w:val="24"/>
        </w:rPr>
        <w:t xml:space="preserve"> submitted a petition </w:t>
      </w:r>
      <w:r w:rsidRPr="002705B2" w:rsidR="00554773">
        <w:rPr>
          <w:rFonts w:ascii="Times New Roman" w:hAnsi="Times New Roman" w:cs="Times New Roman"/>
          <w:sz w:val="26"/>
          <w:szCs w:val="24"/>
        </w:rPr>
        <w:t xml:space="preserve">to the Commission </w:t>
      </w:r>
      <w:r w:rsidRPr="004002A4">
        <w:rPr>
          <w:rFonts w:ascii="Times New Roman" w:hAnsi="Times New Roman" w:cs="Times New Roman"/>
          <w:sz w:val="26"/>
          <w:szCs w:val="24"/>
        </w:rPr>
        <w:t>proposing, among other things, the retirement of the MOD A Reliability Standards, in their entirety without replacement.  NERC explained that these requirements are administrative in nature or relate expressly to commercial or business practices and provide little or no reliability</w:t>
      </w:r>
      <w:r w:rsidRPr="002705B2" w:rsidR="004F3733">
        <w:rPr>
          <w:rFonts w:ascii="Times New Roman" w:hAnsi="Times New Roman" w:cs="Times New Roman"/>
          <w:sz w:val="26"/>
          <w:szCs w:val="24"/>
        </w:rPr>
        <w:t xml:space="preserve"> benefit.</w:t>
      </w:r>
      <w:r w:rsidR="00A37824">
        <w:rPr>
          <w:rFonts w:ascii="Times New Roman" w:hAnsi="Times New Roman" w:cs="Times New Roman"/>
          <w:sz w:val="26"/>
          <w:szCs w:val="24"/>
        </w:rPr>
        <w:t xml:space="preserve">  </w:t>
      </w:r>
      <w:r w:rsidRPr="002705B2" w:rsidR="00844D11">
        <w:rPr>
          <w:rFonts w:ascii="Times New Roman" w:hAnsi="Times New Roman" w:cs="Times New Roman"/>
          <w:sz w:val="26"/>
          <w:szCs w:val="24"/>
        </w:rPr>
        <w:t xml:space="preserve">The </w:t>
      </w:r>
      <w:r w:rsidR="00AC44F0">
        <w:rPr>
          <w:rFonts w:ascii="Times New Roman" w:hAnsi="Times New Roman" w:cs="Times New Roman"/>
          <w:sz w:val="26"/>
          <w:szCs w:val="24"/>
        </w:rPr>
        <w:t xml:space="preserve">MOD A </w:t>
      </w:r>
      <w:r w:rsidRPr="002705B2" w:rsidR="00F41825">
        <w:rPr>
          <w:rFonts w:ascii="Times New Roman" w:hAnsi="Times New Roman" w:cs="Times New Roman"/>
          <w:sz w:val="26"/>
          <w:szCs w:val="24"/>
        </w:rPr>
        <w:t xml:space="preserve">Reliability Standards </w:t>
      </w:r>
      <w:r w:rsidRPr="002705B2">
        <w:rPr>
          <w:rFonts w:ascii="Times New Roman" w:hAnsi="Times New Roman" w:cs="Times New Roman"/>
          <w:sz w:val="26"/>
          <w:szCs w:val="24"/>
        </w:rPr>
        <w:t>are:</w:t>
      </w:r>
    </w:p>
    <w:p w:rsidR="002705B2" w:rsidRPr="002705B2" w:rsidP="002705B2" w14:paraId="775D6FA1" w14:textId="77777777">
      <w:pPr>
        <w:spacing w:after="0" w:line="240" w:lineRule="auto"/>
        <w:rPr>
          <w:rFonts w:ascii="Times New Roman" w:hAnsi="Times New Roman" w:cs="Times New Roman"/>
          <w:sz w:val="26"/>
          <w:szCs w:val="24"/>
        </w:rPr>
      </w:pPr>
    </w:p>
    <w:p w:rsidR="00A95796" w:rsidRPr="002705B2" w:rsidP="002705B2" w14:paraId="5643507D" w14:textId="77777777">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MOD-001-1a (Available Transmission System Capability),</w:t>
      </w:r>
    </w:p>
    <w:p w:rsidR="00A95796" w:rsidRPr="002705B2" w:rsidP="002705B2" w14:paraId="4C86A932" w14:textId="77777777">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MOD-004-1 (Capacity Benefit Margin),</w:t>
      </w:r>
    </w:p>
    <w:p w:rsidR="00F70991" w:rsidRPr="002705B2" w:rsidP="002705B2" w14:paraId="6EDC8A49" w14:textId="77777777">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MOD-008-1 (Transmission Reliability Margin Calculation Methodology),</w:t>
      </w:r>
    </w:p>
    <w:p w:rsidR="00F70991" w:rsidRPr="002705B2" w:rsidP="002705B2" w14:paraId="163FA967" w14:textId="77777777">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MOD-028-2 (Area Interchange Methodology),</w:t>
      </w:r>
    </w:p>
    <w:p w:rsidR="00F70991" w:rsidRPr="002705B2" w:rsidP="002705B2" w14:paraId="6E6AC9AD" w14:textId="77777777">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MOD-029-2a (Rated System Path Methodology), and</w:t>
      </w:r>
    </w:p>
    <w:p w:rsidR="00F41825" w:rsidRPr="002705B2" w:rsidP="002705B2" w14:paraId="244AD337" w14:textId="11C7D80E">
      <w:pPr>
        <w:pStyle w:val="ListParagraph"/>
        <w:numPr>
          <w:ilvl w:val="0"/>
          <w:numId w:val="35"/>
        </w:num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MOD-030-3 (Flowgate Methodology).</w:t>
      </w:r>
    </w:p>
    <w:p w:rsidR="002705B2" w:rsidRPr="002705B2" w:rsidP="002705B2" w14:paraId="42C5564C" w14:textId="77777777">
      <w:pPr>
        <w:spacing w:after="0" w:line="240" w:lineRule="auto"/>
        <w:rPr>
          <w:rFonts w:ascii="Times New Roman" w:hAnsi="Times New Roman"/>
          <w:sz w:val="26"/>
        </w:rPr>
      </w:pPr>
    </w:p>
    <w:p w:rsidR="00DF401D" w:rsidP="001F5F1E" w14:paraId="37AB418D" w14:textId="430DE5E5">
      <w:pPr>
        <w:spacing w:after="0" w:line="240" w:lineRule="auto"/>
        <w:rPr>
          <w:rFonts w:ascii="Times New Roman" w:hAnsi="Times New Roman"/>
          <w:sz w:val="26"/>
        </w:rPr>
      </w:pPr>
      <w:r w:rsidRPr="002705B2">
        <w:rPr>
          <w:rFonts w:ascii="Times New Roman" w:hAnsi="Times New Roman"/>
          <w:sz w:val="26"/>
        </w:rPr>
        <w:t>On January 23, 2020, the Commission issued a NOPR proposing to approve the</w:t>
      </w:r>
      <w:r w:rsidR="00AC44F0">
        <w:rPr>
          <w:rFonts w:ascii="Times New Roman" w:hAnsi="Times New Roman"/>
          <w:sz w:val="26"/>
        </w:rPr>
        <w:t xml:space="preserve"> </w:t>
      </w:r>
      <w:r w:rsidRPr="002705B2">
        <w:rPr>
          <w:rFonts w:ascii="Times New Roman" w:hAnsi="Times New Roman"/>
          <w:sz w:val="26"/>
        </w:rPr>
        <w:t xml:space="preserve">retirement of </w:t>
      </w:r>
      <w:r w:rsidR="00C5745C">
        <w:rPr>
          <w:rFonts w:ascii="Times New Roman" w:hAnsi="Times New Roman" w:cs="Times New Roman"/>
          <w:sz w:val="26"/>
          <w:szCs w:val="24"/>
        </w:rPr>
        <w:t>six reliability standards with a combined total of 56 requirements</w:t>
      </w:r>
      <w:r w:rsidR="00C5745C">
        <w:rPr>
          <w:rFonts w:ascii="Times New Roman" w:hAnsi="Times New Roman"/>
          <w:sz w:val="26"/>
        </w:rPr>
        <w:t xml:space="preserve"> </w:t>
      </w:r>
      <w:r w:rsidRPr="002705B2">
        <w:rPr>
          <w:rFonts w:ascii="Times New Roman" w:hAnsi="Times New Roman"/>
          <w:sz w:val="26"/>
        </w:rPr>
        <w:t>requested by NERC.</w:t>
      </w:r>
      <w:r>
        <w:rPr>
          <w:rFonts w:ascii="Times New Roman" w:eastAsia="Times New Roman" w:hAnsi="Times New Roman" w:cs="Times New Roman"/>
          <w:sz w:val="26"/>
          <w:vertAlign w:val="superscript"/>
        </w:rPr>
        <w:footnoteReference w:id="3"/>
      </w:r>
      <w:r w:rsidRPr="00D059C1">
        <w:rPr>
          <w:rFonts w:ascii="Times New Roman" w:hAnsi="Times New Roman"/>
          <w:sz w:val="26"/>
        </w:rPr>
        <w:t xml:space="preserve"> </w:t>
      </w:r>
      <w:r w:rsidRPr="002705B2">
        <w:rPr>
          <w:rFonts w:ascii="Times New Roman" w:hAnsi="Times New Roman"/>
          <w:sz w:val="26"/>
        </w:rPr>
        <w:t xml:space="preserve"> In the NOPR, the Commission proposed, </w:t>
      </w:r>
      <w:r w:rsidR="00067836">
        <w:rPr>
          <w:rFonts w:ascii="Times New Roman" w:hAnsi="Times New Roman"/>
          <w:sz w:val="26"/>
        </w:rPr>
        <w:t>among other things</w:t>
      </w:r>
      <w:r w:rsidRPr="002705B2">
        <w:rPr>
          <w:rFonts w:ascii="Times New Roman" w:hAnsi="Times New Roman"/>
          <w:sz w:val="26"/>
        </w:rPr>
        <w:t>, to approve the retirement of the MOD A Reliability Standards, but noted that, if approved, the Commission intended to coordinate the effective dates for the retirement of the MOD A Reliability Standards with successor North American Energy Standards Board (NAESB) business practice standards.</w:t>
      </w:r>
    </w:p>
    <w:p w:rsidR="00853750" w:rsidP="001F5F1E" w14:paraId="2D5DCA9D" w14:textId="77777777">
      <w:pPr>
        <w:spacing w:after="0" w:line="240" w:lineRule="auto"/>
        <w:rPr>
          <w:rFonts w:ascii="Times New Roman" w:hAnsi="Times New Roman" w:cs="Times New Roman"/>
          <w:sz w:val="26"/>
          <w:szCs w:val="24"/>
        </w:rPr>
      </w:pPr>
    </w:p>
    <w:p w:rsidR="00937B80" w:rsidP="001F5F1E" w14:paraId="6BE31A2F" w14:textId="556FD68B">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On </w:t>
      </w:r>
      <w:r w:rsidR="00D03DA5">
        <w:rPr>
          <w:rFonts w:ascii="Times New Roman" w:hAnsi="Times New Roman" w:cs="Times New Roman"/>
          <w:sz w:val="26"/>
          <w:szCs w:val="24"/>
        </w:rPr>
        <w:t xml:space="preserve">October 26, 2023, the Commission issued a final rule </w:t>
      </w:r>
      <w:r w:rsidR="00C5745C">
        <w:rPr>
          <w:rFonts w:ascii="Times New Roman" w:hAnsi="Times New Roman" w:cs="Times New Roman"/>
          <w:sz w:val="26"/>
          <w:szCs w:val="24"/>
        </w:rPr>
        <w:t>approving the retirement of six reliability standards with a combined total of 56 requirements.</w:t>
      </w:r>
      <w:r>
        <w:rPr>
          <w:rStyle w:val="FootnoteReference"/>
          <w:rFonts w:ascii="Times New Roman" w:hAnsi="Times New Roman" w:cs="Times New Roman"/>
          <w:sz w:val="26"/>
          <w:szCs w:val="24"/>
          <w:vertAlign w:val="superscript"/>
        </w:rPr>
        <w:footnoteReference w:id="4"/>
      </w:r>
    </w:p>
    <w:p w:rsidR="005B72CD" w:rsidRPr="002705B2" w:rsidP="001F5F1E" w14:paraId="5FA6C500" w14:textId="77777777">
      <w:pPr>
        <w:spacing w:after="0" w:line="240" w:lineRule="auto"/>
        <w:rPr>
          <w:rFonts w:ascii="Times New Roman" w:hAnsi="Times New Roman" w:cs="Times New Roman"/>
          <w:sz w:val="26"/>
          <w:szCs w:val="24"/>
        </w:rPr>
      </w:pPr>
    </w:p>
    <w:p w:rsidR="00A72E7B" w:rsidRPr="00F84E20" w:rsidP="00964094" w14:paraId="1A5C90A5" w14:textId="13EBC667">
      <w:pPr>
        <w:pStyle w:val="ListParagraph"/>
        <w:numPr>
          <w:ilvl w:val="0"/>
          <w:numId w:val="36"/>
        </w:numPr>
        <w:spacing w:after="0" w:line="240" w:lineRule="auto"/>
        <w:ind w:left="360"/>
        <w:rPr>
          <w:rFonts w:ascii="Times New Roman" w:hAnsi="Times New Roman" w:cs="Times New Roman"/>
          <w:b/>
          <w:sz w:val="26"/>
          <w:szCs w:val="24"/>
        </w:rPr>
      </w:pPr>
      <w:r w:rsidRPr="00F84E20">
        <w:rPr>
          <w:rFonts w:ascii="Times New Roman" w:hAnsi="Times New Roman" w:cs="Times New Roman"/>
          <w:b/>
          <w:sz w:val="26"/>
          <w:szCs w:val="24"/>
        </w:rPr>
        <w:t>HOW, BY WHOM, AND FOR WHAT PURPOSE THE INFORMATION IS TO BE USED AND THE CONSEQUENCES OF NOT COLLECTING THE INFORMATION</w:t>
      </w:r>
    </w:p>
    <w:p w:rsidR="009A6326" w:rsidRPr="002705B2" w:rsidP="002705B2" w14:paraId="6C25D29F" w14:textId="30B0D1B1">
      <w:pPr>
        <w:spacing w:after="0" w:line="240" w:lineRule="auto"/>
        <w:rPr>
          <w:rFonts w:ascii="Times New Roman" w:hAnsi="Times New Roman" w:cs="Times New Roman"/>
          <w:sz w:val="26"/>
          <w:szCs w:val="24"/>
        </w:rPr>
      </w:pPr>
    </w:p>
    <w:p w:rsidR="007F0136" w:rsidRPr="002705B2" w:rsidP="002705B2" w14:paraId="1089FE4B" w14:textId="064EB704">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In general, information collection</w:t>
      </w:r>
      <w:r w:rsidR="008129BD">
        <w:rPr>
          <w:rFonts w:ascii="Times New Roman" w:hAnsi="Times New Roman" w:cs="Times New Roman"/>
          <w:sz w:val="26"/>
          <w:szCs w:val="24"/>
        </w:rPr>
        <w:t xml:space="preserve">s associated with </w:t>
      </w:r>
      <w:r w:rsidRPr="002705B2">
        <w:rPr>
          <w:rFonts w:ascii="Times New Roman" w:hAnsi="Times New Roman" w:cs="Times New Roman"/>
          <w:sz w:val="26"/>
          <w:szCs w:val="24"/>
        </w:rPr>
        <w:t xml:space="preserve">Reliability Standards </w:t>
      </w:r>
      <w:r w:rsidR="00730120">
        <w:rPr>
          <w:rFonts w:ascii="Times New Roman" w:hAnsi="Times New Roman" w:cs="Times New Roman"/>
          <w:sz w:val="26"/>
          <w:szCs w:val="24"/>
        </w:rPr>
        <w:t xml:space="preserve">do not involve </w:t>
      </w:r>
      <w:r w:rsidR="00C508CC">
        <w:rPr>
          <w:rFonts w:ascii="Times New Roman" w:hAnsi="Times New Roman" w:cs="Times New Roman"/>
          <w:sz w:val="26"/>
          <w:szCs w:val="24"/>
        </w:rPr>
        <w:t>submission to, or audit by</w:t>
      </w:r>
      <w:r w:rsidRPr="002705B2">
        <w:rPr>
          <w:rFonts w:ascii="Times New Roman" w:hAnsi="Times New Roman" w:cs="Times New Roman"/>
          <w:sz w:val="26"/>
          <w:szCs w:val="24"/>
        </w:rPr>
        <w:t>, FERC.  Rather</w:t>
      </w:r>
      <w:r w:rsidR="00695622">
        <w:rPr>
          <w:rFonts w:ascii="Times New Roman" w:hAnsi="Times New Roman" w:cs="Times New Roman"/>
          <w:sz w:val="26"/>
          <w:szCs w:val="24"/>
        </w:rPr>
        <w:t>,</w:t>
      </w:r>
      <w:r w:rsidRPr="002705B2">
        <w:rPr>
          <w:rFonts w:ascii="Times New Roman" w:hAnsi="Times New Roman" w:cs="Times New Roman"/>
          <w:sz w:val="26"/>
          <w:szCs w:val="24"/>
        </w:rPr>
        <w:t xml:space="preserve"> the</w:t>
      </w:r>
      <w:r w:rsidR="00695622">
        <w:rPr>
          <w:rFonts w:ascii="Times New Roman" w:hAnsi="Times New Roman" w:cs="Times New Roman"/>
          <w:sz w:val="26"/>
          <w:szCs w:val="24"/>
        </w:rPr>
        <w:t xml:space="preserve"> associated information is</w:t>
      </w:r>
      <w:r w:rsidRPr="002705B2">
        <w:rPr>
          <w:rFonts w:ascii="Times New Roman" w:hAnsi="Times New Roman" w:cs="Times New Roman"/>
          <w:sz w:val="26"/>
          <w:szCs w:val="24"/>
        </w:rPr>
        <w:t xml:space="preserve"> submitted to, or retained for audit by, NERC or the Compliance Enforcement Authority, as specified in each individual Reliability Standard.  </w:t>
      </w:r>
      <w:r w:rsidR="00F546B0">
        <w:rPr>
          <w:rFonts w:ascii="Times New Roman" w:hAnsi="Times New Roman" w:cs="Times New Roman"/>
          <w:sz w:val="26"/>
          <w:szCs w:val="24"/>
        </w:rPr>
        <w:t xml:space="preserve">Absent updating of information collections associated with Reliability Standards, </w:t>
      </w:r>
      <w:r w:rsidRPr="002705B2">
        <w:rPr>
          <w:rFonts w:ascii="Times New Roman" w:hAnsi="Times New Roman" w:cs="Times New Roman"/>
          <w:sz w:val="26"/>
          <w:szCs w:val="24"/>
        </w:rPr>
        <w:t>reliability of the bulk-power system could become compromised, potentially resulting in outages.</w:t>
      </w:r>
      <w:r w:rsidR="005D0394">
        <w:rPr>
          <w:rFonts w:ascii="Times New Roman" w:hAnsi="Times New Roman" w:cs="Times New Roman"/>
          <w:sz w:val="26"/>
          <w:szCs w:val="24"/>
        </w:rPr>
        <w:t xml:space="preserve">  The retirement of the information collection associated</w:t>
      </w:r>
      <w:r w:rsidR="00D32EB5">
        <w:rPr>
          <w:rFonts w:ascii="Times New Roman" w:hAnsi="Times New Roman" w:cs="Times New Roman"/>
          <w:sz w:val="26"/>
          <w:szCs w:val="24"/>
        </w:rPr>
        <w:t xml:space="preserve"> with the MOD A Reliability Standards will result in </w:t>
      </w:r>
      <w:r w:rsidR="0050258F">
        <w:rPr>
          <w:rFonts w:ascii="Times New Roman" w:hAnsi="Times New Roman" w:cs="Times New Roman"/>
          <w:sz w:val="26"/>
          <w:szCs w:val="24"/>
        </w:rPr>
        <w:t>the reduction of burdens</w:t>
      </w:r>
      <w:r w:rsidR="00F73789">
        <w:rPr>
          <w:rFonts w:ascii="Times New Roman" w:hAnsi="Times New Roman" w:cs="Times New Roman"/>
          <w:sz w:val="26"/>
          <w:szCs w:val="24"/>
        </w:rPr>
        <w:t xml:space="preserve"> for the reporting entities.</w:t>
      </w:r>
      <w:r w:rsidR="00C32A4C">
        <w:rPr>
          <w:rFonts w:ascii="Times New Roman" w:hAnsi="Times New Roman" w:cs="Times New Roman"/>
          <w:sz w:val="26"/>
          <w:szCs w:val="24"/>
        </w:rPr>
        <w:t xml:space="preserve">  </w:t>
      </w:r>
      <w:r w:rsidR="007869CF">
        <w:rPr>
          <w:rFonts w:ascii="Times New Roman" w:hAnsi="Times New Roman" w:cs="Times New Roman"/>
          <w:sz w:val="26"/>
          <w:szCs w:val="24"/>
        </w:rPr>
        <w:t>The consequences of not collecting the information w</w:t>
      </w:r>
      <w:r w:rsidR="008571D8">
        <w:rPr>
          <w:rFonts w:ascii="Times New Roman" w:hAnsi="Times New Roman" w:cs="Times New Roman"/>
          <w:sz w:val="26"/>
          <w:szCs w:val="24"/>
        </w:rPr>
        <w:t>ill</w:t>
      </w:r>
      <w:r w:rsidR="007869CF">
        <w:rPr>
          <w:rFonts w:ascii="Times New Roman" w:hAnsi="Times New Roman" w:cs="Times New Roman"/>
          <w:sz w:val="26"/>
          <w:szCs w:val="24"/>
        </w:rPr>
        <w:t xml:space="preserve"> be the elimination of information collection activities that are no longer needed.</w:t>
      </w:r>
    </w:p>
    <w:p w:rsidR="007F0136" w:rsidRPr="002705B2" w:rsidP="002705B2" w14:paraId="0A694C65" w14:textId="77777777">
      <w:pPr>
        <w:spacing w:after="0" w:line="240" w:lineRule="auto"/>
        <w:rPr>
          <w:rFonts w:ascii="Times New Roman" w:hAnsi="Times New Roman" w:cs="Times New Roman"/>
          <w:sz w:val="26"/>
          <w:szCs w:val="24"/>
        </w:rPr>
      </w:pPr>
    </w:p>
    <w:p w:rsidR="00EB3E6F" w:rsidRPr="00B17D68" w:rsidP="00964094" w14:paraId="04ECF797" w14:textId="4DB34053">
      <w:pPr>
        <w:pStyle w:val="ListParagraph"/>
        <w:numPr>
          <w:ilvl w:val="0"/>
          <w:numId w:val="36"/>
        </w:numPr>
        <w:spacing w:after="0" w:line="240" w:lineRule="auto"/>
        <w:ind w:left="360"/>
        <w:rPr>
          <w:rFonts w:ascii="Times New Roman" w:hAnsi="Times New Roman" w:cs="Times New Roman"/>
          <w:b/>
          <w:sz w:val="26"/>
          <w:szCs w:val="24"/>
        </w:rPr>
      </w:pPr>
      <w:r w:rsidRPr="00B17D68">
        <w:rPr>
          <w:rFonts w:ascii="Times New Roman" w:hAnsi="Times New Roman" w:cs="Times New Roman"/>
          <w:b/>
          <w:sz w:val="26"/>
          <w:szCs w:val="24"/>
        </w:rPr>
        <w:t>DESCRIBE ANY CONSIDERATION OF THE USE OF IMPROVED INFORMATION TECHNOLOGY TO REDUCE THE BURDEN AND TECHNICAL OR LEGAL OBSTACLES TO REDUCING BURDEN</w:t>
      </w:r>
    </w:p>
    <w:p w:rsidR="00EB3E6F" w:rsidRPr="002705B2" w:rsidP="002705B2" w14:paraId="11E30C30" w14:textId="77777777">
      <w:pPr>
        <w:spacing w:after="0" w:line="240" w:lineRule="auto"/>
        <w:rPr>
          <w:rFonts w:ascii="Times New Roman" w:hAnsi="Times New Roman" w:cs="Times New Roman"/>
          <w:sz w:val="26"/>
          <w:szCs w:val="24"/>
        </w:rPr>
      </w:pPr>
    </w:p>
    <w:p w:rsidR="00C00D70" w:rsidRPr="002705B2" w:rsidP="002705B2" w14:paraId="4E5746FB" w14:textId="4FA6F49A">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The use of current or improved technology is not covered in Reliability </w:t>
      </w:r>
      <w:r w:rsidRPr="002705B2" w:rsidR="00896DEA">
        <w:rPr>
          <w:rFonts w:ascii="Times New Roman" w:hAnsi="Times New Roman" w:cs="Times New Roman"/>
          <w:sz w:val="26"/>
          <w:szCs w:val="24"/>
        </w:rPr>
        <w:t>Standards and</w:t>
      </w:r>
      <w:r w:rsidRPr="002705B2">
        <w:rPr>
          <w:rFonts w:ascii="Times New Roman" w:hAnsi="Times New Roman" w:cs="Times New Roman"/>
          <w:sz w:val="26"/>
          <w:szCs w:val="24"/>
        </w:rPr>
        <w:t xml:space="preserve"> is therefore left to the discretion of each reporting entity.</w:t>
      </w:r>
      <w:r w:rsidRPr="002705B2" w:rsidR="00DD0209">
        <w:rPr>
          <w:rFonts w:ascii="Times New Roman" w:hAnsi="Times New Roman"/>
          <w:sz w:val="26"/>
        </w:rPr>
        <w:t xml:space="preserve"> </w:t>
      </w:r>
      <w:r w:rsidRPr="002705B2" w:rsidR="00DD1F76">
        <w:rPr>
          <w:rFonts w:ascii="Times New Roman" w:hAnsi="Times New Roman"/>
          <w:sz w:val="26"/>
        </w:rPr>
        <w:t xml:space="preserve"> </w:t>
      </w:r>
      <w:r w:rsidRPr="002705B2" w:rsidR="00DD0209">
        <w:rPr>
          <w:rFonts w:ascii="Times New Roman" w:hAnsi="Times New Roman" w:cs="Times New Roman"/>
          <w:sz w:val="26"/>
          <w:szCs w:val="24"/>
        </w:rPr>
        <w:t xml:space="preserve">We think that nearly all of the respondents are likely to make and keep related records in an electronic format.  Each of the </w:t>
      </w:r>
      <w:r w:rsidRPr="002705B2" w:rsidR="00DD1F76">
        <w:rPr>
          <w:rFonts w:ascii="Times New Roman" w:hAnsi="Times New Roman" w:cs="Times New Roman"/>
          <w:sz w:val="26"/>
          <w:szCs w:val="24"/>
        </w:rPr>
        <w:t xml:space="preserve">six </w:t>
      </w:r>
      <w:r w:rsidRPr="002705B2" w:rsidR="00DD0209">
        <w:rPr>
          <w:rFonts w:ascii="Times New Roman" w:hAnsi="Times New Roman" w:cs="Times New Roman"/>
          <w:sz w:val="26"/>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sidR="00AB3C34">
        <w:rPr>
          <w:rFonts w:ascii="Times New Roman" w:hAnsi="Times New Roman" w:cs="Times New Roman"/>
          <w:sz w:val="26"/>
          <w:szCs w:val="24"/>
        </w:rPr>
        <w:t xml:space="preserve">  In the case of </w:t>
      </w:r>
      <w:r w:rsidR="002251F3">
        <w:rPr>
          <w:rFonts w:ascii="Times New Roman" w:hAnsi="Times New Roman" w:cs="Times New Roman"/>
          <w:sz w:val="26"/>
          <w:szCs w:val="24"/>
        </w:rPr>
        <w:t xml:space="preserve">the retirement of the MOD A </w:t>
      </w:r>
      <w:r w:rsidR="002312F1">
        <w:rPr>
          <w:rFonts w:ascii="Times New Roman" w:hAnsi="Times New Roman" w:cs="Times New Roman"/>
          <w:sz w:val="26"/>
          <w:szCs w:val="24"/>
        </w:rPr>
        <w:t xml:space="preserve">Reliability Standards and </w:t>
      </w:r>
      <w:r w:rsidR="00AB3C34">
        <w:rPr>
          <w:rFonts w:ascii="Times New Roman" w:hAnsi="Times New Roman" w:cs="Times New Roman"/>
          <w:sz w:val="26"/>
          <w:szCs w:val="24"/>
        </w:rPr>
        <w:t>this information collection request, respondents</w:t>
      </w:r>
      <w:r w:rsidR="002251F3">
        <w:rPr>
          <w:rFonts w:ascii="Times New Roman" w:hAnsi="Times New Roman" w:cs="Times New Roman"/>
          <w:sz w:val="26"/>
          <w:szCs w:val="24"/>
        </w:rPr>
        <w:t xml:space="preserve"> will no longer need to </w:t>
      </w:r>
      <w:r w:rsidR="002312F1">
        <w:rPr>
          <w:rFonts w:ascii="Times New Roman" w:hAnsi="Times New Roman" w:cs="Times New Roman"/>
          <w:sz w:val="26"/>
          <w:szCs w:val="24"/>
        </w:rPr>
        <w:t>use any type of information technology.</w:t>
      </w:r>
    </w:p>
    <w:p w:rsidR="00EB3E6F" w:rsidRPr="002705B2" w:rsidP="002705B2" w14:paraId="054AF835" w14:textId="77777777">
      <w:pPr>
        <w:spacing w:after="0" w:line="240" w:lineRule="auto"/>
        <w:rPr>
          <w:rFonts w:ascii="Times New Roman" w:hAnsi="Times New Roman" w:cs="Times New Roman"/>
          <w:sz w:val="26"/>
          <w:szCs w:val="24"/>
        </w:rPr>
      </w:pPr>
    </w:p>
    <w:p w:rsidR="00EB3E6F" w:rsidRPr="005140A8" w:rsidP="00964094" w14:paraId="2820C7BF" w14:textId="7952500A">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DESCRIBE EFFORTS TO IDENTIF</w:t>
      </w:r>
      <w:r w:rsidRPr="005140A8" w:rsidR="00E05FA3">
        <w:rPr>
          <w:rFonts w:ascii="Times New Roman" w:hAnsi="Times New Roman" w:cs="Times New Roman"/>
          <w:b/>
          <w:sz w:val="26"/>
          <w:szCs w:val="24"/>
        </w:rPr>
        <w:t>Y</w:t>
      </w:r>
      <w:r w:rsidRPr="005140A8">
        <w:rPr>
          <w:rFonts w:ascii="Times New Roman" w:hAnsi="Times New Roman" w:cs="Times New Roman"/>
          <w:b/>
          <w:sz w:val="26"/>
          <w:szCs w:val="24"/>
        </w:rPr>
        <w:t xml:space="preserve"> DUPLICATION AND SHOW SPECIFICALLY WHY ANY SIMILAR INFORMATION ALREADY </w:t>
      </w:r>
      <w:r w:rsidRPr="005140A8">
        <w:rPr>
          <w:rFonts w:ascii="Times New Roman" w:hAnsi="Times New Roman" w:cs="Times New Roman"/>
          <w:b/>
          <w:sz w:val="26"/>
          <w:szCs w:val="24"/>
        </w:rPr>
        <w:t>AVAILABLE CANNOT BE USED OR MODIFIED FOR USE FOR THE PURPOSE(S) DESCRIBED IN INSTRUCTION NO. 2</w:t>
      </w:r>
    </w:p>
    <w:p w:rsidR="00EB3E6F" w:rsidRPr="002705B2" w:rsidP="002705B2" w14:paraId="0C9BB099" w14:textId="77777777">
      <w:pPr>
        <w:spacing w:after="0" w:line="240" w:lineRule="auto"/>
        <w:rPr>
          <w:rFonts w:ascii="Times New Roman" w:hAnsi="Times New Roman" w:cs="Times New Roman"/>
          <w:sz w:val="26"/>
          <w:szCs w:val="24"/>
        </w:rPr>
      </w:pPr>
    </w:p>
    <w:p w:rsidR="000C69C2" w:rsidP="00E5214D" w14:paraId="7BF872DA" w14:textId="5781338B">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 Commission periodically reviews filing requirements concurrent with OMB review or as the Commission deems necessary to eliminate duplicative filing and to minimize the filing burden.</w:t>
      </w:r>
      <w:r>
        <w:rPr>
          <w:rFonts w:ascii="Times New Roman" w:hAnsi="Times New Roman" w:cs="Times New Roman"/>
          <w:sz w:val="26"/>
          <w:szCs w:val="24"/>
        </w:rPr>
        <w:t xml:space="preserve">  </w:t>
      </w:r>
      <w:r w:rsidRPr="002705B2">
        <w:rPr>
          <w:rFonts w:ascii="Times New Roman" w:hAnsi="Times New Roman" w:cs="Times New Roman"/>
          <w:sz w:val="26"/>
          <w:szCs w:val="24"/>
        </w:rPr>
        <w:t>Reliability Standards are developed by a collaborative process which requires industry participation.  The Commission is unaware of any other source of information similar to the requirements</w:t>
      </w:r>
      <w:r w:rsidR="001B2B87">
        <w:rPr>
          <w:rFonts w:ascii="Times New Roman" w:hAnsi="Times New Roman" w:cs="Times New Roman"/>
          <w:sz w:val="26"/>
          <w:szCs w:val="24"/>
        </w:rPr>
        <w:t xml:space="preserve"> in the Reliability Standards.  In the case of this information collection request, </w:t>
      </w:r>
      <w:r w:rsidR="00A64846">
        <w:rPr>
          <w:rFonts w:ascii="Times New Roman" w:hAnsi="Times New Roman" w:cs="Times New Roman"/>
          <w:sz w:val="26"/>
          <w:szCs w:val="24"/>
        </w:rPr>
        <w:t>the</w:t>
      </w:r>
      <w:r w:rsidR="00FA0F81">
        <w:rPr>
          <w:rFonts w:ascii="Times New Roman" w:hAnsi="Times New Roman" w:cs="Times New Roman"/>
          <w:sz w:val="26"/>
          <w:szCs w:val="24"/>
        </w:rPr>
        <w:t xml:space="preserve">re is no similar </w:t>
      </w:r>
      <w:r w:rsidR="0020669E">
        <w:rPr>
          <w:rFonts w:ascii="Times New Roman" w:hAnsi="Times New Roman" w:cs="Times New Roman"/>
          <w:sz w:val="26"/>
          <w:szCs w:val="24"/>
        </w:rPr>
        <w:t>relevant information collection.</w:t>
      </w:r>
    </w:p>
    <w:p w:rsidR="00E5214D" w:rsidP="00E5214D" w14:paraId="12A34C91" w14:textId="77777777">
      <w:pPr>
        <w:spacing w:after="0" w:line="240" w:lineRule="auto"/>
        <w:rPr>
          <w:rFonts w:ascii="Times New Roman" w:hAnsi="Times New Roman" w:cs="Times New Roman"/>
          <w:sz w:val="26"/>
          <w:szCs w:val="24"/>
        </w:rPr>
      </w:pPr>
    </w:p>
    <w:p w:rsidR="00EB3E6F" w:rsidRPr="002705B2" w:rsidP="005140A8" w14:paraId="093A326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METHODS USED TO MINIMIZE THE BURDEN IN COLLECTION OF INFORMATION INVOLVING SMALL ENTITIES</w:t>
      </w:r>
    </w:p>
    <w:p w:rsidR="00C00D70" w:rsidRPr="002705B2" w:rsidP="002705B2" w14:paraId="40F90D38" w14:textId="77777777">
      <w:pPr>
        <w:spacing w:after="0" w:line="240" w:lineRule="auto"/>
        <w:rPr>
          <w:rFonts w:ascii="Times New Roman" w:hAnsi="Times New Roman" w:cs="Times New Roman"/>
          <w:sz w:val="26"/>
          <w:szCs w:val="24"/>
        </w:rPr>
      </w:pPr>
    </w:p>
    <w:p w:rsidR="00C00D70" w:rsidRPr="002705B2" w:rsidP="002705B2" w14:paraId="2D7CFBFB" w14:textId="3F7B23B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In general, small entities may </w:t>
      </w:r>
      <w:r w:rsidRPr="002705B2" w:rsidR="00B86284">
        <w:rPr>
          <w:rFonts w:ascii="Times New Roman" w:hAnsi="Times New Roman" w:cs="Times New Roman"/>
          <w:sz w:val="26"/>
          <w:szCs w:val="24"/>
        </w:rPr>
        <w:t xml:space="preserve">reduce their burden by taking part in a joint registration organization or </w:t>
      </w:r>
      <w:r w:rsidRPr="002705B2">
        <w:rPr>
          <w:rFonts w:ascii="Times New Roman" w:hAnsi="Times New Roman" w:cs="Times New Roman"/>
          <w:sz w:val="26"/>
          <w:szCs w:val="24"/>
        </w:rPr>
        <w:t>a coordinated functional registration</w:t>
      </w:r>
      <w:r w:rsidRPr="002705B2" w:rsidR="00B86284">
        <w:rPr>
          <w:rFonts w:ascii="Times New Roman" w:hAnsi="Times New Roman" w:cs="Times New Roman"/>
          <w:sz w:val="26"/>
          <w:szCs w:val="24"/>
        </w:rPr>
        <w:t>.  These options allow an entity to share its compliance burden with other entities.</w:t>
      </w:r>
    </w:p>
    <w:p w:rsidR="007F0136" w:rsidRPr="002705B2" w:rsidP="002705B2" w14:paraId="7215EC62" w14:textId="4E1A61B0">
      <w:pPr>
        <w:spacing w:after="0" w:line="240" w:lineRule="auto"/>
        <w:rPr>
          <w:rFonts w:ascii="Times New Roman" w:hAnsi="Times New Roman" w:cs="Times New Roman"/>
          <w:sz w:val="26"/>
          <w:szCs w:val="24"/>
        </w:rPr>
      </w:pPr>
    </w:p>
    <w:p w:rsidR="007F0136" w:rsidRPr="002705B2" w:rsidP="002705B2" w14:paraId="652280F7" w14:textId="5AD5F31B">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Detailed information regarding these options is available in NERC’s Rules of Procedure at sections 507 and 508.</w:t>
      </w:r>
      <w:r>
        <w:rPr>
          <w:rFonts w:ascii="Times New Roman" w:hAnsi="Times New Roman" w:cs="Times New Roman"/>
          <w:sz w:val="26"/>
          <w:szCs w:val="24"/>
          <w:vertAlign w:val="superscript"/>
        </w:rPr>
        <w:footnoteReference w:id="5"/>
      </w:r>
      <w:r w:rsidR="00024344">
        <w:rPr>
          <w:rFonts w:ascii="Times New Roman" w:hAnsi="Times New Roman" w:cs="Times New Roman"/>
          <w:sz w:val="26"/>
          <w:szCs w:val="24"/>
        </w:rPr>
        <w:t xml:space="preserve">  However, the retirement of the MOD A Reliability Standards will </w:t>
      </w:r>
      <w:r w:rsidR="00DA4AAB">
        <w:rPr>
          <w:rFonts w:ascii="Times New Roman" w:hAnsi="Times New Roman" w:cs="Times New Roman"/>
          <w:sz w:val="26"/>
          <w:szCs w:val="24"/>
        </w:rPr>
        <w:t>reduce the burdens for both large and small entities.</w:t>
      </w:r>
    </w:p>
    <w:p w:rsidR="00EB3E6F" w:rsidRPr="002705B2" w:rsidP="002705B2" w14:paraId="2EDB8F78" w14:textId="77777777">
      <w:pPr>
        <w:spacing w:after="0" w:line="240" w:lineRule="auto"/>
        <w:rPr>
          <w:rFonts w:ascii="Times New Roman" w:hAnsi="Times New Roman" w:cs="Times New Roman"/>
          <w:sz w:val="26"/>
          <w:szCs w:val="24"/>
        </w:rPr>
      </w:pPr>
    </w:p>
    <w:p w:rsidR="00EB3E6F" w:rsidRPr="005140A8" w:rsidP="00964094" w14:paraId="381BCCC8" w14:textId="0C540251">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CONSEQUENCE TO FEDERAL PROGRAM IF COLLECTION WERE CONDUCTED LESS FREQUENTLY</w:t>
      </w:r>
    </w:p>
    <w:p w:rsidR="00EB3E6F" w:rsidRPr="002705B2" w:rsidP="002705B2" w14:paraId="1D8BD47F" w14:textId="77777777">
      <w:pPr>
        <w:spacing w:after="0" w:line="240" w:lineRule="auto"/>
        <w:rPr>
          <w:rFonts w:ascii="Times New Roman" w:hAnsi="Times New Roman" w:cs="Times New Roman"/>
          <w:sz w:val="26"/>
          <w:szCs w:val="24"/>
        </w:rPr>
      </w:pPr>
    </w:p>
    <w:p w:rsidR="00C96857" w:rsidRPr="002705B2" w:rsidP="00145A85" w14:paraId="01613560" w14:textId="2D0175A3">
      <w:pPr>
        <w:widowControl w:val="0"/>
        <w:autoSpaceDE w:val="0"/>
        <w:autoSpaceDN w:val="0"/>
        <w:adjustRightInd w:val="0"/>
        <w:spacing w:after="0" w:line="240" w:lineRule="auto"/>
        <w:rPr>
          <w:rFonts w:ascii="Times New Roman" w:eastAsia="Times New Roman" w:hAnsi="Times New Roman" w:cs="Times New Roman"/>
          <w:sz w:val="26"/>
          <w:szCs w:val="24"/>
        </w:rPr>
      </w:pPr>
      <w:r w:rsidRPr="002705B2">
        <w:rPr>
          <w:rFonts w:ascii="Times New Roman" w:eastAsia="Times New Roman" w:hAnsi="Times New Roman" w:cs="Times New Roman"/>
          <w:sz w:val="26"/>
          <w:szCs w:val="24"/>
        </w:rPr>
        <w:t xml:space="preserve">In general, information collection requirements in Reliability Standards and requirements help maintain Bulk-Power System reliability. </w:t>
      </w:r>
      <w:r w:rsidRPr="002705B2" w:rsidR="007C31D6">
        <w:rPr>
          <w:rFonts w:ascii="Times New Roman" w:hAnsi="Times New Roman" w:cs="Times New Roman"/>
          <w:sz w:val="26"/>
          <w:szCs w:val="24"/>
        </w:rPr>
        <w:t xml:space="preserve">If </w:t>
      </w:r>
      <w:r w:rsidR="009B2E0D">
        <w:rPr>
          <w:rFonts w:ascii="Times New Roman" w:hAnsi="Times New Roman" w:cs="Times New Roman"/>
          <w:sz w:val="26"/>
          <w:szCs w:val="24"/>
        </w:rPr>
        <w:t xml:space="preserve">triggering </w:t>
      </w:r>
      <w:r w:rsidRPr="002705B2" w:rsidR="007C31D6">
        <w:rPr>
          <w:rFonts w:ascii="Times New Roman" w:hAnsi="Times New Roman" w:cs="Times New Roman"/>
          <w:sz w:val="26"/>
          <w:szCs w:val="24"/>
        </w:rPr>
        <w:t>events were reported less frequently, it would undermine NERC’s (and others’) ability to mitigate the current event and prepare for a possible next event.</w:t>
      </w:r>
      <w:r w:rsidR="00981012">
        <w:rPr>
          <w:rFonts w:ascii="Times New Roman" w:hAnsi="Times New Roman" w:cs="Times New Roman"/>
          <w:sz w:val="26"/>
          <w:szCs w:val="24"/>
        </w:rPr>
        <w:t xml:space="preserve">  In the case of this information collection request, associated with the retirement of </w:t>
      </w:r>
      <w:r w:rsidR="004C104A">
        <w:rPr>
          <w:rFonts w:ascii="Times New Roman" w:hAnsi="Times New Roman" w:cs="Times New Roman"/>
          <w:sz w:val="26"/>
          <w:szCs w:val="24"/>
        </w:rPr>
        <w:t xml:space="preserve">the MOD A Reliability Standards, </w:t>
      </w:r>
      <w:r w:rsidR="00145A85">
        <w:rPr>
          <w:rFonts w:ascii="Times New Roman" w:hAnsi="Times New Roman" w:cs="Times New Roman"/>
          <w:sz w:val="26"/>
          <w:szCs w:val="24"/>
        </w:rPr>
        <w:t xml:space="preserve">there will be no triggering events and </w:t>
      </w:r>
      <w:r w:rsidR="004C104A">
        <w:rPr>
          <w:rFonts w:ascii="Times New Roman" w:hAnsi="Times New Roman" w:cs="Times New Roman"/>
          <w:sz w:val="26"/>
          <w:szCs w:val="24"/>
        </w:rPr>
        <w:t xml:space="preserve">the collections will </w:t>
      </w:r>
      <w:r w:rsidR="00145A85">
        <w:rPr>
          <w:rFonts w:ascii="Times New Roman" w:hAnsi="Times New Roman" w:cs="Times New Roman"/>
          <w:sz w:val="26"/>
          <w:szCs w:val="24"/>
        </w:rPr>
        <w:t>be reduced to zero.</w:t>
      </w:r>
    </w:p>
    <w:p w:rsidR="002E7D81" w:rsidRPr="002705B2" w:rsidP="002705B2" w14:paraId="4A160987" w14:textId="77777777">
      <w:pPr>
        <w:spacing w:after="0" w:line="240" w:lineRule="auto"/>
        <w:rPr>
          <w:rFonts w:ascii="Times New Roman" w:hAnsi="Times New Roman" w:cs="Times New Roman"/>
          <w:sz w:val="26"/>
          <w:szCs w:val="24"/>
        </w:rPr>
      </w:pPr>
    </w:p>
    <w:p w:rsidR="00EB3E6F" w:rsidRPr="002705B2" w:rsidP="005140A8" w14:paraId="4A7865B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SPECIAL CIRCUMSTANCES RELATING TO THE INFORMATION COLLECTION</w:t>
      </w:r>
    </w:p>
    <w:p w:rsidR="00EB3E6F" w:rsidRPr="002705B2" w:rsidP="002705B2" w14:paraId="07E33058" w14:textId="77777777">
      <w:pPr>
        <w:spacing w:after="0" w:line="240" w:lineRule="auto"/>
        <w:rPr>
          <w:rFonts w:ascii="Times New Roman" w:hAnsi="Times New Roman" w:cs="Times New Roman"/>
          <w:sz w:val="26"/>
          <w:szCs w:val="24"/>
        </w:rPr>
      </w:pPr>
    </w:p>
    <w:p w:rsidR="003E0475" w:rsidP="00731CBC" w14:paraId="2AC511E5" w14:textId="7E076121">
      <w:pPr>
        <w:spacing w:after="0" w:line="240" w:lineRule="auto"/>
        <w:rPr>
          <w:rFonts w:ascii="Times New Roman" w:hAnsi="Times New Roman"/>
          <w:sz w:val="26"/>
          <w:szCs w:val="24"/>
        </w:rPr>
      </w:pPr>
      <w:r w:rsidRPr="002705B2">
        <w:rPr>
          <w:rFonts w:ascii="Times New Roman" w:hAnsi="Times New Roman"/>
          <w:sz w:val="26"/>
          <w:szCs w:val="24"/>
        </w:rPr>
        <w:t xml:space="preserve">There </w:t>
      </w:r>
      <w:r w:rsidRPr="002705B2" w:rsidR="00EE4C15">
        <w:rPr>
          <w:rFonts w:ascii="Times New Roman" w:hAnsi="Times New Roman"/>
          <w:sz w:val="26"/>
          <w:szCs w:val="24"/>
        </w:rPr>
        <w:t>are</w:t>
      </w:r>
      <w:r w:rsidRPr="002705B2" w:rsidR="00705F66">
        <w:rPr>
          <w:rFonts w:ascii="Times New Roman" w:hAnsi="Times New Roman"/>
          <w:sz w:val="26"/>
          <w:szCs w:val="24"/>
        </w:rPr>
        <w:t xml:space="preserve"> </w:t>
      </w:r>
      <w:r w:rsidR="00A6790F">
        <w:rPr>
          <w:rFonts w:ascii="Times New Roman" w:hAnsi="Times New Roman"/>
          <w:sz w:val="26"/>
          <w:szCs w:val="24"/>
        </w:rPr>
        <w:t>no</w:t>
      </w:r>
      <w:r w:rsidRPr="002705B2">
        <w:rPr>
          <w:rFonts w:ascii="Times New Roman" w:hAnsi="Times New Roman"/>
          <w:sz w:val="26"/>
          <w:szCs w:val="24"/>
        </w:rPr>
        <w:t xml:space="preserve"> special circumstances as described in 5 CFR 1320.5(d)(2) related to th</w:t>
      </w:r>
      <w:r w:rsidR="00086B41">
        <w:rPr>
          <w:rFonts w:ascii="Times New Roman" w:hAnsi="Times New Roman"/>
          <w:sz w:val="26"/>
          <w:szCs w:val="24"/>
        </w:rPr>
        <w:t xml:space="preserve">e retirement of the </w:t>
      </w:r>
      <w:r w:rsidR="00731CBC">
        <w:rPr>
          <w:rFonts w:ascii="Times New Roman" w:hAnsi="Times New Roman"/>
          <w:sz w:val="26"/>
          <w:szCs w:val="24"/>
        </w:rPr>
        <w:t>MOD A Reliability Standards.</w:t>
      </w:r>
    </w:p>
    <w:p w:rsidR="00731CBC" w:rsidP="00731CBC" w14:paraId="7C2639D4" w14:textId="77777777">
      <w:pPr>
        <w:spacing w:after="0" w:line="240" w:lineRule="auto"/>
        <w:rPr>
          <w:rFonts w:ascii="Times New Roman" w:hAnsi="Times New Roman"/>
          <w:sz w:val="26"/>
          <w:szCs w:val="24"/>
          <w:u w:val="double"/>
        </w:rPr>
      </w:pPr>
    </w:p>
    <w:p w:rsidR="00EB3E6F" w:rsidRPr="002705B2" w:rsidP="005140A8" w14:paraId="4E1E27C3"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EFFORTS TO CONSULT OUTSIDE THE AGENCY: SUMMARIZE PUBLIC COMMENTS AND THE AGENCY’S RESPONSE</w:t>
      </w:r>
    </w:p>
    <w:p w:rsidR="00EB3E6F" w:rsidRPr="002705B2" w:rsidP="002705B2" w14:paraId="75E84060" w14:textId="77777777">
      <w:pPr>
        <w:spacing w:after="0" w:line="240" w:lineRule="auto"/>
        <w:rPr>
          <w:rFonts w:ascii="Times New Roman" w:hAnsi="Times New Roman" w:cs="Times New Roman"/>
          <w:sz w:val="26"/>
          <w:szCs w:val="24"/>
        </w:rPr>
      </w:pPr>
    </w:p>
    <w:p w:rsidR="00CF21A0" w:rsidP="00010305" w14:paraId="1728C382" w14:textId="77777777">
      <w:pPr>
        <w:spacing w:after="0" w:line="240" w:lineRule="auto"/>
        <w:rPr>
          <w:rFonts w:ascii="Times New Roman" w:hAnsi="Times New Roman"/>
          <w:b/>
          <w:sz w:val="26"/>
          <w:szCs w:val="24"/>
          <w:vertAlign w:val="superscript"/>
        </w:rPr>
      </w:pPr>
      <w:r w:rsidRPr="003C4526">
        <w:rPr>
          <w:rFonts w:ascii="Times New Roman" w:hAnsi="Times New Roman"/>
          <w:sz w:val="26"/>
          <w:szCs w:val="24"/>
        </w:rPr>
        <w:t>On January 23, 2020, the Commission issued a NOPR proposing to approve</w:t>
      </w:r>
      <w:r w:rsidR="00FD1AE4">
        <w:rPr>
          <w:rFonts w:ascii="Times New Roman" w:hAnsi="Times New Roman"/>
          <w:sz w:val="26"/>
          <w:szCs w:val="24"/>
        </w:rPr>
        <w:t xml:space="preserve">, among other things, </w:t>
      </w:r>
      <w:r w:rsidRPr="003C4526">
        <w:rPr>
          <w:rFonts w:ascii="Times New Roman" w:hAnsi="Times New Roman"/>
          <w:sz w:val="26"/>
          <w:szCs w:val="24"/>
        </w:rPr>
        <w:t>the retirement of the MOD A Reliability Standards</w:t>
      </w:r>
      <w:r w:rsidR="00FD1AE4">
        <w:rPr>
          <w:rFonts w:ascii="Times New Roman" w:hAnsi="Times New Roman"/>
          <w:sz w:val="26"/>
          <w:szCs w:val="24"/>
        </w:rPr>
        <w:t xml:space="preserve">.  </w:t>
      </w:r>
      <w:r w:rsidRPr="00010305" w:rsidR="00010305">
        <w:rPr>
          <w:rFonts w:ascii="Times New Roman" w:hAnsi="Times New Roman"/>
          <w:sz w:val="26"/>
          <w:szCs w:val="24"/>
        </w:rPr>
        <w:t>The Commission received five sets of comments—two of which were specific to the proposed retirement of the MOD A Reliability Standards.</w:t>
      </w:r>
    </w:p>
    <w:p w:rsidR="00CF21A0" w:rsidP="00010305" w14:paraId="033135B6" w14:textId="77777777">
      <w:pPr>
        <w:spacing w:after="0" w:line="240" w:lineRule="auto"/>
        <w:rPr>
          <w:rFonts w:ascii="Times New Roman" w:hAnsi="Times New Roman"/>
          <w:b/>
          <w:sz w:val="26"/>
          <w:szCs w:val="24"/>
          <w:vertAlign w:val="superscript"/>
        </w:rPr>
      </w:pPr>
    </w:p>
    <w:p w:rsidR="00901659" w:rsidP="00010305" w14:paraId="0AAA6D5D" w14:textId="5E623096">
      <w:pPr>
        <w:spacing w:after="0" w:line="240" w:lineRule="auto"/>
        <w:rPr>
          <w:rFonts w:ascii="Times New Roman" w:hAnsi="Times New Roman"/>
          <w:sz w:val="26"/>
          <w:szCs w:val="24"/>
        </w:rPr>
      </w:pPr>
      <w:r>
        <w:rPr>
          <w:rFonts w:ascii="Times New Roman" w:hAnsi="Times New Roman"/>
          <w:sz w:val="26"/>
          <w:szCs w:val="24"/>
        </w:rPr>
        <w:t xml:space="preserve">The Western Area Power Administration </w:t>
      </w:r>
      <w:r w:rsidR="009250E0">
        <w:rPr>
          <w:rFonts w:ascii="Times New Roman" w:hAnsi="Times New Roman"/>
          <w:sz w:val="26"/>
          <w:szCs w:val="24"/>
        </w:rPr>
        <w:t xml:space="preserve">(WAPA) </w:t>
      </w:r>
      <w:r>
        <w:rPr>
          <w:rFonts w:ascii="Times New Roman" w:hAnsi="Times New Roman"/>
          <w:sz w:val="26"/>
          <w:szCs w:val="24"/>
        </w:rPr>
        <w:t xml:space="preserve">supported the proposal to retire the MOD A Reliability Standards.  </w:t>
      </w:r>
      <w:r w:rsidR="001F0778">
        <w:rPr>
          <w:rFonts w:ascii="Times New Roman" w:hAnsi="Times New Roman"/>
          <w:sz w:val="26"/>
          <w:szCs w:val="24"/>
        </w:rPr>
        <w:t xml:space="preserve">The WAPA </w:t>
      </w:r>
      <w:r w:rsidRPr="00010305" w:rsidR="001F0778">
        <w:rPr>
          <w:rFonts w:ascii="Times New Roman" w:hAnsi="Times New Roman"/>
          <w:sz w:val="26"/>
          <w:szCs w:val="24"/>
        </w:rPr>
        <w:t xml:space="preserve">expressed its support for the direction of the industry and the work performed by the Standards Efficiency Review project.  </w:t>
      </w:r>
      <w:r w:rsidR="001F0778">
        <w:rPr>
          <w:rFonts w:ascii="Times New Roman" w:hAnsi="Times New Roman"/>
          <w:sz w:val="26"/>
          <w:szCs w:val="24"/>
        </w:rPr>
        <w:t xml:space="preserve">The </w:t>
      </w:r>
      <w:r w:rsidRPr="00010305" w:rsidR="001F0778">
        <w:rPr>
          <w:rFonts w:ascii="Times New Roman" w:hAnsi="Times New Roman"/>
          <w:sz w:val="26"/>
          <w:szCs w:val="24"/>
        </w:rPr>
        <w:t xml:space="preserve">WAPA agreed with NERC’s assertion that Available Transfer Capability/Available Flowgate Capability, along with e-Tags, are </w:t>
      </w:r>
      <w:r w:rsidRPr="00010305" w:rsidR="00731CBC">
        <w:rPr>
          <w:rFonts w:ascii="Times New Roman" w:hAnsi="Times New Roman"/>
          <w:sz w:val="26"/>
          <w:szCs w:val="24"/>
        </w:rPr>
        <w:t>commercially focused</w:t>
      </w:r>
      <w:r w:rsidRPr="00010305" w:rsidR="001F0778">
        <w:rPr>
          <w:rFonts w:ascii="Times New Roman" w:hAnsi="Times New Roman"/>
          <w:sz w:val="26"/>
          <w:szCs w:val="24"/>
        </w:rPr>
        <w:t xml:space="preserve"> elements facilitating interchange and balancing of interchange.  WAPA also asked the Commission to ensure that appropriate measures are in place to ensure stakeholder[s] can provide input into the development of the new business practices</w:t>
      </w:r>
      <w:r w:rsidR="00057220">
        <w:rPr>
          <w:rFonts w:ascii="Times New Roman" w:hAnsi="Times New Roman"/>
          <w:sz w:val="26"/>
          <w:szCs w:val="24"/>
        </w:rPr>
        <w:t>.</w:t>
      </w:r>
    </w:p>
    <w:p w:rsidR="00901659" w:rsidP="00010305" w14:paraId="6DE56082" w14:textId="77777777">
      <w:pPr>
        <w:spacing w:after="0" w:line="240" w:lineRule="auto"/>
        <w:rPr>
          <w:rFonts w:ascii="Times New Roman" w:hAnsi="Times New Roman"/>
          <w:sz w:val="26"/>
          <w:szCs w:val="24"/>
        </w:rPr>
      </w:pPr>
    </w:p>
    <w:p w:rsidR="001F0778" w:rsidP="00010305" w14:paraId="1F93E9D5" w14:textId="77777777">
      <w:pPr>
        <w:spacing w:after="0" w:line="240" w:lineRule="auto"/>
        <w:rPr>
          <w:rFonts w:ascii="Times New Roman" w:hAnsi="Times New Roman"/>
          <w:sz w:val="26"/>
          <w:szCs w:val="24"/>
        </w:rPr>
      </w:pPr>
      <w:r>
        <w:rPr>
          <w:rFonts w:ascii="Times New Roman" w:hAnsi="Times New Roman"/>
          <w:sz w:val="26"/>
          <w:szCs w:val="24"/>
        </w:rPr>
        <w:t xml:space="preserve">The Bonneville Power Administration </w:t>
      </w:r>
      <w:r w:rsidR="009250E0">
        <w:rPr>
          <w:rFonts w:ascii="Times New Roman" w:hAnsi="Times New Roman"/>
          <w:sz w:val="26"/>
          <w:szCs w:val="24"/>
        </w:rPr>
        <w:t xml:space="preserve">(BPA) </w:t>
      </w:r>
      <w:r>
        <w:rPr>
          <w:rFonts w:ascii="Times New Roman" w:hAnsi="Times New Roman"/>
          <w:sz w:val="26"/>
          <w:szCs w:val="24"/>
        </w:rPr>
        <w:t>also supported the proposal to retire the MOD A Reliability Standards.</w:t>
      </w:r>
      <w:r w:rsidR="009250E0">
        <w:rPr>
          <w:rFonts w:ascii="Times New Roman" w:hAnsi="Times New Roman"/>
          <w:sz w:val="26"/>
          <w:szCs w:val="24"/>
        </w:rPr>
        <w:t xml:space="preserve">  </w:t>
      </w:r>
      <w:r w:rsidRPr="00010305" w:rsidR="00010305">
        <w:rPr>
          <w:rFonts w:ascii="Times New Roman" w:hAnsi="Times New Roman"/>
          <w:sz w:val="26"/>
          <w:szCs w:val="24"/>
        </w:rPr>
        <w:t xml:space="preserve">In its comments, </w:t>
      </w:r>
      <w:r w:rsidR="009250E0">
        <w:rPr>
          <w:rFonts w:ascii="Times New Roman" w:hAnsi="Times New Roman"/>
          <w:sz w:val="26"/>
          <w:szCs w:val="24"/>
        </w:rPr>
        <w:t xml:space="preserve">the BPA </w:t>
      </w:r>
      <w:r w:rsidR="006C7216">
        <w:rPr>
          <w:rFonts w:ascii="Times New Roman" w:hAnsi="Times New Roman"/>
          <w:sz w:val="26"/>
          <w:szCs w:val="24"/>
        </w:rPr>
        <w:t xml:space="preserve">stated that it </w:t>
      </w:r>
      <w:r w:rsidRPr="00010305" w:rsidR="00010305">
        <w:rPr>
          <w:rFonts w:ascii="Times New Roman" w:hAnsi="Times New Roman"/>
          <w:sz w:val="26"/>
          <w:szCs w:val="24"/>
        </w:rPr>
        <w:t xml:space="preserve">appreciates the Commission’s recognition of the relationship between the MOD A retirements and the publication of Business Practice Standards by NAESB to replace the commercial aspects of the MOD requirements.  Further, </w:t>
      </w:r>
      <w:r w:rsidR="006C7216">
        <w:rPr>
          <w:rFonts w:ascii="Times New Roman" w:hAnsi="Times New Roman"/>
          <w:sz w:val="26"/>
          <w:szCs w:val="24"/>
        </w:rPr>
        <w:t xml:space="preserve">the BPA believed </w:t>
      </w:r>
      <w:r w:rsidRPr="00010305" w:rsidR="00010305">
        <w:rPr>
          <w:rFonts w:ascii="Times New Roman" w:hAnsi="Times New Roman"/>
          <w:sz w:val="26"/>
          <w:szCs w:val="24"/>
        </w:rPr>
        <w:t>it will be important to continue the efforts to avoid commercial requirements in the NERC Reliability Standards and, likewise, avoid reliability requirements in NAESB Business Practice Standards.</w:t>
      </w:r>
    </w:p>
    <w:p w:rsidR="001F0778" w:rsidP="00010305" w14:paraId="70D57C05" w14:textId="77777777">
      <w:pPr>
        <w:spacing w:after="0" w:line="240" w:lineRule="auto"/>
        <w:rPr>
          <w:rFonts w:ascii="Times New Roman" w:hAnsi="Times New Roman"/>
          <w:sz w:val="26"/>
          <w:szCs w:val="24"/>
        </w:rPr>
      </w:pPr>
    </w:p>
    <w:p w:rsidR="0030268B" w:rsidRPr="002705B2" w:rsidP="002705B2" w14:paraId="4D0EED59" w14:textId="529FAE47">
      <w:pPr>
        <w:spacing w:after="0" w:line="240" w:lineRule="auto"/>
        <w:rPr>
          <w:rFonts w:ascii="Times New Roman" w:hAnsi="Times New Roman"/>
          <w:bCs/>
          <w:sz w:val="26"/>
          <w:szCs w:val="24"/>
        </w:rPr>
      </w:pPr>
      <w:r>
        <w:rPr>
          <w:rFonts w:ascii="Times New Roman" w:hAnsi="Times New Roman"/>
          <w:sz w:val="26"/>
          <w:szCs w:val="24"/>
        </w:rPr>
        <w:t xml:space="preserve">The Commission considered these comments in </w:t>
      </w:r>
      <w:r w:rsidR="00056FA3">
        <w:rPr>
          <w:rFonts w:ascii="Times New Roman" w:hAnsi="Times New Roman"/>
          <w:sz w:val="26"/>
          <w:szCs w:val="24"/>
        </w:rPr>
        <w:t xml:space="preserve">Order No. </w:t>
      </w:r>
      <w:r w:rsidR="00397889">
        <w:rPr>
          <w:rFonts w:ascii="Times New Roman" w:hAnsi="Times New Roman"/>
          <w:sz w:val="26"/>
          <w:szCs w:val="24"/>
        </w:rPr>
        <w:t>902.</w:t>
      </w:r>
    </w:p>
    <w:p w:rsidR="00EB3E6F" w:rsidRPr="002705B2" w:rsidP="002705B2" w14:paraId="50B43B4F" w14:textId="77777777">
      <w:pPr>
        <w:spacing w:after="0" w:line="240" w:lineRule="auto"/>
        <w:rPr>
          <w:rFonts w:ascii="Times New Roman" w:hAnsi="Times New Roman" w:cs="Times New Roman"/>
          <w:sz w:val="26"/>
          <w:szCs w:val="24"/>
        </w:rPr>
      </w:pPr>
    </w:p>
    <w:p w:rsidR="00EB3E6F" w:rsidRPr="002705B2" w:rsidP="005140A8" w14:paraId="2D5432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PAYMENT OR GIFTS TO RESPONDENTS</w:t>
      </w:r>
    </w:p>
    <w:p w:rsidR="00D80FBD" w:rsidRPr="002705B2" w:rsidP="002705B2" w14:paraId="1210C2DD" w14:textId="77777777">
      <w:pPr>
        <w:spacing w:after="0" w:line="240" w:lineRule="auto"/>
        <w:rPr>
          <w:rFonts w:ascii="Times New Roman" w:hAnsi="Times New Roman" w:cs="Times New Roman"/>
          <w:sz w:val="26"/>
          <w:szCs w:val="24"/>
        </w:rPr>
      </w:pPr>
    </w:p>
    <w:p w:rsidR="0072126E" w:rsidRPr="002705B2" w:rsidP="002705B2" w14:paraId="28105D39" w14:textId="63345DEF">
      <w:pPr>
        <w:spacing w:after="0" w:line="240" w:lineRule="auto"/>
        <w:rPr>
          <w:rFonts w:ascii="Times New Roman" w:hAnsi="Times New Roman"/>
          <w:sz w:val="26"/>
          <w:szCs w:val="24"/>
        </w:rPr>
      </w:pPr>
      <w:r w:rsidRPr="002705B2">
        <w:rPr>
          <w:rFonts w:ascii="Times New Roman" w:hAnsi="Times New Roman"/>
          <w:sz w:val="26"/>
          <w:szCs w:val="24"/>
        </w:rPr>
        <w:t xml:space="preserve">The Commission does not make payments or provide gifts for respondents related to </w:t>
      </w:r>
      <w:r w:rsidR="00397889">
        <w:rPr>
          <w:rFonts w:ascii="Times New Roman" w:hAnsi="Times New Roman"/>
          <w:sz w:val="26"/>
          <w:szCs w:val="24"/>
        </w:rPr>
        <w:t xml:space="preserve">the </w:t>
      </w:r>
      <w:r w:rsidR="00CC3EA3">
        <w:rPr>
          <w:rFonts w:ascii="Times New Roman" w:hAnsi="Times New Roman"/>
          <w:sz w:val="26"/>
          <w:szCs w:val="24"/>
        </w:rPr>
        <w:t xml:space="preserve">information collections associated with the </w:t>
      </w:r>
      <w:r w:rsidR="00397889">
        <w:rPr>
          <w:rFonts w:ascii="Times New Roman" w:hAnsi="Times New Roman"/>
          <w:sz w:val="26"/>
          <w:szCs w:val="24"/>
        </w:rPr>
        <w:t>MOD A Reliability Standards</w:t>
      </w:r>
      <w:r w:rsidR="00CC3EA3">
        <w:rPr>
          <w:rFonts w:ascii="Times New Roman" w:hAnsi="Times New Roman"/>
          <w:sz w:val="26"/>
          <w:szCs w:val="24"/>
        </w:rPr>
        <w:t>.</w:t>
      </w:r>
    </w:p>
    <w:p w:rsidR="00D80FBD" w:rsidRPr="002705B2" w:rsidP="002705B2" w14:paraId="16D50B62" w14:textId="77777777">
      <w:pPr>
        <w:spacing w:after="0" w:line="240" w:lineRule="auto"/>
        <w:rPr>
          <w:rFonts w:ascii="Times New Roman" w:hAnsi="Times New Roman" w:cs="Times New Roman"/>
          <w:sz w:val="26"/>
          <w:szCs w:val="24"/>
        </w:rPr>
      </w:pPr>
    </w:p>
    <w:p w:rsidR="00D80FBD" w:rsidRPr="002705B2" w:rsidP="005140A8" w14:paraId="06226082"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ANY ASSURANCE OF CONFIDENTIALITY PROVIDED TO RESPONDENTS</w:t>
      </w:r>
    </w:p>
    <w:p w:rsidR="00182858" w:rsidRPr="002705B2" w:rsidP="002705B2" w14:paraId="6FDD0DA7" w14:textId="77777777">
      <w:pPr>
        <w:spacing w:after="0" w:line="240" w:lineRule="auto"/>
        <w:rPr>
          <w:rFonts w:ascii="Times New Roman" w:hAnsi="Times New Roman" w:cs="Times New Roman"/>
          <w:sz w:val="26"/>
          <w:szCs w:val="24"/>
        </w:rPr>
      </w:pPr>
    </w:p>
    <w:p w:rsidR="00D80FBD" w:rsidRPr="002705B2" w:rsidP="002705B2" w14:paraId="0E61A2E0" w14:textId="7777777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There are no specific assurances of confidentiality mentioned to respondents.</w:t>
      </w:r>
    </w:p>
    <w:p w:rsidR="00D80FBD" w:rsidRPr="002705B2" w:rsidP="002705B2" w14:paraId="52B231BB" w14:textId="77777777">
      <w:pPr>
        <w:spacing w:after="0" w:line="240" w:lineRule="auto"/>
        <w:rPr>
          <w:rFonts w:ascii="Times New Roman" w:hAnsi="Times New Roman" w:cs="Times New Roman"/>
          <w:sz w:val="26"/>
          <w:szCs w:val="24"/>
        </w:rPr>
      </w:pPr>
    </w:p>
    <w:p w:rsidR="00D80FBD" w:rsidRPr="002705B2" w:rsidP="005140A8" w14:paraId="192AC24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PROVIDE ADDITIONAL JUSTIFICATION FOR ANY QUESTIONS OF A SENSITIVE NATURE</w:t>
      </w:r>
    </w:p>
    <w:p w:rsidR="00D80FBD" w:rsidRPr="002705B2" w:rsidP="002705B2" w14:paraId="186BF47D" w14:textId="77777777">
      <w:pPr>
        <w:spacing w:after="0" w:line="240" w:lineRule="auto"/>
        <w:rPr>
          <w:rFonts w:ascii="Times New Roman" w:hAnsi="Times New Roman" w:cs="Times New Roman"/>
          <w:sz w:val="26"/>
          <w:szCs w:val="24"/>
        </w:rPr>
      </w:pPr>
    </w:p>
    <w:p w:rsidR="00A4336A" w:rsidRPr="002705B2" w:rsidP="002705B2" w14:paraId="008F18F6" w14:textId="77777777">
      <w:pPr>
        <w:spacing w:after="0" w:line="240" w:lineRule="auto"/>
        <w:rPr>
          <w:rFonts w:ascii="Times New Roman" w:hAnsi="Times New Roman"/>
          <w:sz w:val="26"/>
          <w:szCs w:val="24"/>
        </w:rPr>
      </w:pPr>
      <w:r w:rsidRPr="002705B2">
        <w:rPr>
          <w:rFonts w:ascii="Times New Roman" w:hAnsi="Times New Roman"/>
          <w:sz w:val="26"/>
          <w:szCs w:val="24"/>
        </w:rPr>
        <w:t>This collection does not include any questions of a sensitive nature.</w:t>
      </w:r>
    </w:p>
    <w:p w:rsidR="00D80FBD" w:rsidRPr="002705B2" w:rsidP="002705B2" w14:paraId="0CBD35AA" w14:textId="77777777">
      <w:pPr>
        <w:spacing w:after="0" w:line="240" w:lineRule="auto"/>
        <w:rPr>
          <w:rFonts w:ascii="Times New Roman" w:hAnsi="Times New Roman" w:cs="Times New Roman"/>
          <w:sz w:val="26"/>
          <w:szCs w:val="24"/>
        </w:rPr>
      </w:pPr>
    </w:p>
    <w:p w:rsidR="00D80FBD" w:rsidRPr="002705B2" w:rsidP="005140A8" w14:paraId="51C07940" w14:textId="672B190B">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BURDEN OF COLLECTION OF INFORMATION</w:t>
      </w:r>
    </w:p>
    <w:p w:rsidR="00D50AB5" w:rsidP="00D50AB5" w14:paraId="11EE69F5" w14:textId="77777777">
      <w:pPr>
        <w:pStyle w:val="FERCparanumber"/>
        <w:numPr>
          <w:ilvl w:val="0"/>
          <w:numId w:val="0"/>
        </w:numPr>
        <w:spacing w:line="240" w:lineRule="auto"/>
      </w:pPr>
    </w:p>
    <w:p w:rsidR="00DC5E38" w:rsidP="00D50AB5" w14:paraId="36C08A41" w14:textId="70EE2DD6">
      <w:pPr>
        <w:pStyle w:val="FERCparanumber"/>
        <w:numPr>
          <w:ilvl w:val="0"/>
          <w:numId w:val="0"/>
        </w:numPr>
        <w:spacing w:line="240" w:lineRule="auto"/>
      </w:pPr>
      <w:r>
        <w:t>Table</w:t>
      </w:r>
      <w:r w:rsidR="00E90E56">
        <w:t>s</w:t>
      </w:r>
      <w:r>
        <w:t xml:space="preserve"> 12</w:t>
      </w:r>
      <w:r w:rsidR="00E90E56">
        <w:t>-1 through 12-7</w:t>
      </w:r>
      <w:r>
        <w:t xml:space="preserve"> sho</w:t>
      </w:r>
      <w:r w:rsidR="00876C2E">
        <w:t>w</w:t>
      </w:r>
      <w:r>
        <w:t xml:space="preserve"> the burdens that will be reduced </w:t>
      </w:r>
      <w:r w:rsidR="00D668AB">
        <w:t xml:space="preserve">in FERC-725A </w:t>
      </w:r>
      <w:r w:rsidR="00C01459">
        <w:t xml:space="preserve">as a result of </w:t>
      </w:r>
      <w:r w:rsidR="00FF5C5A">
        <w:t xml:space="preserve">the retirement of the MOD A Reliability </w:t>
      </w:r>
      <w:r w:rsidR="00D668AB">
        <w:t xml:space="preserve">Standards.  </w:t>
      </w:r>
      <w:r w:rsidRPr="00D50AB5" w:rsidR="00D50AB5">
        <w:t xml:space="preserve">The number of respondents </w:t>
      </w:r>
      <w:r w:rsidR="0069205E">
        <w:t xml:space="preserve">in </w:t>
      </w:r>
      <w:r w:rsidR="001C3AC0">
        <w:t>these tables</w:t>
      </w:r>
      <w:r w:rsidR="0069205E">
        <w:t xml:space="preserve"> 12 </w:t>
      </w:r>
      <w:r w:rsidR="00D54915">
        <w:t xml:space="preserve">is </w:t>
      </w:r>
      <w:r w:rsidRPr="00D50AB5" w:rsidR="00D50AB5">
        <w:t>based on an estimate of the NERC compliance registry for transmission service providers (TSP), transmission operators (TOP), transmission planners (TP), resource planners (RP), and balancing authorities (BA).</w:t>
      </w:r>
      <w:r>
        <w:rPr>
          <w:rStyle w:val="FootnoteReference"/>
          <w:vertAlign w:val="superscript"/>
        </w:rPr>
        <w:footnoteReference w:id="6"/>
      </w:r>
      <w:r w:rsidR="009A2C8A">
        <w:t xml:space="preserve">  </w:t>
      </w:r>
      <w:r w:rsidRPr="00D50AB5" w:rsidR="00D50AB5">
        <w:t>As these entities still have obligation</w:t>
      </w:r>
      <w:r w:rsidR="006A25D4">
        <w:t>s</w:t>
      </w:r>
      <w:r w:rsidR="00C80796">
        <w:t xml:space="preserve"> for </w:t>
      </w:r>
      <w:r w:rsidRPr="00D50AB5" w:rsidR="00D50AB5">
        <w:t>other NERC Reliability Standards</w:t>
      </w:r>
      <w:r w:rsidR="00C80796">
        <w:t xml:space="preserve">, the number of respondents will </w:t>
      </w:r>
      <w:r w:rsidRPr="00D50AB5" w:rsidR="00D50AB5">
        <w:t xml:space="preserve">remain </w:t>
      </w:r>
      <w:r w:rsidR="00C80796">
        <w:t xml:space="preserve">unchanged </w:t>
      </w:r>
      <w:r w:rsidRPr="00D50AB5" w:rsidR="00D50AB5">
        <w:t xml:space="preserve">and only the </w:t>
      </w:r>
      <w:r w:rsidR="006A25D4">
        <w:t xml:space="preserve">burden </w:t>
      </w:r>
      <w:r w:rsidRPr="00D50AB5" w:rsidR="00D50AB5">
        <w:t>hours will be reduced</w:t>
      </w:r>
      <w:r w:rsidR="008D00BA">
        <w:t xml:space="preserve"> in FER</w:t>
      </w:r>
      <w:r w:rsidR="002D7F9F">
        <w:t>C</w:t>
      </w:r>
      <w:r w:rsidR="008D00BA">
        <w:t>-725A.</w:t>
      </w:r>
    </w:p>
    <w:p w:rsidR="00043E54" w:rsidP="00D96B0C" w14:paraId="4023577A" w14:textId="77777777">
      <w:pPr>
        <w:pStyle w:val="FERCparanumber"/>
        <w:numPr>
          <w:ilvl w:val="0"/>
          <w:numId w:val="0"/>
        </w:numPr>
        <w:spacing w:line="240" w:lineRule="auto"/>
        <w:jc w:val="center"/>
        <w:rPr>
          <w:b/>
          <w:bCs/>
        </w:rPr>
      </w:pPr>
    </w:p>
    <w:p w:rsidR="004F1D5A" w:rsidRPr="004F1D5A" w:rsidP="00D96B0C" w14:paraId="6D6C6E82" w14:textId="22072DA2">
      <w:pPr>
        <w:pStyle w:val="FERCparanumber"/>
        <w:numPr>
          <w:ilvl w:val="0"/>
          <w:numId w:val="0"/>
        </w:numPr>
        <w:spacing w:line="240" w:lineRule="auto"/>
        <w:jc w:val="center"/>
        <w:rPr>
          <w:b/>
          <w:bCs/>
        </w:rPr>
      </w:pPr>
      <w:r w:rsidRPr="004F1D5A">
        <w:rPr>
          <w:b/>
          <w:bCs/>
        </w:rPr>
        <w:t>Table</w:t>
      </w:r>
      <w:r w:rsidR="00172A88">
        <w:rPr>
          <w:b/>
          <w:bCs/>
        </w:rPr>
        <w:t>s</w:t>
      </w:r>
      <w:r w:rsidRPr="004F1D5A">
        <w:rPr>
          <w:b/>
          <w:bCs/>
        </w:rPr>
        <w:t xml:space="preserve"> 12</w:t>
      </w:r>
      <w:r w:rsidR="00172A88">
        <w:rPr>
          <w:b/>
          <w:bCs/>
        </w:rPr>
        <w:t>-1 through 12-</w:t>
      </w:r>
      <w:r w:rsidR="009D65E5">
        <w:rPr>
          <w:b/>
          <w:bCs/>
        </w:rPr>
        <w:t>7</w:t>
      </w:r>
    </w:p>
    <w:p w:rsidR="002D7F9F" w:rsidP="00AE1737" w14:paraId="2102D0F1" w14:textId="1F2A1ABA">
      <w:pPr>
        <w:pStyle w:val="FERCparanumber"/>
        <w:numPr>
          <w:ilvl w:val="0"/>
          <w:numId w:val="0"/>
        </w:numPr>
        <w:spacing w:line="240" w:lineRule="auto"/>
        <w:jc w:val="center"/>
        <w:rPr>
          <w:b/>
        </w:rPr>
      </w:pPr>
      <w:r w:rsidRPr="004F1D5A">
        <w:rPr>
          <w:b/>
        </w:rPr>
        <w:t xml:space="preserve">Estimated Annual Burdens </w:t>
      </w:r>
      <w:r w:rsidR="007D67D3">
        <w:rPr>
          <w:b/>
        </w:rPr>
        <w:t>to be Reduced as a Result of RM19-17-001</w:t>
      </w:r>
    </w:p>
    <w:p w:rsidR="001F709E" w:rsidP="00AE1737" w14:paraId="2D5017EE" w14:textId="413DB76E">
      <w:pPr>
        <w:pStyle w:val="FERCparanumber"/>
        <w:numPr>
          <w:ilvl w:val="0"/>
          <w:numId w:val="0"/>
        </w:numPr>
        <w:spacing w:line="240" w:lineRule="auto"/>
        <w:jc w:val="center"/>
        <w:rPr>
          <w:b/>
        </w:rPr>
      </w:pPr>
    </w:p>
    <w:p w:rsidR="00172A88" w:rsidP="001F709E" w14:paraId="73501F02" w14:textId="1D65FA7F">
      <w:pPr>
        <w:pStyle w:val="FERCparanumber"/>
        <w:numPr>
          <w:ilvl w:val="0"/>
          <w:numId w:val="0"/>
        </w:numPr>
        <w:spacing w:line="240" w:lineRule="auto"/>
        <w:jc w:val="center"/>
        <w:rPr>
          <w:bCs/>
        </w:rPr>
      </w:pPr>
      <w:r>
        <w:rPr>
          <w:bCs/>
        </w:rPr>
        <w:t>Table 12-1</w:t>
      </w:r>
    </w:p>
    <w:p w:rsidR="001F709E" w:rsidRPr="001F709E" w:rsidP="001F709E" w14:paraId="01104EC8" w14:textId="5E335BA8">
      <w:pPr>
        <w:pStyle w:val="FERCparanumber"/>
        <w:numPr>
          <w:ilvl w:val="0"/>
          <w:numId w:val="0"/>
        </w:numPr>
        <w:spacing w:line="240" w:lineRule="auto"/>
        <w:jc w:val="center"/>
        <w:rPr>
          <w:bCs/>
        </w:rPr>
      </w:pPr>
      <w:r w:rsidRPr="001F709E">
        <w:rPr>
          <w:bCs/>
        </w:rPr>
        <w:t xml:space="preserve">MOD-001-1a - Available Transmission System Capability </w:t>
      </w:r>
    </w:p>
    <w:p w:rsidR="001F709E" w:rsidRPr="00C438A6" w:rsidP="001F709E" w14:paraId="77B2BD8A" w14:textId="4F7DAC0C">
      <w:pPr>
        <w:pStyle w:val="FERCparanumber"/>
        <w:numPr>
          <w:ilvl w:val="0"/>
          <w:numId w:val="0"/>
        </w:numPr>
        <w:spacing w:line="240" w:lineRule="auto"/>
        <w:jc w:val="center"/>
        <w:rPr>
          <w:bCs/>
        </w:rPr>
      </w:pPr>
      <w:r w:rsidRPr="00C438A6">
        <w:rPr>
          <w:bCs/>
        </w:rPr>
        <w:t>Retirement (Burden Reduction)</w:t>
      </w:r>
    </w:p>
    <w:p w:rsidR="001F709E" w:rsidRPr="00C438A6" w:rsidP="001F709E" w14:paraId="233E2A71" w14:textId="77777777">
      <w:pPr>
        <w:pStyle w:val="FERCparanumber"/>
        <w:numPr>
          <w:ilvl w:val="0"/>
          <w:numId w:val="0"/>
        </w:numPr>
        <w:spacing w:line="240" w:lineRule="auto"/>
        <w:jc w:val="center"/>
        <w:rPr>
          <w:bCs/>
        </w:rPr>
      </w:pPr>
    </w:p>
    <w:tbl>
      <w:tblPr>
        <w:tblW w:w="10070" w:type="dxa"/>
        <w:tblInd w:w="-356" w:type="dxa"/>
        <w:tblCellMar>
          <w:top w:w="47" w:type="dxa"/>
          <w:left w:w="0" w:type="dxa"/>
          <w:bottom w:w="18" w:type="dxa"/>
          <w:right w:w="100" w:type="dxa"/>
        </w:tblCellMar>
        <w:tblLook w:val="04A0"/>
      </w:tblPr>
      <w:tblGrid>
        <w:gridCol w:w="1845"/>
        <w:gridCol w:w="1516"/>
        <w:gridCol w:w="1415"/>
        <w:gridCol w:w="1335"/>
        <w:gridCol w:w="1252"/>
        <w:gridCol w:w="2707"/>
      </w:tblGrid>
      <w:tr w14:paraId="32F8457D" w14:textId="77777777" w:rsidTr="00BB0FAF">
        <w:tblPrEx>
          <w:tblW w:w="10070" w:type="dxa"/>
          <w:tblInd w:w="-356" w:type="dxa"/>
          <w:tblCellMar>
            <w:top w:w="47" w:type="dxa"/>
            <w:left w:w="0" w:type="dxa"/>
            <w:bottom w:w="18" w:type="dxa"/>
            <w:right w:w="100" w:type="dxa"/>
          </w:tblCellMar>
          <w:tblLook w:val="04A0"/>
        </w:tblPrEx>
        <w:trPr>
          <w:trHeight w:val="524"/>
        </w:trPr>
        <w:tc>
          <w:tcPr>
            <w:tcW w:w="1884" w:type="dxa"/>
            <w:tcBorders>
              <w:top w:val="single" w:sz="4" w:space="0" w:color="000000"/>
              <w:left w:val="single" w:sz="4" w:space="0" w:color="000000"/>
              <w:bottom w:val="single" w:sz="4" w:space="0" w:color="000000"/>
              <w:right w:val="single" w:sz="4" w:space="0" w:color="000000"/>
            </w:tcBorders>
          </w:tcPr>
          <w:p w:rsidR="002C1DB4" w:rsidRPr="00DF60C5" w:rsidP="00BB0FAF" w14:paraId="695656AD" w14:textId="32847117">
            <w:pPr>
              <w:pStyle w:val="FERCparanumber"/>
              <w:numPr>
                <w:ilvl w:val="0"/>
                <w:numId w:val="0"/>
              </w:numPr>
              <w:spacing w:line="240" w:lineRule="auto"/>
              <w:jc w:val="center"/>
              <w:rPr>
                <w:b/>
              </w:rPr>
            </w:pPr>
            <w:r w:rsidRPr="00DF60C5">
              <w:rPr>
                <w:b/>
              </w:rPr>
              <w:t xml:space="preserve">Applicable </w:t>
            </w:r>
            <w:r w:rsidRPr="00DF60C5" w:rsidR="00A82672">
              <w:rPr>
                <w:b/>
              </w:rPr>
              <w:t>Entity (Respondent)</w:t>
            </w:r>
          </w:p>
        </w:tc>
        <w:tc>
          <w:tcPr>
            <w:tcW w:w="1439" w:type="dxa"/>
            <w:tcBorders>
              <w:top w:val="single" w:sz="4" w:space="0" w:color="000000"/>
              <w:left w:val="single" w:sz="4" w:space="0" w:color="000000"/>
              <w:bottom w:val="single" w:sz="4" w:space="0" w:color="000000"/>
              <w:right w:val="single" w:sz="4" w:space="0" w:color="000000"/>
            </w:tcBorders>
          </w:tcPr>
          <w:p w:rsidR="002C1DB4" w:rsidRPr="00DF60C5" w:rsidP="00BB0FAF" w14:paraId="7645A051" w14:textId="77777777">
            <w:pPr>
              <w:pStyle w:val="FERCparanumber"/>
              <w:numPr>
                <w:ilvl w:val="0"/>
                <w:numId w:val="0"/>
              </w:numPr>
              <w:spacing w:line="240" w:lineRule="auto"/>
              <w:jc w:val="center"/>
              <w:rPr>
                <w:b/>
              </w:rPr>
            </w:pPr>
            <w:r w:rsidRPr="00DF60C5">
              <w:rPr>
                <w:b/>
              </w:rPr>
              <w:t>Number of Respondents</w:t>
            </w:r>
          </w:p>
          <w:p w:rsidR="00687039" w:rsidRPr="00DF60C5" w:rsidP="00BB0FAF" w14:paraId="304816AC" w14:textId="3B45A363">
            <w:pPr>
              <w:pStyle w:val="FERCparanumber"/>
              <w:numPr>
                <w:ilvl w:val="0"/>
                <w:numId w:val="0"/>
              </w:numPr>
              <w:spacing w:line="240" w:lineRule="auto"/>
              <w:jc w:val="center"/>
              <w:rPr>
                <w:b/>
              </w:rPr>
            </w:pPr>
            <w:r w:rsidRPr="00DF60C5">
              <w:rPr>
                <w:b/>
              </w:rPr>
              <w:t>(1)</w:t>
            </w:r>
          </w:p>
        </w:tc>
        <w:tc>
          <w:tcPr>
            <w:tcW w:w="1261" w:type="dxa"/>
            <w:tcBorders>
              <w:top w:val="single" w:sz="4" w:space="0" w:color="000000"/>
              <w:left w:val="single" w:sz="4" w:space="0" w:color="000000"/>
              <w:bottom w:val="single" w:sz="4" w:space="0" w:color="000000"/>
              <w:right w:val="single" w:sz="4" w:space="0" w:color="000000"/>
            </w:tcBorders>
          </w:tcPr>
          <w:p w:rsidR="00DA39E7" w:rsidRPr="00DF60C5" w:rsidP="00BB0FAF" w14:paraId="05C57BCE" w14:textId="77777777">
            <w:pPr>
              <w:pStyle w:val="FERCparanumber"/>
              <w:numPr>
                <w:ilvl w:val="0"/>
                <w:numId w:val="0"/>
              </w:numPr>
              <w:spacing w:line="240" w:lineRule="auto"/>
              <w:jc w:val="center"/>
              <w:rPr>
                <w:b/>
              </w:rPr>
            </w:pPr>
            <w:r w:rsidRPr="00DF60C5">
              <w:rPr>
                <w:b/>
              </w:rPr>
              <w:t>Annual Number of Responses per Respondent</w:t>
            </w:r>
          </w:p>
          <w:p w:rsidR="002C1DB4" w:rsidRPr="00DF60C5" w:rsidP="00BB0FAF" w14:paraId="589A8692" w14:textId="6198B17F">
            <w:pPr>
              <w:pStyle w:val="FERCparanumber"/>
              <w:numPr>
                <w:ilvl w:val="0"/>
                <w:numId w:val="0"/>
              </w:numPr>
              <w:spacing w:line="240" w:lineRule="auto"/>
              <w:jc w:val="center"/>
              <w:rPr>
                <w:b/>
              </w:rPr>
            </w:pPr>
            <w:r w:rsidRPr="00DF60C5">
              <w:rPr>
                <w:b/>
              </w:rPr>
              <w:t>(2)</w:t>
            </w:r>
          </w:p>
        </w:tc>
        <w:tc>
          <w:tcPr>
            <w:tcW w:w="1350" w:type="dxa"/>
            <w:tcBorders>
              <w:top w:val="single" w:sz="4" w:space="0" w:color="000000"/>
              <w:left w:val="single" w:sz="4" w:space="0" w:color="000000"/>
              <w:bottom w:val="single" w:sz="4" w:space="0" w:color="000000"/>
              <w:right w:val="single" w:sz="4" w:space="0" w:color="000000"/>
            </w:tcBorders>
          </w:tcPr>
          <w:p w:rsidR="002C1DB4" w:rsidRPr="00DF60C5" w:rsidP="00BB0FAF" w14:paraId="3B2970D2" w14:textId="380E924B">
            <w:pPr>
              <w:pStyle w:val="FERCparanumber"/>
              <w:numPr>
                <w:ilvl w:val="0"/>
                <w:numId w:val="0"/>
              </w:numPr>
              <w:spacing w:line="240" w:lineRule="auto"/>
              <w:jc w:val="center"/>
              <w:rPr>
                <w:b/>
              </w:rPr>
            </w:pPr>
            <w:r w:rsidRPr="00DF60C5">
              <w:rPr>
                <w:b/>
              </w:rPr>
              <w:t>Annual Number of Responses (1) * (2) =(3)</w:t>
            </w:r>
          </w:p>
        </w:tc>
        <w:tc>
          <w:tcPr>
            <w:tcW w:w="1256" w:type="dxa"/>
            <w:tcBorders>
              <w:top w:val="single" w:sz="4" w:space="0" w:color="000000"/>
              <w:left w:val="single" w:sz="4" w:space="0" w:color="000000"/>
              <w:bottom w:val="single" w:sz="4" w:space="0" w:color="000000"/>
              <w:right w:val="single" w:sz="4" w:space="0" w:color="000000"/>
            </w:tcBorders>
          </w:tcPr>
          <w:p w:rsidR="009946AD" w:rsidRPr="00DF60C5" w:rsidP="00BB0FAF" w14:paraId="32185815" w14:textId="56916A0F">
            <w:pPr>
              <w:pStyle w:val="FERCparanumber"/>
              <w:numPr>
                <w:ilvl w:val="0"/>
                <w:numId w:val="0"/>
              </w:numPr>
              <w:spacing w:line="240" w:lineRule="auto"/>
              <w:jc w:val="center"/>
              <w:rPr>
                <w:b/>
              </w:rPr>
            </w:pPr>
            <w:r w:rsidRPr="00DF60C5">
              <w:rPr>
                <w:b/>
              </w:rPr>
              <w:t xml:space="preserve">Average Burden Hours and </w:t>
            </w:r>
            <w:r w:rsidR="00BB0FAF">
              <w:rPr>
                <w:b/>
              </w:rPr>
              <w:t>\</w:t>
            </w:r>
            <w:r w:rsidRPr="00DF60C5">
              <w:rPr>
                <w:b/>
              </w:rPr>
              <w:t>Cost per Response</w:t>
            </w:r>
            <w:r>
              <w:rPr>
                <w:rStyle w:val="FootnoteReference"/>
                <w:b/>
                <w:vertAlign w:val="superscript"/>
              </w:rPr>
              <w:footnoteReference w:id="7"/>
            </w:r>
          </w:p>
          <w:p w:rsidR="002C1DB4" w:rsidRPr="00DF60C5" w:rsidP="00BB0FAF" w14:paraId="3FDA03B4" w14:textId="3E7FB7FF">
            <w:pPr>
              <w:pStyle w:val="FERCparanumber"/>
              <w:numPr>
                <w:ilvl w:val="0"/>
                <w:numId w:val="0"/>
              </w:numPr>
              <w:spacing w:line="240" w:lineRule="auto"/>
              <w:jc w:val="center"/>
              <w:rPr>
                <w:b/>
              </w:rPr>
            </w:pPr>
            <w:r w:rsidRPr="00DF60C5">
              <w:rPr>
                <w:b/>
              </w:rPr>
              <w:t>(4</w:t>
            </w:r>
            <w:r w:rsidRPr="00DF60C5" w:rsidR="00900934">
              <w:rPr>
                <w:b/>
              </w:rPr>
              <w:t>)</w:t>
            </w:r>
          </w:p>
        </w:tc>
        <w:tc>
          <w:tcPr>
            <w:tcW w:w="2880" w:type="dxa"/>
            <w:tcBorders>
              <w:top w:val="single" w:sz="4" w:space="0" w:color="000000"/>
              <w:left w:val="single" w:sz="4" w:space="0" w:color="000000"/>
              <w:bottom w:val="single" w:sz="4" w:space="0" w:color="000000"/>
              <w:right w:val="single" w:sz="4" w:space="0" w:color="000000"/>
            </w:tcBorders>
          </w:tcPr>
          <w:p w:rsidR="0026499C" w:rsidP="00BB0FAF" w14:paraId="0D987BE5" w14:textId="77777777">
            <w:pPr>
              <w:pStyle w:val="FERCparanumber"/>
              <w:numPr>
                <w:ilvl w:val="0"/>
                <w:numId w:val="0"/>
              </w:numPr>
              <w:spacing w:line="240" w:lineRule="auto"/>
              <w:jc w:val="center"/>
              <w:rPr>
                <w:b/>
              </w:rPr>
            </w:pPr>
            <w:r w:rsidRPr="00DF60C5">
              <w:rPr>
                <w:b/>
              </w:rPr>
              <w:t xml:space="preserve">Total Annual </w:t>
            </w:r>
            <w:r w:rsidRPr="00DF60C5" w:rsidR="00DF60C5">
              <w:rPr>
                <w:b/>
              </w:rPr>
              <w:t>Burden Hours and Cost Reduction</w:t>
            </w:r>
          </w:p>
          <w:p w:rsidR="002C1DB4" w:rsidRPr="00DF60C5" w:rsidP="00BB0FAF" w14:paraId="29CCDAF2" w14:textId="1069534C">
            <w:pPr>
              <w:pStyle w:val="FERCparanumber"/>
              <w:numPr>
                <w:ilvl w:val="0"/>
                <w:numId w:val="0"/>
              </w:numPr>
              <w:spacing w:line="240" w:lineRule="auto"/>
              <w:jc w:val="center"/>
              <w:rPr>
                <w:b/>
              </w:rPr>
            </w:pPr>
            <w:r>
              <w:rPr>
                <w:b/>
              </w:rPr>
              <w:t>(3) * (4) = (5)</w:t>
            </w:r>
          </w:p>
        </w:tc>
      </w:tr>
      <w:tr w14:paraId="08D0163D" w14:textId="77777777" w:rsidTr="00477CC5">
        <w:tblPrEx>
          <w:tblW w:w="10070" w:type="dxa"/>
          <w:tblInd w:w="-356" w:type="dxa"/>
          <w:tblCellMar>
            <w:top w:w="47" w:type="dxa"/>
            <w:left w:w="0" w:type="dxa"/>
            <w:bottom w:w="18" w:type="dxa"/>
            <w:right w:w="100" w:type="dxa"/>
          </w:tblCellMar>
          <w:tblLook w:val="04A0"/>
        </w:tblPrEx>
        <w:trPr>
          <w:trHeight w:val="524"/>
        </w:trPr>
        <w:tc>
          <w:tcPr>
            <w:tcW w:w="1884" w:type="dxa"/>
            <w:tcBorders>
              <w:top w:val="single" w:sz="4" w:space="0" w:color="000000"/>
              <w:left w:val="single" w:sz="4" w:space="0" w:color="000000"/>
              <w:bottom w:val="single" w:sz="4" w:space="0" w:color="000000"/>
              <w:right w:val="single" w:sz="4" w:space="0" w:color="000000"/>
            </w:tcBorders>
            <w:vAlign w:val="bottom"/>
          </w:tcPr>
          <w:p w:rsidR="00DF1E62" w:rsidRPr="00DF1E62" w:rsidP="009B0D3A" w14:paraId="41DC271A" w14:textId="77777777">
            <w:pPr>
              <w:pStyle w:val="FERCparanumber"/>
              <w:numPr>
                <w:ilvl w:val="0"/>
                <w:numId w:val="0"/>
              </w:numPr>
              <w:spacing w:line="240" w:lineRule="auto"/>
              <w:rPr>
                <w:bCs/>
              </w:rPr>
            </w:pPr>
            <w:r w:rsidRPr="00DF1E62">
              <w:rPr>
                <w:bCs/>
              </w:rPr>
              <w:t>TSP – Retired</w:t>
            </w:r>
          </w:p>
        </w:tc>
        <w:tc>
          <w:tcPr>
            <w:tcW w:w="1439"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35D4D501" w14:textId="77777777">
            <w:pPr>
              <w:pStyle w:val="FERCparanumber"/>
              <w:numPr>
                <w:ilvl w:val="0"/>
                <w:numId w:val="0"/>
              </w:numPr>
              <w:spacing w:line="240" w:lineRule="auto"/>
              <w:jc w:val="right"/>
              <w:rPr>
                <w:bCs/>
              </w:rPr>
            </w:pPr>
            <w:r w:rsidRPr="00DF1E62">
              <w:rPr>
                <w:bCs/>
              </w:rPr>
              <w:t>71</w:t>
            </w:r>
          </w:p>
        </w:tc>
        <w:tc>
          <w:tcPr>
            <w:tcW w:w="1261"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40FC68EC" w14:textId="77777777">
            <w:pPr>
              <w:pStyle w:val="FERCparanumber"/>
              <w:numPr>
                <w:ilvl w:val="0"/>
                <w:numId w:val="0"/>
              </w:numPr>
              <w:spacing w:line="240" w:lineRule="auto"/>
              <w:jc w:val="right"/>
              <w:rPr>
                <w:bCs/>
              </w:rPr>
            </w:pPr>
            <w:r w:rsidRPr="00DF1E62">
              <w:rPr>
                <w:bCs/>
              </w:rPr>
              <w:t>1</w:t>
            </w:r>
          </w:p>
        </w:tc>
        <w:tc>
          <w:tcPr>
            <w:tcW w:w="1350"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2E51EC3E" w14:textId="77777777">
            <w:pPr>
              <w:pStyle w:val="FERCparanumber"/>
              <w:numPr>
                <w:ilvl w:val="0"/>
                <w:numId w:val="0"/>
              </w:numPr>
              <w:spacing w:line="240" w:lineRule="auto"/>
              <w:jc w:val="right"/>
              <w:rPr>
                <w:bCs/>
              </w:rPr>
            </w:pPr>
            <w:r w:rsidRPr="00DF1E62">
              <w:rPr>
                <w:bCs/>
              </w:rPr>
              <w:t>71</w:t>
            </w:r>
          </w:p>
        </w:tc>
        <w:tc>
          <w:tcPr>
            <w:tcW w:w="1256"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17E0DD71" w14:textId="77777777">
            <w:pPr>
              <w:pStyle w:val="FERCparanumber"/>
              <w:numPr>
                <w:ilvl w:val="0"/>
                <w:numId w:val="0"/>
              </w:numPr>
              <w:spacing w:line="240" w:lineRule="auto"/>
              <w:jc w:val="right"/>
              <w:rPr>
                <w:bCs/>
              </w:rPr>
            </w:pPr>
            <w:r w:rsidRPr="00DF1E62">
              <w:rPr>
                <w:bCs/>
              </w:rPr>
              <w:t>120 hrs.;</w:t>
            </w:r>
          </w:p>
          <w:p w:rsidR="00DF1E62" w:rsidRPr="00DF1E62" w:rsidP="00477CC5" w14:paraId="289C0681" w14:textId="144ED4F5">
            <w:pPr>
              <w:pStyle w:val="FERCparanumber"/>
              <w:numPr>
                <w:ilvl w:val="0"/>
                <w:numId w:val="0"/>
              </w:numPr>
              <w:spacing w:line="240" w:lineRule="auto"/>
              <w:jc w:val="right"/>
              <w:rPr>
                <w:bCs/>
              </w:rPr>
            </w:pPr>
            <w:r w:rsidRPr="00DF1E62">
              <w:rPr>
                <w:bCs/>
              </w:rPr>
              <w:t>$</w:t>
            </w:r>
            <w:r w:rsidRPr="00D935E6" w:rsidR="00D935E6">
              <w:rPr>
                <w:bCs/>
              </w:rPr>
              <w:t>8,143.2</w:t>
            </w:r>
            <w:r w:rsidR="00D935E6">
              <w:rPr>
                <w:bCs/>
              </w:rPr>
              <w:t>0</w:t>
            </w:r>
          </w:p>
        </w:tc>
        <w:tc>
          <w:tcPr>
            <w:tcW w:w="2880"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04B23D29" w14:textId="05F6575D">
            <w:pPr>
              <w:pStyle w:val="FERCparanumber"/>
              <w:numPr>
                <w:ilvl w:val="0"/>
                <w:numId w:val="0"/>
              </w:numPr>
              <w:spacing w:line="240" w:lineRule="auto"/>
              <w:jc w:val="right"/>
              <w:rPr>
                <w:bCs/>
              </w:rPr>
            </w:pPr>
            <w:r w:rsidRPr="00DF1E62">
              <w:rPr>
                <w:bCs/>
              </w:rPr>
              <w:t>8</w:t>
            </w:r>
            <w:r w:rsidR="00F30D79">
              <w:rPr>
                <w:bCs/>
              </w:rPr>
              <w:t>,</w:t>
            </w:r>
            <w:r w:rsidRPr="00DF1E62">
              <w:rPr>
                <w:bCs/>
              </w:rPr>
              <w:t>520 hrs.;</w:t>
            </w:r>
          </w:p>
          <w:p w:rsidR="00DF1E62" w:rsidRPr="00DF1E62" w:rsidP="00477CC5" w14:paraId="44E10D82" w14:textId="40B5B29F">
            <w:pPr>
              <w:pStyle w:val="FERCparanumber"/>
              <w:numPr>
                <w:ilvl w:val="0"/>
                <w:numId w:val="0"/>
              </w:numPr>
              <w:spacing w:line="240" w:lineRule="auto"/>
              <w:jc w:val="right"/>
              <w:rPr>
                <w:bCs/>
              </w:rPr>
            </w:pPr>
            <w:r w:rsidRPr="00DF1E62">
              <w:rPr>
                <w:bCs/>
              </w:rPr>
              <w:t>$</w:t>
            </w:r>
            <w:r w:rsidRPr="00A24658" w:rsidR="00A24658">
              <w:rPr>
                <w:bCs/>
              </w:rPr>
              <w:t>578,167.2</w:t>
            </w:r>
            <w:r w:rsidR="00A24658">
              <w:rPr>
                <w:bCs/>
              </w:rPr>
              <w:t>0</w:t>
            </w:r>
          </w:p>
        </w:tc>
      </w:tr>
      <w:tr w14:paraId="5738CD14" w14:textId="77777777" w:rsidTr="00477CC5">
        <w:tblPrEx>
          <w:tblW w:w="10070" w:type="dxa"/>
          <w:tblInd w:w="-356" w:type="dxa"/>
          <w:tblCellMar>
            <w:top w:w="47" w:type="dxa"/>
            <w:left w:w="0" w:type="dxa"/>
            <w:bottom w:w="18" w:type="dxa"/>
            <w:right w:w="100" w:type="dxa"/>
          </w:tblCellMar>
          <w:tblLook w:val="04A0"/>
        </w:tblPrEx>
        <w:trPr>
          <w:trHeight w:val="520"/>
        </w:trPr>
        <w:tc>
          <w:tcPr>
            <w:tcW w:w="1884" w:type="dxa"/>
            <w:tcBorders>
              <w:top w:val="single" w:sz="4" w:space="0" w:color="000000"/>
              <w:left w:val="single" w:sz="4" w:space="0" w:color="000000"/>
              <w:bottom w:val="single" w:sz="4" w:space="0" w:color="000000"/>
              <w:right w:val="single" w:sz="4" w:space="0" w:color="000000"/>
            </w:tcBorders>
            <w:vAlign w:val="bottom"/>
          </w:tcPr>
          <w:p w:rsidR="00DF1E62" w:rsidRPr="00DF1E62" w:rsidP="009B0D3A" w14:paraId="31F1C5C1" w14:textId="77777777">
            <w:pPr>
              <w:pStyle w:val="FERCparanumber"/>
              <w:numPr>
                <w:ilvl w:val="0"/>
                <w:numId w:val="0"/>
              </w:numPr>
              <w:spacing w:line="240" w:lineRule="auto"/>
              <w:rPr>
                <w:bCs/>
              </w:rPr>
            </w:pPr>
            <w:r w:rsidRPr="00DF1E62">
              <w:rPr>
                <w:bCs/>
              </w:rPr>
              <w:t>TOP – Retired</w:t>
            </w:r>
          </w:p>
        </w:tc>
        <w:tc>
          <w:tcPr>
            <w:tcW w:w="1439"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233C3B4E" w14:textId="77777777">
            <w:pPr>
              <w:pStyle w:val="FERCparanumber"/>
              <w:numPr>
                <w:ilvl w:val="0"/>
                <w:numId w:val="0"/>
              </w:numPr>
              <w:spacing w:line="240" w:lineRule="auto"/>
              <w:jc w:val="right"/>
              <w:rPr>
                <w:bCs/>
              </w:rPr>
            </w:pPr>
            <w:r w:rsidRPr="00DF1E62">
              <w:rPr>
                <w:bCs/>
              </w:rPr>
              <w:t>165</w:t>
            </w:r>
          </w:p>
        </w:tc>
        <w:tc>
          <w:tcPr>
            <w:tcW w:w="1261"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58BBF008" w14:textId="77777777">
            <w:pPr>
              <w:pStyle w:val="FERCparanumber"/>
              <w:numPr>
                <w:ilvl w:val="0"/>
                <w:numId w:val="0"/>
              </w:numPr>
              <w:spacing w:line="240" w:lineRule="auto"/>
              <w:jc w:val="right"/>
              <w:rPr>
                <w:bCs/>
              </w:rPr>
            </w:pPr>
            <w:r w:rsidRPr="00DF1E62">
              <w:rPr>
                <w:bCs/>
              </w:rPr>
              <w:t>1</w:t>
            </w:r>
          </w:p>
        </w:tc>
        <w:tc>
          <w:tcPr>
            <w:tcW w:w="1350"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3CF454CC" w14:textId="77777777">
            <w:pPr>
              <w:pStyle w:val="FERCparanumber"/>
              <w:numPr>
                <w:ilvl w:val="0"/>
                <w:numId w:val="0"/>
              </w:numPr>
              <w:spacing w:line="240" w:lineRule="auto"/>
              <w:jc w:val="right"/>
              <w:rPr>
                <w:bCs/>
              </w:rPr>
            </w:pPr>
            <w:r w:rsidRPr="00DF1E62">
              <w:rPr>
                <w:bCs/>
              </w:rPr>
              <w:t>165</w:t>
            </w:r>
          </w:p>
        </w:tc>
        <w:tc>
          <w:tcPr>
            <w:tcW w:w="1256" w:type="dxa"/>
            <w:tcBorders>
              <w:top w:val="single" w:sz="4" w:space="0" w:color="000000"/>
              <w:left w:val="single" w:sz="4" w:space="0" w:color="000000"/>
              <w:bottom w:val="single" w:sz="4" w:space="0" w:color="000000"/>
              <w:right w:val="single" w:sz="4" w:space="0" w:color="000000"/>
            </w:tcBorders>
            <w:vAlign w:val="bottom"/>
          </w:tcPr>
          <w:p w:rsidR="00DF1E62" w:rsidRPr="00DF1E62" w:rsidP="00477CC5" w14:paraId="0465F38D" w14:textId="77777777">
            <w:pPr>
              <w:pStyle w:val="FERCparanumber"/>
              <w:numPr>
                <w:ilvl w:val="0"/>
                <w:numId w:val="0"/>
              </w:numPr>
              <w:spacing w:line="240" w:lineRule="auto"/>
              <w:jc w:val="right"/>
              <w:rPr>
                <w:bCs/>
              </w:rPr>
            </w:pPr>
            <w:r w:rsidRPr="00DF1E62">
              <w:rPr>
                <w:bCs/>
              </w:rPr>
              <w:t>120 hrs.;</w:t>
            </w:r>
          </w:p>
          <w:p w:rsidR="00DF1E62" w:rsidRPr="00DF1E62" w:rsidP="00477CC5" w14:paraId="563D08BE" w14:textId="1CC9C33C">
            <w:pPr>
              <w:pStyle w:val="FERCparanumber"/>
              <w:numPr>
                <w:ilvl w:val="0"/>
                <w:numId w:val="0"/>
              </w:numPr>
              <w:spacing w:line="240" w:lineRule="auto"/>
              <w:jc w:val="right"/>
              <w:rPr>
                <w:bCs/>
              </w:rPr>
            </w:pPr>
            <w:r w:rsidRPr="00DF1E62">
              <w:rPr>
                <w:bCs/>
              </w:rPr>
              <w:t>$</w:t>
            </w:r>
            <w:r w:rsidRPr="00D935E6" w:rsidR="00A24658">
              <w:rPr>
                <w:bCs/>
              </w:rPr>
              <w:t>8,143.2</w:t>
            </w:r>
            <w:r w:rsidR="00A24658">
              <w:rPr>
                <w:bCs/>
              </w:rPr>
              <w:t>0</w:t>
            </w:r>
          </w:p>
        </w:tc>
        <w:tc>
          <w:tcPr>
            <w:tcW w:w="2880" w:type="dxa"/>
            <w:tcBorders>
              <w:top w:val="single" w:sz="4" w:space="0" w:color="000000"/>
              <w:left w:val="single" w:sz="4" w:space="0" w:color="000000"/>
              <w:bottom w:val="single" w:sz="4" w:space="0" w:color="000000"/>
              <w:right w:val="single" w:sz="4" w:space="0" w:color="000000"/>
            </w:tcBorders>
            <w:vAlign w:val="bottom"/>
          </w:tcPr>
          <w:p w:rsidR="002F0209" w:rsidP="00477CC5" w14:paraId="6F4555FB" w14:textId="77777777">
            <w:pPr>
              <w:pStyle w:val="FERCparanumber"/>
              <w:numPr>
                <w:ilvl w:val="0"/>
                <w:numId w:val="0"/>
              </w:numPr>
              <w:spacing w:line="240" w:lineRule="auto"/>
              <w:jc w:val="right"/>
              <w:rPr>
                <w:bCs/>
              </w:rPr>
            </w:pPr>
            <w:r w:rsidRPr="00DF1E62">
              <w:rPr>
                <w:bCs/>
              </w:rPr>
              <w:t>19,800 hrs.;</w:t>
            </w:r>
          </w:p>
          <w:p w:rsidR="00DF1E62" w:rsidRPr="00DF1E62" w:rsidP="00477CC5" w14:paraId="7E85346A" w14:textId="63F5FF05">
            <w:pPr>
              <w:pStyle w:val="FERCparanumber"/>
              <w:numPr>
                <w:ilvl w:val="0"/>
                <w:numId w:val="0"/>
              </w:numPr>
              <w:spacing w:line="240" w:lineRule="auto"/>
              <w:jc w:val="right"/>
              <w:rPr>
                <w:bCs/>
              </w:rPr>
            </w:pPr>
            <w:r w:rsidRPr="00DF1E62">
              <w:rPr>
                <w:bCs/>
              </w:rPr>
              <w:t>$</w:t>
            </w:r>
            <w:r w:rsidRPr="005706BD" w:rsidR="005706BD">
              <w:rPr>
                <w:bCs/>
              </w:rPr>
              <w:t>1,343,628</w:t>
            </w:r>
          </w:p>
        </w:tc>
      </w:tr>
      <w:tr w14:paraId="0FF164C6" w14:textId="77777777" w:rsidTr="00EE1F12">
        <w:tblPrEx>
          <w:tblW w:w="10070" w:type="dxa"/>
          <w:tblInd w:w="-356" w:type="dxa"/>
          <w:tblCellMar>
            <w:top w:w="47" w:type="dxa"/>
            <w:left w:w="0" w:type="dxa"/>
            <w:bottom w:w="18" w:type="dxa"/>
            <w:right w:w="100" w:type="dxa"/>
          </w:tblCellMar>
          <w:tblLook w:val="04A0"/>
        </w:tblPrEx>
        <w:trPr>
          <w:trHeight w:val="742"/>
        </w:trPr>
        <w:tc>
          <w:tcPr>
            <w:tcW w:w="1884" w:type="dxa"/>
            <w:tcBorders>
              <w:top w:val="single" w:sz="4" w:space="0" w:color="000000"/>
              <w:left w:val="single" w:sz="4" w:space="0" w:color="000000"/>
              <w:bottom w:val="single" w:sz="4" w:space="0" w:color="000000"/>
              <w:right w:val="single" w:sz="4" w:space="0" w:color="000000"/>
            </w:tcBorders>
          </w:tcPr>
          <w:p w:rsidR="00DF1E62" w:rsidRPr="00C8605B" w:rsidP="009B0D3A" w14:paraId="39205ACC" w14:textId="77777777">
            <w:pPr>
              <w:pStyle w:val="FERCparanumber"/>
              <w:numPr>
                <w:ilvl w:val="0"/>
                <w:numId w:val="0"/>
              </w:numPr>
              <w:spacing w:line="240" w:lineRule="auto"/>
              <w:rPr>
                <w:b/>
              </w:rPr>
            </w:pPr>
            <w:r w:rsidRPr="00C8605B">
              <w:rPr>
                <w:b/>
              </w:rPr>
              <w:t xml:space="preserve">FERC-725A for </w:t>
            </w:r>
          </w:p>
          <w:p w:rsidR="00DF1E62" w:rsidRPr="00DF1E62" w:rsidP="002C5309" w14:paraId="4DDFEE64" w14:textId="1ADD037B">
            <w:pPr>
              <w:pStyle w:val="FERCparanumber"/>
              <w:numPr>
                <w:ilvl w:val="0"/>
                <w:numId w:val="0"/>
              </w:numPr>
              <w:spacing w:line="240" w:lineRule="auto"/>
              <w:rPr>
                <w:bCs/>
              </w:rPr>
            </w:pPr>
            <w:r w:rsidRPr="00C8605B">
              <w:rPr>
                <w:b/>
              </w:rPr>
              <w:t>MOD-001-1a Total Retired</w:t>
            </w:r>
          </w:p>
        </w:tc>
        <w:tc>
          <w:tcPr>
            <w:tcW w:w="14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F1E62" w:rsidRPr="00DF1E62" w:rsidP="00477CC5" w14:paraId="22C945A7" w14:textId="77777777">
            <w:pPr>
              <w:pStyle w:val="FERCparanumber"/>
              <w:numPr>
                <w:ilvl w:val="0"/>
                <w:numId w:val="0"/>
              </w:numPr>
              <w:spacing w:line="240" w:lineRule="auto"/>
              <w:jc w:val="right"/>
              <w:rPr>
                <w:bCs/>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F1E62" w:rsidRPr="00DF1E62" w:rsidP="00477CC5" w14:paraId="1E81CA8C" w14:textId="77777777">
            <w:pPr>
              <w:pStyle w:val="FERCparanumber"/>
              <w:numPr>
                <w:ilvl w:val="0"/>
                <w:numId w:val="0"/>
              </w:numPr>
              <w:spacing w:line="240" w:lineRule="auto"/>
              <w:jc w:val="right"/>
              <w:rPr>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F1E62" w:rsidRPr="00DF1E62" w:rsidP="00477CC5" w14:paraId="74441D25" w14:textId="77777777">
            <w:pPr>
              <w:pStyle w:val="FERCparanumber"/>
              <w:numPr>
                <w:ilvl w:val="0"/>
                <w:numId w:val="0"/>
              </w:numPr>
              <w:spacing w:line="240" w:lineRule="auto"/>
              <w:jc w:val="right"/>
              <w:rPr>
                <w:bCs/>
              </w:rPr>
            </w:pPr>
          </w:p>
        </w:tc>
        <w:tc>
          <w:tcPr>
            <w:tcW w:w="12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F1E62" w:rsidRPr="00DF1E62" w:rsidP="00477CC5" w14:paraId="741F0ECC" w14:textId="77777777">
            <w:pPr>
              <w:pStyle w:val="FERCparanumber"/>
              <w:numPr>
                <w:ilvl w:val="0"/>
                <w:numId w:val="0"/>
              </w:numPr>
              <w:spacing w:line="240" w:lineRule="auto"/>
              <w:jc w:val="right"/>
              <w:rPr>
                <w:bCs/>
              </w:rPr>
            </w:pPr>
          </w:p>
        </w:tc>
        <w:tc>
          <w:tcPr>
            <w:tcW w:w="2880" w:type="dxa"/>
            <w:tcBorders>
              <w:top w:val="single" w:sz="4" w:space="0" w:color="000000"/>
              <w:left w:val="single" w:sz="4" w:space="0" w:color="000000"/>
              <w:bottom w:val="single" w:sz="4" w:space="0" w:color="000000"/>
              <w:right w:val="single" w:sz="4" w:space="0" w:color="000000"/>
            </w:tcBorders>
            <w:vAlign w:val="bottom"/>
          </w:tcPr>
          <w:p w:rsidR="00DF1E62" w:rsidRPr="002C5309" w:rsidP="00477CC5" w14:paraId="668799C6" w14:textId="77777777">
            <w:pPr>
              <w:pStyle w:val="FERCparanumber"/>
              <w:numPr>
                <w:ilvl w:val="0"/>
                <w:numId w:val="0"/>
              </w:numPr>
              <w:spacing w:line="240" w:lineRule="auto"/>
              <w:jc w:val="right"/>
              <w:rPr>
                <w:b/>
              </w:rPr>
            </w:pPr>
            <w:r w:rsidRPr="002C5309">
              <w:rPr>
                <w:b/>
              </w:rPr>
              <w:t>28,320 hrs.;</w:t>
            </w:r>
          </w:p>
          <w:p w:rsidR="00DF1E62" w:rsidRPr="00DF1E62" w:rsidP="00477CC5" w14:paraId="7B232FE5" w14:textId="042E29EF">
            <w:pPr>
              <w:pStyle w:val="FERCparanumber"/>
              <w:numPr>
                <w:ilvl w:val="0"/>
                <w:numId w:val="0"/>
              </w:numPr>
              <w:spacing w:line="240" w:lineRule="auto"/>
              <w:jc w:val="right"/>
              <w:rPr>
                <w:bCs/>
              </w:rPr>
            </w:pPr>
            <w:r w:rsidRPr="002C5309">
              <w:rPr>
                <w:b/>
              </w:rPr>
              <w:t>$</w:t>
            </w:r>
            <w:r w:rsidRPr="002C5309" w:rsidR="005532D4">
              <w:rPr>
                <w:b/>
              </w:rPr>
              <w:t>1,921,795.20</w:t>
            </w:r>
          </w:p>
        </w:tc>
      </w:tr>
    </w:tbl>
    <w:p w:rsidR="002C5309" w:rsidP="006F587F" w14:paraId="43AF988B" w14:textId="2D7095D3">
      <w:pPr>
        <w:pStyle w:val="FERCparanumber"/>
        <w:numPr>
          <w:ilvl w:val="0"/>
          <w:numId w:val="0"/>
        </w:numPr>
        <w:spacing w:line="240" w:lineRule="auto"/>
        <w:rPr>
          <w:b/>
          <w:bCs/>
        </w:rPr>
      </w:pPr>
    </w:p>
    <w:p w:rsidR="00BD37A8" w:rsidP="00916824" w14:paraId="054FC872" w14:textId="750C632F">
      <w:pPr>
        <w:pStyle w:val="FERCparanumber"/>
        <w:numPr>
          <w:ilvl w:val="0"/>
          <w:numId w:val="0"/>
        </w:numPr>
        <w:spacing w:line="240" w:lineRule="auto"/>
        <w:jc w:val="center"/>
      </w:pPr>
      <w:r>
        <w:t>Table 12-2</w:t>
      </w:r>
    </w:p>
    <w:p w:rsidR="00916824" w:rsidP="00916824" w14:paraId="4158C7F5" w14:textId="34DC7AB0">
      <w:pPr>
        <w:pStyle w:val="FERCparanumber"/>
        <w:numPr>
          <w:ilvl w:val="0"/>
          <w:numId w:val="0"/>
        </w:numPr>
        <w:spacing w:line="240" w:lineRule="auto"/>
        <w:jc w:val="center"/>
      </w:pPr>
      <w:r w:rsidRPr="00916824">
        <w:t>MOD-004-1 – Capacity Benefit Margin</w:t>
      </w:r>
      <w:r w:rsidR="002F5621">
        <w:t xml:space="preserve"> (Burden Reduction)</w:t>
      </w:r>
      <w:r>
        <w:rPr>
          <w:rStyle w:val="FootnoteReference"/>
          <w:vertAlign w:val="superscript"/>
        </w:rPr>
        <w:footnoteReference w:id="8"/>
      </w:r>
      <w:r w:rsidR="00896477">
        <w:br/>
      </w:r>
    </w:p>
    <w:tbl>
      <w:tblPr>
        <w:tblStyle w:val="TableGrid"/>
        <w:tblW w:w="10080" w:type="dxa"/>
        <w:tblInd w:w="-365" w:type="dxa"/>
        <w:tblLook w:val="04A0"/>
      </w:tblPr>
      <w:tblGrid>
        <w:gridCol w:w="2069"/>
        <w:gridCol w:w="1632"/>
        <w:gridCol w:w="1550"/>
        <w:gridCol w:w="1498"/>
        <w:gridCol w:w="1468"/>
        <w:gridCol w:w="1863"/>
      </w:tblGrid>
      <w:tr w14:paraId="5EB44C6D" w14:textId="77777777" w:rsidTr="00E64E93">
        <w:tblPrEx>
          <w:tblW w:w="10080" w:type="dxa"/>
          <w:tblInd w:w="-365" w:type="dxa"/>
          <w:tblLook w:val="04A0"/>
        </w:tblPrEx>
        <w:trPr>
          <w:cantSplit/>
          <w:tblHeader/>
        </w:trPr>
        <w:tc>
          <w:tcPr>
            <w:tcW w:w="2069" w:type="dxa"/>
          </w:tcPr>
          <w:p w:rsidR="00AB222C" w:rsidP="00AB222C" w14:paraId="69E878DC" w14:textId="53B4EC72">
            <w:pPr>
              <w:pStyle w:val="FERCparanumber"/>
              <w:numPr>
                <w:ilvl w:val="0"/>
                <w:numId w:val="0"/>
              </w:numPr>
              <w:spacing w:line="240" w:lineRule="auto"/>
              <w:jc w:val="center"/>
            </w:pPr>
            <w:r w:rsidRPr="00DF60C5">
              <w:rPr>
                <w:b/>
              </w:rPr>
              <w:t>Applicable Entity (Respondent)</w:t>
            </w:r>
          </w:p>
        </w:tc>
        <w:tc>
          <w:tcPr>
            <w:tcW w:w="1632" w:type="dxa"/>
          </w:tcPr>
          <w:p w:rsidR="00AB222C" w:rsidRPr="00DF60C5" w:rsidP="00AB222C" w14:paraId="5EDFA0B0" w14:textId="77777777">
            <w:pPr>
              <w:pStyle w:val="FERCparanumber"/>
              <w:numPr>
                <w:ilvl w:val="0"/>
                <w:numId w:val="0"/>
              </w:numPr>
              <w:spacing w:line="240" w:lineRule="auto"/>
              <w:jc w:val="center"/>
              <w:rPr>
                <w:b/>
              </w:rPr>
            </w:pPr>
            <w:r w:rsidRPr="00DF60C5">
              <w:rPr>
                <w:b/>
              </w:rPr>
              <w:t>Number of Respondents</w:t>
            </w:r>
          </w:p>
          <w:p w:rsidR="00AB222C" w:rsidP="00AB222C" w14:paraId="167171DB" w14:textId="44246085">
            <w:pPr>
              <w:pStyle w:val="FERCparanumber"/>
              <w:numPr>
                <w:ilvl w:val="0"/>
                <w:numId w:val="0"/>
              </w:numPr>
              <w:spacing w:line="240" w:lineRule="auto"/>
              <w:jc w:val="center"/>
            </w:pPr>
            <w:r w:rsidRPr="00DF60C5">
              <w:rPr>
                <w:b/>
              </w:rPr>
              <w:t>(1)</w:t>
            </w:r>
          </w:p>
        </w:tc>
        <w:tc>
          <w:tcPr>
            <w:tcW w:w="1550" w:type="dxa"/>
          </w:tcPr>
          <w:p w:rsidR="00AB222C" w:rsidRPr="00DF60C5" w:rsidP="00AB222C" w14:paraId="4297AD53" w14:textId="77777777">
            <w:pPr>
              <w:pStyle w:val="FERCparanumber"/>
              <w:numPr>
                <w:ilvl w:val="0"/>
                <w:numId w:val="0"/>
              </w:numPr>
              <w:spacing w:line="240" w:lineRule="auto"/>
              <w:jc w:val="center"/>
              <w:rPr>
                <w:b/>
              </w:rPr>
            </w:pPr>
            <w:r w:rsidRPr="00DF60C5">
              <w:rPr>
                <w:b/>
              </w:rPr>
              <w:t>Annual Number of Responses per Respondent</w:t>
            </w:r>
          </w:p>
          <w:p w:rsidR="00AB222C" w:rsidP="00AB222C" w14:paraId="1929A18C" w14:textId="4FE12F47">
            <w:pPr>
              <w:pStyle w:val="FERCparanumber"/>
              <w:numPr>
                <w:ilvl w:val="0"/>
                <w:numId w:val="0"/>
              </w:numPr>
              <w:spacing w:line="240" w:lineRule="auto"/>
              <w:jc w:val="center"/>
            </w:pPr>
            <w:r w:rsidRPr="00DF60C5">
              <w:rPr>
                <w:b/>
              </w:rPr>
              <w:t>(2)</w:t>
            </w:r>
          </w:p>
        </w:tc>
        <w:tc>
          <w:tcPr>
            <w:tcW w:w="1498" w:type="dxa"/>
          </w:tcPr>
          <w:p w:rsidR="00AB222C" w:rsidP="00AB222C" w14:paraId="6D273A2B" w14:textId="465D4FA8">
            <w:pPr>
              <w:pStyle w:val="FERCparanumber"/>
              <w:numPr>
                <w:ilvl w:val="0"/>
                <w:numId w:val="0"/>
              </w:numPr>
              <w:spacing w:line="240" w:lineRule="auto"/>
              <w:jc w:val="center"/>
            </w:pPr>
            <w:r w:rsidRPr="00DF60C5">
              <w:rPr>
                <w:b/>
              </w:rPr>
              <w:t>Annual Number of Responses (1) * (2</w:t>
            </w:r>
            <w:r w:rsidR="00383A48">
              <w:rPr>
                <w:b/>
              </w:rPr>
              <w:t>)</w:t>
            </w:r>
            <w:r w:rsidRPr="00DF60C5">
              <w:rPr>
                <w:b/>
              </w:rPr>
              <w:t xml:space="preserve"> =</w:t>
            </w:r>
            <w:r w:rsidR="00383A48">
              <w:rPr>
                <w:b/>
              </w:rPr>
              <w:t xml:space="preserve"> </w:t>
            </w:r>
            <w:r w:rsidRPr="00DF60C5">
              <w:rPr>
                <w:b/>
              </w:rPr>
              <w:t>(3)</w:t>
            </w:r>
          </w:p>
        </w:tc>
        <w:tc>
          <w:tcPr>
            <w:tcW w:w="1468" w:type="dxa"/>
          </w:tcPr>
          <w:p w:rsidR="00AB222C" w:rsidRPr="00DF60C5" w:rsidP="00AB222C" w14:paraId="7B0C625E" w14:textId="4B4680BB">
            <w:pPr>
              <w:pStyle w:val="FERCparanumber"/>
              <w:numPr>
                <w:ilvl w:val="0"/>
                <w:numId w:val="0"/>
              </w:numPr>
              <w:spacing w:line="240" w:lineRule="auto"/>
              <w:jc w:val="center"/>
              <w:rPr>
                <w:b/>
              </w:rPr>
            </w:pPr>
            <w:r w:rsidRPr="00DF60C5">
              <w:rPr>
                <w:b/>
              </w:rPr>
              <w:t>Average Burden Hours and Cost per Response</w:t>
            </w:r>
          </w:p>
          <w:p w:rsidR="00AB222C" w:rsidP="00AB222C" w14:paraId="14EF7A4F" w14:textId="2526BBD1">
            <w:pPr>
              <w:pStyle w:val="FERCparanumber"/>
              <w:numPr>
                <w:ilvl w:val="0"/>
                <w:numId w:val="0"/>
              </w:numPr>
              <w:spacing w:line="240" w:lineRule="auto"/>
              <w:jc w:val="center"/>
            </w:pPr>
            <w:r w:rsidRPr="00DF60C5">
              <w:rPr>
                <w:b/>
              </w:rPr>
              <w:t>(4)</w:t>
            </w:r>
          </w:p>
        </w:tc>
        <w:tc>
          <w:tcPr>
            <w:tcW w:w="1863" w:type="dxa"/>
          </w:tcPr>
          <w:p w:rsidR="00AB222C" w:rsidP="00AB222C" w14:paraId="5A000A94" w14:textId="77777777">
            <w:pPr>
              <w:pStyle w:val="FERCparanumber"/>
              <w:numPr>
                <w:ilvl w:val="0"/>
                <w:numId w:val="0"/>
              </w:numPr>
              <w:spacing w:line="240" w:lineRule="auto"/>
              <w:jc w:val="center"/>
              <w:rPr>
                <w:b/>
              </w:rPr>
            </w:pPr>
            <w:r w:rsidRPr="00DF60C5">
              <w:rPr>
                <w:b/>
              </w:rPr>
              <w:t>Total Annual Burden Hours and Cost Reduction</w:t>
            </w:r>
          </w:p>
          <w:p w:rsidR="00AB222C" w:rsidP="00AB222C" w14:paraId="4233F7C0" w14:textId="4EA2BECF">
            <w:pPr>
              <w:pStyle w:val="FERCparanumber"/>
              <w:numPr>
                <w:ilvl w:val="0"/>
                <w:numId w:val="0"/>
              </w:numPr>
              <w:spacing w:line="240" w:lineRule="auto"/>
              <w:jc w:val="center"/>
            </w:pPr>
            <w:r>
              <w:rPr>
                <w:b/>
              </w:rPr>
              <w:t>(3) * (4) = (5)</w:t>
            </w:r>
          </w:p>
        </w:tc>
      </w:tr>
      <w:tr w14:paraId="59E9DA9A" w14:textId="77777777" w:rsidTr="005C7425">
        <w:tblPrEx>
          <w:tblW w:w="10080" w:type="dxa"/>
          <w:tblInd w:w="-365" w:type="dxa"/>
          <w:tblLook w:val="04A0"/>
        </w:tblPrEx>
        <w:tc>
          <w:tcPr>
            <w:tcW w:w="2069" w:type="dxa"/>
          </w:tcPr>
          <w:p w:rsidR="005F37A1" w:rsidRPr="0055294C" w:rsidP="005F37A1" w14:paraId="45E4DCF8" w14:textId="0599F699">
            <w:pPr>
              <w:pStyle w:val="FERCparanumber"/>
              <w:numPr>
                <w:ilvl w:val="0"/>
                <w:numId w:val="0"/>
              </w:numPr>
              <w:spacing w:line="240" w:lineRule="auto"/>
              <w:jc w:val="center"/>
              <w:rPr>
                <w:bCs/>
                <w:szCs w:val="26"/>
              </w:rPr>
            </w:pPr>
            <w:r w:rsidRPr="0055294C">
              <w:rPr>
                <w:bCs/>
                <w:szCs w:val="26"/>
              </w:rPr>
              <w:t>RP - Retired</w:t>
            </w:r>
          </w:p>
        </w:tc>
        <w:tc>
          <w:tcPr>
            <w:tcW w:w="1632" w:type="dxa"/>
            <w:vAlign w:val="bottom"/>
          </w:tcPr>
          <w:p w:rsidR="005F37A1" w:rsidRPr="0055294C" w:rsidP="005C7425" w14:paraId="77FDFB18" w14:textId="7E95F7A4">
            <w:pPr>
              <w:pStyle w:val="FERCparanumber"/>
              <w:numPr>
                <w:ilvl w:val="0"/>
                <w:numId w:val="0"/>
              </w:numPr>
              <w:spacing w:line="240" w:lineRule="auto"/>
              <w:jc w:val="right"/>
              <w:rPr>
                <w:szCs w:val="26"/>
              </w:rPr>
            </w:pPr>
            <w:r w:rsidRPr="0055294C">
              <w:rPr>
                <w:szCs w:val="26"/>
              </w:rPr>
              <w:t>159</w:t>
            </w:r>
          </w:p>
        </w:tc>
        <w:tc>
          <w:tcPr>
            <w:tcW w:w="1550" w:type="dxa"/>
            <w:vAlign w:val="bottom"/>
          </w:tcPr>
          <w:p w:rsidR="005F37A1" w:rsidRPr="0055294C" w:rsidP="005C7425" w14:paraId="6596C239" w14:textId="5A4A37EB">
            <w:pPr>
              <w:pStyle w:val="FERCparanumber"/>
              <w:numPr>
                <w:ilvl w:val="0"/>
                <w:numId w:val="0"/>
              </w:numPr>
              <w:spacing w:line="240" w:lineRule="auto"/>
              <w:jc w:val="right"/>
              <w:rPr>
                <w:szCs w:val="26"/>
              </w:rPr>
            </w:pPr>
            <w:r w:rsidRPr="0055294C">
              <w:rPr>
                <w:szCs w:val="26"/>
              </w:rPr>
              <w:t>1</w:t>
            </w:r>
          </w:p>
        </w:tc>
        <w:tc>
          <w:tcPr>
            <w:tcW w:w="1498" w:type="dxa"/>
            <w:vAlign w:val="bottom"/>
          </w:tcPr>
          <w:p w:rsidR="005F37A1" w:rsidRPr="0055294C" w:rsidP="005C7425" w14:paraId="63A6044F" w14:textId="6C500BE8">
            <w:pPr>
              <w:pStyle w:val="FERCparanumber"/>
              <w:numPr>
                <w:ilvl w:val="0"/>
                <w:numId w:val="0"/>
              </w:numPr>
              <w:spacing w:line="240" w:lineRule="auto"/>
              <w:jc w:val="right"/>
              <w:rPr>
                <w:szCs w:val="26"/>
              </w:rPr>
            </w:pPr>
            <w:r w:rsidRPr="0055294C">
              <w:rPr>
                <w:szCs w:val="26"/>
              </w:rPr>
              <w:t>159</w:t>
            </w:r>
          </w:p>
        </w:tc>
        <w:tc>
          <w:tcPr>
            <w:tcW w:w="1468" w:type="dxa"/>
            <w:vAlign w:val="bottom"/>
          </w:tcPr>
          <w:p w:rsidR="005F37A1" w:rsidRPr="0055294C" w:rsidP="005C7425" w14:paraId="55E5C5CE" w14:textId="77777777">
            <w:pPr>
              <w:spacing w:after="12"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60 hrs.;</w:t>
            </w:r>
          </w:p>
          <w:p w:rsidR="005F37A1" w:rsidRPr="0055294C" w:rsidP="005C7425" w14:paraId="73003159" w14:textId="712DEE33">
            <w:pPr>
              <w:pStyle w:val="FERCparanumber"/>
              <w:numPr>
                <w:ilvl w:val="0"/>
                <w:numId w:val="0"/>
              </w:numPr>
              <w:spacing w:line="240" w:lineRule="auto"/>
              <w:jc w:val="right"/>
              <w:rPr>
                <w:szCs w:val="26"/>
              </w:rPr>
            </w:pPr>
            <w:r w:rsidRPr="0055294C">
              <w:rPr>
                <w:szCs w:val="26"/>
              </w:rPr>
              <w:t>$</w:t>
            </w:r>
            <w:r w:rsidRPr="00653239" w:rsidR="00653239">
              <w:rPr>
                <w:szCs w:val="26"/>
              </w:rPr>
              <w:t>4,071.6</w:t>
            </w:r>
            <w:r w:rsidR="00653239">
              <w:rPr>
                <w:szCs w:val="26"/>
              </w:rPr>
              <w:t>0</w:t>
            </w:r>
          </w:p>
        </w:tc>
        <w:tc>
          <w:tcPr>
            <w:tcW w:w="1863" w:type="dxa"/>
            <w:vAlign w:val="bottom"/>
          </w:tcPr>
          <w:p w:rsidR="005F37A1" w:rsidRPr="0055294C" w:rsidP="005C7425" w14:paraId="089E2797" w14:textId="77777777">
            <w:pPr>
              <w:spacing w:line="259" w:lineRule="auto"/>
              <w:ind w:right="80"/>
              <w:jc w:val="right"/>
              <w:rPr>
                <w:rFonts w:ascii="Times New Roman" w:hAnsi="Times New Roman" w:cs="Times New Roman"/>
                <w:sz w:val="26"/>
                <w:szCs w:val="26"/>
              </w:rPr>
            </w:pPr>
            <w:r w:rsidRPr="0055294C">
              <w:rPr>
                <w:rFonts w:ascii="Times New Roman" w:hAnsi="Times New Roman" w:cs="Times New Roman"/>
                <w:sz w:val="26"/>
                <w:szCs w:val="26"/>
              </w:rPr>
              <w:t>9,540 hrs.;</w:t>
            </w:r>
          </w:p>
          <w:p w:rsidR="005F37A1" w:rsidRPr="0055294C" w:rsidP="005C7425" w14:paraId="69721DB0" w14:textId="3E12164B">
            <w:pPr>
              <w:pStyle w:val="FERCparanumber"/>
              <w:numPr>
                <w:ilvl w:val="0"/>
                <w:numId w:val="0"/>
              </w:numPr>
              <w:spacing w:line="240" w:lineRule="auto"/>
              <w:jc w:val="right"/>
              <w:rPr>
                <w:szCs w:val="26"/>
              </w:rPr>
            </w:pPr>
            <w:r w:rsidRPr="0055294C">
              <w:rPr>
                <w:szCs w:val="26"/>
              </w:rPr>
              <w:t>$</w:t>
            </w:r>
            <w:r w:rsidRPr="00A828A2" w:rsidR="00A828A2">
              <w:rPr>
                <w:szCs w:val="26"/>
              </w:rPr>
              <w:t>647,384.4</w:t>
            </w:r>
            <w:r w:rsidR="00A828A2">
              <w:rPr>
                <w:szCs w:val="26"/>
              </w:rPr>
              <w:t>0</w:t>
            </w:r>
          </w:p>
        </w:tc>
      </w:tr>
      <w:tr w14:paraId="63D235A5" w14:textId="77777777" w:rsidTr="005C7425">
        <w:tblPrEx>
          <w:tblW w:w="10080" w:type="dxa"/>
          <w:tblInd w:w="-365" w:type="dxa"/>
          <w:tblLook w:val="04A0"/>
        </w:tblPrEx>
        <w:tc>
          <w:tcPr>
            <w:tcW w:w="2069" w:type="dxa"/>
          </w:tcPr>
          <w:p w:rsidR="005F37A1" w:rsidRPr="0055294C" w:rsidP="005F37A1" w14:paraId="7B7434D6" w14:textId="54283F84">
            <w:pPr>
              <w:pStyle w:val="FERCparanumber"/>
              <w:numPr>
                <w:ilvl w:val="0"/>
                <w:numId w:val="0"/>
              </w:numPr>
              <w:spacing w:line="240" w:lineRule="auto"/>
              <w:jc w:val="center"/>
              <w:rPr>
                <w:bCs/>
                <w:szCs w:val="26"/>
              </w:rPr>
            </w:pPr>
            <w:r w:rsidRPr="0055294C">
              <w:rPr>
                <w:bCs/>
                <w:szCs w:val="26"/>
              </w:rPr>
              <w:t>TSP - Retired</w:t>
            </w:r>
          </w:p>
        </w:tc>
        <w:tc>
          <w:tcPr>
            <w:tcW w:w="1632" w:type="dxa"/>
            <w:vAlign w:val="bottom"/>
          </w:tcPr>
          <w:p w:rsidR="005F37A1" w:rsidRPr="0055294C" w:rsidP="005C7425" w14:paraId="341BEF5A" w14:textId="27199B6C">
            <w:pPr>
              <w:pStyle w:val="FERCparanumber"/>
              <w:numPr>
                <w:ilvl w:val="0"/>
                <w:numId w:val="0"/>
              </w:numPr>
              <w:spacing w:line="240" w:lineRule="auto"/>
              <w:jc w:val="right"/>
              <w:rPr>
                <w:szCs w:val="26"/>
              </w:rPr>
            </w:pPr>
            <w:r w:rsidRPr="0055294C">
              <w:rPr>
                <w:szCs w:val="26"/>
              </w:rPr>
              <w:t>71</w:t>
            </w:r>
          </w:p>
        </w:tc>
        <w:tc>
          <w:tcPr>
            <w:tcW w:w="1550" w:type="dxa"/>
            <w:vAlign w:val="bottom"/>
          </w:tcPr>
          <w:p w:rsidR="005F37A1" w:rsidRPr="0055294C" w:rsidP="005C7425" w14:paraId="2EBA220B" w14:textId="1C6C4A5D">
            <w:pPr>
              <w:pStyle w:val="FERCparanumber"/>
              <w:numPr>
                <w:ilvl w:val="0"/>
                <w:numId w:val="0"/>
              </w:numPr>
              <w:spacing w:line="240" w:lineRule="auto"/>
              <w:jc w:val="right"/>
              <w:rPr>
                <w:szCs w:val="26"/>
              </w:rPr>
            </w:pPr>
            <w:r w:rsidRPr="0055294C">
              <w:rPr>
                <w:szCs w:val="26"/>
              </w:rPr>
              <w:t>1</w:t>
            </w:r>
          </w:p>
        </w:tc>
        <w:tc>
          <w:tcPr>
            <w:tcW w:w="1498" w:type="dxa"/>
            <w:vAlign w:val="bottom"/>
          </w:tcPr>
          <w:p w:rsidR="005F37A1" w:rsidRPr="0055294C" w:rsidP="005C7425" w14:paraId="35B8CB60" w14:textId="016D9A3F">
            <w:pPr>
              <w:pStyle w:val="FERCparanumber"/>
              <w:numPr>
                <w:ilvl w:val="0"/>
                <w:numId w:val="0"/>
              </w:numPr>
              <w:spacing w:line="240" w:lineRule="auto"/>
              <w:jc w:val="right"/>
              <w:rPr>
                <w:szCs w:val="26"/>
              </w:rPr>
            </w:pPr>
            <w:r w:rsidRPr="0055294C">
              <w:rPr>
                <w:szCs w:val="26"/>
              </w:rPr>
              <w:t>71</w:t>
            </w:r>
          </w:p>
        </w:tc>
        <w:tc>
          <w:tcPr>
            <w:tcW w:w="1468" w:type="dxa"/>
            <w:vAlign w:val="bottom"/>
          </w:tcPr>
          <w:p w:rsidR="005F37A1" w:rsidRPr="0055294C" w:rsidP="005C7425" w14:paraId="64C308CC" w14:textId="77777777">
            <w:pPr>
              <w:spacing w:after="12"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60 hrs.;</w:t>
            </w:r>
          </w:p>
          <w:p w:rsidR="005F37A1" w:rsidRPr="0055294C" w:rsidP="005C7425" w14:paraId="0D5EF161" w14:textId="0B48E28A">
            <w:pPr>
              <w:pStyle w:val="FERCparanumber"/>
              <w:numPr>
                <w:ilvl w:val="0"/>
                <w:numId w:val="0"/>
              </w:numPr>
              <w:spacing w:line="240" w:lineRule="auto"/>
              <w:jc w:val="right"/>
              <w:rPr>
                <w:szCs w:val="26"/>
              </w:rPr>
            </w:pPr>
            <w:r w:rsidRPr="0055294C">
              <w:rPr>
                <w:szCs w:val="26"/>
              </w:rPr>
              <w:t>$</w:t>
            </w:r>
            <w:r w:rsidRPr="00653239" w:rsidR="00653239">
              <w:rPr>
                <w:szCs w:val="26"/>
              </w:rPr>
              <w:t>4,071.6</w:t>
            </w:r>
            <w:r w:rsidR="00653239">
              <w:rPr>
                <w:szCs w:val="26"/>
              </w:rPr>
              <w:t>0</w:t>
            </w:r>
          </w:p>
        </w:tc>
        <w:tc>
          <w:tcPr>
            <w:tcW w:w="1863" w:type="dxa"/>
            <w:vAlign w:val="bottom"/>
          </w:tcPr>
          <w:p w:rsidR="005F37A1" w:rsidRPr="0055294C" w:rsidP="005C7425" w14:paraId="031DF227" w14:textId="77777777">
            <w:pPr>
              <w:spacing w:line="259" w:lineRule="auto"/>
              <w:ind w:right="80"/>
              <w:jc w:val="right"/>
              <w:rPr>
                <w:rFonts w:ascii="Times New Roman" w:hAnsi="Times New Roman" w:cs="Times New Roman"/>
                <w:sz w:val="26"/>
                <w:szCs w:val="26"/>
              </w:rPr>
            </w:pPr>
            <w:r w:rsidRPr="0055294C">
              <w:rPr>
                <w:rFonts w:ascii="Times New Roman" w:hAnsi="Times New Roman" w:cs="Times New Roman"/>
                <w:sz w:val="26"/>
                <w:szCs w:val="26"/>
              </w:rPr>
              <w:t>4,260 hrs.;</w:t>
            </w:r>
          </w:p>
          <w:p w:rsidR="005F37A1" w:rsidRPr="0055294C" w:rsidP="005C7425" w14:paraId="0E5EBF01" w14:textId="7D899A6B">
            <w:pPr>
              <w:pStyle w:val="FERCparanumber"/>
              <w:numPr>
                <w:ilvl w:val="0"/>
                <w:numId w:val="0"/>
              </w:numPr>
              <w:spacing w:line="240" w:lineRule="auto"/>
              <w:jc w:val="right"/>
              <w:rPr>
                <w:szCs w:val="26"/>
              </w:rPr>
            </w:pPr>
            <w:r w:rsidRPr="0055294C">
              <w:rPr>
                <w:szCs w:val="26"/>
              </w:rPr>
              <w:t>$</w:t>
            </w:r>
            <w:r w:rsidRPr="00EF7828" w:rsidR="00EF7828">
              <w:rPr>
                <w:szCs w:val="26"/>
              </w:rPr>
              <w:t>289,083.6</w:t>
            </w:r>
            <w:r w:rsidR="00EF7828">
              <w:rPr>
                <w:szCs w:val="26"/>
              </w:rPr>
              <w:t>0</w:t>
            </w:r>
          </w:p>
        </w:tc>
      </w:tr>
      <w:tr w14:paraId="1F94AB80" w14:textId="77777777" w:rsidTr="005C7425">
        <w:tblPrEx>
          <w:tblW w:w="10080" w:type="dxa"/>
          <w:tblInd w:w="-365" w:type="dxa"/>
          <w:tblLook w:val="04A0"/>
        </w:tblPrEx>
        <w:tc>
          <w:tcPr>
            <w:tcW w:w="2069" w:type="dxa"/>
          </w:tcPr>
          <w:p w:rsidR="005F37A1" w:rsidRPr="0055294C" w:rsidP="005F37A1" w14:paraId="1260E232" w14:textId="4C15FF1C">
            <w:pPr>
              <w:pStyle w:val="FERCparanumber"/>
              <w:numPr>
                <w:ilvl w:val="0"/>
                <w:numId w:val="0"/>
              </w:numPr>
              <w:spacing w:line="240" w:lineRule="auto"/>
              <w:jc w:val="center"/>
              <w:rPr>
                <w:bCs/>
                <w:szCs w:val="26"/>
              </w:rPr>
            </w:pPr>
            <w:r w:rsidRPr="0055294C">
              <w:rPr>
                <w:bCs/>
                <w:szCs w:val="26"/>
              </w:rPr>
              <w:t>BA - Retired</w:t>
            </w:r>
          </w:p>
        </w:tc>
        <w:tc>
          <w:tcPr>
            <w:tcW w:w="1632" w:type="dxa"/>
            <w:vAlign w:val="bottom"/>
          </w:tcPr>
          <w:p w:rsidR="005F37A1" w:rsidRPr="0055294C" w:rsidP="005C7425" w14:paraId="29D2572E" w14:textId="02E8AD11">
            <w:pPr>
              <w:pStyle w:val="FERCparanumber"/>
              <w:numPr>
                <w:ilvl w:val="0"/>
                <w:numId w:val="0"/>
              </w:numPr>
              <w:spacing w:line="240" w:lineRule="auto"/>
              <w:jc w:val="right"/>
              <w:rPr>
                <w:szCs w:val="26"/>
              </w:rPr>
            </w:pPr>
            <w:r w:rsidRPr="0055294C">
              <w:rPr>
                <w:szCs w:val="26"/>
              </w:rPr>
              <w:t>98</w:t>
            </w:r>
          </w:p>
        </w:tc>
        <w:tc>
          <w:tcPr>
            <w:tcW w:w="1550" w:type="dxa"/>
            <w:vAlign w:val="bottom"/>
          </w:tcPr>
          <w:p w:rsidR="005F37A1" w:rsidRPr="0055294C" w:rsidP="005C7425" w14:paraId="05675056" w14:textId="33441B20">
            <w:pPr>
              <w:pStyle w:val="FERCparanumber"/>
              <w:numPr>
                <w:ilvl w:val="0"/>
                <w:numId w:val="0"/>
              </w:numPr>
              <w:spacing w:line="240" w:lineRule="auto"/>
              <w:jc w:val="right"/>
              <w:rPr>
                <w:szCs w:val="26"/>
              </w:rPr>
            </w:pPr>
            <w:r w:rsidRPr="0055294C">
              <w:rPr>
                <w:szCs w:val="26"/>
              </w:rPr>
              <w:t>1</w:t>
            </w:r>
          </w:p>
        </w:tc>
        <w:tc>
          <w:tcPr>
            <w:tcW w:w="1498" w:type="dxa"/>
            <w:vAlign w:val="bottom"/>
          </w:tcPr>
          <w:p w:rsidR="005F37A1" w:rsidRPr="0055294C" w:rsidP="005C7425" w14:paraId="6781B7CD" w14:textId="56D16C13">
            <w:pPr>
              <w:pStyle w:val="FERCparanumber"/>
              <w:numPr>
                <w:ilvl w:val="0"/>
                <w:numId w:val="0"/>
              </w:numPr>
              <w:spacing w:line="240" w:lineRule="auto"/>
              <w:jc w:val="right"/>
              <w:rPr>
                <w:szCs w:val="26"/>
              </w:rPr>
            </w:pPr>
            <w:r w:rsidRPr="0055294C">
              <w:rPr>
                <w:szCs w:val="26"/>
              </w:rPr>
              <w:t>98</w:t>
            </w:r>
          </w:p>
        </w:tc>
        <w:tc>
          <w:tcPr>
            <w:tcW w:w="1468" w:type="dxa"/>
            <w:vAlign w:val="bottom"/>
          </w:tcPr>
          <w:p w:rsidR="005F37A1" w:rsidRPr="0055294C" w:rsidP="005C7425" w14:paraId="3B2BF064" w14:textId="77777777">
            <w:pPr>
              <w:spacing w:after="12"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60 hrs.;</w:t>
            </w:r>
          </w:p>
          <w:p w:rsidR="005F37A1" w:rsidRPr="0055294C" w:rsidP="005C7425" w14:paraId="76751507" w14:textId="30A5CFFA">
            <w:pPr>
              <w:pStyle w:val="FERCparanumber"/>
              <w:numPr>
                <w:ilvl w:val="0"/>
                <w:numId w:val="0"/>
              </w:numPr>
              <w:spacing w:line="240" w:lineRule="auto"/>
              <w:jc w:val="right"/>
              <w:rPr>
                <w:szCs w:val="26"/>
              </w:rPr>
            </w:pPr>
            <w:r w:rsidRPr="0055294C">
              <w:rPr>
                <w:szCs w:val="26"/>
              </w:rPr>
              <w:t>$</w:t>
            </w:r>
            <w:r w:rsidRPr="00653239" w:rsidR="00653239">
              <w:rPr>
                <w:szCs w:val="26"/>
              </w:rPr>
              <w:t>4,071.6</w:t>
            </w:r>
            <w:r w:rsidR="00653239">
              <w:rPr>
                <w:szCs w:val="26"/>
              </w:rPr>
              <w:t>0</w:t>
            </w:r>
          </w:p>
        </w:tc>
        <w:tc>
          <w:tcPr>
            <w:tcW w:w="1863" w:type="dxa"/>
            <w:vAlign w:val="bottom"/>
          </w:tcPr>
          <w:p w:rsidR="005F37A1" w:rsidRPr="0055294C" w:rsidP="005C7425" w14:paraId="0A645FA7" w14:textId="77777777">
            <w:pPr>
              <w:spacing w:line="259" w:lineRule="auto"/>
              <w:ind w:right="80"/>
              <w:jc w:val="right"/>
              <w:rPr>
                <w:rFonts w:ascii="Times New Roman" w:hAnsi="Times New Roman" w:cs="Times New Roman"/>
                <w:sz w:val="26"/>
                <w:szCs w:val="26"/>
              </w:rPr>
            </w:pPr>
            <w:r w:rsidRPr="0055294C">
              <w:rPr>
                <w:rFonts w:ascii="Times New Roman" w:hAnsi="Times New Roman" w:cs="Times New Roman"/>
                <w:sz w:val="26"/>
                <w:szCs w:val="26"/>
              </w:rPr>
              <w:t>5,880 hrs.;</w:t>
            </w:r>
          </w:p>
          <w:p w:rsidR="005F37A1" w:rsidRPr="0055294C" w:rsidP="005C7425" w14:paraId="04B49A6B" w14:textId="5A2824D3">
            <w:pPr>
              <w:pStyle w:val="FERCparanumber"/>
              <w:numPr>
                <w:ilvl w:val="0"/>
                <w:numId w:val="0"/>
              </w:numPr>
              <w:spacing w:line="240" w:lineRule="auto"/>
              <w:jc w:val="right"/>
              <w:rPr>
                <w:szCs w:val="26"/>
              </w:rPr>
            </w:pPr>
            <w:r w:rsidRPr="0055294C">
              <w:rPr>
                <w:szCs w:val="26"/>
              </w:rPr>
              <w:t>$</w:t>
            </w:r>
            <w:r w:rsidRPr="0059004C" w:rsidR="0059004C">
              <w:rPr>
                <w:szCs w:val="26"/>
              </w:rPr>
              <w:t>399,016.8</w:t>
            </w:r>
            <w:r w:rsidR="0059004C">
              <w:rPr>
                <w:szCs w:val="26"/>
              </w:rPr>
              <w:t>0</w:t>
            </w:r>
          </w:p>
        </w:tc>
      </w:tr>
      <w:tr w14:paraId="0B60CF34" w14:textId="77777777" w:rsidTr="005C7425">
        <w:tblPrEx>
          <w:tblW w:w="10080" w:type="dxa"/>
          <w:tblInd w:w="-365" w:type="dxa"/>
          <w:tblLook w:val="04A0"/>
        </w:tblPrEx>
        <w:tc>
          <w:tcPr>
            <w:tcW w:w="2069" w:type="dxa"/>
          </w:tcPr>
          <w:p w:rsidR="005F37A1" w:rsidRPr="0055294C" w:rsidP="005F37A1" w14:paraId="468036E7" w14:textId="1BF9B364">
            <w:pPr>
              <w:pStyle w:val="FERCparanumber"/>
              <w:numPr>
                <w:ilvl w:val="0"/>
                <w:numId w:val="0"/>
              </w:numPr>
              <w:spacing w:line="240" w:lineRule="auto"/>
              <w:jc w:val="center"/>
              <w:rPr>
                <w:bCs/>
                <w:szCs w:val="26"/>
              </w:rPr>
            </w:pPr>
            <w:r w:rsidRPr="0055294C">
              <w:rPr>
                <w:bCs/>
                <w:szCs w:val="26"/>
              </w:rPr>
              <w:t>TP -Retired</w:t>
            </w:r>
          </w:p>
        </w:tc>
        <w:tc>
          <w:tcPr>
            <w:tcW w:w="1632" w:type="dxa"/>
            <w:vAlign w:val="bottom"/>
          </w:tcPr>
          <w:p w:rsidR="005F37A1" w:rsidRPr="0055294C" w:rsidP="005C7425" w14:paraId="3FC70BCB" w14:textId="5563D154">
            <w:pPr>
              <w:pStyle w:val="FERCparanumber"/>
              <w:numPr>
                <w:ilvl w:val="0"/>
                <w:numId w:val="0"/>
              </w:numPr>
              <w:spacing w:line="240" w:lineRule="auto"/>
              <w:jc w:val="right"/>
              <w:rPr>
                <w:szCs w:val="26"/>
              </w:rPr>
            </w:pPr>
            <w:r w:rsidRPr="0055294C">
              <w:rPr>
                <w:szCs w:val="26"/>
              </w:rPr>
              <w:t>203</w:t>
            </w:r>
          </w:p>
        </w:tc>
        <w:tc>
          <w:tcPr>
            <w:tcW w:w="1550" w:type="dxa"/>
            <w:vAlign w:val="bottom"/>
          </w:tcPr>
          <w:p w:rsidR="005F37A1" w:rsidRPr="0055294C" w:rsidP="005C7425" w14:paraId="521C3659" w14:textId="716260B9">
            <w:pPr>
              <w:pStyle w:val="FERCparanumber"/>
              <w:numPr>
                <w:ilvl w:val="0"/>
                <w:numId w:val="0"/>
              </w:numPr>
              <w:spacing w:line="240" w:lineRule="auto"/>
              <w:jc w:val="right"/>
              <w:rPr>
                <w:szCs w:val="26"/>
              </w:rPr>
            </w:pPr>
            <w:r w:rsidRPr="0055294C">
              <w:rPr>
                <w:szCs w:val="26"/>
              </w:rPr>
              <w:t>1</w:t>
            </w:r>
          </w:p>
        </w:tc>
        <w:tc>
          <w:tcPr>
            <w:tcW w:w="1498" w:type="dxa"/>
            <w:vAlign w:val="bottom"/>
          </w:tcPr>
          <w:p w:rsidR="005F37A1" w:rsidRPr="0055294C" w:rsidP="005C7425" w14:paraId="1F5DD8BD" w14:textId="662597E9">
            <w:pPr>
              <w:pStyle w:val="FERCparanumber"/>
              <w:numPr>
                <w:ilvl w:val="0"/>
                <w:numId w:val="0"/>
              </w:numPr>
              <w:spacing w:line="240" w:lineRule="auto"/>
              <w:jc w:val="right"/>
              <w:rPr>
                <w:szCs w:val="26"/>
              </w:rPr>
            </w:pPr>
            <w:r w:rsidRPr="0055294C">
              <w:rPr>
                <w:szCs w:val="26"/>
              </w:rPr>
              <w:t>203</w:t>
            </w:r>
          </w:p>
        </w:tc>
        <w:tc>
          <w:tcPr>
            <w:tcW w:w="1468" w:type="dxa"/>
            <w:vAlign w:val="bottom"/>
          </w:tcPr>
          <w:p w:rsidR="005F37A1" w:rsidRPr="0055294C" w:rsidP="005C7425" w14:paraId="4B41A57A" w14:textId="77777777">
            <w:pPr>
              <w:spacing w:after="12"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60 hrs.;</w:t>
            </w:r>
          </w:p>
          <w:p w:rsidR="005F37A1" w:rsidRPr="0055294C" w:rsidP="005C7425" w14:paraId="6E508D6B" w14:textId="7513B60D">
            <w:pPr>
              <w:spacing w:after="12"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w:t>
            </w:r>
            <w:r w:rsidRPr="00653239" w:rsidR="00653239">
              <w:rPr>
                <w:rFonts w:ascii="Times New Roman" w:hAnsi="Times New Roman" w:cs="Times New Roman"/>
                <w:sz w:val="26"/>
                <w:szCs w:val="26"/>
              </w:rPr>
              <w:t>4,071.6</w:t>
            </w:r>
            <w:r w:rsidR="00653239">
              <w:rPr>
                <w:rFonts w:ascii="Times New Roman" w:hAnsi="Times New Roman" w:cs="Times New Roman"/>
                <w:sz w:val="26"/>
                <w:szCs w:val="26"/>
              </w:rPr>
              <w:t>0</w:t>
            </w:r>
          </w:p>
        </w:tc>
        <w:tc>
          <w:tcPr>
            <w:tcW w:w="1863" w:type="dxa"/>
            <w:vAlign w:val="bottom"/>
          </w:tcPr>
          <w:p w:rsidR="005F37A1" w:rsidRPr="0055294C" w:rsidP="005C7425" w14:paraId="3E9E687D" w14:textId="77777777">
            <w:pPr>
              <w:spacing w:line="259" w:lineRule="auto"/>
              <w:ind w:right="81"/>
              <w:jc w:val="right"/>
              <w:rPr>
                <w:rFonts w:ascii="Times New Roman" w:hAnsi="Times New Roman" w:cs="Times New Roman"/>
                <w:sz w:val="26"/>
                <w:szCs w:val="26"/>
              </w:rPr>
            </w:pPr>
            <w:r w:rsidRPr="0055294C">
              <w:rPr>
                <w:rFonts w:ascii="Times New Roman" w:hAnsi="Times New Roman" w:cs="Times New Roman"/>
                <w:sz w:val="26"/>
                <w:szCs w:val="26"/>
              </w:rPr>
              <w:t>12,180 hrs.;</w:t>
            </w:r>
          </w:p>
          <w:p w:rsidR="005F37A1" w:rsidRPr="0055294C" w:rsidP="005C7425" w14:paraId="234E3C02" w14:textId="53824E90">
            <w:pPr>
              <w:spacing w:line="259" w:lineRule="auto"/>
              <w:ind w:right="80"/>
              <w:jc w:val="right"/>
              <w:rPr>
                <w:rFonts w:ascii="Times New Roman" w:hAnsi="Times New Roman" w:cs="Times New Roman"/>
                <w:sz w:val="26"/>
                <w:szCs w:val="26"/>
              </w:rPr>
            </w:pPr>
            <w:r w:rsidRPr="0055294C">
              <w:rPr>
                <w:rFonts w:ascii="Times New Roman" w:hAnsi="Times New Roman" w:cs="Times New Roman"/>
                <w:sz w:val="26"/>
                <w:szCs w:val="26"/>
              </w:rPr>
              <w:t>$</w:t>
            </w:r>
            <w:r w:rsidRPr="00AD09F7" w:rsidR="00AD09F7">
              <w:rPr>
                <w:rFonts w:ascii="Times New Roman" w:hAnsi="Times New Roman" w:cs="Times New Roman"/>
                <w:sz w:val="26"/>
                <w:szCs w:val="26"/>
              </w:rPr>
              <w:t>826,534.8</w:t>
            </w:r>
            <w:r w:rsidR="00AD09F7">
              <w:rPr>
                <w:rFonts w:ascii="Times New Roman" w:hAnsi="Times New Roman" w:cs="Times New Roman"/>
                <w:sz w:val="26"/>
                <w:szCs w:val="26"/>
              </w:rPr>
              <w:t>0</w:t>
            </w:r>
          </w:p>
        </w:tc>
      </w:tr>
      <w:tr w14:paraId="1A574537" w14:textId="77777777" w:rsidTr="005C7425">
        <w:tblPrEx>
          <w:tblW w:w="10080" w:type="dxa"/>
          <w:tblInd w:w="-365" w:type="dxa"/>
          <w:tblLook w:val="04A0"/>
        </w:tblPrEx>
        <w:tc>
          <w:tcPr>
            <w:tcW w:w="2069" w:type="dxa"/>
          </w:tcPr>
          <w:p w:rsidR="005F37A1" w:rsidRPr="00EE1F12" w:rsidP="005F37A1" w14:paraId="21071125" w14:textId="77777777">
            <w:pPr>
              <w:spacing w:after="6" w:line="259" w:lineRule="auto"/>
              <w:ind w:left="104"/>
              <w:rPr>
                <w:b/>
                <w:sz w:val="26"/>
                <w:szCs w:val="26"/>
              </w:rPr>
            </w:pPr>
            <w:r w:rsidRPr="00EE1F12">
              <w:rPr>
                <w:rFonts w:ascii="Times New Roman" w:eastAsia="Times New Roman" w:hAnsi="Times New Roman" w:cs="Times New Roman"/>
                <w:b/>
                <w:sz w:val="26"/>
                <w:szCs w:val="26"/>
              </w:rPr>
              <w:t xml:space="preserve">FERC-725A for </w:t>
            </w:r>
          </w:p>
          <w:p w:rsidR="005F37A1" w:rsidRPr="0055294C" w:rsidP="0055294C" w14:paraId="1A9C3931" w14:textId="6197A72F">
            <w:pPr>
              <w:spacing w:line="259" w:lineRule="auto"/>
              <w:ind w:left="104"/>
              <w:rPr>
                <w:bCs/>
                <w:sz w:val="26"/>
                <w:szCs w:val="26"/>
              </w:rPr>
            </w:pPr>
            <w:r w:rsidRPr="00EE1F12">
              <w:rPr>
                <w:rFonts w:ascii="Times New Roman" w:eastAsia="Times New Roman" w:hAnsi="Times New Roman" w:cs="Times New Roman"/>
                <w:b/>
                <w:sz w:val="26"/>
                <w:szCs w:val="26"/>
              </w:rPr>
              <w:t>MOD-004-1 Total</w:t>
            </w:r>
            <w:r w:rsidRPr="00EE1F12" w:rsidR="0055294C">
              <w:rPr>
                <w:rFonts w:ascii="Times New Roman" w:eastAsia="Times New Roman" w:hAnsi="Times New Roman" w:cs="Times New Roman"/>
                <w:b/>
                <w:sz w:val="26"/>
                <w:szCs w:val="26"/>
              </w:rPr>
              <w:t xml:space="preserve"> </w:t>
            </w:r>
            <w:r w:rsidRPr="00EE1F12">
              <w:rPr>
                <w:rFonts w:ascii="Times New Roman" w:hAnsi="Times New Roman" w:cs="Times New Roman"/>
                <w:b/>
                <w:sz w:val="26"/>
                <w:szCs w:val="26"/>
              </w:rPr>
              <w:t>Retired</w:t>
            </w:r>
          </w:p>
        </w:tc>
        <w:tc>
          <w:tcPr>
            <w:tcW w:w="1632" w:type="dxa"/>
            <w:vAlign w:val="bottom"/>
          </w:tcPr>
          <w:p w:rsidR="005F37A1" w:rsidRPr="0055294C" w:rsidP="005C7425" w14:paraId="764ABDA7" w14:textId="77777777">
            <w:pPr>
              <w:pStyle w:val="FERCparanumber"/>
              <w:numPr>
                <w:ilvl w:val="0"/>
                <w:numId w:val="0"/>
              </w:numPr>
              <w:spacing w:line="240" w:lineRule="auto"/>
              <w:jc w:val="right"/>
              <w:rPr>
                <w:szCs w:val="26"/>
              </w:rPr>
            </w:pPr>
          </w:p>
        </w:tc>
        <w:tc>
          <w:tcPr>
            <w:tcW w:w="1550" w:type="dxa"/>
            <w:vAlign w:val="bottom"/>
          </w:tcPr>
          <w:p w:rsidR="005F37A1" w:rsidRPr="0055294C" w:rsidP="005C7425" w14:paraId="2C5A99FE" w14:textId="396401BC">
            <w:pPr>
              <w:pStyle w:val="FERCparanumber"/>
              <w:numPr>
                <w:ilvl w:val="0"/>
                <w:numId w:val="0"/>
              </w:numPr>
              <w:spacing w:line="240" w:lineRule="auto"/>
              <w:jc w:val="right"/>
              <w:rPr>
                <w:szCs w:val="26"/>
              </w:rPr>
            </w:pPr>
          </w:p>
        </w:tc>
        <w:tc>
          <w:tcPr>
            <w:tcW w:w="1498" w:type="dxa"/>
            <w:vAlign w:val="bottom"/>
          </w:tcPr>
          <w:p w:rsidR="005F37A1" w:rsidRPr="0055294C" w:rsidP="005C7425" w14:paraId="2AD27586" w14:textId="77777777">
            <w:pPr>
              <w:pStyle w:val="FERCparanumber"/>
              <w:numPr>
                <w:ilvl w:val="0"/>
                <w:numId w:val="0"/>
              </w:numPr>
              <w:spacing w:line="240" w:lineRule="auto"/>
              <w:jc w:val="right"/>
              <w:rPr>
                <w:szCs w:val="26"/>
              </w:rPr>
            </w:pPr>
          </w:p>
        </w:tc>
        <w:tc>
          <w:tcPr>
            <w:tcW w:w="1468" w:type="dxa"/>
            <w:vAlign w:val="bottom"/>
          </w:tcPr>
          <w:p w:rsidR="005F37A1" w:rsidRPr="0055294C" w:rsidP="005C7425" w14:paraId="66F35DC2" w14:textId="77777777">
            <w:pPr>
              <w:spacing w:after="12" w:line="259" w:lineRule="auto"/>
              <w:ind w:right="81"/>
              <w:jc w:val="right"/>
              <w:rPr>
                <w:sz w:val="26"/>
                <w:szCs w:val="26"/>
              </w:rPr>
            </w:pPr>
          </w:p>
        </w:tc>
        <w:tc>
          <w:tcPr>
            <w:tcW w:w="1863" w:type="dxa"/>
            <w:vAlign w:val="bottom"/>
          </w:tcPr>
          <w:p w:rsidR="00BC266B" w:rsidRPr="0055294C" w:rsidP="00BC266B" w14:paraId="7B53C14B" w14:textId="77777777">
            <w:pPr>
              <w:spacing w:line="259" w:lineRule="auto"/>
              <w:ind w:right="79"/>
              <w:jc w:val="right"/>
              <w:rPr>
                <w:sz w:val="26"/>
                <w:szCs w:val="26"/>
              </w:rPr>
            </w:pPr>
            <w:r w:rsidRPr="0055294C">
              <w:rPr>
                <w:rFonts w:ascii="Times New Roman" w:eastAsia="Times New Roman" w:hAnsi="Times New Roman" w:cs="Times New Roman"/>
                <w:b/>
                <w:sz w:val="26"/>
                <w:szCs w:val="26"/>
              </w:rPr>
              <w:t>31,860 hrs.;</w:t>
            </w:r>
          </w:p>
          <w:p w:rsidR="005F37A1" w:rsidRPr="0055294C" w:rsidP="00BC266B" w14:paraId="2160D1A4" w14:textId="4A7A894C">
            <w:pPr>
              <w:spacing w:line="259" w:lineRule="auto"/>
              <w:ind w:right="81"/>
              <w:jc w:val="right"/>
              <w:rPr>
                <w:sz w:val="26"/>
                <w:szCs w:val="26"/>
              </w:rPr>
            </w:pPr>
            <w:r w:rsidRPr="0055294C">
              <w:rPr>
                <w:rFonts w:ascii="Times New Roman" w:eastAsia="Times New Roman" w:hAnsi="Times New Roman" w:cs="Times New Roman"/>
                <w:b/>
                <w:sz w:val="26"/>
                <w:szCs w:val="26"/>
              </w:rPr>
              <w:t>$</w:t>
            </w:r>
            <w:r w:rsidRPr="00053806" w:rsidR="00053806">
              <w:rPr>
                <w:rFonts w:ascii="Times New Roman" w:eastAsia="Times New Roman" w:hAnsi="Times New Roman" w:cs="Times New Roman"/>
                <w:b/>
                <w:sz w:val="26"/>
                <w:szCs w:val="26"/>
              </w:rPr>
              <w:t>2,162,019.6</w:t>
            </w:r>
            <w:r w:rsidR="00053806">
              <w:rPr>
                <w:rFonts w:ascii="Times New Roman" w:eastAsia="Times New Roman" w:hAnsi="Times New Roman" w:cs="Times New Roman"/>
                <w:b/>
                <w:sz w:val="26"/>
                <w:szCs w:val="26"/>
              </w:rPr>
              <w:t>0</w:t>
            </w:r>
          </w:p>
        </w:tc>
      </w:tr>
    </w:tbl>
    <w:p w:rsidR="00763A41" w:rsidP="00916824" w14:paraId="28AF2059" w14:textId="252EEEF2">
      <w:pPr>
        <w:pStyle w:val="FERCparanumber"/>
        <w:numPr>
          <w:ilvl w:val="0"/>
          <w:numId w:val="0"/>
        </w:numPr>
        <w:spacing w:line="240" w:lineRule="auto"/>
        <w:jc w:val="center"/>
      </w:pPr>
    </w:p>
    <w:p w:rsidR="00763A41" w14:paraId="1491732A" w14:textId="77777777">
      <w:pPr>
        <w:rPr>
          <w:rFonts w:ascii="Times New Roman" w:eastAsia="Times New Roman" w:hAnsi="Times New Roman" w:cs="Times New Roman"/>
          <w:sz w:val="26"/>
          <w:szCs w:val="24"/>
        </w:rPr>
      </w:pPr>
      <w:r>
        <w:br w:type="page"/>
      </w:r>
    </w:p>
    <w:p w:rsidR="001B5333" w:rsidP="00916824" w14:paraId="45A6BE4C" w14:textId="1B1F8982">
      <w:pPr>
        <w:pStyle w:val="FERCparanumber"/>
        <w:numPr>
          <w:ilvl w:val="0"/>
          <w:numId w:val="0"/>
        </w:numPr>
        <w:spacing w:line="240" w:lineRule="auto"/>
        <w:jc w:val="center"/>
      </w:pPr>
      <w:r>
        <w:t>Table12-3</w:t>
      </w:r>
    </w:p>
    <w:p w:rsidR="002F5621" w:rsidRPr="002F5621" w:rsidP="002F5621" w14:paraId="753E1CE9" w14:textId="77777777">
      <w:pPr>
        <w:pStyle w:val="FERCparanumber"/>
        <w:numPr>
          <w:ilvl w:val="0"/>
          <w:numId w:val="0"/>
        </w:numPr>
        <w:spacing w:line="240" w:lineRule="auto"/>
        <w:jc w:val="center"/>
      </w:pPr>
      <w:r w:rsidRPr="002F5621">
        <w:t xml:space="preserve">MOD-008-1 </w:t>
      </w:r>
      <w:r w:rsidRPr="002F5621">
        <w:t xml:space="preserve">Transmission Reliability Margin Calculation Methodology </w:t>
      </w:r>
    </w:p>
    <w:p w:rsidR="002F5621" w:rsidP="002F5621" w14:paraId="6AE81FB0" w14:textId="0EB378C4">
      <w:pPr>
        <w:pStyle w:val="FERCparanumber"/>
        <w:numPr>
          <w:ilvl w:val="0"/>
          <w:numId w:val="0"/>
        </w:numPr>
        <w:spacing w:line="240" w:lineRule="auto"/>
        <w:jc w:val="center"/>
      </w:pPr>
      <w:r w:rsidRPr="002F5621">
        <w:t>Retirement (Burden Reduction)</w:t>
      </w:r>
    </w:p>
    <w:p w:rsidR="0098152D" w:rsidP="0098152D" w14:paraId="57DB182E" w14:textId="06FEF4BF">
      <w:pPr>
        <w:pStyle w:val="FERCparanumber"/>
        <w:numPr>
          <w:ilvl w:val="0"/>
          <w:numId w:val="0"/>
        </w:numPr>
        <w:spacing w:line="240" w:lineRule="auto"/>
      </w:pPr>
    </w:p>
    <w:tbl>
      <w:tblPr>
        <w:tblStyle w:val="TableGrid"/>
        <w:tblW w:w="10170" w:type="dxa"/>
        <w:tblInd w:w="-455" w:type="dxa"/>
        <w:tblLook w:val="04A0"/>
      </w:tblPr>
      <w:tblGrid>
        <w:gridCol w:w="2159"/>
        <w:gridCol w:w="1632"/>
        <w:gridCol w:w="1550"/>
        <w:gridCol w:w="1498"/>
        <w:gridCol w:w="1468"/>
        <w:gridCol w:w="1863"/>
      </w:tblGrid>
      <w:tr w14:paraId="150B2D52" w14:textId="77777777" w:rsidTr="006339D0">
        <w:tblPrEx>
          <w:tblW w:w="10170" w:type="dxa"/>
          <w:tblInd w:w="-455" w:type="dxa"/>
          <w:tblLook w:val="04A0"/>
        </w:tblPrEx>
        <w:tc>
          <w:tcPr>
            <w:tcW w:w="2159" w:type="dxa"/>
          </w:tcPr>
          <w:p w:rsidR="0098152D" w:rsidP="006339D0" w14:paraId="099DAA52" w14:textId="080ED53F">
            <w:pPr>
              <w:pStyle w:val="FERCparanumber"/>
              <w:numPr>
                <w:ilvl w:val="0"/>
                <w:numId w:val="0"/>
              </w:numPr>
              <w:spacing w:line="240" w:lineRule="auto"/>
              <w:jc w:val="center"/>
            </w:pPr>
            <w:r w:rsidRPr="00DF60C5">
              <w:rPr>
                <w:b/>
              </w:rPr>
              <w:t>Applicable Entity (Respondent)</w:t>
            </w:r>
          </w:p>
        </w:tc>
        <w:tc>
          <w:tcPr>
            <w:tcW w:w="1632" w:type="dxa"/>
          </w:tcPr>
          <w:p w:rsidR="0098152D" w:rsidRPr="00DF60C5" w:rsidP="006339D0" w14:paraId="3C177DDF" w14:textId="77777777">
            <w:pPr>
              <w:pStyle w:val="FERCparanumber"/>
              <w:numPr>
                <w:ilvl w:val="0"/>
                <w:numId w:val="0"/>
              </w:numPr>
              <w:spacing w:line="240" w:lineRule="auto"/>
              <w:jc w:val="center"/>
              <w:rPr>
                <w:b/>
              </w:rPr>
            </w:pPr>
            <w:r w:rsidRPr="00DF60C5">
              <w:rPr>
                <w:b/>
              </w:rPr>
              <w:t>Number of Respondents</w:t>
            </w:r>
          </w:p>
          <w:p w:rsidR="0098152D" w:rsidP="006339D0" w14:paraId="009BB71A" w14:textId="6C449F63">
            <w:pPr>
              <w:pStyle w:val="FERCparanumber"/>
              <w:numPr>
                <w:ilvl w:val="0"/>
                <w:numId w:val="0"/>
              </w:numPr>
              <w:spacing w:line="240" w:lineRule="auto"/>
              <w:jc w:val="center"/>
            </w:pPr>
            <w:r w:rsidRPr="00DF60C5">
              <w:rPr>
                <w:b/>
              </w:rPr>
              <w:t>(1)</w:t>
            </w:r>
          </w:p>
        </w:tc>
        <w:tc>
          <w:tcPr>
            <w:tcW w:w="1550" w:type="dxa"/>
          </w:tcPr>
          <w:p w:rsidR="0098152D" w:rsidRPr="00DF60C5" w:rsidP="006339D0" w14:paraId="1FA38ED4" w14:textId="77777777">
            <w:pPr>
              <w:pStyle w:val="FERCparanumber"/>
              <w:numPr>
                <w:ilvl w:val="0"/>
                <w:numId w:val="0"/>
              </w:numPr>
              <w:spacing w:line="240" w:lineRule="auto"/>
              <w:jc w:val="center"/>
              <w:rPr>
                <w:b/>
              </w:rPr>
            </w:pPr>
            <w:r w:rsidRPr="00DF60C5">
              <w:rPr>
                <w:b/>
              </w:rPr>
              <w:t>Annual Number of Responses per Respondent</w:t>
            </w:r>
          </w:p>
          <w:p w:rsidR="0098152D" w:rsidP="006339D0" w14:paraId="70CC1378" w14:textId="60AB2A37">
            <w:pPr>
              <w:pStyle w:val="FERCparanumber"/>
              <w:numPr>
                <w:ilvl w:val="0"/>
                <w:numId w:val="0"/>
              </w:numPr>
              <w:spacing w:line="240" w:lineRule="auto"/>
              <w:jc w:val="center"/>
            </w:pPr>
            <w:r w:rsidRPr="00DF60C5">
              <w:rPr>
                <w:b/>
              </w:rPr>
              <w:t>(2)</w:t>
            </w:r>
          </w:p>
        </w:tc>
        <w:tc>
          <w:tcPr>
            <w:tcW w:w="1498" w:type="dxa"/>
          </w:tcPr>
          <w:p w:rsidR="0098152D" w:rsidP="006339D0" w14:paraId="6013D72F" w14:textId="217F5999">
            <w:pPr>
              <w:pStyle w:val="FERCparanumber"/>
              <w:numPr>
                <w:ilvl w:val="0"/>
                <w:numId w:val="0"/>
              </w:numPr>
              <w:spacing w:line="240" w:lineRule="auto"/>
              <w:jc w:val="center"/>
            </w:pPr>
            <w:r w:rsidRPr="00DF60C5">
              <w:rPr>
                <w:b/>
              </w:rPr>
              <w:t>Annual Number of Responses (1) * (2</w:t>
            </w:r>
            <w:r>
              <w:rPr>
                <w:b/>
              </w:rPr>
              <w:t>)</w:t>
            </w:r>
            <w:r w:rsidRPr="00DF60C5">
              <w:rPr>
                <w:b/>
              </w:rPr>
              <w:t xml:space="preserve"> =</w:t>
            </w:r>
            <w:r>
              <w:rPr>
                <w:b/>
              </w:rPr>
              <w:t xml:space="preserve"> </w:t>
            </w:r>
            <w:r w:rsidRPr="00DF60C5">
              <w:rPr>
                <w:b/>
              </w:rPr>
              <w:t>(3)</w:t>
            </w:r>
          </w:p>
        </w:tc>
        <w:tc>
          <w:tcPr>
            <w:tcW w:w="1468" w:type="dxa"/>
          </w:tcPr>
          <w:p w:rsidR="0098152D" w:rsidRPr="00DF60C5" w:rsidP="006339D0" w14:paraId="2D9CFF5A" w14:textId="77777777">
            <w:pPr>
              <w:pStyle w:val="FERCparanumber"/>
              <w:numPr>
                <w:ilvl w:val="0"/>
                <w:numId w:val="0"/>
              </w:numPr>
              <w:spacing w:line="240" w:lineRule="auto"/>
              <w:jc w:val="center"/>
              <w:rPr>
                <w:b/>
              </w:rPr>
            </w:pPr>
            <w:r w:rsidRPr="00DF60C5">
              <w:rPr>
                <w:b/>
              </w:rPr>
              <w:t>Average Burden Hours and Cost per Response</w:t>
            </w:r>
          </w:p>
          <w:p w:rsidR="0098152D" w:rsidP="006339D0" w14:paraId="7432FD5D" w14:textId="7AFCDF15">
            <w:pPr>
              <w:pStyle w:val="FERCparanumber"/>
              <w:numPr>
                <w:ilvl w:val="0"/>
                <w:numId w:val="0"/>
              </w:numPr>
              <w:spacing w:line="240" w:lineRule="auto"/>
              <w:jc w:val="center"/>
            </w:pPr>
            <w:r w:rsidRPr="00DF60C5">
              <w:rPr>
                <w:b/>
              </w:rPr>
              <w:t>(4)</w:t>
            </w:r>
          </w:p>
        </w:tc>
        <w:tc>
          <w:tcPr>
            <w:tcW w:w="1863" w:type="dxa"/>
          </w:tcPr>
          <w:p w:rsidR="0098152D" w:rsidP="006339D0" w14:paraId="52071C18" w14:textId="77777777">
            <w:pPr>
              <w:pStyle w:val="FERCparanumber"/>
              <w:numPr>
                <w:ilvl w:val="0"/>
                <w:numId w:val="0"/>
              </w:numPr>
              <w:spacing w:line="240" w:lineRule="auto"/>
              <w:jc w:val="center"/>
              <w:rPr>
                <w:b/>
              </w:rPr>
            </w:pPr>
            <w:r w:rsidRPr="00DF60C5">
              <w:rPr>
                <w:b/>
              </w:rPr>
              <w:t>Total Annual Burden Hours and Cost Reduction</w:t>
            </w:r>
          </w:p>
          <w:p w:rsidR="0098152D" w:rsidP="006339D0" w14:paraId="632ECA13" w14:textId="75CD9B1C">
            <w:pPr>
              <w:pStyle w:val="FERCparanumber"/>
              <w:numPr>
                <w:ilvl w:val="0"/>
                <w:numId w:val="0"/>
              </w:numPr>
              <w:spacing w:line="240" w:lineRule="auto"/>
              <w:jc w:val="center"/>
            </w:pPr>
            <w:r>
              <w:rPr>
                <w:b/>
              </w:rPr>
              <w:t>(3) * (4) = (5)</w:t>
            </w:r>
          </w:p>
        </w:tc>
      </w:tr>
      <w:tr w14:paraId="785511C4" w14:textId="77777777" w:rsidTr="00A81296">
        <w:tblPrEx>
          <w:tblW w:w="10170" w:type="dxa"/>
          <w:tblInd w:w="-455" w:type="dxa"/>
          <w:tblLook w:val="04A0"/>
        </w:tblPrEx>
        <w:tc>
          <w:tcPr>
            <w:tcW w:w="2159" w:type="dxa"/>
          </w:tcPr>
          <w:p w:rsidR="006A4951" w:rsidRPr="0055294C" w:rsidP="006A4951" w14:paraId="68D66446" w14:textId="1F8E5110">
            <w:pPr>
              <w:pStyle w:val="FERCparanumber"/>
              <w:numPr>
                <w:ilvl w:val="0"/>
                <w:numId w:val="0"/>
              </w:numPr>
              <w:spacing w:line="240" w:lineRule="auto"/>
              <w:rPr>
                <w:bCs/>
                <w:szCs w:val="26"/>
              </w:rPr>
            </w:pPr>
            <w:r w:rsidRPr="0055294C">
              <w:rPr>
                <w:bCs/>
                <w:szCs w:val="26"/>
              </w:rPr>
              <w:t>TOP - Retired</w:t>
            </w:r>
          </w:p>
        </w:tc>
        <w:tc>
          <w:tcPr>
            <w:tcW w:w="1632" w:type="dxa"/>
            <w:vAlign w:val="bottom"/>
          </w:tcPr>
          <w:p w:rsidR="006A4951" w:rsidRPr="0055294C" w:rsidP="00A81296" w14:paraId="03D1C832" w14:textId="31C8A54F">
            <w:pPr>
              <w:pStyle w:val="FERCparanumber"/>
              <w:numPr>
                <w:ilvl w:val="0"/>
                <w:numId w:val="0"/>
              </w:numPr>
              <w:spacing w:line="240" w:lineRule="auto"/>
              <w:jc w:val="right"/>
              <w:rPr>
                <w:szCs w:val="26"/>
              </w:rPr>
            </w:pPr>
            <w:r w:rsidRPr="0055294C">
              <w:rPr>
                <w:szCs w:val="26"/>
              </w:rPr>
              <w:t>165</w:t>
            </w:r>
          </w:p>
        </w:tc>
        <w:tc>
          <w:tcPr>
            <w:tcW w:w="1550" w:type="dxa"/>
            <w:vAlign w:val="bottom"/>
          </w:tcPr>
          <w:p w:rsidR="006A4951" w:rsidRPr="0055294C" w:rsidP="00A81296" w14:paraId="21F9D5D2" w14:textId="797AA103">
            <w:pPr>
              <w:pStyle w:val="FERCparanumber"/>
              <w:numPr>
                <w:ilvl w:val="0"/>
                <w:numId w:val="0"/>
              </w:numPr>
              <w:spacing w:line="240" w:lineRule="auto"/>
              <w:jc w:val="right"/>
              <w:rPr>
                <w:szCs w:val="26"/>
              </w:rPr>
            </w:pPr>
            <w:r w:rsidRPr="0055294C">
              <w:rPr>
                <w:szCs w:val="26"/>
              </w:rPr>
              <w:t>1</w:t>
            </w:r>
          </w:p>
        </w:tc>
        <w:tc>
          <w:tcPr>
            <w:tcW w:w="1498" w:type="dxa"/>
            <w:vAlign w:val="bottom"/>
          </w:tcPr>
          <w:p w:rsidR="006A4951" w:rsidRPr="0055294C" w:rsidP="00A81296" w14:paraId="088CA0D9" w14:textId="707FDDB5">
            <w:pPr>
              <w:pStyle w:val="FERCparanumber"/>
              <w:numPr>
                <w:ilvl w:val="0"/>
                <w:numId w:val="0"/>
              </w:numPr>
              <w:spacing w:line="240" w:lineRule="auto"/>
              <w:jc w:val="right"/>
              <w:rPr>
                <w:szCs w:val="26"/>
              </w:rPr>
            </w:pPr>
            <w:r w:rsidRPr="0055294C">
              <w:rPr>
                <w:szCs w:val="26"/>
              </w:rPr>
              <w:t>165</w:t>
            </w:r>
          </w:p>
        </w:tc>
        <w:tc>
          <w:tcPr>
            <w:tcW w:w="1468" w:type="dxa"/>
            <w:vAlign w:val="bottom"/>
          </w:tcPr>
          <w:p w:rsidR="006A4951" w:rsidRPr="0055294C" w:rsidP="00A81296" w14:paraId="74695F10" w14:textId="77777777">
            <w:pPr>
              <w:spacing w:after="12" w:line="259" w:lineRule="auto"/>
              <w:ind w:right="23"/>
              <w:jc w:val="right"/>
              <w:rPr>
                <w:rFonts w:ascii="Times New Roman" w:hAnsi="Times New Roman" w:cs="Times New Roman"/>
                <w:sz w:val="26"/>
                <w:szCs w:val="26"/>
              </w:rPr>
            </w:pPr>
            <w:r w:rsidRPr="0055294C">
              <w:rPr>
                <w:rFonts w:ascii="Times New Roman" w:hAnsi="Times New Roman" w:cs="Times New Roman"/>
                <w:sz w:val="26"/>
                <w:szCs w:val="26"/>
              </w:rPr>
              <w:t>60 hrs.;</w:t>
            </w:r>
          </w:p>
          <w:p w:rsidR="006A4951" w:rsidRPr="0055294C" w:rsidP="00A81296" w14:paraId="16036A38" w14:textId="0295894A">
            <w:pPr>
              <w:pStyle w:val="FERCparanumber"/>
              <w:numPr>
                <w:ilvl w:val="0"/>
                <w:numId w:val="0"/>
              </w:numPr>
              <w:spacing w:line="240" w:lineRule="auto"/>
              <w:jc w:val="right"/>
              <w:rPr>
                <w:szCs w:val="26"/>
              </w:rPr>
            </w:pPr>
            <w:r w:rsidRPr="0055294C">
              <w:rPr>
                <w:szCs w:val="26"/>
              </w:rPr>
              <w:t>$</w:t>
            </w:r>
            <w:r w:rsidRPr="00653239" w:rsidR="00CE7EC8">
              <w:rPr>
                <w:szCs w:val="26"/>
              </w:rPr>
              <w:t>4,071.6</w:t>
            </w:r>
            <w:r w:rsidR="00CE7EC8">
              <w:rPr>
                <w:szCs w:val="26"/>
              </w:rPr>
              <w:t>0</w:t>
            </w:r>
          </w:p>
        </w:tc>
        <w:tc>
          <w:tcPr>
            <w:tcW w:w="1863" w:type="dxa"/>
            <w:vAlign w:val="bottom"/>
          </w:tcPr>
          <w:p w:rsidR="006A4951" w:rsidRPr="0055294C" w:rsidP="00A81296" w14:paraId="1C0EA177" w14:textId="45CCB66C">
            <w:pPr>
              <w:pStyle w:val="FERCparanumber"/>
              <w:numPr>
                <w:ilvl w:val="0"/>
                <w:numId w:val="0"/>
              </w:numPr>
              <w:spacing w:line="240" w:lineRule="auto"/>
              <w:jc w:val="right"/>
              <w:rPr>
                <w:szCs w:val="26"/>
              </w:rPr>
            </w:pPr>
            <w:r w:rsidRPr="0055294C">
              <w:rPr>
                <w:szCs w:val="26"/>
              </w:rPr>
              <w:t>9,900 hrs.; $</w:t>
            </w:r>
            <w:r w:rsidRPr="00C314B4" w:rsidR="00C314B4">
              <w:rPr>
                <w:szCs w:val="26"/>
              </w:rPr>
              <w:t>671,814</w:t>
            </w:r>
          </w:p>
        </w:tc>
      </w:tr>
      <w:tr w14:paraId="510F5B26" w14:textId="77777777" w:rsidTr="00A81296">
        <w:tblPrEx>
          <w:tblW w:w="10170" w:type="dxa"/>
          <w:tblInd w:w="-455" w:type="dxa"/>
          <w:tblLook w:val="04A0"/>
        </w:tblPrEx>
        <w:tc>
          <w:tcPr>
            <w:tcW w:w="2159" w:type="dxa"/>
          </w:tcPr>
          <w:p w:rsidR="005317BD" w:rsidRPr="00763A41" w:rsidP="005317BD" w14:paraId="2F1A9F62" w14:textId="77777777">
            <w:pPr>
              <w:spacing w:line="259" w:lineRule="auto"/>
              <w:rPr>
                <w:b/>
                <w:sz w:val="26"/>
                <w:szCs w:val="26"/>
              </w:rPr>
            </w:pPr>
            <w:r w:rsidRPr="00763A41">
              <w:rPr>
                <w:rFonts w:ascii="Times New Roman" w:eastAsia="Times New Roman" w:hAnsi="Times New Roman" w:cs="Times New Roman"/>
                <w:b/>
                <w:sz w:val="26"/>
                <w:szCs w:val="26"/>
              </w:rPr>
              <w:t xml:space="preserve">FERC-725A for </w:t>
            </w:r>
          </w:p>
          <w:p w:rsidR="005317BD" w:rsidRPr="0055294C" w:rsidP="00763A41" w14:paraId="72978D9A" w14:textId="16F8DA24">
            <w:pPr>
              <w:spacing w:line="259" w:lineRule="auto"/>
              <w:rPr>
                <w:bCs/>
                <w:szCs w:val="26"/>
              </w:rPr>
            </w:pPr>
            <w:r w:rsidRPr="00763A41">
              <w:rPr>
                <w:rFonts w:ascii="Times New Roman" w:eastAsia="Times New Roman" w:hAnsi="Times New Roman" w:cs="Times New Roman"/>
                <w:b/>
                <w:sz w:val="26"/>
                <w:szCs w:val="26"/>
              </w:rPr>
              <w:t xml:space="preserve">MOD-008-1 Total </w:t>
            </w:r>
            <w:r w:rsidRPr="00F9588F">
              <w:rPr>
                <w:rFonts w:ascii="Times New Roman" w:hAnsi="Times New Roman"/>
                <w:b/>
                <w:sz w:val="26"/>
                <w:szCs w:val="26"/>
              </w:rPr>
              <w:t>Retired</w:t>
            </w:r>
          </w:p>
        </w:tc>
        <w:tc>
          <w:tcPr>
            <w:tcW w:w="1632" w:type="dxa"/>
            <w:vAlign w:val="bottom"/>
          </w:tcPr>
          <w:p w:rsidR="005317BD" w:rsidP="005317BD" w14:paraId="3B204176" w14:textId="77777777">
            <w:pPr>
              <w:pStyle w:val="FERCparanumber"/>
              <w:numPr>
                <w:ilvl w:val="0"/>
                <w:numId w:val="0"/>
              </w:numPr>
              <w:spacing w:line="240" w:lineRule="auto"/>
              <w:jc w:val="right"/>
            </w:pPr>
          </w:p>
        </w:tc>
        <w:tc>
          <w:tcPr>
            <w:tcW w:w="1550" w:type="dxa"/>
            <w:vAlign w:val="bottom"/>
          </w:tcPr>
          <w:p w:rsidR="005317BD" w:rsidRPr="00A81296" w:rsidP="005317BD" w14:paraId="5F7C10BA" w14:textId="081A9A5E">
            <w:pPr>
              <w:pStyle w:val="FERCparanumber"/>
              <w:numPr>
                <w:ilvl w:val="0"/>
                <w:numId w:val="0"/>
              </w:numPr>
              <w:spacing w:line="240" w:lineRule="auto"/>
              <w:jc w:val="right"/>
              <w:rPr>
                <w:b/>
              </w:rPr>
            </w:pPr>
          </w:p>
        </w:tc>
        <w:tc>
          <w:tcPr>
            <w:tcW w:w="1498" w:type="dxa"/>
            <w:vAlign w:val="bottom"/>
          </w:tcPr>
          <w:p w:rsidR="005317BD" w:rsidP="005317BD" w14:paraId="359A86A3" w14:textId="77777777">
            <w:pPr>
              <w:pStyle w:val="FERCparanumber"/>
              <w:numPr>
                <w:ilvl w:val="0"/>
                <w:numId w:val="0"/>
              </w:numPr>
              <w:spacing w:line="240" w:lineRule="auto"/>
              <w:jc w:val="right"/>
            </w:pPr>
          </w:p>
        </w:tc>
        <w:tc>
          <w:tcPr>
            <w:tcW w:w="1468" w:type="dxa"/>
            <w:vAlign w:val="bottom"/>
          </w:tcPr>
          <w:p w:rsidR="005317BD" w:rsidP="005317BD" w14:paraId="042BF79B" w14:textId="77777777">
            <w:pPr>
              <w:pStyle w:val="FERCparanumber"/>
              <w:numPr>
                <w:ilvl w:val="0"/>
                <w:numId w:val="0"/>
              </w:numPr>
              <w:spacing w:line="240" w:lineRule="auto"/>
              <w:jc w:val="right"/>
            </w:pPr>
          </w:p>
        </w:tc>
        <w:tc>
          <w:tcPr>
            <w:tcW w:w="1863" w:type="dxa"/>
            <w:vAlign w:val="bottom"/>
          </w:tcPr>
          <w:p w:rsidR="00BC266B" w:rsidRPr="0055294C" w:rsidP="005317BD" w14:paraId="227D99ED" w14:textId="77777777">
            <w:pPr>
              <w:pStyle w:val="FERCparanumber"/>
              <w:numPr>
                <w:ilvl w:val="0"/>
                <w:numId w:val="0"/>
              </w:numPr>
              <w:spacing w:line="240" w:lineRule="auto"/>
              <w:jc w:val="right"/>
              <w:rPr>
                <w:b/>
                <w:szCs w:val="26"/>
              </w:rPr>
            </w:pPr>
            <w:r w:rsidRPr="0055294C">
              <w:rPr>
                <w:b/>
                <w:szCs w:val="26"/>
              </w:rPr>
              <w:t>9,900 hrs.;</w:t>
            </w:r>
          </w:p>
          <w:p w:rsidR="005317BD" w:rsidP="005317BD" w14:paraId="25C6A75D" w14:textId="31CFE2A8">
            <w:pPr>
              <w:pStyle w:val="FERCparanumber"/>
              <w:numPr>
                <w:ilvl w:val="0"/>
                <w:numId w:val="0"/>
              </w:numPr>
              <w:spacing w:line="240" w:lineRule="auto"/>
              <w:jc w:val="right"/>
            </w:pPr>
            <w:r w:rsidRPr="0055294C">
              <w:rPr>
                <w:b/>
                <w:szCs w:val="26"/>
              </w:rPr>
              <w:t>$</w:t>
            </w:r>
            <w:r w:rsidRPr="00C314B4" w:rsidR="00C314B4">
              <w:rPr>
                <w:b/>
                <w:szCs w:val="26"/>
              </w:rPr>
              <w:t>671,814</w:t>
            </w:r>
          </w:p>
        </w:tc>
      </w:tr>
    </w:tbl>
    <w:p w:rsidR="0098152D" w:rsidRPr="002F5621" w:rsidP="0098152D" w14:paraId="7DFFE699" w14:textId="77777777">
      <w:pPr>
        <w:pStyle w:val="FERCparanumber"/>
        <w:numPr>
          <w:ilvl w:val="0"/>
          <w:numId w:val="0"/>
        </w:numPr>
        <w:spacing w:line="240" w:lineRule="auto"/>
      </w:pPr>
    </w:p>
    <w:p w:rsidR="001B5333" w:rsidRPr="0093047B" w:rsidP="00916824" w14:paraId="23EB03E4" w14:textId="6F655BEF">
      <w:pPr>
        <w:pStyle w:val="FERCparanumber"/>
        <w:numPr>
          <w:ilvl w:val="0"/>
          <w:numId w:val="0"/>
        </w:numPr>
        <w:spacing w:line="240" w:lineRule="auto"/>
        <w:jc w:val="center"/>
        <w:rPr>
          <w:bCs/>
        </w:rPr>
      </w:pPr>
      <w:r>
        <w:t>Table 12-4</w:t>
      </w:r>
    </w:p>
    <w:p w:rsidR="00A81296" w:rsidP="00916824" w14:paraId="522D1744" w14:textId="54158466">
      <w:pPr>
        <w:pStyle w:val="FERCparanumber"/>
        <w:numPr>
          <w:ilvl w:val="0"/>
          <w:numId w:val="0"/>
        </w:numPr>
        <w:spacing w:line="240" w:lineRule="auto"/>
        <w:jc w:val="center"/>
        <w:rPr>
          <w:bCs/>
        </w:rPr>
      </w:pPr>
      <w:r w:rsidRPr="0093047B">
        <w:rPr>
          <w:bCs/>
        </w:rPr>
        <w:t>MOD-028-2 – Area Interchange Methodology (Burden Reduction)</w:t>
      </w:r>
    </w:p>
    <w:p w:rsidR="00630606" w:rsidP="00630606" w14:paraId="5A9AC4A5" w14:textId="214EE27F">
      <w:pPr>
        <w:pStyle w:val="FERCparanumber"/>
        <w:numPr>
          <w:ilvl w:val="0"/>
          <w:numId w:val="0"/>
        </w:numPr>
        <w:spacing w:line="240" w:lineRule="auto"/>
        <w:rPr>
          <w:bCs/>
        </w:rPr>
      </w:pPr>
    </w:p>
    <w:tbl>
      <w:tblPr>
        <w:tblStyle w:val="TableGrid"/>
        <w:tblW w:w="10287" w:type="dxa"/>
        <w:tblInd w:w="-545" w:type="dxa"/>
        <w:tblLook w:val="04A0"/>
      </w:tblPr>
      <w:tblGrid>
        <w:gridCol w:w="2227"/>
        <w:gridCol w:w="1632"/>
        <w:gridCol w:w="1616"/>
        <w:gridCol w:w="1358"/>
        <w:gridCol w:w="1275"/>
        <w:gridCol w:w="2179"/>
      </w:tblGrid>
      <w:tr w14:paraId="2B45162F" w14:textId="77777777" w:rsidTr="00E32E13">
        <w:tblPrEx>
          <w:tblW w:w="10287" w:type="dxa"/>
          <w:tblInd w:w="-545" w:type="dxa"/>
          <w:tblLook w:val="04A0"/>
        </w:tblPrEx>
        <w:trPr>
          <w:tblHeader/>
        </w:trPr>
        <w:tc>
          <w:tcPr>
            <w:tcW w:w="2227" w:type="dxa"/>
          </w:tcPr>
          <w:p w:rsidR="00E32E13" w:rsidP="00F449B8" w14:paraId="22F218FB" w14:textId="197934BC">
            <w:pPr>
              <w:pStyle w:val="FERCparanumber"/>
              <w:numPr>
                <w:ilvl w:val="0"/>
                <w:numId w:val="0"/>
              </w:numPr>
              <w:spacing w:line="240" w:lineRule="auto"/>
              <w:jc w:val="center"/>
              <w:rPr>
                <w:bCs/>
              </w:rPr>
            </w:pPr>
            <w:r w:rsidRPr="00DF60C5">
              <w:rPr>
                <w:b/>
              </w:rPr>
              <w:t>Applicable Entity (Respondent)</w:t>
            </w:r>
          </w:p>
        </w:tc>
        <w:tc>
          <w:tcPr>
            <w:tcW w:w="1632" w:type="dxa"/>
          </w:tcPr>
          <w:p w:rsidR="00E32E13" w:rsidRPr="00DF60C5" w:rsidP="00F449B8" w14:paraId="59E8D5AE" w14:textId="77777777">
            <w:pPr>
              <w:pStyle w:val="FERCparanumber"/>
              <w:numPr>
                <w:ilvl w:val="0"/>
                <w:numId w:val="0"/>
              </w:numPr>
              <w:spacing w:line="240" w:lineRule="auto"/>
              <w:jc w:val="center"/>
              <w:rPr>
                <w:b/>
              </w:rPr>
            </w:pPr>
            <w:r w:rsidRPr="00DF60C5">
              <w:rPr>
                <w:b/>
              </w:rPr>
              <w:t>Number of Respondents</w:t>
            </w:r>
          </w:p>
          <w:p w:rsidR="00E32E13" w:rsidP="00F449B8" w14:paraId="3CB50B5B" w14:textId="545A55B1">
            <w:pPr>
              <w:pStyle w:val="FERCparanumber"/>
              <w:numPr>
                <w:ilvl w:val="0"/>
                <w:numId w:val="0"/>
              </w:numPr>
              <w:spacing w:line="240" w:lineRule="auto"/>
              <w:jc w:val="center"/>
              <w:rPr>
                <w:bCs/>
              </w:rPr>
            </w:pPr>
            <w:r w:rsidRPr="00DF60C5">
              <w:rPr>
                <w:b/>
              </w:rPr>
              <w:t>(1)</w:t>
            </w:r>
          </w:p>
        </w:tc>
        <w:tc>
          <w:tcPr>
            <w:tcW w:w="1616" w:type="dxa"/>
          </w:tcPr>
          <w:p w:rsidR="00E32E13" w:rsidRPr="00DF60C5" w:rsidP="00F449B8" w14:paraId="28964D34" w14:textId="77777777">
            <w:pPr>
              <w:pStyle w:val="FERCparanumber"/>
              <w:numPr>
                <w:ilvl w:val="0"/>
                <w:numId w:val="0"/>
              </w:numPr>
              <w:spacing w:line="240" w:lineRule="auto"/>
              <w:jc w:val="center"/>
              <w:rPr>
                <w:b/>
              </w:rPr>
            </w:pPr>
            <w:r w:rsidRPr="00DF60C5">
              <w:rPr>
                <w:b/>
              </w:rPr>
              <w:t>Annual Number of Responses per Respondent</w:t>
            </w:r>
          </w:p>
          <w:p w:rsidR="00E32E13" w:rsidP="00F449B8" w14:paraId="0881886A" w14:textId="291C9EEE">
            <w:pPr>
              <w:pStyle w:val="FERCparanumber"/>
              <w:numPr>
                <w:ilvl w:val="0"/>
                <w:numId w:val="0"/>
              </w:numPr>
              <w:spacing w:line="240" w:lineRule="auto"/>
              <w:jc w:val="center"/>
              <w:rPr>
                <w:bCs/>
              </w:rPr>
            </w:pPr>
            <w:r w:rsidRPr="00DF60C5">
              <w:rPr>
                <w:b/>
              </w:rPr>
              <w:t>(2)</w:t>
            </w:r>
          </w:p>
        </w:tc>
        <w:tc>
          <w:tcPr>
            <w:tcW w:w="1358" w:type="dxa"/>
          </w:tcPr>
          <w:p w:rsidR="00E32E13" w:rsidP="00F449B8" w14:paraId="6C5B02A0" w14:textId="4A09DE89">
            <w:pPr>
              <w:pStyle w:val="FERCparanumber"/>
              <w:numPr>
                <w:ilvl w:val="0"/>
                <w:numId w:val="0"/>
              </w:numPr>
              <w:spacing w:line="240" w:lineRule="auto"/>
              <w:jc w:val="center"/>
              <w:rPr>
                <w:bCs/>
              </w:rPr>
            </w:pPr>
            <w:r w:rsidRPr="00DF60C5">
              <w:rPr>
                <w:b/>
              </w:rPr>
              <w:t>Annual Number of Responses (1) * (2</w:t>
            </w:r>
            <w:r>
              <w:rPr>
                <w:b/>
              </w:rPr>
              <w:t>)</w:t>
            </w:r>
            <w:r w:rsidRPr="00DF60C5">
              <w:rPr>
                <w:b/>
              </w:rPr>
              <w:t xml:space="preserve"> =</w:t>
            </w:r>
            <w:r>
              <w:rPr>
                <w:b/>
              </w:rPr>
              <w:t xml:space="preserve"> </w:t>
            </w:r>
            <w:r w:rsidRPr="00DF60C5">
              <w:rPr>
                <w:b/>
              </w:rPr>
              <w:t>(3)</w:t>
            </w:r>
          </w:p>
        </w:tc>
        <w:tc>
          <w:tcPr>
            <w:tcW w:w="1275" w:type="dxa"/>
          </w:tcPr>
          <w:p w:rsidR="00E32E13" w:rsidRPr="00DF60C5" w:rsidP="00F449B8" w14:paraId="77AB11F2" w14:textId="77777777">
            <w:pPr>
              <w:pStyle w:val="FERCparanumber"/>
              <w:numPr>
                <w:ilvl w:val="0"/>
                <w:numId w:val="0"/>
              </w:numPr>
              <w:spacing w:line="240" w:lineRule="auto"/>
              <w:jc w:val="center"/>
              <w:rPr>
                <w:b/>
              </w:rPr>
            </w:pPr>
            <w:r w:rsidRPr="00DF60C5">
              <w:rPr>
                <w:b/>
              </w:rPr>
              <w:t>Average Burden Hours and Cost per Response</w:t>
            </w:r>
          </w:p>
          <w:p w:rsidR="00E32E13" w:rsidP="00F449B8" w14:paraId="7A80B632" w14:textId="78DC6B7E">
            <w:pPr>
              <w:pStyle w:val="FERCparanumber"/>
              <w:numPr>
                <w:ilvl w:val="0"/>
                <w:numId w:val="0"/>
              </w:numPr>
              <w:spacing w:line="240" w:lineRule="auto"/>
              <w:jc w:val="center"/>
              <w:rPr>
                <w:bCs/>
              </w:rPr>
            </w:pPr>
            <w:r w:rsidRPr="00DF60C5">
              <w:rPr>
                <w:b/>
              </w:rPr>
              <w:t>(4)</w:t>
            </w:r>
          </w:p>
        </w:tc>
        <w:tc>
          <w:tcPr>
            <w:tcW w:w="2179" w:type="dxa"/>
          </w:tcPr>
          <w:p w:rsidR="00E32E13" w:rsidP="00F449B8" w14:paraId="3B14C745" w14:textId="77777777">
            <w:pPr>
              <w:pStyle w:val="FERCparanumber"/>
              <w:numPr>
                <w:ilvl w:val="0"/>
                <w:numId w:val="0"/>
              </w:numPr>
              <w:spacing w:line="240" w:lineRule="auto"/>
              <w:jc w:val="center"/>
              <w:rPr>
                <w:b/>
              </w:rPr>
            </w:pPr>
            <w:r w:rsidRPr="00DF60C5">
              <w:rPr>
                <w:b/>
              </w:rPr>
              <w:t>Total Annual Burden Hours and Cost Reduction</w:t>
            </w:r>
          </w:p>
          <w:p w:rsidR="00E32E13" w:rsidP="00F449B8" w14:paraId="36DAA8F5" w14:textId="272D7DB5">
            <w:pPr>
              <w:pStyle w:val="FERCparanumber"/>
              <w:numPr>
                <w:ilvl w:val="0"/>
                <w:numId w:val="0"/>
              </w:numPr>
              <w:spacing w:line="240" w:lineRule="auto"/>
              <w:jc w:val="center"/>
              <w:rPr>
                <w:bCs/>
              </w:rPr>
            </w:pPr>
            <w:r>
              <w:rPr>
                <w:b/>
              </w:rPr>
              <w:t>(3) * (4) = (5)</w:t>
            </w:r>
          </w:p>
        </w:tc>
      </w:tr>
      <w:tr w14:paraId="5C3836D1" w14:textId="3AA25094" w:rsidTr="00E32E13">
        <w:tblPrEx>
          <w:tblW w:w="10287" w:type="dxa"/>
          <w:tblInd w:w="-545" w:type="dxa"/>
          <w:tblLook w:val="04A0"/>
        </w:tblPrEx>
        <w:trPr>
          <w:cantSplit/>
        </w:trPr>
        <w:tc>
          <w:tcPr>
            <w:tcW w:w="2227" w:type="dxa"/>
          </w:tcPr>
          <w:p w:rsidR="00E32E13" w:rsidRPr="0055294C" w:rsidP="00B1520D" w14:paraId="1470C58B" w14:textId="35016E2B">
            <w:pPr>
              <w:pStyle w:val="FERCparanumber"/>
              <w:numPr>
                <w:ilvl w:val="0"/>
                <w:numId w:val="0"/>
              </w:numPr>
              <w:spacing w:line="240" w:lineRule="auto"/>
              <w:rPr>
                <w:bCs/>
                <w:szCs w:val="26"/>
              </w:rPr>
            </w:pPr>
            <w:r w:rsidRPr="0055294C">
              <w:rPr>
                <w:bCs/>
                <w:szCs w:val="26"/>
              </w:rPr>
              <w:t>TOP – Retired</w:t>
            </w:r>
          </w:p>
        </w:tc>
        <w:tc>
          <w:tcPr>
            <w:tcW w:w="1632" w:type="dxa"/>
          </w:tcPr>
          <w:p w:rsidR="00E32E13" w:rsidRPr="0055294C" w:rsidP="00B1520D" w14:paraId="45572F60" w14:textId="12EC2FC8">
            <w:pPr>
              <w:pStyle w:val="FERCparanumber"/>
              <w:numPr>
                <w:ilvl w:val="0"/>
                <w:numId w:val="0"/>
              </w:numPr>
              <w:spacing w:line="240" w:lineRule="auto"/>
              <w:rPr>
                <w:bCs/>
                <w:szCs w:val="26"/>
              </w:rPr>
            </w:pPr>
            <w:r w:rsidRPr="0055294C">
              <w:rPr>
                <w:szCs w:val="26"/>
              </w:rPr>
              <w:t>165</w:t>
            </w:r>
          </w:p>
        </w:tc>
        <w:tc>
          <w:tcPr>
            <w:tcW w:w="1616" w:type="dxa"/>
          </w:tcPr>
          <w:p w:rsidR="00E32E13" w:rsidRPr="0055294C" w:rsidP="00B1520D" w14:paraId="3CC15376" w14:textId="09F1BC10">
            <w:pPr>
              <w:pStyle w:val="FERCparanumber"/>
              <w:numPr>
                <w:ilvl w:val="0"/>
                <w:numId w:val="0"/>
              </w:numPr>
              <w:spacing w:line="240" w:lineRule="auto"/>
              <w:rPr>
                <w:bCs/>
                <w:szCs w:val="26"/>
              </w:rPr>
            </w:pPr>
            <w:r w:rsidRPr="0055294C">
              <w:rPr>
                <w:szCs w:val="26"/>
              </w:rPr>
              <w:t>1</w:t>
            </w:r>
          </w:p>
        </w:tc>
        <w:tc>
          <w:tcPr>
            <w:tcW w:w="1358" w:type="dxa"/>
          </w:tcPr>
          <w:p w:rsidR="00E32E13" w:rsidRPr="0055294C" w:rsidP="00B1520D" w14:paraId="5FABAAAF" w14:textId="19C87254">
            <w:pPr>
              <w:pStyle w:val="FERCparanumber"/>
              <w:numPr>
                <w:ilvl w:val="0"/>
                <w:numId w:val="0"/>
              </w:numPr>
              <w:spacing w:line="240" w:lineRule="auto"/>
              <w:rPr>
                <w:bCs/>
                <w:szCs w:val="26"/>
              </w:rPr>
            </w:pPr>
            <w:r w:rsidRPr="0055294C">
              <w:rPr>
                <w:szCs w:val="26"/>
              </w:rPr>
              <w:t>165</w:t>
            </w:r>
          </w:p>
        </w:tc>
        <w:tc>
          <w:tcPr>
            <w:tcW w:w="1275" w:type="dxa"/>
          </w:tcPr>
          <w:p w:rsidR="00E32E13" w:rsidRPr="0055294C" w:rsidP="00B1520D" w14:paraId="39D6C30D" w14:textId="77777777">
            <w:pPr>
              <w:spacing w:after="12" w:line="259" w:lineRule="auto"/>
              <w:ind w:right="50"/>
              <w:jc w:val="right"/>
              <w:rPr>
                <w:rFonts w:ascii="Times New Roman" w:hAnsi="Times New Roman" w:cs="Times New Roman"/>
                <w:sz w:val="26"/>
                <w:szCs w:val="26"/>
              </w:rPr>
            </w:pPr>
            <w:r w:rsidRPr="0055294C">
              <w:rPr>
                <w:rFonts w:ascii="Times New Roman" w:hAnsi="Times New Roman" w:cs="Times New Roman"/>
                <w:sz w:val="26"/>
                <w:szCs w:val="26"/>
              </w:rPr>
              <w:t>60 hrs.;</w:t>
            </w:r>
          </w:p>
          <w:p w:rsidR="00E32E13" w:rsidRPr="0055294C" w:rsidP="00B1520D" w14:paraId="57BFED17" w14:textId="57C6E3B1">
            <w:pPr>
              <w:pStyle w:val="FERCparanumber"/>
              <w:numPr>
                <w:ilvl w:val="0"/>
                <w:numId w:val="0"/>
              </w:numPr>
              <w:spacing w:line="240" w:lineRule="auto"/>
              <w:rPr>
                <w:bCs/>
                <w:szCs w:val="26"/>
              </w:rPr>
            </w:pPr>
            <w:r w:rsidRPr="0055294C">
              <w:rPr>
                <w:szCs w:val="26"/>
              </w:rPr>
              <w:t>$</w:t>
            </w:r>
            <w:r w:rsidRPr="00653239" w:rsidR="00C314B4">
              <w:rPr>
                <w:szCs w:val="26"/>
              </w:rPr>
              <w:t>4,071.6</w:t>
            </w:r>
            <w:r w:rsidR="00C314B4">
              <w:rPr>
                <w:szCs w:val="26"/>
              </w:rPr>
              <w:t>0</w:t>
            </w:r>
          </w:p>
        </w:tc>
        <w:tc>
          <w:tcPr>
            <w:tcW w:w="2179" w:type="dxa"/>
          </w:tcPr>
          <w:p w:rsidR="00E32E13" w:rsidRPr="0055294C" w:rsidP="00B1520D" w14:paraId="78F76C4F" w14:textId="3511F6CE">
            <w:pPr>
              <w:pStyle w:val="FERCparanumber"/>
              <w:numPr>
                <w:ilvl w:val="0"/>
                <w:numId w:val="0"/>
              </w:numPr>
              <w:spacing w:line="240" w:lineRule="auto"/>
              <w:rPr>
                <w:bCs/>
                <w:szCs w:val="26"/>
              </w:rPr>
            </w:pPr>
            <w:r w:rsidRPr="0055294C">
              <w:rPr>
                <w:szCs w:val="26"/>
              </w:rPr>
              <w:t>9,900 hrs.; $</w:t>
            </w:r>
            <w:r w:rsidRPr="00C314B4" w:rsidR="00C314B4">
              <w:rPr>
                <w:szCs w:val="26"/>
              </w:rPr>
              <w:t>671,814</w:t>
            </w:r>
          </w:p>
        </w:tc>
      </w:tr>
      <w:tr w14:paraId="0FAB72A3" w14:textId="0D422878" w:rsidTr="00E32E13">
        <w:tblPrEx>
          <w:tblW w:w="10287" w:type="dxa"/>
          <w:tblInd w:w="-545" w:type="dxa"/>
          <w:tblLook w:val="04A0"/>
        </w:tblPrEx>
        <w:trPr>
          <w:cantSplit/>
        </w:trPr>
        <w:tc>
          <w:tcPr>
            <w:tcW w:w="2227" w:type="dxa"/>
          </w:tcPr>
          <w:p w:rsidR="00E32E13" w:rsidRPr="0055294C" w:rsidP="00B1520D" w14:paraId="739BE8B5" w14:textId="1ECA7B22">
            <w:pPr>
              <w:pStyle w:val="FERCparanumber"/>
              <w:numPr>
                <w:ilvl w:val="0"/>
                <w:numId w:val="0"/>
              </w:numPr>
              <w:spacing w:line="240" w:lineRule="auto"/>
              <w:rPr>
                <w:bCs/>
                <w:szCs w:val="26"/>
              </w:rPr>
            </w:pPr>
            <w:r w:rsidRPr="0055294C">
              <w:rPr>
                <w:bCs/>
                <w:szCs w:val="26"/>
              </w:rPr>
              <w:t>TSP – Retired</w:t>
            </w:r>
          </w:p>
        </w:tc>
        <w:tc>
          <w:tcPr>
            <w:tcW w:w="1632" w:type="dxa"/>
          </w:tcPr>
          <w:p w:rsidR="00E32E13" w:rsidRPr="0055294C" w:rsidP="00B1520D" w14:paraId="3F3B6077" w14:textId="58E27B80">
            <w:pPr>
              <w:pStyle w:val="FERCparanumber"/>
              <w:numPr>
                <w:ilvl w:val="0"/>
                <w:numId w:val="0"/>
              </w:numPr>
              <w:spacing w:line="240" w:lineRule="auto"/>
              <w:rPr>
                <w:bCs/>
                <w:szCs w:val="26"/>
              </w:rPr>
            </w:pPr>
            <w:r w:rsidRPr="0055294C">
              <w:rPr>
                <w:szCs w:val="26"/>
              </w:rPr>
              <w:t>71</w:t>
            </w:r>
          </w:p>
        </w:tc>
        <w:tc>
          <w:tcPr>
            <w:tcW w:w="1616" w:type="dxa"/>
          </w:tcPr>
          <w:p w:rsidR="00E32E13" w:rsidRPr="0055294C" w:rsidP="00B1520D" w14:paraId="63F080AE" w14:textId="03A8C787">
            <w:pPr>
              <w:pStyle w:val="FERCparanumber"/>
              <w:numPr>
                <w:ilvl w:val="0"/>
                <w:numId w:val="0"/>
              </w:numPr>
              <w:spacing w:line="240" w:lineRule="auto"/>
              <w:rPr>
                <w:bCs/>
                <w:szCs w:val="26"/>
              </w:rPr>
            </w:pPr>
            <w:r w:rsidRPr="0055294C">
              <w:rPr>
                <w:szCs w:val="26"/>
              </w:rPr>
              <w:t>1</w:t>
            </w:r>
          </w:p>
        </w:tc>
        <w:tc>
          <w:tcPr>
            <w:tcW w:w="1358" w:type="dxa"/>
          </w:tcPr>
          <w:p w:rsidR="00E32E13" w:rsidRPr="0055294C" w:rsidP="00B1520D" w14:paraId="1C85900B" w14:textId="7CFB3A57">
            <w:pPr>
              <w:pStyle w:val="FERCparanumber"/>
              <w:numPr>
                <w:ilvl w:val="0"/>
                <w:numId w:val="0"/>
              </w:numPr>
              <w:spacing w:line="240" w:lineRule="auto"/>
              <w:rPr>
                <w:bCs/>
                <w:szCs w:val="26"/>
              </w:rPr>
            </w:pPr>
            <w:r w:rsidRPr="0055294C">
              <w:rPr>
                <w:szCs w:val="26"/>
              </w:rPr>
              <w:t>71</w:t>
            </w:r>
          </w:p>
        </w:tc>
        <w:tc>
          <w:tcPr>
            <w:tcW w:w="1275" w:type="dxa"/>
          </w:tcPr>
          <w:p w:rsidR="00E32E13" w:rsidRPr="0055294C" w:rsidP="00B1520D" w14:paraId="4CFA1391" w14:textId="77777777">
            <w:pPr>
              <w:spacing w:after="12" w:line="259" w:lineRule="auto"/>
              <w:ind w:right="50"/>
              <w:jc w:val="right"/>
              <w:rPr>
                <w:rFonts w:ascii="Times New Roman" w:hAnsi="Times New Roman" w:cs="Times New Roman"/>
                <w:sz w:val="26"/>
                <w:szCs w:val="26"/>
              </w:rPr>
            </w:pPr>
            <w:r w:rsidRPr="0055294C">
              <w:rPr>
                <w:rFonts w:ascii="Times New Roman" w:hAnsi="Times New Roman" w:cs="Times New Roman"/>
                <w:sz w:val="26"/>
                <w:szCs w:val="26"/>
              </w:rPr>
              <w:t>60 hrs.;</w:t>
            </w:r>
          </w:p>
          <w:p w:rsidR="00E32E13" w:rsidRPr="0055294C" w:rsidP="00B1520D" w14:paraId="4AF3C100" w14:textId="7122D42F">
            <w:pPr>
              <w:pStyle w:val="FERCparanumber"/>
              <w:numPr>
                <w:ilvl w:val="0"/>
                <w:numId w:val="0"/>
              </w:numPr>
              <w:spacing w:line="240" w:lineRule="auto"/>
              <w:rPr>
                <w:bCs/>
                <w:szCs w:val="26"/>
              </w:rPr>
            </w:pPr>
            <w:r w:rsidRPr="0055294C">
              <w:rPr>
                <w:szCs w:val="26"/>
              </w:rPr>
              <w:t>$</w:t>
            </w:r>
            <w:r w:rsidRPr="00653239" w:rsidR="00C314B4">
              <w:rPr>
                <w:szCs w:val="26"/>
              </w:rPr>
              <w:t>4,071.6</w:t>
            </w:r>
            <w:r w:rsidR="00C314B4">
              <w:rPr>
                <w:szCs w:val="26"/>
              </w:rPr>
              <w:t>0</w:t>
            </w:r>
          </w:p>
        </w:tc>
        <w:tc>
          <w:tcPr>
            <w:tcW w:w="2179" w:type="dxa"/>
          </w:tcPr>
          <w:p w:rsidR="00E32E13" w:rsidRPr="0055294C" w:rsidP="00B1520D" w14:paraId="043FF006" w14:textId="47335588">
            <w:pPr>
              <w:pStyle w:val="FERCparanumber"/>
              <w:numPr>
                <w:ilvl w:val="0"/>
                <w:numId w:val="0"/>
              </w:numPr>
              <w:spacing w:line="240" w:lineRule="auto"/>
              <w:rPr>
                <w:bCs/>
                <w:szCs w:val="26"/>
              </w:rPr>
            </w:pPr>
            <w:r w:rsidRPr="0055294C">
              <w:rPr>
                <w:szCs w:val="26"/>
              </w:rPr>
              <w:t xml:space="preserve">4,260 hrs.; </w:t>
            </w:r>
            <w:r w:rsidRPr="000619C7" w:rsidR="000619C7">
              <w:rPr>
                <w:szCs w:val="26"/>
              </w:rPr>
              <w:t>289,083.6</w:t>
            </w:r>
            <w:r w:rsidR="000619C7">
              <w:rPr>
                <w:szCs w:val="26"/>
              </w:rPr>
              <w:t>0</w:t>
            </w:r>
          </w:p>
        </w:tc>
      </w:tr>
      <w:tr w14:paraId="2394FA77" w14:textId="77777777" w:rsidTr="004948ED">
        <w:tblPrEx>
          <w:tblW w:w="10287" w:type="dxa"/>
          <w:tblInd w:w="-545" w:type="dxa"/>
          <w:tblLook w:val="04A0"/>
        </w:tblPrEx>
        <w:trPr>
          <w:cantSplit/>
        </w:trPr>
        <w:tc>
          <w:tcPr>
            <w:tcW w:w="2227" w:type="dxa"/>
          </w:tcPr>
          <w:p w:rsidR="004948ED" w:rsidRPr="0055294C" w:rsidP="004948ED" w14:paraId="5FE2723A" w14:textId="77777777">
            <w:pPr>
              <w:spacing w:line="259" w:lineRule="auto"/>
              <w:rPr>
                <w:sz w:val="26"/>
                <w:szCs w:val="26"/>
              </w:rPr>
            </w:pPr>
            <w:r w:rsidRPr="0055294C">
              <w:rPr>
                <w:rFonts w:ascii="Times New Roman" w:eastAsia="Times New Roman" w:hAnsi="Times New Roman" w:cs="Times New Roman"/>
                <w:b/>
                <w:sz w:val="26"/>
                <w:szCs w:val="26"/>
              </w:rPr>
              <w:t xml:space="preserve">FERC-725A for </w:t>
            </w:r>
          </w:p>
          <w:p w:rsidR="004948ED" w:rsidRPr="0055294C" w:rsidP="004948ED" w14:paraId="3F598359" w14:textId="0A446248">
            <w:pPr>
              <w:spacing w:line="259" w:lineRule="auto"/>
              <w:rPr>
                <w:sz w:val="26"/>
                <w:szCs w:val="26"/>
              </w:rPr>
            </w:pPr>
            <w:r w:rsidRPr="0055294C">
              <w:rPr>
                <w:rFonts w:ascii="Times New Roman" w:eastAsia="Times New Roman" w:hAnsi="Times New Roman" w:cs="Times New Roman"/>
                <w:b/>
                <w:sz w:val="26"/>
                <w:szCs w:val="26"/>
              </w:rPr>
              <w:t>MOD-028-2 Total Retired</w:t>
            </w:r>
          </w:p>
        </w:tc>
        <w:tc>
          <w:tcPr>
            <w:tcW w:w="1632" w:type="dxa"/>
          </w:tcPr>
          <w:p w:rsidR="004948ED" w:rsidRPr="0055294C" w:rsidP="004948ED" w14:paraId="6810C6A5" w14:textId="77777777">
            <w:pPr>
              <w:pStyle w:val="FERCparanumber"/>
              <w:numPr>
                <w:ilvl w:val="0"/>
                <w:numId w:val="0"/>
              </w:numPr>
              <w:spacing w:line="240" w:lineRule="auto"/>
              <w:rPr>
                <w:bCs/>
                <w:szCs w:val="26"/>
              </w:rPr>
            </w:pPr>
          </w:p>
        </w:tc>
        <w:tc>
          <w:tcPr>
            <w:tcW w:w="1616" w:type="dxa"/>
          </w:tcPr>
          <w:p w:rsidR="004948ED" w:rsidRPr="0055294C" w:rsidP="004948ED" w14:paraId="66A1958F" w14:textId="5C6D04B9">
            <w:pPr>
              <w:spacing w:line="259" w:lineRule="auto"/>
              <w:ind w:left="400"/>
              <w:rPr>
                <w:sz w:val="26"/>
                <w:szCs w:val="26"/>
              </w:rPr>
            </w:pPr>
          </w:p>
        </w:tc>
        <w:tc>
          <w:tcPr>
            <w:tcW w:w="1358" w:type="dxa"/>
          </w:tcPr>
          <w:p w:rsidR="004948ED" w:rsidRPr="0055294C" w:rsidP="004948ED" w14:paraId="5FF3852F" w14:textId="77777777">
            <w:pPr>
              <w:pStyle w:val="FERCparanumber"/>
              <w:numPr>
                <w:ilvl w:val="0"/>
                <w:numId w:val="0"/>
              </w:numPr>
              <w:spacing w:line="240" w:lineRule="auto"/>
              <w:rPr>
                <w:bCs/>
                <w:szCs w:val="26"/>
              </w:rPr>
            </w:pPr>
          </w:p>
        </w:tc>
        <w:tc>
          <w:tcPr>
            <w:tcW w:w="1275" w:type="dxa"/>
          </w:tcPr>
          <w:p w:rsidR="004948ED" w:rsidRPr="0055294C" w:rsidP="004948ED" w14:paraId="1C494E0B" w14:textId="77777777">
            <w:pPr>
              <w:pStyle w:val="FERCparanumber"/>
              <w:numPr>
                <w:ilvl w:val="0"/>
                <w:numId w:val="0"/>
              </w:numPr>
              <w:spacing w:line="240" w:lineRule="auto"/>
              <w:rPr>
                <w:bCs/>
                <w:szCs w:val="26"/>
              </w:rPr>
            </w:pPr>
          </w:p>
        </w:tc>
        <w:tc>
          <w:tcPr>
            <w:tcW w:w="2179" w:type="dxa"/>
            <w:vAlign w:val="bottom"/>
          </w:tcPr>
          <w:p w:rsidR="004948ED" w:rsidRPr="0055294C" w:rsidP="004948ED" w14:paraId="4343BA09" w14:textId="15645187">
            <w:pPr>
              <w:pStyle w:val="FERCparanumber"/>
              <w:numPr>
                <w:ilvl w:val="0"/>
                <w:numId w:val="0"/>
              </w:numPr>
              <w:spacing w:line="240" w:lineRule="auto"/>
              <w:jc w:val="right"/>
              <w:rPr>
                <w:bCs/>
                <w:szCs w:val="26"/>
              </w:rPr>
            </w:pPr>
            <w:r w:rsidRPr="0055294C">
              <w:rPr>
                <w:b/>
                <w:szCs w:val="26"/>
              </w:rPr>
              <w:t>14,160 hrs.; $</w:t>
            </w:r>
            <w:r w:rsidRPr="005F0F07" w:rsidR="005F0F07">
              <w:rPr>
                <w:b/>
                <w:szCs w:val="26"/>
              </w:rPr>
              <w:t>960,897.6</w:t>
            </w:r>
            <w:r w:rsidR="005F0F07">
              <w:rPr>
                <w:b/>
                <w:szCs w:val="26"/>
              </w:rPr>
              <w:t>0</w:t>
            </w:r>
          </w:p>
        </w:tc>
      </w:tr>
    </w:tbl>
    <w:p w:rsidR="00486729" w:rsidP="00486729" w14:paraId="10EA5D77" w14:textId="572378FE">
      <w:pPr>
        <w:pStyle w:val="FERCparanumber"/>
        <w:numPr>
          <w:ilvl w:val="0"/>
          <w:numId w:val="0"/>
        </w:numPr>
        <w:spacing w:line="240" w:lineRule="auto"/>
        <w:jc w:val="center"/>
        <w:rPr>
          <w:bCs/>
        </w:rPr>
      </w:pPr>
      <w:r>
        <w:rPr>
          <w:bCs/>
        </w:rPr>
        <w:br w:type="page"/>
      </w:r>
    </w:p>
    <w:p w:rsidR="009F04D1" w:rsidP="009F04D1" w14:paraId="5ADC8FC2" w14:textId="2F920C30">
      <w:pPr>
        <w:pStyle w:val="FERCparanumber"/>
        <w:numPr>
          <w:ilvl w:val="0"/>
          <w:numId w:val="0"/>
        </w:numPr>
        <w:spacing w:line="240" w:lineRule="auto"/>
        <w:jc w:val="center"/>
        <w:rPr>
          <w:bCs/>
        </w:rPr>
      </w:pPr>
      <w:r>
        <w:rPr>
          <w:bCs/>
        </w:rPr>
        <w:t>Table 12-5</w:t>
      </w:r>
    </w:p>
    <w:p w:rsidR="00047034" w:rsidP="001A6340" w14:paraId="5AFF567D" w14:textId="389DCA51">
      <w:pPr>
        <w:pStyle w:val="FERCparanumber"/>
        <w:numPr>
          <w:ilvl w:val="0"/>
          <w:numId w:val="0"/>
        </w:numPr>
        <w:spacing w:line="240" w:lineRule="auto"/>
        <w:jc w:val="center"/>
      </w:pPr>
      <w:r w:rsidRPr="00247AA9">
        <w:rPr>
          <w:bCs/>
        </w:rPr>
        <w:t xml:space="preserve">MOD-029-2a – </w:t>
      </w:r>
      <w:r w:rsidRPr="002705B2" w:rsidR="00330AEB">
        <w:t>Rated System Path Methodology</w:t>
      </w:r>
    </w:p>
    <w:p w:rsidR="001A6340" w:rsidP="001A6340" w14:paraId="105486EE" w14:textId="0B0B16AE">
      <w:pPr>
        <w:pStyle w:val="FERCparanumber"/>
        <w:numPr>
          <w:ilvl w:val="0"/>
          <w:numId w:val="0"/>
        </w:numPr>
        <w:spacing w:line="240" w:lineRule="auto"/>
        <w:jc w:val="center"/>
      </w:pPr>
    </w:p>
    <w:tbl>
      <w:tblPr>
        <w:tblStyle w:val="TableGrid"/>
        <w:tblW w:w="10350" w:type="dxa"/>
        <w:tblInd w:w="-545" w:type="dxa"/>
        <w:tblLook w:val="04A0"/>
      </w:tblPr>
      <w:tblGrid>
        <w:gridCol w:w="2084"/>
        <w:gridCol w:w="1632"/>
        <w:gridCol w:w="1557"/>
        <w:gridCol w:w="1549"/>
        <w:gridCol w:w="1545"/>
        <w:gridCol w:w="1983"/>
      </w:tblGrid>
      <w:tr w14:paraId="1FF9F6B8" w14:textId="77777777" w:rsidTr="00FD65FD">
        <w:tblPrEx>
          <w:tblW w:w="10350" w:type="dxa"/>
          <w:tblInd w:w="-545" w:type="dxa"/>
          <w:tblLook w:val="04A0"/>
        </w:tblPrEx>
        <w:trPr>
          <w:trHeight w:val="377"/>
        </w:trPr>
        <w:tc>
          <w:tcPr>
            <w:tcW w:w="2084" w:type="dxa"/>
          </w:tcPr>
          <w:p w:rsidR="00E8669E" w:rsidP="001A77F6" w14:paraId="2F3E58CF" w14:textId="36E8C8AD">
            <w:pPr>
              <w:pStyle w:val="FERCparanumber"/>
              <w:numPr>
                <w:ilvl w:val="0"/>
                <w:numId w:val="0"/>
              </w:numPr>
              <w:spacing w:line="240" w:lineRule="auto"/>
              <w:jc w:val="center"/>
            </w:pPr>
            <w:r w:rsidRPr="00DF60C5">
              <w:rPr>
                <w:b/>
              </w:rPr>
              <w:t>Applicable Entity (Respondent)</w:t>
            </w:r>
          </w:p>
        </w:tc>
        <w:tc>
          <w:tcPr>
            <w:tcW w:w="1632" w:type="dxa"/>
          </w:tcPr>
          <w:p w:rsidR="00E8669E" w:rsidRPr="00DF60C5" w:rsidP="001A77F6" w14:paraId="1B6772F6" w14:textId="77777777">
            <w:pPr>
              <w:pStyle w:val="FERCparanumber"/>
              <w:numPr>
                <w:ilvl w:val="0"/>
                <w:numId w:val="0"/>
              </w:numPr>
              <w:spacing w:line="240" w:lineRule="auto"/>
              <w:jc w:val="center"/>
              <w:rPr>
                <w:b/>
              </w:rPr>
            </w:pPr>
            <w:r w:rsidRPr="00DF60C5">
              <w:rPr>
                <w:b/>
              </w:rPr>
              <w:t>Number of Respondents</w:t>
            </w:r>
          </w:p>
          <w:p w:rsidR="00E8669E" w:rsidP="001A77F6" w14:paraId="05E1B83F" w14:textId="6AB2003C">
            <w:pPr>
              <w:pStyle w:val="FERCparanumber"/>
              <w:numPr>
                <w:ilvl w:val="0"/>
                <w:numId w:val="0"/>
              </w:numPr>
              <w:spacing w:line="240" w:lineRule="auto"/>
              <w:jc w:val="center"/>
            </w:pPr>
            <w:r w:rsidRPr="00DF60C5">
              <w:rPr>
                <w:b/>
              </w:rPr>
              <w:t>(1)</w:t>
            </w:r>
          </w:p>
        </w:tc>
        <w:tc>
          <w:tcPr>
            <w:tcW w:w="1557" w:type="dxa"/>
          </w:tcPr>
          <w:p w:rsidR="00E8669E" w:rsidRPr="00DF60C5" w:rsidP="001A77F6" w14:paraId="49BFF8D4" w14:textId="77777777">
            <w:pPr>
              <w:pStyle w:val="FERCparanumber"/>
              <w:numPr>
                <w:ilvl w:val="0"/>
                <w:numId w:val="0"/>
              </w:numPr>
              <w:spacing w:line="240" w:lineRule="auto"/>
              <w:jc w:val="center"/>
              <w:rPr>
                <w:b/>
              </w:rPr>
            </w:pPr>
            <w:r w:rsidRPr="00DF60C5">
              <w:rPr>
                <w:b/>
              </w:rPr>
              <w:t>Annual Number of Responses per Respondent</w:t>
            </w:r>
          </w:p>
          <w:p w:rsidR="00E8669E" w:rsidP="001A77F6" w14:paraId="3F660175" w14:textId="64B9C098">
            <w:pPr>
              <w:pStyle w:val="FERCparanumber"/>
              <w:numPr>
                <w:ilvl w:val="0"/>
                <w:numId w:val="0"/>
              </w:numPr>
              <w:spacing w:line="240" w:lineRule="auto"/>
              <w:jc w:val="center"/>
            </w:pPr>
            <w:r w:rsidRPr="00DF60C5">
              <w:rPr>
                <w:b/>
              </w:rPr>
              <w:t>(2)</w:t>
            </w:r>
          </w:p>
        </w:tc>
        <w:tc>
          <w:tcPr>
            <w:tcW w:w="1549" w:type="dxa"/>
          </w:tcPr>
          <w:p w:rsidR="00E8669E" w:rsidP="001A77F6" w14:paraId="4752C4AA" w14:textId="451E706B">
            <w:pPr>
              <w:pStyle w:val="FERCparanumber"/>
              <w:numPr>
                <w:ilvl w:val="0"/>
                <w:numId w:val="0"/>
              </w:numPr>
              <w:spacing w:line="240" w:lineRule="auto"/>
              <w:jc w:val="center"/>
            </w:pPr>
            <w:r w:rsidRPr="00DF60C5">
              <w:rPr>
                <w:b/>
              </w:rPr>
              <w:t>Annual Number of Responses (1) * (2</w:t>
            </w:r>
            <w:r>
              <w:rPr>
                <w:b/>
              </w:rPr>
              <w:t>)</w:t>
            </w:r>
            <w:r w:rsidRPr="00DF60C5">
              <w:rPr>
                <w:b/>
              </w:rPr>
              <w:t xml:space="preserve"> =</w:t>
            </w:r>
            <w:r>
              <w:rPr>
                <w:b/>
              </w:rPr>
              <w:t xml:space="preserve"> </w:t>
            </w:r>
            <w:r w:rsidRPr="00DF60C5">
              <w:rPr>
                <w:b/>
              </w:rPr>
              <w:t>(3)</w:t>
            </w:r>
          </w:p>
        </w:tc>
        <w:tc>
          <w:tcPr>
            <w:tcW w:w="1545" w:type="dxa"/>
          </w:tcPr>
          <w:p w:rsidR="00E8669E" w:rsidRPr="00DF60C5" w:rsidP="001A77F6" w14:paraId="3BCB939C" w14:textId="77777777">
            <w:pPr>
              <w:pStyle w:val="FERCparanumber"/>
              <w:numPr>
                <w:ilvl w:val="0"/>
                <w:numId w:val="0"/>
              </w:numPr>
              <w:spacing w:line="240" w:lineRule="auto"/>
              <w:jc w:val="center"/>
              <w:rPr>
                <w:b/>
              </w:rPr>
            </w:pPr>
            <w:r w:rsidRPr="00DF60C5">
              <w:rPr>
                <w:b/>
              </w:rPr>
              <w:t>Average Burden Hours and Cost per Response</w:t>
            </w:r>
          </w:p>
          <w:p w:rsidR="00E8669E" w:rsidP="001A77F6" w14:paraId="4D4F7B75" w14:textId="0BEAA03E">
            <w:pPr>
              <w:pStyle w:val="FERCparanumber"/>
              <w:numPr>
                <w:ilvl w:val="0"/>
                <w:numId w:val="0"/>
              </w:numPr>
              <w:spacing w:line="240" w:lineRule="auto"/>
              <w:jc w:val="center"/>
            </w:pPr>
            <w:r w:rsidRPr="00DF60C5">
              <w:rPr>
                <w:b/>
              </w:rPr>
              <w:t>(4)</w:t>
            </w:r>
          </w:p>
        </w:tc>
        <w:tc>
          <w:tcPr>
            <w:tcW w:w="1983" w:type="dxa"/>
          </w:tcPr>
          <w:p w:rsidR="00E8669E" w:rsidP="001A77F6" w14:paraId="43121276" w14:textId="77777777">
            <w:pPr>
              <w:pStyle w:val="FERCparanumber"/>
              <w:numPr>
                <w:ilvl w:val="0"/>
                <w:numId w:val="0"/>
              </w:numPr>
              <w:spacing w:line="240" w:lineRule="auto"/>
              <w:jc w:val="center"/>
              <w:rPr>
                <w:b/>
              </w:rPr>
            </w:pPr>
            <w:r w:rsidRPr="00DF60C5">
              <w:rPr>
                <w:b/>
              </w:rPr>
              <w:t>Total Annual Burden Hours and Cost Reduction</w:t>
            </w:r>
          </w:p>
          <w:p w:rsidR="00E8669E" w:rsidP="001A77F6" w14:paraId="7D401F34" w14:textId="275B0B97">
            <w:pPr>
              <w:pStyle w:val="FERCparanumber"/>
              <w:numPr>
                <w:ilvl w:val="0"/>
                <w:numId w:val="0"/>
              </w:numPr>
              <w:spacing w:line="240" w:lineRule="auto"/>
              <w:jc w:val="center"/>
            </w:pPr>
            <w:r>
              <w:rPr>
                <w:b/>
              </w:rPr>
              <w:t>(3) * (4) = (5)</w:t>
            </w:r>
          </w:p>
        </w:tc>
      </w:tr>
      <w:tr w14:paraId="07C6BD86" w14:textId="2E5190A9" w:rsidTr="00247AA9">
        <w:tblPrEx>
          <w:tblW w:w="10350" w:type="dxa"/>
          <w:tblInd w:w="-545" w:type="dxa"/>
          <w:tblLook w:val="04A0"/>
        </w:tblPrEx>
        <w:tc>
          <w:tcPr>
            <w:tcW w:w="2084" w:type="dxa"/>
          </w:tcPr>
          <w:p w:rsidR="00FD65FD" w:rsidRPr="0055294C" w:rsidP="00FD65FD" w14:paraId="537AA8D0" w14:textId="27FF1857">
            <w:pPr>
              <w:pStyle w:val="FERCparanumber"/>
              <w:numPr>
                <w:ilvl w:val="0"/>
                <w:numId w:val="0"/>
              </w:numPr>
              <w:spacing w:line="240" w:lineRule="auto"/>
              <w:rPr>
                <w:bCs/>
                <w:szCs w:val="26"/>
              </w:rPr>
            </w:pPr>
            <w:r w:rsidRPr="0055294C">
              <w:rPr>
                <w:bCs/>
                <w:szCs w:val="26"/>
              </w:rPr>
              <w:t>TOP – Retired</w:t>
            </w:r>
          </w:p>
        </w:tc>
        <w:tc>
          <w:tcPr>
            <w:tcW w:w="1632" w:type="dxa"/>
            <w:vAlign w:val="bottom"/>
          </w:tcPr>
          <w:p w:rsidR="00FD65FD" w:rsidRPr="0055294C" w:rsidP="00247AA9" w14:paraId="23AB27B4" w14:textId="005596E1">
            <w:pPr>
              <w:pStyle w:val="FERCparanumber"/>
              <w:numPr>
                <w:ilvl w:val="0"/>
                <w:numId w:val="0"/>
              </w:numPr>
              <w:spacing w:line="240" w:lineRule="auto"/>
              <w:jc w:val="right"/>
              <w:rPr>
                <w:szCs w:val="26"/>
              </w:rPr>
            </w:pPr>
            <w:r w:rsidRPr="0055294C">
              <w:rPr>
                <w:szCs w:val="26"/>
              </w:rPr>
              <w:t>165</w:t>
            </w:r>
          </w:p>
        </w:tc>
        <w:tc>
          <w:tcPr>
            <w:tcW w:w="1557" w:type="dxa"/>
            <w:vAlign w:val="bottom"/>
          </w:tcPr>
          <w:p w:rsidR="00FD65FD" w:rsidRPr="0055294C" w:rsidP="00247AA9" w14:paraId="781EECB1" w14:textId="6E89DDF9">
            <w:pPr>
              <w:pStyle w:val="FERCparanumber"/>
              <w:numPr>
                <w:ilvl w:val="0"/>
                <w:numId w:val="0"/>
              </w:numPr>
              <w:spacing w:line="240" w:lineRule="auto"/>
              <w:jc w:val="right"/>
              <w:rPr>
                <w:szCs w:val="26"/>
              </w:rPr>
            </w:pPr>
            <w:r w:rsidRPr="0055294C">
              <w:rPr>
                <w:szCs w:val="26"/>
              </w:rPr>
              <w:t>1</w:t>
            </w:r>
          </w:p>
        </w:tc>
        <w:tc>
          <w:tcPr>
            <w:tcW w:w="1549" w:type="dxa"/>
            <w:vAlign w:val="bottom"/>
          </w:tcPr>
          <w:p w:rsidR="00FD65FD" w:rsidRPr="0055294C" w:rsidP="00247AA9" w14:paraId="556B4D5E" w14:textId="3A15880E">
            <w:pPr>
              <w:pStyle w:val="FERCparanumber"/>
              <w:numPr>
                <w:ilvl w:val="0"/>
                <w:numId w:val="0"/>
              </w:numPr>
              <w:spacing w:line="240" w:lineRule="auto"/>
              <w:jc w:val="right"/>
              <w:rPr>
                <w:szCs w:val="26"/>
              </w:rPr>
            </w:pPr>
            <w:r w:rsidRPr="0055294C">
              <w:rPr>
                <w:szCs w:val="26"/>
              </w:rPr>
              <w:t>165</w:t>
            </w:r>
          </w:p>
        </w:tc>
        <w:tc>
          <w:tcPr>
            <w:tcW w:w="1545" w:type="dxa"/>
            <w:vAlign w:val="bottom"/>
          </w:tcPr>
          <w:p w:rsidR="00FD65FD" w:rsidRPr="0055294C" w:rsidP="00247AA9" w14:paraId="671146D8" w14:textId="77777777">
            <w:pPr>
              <w:spacing w:after="12" w:line="259" w:lineRule="auto"/>
              <w:ind w:left="420"/>
              <w:jc w:val="right"/>
              <w:rPr>
                <w:rFonts w:ascii="Times New Roman" w:hAnsi="Times New Roman" w:cs="Times New Roman"/>
                <w:sz w:val="26"/>
                <w:szCs w:val="26"/>
              </w:rPr>
            </w:pPr>
            <w:r w:rsidRPr="0055294C">
              <w:rPr>
                <w:rFonts w:ascii="Times New Roman" w:hAnsi="Times New Roman" w:cs="Times New Roman"/>
                <w:sz w:val="26"/>
                <w:szCs w:val="26"/>
              </w:rPr>
              <w:t>60 hrs.;</w:t>
            </w:r>
          </w:p>
          <w:p w:rsidR="00FD65FD" w:rsidRPr="0055294C" w:rsidP="00247AA9" w14:paraId="1083EDC9" w14:textId="0F4E5639">
            <w:pPr>
              <w:pStyle w:val="FERCparanumber"/>
              <w:numPr>
                <w:ilvl w:val="0"/>
                <w:numId w:val="0"/>
              </w:numPr>
              <w:spacing w:line="240" w:lineRule="auto"/>
              <w:jc w:val="right"/>
              <w:rPr>
                <w:szCs w:val="26"/>
              </w:rPr>
            </w:pPr>
            <w:r w:rsidRPr="0055294C">
              <w:rPr>
                <w:szCs w:val="26"/>
              </w:rPr>
              <w:t>$</w:t>
            </w:r>
            <w:r w:rsidRPr="00653239" w:rsidR="00C314B4">
              <w:rPr>
                <w:szCs w:val="26"/>
              </w:rPr>
              <w:t>4,071.6</w:t>
            </w:r>
            <w:r w:rsidR="00C314B4">
              <w:rPr>
                <w:szCs w:val="26"/>
              </w:rPr>
              <w:t>0</w:t>
            </w:r>
          </w:p>
        </w:tc>
        <w:tc>
          <w:tcPr>
            <w:tcW w:w="1983" w:type="dxa"/>
            <w:vAlign w:val="bottom"/>
          </w:tcPr>
          <w:p w:rsidR="00FD65FD" w:rsidRPr="0055294C" w:rsidP="00247AA9" w14:paraId="3045FB4E" w14:textId="22A43173">
            <w:pPr>
              <w:pStyle w:val="FERCparanumber"/>
              <w:numPr>
                <w:ilvl w:val="0"/>
                <w:numId w:val="0"/>
              </w:numPr>
              <w:spacing w:line="240" w:lineRule="auto"/>
              <w:jc w:val="right"/>
              <w:rPr>
                <w:szCs w:val="26"/>
              </w:rPr>
            </w:pPr>
            <w:r w:rsidRPr="0055294C">
              <w:rPr>
                <w:szCs w:val="26"/>
              </w:rPr>
              <w:t>9,900 hrs.; $</w:t>
            </w:r>
            <w:r w:rsidRPr="00C314B4" w:rsidR="00C314B4">
              <w:rPr>
                <w:szCs w:val="26"/>
              </w:rPr>
              <w:t>671,814</w:t>
            </w:r>
          </w:p>
        </w:tc>
      </w:tr>
      <w:tr w14:paraId="24104602" w14:textId="77777777" w:rsidTr="00247AA9">
        <w:tblPrEx>
          <w:tblW w:w="10350" w:type="dxa"/>
          <w:tblInd w:w="-545" w:type="dxa"/>
          <w:tblLook w:val="04A0"/>
        </w:tblPrEx>
        <w:tc>
          <w:tcPr>
            <w:tcW w:w="2084" w:type="dxa"/>
          </w:tcPr>
          <w:p w:rsidR="00CB0CFE" w:rsidRPr="0055294C" w:rsidP="00CB0CFE" w14:paraId="6E617D84" w14:textId="1A4BFE4A">
            <w:pPr>
              <w:pStyle w:val="FERCparanumber"/>
              <w:numPr>
                <w:ilvl w:val="0"/>
                <w:numId w:val="0"/>
              </w:numPr>
              <w:spacing w:line="240" w:lineRule="auto"/>
              <w:rPr>
                <w:bCs/>
                <w:szCs w:val="26"/>
              </w:rPr>
            </w:pPr>
            <w:r w:rsidRPr="0055294C">
              <w:rPr>
                <w:bCs/>
                <w:szCs w:val="26"/>
              </w:rPr>
              <w:t>TSP – Retired</w:t>
            </w:r>
          </w:p>
        </w:tc>
        <w:tc>
          <w:tcPr>
            <w:tcW w:w="1632" w:type="dxa"/>
            <w:vAlign w:val="bottom"/>
          </w:tcPr>
          <w:p w:rsidR="00CB0CFE" w:rsidRPr="0055294C" w:rsidP="00247AA9" w14:paraId="2D1927DE" w14:textId="70672CFB">
            <w:pPr>
              <w:pStyle w:val="FERCparanumber"/>
              <w:numPr>
                <w:ilvl w:val="0"/>
                <w:numId w:val="0"/>
              </w:numPr>
              <w:spacing w:line="240" w:lineRule="auto"/>
              <w:jc w:val="right"/>
              <w:rPr>
                <w:szCs w:val="26"/>
              </w:rPr>
            </w:pPr>
            <w:r w:rsidRPr="0055294C">
              <w:rPr>
                <w:szCs w:val="26"/>
              </w:rPr>
              <w:t>71</w:t>
            </w:r>
          </w:p>
        </w:tc>
        <w:tc>
          <w:tcPr>
            <w:tcW w:w="1557" w:type="dxa"/>
            <w:vAlign w:val="bottom"/>
          </w:tcPr>
          <w:p w:rsidR="00CB0CFE" w:rsidRPr="0055294C" w:rsidP="00247AA9" w14:paraId="391B2D51" w14:textId="413579B1">
            <w:pPr>
              <w:pStyle w:val="FERCparanumber"/>
              <w:numPr>
                <w:ilvl w:val="0"/>
                <w:numId w:val="0"/>
              </w:numPr>
              <w:spacing w:line="240" w:lineRule="auto"/>
              <w:jc w:val="right"/>
              <w:rPr>
                <w:szCs w:val="26"/>
              </w:rPr>
            </w:pPr>
            <w:r w:rsidRPr="0055294C">
              <w:rPr>
                <w:szCs w:val="26"/>
              </w:rPr>
              <w:t>1</w:t>
            </w:r>
          </w:p>
        </w:tc>
        <w:tc>
          <w:tcPr>
            <w:tcW w:w="1549" w:type="dxa"/>
            <w:vAlign w:val="bottom"/>
          </w:tcPr>
          <w:p w:rsidR="00CB0CFE" w:rsidRPr="0055294C" w:rsidP="00247AA9" w14:paraId="62A642B5" w14:textId="3B8A5358">
            <w:pPr>
              <w:pStyle w:val="FERCparanumber"/>
              <w:numPr>
                <w:ilvl w:val="0"/>
                <w:numId w:val="0"/>
              </w:numPr>
              <w:spacing w:line="240" w:lineRule="auto"/>
              <w:jc w:val="right"/>
              <w:rPr>
                <w:szCs w:val="26"/>
              </w:rPr>
            </w:pPr>
            <w:r w:rsidRPr="0055294C">
              <w:rPr>
                <w:szCs w:val="26"/>
              </w:rPr>
              <w:t>71</w:t>
            </w:r>
          </w:p>
        </w:tc>
        <w:tc>
          <w:tcPr>
            <w:tcW w:w="1545" w:type="dxa"/>
            <w:vAlign w:val="bottom"/>
          </w:tcPr>
          <w:p w:rsidR="00CB0CFE" w:rsidRPr="0055294C" w:rsidP="00247AA9" w14:paraId="44AC1ADB" w14:textId="77777777">
            <w:pPr>
              <w:spacing w:after="12" w:line="259" w:lineRule="auto"/>
              <w:ind w:left="418"/>
              <w:jc w:val="right"/>
              <w:rPr>
                <w:rFonts w:ascii="Times New Roman" w:hAnsi="Times New Roman" w:cs="Times New Roman"/>
                <w:sz w:val="26"/>
                <w:szCs w:val="26"/>
              </w:rPr>
            </w:pPr>
            <w:r w:rsidRPr="0055294C">
              <w:rPr>
                <w:rFonts w:ascii="Times New Roman" w:hAnsi="Times New Roman" w:cs="Times New Roman"/>
                <w:sz w:val="26"/>
                <w:szCs w:val="26"/>
              </w:rPr>
              <w:t>60 hrs.;</w:t>
            </w:r>
          </w:p>
          <w:p w:rsidR="00CB0CFE" w:rsidRPr="0055294C" w:rsidP="00247AA9" w14:paraId="1F5A0222" w14:textId="27134F8B">
            <w:pPr>
              <w:pStyle w:val="FERCparanumber"/>
              <w:numPr>
                <w:ilvl w:val="0"/>
                <w:numId w:val="0"/>
              </w:numPr>
              <w:spacing w:line="240" w:lineRule="auto"/>
              <w:jc w:val="right"/>
              <w:rPr>
                <w:szCs w:val="26"/>
              </w:rPr>
            </w:pPr>
            <w:r w:rsidRPr="0055294C">
              <w:rPr>
                <w:szCs w:val="26"/>
              </w:rPr>
              <w:t>$</w:t>
            </w:r>
            <w:r w:rsidRPr="00653239" w:rsidR="00C314B4">
              <w:rPr>
                <w:szCs w:val="26"/>
              </w:rPr>
              <w:t>4,071.6</w:t>
            </w:r>
            <w:r w:rsidR="00C314B4">
              <w:rPr>
                <w:szCs w:val="26"/>
              </w:rPr>
              <w:t>0</w:t>
            </w:r>
          </w:p>
        </w:tc>
        <w:tc>
          <w:tcPr>
            <w:tcW w:w="1983" w:type="dxa"/>
            <w:vAlign w:val="bottom"/>
          </w:tcPr>
          <w:p w:rsidR="00CB0CFE" w:rsidRPr="0055294C" w:rsidP="00247AA9" w14:paraId="1FE98070" w14:textId="77777777">
            <w:pPr>
              <w:spacing w:line="259" w:lineRule="auto"/>
              <w:ind w:right="4"/>
              <w:jc w:val="right"/>
              <w:rPr>
                <w:rFonts w:ascii="Times New Roman" w:hAnsi="Times New Roman" w:cs="Times New Roman"/>
                <w:sz w:val="26"/>
                <w:szCs w:val="26"/>
              </w:rPr>
            </w:pPr>
            <w:r w:rsidRPr="0055294C">
              <w:rPr>
                <w:rFonts w:ascii="Times New Roman" w:hAnsi="Times New Roman" w:cs="Times New Roman"/>
                <w:sz w:val="26"/>
                <w:szCs w:val="26"/>
              </w:rPr>
              <w:t>4,260 hrs.;</w:t>
            </w:r>
          </w:p>
          <w:p w:rsidR="00CB0CFE" w:rsidRPr="0055294C" w:rsidP="00247AA9" w14:paraId="5B1086CD" w14:textId="6BB9A577">
            <w:pPr>
              <w:pStyle w:val="FERCparanumber"/>
              <w:numPr>
                <w:ilvl w:val="0"/>
                <w:numId w:val="0"/>
              </w:numPr>
              <w:spacing w:line="240" w:lineRule="auto"/>
              <w:jc w:val="right"/>
              <w:rPr>
                <w:szCs w:val="26"/>
              </w:rPr>
            </w:pPr>
            <w:r w:rsidRPr="0055294C">
              <w:rPr>
                <w:szCs w:val="26"/>
              </w:rPr>
              <w:t>$</w:t>
            </w:r>
            <w:r w:rsidRPr="000619C7" w:rsidR="000619C7">
              <w:rPr>
                <w:szCs w:val="26"/>
              </w:rPr>
              <w:t>289,083.6</w:t>
            </w:r>
            <w:r w:rsidR="000619C7">
              <w:rPr>
                <w:szCs w:val="26"/>
              </w:rPr>
              <w:t>0</w:t>
            </w:r>
          </w:p>
        </w:tc>
      </w:tr>
      <w:tr w14:paraId="020BE405" w14:textId="77777777" w:rsidTr="00247AA9">
        <w:tblPrEx>
          <w:tblW w:w="10350" w:type="dxa"/>
          <w:tblInd w:w="-545" w:type="dxa"/>
          <w:tblLook w:val="04A0"/>
        </w:tblPrEx>
        <w:tc>
          <w:tcPr>
            <w:tcW w:w="2084" w:type="dxa"/>
          </w:tcPr>
          <w:p w:rsidR="00CB0CFE" w:rsidRPr="00B253C7" w:rsidP="009F2EB1" w14:paraId="1F5A84E8" w14:textId="28E59EAB">
            <w:pPr>
              <w:spacing w:after="12" w:line="259" w:lineRule="auto"/>
              <w:rPr>
                <w:rFonts w:ascii="Times New Roman" w:hAnsi="Times New Roman"/>
                <w:sz w:val="26"/>
                <w:szCs w:val="26"/>
              </w:rPr>
            </w:pPr>
            <w:r w:rsidRPr="00B253C7">
              <w:rPr>
                <w:rFonts w:ascii="Times New Roman" w:eastAsia="Times New Roman" w:hAnsi="Times New Roman" w:cs="Times New Roman"/>
                <w:b/>
                <w:sz w:val="26"/>
                <w:szCs w:val="26"/>
              </w:rPr>
              <w:t xml:space="preserve">FERC725A </w:t>
            </w:r>
            <w:r w:rsidRPr="00B253C7">
              <w:rPr>
                <w:rFonts w:ascii="Times New Roman" w:eastAsia="Times New Roman" w:hAnsi="Times New Roman" w:cs="Times New Roman"/>
                <w:b/>
                <w:sz w:val="26"/>
                <w:szCs w:val="26"/>
              </w:rPr>
              <w:t>for MOD-029-</w:t>
            </w:r>
            <w:r w:rsidRPr="00B253C7">
              <w:rPr>
                <w:rFonts w:ascii="Times New Roman" w:hAnsi="Times New Roman"/>
                <w:b/>
                <w:sz w:val="26"/>
                <w:szCs w:val="26"/>
              </w:rPr>
              <w:t xml:space="preserve">2a </w:t>
            </w:r>
            <w:r w:rsidRPr="00B253C7" w:rsidR="00E70EFE">
              <w:rPr>
                <w:rFonts w:ascii="Times New Roman" w:hAnsi="Times New Roman"/>
                <w:b/>
                <w:sz w:val="26"/>
                <w:szCs w:val="26"/>
              </w:rPr>
              <w:t xml:space="preserve">Total </w:t>
            </w:r>
            <w:r w:rsidRPr="00B253C7">
              <w:rPr>
                <w:rFonts w:ascii="Times New Roman" w:hAnsi="Times New Roman"/>
                <w:b/>
                <w:sz w:val="26"/>
                <w:szCs w:val="26"/>
              </w:rPr>
              <w:t>Retired</w:t>
            </w:r>
          </w:p>
        </w:tc>
        <w:tc>
          <w:tcPr>
            <w:tcW w:w="1632" w:type="dxa"/>
            <w:vAlign w:val="bottom"/>
          </w:tcPr>
          <w:p w:rsidR="00CB0CFE" w:rsidRPr="0055294C" w:rsidP="00247AA9" w14:paraId="6EA98B60" w14:textId="77777777">
            <w:pPr>
              <w:pStyle w:val="FERCparanumber"/>
              <w:numPr>
                <w:ilvl w:val="0"/>
                <w:numId w:val="0"/>
              </w:numPr>
              <w:spacing w:line="240" w:lineRule="auto"/>
              <w:jc w:val="right"/>
              <w:rPr>
                <w:szCs w:val="26"/>
              </w:rPr>
            </w:pPr>
          </w:p>
        </w:tc>
        <w:tc>
          <w:tcPr>
            <w:tcW w:w="1557" w:type="dxa"/>
            <w:vAlign w:val="bottom"/>
          </w:tcPr>
          <w:p w:rsidR="00CB0CFE" w:rsidRPr="0055294C" w:rsidP="00247AA9" w14:paraId="7954CC92" w14:textId="77777777">
            <w:pPr>
              <w:pStyle w:val="FERCparanumber"/>
              <w:numPr>
                <w:ilvl w:val="0"/>
                <w:numId w:val="0"/>
              </w:numPr>
              <w:spacing w:line="240" w:lineRule="auto"/>
              <w:jc w:val="right"/>
              <w:rPr>
                <w:szCs w:val="26"/>
              </w:rPr>
            </w:pPr>
          </w:p>
        </w:tc>
        <w:tc>
          <w:tcPr>
            <w:tcW w:w="1549" w:type="dxa"/>
            <w:vAlign w:val="bottom"/>
          </w:tcPr>
          <w:p w:rsidR="00CB0CFE" w:rsidRPr="0055294C" w:rsidP="00247AA9" w14:paraId="4538F00E" w14:textId="77777777">
            <w:pPr>
              <w:pStyle w:val="FERCparanumber"/>
              <w:numPr>
                <w:ilvl w:val="0"/>
                <w:numId w:val="0"/>
              </w:numPr>
              <w:spacing w:line="240" w:lineRule="auto"/>
              <w:jc w:val="right"/>
              <w:rPr>
                <w:szCs w:val="26"/>
              </w:rPr>
            </w:pPr>
          </w:p>
        </w:tc>
        <w:tc>
          <w:tcPr>
            <w:tcW w:w="1545" w:type="dxa"/>
            <w:vAlign w:val="bottom"/>
          </w:tcPr>
          <w:p w:rsidR="00CB0CFE" w:rsidRPr="0055294C" w:rsidP="00247AA9" w14:paraId="345E1C08" w14:textId="77777777">
            <w:pPr>
              <w:pStyle w:val="FERCparanumber"/>
              <w:numPr>
                <w:ilvl w:val="0"/>
                <w:numId w:val="0"/>
              </w:numPr>
              <w:spacing w:line="240" w:lineRule="auto"/>
              <w:jc w:val="right"/>
              <w:rPr>
                <w:szCs w:val="26"/>
              </w:rPr>
            </w:pPr>
          </w:p>
        </w:tc>
        <w:tc>
          <w:tcPr>
            <w:tcW w:w="1983" w:type="dxa"/>
            <w:vAlign w:val="bottom"/>
          </w:tcPr>
          <w:p w:rsidR="00CB0CFE" w:rsidRPr="0055294C" w:rsidP="00247AA9" w14:paraId="39170F35" w14:textId="77777777">
            <w:pPr>
              <w:spacing w:line="259" w:lineRule="auto"/>
              <w:ind w:right="2"/>
              <w:jc w:val="right"/>
              <w:rPr>
                <w:rFonts w:ascii="Times New Roman" w:hAnsi="Times New Roman" w:cs="Times New Roman"/>
                <w:sz w:val="26"/>
                <w:szCs w:val="26"/>
              </w:rPr>
            </w:pPr>
            <w:r w:rsidRPr="0055294C">
              <w:rPr>
                <w:rFonts w:ascii="Times New Roman" w:eastAsia="Times New Roman" w:hAnsi="Times New Roman" w:cs="Times New Roman"/>
                <w:b/>
                <w:sz w:val="26"/>
                <w:szCs w:val="26"/>
              </w:rPr>
              <w:t>14,160 hrs.;</w:t>
            </w:r>
          </w:p>
          <w:p w:rsidR="00CB0CFE" w:rsidRPr="0055294C" w:rsidP="00247AA9" w14:paraId="19663BAC" w14:textId="44AF24EB">
            <w:pPr>
              <w:pStyle w:val="FERCparanumber"/>
              <w:numPr>
                <w:ilvl w:val="0"/>
                <w:numId w:val="0"/>
              </w:numPr>
              <w:spacing w:line="240" w:lineRule="auto"/>
              <w:jc w:val="right"/>
              <w:rPr>
                <w:szCs w:val="26"/>
              </w:rPr>
            </w:pPr>
            <w:r w:rsidRPr="0055294C">
              <w:rPr>
                <w:b/>
                <w:szCs w:val="26"/>
              </w:rPr>
              <w:t>$961,039.20</w:t>
            </w:r>
          </w:p>
        </w:tc>
      </w:tr>
    </w:tbl>
    <w:p w:rsidR="00E8669E" w:rsidRPr="001A6340" w:rsidP="00E8669E" w14:paraId="4371C8BC" w14:textId="77777777">
      <w:pPr>
        <w:pStyle w:val="FERCparanumber"/>
        <w:numPr>
          <w:ilvl w:val="0"/>
          <w:numId w:val="0"/>
        </w:numPr>
        <w:spacing w:line="240" w:lineRule="auto"/>
      </w:pPr>
    </w:p>
    <w:p w:rsidR="009F04D1" w:rsidRPr="00990402" w:rsidP="00736881" w14:paraId="15C680AA" w14:textId="630B6CB8">
      <w:pPr>
        <w:pStyle w:val="FERCparanumber"/>
        <w:numPr>
          <w:ilvl w:val="0"/>
          <w:numId w:val="0"/>
        </w:numPr>
        <w:tabs>
          <w:tab w:val="center" w:pos="4680"/>
          <w:tab w:val="left" w:pos="5980"/>
        </w:tabs>
        <w:spacing w:line="240" w:lineRule="auto"/>
      </w:pPr>
      <w:r>
        <w:rPr>
          <w:bCs/>
        </w:rPr>
        <w:tab/>
        <w:t>Table 12-6</w:t>
      </w:r>
    </w:p>
    <w:p w:rsidR="00736881" w:rsidP="00990402" w14:paraId="4856BC04" w14:textId="208EC383">
      <w:pPr>
        <w:pStyle w:val="FERCparanumber"/>
        <w:numPr>
          <w:ilvl w:val="0"/>
          <w:numId w:val="0"/>
        </w:numPr>
        <w:tabs>
          <w:tab w:val="center" w:pos="4680"/>
          <w:tab w:val="left" w:pos="5980"/>
        </w:tabs>
        <w:spacing w:line="240" w:lineRule="auto"/>
        <w:jc w:val="center"/>
      </w:pPr>
      <w:r w:rsidRPr="00736881">
        <w:t>MOD-030-</w:t>
      </w:r>
      <w:r w:rsidR="003E3EF2">
        <w:t>3</w:t>
      </w:r>
      <w:r w:rsidRPr="00736881">
        <w:t xml:space="preserve"> – Flowgate Methodology </w:t>
      </w:r>
      <w:r w:rsidRPr="00990402">
        <w:t>Retirement (Burden Reduction)</w:t>
      </w:r>
    </w:p>
    <w:p w:rsidR="00990402" w:rsidP="00990402" w14:paraId="7C658FA2" w14:textId="568BA5F5">
      <w:pPr>
        <w:pStyle w:val="FERCparanumber"/>
        <w:numPr>
          <w:ilvl w:val="0"/>
          <w:numId w:val="0"/>
        </w:numPr>
        <w:tabs>
          <w:tab w:val="center" w:pos="4680"/>
          <w:tab w:val="left" w:pos="5980"/>
        </w:tabs>
        <w:spacing w:line="240" w:lineRule="auto"/>
        <w:jc w:val="center"/>
      </w:pPr>
    </w:p>
    <w:tbl>
      <w:tblPr>
        <w:tblStyle w:val="TableGrid"/>
        <w:tblW w:w="10350" w:type="dxa"/>
        <w:tblInd w:w="-545" w:type="dxa"/>
        <w:tblLook w:val="04A0"/>
      </w:tblPr>
      <w:tblGrid>
        <w:gridCol w:w="2083"/>
        <w:gridCol w:w="1632"/>
        <w:gridCol w:w="1549"/>
        <w:gridCol w:w="52"/>
        <w:gridCol w:w="1496"/>
        <w:gridCol w:w="45"/>
        <w:gridCol w:w="1501"/>
        <w:gridCol w:w="1992"/>
      </w:tblGrid>
      <w:tr w14:paraId="46052A45" w14:textId="77777777" w:rsidTr="005F0A0E">
        <w:tblPrEx>
          <w:tblW w:w="10350" w:type="dxa"/>
          <w:tblInd w:w="-545" w:type="dxa"/>
          <w:tblLook w:val="04A0"/>
        </w:tblPrEx>
        <w:trPr>
          <w:trHeight w:val="377"/>
        </w:trPr>
        <w:tc>
          <w:tcPr>
            <w:tcW w:w="2083" w:type="dxa"/>
          </w:tcPr>
          <w:p w:rsidR="00222806" w:rsidP="005F0A0E" w14:paraId="74B0D236" w14:textId="77777777">
            <w:pPr>
              <w:pStyle w:val="FERCparanumber"/>
              <w:numPr>
                <w:ilvl w:val="0"/>
                <w:numId w:val="0"/>
              </w:numPr>
              <w:spacing w:line="240" w:lineRule="auto"/>
              <w:jc w:val="center"/>
            </w:pPr>
            <w:r w:rsidRPr="00DF60C5">
              <w:rPr>
                <w:b/>
              </w:rPr>
              <w:t>Applicable Entity (Respondent)</w:t>
            </w:r>
          </w:p>
        </w:tc>
        <w:tc>
          <w:tcPr>
            <w:tcW w:w="1632" w:type="dxa"/>
          </w:tcPr>
          <w:p w:rsidR="00222806" w:rsidRPr="00DF60C5" w:rsidP="005F0A0E" w14:paraId="3E7D5DB3" w14:textId="77777777">
            <w:pPr>
              <w:pStyle w:val="FERCparanumber"/>
              <w:numPr>
                <w:ilvl w:val="0"/>
                <w:numId w:val="0"/>
              </w:numPr>
              <w:spacing w:line="240" w:lineRule="auto"/>
              <w:jc w:val="center"/>
              <w:rPr>
                <w:b/>
              </w:rPr>
            </w:pPr>
            <w:r w:rsidRPr="00DF60C5">
              <w:rPr>
                <w:b/>
              </w:rPr>
              <w:t>Number of Respondents</w:t>
            </w:r>
          </w:p>
          <w:p w:rsidR="00222806" w:rsidP="005F0A0E" w14:paraId="6A806E12" w14:textId="77777777">
            <w:pPr>
              <w:pStyle w:val="FERCparanumber"/>
              <w:numPr>
                <w:ilvl w:val="0"/>
                <w:numId w:val="0"/>
              </w:numPr>
              <w:spacing w:line="240" w:lineRule="auto"/>
              <w:jc w:val="center"/>
            </w:pPr>
            <w:r w:rsidRPr="00DF60C5">
              <w:rPr>
                <w:b/>
              </w:rPr>
              <w:t>(1)</w:t>
            </w:r>
          </w:p>
        </w:tc>
        <w:tc>
          <w:tcPr>
            <w:tcW w:w="1601" w:type="dxa"/>
            <w:gridSpan w:val="2"/>
          </w:tcPr>
          <w:p w:rsidR="00222806" w:rsidRPr="00DF60C5" w:rsidP="005F0A0E" w14:paraId="5C0BA4C5" w14:textId="77777777">
            <w:pPr>
              <w:pStyle w:val="FERCparanumber"/>
              <w:numPr>
                <w:ilvl w:val="0"/>
                <w:numId w:val="0"/>
              </w:numPr>
              <w:spacing w:line="240" w:lineRule="auto"/>
              <w:jc w:val="center"/>
              <w:rPr>
                <w:b/>
              </w:rPr>
            </w:pPr>
            <w:r w:rsidRPr="00DF60C5">
              <w:rPr>
                <w:b/>
              </w:rPr>
              <w:t>Annual Number of Responses per Respondent</w:t>
            </w:r>
          </w:p>
          <w:p w:rsidR="00222806" w:rsidP="005F0A0E" w14:paraId="45BCF98D" w14:textId="77777777">
            <w:pPr>
              <w:pStyle w:val="FERCparanumber"/>
              <w:numPr>
                <w:ilvl w:val="0"/>
                <w:numId w:val="0"/>
              </w:numPr>
              <w:spacing w:line="240" w:lineRule="auto"/>
              <w:jc w:val="center"/>
            </w:pPr>
            <w:r w:rsidRPr="00DF60C5">
              <w:rPr>
                <w:b/>
              </w:rPr>
              <w:t>(2)</w:t>
            </w:r>
          </w:p>
        </w:tc>
        <w:tc>
          <w:tcPr>
            <w:tcW w:w="1541" w:type="dxa"/>
            <w:gridSpan w:val="2"/>
          </w:tcPr>
          <w:p w:rsidR="00222806" w:rsidP="005F0A0E" w14:paraId="7DBE63D8" w14:textId="77777777">
            <w:pPr>
              <w:pStyle w:val="FERCparanumber"/>
              <w:numPr>
                <w:ilvl w:val="0"/>
                <w:numId w:val="0"/>
              </w:numPr>
              <w:spacing w:line="240" w:lineRule="auto"/>
              <w:jc w:val="center"/>
            </w:pPr>
            <w:r w:rsidRPr="00DF60C5">
              <w:rPr>
                <w:b/>
              </w:rPr>
              <w:t>Annual Number of Responses (1) * (2</w:t>
            </w:r>
            <w:r>
              <w:rPr>
                <w:b/>
              </w:rPr>
              <w:t>)</w:t>
            </w:r>
            <w:r w:rsidRPr="00DF60C5">
              <w:rPr>
                <w:b/>
              </w:rPr>
              <w:t xml:space="preserve"> =</w:t>
            </w:r>
            <w:r>
              <w:rPr>
                <w:b/>
              </w:rPr>
              <w:t xml:space="preserve"> </w:t>
            </w:r>
            <w:r w:rsidRPr="00DF60C5">
              <w:rPr>
                <w:b/>
              </w:rPr>
              <w:t>(3)</w:t>
            </w:r>
          </w:p>
        </w:tc>
        <w:tc>
          <w:tcPr>
            <w:tcW w:w="1501" w:type="dxa"/>
          </w:tcPr>
          <w:p w:rsidR="00222806" w:rsidRPr="00DF60C5" w:rsidP="005F0A0E" w14:paraId="0C095C91" w14:textId="77777777">
            <w:pPr>
              <w:pStyle w:val="FERCparanumber"/>
              <w:numPr>
                <w:ilvl w:val="0"/>
                <w:numId w:val="0"/>
              </w:numPr>
              <w:spacing w:line="240" w:lineRule="auto"/>
              <w:jc w:val="center"/>
              <w:rPr>
                <w:b/>
              </w:rPr>
            </w:pPr>
            <w:r w:rsidRPr="00DF60C5">
              <w:rPr>
                <w:b/>
              </w:rPr>
              <w:t>Average Burden Hours and Cost per Response</w:t>
            </w:r>
          </w:p>
          <w:p w:rsidR="00222806" w:rsidP="005F0A0E" w14:paraId="5E30ED55" w14:textId="77777777">
            <w:pPr>
              <w:pStyle w:val="FERCparanumber"/>
              <w:numPr>
                <w:ilvl w:val="0"/>
                <w:numId w:val="0"/>
              </w:numPr>
              <w:spacing w:line="240" w:lineRule="auto"/>
              <w:jc w:val="center"/>
            </w:pPr>
            <w:r w:rsidRPr="00DF60C5">
              <w:rPr>
                <w:b/>
              </w:rPr>
              <w:t>(4)</w:t>
            </w:r>
          </w:p>
        </w:tc>
        <w:tc>
          <w:tcPr>
            <w:tcW w:w="1992" w:type="dxa"/>
          </w:tcPr>
          <w:p w:rsidR="00222806" w:rsidP="005F0A0E" w14:paraId="160DBABC" w14:textId="77777777">
            <w:pPr>
              <w:pStyle w:val="FERCparanumber"/>
              <w:numPr>
                <w:ilvl w:val="0"/>
                <w:numId w:val="0"/>
              </w:numPr>
              <w:spacing w:line="240" w:lineRule="auto"/>
              <w:jc w:val="center"/>
              <w:rPr>
                <w:b/>
              </w:rPr>
            </w:pPr>
            <w:r w:rsidRPr="00DF60C5">
              <w:rPr>
                <w:b/>
              </w:rPr>
              <w:t>Total Annual Burden Hours and Cost Reduction</w:t>
            </w:r>
          </w:p>
          <w:p w:rsidR="00222806" w:rsidP="005F0A0E" w14:paraId="27C18482" w14:textId="77777777">
            <w:pPr>
              <w:pStyle w:val="FERCparanumber"/>
              <w:numPr>
                <w:ilvl w:val="0"/>
                <w:numId w:val="0"/>
              </w:numPr>
              <w:spacing w:line="240" w:lineRule="auto"/>
              <w:jc w:val="center"/>
            </w:pPr>
            <w:r>
              <w:rPr>
                <w:b/>
              </w:rPr>
              <w:t>(3) * (4) = (5)</w:t>
            </w:r>
          </w:p>
        </w:tc>
      </w:tr>
      <w:tr w14:paraId="707679C5" w14:textId="77777777" w:rsidTr="005F0A0E">
        <w:tblPrEx>
          <w:tblW w:w="10350" w:type="dxa"/>
          <w:tblInd w:w="-545" w:type="dxa"/>
          <w:tblLook w:val="04A0"/>
        </w:tblPrEx>
        <w:tc>
          <w:tcPr>
            <w:tcW w:w="2083" w:type="dxa"/>
          </w:tcPr>
          <w:p w:rsidR="001F3020" w:rsidRPr="0055294C" w:rsidP="001F3020" w14:paraId="2E1F9E13" w14:textId="22AECEDC">
            <w:pPr>
              <w:pStyle w:val="FERCparanumber"/>
              <w:numPr>
                <w:ilvl w:val="0"/>
                <w:numId w:val="0"/>
              </w:numPr>
              <w:tabs>
                <w:tab w:val="center" w:pos="4680"/>
                <w:tab w:val="left" w:pos="5980"/>
              </w:tabs>
              <w:spacing w:line="240" w:lineRule="auto"/>
              <w:rPr>
                <w:bCs/>
                <w:szCs w:val="26"/>
              </w:rPr>
            </w:pPr>
            <w:r w:rsidRPr="0055294C">
              <w:rPr>
                <w:bCs/>
                <w:szCs w:val="26"/>
              </w:rPr>
              <w:t>TOP – Retired</w:t>
            </w:r>
          </w:p>
        </w:tc>
        <w:tc>
          <w:tcPr>
            <w:tcW w:w="1632" w:type="dxa"/>
            <w:vAlign w:val="bottom"/>
          </w:tcPr>
          <w:p w:rsidR="001F3020" w:rsidRPr="0055294C" w:rsidP="001F3020" w14:paraId="0E000A6F" w14:textId="274296AE">
            <w:pPr>
              <w:pStyle w:val="FERCparanumber"/>
              <w:numPr>
                <w:ilvl w:val="0"/>
                <w:numId w:val="0"/>
              </w:numPr>
              <w:tabs>
                <w:tab w:val="center" w:pos="4680"/>
                <w:tab w:val="left" w:pos="5980"/>
              </w:tabs>
              <w:spacing w:line="240" w:lineRule="auto"/>
              <w:jc w:val="right"/>
              <w:rPr>
                <w:szCs w:val="26"/>
              </w:rPr>
            </w:pPr>
            <w:r w:rsidRPr="0055294C">
              <w:rPr>
                <w:szCs w:val="26"/>
              </w:rPr>
              <w:t>165</w:t>
            </w:r>
          </w:p>
        </w:tc>
        <w:tc>
          <w:tcPr>
            <w:tcW w:w="1549" w:type="dxa"/>
            <w:vAlign w:val="bottom"/>
          </w:tcPr>
          <w:p w:rsidR="001F3020" w:rsidRPr="0055294C" w:rsidP="001F3020" w14:paraId="329CFB66" w14:textId="409B5300">
            <w:pPr>
              <w:pStyle w:val="FERCparanumber"/>
              <w:numPr>
                <w:ilvl w:val="0"/>
                <w:numId w:val="0"/>
              </w:numPr>
              <w:tabs>
                <w:tab w:val="center" w:pos="4680"/>
                <w:tab w:val="left" w:pos="5980"/>
              </w:tabs>
              <w:spacing w:line="240" w:lineRule="auto"/>
              <w:jc w:val="right"/>
              <w:rPr>
                <w:szCs w:val="26"/>
              </w:rPr>
            </w:pPr>
            <w:r w:rsidRPr="0055294C">
              <w:rPr>
                <w:szCs w:val="26"/>
              </w:rPr>
              <w:t>1</w:t>
            </w:r>
          </w:p>
        </w:tc>
        <w:tc>
          <w:tcPr>
            <w:tcW w:w="1548" w:type="dxa"/>
            <w:gridSpan w:val="2"/>
            <w:vAlign w:val="bottom"/>
          </w:tcPr>
          <w:p w:rsidR="001F3020" w:rsidRPr="0055294C" w:rsidP="001F3020" w14:paraId="4B653EF0" w14:textId="21CBECE9">
            <w:pPr>
              <w:pStyle w:val="FERCparanumber"/>
              <w:numPr>
                <w:ilvl w:val="0"/>
                <w:numId w:val="0"/>
              </w:numPr>
              <w:tabs>
                <w:tab w:val="center" w:pos="4680"/>
                <w:tab w:val="left" w:pos="5980"/>
              </w:tabs>
              <w:spacing w:line="240" w:lineRule="auto"/>
              <w:jc w:val="right"/>
              <w:rPr>
                <w:szCs w:val="26"/>
              </w:rPr>
            </w:pPr>
            <w:r w:rsidRPr="0055294C">
              <w:rPr>
                <w:szCs w:val="26"/>
              </w:rPr>
              <w:t>165</w:t>
            </w:r>
          </w:p>
        </w:tc>
        <w:tc>
          <w:tcPr>
            <w:tcW w:w="1546" w:type="dxa"/>
            <w:gridSpan w:val="2"/>
            <w:vAlign w:val="bottom"/>
          </w:tcPr>
          <w:p w:rsidR="001F3020" w:rsidRPr="0055294C" w:rsidP="001F3020" w14:paraId="274C6C2E" w14:textId="77777777">
            <w:pPr>
              <w:spacing w:after="12" w:line="259" w:lineRule="auto"/>
              <w:ind w:right="15"/>
              <w:jc w:val="right"/>
              <w:rPr>
                <w:rFonts w:ascii="Times New Roman" w:hAnsi="Times New Roman" w:cs="Times New Roman"/>
                <w:sz w:val="26"/>
                <w:szCs w:val="26"/>
              </w:rPr>
            </w:pPr>
            <w:r w:rsidRPr="0055294C">
              <w:rPr>
                <w:rFonts w:ascii="Times New Roman" w:hAnsi="Times New Roman" w:cs="Times New Roman"/>
                <w:sz w:val="26"/>
                <w:szCs w:val="26"/>
              </w:rPr>
              <w:t>60 hrs.;</w:t>
            </w:r>
          </w:p>
          <w:p w:rsidR="001F3020" w:rsidRPr="0055294C" w:rsidP="001F3020" w14:paraId="062C5096" w14:textId="3A91377F">
            <w:pPr>
              <w:pStyle w:val="FERCparanumber"/>
              <w:numPr>
                <w:ilvl w:val="0"/>
                <w:numId w:val="0"/>
              </w:numPr>
              <w:tabs>
                <w:tab w:val="center" w:pos="4680"/>
                <w:tab w:val="left" w:pos="5980"/>
              </w:tabs>
              <w:spacing w:line="240" w:lineRule="auto"/>
              <w:jc w:val="right"/>
              <w:rPr>
                <w:szCs w:val="26"/>
              </w:rPr>
            </w:pPr>
            <w:r w:rsidRPr="0055294C">
              <w:rPr>
                <w:szCs w:val="26"/>
              </w:rPr>
              <w:t>$</w:t>
            </w:r>
            <w:r w:rsidRPr="00653239" w:rsidR="00C314B4">
              <w:rPr>
                <w:szCs w:val="26"/>
              </w:rPr>
              <w:t>4,071.6</w:t>
            </w:r>
            <w:r w:rsidR="00C314B4">
              <w:rPr>
                <w:szCs w:val="26"/>
              </w:rPr>
              <w:t>0</w:t>
            </w:r>
          </w:p>
        </w:tc>
        <w:tc>
          <w:tcPr>
            <w:tcW w:w="1992" w:type="dxa"/>
            <w:vAlign w:val="bottom"/>
          </w:tcPr>
          <w:p w:rsidR="001F3020" w:rsidRPr="0055294C" w:rsidP="001F3020" w14:paraId="6D1C4456" w14:textId="7A59B7F4">
            <w:pPr>
              <w:pStyle w:val="FERCparanumber"/>
              <w:numPr>
                <w:ilvl w:val="0"/>
                <w:numId w:val="0"/>
              </w:numPr>
              <w:tabs>
                <w:tab w:val="center" w:pos="4680"/>
                <w:tab w:val="left" w:pos="5980"/>
              </w:tabs>
              <w:spacing w:line="240" w:lineRule="auto"/>
              <w:jc w:val="right"/>
              <w:rPr>
                <w:szCs w:val="26"/>
              </w:rPr>
            </w:pPr>
            <w:r w:rsidRPr="0055294C">
              <w:rPr>
                <w:szCs w:val="26"/>
              </w:rPr>
              <w:t>9,900 hrs.; $</w:t>
            </w:r>
            <w:r w:rsidRPr="00C314B4" w:rsidR="00C314B4">
              <w:rPr>
                <w:szCs w:val="26"/>
              </w:rPr>
              <w:t>671,814</w:t>
            </w:r>
          </w:p>
        </w:tc>
      </w:tr>
      <w:tr w14:paraId="4EA24D58" w14:textId="77777777" w:rsidTr="005F0A0E">
        <w:tblPrEx>
          <w:tblW w:w="10350" w:type="dxa"/>
          <w:tblInd w:w="-545" w:type="dxa"/>
          <w:tblLook w:val="04A0"/>
        </w:tblPrEx>
        <w:tc>
          <w:tcPr>
            <w:tcW w:w="2083" w:type="dxa"/>
          </w:tcPr>
          <w:p w:rsidR="001F3020" w:rsidRPr="0055294C" w:rsidP="001F3020" w14:paraId="0C2A7561" w14:textId="1777B713">
            <w:pPr>
              <w:pStyle w:val="FERCparanumber"/>
              <w:numPr>
                <w:ilvl w:val="0"/>
                <w:numId w:val="0"/>
              </w:numPr>
              <w:tabs>
                <w:tab w:val="center" w:pos="4680"/>
                <w:tab w:val="left" w:pos="5980"/>
              </w:tabs>
              <w:spacing w:line="240" w:lineRule="auto"/>
              <w:rPr>
                <w:bCs/>
                <w:szCs w:val="26"/>
              </w:rPr>
            </w:pPr>
            <w:r w:rsidRPr="0055294C">
              <w:rPr>
                <w:bCs/>
                <w:szCs w:val="26"/>
              </w:rPr>
              <w:t>TSP – Retired</w:t>
            </w:r>
          </w:p>
        </w:tc>
        <w:tc>
          <w:tcPr>
            <w:tcW w:w="1632" w:type="dxa"/>
            <w:vAlign w:val="bottom"/>
          </w:tcPr>
          <w:p w:rsidR="001F3020" w:rsidRPr="0055294C" w:rsidP="001F3020" w14:paraId="53E5B2A0" w14:textId="66B71AEF">
            <w:pPr>
              <w:pStyle w:val="FERCparanumber"/>
              <w:numPr>
                <w:ilvl w:val="0"/>
                <w:numId w:val="0"/>
              </w:numPr>
              <w:tabs>
                <w:tab w:val="center" w:pos="4680"/>
                <w:tab w:val="left" w:pos="5980"/>
              </w:tabs>
              <w:spacing w:line="240" w:lineRule="auto"/>
              <w:jc w:val="right"/>
              <w:rPr>
                <w:szCs w:val="26"/>
              </w:rPr>
            </w:pPr>
            <w:r w:rsidRPr="0055294C">
              <w:rPr>
                <w:szCs w:val="26"/>
              </w:rPr>
              <w:t>71</w:t>
            </w:r>
          </w:p>
        </w:tc>
        <w:tc>
          <w:tcPr>
            <w:tcW w:w="1549" w:type="dxa"/>
            <w:vAlign w:val="bottom"/>
          </w:tcPr>
          <w:p w:rsidR="001F3020" w:rsidRPr="0055294C" w:rsidP="001F3020" w14:paraId="2E027A4B" w14:textId="19912429">
            <w:pPr>
              <w:pStyle w:val="FERCparanumber"/>
              <w:numPr>
                <w:ilvl w:val="0"/>
                <w:numId w:val="0"/>
              </w:numPr>
              <w:tabs>
                <w:tab w:val="center" w:pos="4680"/>
                <w:tab w:val="left" w:pos="5980"/>
              </w:tabs>
              <w:spacing w:line="240" w:lineRule="auto"/>
              <w:jc w:val="right"/>
              <w:rPr>
                <w:szCs w:val="26"/>
              </w:rPr>
            </w:pPr>
            <w:r w:rsidRPr="0055294C">
              <w:rPr>
                <w:szCs w:val="26"/>
              </w:rPr>
              <w:t>1</w:t>
            </w:r>
          </w:p>
        </w:tc>
        <w:tc>
          <w:tcPr>
            <w:tcW w:w="1548" w:type="dxa"/>
            <w:gridSpan w:val="2"/>
            <w:vAlign w:val="bottom"/>
          </w:tcPr>
          <w:p w:rsidR="001F3020" w:rsidRPr="0055294C" w:rsidP="001F3020" w14:paraId="301A64BE" w14:textId="7024EA7F">
            <w:pPr>
              <w:pStyle w:val="FERCparanumber"/>
              <w:numPr>
                <w:ilvl w:val="0"/>
                <w:numId w:val="0"/>
              </w:numPr>
              <w:tabs>
                <w:tab w:val="center" w:pos="4680"/>
                <w:tab w:val="left" w:pos="5980"/>
              </w:tabs>
              <w:spacing w:line="240" w:lineRule="auto"/>
              <w:jc w:val="right"/>
              <w:rPr>
                <w:szCs w:val="26"/>
              </w:rPr>
            </w:pPr>
            <w:r w:rsidRPr="0055294C">
              <w:rPr>
                <w:szCs w:val="26"/>
              </w:rPr>
              <w:t>71</w:t>
            </w:r>
          </w:p>
        </w:tc>
        <w:tc>
          <w:tcPr>
            <w:tcW w:w="1546" w:type="dxa"/>
            <w:gridSpan w:val="2"/>
            <w:vAlign w:val="bottom"/>
          </w:tcPr>
          <w:p w:rsidR="001F3020" w:rsidRPr="0055294C" w:rsidP="001F3020" w14:paraId="5344ED6A" w14:textId="77777777">
            <w:pPr>
              <w:spacing w:after="12" w:line="259" w:lineRule="auto"/>
              <w:ind w:right="15"/>
              <w:jc w:val="right"/>
              <w:rPr>
                <w:rFonts w:ascii="Times New Roman" w:hAnsi="Times New Roman" w:cs="Times New Roman"/>
                <w:sz w:val="26"/>
                <w:szCs w:val="26"/>
              </w:rPr>
            </w:pPr>
            <w:r w:rsidRPr="0055294C">
              <w:rPr>
                <w:rFonts w:ascii="Times New Roman" w:hAnsi="Times New Roman" w:cs="Times New Roman"/>
                <w:sz w:val="26"/>
                <w:szCs w:val="26"/>
              </w:rPr>
              <w:t>60 hrs.;</w:t>
            </w:r>
          </w:p>
          <w:p w:rsidR="001F3020" w:rsidRPr="0055294C" w:rsidP="001F3020" w14:paraId="7F978A29" w14:textId="60640CA1">
            <w:pPr>
              <w:pStyle w:val="FERCparanumber"/>
              <w:numPr>
                <w:ilvl w:val="0"/>
                <w:numId w:val="0"/>
              </w:numPr>
              <w:tabs>
                <w:tab w:val="center" w:pos="4680"/>
                <w:tab w:val="left" w:pos="5980"/>
              </w:tabs>
              <w:spacing w:line="240" w:lineRule="auto"/>
              <w:jc w:val="right"/>
              <w:rPr>
                <w:szCs w:val="26"/>
              </w:rPr>
            </w:pPr>
            <w:r w:rsidRPr="0055294C">
              <w:rPr>
                <w:szCs w:val="26"/>
              </w:rPr>
              <w:t>$</w:t>
            </w:r>
            <w:r w:rsidRPr="00653239" w:rsidR="00C314B4">
              <w:rPr>
                <w:szCs w:val="26"/>
              </w:rPr>
              <w:t>4,071.6</w:t>
            </w:r>
            <w:r w:rsidR="00C314B4">
              <w:rPr>
                <w:szCs w:val="26"/>
              </w:rPr>
              <w:t>0</w:t>
            </w:r>
          </w:p>
        </w:tc>
        <w:tc>
          <w:tcPr>
            <w:tcW w:w="1992" w:type="dxa"/>
            <w:vAlign w:val="bottom"/>
          </w:tcPr>
          <w:p w:rsidR="001F3020" w:rsidRPr="0055294C" w:rsidP="001F3020" w14:paraId="536C1C42" w14:textId="77777777">
            <w:pPr>
              <w:spacing w:line="259" w:lineRule="auto"/>
              <w:ind w:right="14"/>
              <w:jc w:val="right"/>
              <w:rPr>
                <w:rFonts w:ascii="Times New Roman" w:hAnsi="Times New Roman" w:cs="Times New Roman"/>
                <w:sz w:val="26"/>
                <w:szCs w:val="26"/>
              </w:rPr>
            </w:pPr>
            <w:r w:rsidRPr="0055294C">
              <w:rPr>
                <w:rFonts w:ascii="Times New Roman" w:hAnsi="Times New Roman" w:cs="Times New Roman"/>
                <w:sz w:val="26"/>
                <w:szCs w:val="26"/>
              </w:rPr>
              <w:t>4,260 hrs.;</w:t>
            </w:r>
          </w:p>
          <w:p w:rsidR="001F3020" w:rsidRPr="0055294C" w:rsidP="001F3020" w14:paraId="739C4F7C" w14:textId="54A7E597">
            <w:pPr>
              <w:pStyle w:val="FERCparanumber"/>
              <w:numPr>
                <w:ilvl w:val="0"/>
                <w:numId w:val="0"/>
              </w:numPr>
              <w:tabs>
                <w:tab w:val="center" w:pos="4680"/>
                <w:tab w:val="left" w:pos="5980"/>
              </w:tabs>
              <w:spacing w:line="240" w:lineRule="auto"/>
              <w:jc w:val="right"/>
              <w:rPr>
                <w:szCs w:val="26"/>
              </w:rPr>
            </w:pPr>
            <w:r w:rsidRPr="0055294C">
              <w:rPr>
                <w:szCs w:val="26"/>
              </w:rPr>
              <w:t>$</w:t>
            </w:r>
            <w:r w:rsidRPr="000619C7" w:rsidR="000619C7">
              <w:rPr>
                <w:szCs w:val="26"/>
              </w:rPr>
              <w:t>289,083.6</w:t>
            </w:r>
            <w:r w:rsidR="000619C7">
              <w:rPr>
                <w:szCs w:val="26"/>
              </w:rPr>
              <w:t>0</w:t>
            </w:r>
          </w:p>
        </w:tc>
      </w:tr>
      <w:tr w14:paraId="303CA5F1" w14:textId="77777777" w:rsidTr="005F0A0E">
        <w:tblPrEx>
          <w:tblW w:w="10350" w:type="dxa"/>
          <w:tblInd w:w="-545" w:type="dxa"/>
          <w:tblLook w:val="04A0"/>
        </w:tblPrEx>
        <w:tc>
          <w:tcPr>
            <w:tcW w:w="2083" w:type="dxa"/>
          </w:tcPr>
          <w:p w:rsidR="001F3020" w:rsidRPr="00D47A58" w:rsidP="006E761D" w14:paraId="437E0834" w14:textId="4B7D1F5D">
            <w:pPr>
              <w:spacing w:after="17" w:line="259" w:lineRule="auto"/>
              <w:ind w:left="1"/>
              <w:rPr>
                <w:rFonts w:ascii="Times New Roman" w:hAnsi="Times New Roman"/>
                <w:sz w:val="26"/>
                <w:szCs w:val="26"/>
              </w:rPr>
            </w:pPr>
            <w:r w:rsidRPr="00D47A58">
              <w:rPr>
                <w:rFonts w:ascii="Times New Roman" w:eastAsia="Times New Roman" w:hAnsi="Times New Roman" w:cs="Times New Roman"/>
                <w:b/>
                <w:sz w:val="26"/>
                <w:szCs w:val="26"/>
              </w:rPr>
              <w:t xml:space="preserve">FERC-725A </w:t>
            </w:r>
            <w:r w:rsidRPr="00D47A58">
              <w:rPr>
                <w:rFonts w:ascii="Times New Roman" w:eastAsia="Times New Roman" w:hAnsi="Times New Roman" w:cs="Times New Roman"/>
                <w:b/>
                <w:sz w:val="26"/>
                <w:szCs w:val="26"/>
              </w:rPr>
              <w:t>for MOD-030-</w:t>
            </w:r>
            <w:r w:rsidRPr="00D47A58" w:rsidR="00907E06">
              <w:rPr>
                <w:rFonts w:ascii="Times New Roman" w:hAnsi="Times New Roman"/>
                <w:b/>
                <w:sz w:val="26"/>
                <w:szCs w:val="26"/>
              </w:rPr>
              <w:t>3</w:t>
            </w:r>
            <w:r w:rsidRPr="00D47A58">
              <w:rPr>
                <w:rFonts w:ascii="Times New Roman" w:hAnsi="Times New Roman"/>
                <w:b/>
                <w:sz w:val="26"/>
                <w:szCs w:val="26"/>
              </w:rPr>
              <w:t xml:space="preserve"> </w:t>
            </w:r>
            <w:r w:rsidRPr="00D47A58">
              <w:rPr>
                <w:rFonts w:ascii="Times New Roman" w:hAnsi="Times New Roman"/>
                <w:b/>
                <w:sz w:val="26"/>
                <w:szCs w:val="26"/>
              </w:rPr>
              <w:t xml:space="preserve">Total </w:t>
            </w:r>
            <w:r w:rsidRPr="00D47A58">
              <w:rPr>
                <w:rFonts w:ascii="Times New Roman" w:hAnsi="Times New Roman"/>
                <w:b/>
                <w:sz w:val="26"/>
                <w:szCs w:val="26"/>
              </w:rPr>
              <w:t>Retired</w:t>
            </w:r>
          </w:p>
        </w:tc>
        <w:tc>
          <w:tcPr>
            <w:tcW w:w="1632" w:type="dxa"/>
          </w:tcPr>
          <w:p w:rsidR="001F3020" w:rsidRPr="0055294C" w:rsidP="001F3020" w14:paraId="550D878F" w14:textId="77777777">
            <w:pPr>
              <w:pStyle w:val="FERCparanumber"/>
              <w:numPr>
                <w:ilvl w:val="0"/>
                <w:numId w:val="0"/>
              </w:numPr>
              <w:tabs>
                <w:tab w:val="center" w:pos="4680"/>
                <w:tab w:val="left" w:pos="5980"/>
              </w:tabs>
              <w:spacing w:line="240" w:lineRule="auto"/>
              <w:rPr>
                <w:szCs w:val="26"/>
              </w:rPr>
            </w:pPr>
          </w:p>
        </w:tc>
        <w:tc>
          <w:tcPr>
            <w:tcW w:w="1549" w:type="dxa"/>
          </w:tcPr>
          <w:p w:rsidR="001F3020" w:rsidRPr="0055294C" w:rsidP="001F3020" w14:paraId="03165C88" w14:textId="77777777">
            <w:pPr>
              <w:pStyle w:val="FERCparanumber"/>
              <w:numPr>
                <w:ilvl w:val="0"/>
                <w:numId w:val="0"/>
              </w:numPr>
              <w:tabs>
                <w:tab w:val="center" w:pos="4680"/>
                <w:tab w:val="left" w:pos="5980"/>
              </w:tabs>
              <w:spacing w:line="240" w:lineRule="auto"/>
              <w:rPr>
                <w:szCs w:val="26"/>
              </w:rPr>
            </w:pPr>
          </w:p>
        </w:tc>
        <w:tc>
          <w:tcPr>
            <w:tcW w:w="1548" w:type="dxa"/>
            <w:gridSpan w:val="2"/>
          </w:tcPr>
          <w:p w:rsidR="001F3020" w:rsidRPr="0055294C" w:rsidP="001F3020" w14:paraId="0BE8903F" w14:textId="77777777">
            <w:pPr>
              <w:pStyle w:val="FERCparanumber"/>
              <w:numPr>
                <w:ilvl w:val="0"/>
                <w:numId w:val="0"/>
              </w:numPr>
              <w:tabs>
                <w:tab w:val="center" w:pos="4680"/>
                <w:tab w:val="left" w:pos="5980"/>
              </w:tabs>
              <w:spacing w:line="240" w:lineRule="auto"/>
              <w:rPr>
                <w:szCs w:val="26"/>
              </w:rPr>
            </w:pPr>
          </w:p>
        </w:tc>
        <w:tc>
          <w:tcPr>
            <w:tcW w:w="1546" w:type="dxa"/>
            <w:gridSpan w:val="2"/>
          </w:tcPr>
          <w:p w:rsidR="001F3020" w:rsidRPr="0055294C" w:rsidP="001F3020" w14:paraId="73F27543" w14:textId="77777777">
            <w:pPr>
              <w:pStyle w:val="FERCparanumber"/>
              <w:numPr>
                <w:ilvl w:val="0"/>
                <w:numId w:val="0"/>
              </w:numPr>
              <w:tabs>
                <w:tab w:val="center" w:pos="4680"/>
                <w:tab w:val="left" w:pos="5980"/>
              </w:tabs>
              <w:spacing w:line="240" w:lineRule="auto"/>
              <w:rPr>
                <w:szCs w:val="26"/>
              </w:rPr>
            </w:pPr>
          </w:p>
        </w:tc>
        <w:tc>
          <w:tcPr>
            <w:tcW w:w="1992" w:type="dxa"/>
            <w:vAlign w:val="bottom"/>
          </w:tcPr>
          <w:p w:rsidR="001F3020" w:rsidRPr="0055294C" w:rsidP="001F3020" w14:paraId="4C4D01C5" w14:textId="77777777">
            <w:pPr>
              <w:spacing w:line="259" w:lineRule="auto"/>
              <w:ind w:right="12"/>
              <w:jc w:val="right"/>
              <w:rPr>
                <w:rFonts w:ascii="Times New Roman" w:hAnsi="Times New Roman" w:cs="Times New Roman"/>
                <w:sz w:val="26"/>
                <w:szCs w:val="26"/>
              </w:rPr>
            </w:pPr>
            <w:r w:rsidRPr="0055294C">
              <w:rPr>
                <w:rFonts w:ascii="Times New Roman" w:eastAsia="Times New Roman" w:hAnsi="Times New Roman" w:cs="Times New Roman"/>
                <w:b/>
                <w:sz w:val="26"/>
                <w:szCs w:val="26"/>
              </w:rPr>
              <w:t>14,160 hrs.;</w:t>
            </w:r>
          </w:p>
          <w:p w:rsidR="001F3020" w:rsidRPr="0055294C" w:rsidP="001F3020" w14:paraId="37897AE6" w14:textId="3F11D0CB">
            <w:pPr>
              <w:pStyle w:val="FERCparanumber"/>
              <w:numPr>
                <w:ilvl w:val="0"/>
                <w:numId w:val="0"/>
              </w:numPr>
              <w:tabs>
                <w:tab w:val="center" w:pos="4680"/>
                <w:tab w:val="left" w:pos="5980"/>
              </w:tabs>
              <w:spacing w:line="240" w:lineRule="auto"/>
              <w:jc w:val="right"/>
              <w:rPr>
                <w:szCs w:val="26"/>
              </w:rPr>
            </w:pPr>
            <w:r w:rsidRPr="0055294C">
              <w:rPr>
                <w:b/>
                <w:szCs w:val="26"/>
              </w:rPr>
              <w:t>$</w:t>
            </w:r>
            <w:r w:rsidRPr="002F4042" w:rsidR="002F4042">
              <w:rPr>
                <w:b/>
                <w:szCs w:val="26"/>
              </w:rPr>
              <w:t>960,897.6</w:t>
            </w:r>
            <w:r w:rsidR="002F4042">
              <w:rPr>
                <w:b/>
                <w:szCs w:val="26"/>
              </w:rPr>
              <w:t>0</w:t>
            </w:r>
          </w:p>
        </w:tc>
      </w:tr>
    </w:tbl>
    <w:p w:rsidR="00EE2CE5" w:rsidP="00D97595" w14:paraId="75F7475F" w14:textId="77777777">
      <w:pPr>
        <w:pStyle w:val="FERCparanumber"/>
        <w:numPr>
          <w:ilvl w:val="0"/>
          <w:numId w:val="0"/>
        </w:numPr>
        <w:spacing w:line="240" w:lineRule="auto"/>
        <w:jc w:val="center"/>
      </w:pPr>
    </w:p>
    <w:p w:rsidR="00EE2CE5" w14:paraId="26DA2567" w14:textId="77777777">
      <w:pPr>
        <w:rPr>
          <w:rFonts w:ascii="Times New Roman" w:eastAsia="Times New Roman" w:hAnsi="Times New Roman" w:cs="Times New Roman"/>
          <w:sz w:val="26"/>
          <w:szCs w:val="24"/>
        </w:rPr>
      </w:pPr>
      <w:r>
        <w:br w:type="page"/>
      </w:r>
    </w:p>
    <w:p w:rsidR="006A5231" w:rsidP="00D97595" w14:paraId="6B170CE7" w14:textId="2A7A09E3">
      <w:pPr>
        <w:pStyle w:val="FERCparanumber"/>
        <w:numPr>
          <w:ilvl w:val="0"/>
          <w:numId w:val="0"/>
        </w:numPr>
        <w:spacing w:line="240" w:lineRule="auto"/>
        <w:jc w:val="center"/>
      </w:pPr>
      <w:r>
        <w:t>Table 12-7</w:t>
      </w:r>
    </w:p>
    <w:p w:rsidR="00D97595" w:rsidP="00D97595" w14:paraId="08A7A426" w14:textId="11EF9C37">
      <w:pPr>
        <w:pStyle w:val="FERCparanumber"/>
        <w:numPr>
          <w:ilvl w:val="0"/>
          <w:numId w:val="0"/>
        </w:numPr>
        <w:spacing w:line="240" w:lineRule="auto"/>
        <w:jc w:val="center"/>
      </w:pPr>
      <w:r>
        <w:t>Summary of Burden Reductions</w:t>
      </w:r>
    </w:p>
    <w:p w:rsidR="00D97595" w:rsidP="00D97595" w14:paraId="3048948B" w14:textId="3A03E631">
      <w:pPr>
        <w:pStyle w:val="FERCparanumber"/>
        <w:numPr>
          <w:ilvl w:val="0"/>
          <w:numId w:val="0"/>
        </w:numPr>
        <w:spacing w:line="240" w:lineRule="auto"/>
      </w:pPr>
    </w:p>
    <w:tbl>
      <w:tblPr>
        <w:tblStyle w:val="TableGrid"/>
        <w:tblW w:w="0" w:type="auto"/>
        <w:tblInd w:w="0" w:type="dxa"/>
        <w:tblLook w:val="04A0"/>
      </w:tblPr>
      <w:tblGrid>
        <w:gridCol w:w="3116"/>
        <w:gridCol w:w="6149"/>
      </w:tblGrid>
      <w:tr w14:paraId="5BC0953D" w14:textId="77777777" w:rsidTr="00101B89">
        <w:tblPrEx>
          <w:tblW w:w="0" w:type="auto"/>
          <w:tblInd w:w="0" w:type="dxa"/>
          <w:tblLook w:val="04A0"/>
        </w:tblPrEx>
        <w:tc>
          <w:tcPr>
            <w:tcW w:w="3116" w:type="dxa"/>
            <w:vAlign w:val="center"/>
          </w:tcPr>
          <w:p w:rsidR="00705A5C" w:rsidRPr="00EF6759" w:rsidP="00101B89" w14:paraId="668DBCAD" w14:textId="3847AAE4">
            <w:pPr>
              <w:pStyle w:val="FERCparanumber"/>
              <w:numPr>
                <w:ilvl w:val="0"/>
                <w:numId w:val="0"/>
              </w:numPr>
              <w:spacing w:line="240" w:lineRule="auto"/>
              <w:jc w:val="center"/>
              <w:rPr>
                <w:b/>
                <w:bCs/>
              </w:rPr>
            </w:pPr>
            <w:r w:rsidRPr="00EF6759">
              <w:rPr>
                <w:b/>
                <w:bCs/>
              </w:rPr>
              <w:t>Retirement Standard</w:t>
            </w:r>
          </w:p>
        </w:tc>
        <w:tc>
          <w:tcPr>
            <w:tcW w:w="6149" w:type="dxa"/>
            <w:vAlign w:val="center"/>
          </w:tcPr>
          <w:p w:rsidR="00705A5C" w:rsidRPr="00EF6759" w:rsidP="00101B89" w14:paraId="288A4688" w14:textId="7589EAFA">
            <w:pPr>
              <w:pStyle w:val="FERCparanumber"/>
              <w:numPr>
                <w:ilvl w:val="0"/>
                <w:numId w:val="0"/>
              </w:numPr>
              <w:spacing w:line="240" w:lineRule="auto"/>
              <w:jc w:val="center"/>
              <w:rPr>
                <w:b/>
                <w:bCs/>
              </w:rPr>
            </w:pPr>
            <w:r>
              <w:rPr>
                <w:b/>
                <w:bCs/>
              </w:rPr>
              <w:t>Hours</w:t>
            </w:r>
            <w:r w:rsidRPr="00EF6759">
              <w:rPr>
                <w:b/>
                <w:bCs/>
              </w:rPr>
              <w:t xml:space="preserve"> Reduced</w:t>
            </w:r>
          </w:p>
        </w:tc>
      </w:tr>
      <w:tr w14:paraId="5256349C" w14:textId="77777777" w:rsidTr="006957DC">
        <w:tblPrEx>
          <w:tblW w:w="0" w:type="auto"/>
          <w:tblInd w:w="0" w:type="dxa"/>
          <w:tblLook w:val="04A0"/>
        </w:tblPrEx>
        <w:tc>
          <w:tcPr>
            <w:tcW w:w="3116" w:type="dxa"/>
          </w:tcPr>
          <w:p w:rsidR="00705A5C" w:rsidP="002705B2" w14:paraId="062A2A18" w14:textId="17D2DC5D">
            <w:pPr>
              <w:pStyle w:val="FERCparanumber"/>
              <w:numPr>
                <w:ilvl w:val="0"/>
                <w:numId w:val="0"/>
              </w:numPr>
              <w:spacing w:line="240" w:lineRule="auto"/>
            </w:pPr>
            <w:r>
              <w:t>MOD-001-1a</w:t>
            </w:r>
          </w:p>
        </w:tc>
        <w:tc>
          <w:tcPr>
            <w:tcW w:w="6149" w:type="dxa"/>
            <w:vAlign w:val="bottom"/>
          </w:tcPr>
          <w:p w:rsidR="00705A5C" w:rsidP="006957DC" w14:paraId="277F1BB2" w14:textId="0CCA894C">
            <w:pPr>
              <w:pStyle w:val="FERCparanumber"/>
              <w:numPr>
                <w:ilvl w:val="0"/>
                <w:numId w:val="0"/>
              </w:numPr>
              <w:spacing w:line="240" w:lineRule="auto"/>
              <w:jc w:val="right"/>
            </w:pPr>
            <w:r>
              <w:t>28,320</w:t>
            </w:r>
          </w:p>
        </w:tc>
      </w:tr>
      <w:tr w14:paraId="4005B11A" w14:textId="77777777" w:rsidTr="006957DC">
        <w:tblPrEx>
          <w:tblW w:w="0" w:type="auto"/>
          <w:tblInd w:w="0" w:type="dxa"/>
          <w:tblLook w:val="04A0"/>
        </w:tblPrEx>
        <w:tc>
          <w:tcPr>
            <w:tcW w:w="3116" w:type="dxa"/>
          </w:tcPr>
          <w:p w:rsidR="00705A5C" w:rsidP="002705B2" w14:paraId="502D204F" w14:textId="1E4D4ABF">
            <w:pPr>
              <w:pStyle w:val="FERCparanumber"/>
              <w:numPr>
                <w:ilvl w:val="0"/>
                <w:numId w:val="0"/>
              </w:numPr>
              <w:spacing w:line="240" w:lineRule="auto"/>
            </w:pPr>
            <w:r>
              <w:t>MOD-004-1</w:t>
            </w:r>
          </w:p>
        </w:tc>
        <w:tc>
          <w:tcPr>
            <w:tcW w:w="6149" w:type="dxa"/>
            <w:vAlign w:val="bottom"/>
          </w:tcPr>
          <w:p w:rsidR="00705A5C" w:rsidP="006957DC" w14:paraId="421F261B" w14:textId="783BECAC">
            <w:pPr>
              <w:pStyle w:val="FERCparanumber"/>
              <w:numPr>
                <w:ilvl w:val="0"/>
                <w:numId w:val="0"/>
              </w:numPr>
              <w:spacing w:line="240" w:lineRule="auto"/>
              <w:jc w:val="right"/>
            </w:pPr>
            <w:r>
              <w:t>31,860</w:t>
            </w:r>
          </w:p>
        </w:tc>
      </w:tr>
      <w:tr w14:paraId="26A728D4" w14:textId="77777777" w:rsidTr="006957DC">
        <w:tblPrEx>
          <w:tblW w:w="0" w:type="auto"/>
          <w:tblInd w:w="0" w:type="dxa"/>
          <w:tblLook w:val="04A0"/>
        </w:tblPrEx>
        <w:tc>
          <w:tcPr>
            <w:tcW w:w="3116" w:type="dxa"/>
          </w:tcPr>
          <w:p w:rsidR="00705A5C" w:rsidP="002705B2" w14:paraId="3567FD60" w14:textId="66252198">
            <w:pPr>
              <w:pStyle w:val="FERCparanumber"/>
              <w:numPr>
                <w:ilvl w:val="0"/>
                <w:numId w:val="0"/>
              </w:numPr>
              <w:spacing w:line="240" w:lineRule="auto"/>
            </w:pPr>
            <w:r>
              <w:t>MOD-008-1</w:t>
            </w:r>
          </w:p>
        </w:tc>
        <w:tc>
          <w:tcPr>
            <w:tcW w:w="6149" w:type="dxa"/>
            <w:vAlign w:val="bottom"/>
          </w:tcPr>
          <w:p w:rsidR="00705A5C" w:rsidP="006957DC" w14:paraId="7452C6F2" w14:textId="23318588">
            <w:pPr>
              <w:pStyle w:val="FERCparanumber"/>
              <w:numPr>
                <w:ilvl w:val="0"/>
                <w:numId w:val="0"/>
              </w:numPr>
              <w:spacing w:line="240" w:lineRule="auto"/>
              <w:jc w:val="right"/>
            </w:pPr>
            <w:r>
              <w:t>9,900</w:t>
            </w:r>
          </w:p>
        </w:tc>
      </w:tr>
      <w:tr w14:paraId="64280960" w14:textId="77777777" w:rsidTr="006957DC">
        <w:tblPrEx>
          <w:tblW w:w="0" w:type="auto"/>
          <w:tblInd w:w="0" w:type="dxa"/>
          <w:tblLook w:val="04A0"/>
        </w:tblPrEx>
        <w:tc>
          <w:tcPr>
            <w:tcW w:w="3116" w:type="dxa"/>
          </w:tcPr>
          <w:p w:rsidR="00705A5C" w:rsidP="002705B2" w14:paraId="75D60AAE" w14:textId="6BBB5FE0">
            <w:pPr>
              <w:pStyle w:val="FERCparanumber"/>
              <w:numPr>
                <w:ilvl w:val="0"/>
                <w:numId w:val="0"/>
              </w:numPr>
              <w:spacing w:line="240" w:lineRule="auto"/>
            </w:pPr>
            <w:r>
              <w:t>MOD-028-2</w:t>
            </w:r>
          </w:p>
        </w:tc>
        <w:tc>
          <w:tcPr>
            <w:tcW w:w="6149" w:type="dxa"/>
            <w:vAlign w:val="bottom"/>
          </w:tcPr>
          <w:p w:rsidR="00705A5C" w:rsidP="006957DC" w14:paraId="42A23715" w14:textId="27C9BBE2">
            <w:pPr>
              <w:pStyle w:val="FERCparanumber"/>
              <w:numPr>
                <w:ilvl w:val="0"/>
                <w:numId w:val="0"/>
              </w:numPr>
              <w:spacing w:line="240" w:lineRule="auto"/>
              <w:jc w:val="right"/>
            </w:pPr>
            <w:r>
              <w:t>14,160</w:t>
            </w:r>
          </w:p>
        </w:tc>
      </w:tr>
      <w:tr w14:paraId="143601B0" w14:textId="77777777" w:rsidTr="006957DC">
        <w:tblPrEx>
          <w:tblW w:w="0" w:type="auto"/>
          <w:tblInd w:w="0" w:type="dxa"/>
          <w:tblLook w:val="04A0"/>
        </w:tblPrEx>
        <w:tc>
          <w:tcPr>
            <w:tcW w:w="3116" w:type="dxa"/>
          </w:tcPr>
          <w:p w:rsidR="00705A5C" w:rsidP="002705B2" w14:paraId="0A02BEE0" w14:textId="5FE1A0C6">
            <w:pPr>
              <w:pStyle w:val="FERCparanumber"/>
              <w:numPr>
                <w:ilvl w:val="0"/>
                <w:numId w:val="0"/>
              </w:numPr>
              <w:spacing w:line="240" w:lineRule="auto"/>
            </w:pPr>
            <w:r>
              <w:t>MOD-029-2a</w:t>
            </w:r>
          </w:p>
        </w:tc>
        <w:tc>
          <w:tcPr>
            <w:tcW w:w="6149" w:type="dxa"/>
            <w:vAlign w:val="bottom"/>
          </w:tcPr>
          <w:p w:rsidR="00705A5C" w:rsidP="006957DC" w14:paraId="7EC63040" w14:textId="0D47F53C">
            <w:pPr>
              <w:pStyle w:val="FERCparanumber"/>
              <w:numPr>
                <w:ilvl w:val="0"/>
                <w:numId w:val="0"/>
              </w:numPr>
              <w:spacing w:line="240" w:lineRule="auto"/>
              <w:jc w:val="right"/>
            </w:pPr>
            <w:r>
              <w:t>14,160</w:t>
            </w:r>
          </w:p>
        </w:tc>
      </w:tr>
      <w:tr w14:paraId="488B225D" w14:textId="77777777" w:rsidTr="006957DC">
        <w:tblPrEx>
          <w:tblW w:w="0" w:type="auto"/>
          <w:tblInd w:w="0" w:type="dxa"/>
          <w:tblLook w:val="04A0"/>
        </w:tblPrEx>
        <w:tc>
          <w:tcPr>
            <w:tcW w:w="3116" w:type="dxa"/>
          </w:tcPr>
          <w:p w:rsidR="00705A5C" w:rsidP="002705B2" w14:paraId="3A2E756A" w14:textId="76FA0C5A">
            <w:pPr>
              <w:pStyle w:val="FERCparanumber"/>
              <w:numPr>
                <w:ilvl w:val="0"/>
                <w:numId w:val="0"/>
              </w:numPr>
              <w:spacing w:line="240" w:lineRule="auto"/>
            </w:pPr>
            <w:r>
              <w:t>MOD-030-3</w:t>
            </w:r>
          </w:p>
        </w:tc>
        <w:tc>
          <w:tcPr>
            <w:tcW w:w="6149" w:type="dxa"/>
            <w:vAlign w:val="bottom"/>
          </w:tcPr>
          <w:p w:rsidR="00705A5C" w:rsidP="006957DC" w14:paraId="7A707D7D" w14:textId="5FA2EDFB">
            <w:pPr>
              <w:pStyle w:val="FERCparanumber"/>
              <w:numPr>
                <w:ilvl w:val="0"/>
                <w:numId w:val="0"/>
              </w:numPr>
              <w:spacing w:line="240" w:lineRule="auto"/>
              <w:jc w:val="right"/>
            </w:pPr>
            <w:r>
              <w:t>14,160</w:t>
            </w:r>
          </w:p>
        </w:tc>
      </w:tr>
      <w:tr w14:paraId="220268DB" w14:textId="77777777" w:rsidTr="006957DC">
        <w:tblPrEx>
          <w:tblW w:w="0" w:type="auto"/>
          <w:tblInd w:w="0" w:type="dxa"/>
          <w:tblLook w:val="04A0"/>
        </w:tblPrEx>
        <w:tc>
          <w:tcPr>
            <w:tcW w:w="3116" w:type="dxa"/>
          </w:tcPr>
          <w:p w:rsidR="00705A5C" w:rsidRPr="00FB2A4A" w:rsidP="002705B2" w14:paraId="058E3E3D" w14:textId="34A86893">
            <w:pPr>
              <w:pStyle w:val="FERCparanumber"/>
              <w:numPr>
                <w:ilvl w:val="0"/>
                <w:numId w:val="0"/>
              </w:numPr>
              <w:spacing w:line="240" w:lineRule="auto"/>
              <w:rPr>
                <w:b/>
                <w:bCs/>
              </w:rPr>
            </w:pPr>
            <w:r>
              <w:rPr>
                <w:b/>
                <w:bCs/>
              </w:rPr>
              <w:t>Totals</w:t>
            </w:r>
          </w:p>
        </w:tc>
        <w:tc>
          <w:tcPr>
            <w:tcW w:w="6149" w:type="dxa"/>
            <w:vAlign w:val="bottom"/>
          </w:tcPr>
          <w:p w:rsidR="00705A5C" w:rsidRPr="009C373A" w:rsidP="006957DC" w14:paraId="527307E3" w14:textId="6AFEFE6C">
            <w:pPr>
              <w:pStyle w:val="FERCparanumber"/>
              <w:numPr>
                <w:ilvl w:val="0"/>
                <w:numId w:val="0"/>
              </w:numPr>
              <w:spacing w:line="240" w:lineRule="auto"/>
              <w:jc w:val="right"/>
              <w:rPr>
                <w:b/>
                <w:bCs/>
              </w:rPr>
            </w:pPr>
            <w:r>
              <w:rPr>
                <w:b/>
                <w:bCs/>
              </w:rPr>
              <w:t>112,560</w:t>
            </w:r>
          </w:p>
        </w:tc>
      </w:tr>
    </w:tbl>
    <w:p w:rsidR="00525121" w:rsidRPr="002705B2" w:rsidP="002705B2" w14:paraId="11F25951" w14:textId="77777777">
      <w:pPr>
        <w:pStyle w:val="FERCparanumber"/>
        <w:numPr>
          <w:ilvl w:val="0"/>
          <w:numId w:val="0"/>
        </w:numPr>
        <w:spacing w:line="240" w:lineRule="auto"/>
      </w:pPr>
    </w:p>
    <w:p w:rsidR="00D80FBD" w:rsidRPr="002705B2" w:rsidP="005140A8" w14:paraId="6E56DD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 OF THE TOTAL ANNUAL COST BURDEN TO RESPONDENTS</w:t>
      </w:r>
    </w:p>
    <w:p w:rsidR="00E636D7" w:rsidRPr="002705B2" w:rsidP="002705B2" w14:paraId="156AFB31" w14:textId="77777777">
      <w:pPr>
        <w:spacing w:after="0" w:line="240" w:lineRule="auto"/>
        <w:rPr>
          <w:rFonts w:ascii="Times New Roman" w:hAnsi="Times New Roman" w:cs="Times New Roman"/>
          <w:sz w:val="26"/>
          <w:szCs w:val="24"/>
        </w:rPr>
      </w:pPr>
    </w:p>
    <w:p w:rsidR="004552E9" w:rsidRPr="002705B2" w:rsidP="002705B2" w14:paraId="44333495" w14:textId="2CCB833A">
      <w:pPr>
        <w:spacing w:after="0" w:line="240" w:lineRule="auto"/>
        <w:rPr>
          <w:rFonts w:ascii="Times New Roman" w:hAnsi="Times New Roman"/>
          <w:sz w:val="26"/>
          <w:szCs w:val="24"/>
        </w:rPr>
      </w:pPr>
      <w:r w:rsidRPr="002705B2">
        <w:rPr>
          <w:rFonts w:ascii="Times New Roman" w:hAnsi="Times New Roman"/>
          <w:sz w:val="26"/>
          <w:szCs w:val="24"/>
        </w:rPr>
        <w:t xml:space="preserve">There is no start-up or other non-labor hour cost associated with </w:t>
      </w:r>
      <w:r w:rsidRPr="002705B2" w:rsidR="006A5231">
        <w:rPr>
          <w:rFonts w:ascii="Times New Roman" w:hAnsi="Times New Roman"/>
          <w:sz w:val="26"/>
          <w:szCs w:val="24"/>
        </w:rPr>
        <w:t>th</w:t>
      </w:r>
      <w:r w:rsidR="00EC7208">
        <w:rPr>
          <w:rFonts w:ascii="Times New Roman" w:hAnsi="Times New Roman"/>
          <w:sz w:val="26"/>
          <w:szCs w:val="24"/>
        </w:rPr>
        <w:t xml:space="preserve">e </w:t>
      </w:r>
      <w:r w:rsidR="00B40DAD">
        <w:rPr>
          <w:rFonts w:ascii="Times New Roman" w:hAnsi="Times New Roman"/>
          <w:sz w:val="26"/>
          <w:szCs w:val="24"/>
        </w:rPr>
        <w:t xml:space="preserve">retirement of the </w:t>
      </w:r>
      <w:r w:rsidR="00EC7208">
        <w:rPr>
          <w:rFonts w:ascii="Times New Roman" w:hAnsi="Times New Roman"/>
          <w:sz w:val="26"/>
          <w:szCs w:val="24"/>
        </w:rPr>
        <w:t>MOD A Reliability Standards.</w:t>
      </w:r>
      <w:r w:rsidRPr="002705B2">
        <w:rPr>
          <w:rFonts w:ascii="Times New Roman" w:hAnsi="Times New Roman"/>
          <w:sz w:val="26"/>
          <w:szCs w:val="24"/>
        </w:rPr>
        <w:t xml:space="preserve"> </w:t>
      </w:r>
    </w:p>
    <w:p w:rsidR="00E636D7" w:rsidRPr="002705B2" w:rsidP="002705B2" w14:paraId="7B75114A" w14:textId="77777777">
      <w:pPr>
        <w:spacing w:after="0" w:line="240" w:lineRule="auto"/>
        <w:rPr>
          <w:rFonts w:ascii="Times New Roman" w:hAnsi="Times New Roman" w:cs="Times New Roman"/>
          <w:sz w:val="26"/>
          <w:szCs w:val="24"/>
        </w:rPr>
      </w:pPr>
    </w:p>
    <w:p w:rsidR="00E636D7" w:rsidRPr="002705B2" w:rsidP="005140A8" w14:paraId="552549EE"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ANNUALIZED COST TO FEDERAL GOVERNMENT</w:t>
      </w:r>
    </w:p>
    <w:p w:rsidR="00A276F5" w:rsidRPr="002705B2" w:rsidP="002705B2" w14:paraId="129207A8" w14:textId="77777777">
      <w:pPr>
        <w:spacing w:after="0" w:line="240" w:lineRule="auto"/>
        <w:rPr>
          <w:rFonts w:ascii="Times New Roman" w:hAnsi="Times New Roman" w:cs="Times New Roman"/>
          <w:sz w:val="26"/>
          <w:szCs w:val="24"/>
        </w:rPr>
      </w:pPr>
    </w:p>
    <w:p w:rsidR="001B66CF" w:rsidRPr="002705B2" w:rsidP="002705B2" w14:paraId="20A89DBE" w14:textId="0643D1E9">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estimate of the cost for ‘analysis and processing of filings’</w:t>
      </w:r>
      <w:r w:rsidRPr="002705B2">
        <w:rPr>
          <w:rFonts w:ascii="Times New Roman" w:eastAsia="Calibri" w:hAnsi="Times New Roman" w:cs="Times New Roman"/>
          <w:sz w:val="26"/>
          <w:szCs w:val="26"/>
          <w:vertAlign w:val="superscript"/>
        </w:rPr>
        <w:t xml:space="preserve"> </w:t>
      </w:r>
      <w:r w:rsidRPr="002705B2">
        <w:rPr>
          <w:rFonts w:ascii="Times New Roman" w:eastAsia="Calibri"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2705B2" w:rsidP="002705B2" w14:paraId="7FB8557D" w14:textId="77777777">
      <w:pPr>
        <w:spacing w:after="0" w:line="240" w:lineRule="auto"/>
        <w:rPr>
          <w:rFonts w:ascii="Times New Roman" w:eastAsia="Calibri" w:hAnsi="Times New Roman" w:cs="Times New Roman"/>
          <w:sz w:val="26"/>
          <w:szCs w:val="26"/>
        </w:rPr>
      </w:pPr>
    </w:p>
    <w:p w:rsidR="001B66CF" w:rsidRPr="002705B2" w:rsidP="002705B2" w14:paraId="5DB4A9F3" w14:textId="77777777">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2705B2" w:rsidP="002705B2"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2705B2" w:rsidP="002705B2" w14:paraId="575EED8D" w14:textId="77777777">
            <w:pPr>
              <w:autoSpaceDE w:val="0"/>
              <w:autoSpaceDN w:val="0"/>
              <w:adjustRightInd w:val="0"/>
              <w:spacing w:after="0" w:line="240" w:lineRule="auto"/>
              <w:rPr>
                <w:rFonts w:ascii="Times New Roman" w:eastAsia="Times New Roman" w:hAnsi="Times New Roman" w:cs="Times New Roman"/>
                <w:sz w:val="26"/>
                <w:szCs w:val="26"/>
              </w:rPr>
            </w:pPr>
          </w:p>
        </w:tc>
        <w:tc>
          <w:tcPr>
            <w:tcW w:w="3201" w:type="dxa"/>
            <w:shd w:val="clear" w:color="auto" w:fill="CCCCCC"/>
          </w:tcPr>
          <w:p w:rsidR="001B66CF" w:rsidRPr="002705B2" w:rsidP="002705B2" w14:paraId="6FCC20A6"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Number of Employees (FTEs)</w:t>
            </w:r>
          </w:p>
        </w:tc>
        <w:tc>
          <w:tcPr>
            <w:tcW w:w="3985" w:type="dxa"/>
            <w:shd w:val="clear" w:color="auto" w:fill="CCCCCC"/>
          </w:tcPr>
          <w:p w:rsidR="001B66CF" w:rsidRPr="002705B2" w:rsidP="002705B2" w14:paraId="050D65C3"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Estimated Annual Federal Cost</w:t>
            </w:r>
          </w:p>
        </w:tc>
      </w:tr>
      <w:tr w14:paraId="42CA9A47" w14:textId="77777777" w:rsidTr="007C5EB4">
        <w:tblPrEx>
          <w:tblW w:w="10368" w:type="dxa"/>
          <w:tblLook w:val="01E0"/>
        </w:tblPrEx>
        <w:tc>
          <w:tcPr>
            <w:tcW w:w="3182" w:type="dxa"/>
            <w:shd w:val="clear" w:color="auto" w:fill="auto"/>
          </w:tcPr>
          <w:p w:rsidR="001B66CF" w:rsidRPr="002705B2" w:rsidP="002705B2" w14:paraId="682081B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Analysis and Processing of filings</w:t>
            </w:r>
          </w:p>
        </w:tc>
        <w:tc>
          <w:tcPr>
            <w:tcW w:w="3201" w:type="dxa"/>
            <w:shd w:val="clear" w:color="auto" w:fill="auto"/>
            <w:vAlign w:val="center"/>
          </w:tcPr>
          <w:p w:rsidR="001B66CF" w:rsidRPr="002705B2" w:rsidP="002705B2" w14:paraId="421D49AF" w14:textId="6CDE7F74">
            <w:pPr>
              <w:autoSpaceDE w:val="0"/>
              <w:autoSpaceDN w:val="0"/>
              <w:adjustRightInd w:val="0"/>
              <w:spacing w:after="0" w:line="240" w:lineRule="auto"/>
              <w:jc w:val="right"/>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0</w:t>
            </w:r>
          </w:p>
        </w:tc>
        <w:tc>
          <w:tcPr>
            <w:tcW w:w="3985" w:type="dxa"/>
            <w:shd w:val="clear" w:color="auto" w:fill="auto"/>
            <w:vAlign w:val="center"/>
          </w:tcPr>
          <w:p w:rsidR="001B66CF" w:rsidRPr="002705B2" w:rsidP="002705B2" w14:paraId="78A0903E" w14:textId="172DFA8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2705B2">
              <w:rPr>
                <w:rFonts w:ascii="Times New Roman" w:eastAsia="Times New Roman" w:hAnsi="Times New Roman" w:cs="Times New Roman"/>
                <w:sz w:val="26"/>
                <w:szCs w:val="26"/>
              </w:rPr>
              <w:t>$0</w:t>
            </w:r>
          </w:p>
        </w:tc>
      </w:tr>
      <w:tr w14:paraId="2BC4BA8A" w14:textId="77777777" w:rsidTr="007C5EB4">
        <w:tblPrEx>
          <w:tblW w:w="10368" w:type="dxa"/>
          <w:tblLook w:val="01E0"/>
        </w:tblPrEx>
        <w:tc>
          <w:tcPr>
            <w:tcW w:w="3182" w:type="dxa"/>
            <w:shd w:val="clear" w:color="auto" w:fill="auto"/>
          </w:tcPr>
          <w:p w:rsidR="001B66CF" w:rsidRPr="002705B2" w:rsidP="002705B2" w14:paraId="718D641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PRA Administrative Cost</w:t>
            </w:r>
          </w:p>
        </w:tc>
        <w:tc>
          <w:tcPr>
            <w:tcW w:w="3201" w:type="dxa"/>
            <w:shd w:val="clear" w:color="auto" w:fill="auto"/>
            <w:vAlign w:val="center"/>
          </w:tcPr>
          <w:p w:rsidR="001B66CF" w:rsidRPr="002705B2" w:rsidP="002705B2" w14:paraId="5845BF70"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06CE19E9" w14:textId="6F8A88C0">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$8,286</w:t>
            </w:r>
          </w:p>
        </w:tc>
      </w:tr>
      <w:tr w14:paraId="6B8F4D89" w14:textId="77777777" w:rsidTr="007C5EB4">
        <w:tblPrEx>
          <w:tblW w:w="10368" w:type="dxa"/>
          <w:tblLook w:val="01E0"/>
        </w:tblPrEx>
        <w:tc>
          <w:tcPr>
            <w:tcW w:w="3182" w:type="dxa"/>
            <w:shd w:val="clear" w:color="auto" w:fill="auto"/>
          </w:tcPr>
          <w:p w:rsidR="001B66CF" w:rsidRPr="002705B2" w:rsidP="002705B2" w14:paraId="35351122"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FERC Total</w:t>
            </w:r>
          </w:p>
        </w:tc>
        <w:tc>
          <w:tcPr>
            <w:tcW w:w="3201" w:type="dxa"/>
            <w:shd w:val="clear" w:color="auto" w:fill="auto"/>
            <w:vAlign w:val="center"/>
          </w:tcPr>
          <w:p w:rsidR="001B66CF" w:rsidRPr="002705B2" w:rsidP="002705B2" w14:paraId="4FDF066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3A04F748" w14:textId="21E6554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$8,286</w:t>
            </w:r>
          </w:p>
        </w:tc>
      </w:tr>
    </w:tbl>
    <w:p w:rsidR="0060762B" w:rsidP="002705B2" w14:paraId="1155CD65"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rsidR="0060762B" w14:paraId="00CCF237"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276F5" w:rsidRPr="002705B2" w:rsidP="005140A8" w14:paraId="73EF5D58" w14:textId="16C7EEC3">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REASONS FOR CHANGES IN BURDEN INCLUDING THE NEED FOR ANY INCREASE</w:t>
      </w:r>
    </w:p>
    <w:p w:rsidR="007F1AC1" w:rsidRPr="002705B2" w:rsidP="002705B2" w14:paraId="0F1F5B93" w14:textId="008EE442">
      <w:pPr>
        <w:spacing w:after="0" w:line="240" w:lineRule="auto"/>
        <w:rPr>
          <w:rFonts w:ascii="Times New Roman" w:hAnsi="Times New Roman" w:cs="Times New Roman"/>
          <w:b/>
          <w:sz w:val="26"/>
          <w:szCs w:val="24"/>
        </w:rPr>
      </w:pPr>
    </w:p>
    <w:p w:rsidR="00280A6C" w:rsidP="002705B2" w14:paraId="72A2C176" w14:textId="54E6EB55">
      <w:pPr>
        <w:spacing w:after="0" w:line="240" w:lineRule="auto"/>
        <w:rPr>
          <w:rFonts w:ascii="Times New Roman" w:hAnsi="Times New Roman" w:cs="Times New Roman"/>
          <w:bCs/>
          <w:sz w:val="26"/>
          <w:szCs w:val="24"/>
        </w:rPr>
      </w:pPr>
      <w:r>
        <w:rPr>
          <w:rFonts w:ascii="Times New Roman" w:hAnsi="Times New Roman" w:cs="Times New Roman"/>
          <w:bCs/>
          <w:sz w:val="26"/>
          <w:szCs w:val="24"/>
        </w:rPr>
        <w:t>The retirement of the MOD A Reliability Standards will result in 112,560 fewer hours of burden for FERC-725A</w:t>
      </w:r>
      <w:r w:rsidR="00F2495D">
        <w:rPr>
          <w:rFonts w:ascii="Times New Roman" w:hAnsi="Times New Roman" w:cs="Times New Roman"/>
          <w:bCs/>
          <w:sz w:val="26"/>
          <w:szCs w:val="24"/>
        </w:rPr>
        <w:t xml:space="preserve">.  </w:t>
      </w:r>
      <w:r w:rsidR="00AD4C87">
        <w:rPr>
          <w:rFonts w:ascii="Times New Roman" w:hAnsi="Times New Roman" w:cs="Times New Roman"/>
          <w:bCs/>
          <w:sz w:val="26"/>
          <w:szCs w:val="24"/>
        </w:rPr>
        <w:t xml:space="preserve">The requested hours </w:t>
      </w:r>
      <w:r w:rsidR="00003329">
        <w:rPr>
          <w:rFonts w:ascii="Times New Roman" w:hAnsi="Times New Roman" w:cs="Times New Roman"/>
          <w:bCs/>
          <w:sz w:val="26"/>
          <w:szCs w:val="24"/>
        </w:rPr>
        <w:t xml:space="preserve">for FERC-725Aare 1,361,838 hours.  </w:t>
      </w:r>
      <w:r w:rsidR="00F2495D">
        <w:rPr>
          <w:rFonts w:ascii="Times New Roman" w:hAnsi="Times New Roman" w:cs="Times New Roman"/>
          <w:bCs/>
          <w:sz w:val="26"/>
          <w:szCs w:val="24"/>
        </w:rPr>
        <w:t>The previously approved hours for FERC-725A are 1,474,398 hours</w:t>
      </w:r>
      <w:r w:rsidR="00980605">
        <w:rPr>
          <w:rFonts w:ascii="Times New Roman" w:hAnsi="Times New Roman" w:cs="Times New Roman"/>
          <w:bCs/>
          <w:sz w:val="26"/>
          <w:szCs w:val="24"/>
        </w:rPr>
        <w:t>.</w:t>
      </w:r>
      <w:r w:rsidR="00CB6E9E">
        <w:rPr>
          <w:rFonts w:ascii="Times New Roman" w:hAnsi="Times New Roman" w:cs="Times New Roman"/>
          <w:bCs/>
          <w:sz w:val="26"/>
          <w:szCs w:val="24"/>
        </w:rPr>
        <w:t xml:space="preserve">  As shown in Table 15, these are program changes</w:t>
      </w:r>
      <w:r>
        <w:rPr>
          <w:rFonts w:ascii="Times New Roman" w:hAnsi="Times New Roman" w:cs="Times New Roman"/>
          <w:bCs/>
          <w:sz w:val="26"/>
          <w:szCs w:val="24"/>
        </w:rPr>
        <w:t xml:space="preserve"> due to agency discretion</w:t>
      </w:r>
      <w:r w:rsidR="0099480B">
        <w:rPr>
          <w:rFonts w:ascii="Times New Roman" w:hAnsi="Times New Roman" w:cs="Times New Roman"/>
          <w:bCs/>
          <w:sz w:val="26"/>
          <w:szCs w:val="24"/>
        </w:rPr>
        <w:t>.</w:t>
      </w:r>
    </w:p>
    <w:p w:rsidR="00AA55C7" w:rsidP="002705B2" w14:paraId="39DEF6C5" w14:textId="31E0AF25">
      <w:pPr>
        <w:spacing w:after="0" w:line="240" w:lineRule="auto"/>
        <w:rPr>
          <w:rFonts w:ascii="Times New Roman" w:hAnsi="Times New Roman" w:cs="Times New Roman"/>
          <w:bCs/>
          <w:sz w:val="26"/>
          <w:szCs w:val="24"/>
        </w:rPr>
      </w:pPr>
    </w:p>
    <w:p w:rsidR="00AA55C7" w:rsidP="002705B2" w14:paraId="13ABEF5E" w14:textId="34443919">
      <w:pPr>
        <w:spacing w:after="0" w:line="240" w:lineRule="auto"/>
        <w:rPr>
          <w:rFonts w:ascii="Times New Roman" w:hAnsi="Times New Roman" w:cs="Times New Roman"/>
          <w:bCs/>
          <w:sz w:val="26"/>
          <w:szCs w:val="24"/>
        </w:rPr>
      </w:pPr>
      <w:r w:rsidRPr="00F92EF3">
        <w:rPr>
          <w:rFonts w:ascii="Times New Roman" w:hAnsi="Times New Roman" w:cs="Times New Roman"/>
          <w:bCs/>
          <w:sz w:val="26"/>
          <w:szCs w:val="24"/>
        </w:rPr>
        <w:t>The changes in burden due to the final rule in Docket No. RM19-17-001 are limited to the reporting aspects of the IC activity labeled "FERC-725A Mandatory Reliability Standards for Bulk-Power System."  However, to disclose those changes accurately in ROCIS it was necessary to separate the reporting aspects of that activity from the record keeping aspects.  ROCIS characterized the two "new" activities as burden increases.  The "additional" 251 responses are due to separating the reporting activities out of the recordkeeping activities.   In fact, there were only burden reductions as a result of the final rule in Docket No. RM19-17-001 because of the removal of Reliability Standard reporting requirements.</w:t>
      </w:r>
    </w:p>
    <w:p w:rsidR="00280A6C" w:rsidP="002705B2" w14:paraId="2BCEE7CA" w14:textId="77777777">
      <w:pPr>
        <w:spacing w:after="0" w:line="240" w:lineRule="auto"/>
        <w:rPr>
          <w:rFonts w:ascii="Times New Roman" w:hAnsi="Times New Roman" w:cs="Times New Roman"/>
          <w:bCs/>
          <w:sz w:val="26"/>
          <w:szCs w:val="24"/>
        </w:rPr>
      </w:pPr>
    </w:p>
    <w:p w:rsidR="0092596C" w:rsidP="00280A6C" w14:paraId="4AE01BB6" w14:textId="14F4A06D">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Table 15</w:t>
      </w:r>
    </w:p>
    <w:p w:rsidR="00280A6C" w:rsidP="00280A6C" w14:paraId="07BB2C60" w14:textId="61FDAE70">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Changes in Burden Due to RM19-17-001</w:t>
      </w:r>
    </w:p>
    <w:p w:rsidR="00E22E62" w:rsidP="00280A6C" w14:paraId="5C19F898" w14:textId="48D757B7">
      <w:pPr>
        <w:spacing w:after="0" w:line="240" w:lineRule="auto"/>
        <w:jc w:val="center"/>
        <w:rPr>
          <w:rFonts w:ascii="Times New Roman" w:hAnsi="Times New Roman" w:cs="Times New Roman"/>
          <w:bCs/>
          <w:sz w:val="26"/>
          <w:szCs w:val="24"/>
        </w:rPr>
      </w:pPr>
    </w:p>
    <w:tbl>
      <w:tblPr>
        <w:tblStyle w:val="TableGrid"/>
        <w:tblW w:w="0" w:type="auto"/>
        <w:tblInd w:w="0" w:type="dxa"/>
        <w:tblLook w:val="04A0"/>
      </w:tblPr>
      <w:tblGrid>
        <w:gridCol w:w="2337"/>
        <w:gridCol w:w="2337"/>
        <w:gridCol w:w="2338"/>
        <w:gridCol w:w="2338"/>
      </w:tblGrid>
      <w:tr w14:paraId="376B9CB8" w14:textId="77777777" w:rsidTr="00943534">
        <w:tblPrEx>
          <w:tblW w:w="0" w:type="auto"/>
          <w:tblInd w:w="0" w:type="dxa"/>
          <w:tblLook w:val="04A0"/>
        </w:tblPrEx>
        <w:tc>
          <w:tcPr>
            <w:tcW w:w="2337" w:type="dxa"/>
          </w:tcPr>
          <w:p w:rsidR="00E22E62" w:rsidP="00E22E62" w14:paraId="26AA9C10" w14:textId="15BCE843">
            <w:pPr>
              <w:rPr>
                <w:rFonts w:ascii="Times New Roman" w:hAnsi="Times New Roman" w:cs="Times New Roman"/>
                <w:bCs/>
                <w:sz w:val="26"/>
                <w:szCs w:val="24"/>
              </w:rPr>
            </w:pPr>
          </w:p>
        </w:tc>
        <w:tc>
          <w:tcPr>
            <w:tcW w:w="2337" w:type="dxa"/>
          </w:tcPr>
          <w:p w:rsidR="00E22E62" w:rsidRPr="00913AEB" w:rsidP="00943534" w14:paraId="7A31EB46" w14:textId="2260EA01">
            <w:pPr>
              <w:jc w:val="center"/>
              <w:rPr>
                <w:rFonts w:ascii="Times New Roman" w:hAnsi="Times New Roman" w:cs="Times New Roman"/>
                <w:b/>
                <w:sz w:val="26"/>
                <w:szCs w:val="24"/>
              </w:rPr>
            </w:pPr>
            <w:r w:rsidRPr="00913AEB">
              <w:rPr>
                <w:rFonts w:ascii="Times New Roman" w:hAnsi="Times New Roman" w:cs="Times New Roman"/>
                <w:b/>
                <w:sz w:val="26"/>
                <w:szCs w:val="24"/>
              </w:rPr>
              <w:t>Requested</w:t>
            </w:r>
          </w:p>
        </w:tc>
        <w:tc>
          <w:tcPr>
            <w:tcW w:w="2338" w:type="dxa"/>
          </w:tcPr>
          <w:p w:rsidR="00E22E62" w:rsidRPr="00913AEB" w:rsidP="00943534" w14:paraId="681BD7FC" w14:textId="294610DE">
            <w:pPr>
              <w:jc w:val="center"/>
              <w:rPr>
                <w:rFonts w:ascii="Times New Roman" w:hAnsi="Times New Roman" w:cs="Times New Roman"/>
                <w:b/>
                <w:sz w:val="26"/>
                <w:szCs w:val="24"/>
              </w:rPr>
            </w:pPr>
            <w:r w:rsidRPr="00913AEB">
              <w:rPr>
                <w:rFonts w:ascii="Times New Roman" w:hAnsi="Times New Roman" w:cs="Times New Roman"/>
                <w:b/>
                <w:sz w:val="26"/>
                <w:szCs w:val="24"/>
              </w:rPr>
              <w:t>Program Changes due to Agency Discretion</w:t>
            </w:r>
          </w:p>
        </w:tc>
        <w:tc>
          <w:tcPr>
            <w:tcW w:w="2338" w:type="dxa"/>
          </w:tcPr>
          <w:p w:rsidR="00E22E62" w:rsidRPr="00913AEB" w:rsidP="00943534" w14:paraId="0F39CC9F" w14:textId="1DD85C62">
            <w:pPr>
              <w:jc w:val="center"/>
              <w:rPr>
                <w:rFonts w:ascii="Times New Roman" w:hAnsi="Times New Roman" w:cs="Times New Roman"/>
                <w:b/>
                <w:sz w:val="26"/>
                <w:szCs w:val="24"/>
              </w:rPr>
            </w:pPr>
            <w:r w:rsidRPr="00913AEB">
              <w:rPr>
                <w:rFonts w:ascii="Times New Roman" w:hAnsi="Times New Roman" w:cs="Times New Roman"/>
                <w:b/>
                <w:sz w:val="26"/>
                <w:szCs w:val="24"/>
              </w:rPr>
              <w:t>Previously Approved</w:t>
            </w:r>
          </w:p>
        </w:tc>
      </w:tr>
      <w:tr w14:paraId="0D98239F" w14:textId="77777777" w:rsidTr="00FA2243">
        <w:tblPrEx>
          <w:tblW w:w="0" w:type="auto"/>
          <w:tblInd w:w="0" w:type="dxa"/>
          <w:tblLook w:val="04A0"/>
        </w:tblPrEx>
        <w:tc>
          <w:tcPr>
            <w:tcW w:w="2337" w:type="dxa"/>
          </w:tcPr>
          <w:p w:rsidR="00E22E62" w:rsidP="00E22E62" w14:paraId="36681816" w14:textId="0B79EB65">
            <w:pPr>
              <w:rPr>
                <w:rFonts w:ascii="Times New Roman" w:hAnsi="Times New Roman" w:cs="Times New Roman"/>
                <w:bCs/>
                <w:sz w:val="26"/>
                <w:szCs w:val="24"/>
              </w:rPr>
            </w:pPr>
            <w:r>
              <w:rPr>
                <w:rFonts w:ascii="Times New Roman" w:hAnsi="Times New Roman" w:cs="Times New Roman"/>
                <w:bCs/>
                <w:sz w:val="26"/>
                <w:szCs w:val="24"/>
              </w:rPr>
              <w:t>Annual # of Responses</w:t>
            </w:r>
          </w:p>
        </w:tc>
        <w:tc>
          <w:tcPr>
            <w:tcW w:w="2337" w:type="dxa"/>
            <w:vAlign w:val="bottom"/>
          </w:tcPr>
          <w:p w:rsidR="00E22E62" w:rsidP="00FA2243" w14:paraId="5270C448" w14:textId="3C24C059">
            <w:pPr>
              <w:jc w:val="right"/>
              <w:rPr>
                <w:rFonts w:ascii="Times New Roman" w:hAnsi="Times New Roman" w:cs="Times New Roman"/>
                <w:bCs/>
                <w:sz w:val="26"/>
                <w:szCs w:val="24"/>
              </w:rPr>
            </w:pPr>
            <w:r>
              <w:rPr>
                <w:rFonts w:ascii="Times New Roman" w:hAnsi="Times New Roman" w:cs="Times New Roman"/>
                <w:bCs/>
                <w:sz w:val="26"/>
                <w:szCs w:val="24"/>
              </w:rPr>
              <w:t>4,</w:t>
            </w:r>
            <w:r w:rsidR="00F92EF3">
              <w:rPr>
                <w:rFonts w:ascii="Times New Roman" w:hAnsi="Times New Roman" w:cs="Times New Roman"/>
                <w:bCs/>
                <w:sz w:val="26"/>
                <w:szCs w:val="24"/>
              </w:rPr>
              <w:t>0</w:t>
            </w:r>
            <w:r>
              <w:rPr>
                <w:rFonts w:ascii="Times New Roman" w:hAnsi="Times New Roman" w:cs="Times New Roman"/>
                <w:bCs/>
                <w:sz w:val="26"/>
                <w:szCs w:val="24"/>
              </w:rPr>
              <w:t>40</w:t>
            </w:r>
          </w:p>
        </w:tc>
        <w:tc>
          <w:tcPr>
            <w:tcW w:w="2338" w:type="dxa"/>
            <w:vAlign w:val="bottom"/>
          </w:tcPr>
          <w:p w:rsidR="00E22E62" w:rsidP="00FA2243" w14:paraId="4B26D227" w14:textId="4F4497E1">
            <w:pPr>
              <w:jc w:val="right"/>
              <w:rPr>
                <w:rFonts w:ascii="Times New Roman" w:hAnsi="Times New Roman" w:cs="Times New Roman"/>
                <w:bCs/>
                <w:sz w:val="26"/>
                <w:szCs w:val="24"/>
              </w:rPr>
            </w:pPr>
            <w:r>
              <w:rPr>
                <w:rFonts w:ascii="Times New Roman" w:hAnsi="Times New Roman" w:cs="Times New Roman"/>
                <w:bCs/>
                <w:sz w:val="26"/>
                <w:szCs w:val="24"/>
              </w:rPr>
              <w:t>+ 251</w:t>
            </w:r>
          </w:p>
        </w:tc>
        <w:tc>
          <w:tcPr>
            <w:tcW w:w="2338" w:type="dxa"/>
            <w:vAlign w:val="bottom"/>
          </w:tcPr>
          <w:p w:rsidR="00E22E62" w:rsidP="00FA2243" w14:paraId="2B58ED66" w14:textId="0CC6C832">
            <w:pPr>
              <w:jc w:val="right"/>
              <w:rPr>
                <w:rFonts w:ascii="Times New Roman" w:hAnsi="Times New Roman" w:cs="Times New Roman"/>
                <w:bCs/>
                <w:sz w:val="26"/>
                <w:szCs w:val="24"/>
              </w:rPr>
            </w:pPr>
            <w:r>
              <w:rPr>
                <w:rFonts w:ascii="Times New Roman" w:hAnsi="Times New Roman" w:cs="Times New Roman"/>
                <w:bCs/>
                <w:sz w:val="26"/>
                <w:szCs w:val="24"/>
              </w:rPr>
              <w:t>3</w:t>
            </w:r>
            <w:r w:rsidR="004E3E8F">
              <w:rPr>
                <w:rFonts w:ascii="Times New Roman" w:hAnsi="Times New Roman" w:cs="Times New Roman"/>
                <w:bCs/>
                <w:sz w:val="26"/>
                <w:szCs w:val="24"/>
              </w:rPr>
              <w:t>,</w:t>
            </w:r>
            <w:r>
              <w:rPr>
                <w:rFonts w:ascii="Times New Roman" w:hAnsi="Times New Roman" w:cs="Times New Roman"/>
                <w:bCs/>
                <w:sz w:val="26"/>
                <w:szCs w:val="24"/>
              </w:rPr>
              <w:t>789</w:t>
            </w:r>
          </w:p>
        </w:tc>
      </w:tr>
      <w:tr w14:paraId="7880E665" w14:textId="77777777" w:rsidTr="00FA2243">
        <w:tblPrEx>
          <w:tblW w:w="0" w:type="auto"/>
          <w:tblInd w:w="0" w:type="dxa"/>
          <w:tblLook w:val="04A0"/>
        </w:tblPrEx>
        <w:tc>
          <w:tcPr>
            <w:tcW w:w="2337" w:type="dxa"/>
          </w:tcPr>
          <w:p w:rsidR="00E22E62" w:rsidP="00E22E62" w14:paraId="209B3BC4" w14:textId="1EA40140">
            <w:pPr>
              <w:rPr>
                <w:rFonts w:ascii="Times New Roman" w:hAnsi="Times New Roman" w:cs="Times New Roman"/>
                <w:bCs/>
                <w:sz w:val="26"/>
                <w:szCs w:val="24"/>
              </w:rPr>
            </w:pPr>
            <w:r>
              <w:rPr>
                <w:rFonts w:ascii="Times New Roman" w:hAnsi="Times New Roman" w:cs="Times New Roman"/>
                <w:bCs/>
                <w:sz w:val="26"/>
                <w:szCs w:val="24"/>
              </w:rPr>
              <w:t>Annual Time Burden</w:t>
            </w:r>
          </w:p>
        </w:tc>
        <w:tc>
          <w:tcPr>
            <w:tcW w:w="2337" w:type="dxa"/>
            <w:vAlign w:val="bottom"/>
          </w:tcPr>
          <w:p w:rsidR="00E22E62" w:rsidP="00FA2243" w14:paraId="7E50A019" w14:textId="300F7719">
            <w:pPr>
              <w:jc w:val="right"/>
              <w:rPr>
                <w:rFonts w:ascii="Times New Roman" w:hAnsi="Times New Roman" w:cs="Times New Roman"/>
                <w:bCs/>
                <w:sz w:val="26"/>
                <w:szCs w:val="24"/>
              </w:rPr>
            </w:pPr>
            <w:r>
              <w:rPr>
                <w:rFonts w:ascii="Times New Roman" w:hAnsi="Times New Roman" w:cs="Times New Roman"/>
                <w:bCs/>
                <w:sz w:val="26"/>
                <w:szCs w:val="24"/>
              </w:rPr>
              <w:t>1,361,</w:t>
            </w:r>
            <w:r w:rsidR="008F70E5">
              <w:rPr>
                <w:rFonts w:ascii="Times New Roman" w:hAnsi="Times New Roman" w:cs="Times New Roman"/>
                <w:bCs/>
                <w:sz w:val="26"/>
                <w:szCs w:val="24"/>
              </w:rPr>
              <w:t>83</w:t>
            </w:r>
            <w:r w:rsidR="003915AF">
              <w:rPr>
                <w:rFonts w:ascii="Times New Roman" w:hAnsi="Times New Roman" w:cs="Times New Roman"/>
                <w:bCs/>
                <w:sz w:val="26"/>
                <w:szCs w:val="24"/>
              </w:rPr>
              <w:t>8</w:t>
            </w:r>
            <w:r w:rsidR="008F70E5">
              <w:rPr>
                <w:rFonts w:ascii="Times New Roman" w:hAnsi="Times New Roman" w:cs="Times New Roman"/>
                <w:bCs/>
                <w:sz w:val="26"/>
                <w:szCs w:val="24"/>
              </w:rPr>
              <w:t xml:space="preserve"> hours</w:t>
            </w:r>
          </w:p>
        </w:tc>
        <w:tc>
          <w:tcPr>
            <w:tcW w:w="2338" w:type="dxa"/>
            <w:vAlign w:val="bottom"/>
          </w:tcPr>
          <w:p w:rsidR="00E22E62" w:rsidP="00FA2243" w14:paraId="761ACD60" w14:textId="7DFB1C40">
            <w:pPr>
              <w:jc w:val="right"/>
              <w:rPr>
                <w:rFonts w:ascii="Times New Roman" w:hAnsi="Times New Roman" w:cs="Times New Roman"/>
                <w:bCs/>
                <w:sz w:val="26"/>
                <w:szCs w:val="24"/>
              </w:rPr>
            </w:pPr>
            <w:r>
              <w:rPr>
                <w:rFonts w:ascii="Times New Roman" w:hAnsi="Times New Roman" w:cs="Times New Roman"/>
                <w:bCs/>
                <w:sz w:val="26"/>
                <w:szCs w:val="24"/>
              </w:rPr>
              <w:t>-112,560 hours</w:t>
            </w:r>
          </w:p>
        </w:tc>
        <w:tc>
          <w:tcPr>
            <w:tcW w:w="2338" w:type="dxa"/>
            <w:vAlign w:val="bottom"/>
          </w:tcPr>
          <w:p w:rsidR="00E22E62" w:rsidP="00FA2243" w14:paraId="7D45C419" w14:textId="58411481">
            <w:pPr>
              <w:jc w:val="right"/>
              <w:rPr>
                <w:rFonts w:ascii="Times New Roman" w:hAnsi="Times New Roman" w:cs="Times New Roman"/>
                <w:bCs/>
                <w:sz w:val="26"/>
                <w:szCs w:val="24"/>
              </w:rPr>
            </w:pPr>
            <w:r>
              <w:rPr>
                <w:rFonts w:ascii="Times New Roman" w:hAnsi="Times New Roman" w:cs="Times New Roman"/>
                <w:bCs/>
                <w:sz w:val="26"/>
                <w:szCs w:val="24"/>
              </w:rPr>
              <w:t>1,474</w:t>
            </w:r>
            <w:r w:rsidR="007A69B7">
              <w:rPr>
                <w:rFonts w:ascii="Times New Roman" w:hAnsi="Times New Roman" w:cs="Times New Roman"/>
                <w:bCs/>
                <w:sz w:val="26"/>
                <w:szCs w:val="24"/>
              </w:rPr>
              <w:t>,</w:t>
            </w:r>
            <w:r>
              <w:rPr>
                <w:rFonts w:ascii="Times New Roman" w:hAnsi="Times New Roman" w:cs="Times New Roman"/>
                <w:bCs/>
                <w:sz w:val="26"/>
                <w:szCs w:val="24"/>
              </w:rPr>
              <w:t>398</w:t>
            </w:r>
            <w:r w:rsidR="00A21E72">
              <w:rPr>
                <w:rFonts w:ascii="Times New Roman" w:hAnsi="Times New Roman" w:cs="Times New Roman"/>
                <w:bCs/>
                <w:sz w:val="26"/>
                <w:szCs w:val="24"/>
              </w:rPr>
              <w:t xml:space="preserve"> hours</w:t>
            </w:r>
          </w:p>
        </w:tc>
      </w:tr>
      <w:tr w14:paraId="6942BEFD" w14:textId="77777777" w:rsidTr="00FA2243">
        <w:tblPrEx>
          <w:tblW w:w="0" w:type="auto"/>
          <w:tblInd w:w="0" w:type="dxa"/>
          <w:tblLook w:val="04A0"/>
        </w:tblPrEx>
        <w:tc>
          <w:tcPr>
            <w:tcW w:w="2337" w:type="dxa"/>
          </w:tcPr>
          <w:p w:rsidR="00E22E62" w:rsidP="00E22E62" w14:paraId="04139F84" w14:textId="3D26357B">
            <w:pPr>
              <w:rPr>
                <w:rFonts w:ascii="Times New Roman" w:hAnsi="Times New Roman" w:cs="Times New Roman"/>
                <w:bCs/>
                <w:sz w:val="26"/>
                <w:szCs w:val="24"/>
              </w:rPr>
            </w:pPr>
            <w:r>
              <w:rPr>
                <w:rFonts w:ascii="Times New Roman" w:hAnsi="Times New Roman" w:cs="Times New Roman"/>
                <w:bCs/>
                <w:sz w:val="26"/>
                <w:szCs w:val="24"/>
              </w:rPr>
              <w:t>Annual Cost Burden</w:t>
            </w:r>
            <w:r w:rsidR="007F42F1">
              <w:rPr>
                <w:rFonts w:ascii="Times New Roman" w:hAnsi="Times New Roman" w:cs="Times New Roman"/>
                <w:bCs/>
                <w:sz w:val="26"/>
                <w:szCs w:val="24"/>
              </w:rPr>
              <w:t xml:space="preserve"> ($)</w:t>
            </w:r>
          </w:p>
        </w:tc>
        <w:tc>
          <w:tcPr>
            <w:tcW w:w="2337" w:type="dxa"/>
            <w:vAlign w:val="bottom"/>
          </w:tcPr>
          <w:p w:rsidR="00E22E62" w:rsidP="00FA2243" w14:paraId="7FDB30F0" w14:textId="3124D679">
            <w:pPr>
              <w:jc w:val="right"/>
              <w:rPr>
                <w:rFonts w:ascii="Times New Roman" w:hAnsi="Times New Roman" w:cs="Times New Roman"/>
                <w:bCs/>
                <w:sz w:val="26"/>
                <w:szCs w:val="24"/>
              </w:rPr>
            </w:pPr>
            <w:r>
              <w:rPr>
                <w:rFonts w:ascii="Times New Roman" w:hAnsi="Times New Roman" w:cs="Times New Roman"/>
                <w:bCs/>
                <w:sz w:val="26"/>
                <w:szCs w:val="24"/>
              </w:rPr>
              <w:t>$156,953</w:t>
            </w:r>
          </w:p>
        </w:tc>
        <w:tc>
          <w:tcPr>
            <w:tcW w:w="2338" w:type="dxa"/>
            <w:vAlign w:val="bottom"/>
          </w:tcPr>
          <w:p w:rsidR="00E22E62" w:rsidP="00FA2243" w14:paraId="16F16AEA" w14:textId="77A8CB49">
            <w:pPr>
              <w:jc w:val="right"/>
              <w:rPr>
                <w:rFonts w:ascii="Times New Roman" w:hAnsi="Times New Roman" w:cs="Times New Roman"/>
                <w:bCs/>
                <w:sz w:val="26"/>
                <w:szCs w:val="24"/>
              </w:rPr>
            </w:pPr>
            <w:r>
              <w:rPr>
                <w:rFonts w:ascii="Times New Roman" w:hAnsi="Times New Roman" w:cs="Times New Roman"/>
                <w:bCs/>
                <w:sz w:val="26"/>
                <w:szCs w:val="24"/>
              </w:rPr>
              <w:t>$0</w:t>
            </w:r>
          </w:p>
        </w:tc>
        <w:tc>
          <w:tcPr>
            <w:tcW w:w="2338" w:type="dxa"/>
            <w:vAlign w:val="bottom"/>
          </w:tcPr>
          <w:p w:rsidR="00E22E62" w:rsidP="00FA2243" w14:paraId="469F5312" w14:textId="4CF21CBD">
            <w:pPr>
              <w:jc w:val="right"/>
              <w:rPr>
                <w:rFonts w:ascii="Times New Roman" w:hAnsi="Times New Roman" w:cs="Times New Roman"/>
                <w:bCs/>
                <w:sz w:val="26"/>
                <w:szCs w:val="24"/>
              </w:rPr>
            </w:pPr>
            <w:r>
              <w:rPr>
                <w:rFonts w:ascii="Times New Roman" w:hAnsi="Times New Roman" w:cs="Times New Roman"/>
                <w:bCs/>
                <w:sz w:val="26"/>
                <w:szCs w:val="24"/>
              </w:rPr>
              <w:t>$156</w:t>
            </w:r>
            <w:r w:rsidR="00913AEB">
              <w:rPr>
                <w:rFonts w:ascii="Times New Roman" w:hAnsi="Times New Roman" w:cs="Times New Roman"/>
                <w:bCs/>
                <w:sz w:val="26"/>
                <w:szCs w:val="24"/>
              </w:rPr>
              <w:t>,953</w:t>
            </w:r>
          </w:p>
        </w:tc>
      </w:tr>
    </w:tbl>
    <w:p w:rsidR="00E22E62" w:rsidRPr="002705B2" w:rsidP="00E22E62" w14:paraId="084CD3D6" w14:textId="77777777">
      <w:pPr>
        <w:spacing w:after="0" w:line="240" w:lineRule="auto"/>
        <w:rPr>
          <w:rFonts w:ascii="Times New Roman" w:hAnsi="Times New Roman" w:cs="Times New Roman"/>
          <w:bCs/>
          <w:sz w:val="26"/>
          <w:szCs w:val="24"/>
        </w:rPr>
      </w:pPr>
    </w:p>
    <w:p w:rsidR="00A276F5" w:rsidRPr="002705B2" w:rsidP="005140A8" w14:paraId="2660E8C0"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TIME SCHEDULE FOR PUBLICATION OF DATA</w:t>
      </w:r>
    </w:p>
    <w:p w:rsidR="00826750" w:rsidRPr="002705B2" w:rsidP="002705B2" w14:paraId="6ECDCBF0" w14:textId="77777777">
      <w:pPr>
        <w:spacing w:after="0" w:line="240" w:lineRule="auto"/>
        <w:rPr>
          <w:rFonts w:ascii="Times New Roman" w:hAnsi="Times New Roman" w:cs="Times New Roman"/>
          <w:sz w:val="26"/>
          <w:szCs w:val="24"/>
        </w:rPr>
      </w:pPr>
    </w:p>
    <w:p w:rsidR="00414F32" w:rsidRPr="002705B2" w:rsidP="002705B2" w14:paraId="6815AD3F" w14:textId="39A14F00">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There are no data publications as part of </w:t>
      </w:r>
      <w:r w:rsidR="003D1945">
        <w:rPr>
          <w:rFonts w:ascii="Times New Roman" w:hAnsi="Times New Roman" w:cs="Times New Roman"/>
          <w:sz w:val="26"/>
          <w:szCs w:val="24"/>
        </w:rPr>
        <w:t>the retirement of the MOD A Reliability Standards.</w:t>
      </w:r>
    </w:p>
    <w:p w:rsidR="00414F32" w:rsidRPr="002705B2" w:rsidP="002705B2" w14:paraId="22A43BDB" w14:textId="77777777">
      <w:pPr>
        <w:spacing w:after="0" w:line="240" w:lineRule="auto"/>
        <w:rPr>
          <w:rFonts w:ascii="Times New Roman" w:hAnsi="Times New Roman" w:cs="Times New Roman"/>
          <w:sz w:val="26"/>
          <w:szCs w:val="24"/>
        </w:rPr>
      </w:pPr>
    </w:p>
    <w:p w:rsidR="00414F32" w:rsidRPr="002705B2" w:rsidP="005140A8" w14:paraId="1198FE9A"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DISPLAY OF EXPIRATION DATE</w:t>
      </w:r>
    </w:p>
    <w:p w:rsidR="00414F32" w:rsidP="002705B2" w14:paraId="356C1CB5" w14:textId="218BB2CC">
      <w:pPr>
        <w:spacing w:after="0" w:line="240" w:lineRule="auto"/>
        <w:rPr>
          <w:rFonts w:ascii="Times New Roman" w:hAnsi="Times New Roman" w:cs="Times New Roman"/>
          <w:sz w:val="26"/>
          <w:szCs w:val="24"/>
        </w:rPr>
      </w:pPr>
    </w:p>
    <w:p w:rsidR="00914D64" w:rsidRPr="002705B2" w:rsidP="002705B2" w14:paraId="0756F895" w14:textId="3A99A318">
      <w:pPr>
        <w:spacing w:after="0" w:line="240" w:lineRule="auto"/>
        <w:rPr>
          <w:rFonts w:ascii="Times New Roman" w:hAnsi="Times New Roman" w:cs="Times New Roman"/>
          <w:sz w:val="26"/>
          <w:szCs w:val="24"/>
        </w:rPr>
      </w:pPr>
      <w:r w:rsidRPr="00572C67">
        <w:rPr>
          <w:rFonts w:ascii="Times New Roman" w:hAnsi="Times New Roman" w:cs="Times New Roman"/>
          <w:sz w:val="26"/>
          <w:szCs w:val="24"/>
        </w:rPr>
        <w:t>The expiration date for FERC-</w:t>
      </w:r>
      <w:r>
        <w:rPr>
          <w:rFonts w:ascii="Times New Roman" w:hAnsi="Times New Roman" w:cs="Times New Roman"/>
          <w:sz w:val="26"/>
          <w:szCs w:val="24"/>
        </w:rPr>
        <w:t>725A</w:t>
      </w:r>
      <w:r w:rsidRPr="00572C67">
        <w:rPr>
          <w:rFonts w:ascii="Times New Roman" w:hAnsi="Times New Roman" w:cs="Times New Roman"/>
          <w:sz w:val="26"/>
          <w:szCs w:val="24"/>
        </w:rPr>
        <w:t xml:space="preserve"> (i.e., </w:t>
      </w:r>
      <w:r w:rsidR="003B1498">
        <w:rPr>
          <w:rFonts w:ascii="Times New Roman" w:hAnsi="Times New Roman" w:cs="Times New Roman"/>
          <w:sz w:val="26"/>
          <w:szCs w:val="24"/>
        </w:rPr>
        <w:t>November 30</w:t>
      </w:r>
      <w:r w:rsidRPr="00572C67">
        <w:rPr>
          <w:rFonts w:ascii="Times New Roman" w:hAnsi="Times New Roman" w:cs="Times New Roman"/>
          <w:sz w:val="26"/>
          <w:szCs w:val="24"/>
        </w:rPr>
        <w:t xml:space="preserve">, 2024) will not change as a result of the </w:t>
      </w:r>
      <w:r w:rsidR="00926C52">
        <w:rPr>
          <w:rFonts w:ascii="Times New Roman" w:hAnsi="Times New Roman" w:cs="Times New Roman"/>
          <w:sz w:val="26"/>
          <w:szCs w:val="24"/>
        </w:rPr>
        <w:t>final</w:t>
      </w:r>
      <w:r w:rsidRPr="00572C67">
        <w:rPr>
          <w:rFonts w:ascii="Times New Roman" w:hAnsi="Times New Roman" w:cs="Times New Roman"/>
          <w:sz w:val="26"/>
          <w:szCs w:val="24"/>
        </w:rPr>
        <w:t xml:space="preserve"> rule.  That expiration date is displayed at </w:t>
      </w:r>
      <w:hyperlink r:id="rId9" w:history="1">
        <w:r w:rsidRPr="00572C67">
          <w:rPr>
            <w:rStyle w:val="Hyperlink"/>
            <w:rFonts w:ascii="Times New Roman" w:hAnsi="Times New Roman"/>
            <w:bCs/>
            <w:sz w:val="26"/>
            <w:szCs w:val="24"/>
          </w:rPr>
          <w:t>Information Collections | Federal Energy Regulatory Commission (ferc.gov)</w:t>
        </w:r>
      </w:hyperlink>
      <w:r w:rsidR="007D00F7">
        <w:rPr>
          <w:rStyle w:val="Hyperlink"/>
          <w:rFonts w:ascii="Times New Roman" w:hAnsi="Times New Roman"/>
          <w:bCs/>
          <w:sz w:val="26"/>
          <w:szCs w:val="24"/>
        </w:rPr>
        <w:t>.</w:t>
      </w:r>
    </w:p>
    <w:p w:rsidR="00414F32" w:rsidRPr="002705B2" w:rsidP="002705B2" w14:paraId="0D44345F" w14:textId="77777777">
      <w:pPr>
        <w:spacing w:after="0" w:line="240" w:lineRule="auto"/>
        <w:rPr>
          <w:rFonts w:ascii="Times New Roman" w:hAnsi="Times New Roman" w:cs="Times New Roman"/>
          <w:sz w:val="26"/>
          <w:szCs w:val="24"/>
        </w:rPr>
      </w:pPr>
    </w:p>
    <w:p w:rsidR="00414F32" w:rsidRPr="002705B2" w:rsidP="005140A8" w14:paraId="0C99C81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EXCEPTIONS TO THE CERTIFICATION STATEMENT</w:t>
      </w:r>
    </w:p>
    <w:p w:rsidR="0057700F" w:rsidRPr="002705B2" w:rsidP="002705B2" w14:paraId="029D5726" w14:textId="77777777">
      <w:pPr>
        <w:spacing w:after="0" w:line="240" w:lineRule="auto"/>
        <w:rPr>
          <w:rFonts w:ascii="Times New Roman" w:hAnsi="Times New Roman" w:cs="Times New Roman"/>
          <w:b/>
          <w:sz w:val="26"/>
          <w:szCs w:val="24"/>
        </w:rPr>
      </w:pPr>
    </w:p>
    <w:p w:rsidR="00970FE4" w:rsidRPr="002705B2" w:rsidP="002705B2" w14:paraId="4BED374E" w14:textId="41AF053A">
      <w:pPr>
        <w:spacing w:after="0" w:line="240" w:lineRule="auto"/>
        <w:rPr>
          <w:rFonts w:ascii="Times New Roman" w:hAnsi="Times New Roman" w:cs="Times New Roman"/>
          <w:sz w:val="26"/>
          <w:szCs w:val="24"/>
        </w:rPr>
      </w:pPr>
      <w:r>
        <w:rPr>
          <w:rFonts w:ascii="Times New Roman" w:hAnsi="Times New Roman" w:cs="Times New Roman"/>
          <w:sz w:val="26"/>
          <w:szCs w:val="24"/>
        </w:rPr>
        <w:t>There are no exceptions.</w:t>
      </w:r>
    </w:p>
    <w:p w:rsidR="00414F32" w:rsidRPr="002705B2" w:rsidP="002705B2" w14:paraId="666F7E94" w14:textId="77777777">
      <w:pPr>
        <w:spacing w:after="0" w:line="240" w:lineRule="auto"/>
        <w:rPr>
          <w:rFonts w:ascii="Times New Roman" w:hAnsi="Times New Roman" w:cs="Times New Roman"/>
          <w:sz w:val="26"/>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p w:rsidR="005A57ED" w14:paraId="05D0B1C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42D" w:rsidP="00FD66F1" w14:paraId="589A72C8" w14:textId="77777777">
      <w:pPr>
        <w:spacing w:after="0" w:line="240" w:lineRule="auto"/>
      </w:pPr>
      <w:r>
        <w:separator/>
      </w:r>
    </w:p>
  </w:footnote>
  <w:footnote w:type="continuationSeparator" w:id="1">
    <w:p w:rsidR="008A042D" w:rsidP="00FD66F1" w14:paraId="7D164579" w14:textId="77777777">
      <w:pPr>
        <w:spacing w:after="0" w:line="240" w:lineRule="auto"/>
      </w:pPr>
      <w:r>
        <w:continuationSeparator/>
      </w:r>
    </w:p>
  </w:footnote>
  <w:footnote w:type="continuationNotice" w:id="2">
    <w:p w:rsidR="008A042D" w14:paraId="379EF4D9" w14:textId="77777777">
      <w:pPr>
        <w:spacing w:after="0" w:line="240" w:lineRule="auto"/>
      </w:pPr>
    </w:p>
  </w:footnote>
  <w:footnote w:id="3">
    <w:p w:rsidR="005D41A2" w:rsidP="00D059C1" w14:paraId="48D840C5" w14:textId="43B499F4">
      <w:pPr>
        <w:pStyle w:val="footnotedescription"/>
        <w:spacing w:after="119" w:line="273" w:lineRule="auto"/>
        <w:ind w:left="0" w:right="130"/>
      </w:pPr>
      <w:r w:rsidRPr="00D059C1">
        <w:rPr>
          <w:rStyle w:val="footnotemark"/>
          <w:b w:val="0"/>
          <w:bCs/>
        </w:rPr>
        <w:footnoteRef/>
      </w:r>
      <w:r w:rsidRPr="00D059C1">
        <w:rPr>
          <w:b/>
          <w:bCs/>
        </w:rPr>
        <w:t xml:space="preserve"> </w:t>
      </w:r>
      <w:r>
        <w:rPr>
          <w:i/>
        </w:rPr>
        <w:t xml:space="preserve">Elec. Reliability Org. Proposal to Retire Requirements in Reliability Standards Under the NERC Standards Efficiency Rev., </w:t>
      </w:r>
      <w:r>
        <w:t>Notice of Proposed Rulemaking, 170 FERC ¶ 61,032 (Jan. 23, 2020) (NOPR).</w:t>
      </w:r>
    </w:p>
  </w:footnote>
  <w:footnote w:id="4">
    <w:p w:rsidR="00ED3021" w:rsidRPr="00ED3021" w:rsidP="00ED3021" w14:paraId="518CE23B" w14:textId="31043CAC">
      <w:pPr>
        <w:pStyle w:val="FootnoteText"/>
      </w:pPr>
      <w:r w:rsidRPr="00E56E39">
        <w:rPr>
          <w:rStyle w:val="FootnoteReference"/>
          <w:sz w:val="26"/>
          <w:vertAlign w:val="superscript"/>
        </w:rPr>
        <w:footnoteRef/>
      </w:r>
      <w:r w:rsidRPr="00E56E39">
        <w:rPr>
          <w:sz w:val="26"/>
        </w:rPr>
        <w:t xml:space="preserve"> </w:t>
      </w:r>
      <w:r w:rsidRPr="008D4476">
        <w:rPr>
          <w:i/>
          <w:iCs/>
          <w:sz w:val="26"/>
        </w:rPr>
        <w:t xml:space="preserve">Electric Reliability Organization Proposal to Retire Requirements in Reliability Standards Under the NERC Standards Efficiency Review., </w:t>
      </w:r>
      <w:r w:rsidRPr="008D4476">
        <w:rPr>
          <w:sz w:val="26"/>
        </w:rPr>
        <w:t xml:space="preserve">Final Rule, </w:t>
      </w:r>
      <w:r w:rsidRPr="008D4476">
        <w:rPr>
          <w:sz w:val="26"/>
        </w:rPr>
        <w:t>185 FERC ¶ 61,064</w:t>
      </w:r>
      <w:r w:rsidRPr="008D4476" w:rsidR="00425E21">
        <w:rPr>
          <w:sz w:val="26"/>
        </w:rPr>
        <w:t xml:space="preserve"> October 26, 2023.</w:t>
      </w:r>
      <w:r w:rsidR="00425E21">
        <w:t xml:space="preserve"> </w:t>
      </w:r>
    </w:p>
    <w:p w:rsidR="005B72CD" w:rsidRPr="005B72CD" w:rsidP="005B72CD" w14:paraId="03AF1531" w14:textId="24CFC32F">
      <w:pPr>
        <w:pStyle w:val="FootnoteText"/>
      </w:pPr>
    </w:p>
    <w:p w:rsidR="005B72CD" w14:paraId="7143EFCE" w14:textId="6ECCA412">
      <w:pPr>
        <w:pStyle w:val="FootnoteText"/>
      </w:pPr>
    </w:p>
  </w:footnote>
  <w:footnote w:id="5">
    <w:p w:rsidR="00EE7794" w:rsidRPr="008A757A" w:rsidP="007F0136" w14:paraId="78A9B43F" w14:textId="418B3ED6">
      <w:pPr>
        <w:pStyle w:val="FootnoteText"/>
        <w:rPr>
          <w:sz w:val="26"/>
          <w:szCs w:val="26"/>
        </w:rPr>
      </w:pPr>
      <w:r w:rsidRPr="00375A46">
        <w:rPr>
          <w:rStyle w:val="FootnoteReference"/>
          <w:sz w:val="26"/>
          <w:szCs w:val="26"/>
          <w:vertAlign w:val="superscript"/>
        </w:rPr>
        <w:footnoteRef/>
      </w:r>
      <w:r w:rsidRPr="00AE205C">
        <w:rPr>
          <w:sz w:val="26"/>
          <w:szCs w:val="26"/>
          <w:vertAlign w:val="superscript"/>
        </w:rPr>
        <w:t xml:space="preserve"> </w:t>
      </w:r>
      <w:r w:rsidRPr="008A757A">
        <w:rPr>
          <w:sz w:val="26"/>
          <w:szCs w:val="26"/>
        </w:rPr>
        <w:t>Details of the current ERO Reliability Standard processes are available on the NERC website</w:t>
      </w:r>
      <w:r>
        <w:rPr>
          <w:sz w:val="26"/>
          <w:szCs w:val="26"/>
        </w:rPr>
        <w:t xml:space="preserve"> at </w:t>
      </w:r>
      <w:hyperlink r:id="rId1" w:history="1">
        <w:r w:rsidRPr="00427514" w:rsidR="00427514">
          <w:rPr>
            <w:rStyle w:val="Hyperlink"/>
            <w:sz w:val="26"/>
            <w:szCs w:val="26"/>
          </w:rPr>
          <w:t>NERC ROP Effective August 25, 2022</w:t>
        </w:r>
      </w:hyperlink>
      <w:r w:rsidRPr="008A757A">
        <w:rPr>
          <w:sz w:val="26"/>
          <w:szCs w:val="26"/>
        </w:rPr>
        <w:t>.</w:t>
      </w:r>
    </w:p>
  </w:footnote>
  <w:footnote w:id="6">
    <w:p w:rsidR="0097495E" w:rsidRPr="00D50AB5" w:rsidP="0097495E" w14:paraId="54DA630D" w14:textId="74EA74E1">
      <w:pPr>
        <w:pStyle w:val="FootnoteText"/>
        <w:rPr>
          <w:sz w:val="26"/>
        </w:rPr>
      </w:pPr>
      <w:r w:rsidRPr="00DB1B41">
        <w:rPr>
          <w:rStyle w:val="FootnoteReference"/>
          <w:sz w:val="26"/>
          <w:vertAlign w:val="superscript"/>
        </w:rPr>
        <w:footnoteRef/>
      </w:r>
      <w:r w:rsidRPr="00DB1B41">
        <w:rPr>
          <w:sz w:val="26"/>
        </w:rPr>
        <w:t xml:space="preserve"> </w:t>
      </w:r>
      <w:r w:rsidRPr="00D50AB5">
        <w:rPr>
          <w:sz w:val="26"/>
        </w:rPr>
        <w:t>The number of TSP</w:t>
      </w:r>
      <w:r w:rsidR="00D54915">
        <w:rPr>
          <w:sz w:val="26"/>
        </w:rPr>
        <w:t>s</w:t>
      </w:r>
      <w:r w:rsidRPr="00D50AB5">
        <w:rPr>
          <w:sz w:val="26"/>
        </w:rPr>
        <w:t xml:space="preserve"> (71), TOP</w:t>
      </w:r>
      <w:r w:rsidR="00D54915">
        <w:rPr>
          <w:sz w:val="26"/>
        </w:rPr>
        <w:t>s</w:t>
      </w:r>
      <w:r w:rsidRPr="00D50AB5">
        <w:rPr>
          <w:sz w:val="26"/>
        </w:rPr>
        <w:t xml:space="preserve"> (165), TP</w:t>
      </w:r>
      <w:r w:rsidR="00D54915">
        <w:rPr>
          <w:sz w:val="26"/>
        </w:rPr>
        <w:t>s</w:t>
      </w:r>
      <w:r w:rsidRPr="00D50AB5">
        <w:rPr>
          <w:sz w:val="26"/>
        </w:rPr>
        <w:t xml:space="preserve"> (98), RP</w:t>
      </w:r>
      <w:r w:rsidR="00D54915">
        <w:rPr>
          <w:sz w:val="26"/>
        </w:rPr>
        <w:t>s</w:t>
      </w:r>
      <w:r w:rsidRPr="00D50AB5">
        <w:rPr>
          <w:sz w:val="26"/>
        </w:rPr>
        <w:t xml:space="preserve"> (159), and BA</w:t>
      </w:r>
      <w:r w:rsidR="00D54915">
        <w:rPr>
          <w:sz w:val="26"/>
        </w:rPr>
        <w:t>s</w:t>
      </w:r>
      <w:r w:rsidRPr="00D50AB5">
        <w:rPr>
          <w:sz w:val="26"/>
        </w:rPr>
        <w:t xml:space="preserve"> (98) are </w:t>
      </w:r>
      <w:r w:rsidR="00C01459">
        <w:rPr>
          <w:sz w:val="26"/>
        </w:rPr>
        <w:t>b</w:t>
      </w:r>
      <w:r w:rsidRPr="00D50AB5">
        <w:rPr>
          <w:sz w:val="26"/>
        </w:rPr>
        <w:t>ased on the NERC Compliance Registry information as of August 17, 2023, and represent U.S. registered entities.</w:t>
      </w:r>
    </w:p>
    <w:p w:rsidR="0097495E" w14:paraId="5F0DA5D6" w14:textId="5916BBD8">
      <w:pPr>
        <w:pStyle w:val="FootnoteText"/>
      </w:pPr>
    </w:p>
  </w:footnote>
  <w:footnote w:id="7">
    <w:p w:rsidR="00B664B3" w:rsidRPr="00FB09BD" w:rsidP="00B664B3" w14:paraId="738C668B" w14:textId="77777777">
      <w:pPr>
        <w:pStyle w:val="FootnoteText"/>
        <w:rPr>
          <w:sz w:val="26"/>
          <w:vertAlign w:val="superscript"/>
        </w:rPr>
      </w:pPr>
      <w:r w:rsidRPr="00FB09BD">
        <w:rPr>
          <w:rStyle w:val="FootnoteReference"/>
          <w:sz w:val="26"/>
          <w:vertAlign w:val="superscript"/>
        </w:rPr>
        <w:footnoteRef/>
      </w:r>
      <w:r w:rsidRPr="00FB09BD">
        <w:rPr>
          <w:sz w:val="26"/>
          <w:vertAlign w:val="superscript"/>
        </w:rPr>
        <w:t xml:space="preserve"> </w:t>
      </w:r>
      <w:r w:rsidRPr="00FB09BD">
        <w:rPr>
          <w:sz w:val="26"/>
        </w:rPr>
        <w:t>The estimated hourly cost (salary plus benefits) is a combination based on the Bureau of Labor Statistics (BLS), as of 2022, for 75% of the average of an Electrical Engineer (17-2071) $77.29/hr, 72.29 x .75 = 57.9576 ($57.96-rounded) ($57.96/hour) and 25% of an Information and Record Clerk (43-4199) $39.58/hr, $39.58 x .25% = 9.895 ($9.90 rounded) ($9.90/hour), for a total ($57.96+$9.90 = $67.86/hour).</w:t>
      </w:r>
    </w:p>
    <w:p w:rsidR="00CC0E63" w:rsidRPr="00B664B3" w14:paraId="239E9FF0" w14:textId="6C46E8EA">
      <w:pPr>
        <w:pStyle w:val="FootnoteText"/>
      </w:pPr>
    </w:p>
  </w:footnote>
  <w:footnote w:id="8">
    <w:p w:rsidR="001B581E" w:rsidRPr="008742AC" w14:paraId="095B90CD" w14:textId="3B075C01">
      <w:pPr>
        <w:pStyle w:val="FootnoteText"/>
        <w:rPr>
          <w:sz w:val="26"/>
        </w:rPr>
      </w:pPr>
      <w:r w:rsidRPr="008742AC">
        <w:rPr>
          <w:rStyle w:val="FootnoteReference"/>
          <w:sz w:val="26"/>
          <w:vertAlign w:val="superscript"/>
        </w:rPr>
        <w:footnoteRef/>
      </w:r>
      <w:r>
        <w:t xml:space="preserve"> </w:t>
      </w:r>
      <w:r w:rsidRPr="008742AC" w:rsidR="00051752">
        <w:rPr>
          <w:sz w:val="26"/>
        </w:rPr>
        <w:t xml:space="preserve">In 2015 the Commission approved the retirement of the load-serving entity function.  </w:t>
      </w:r>
      <w:r w:rsidRPr="008742AC" w:rsidR="00051752">
        <w:rPr>
          <w:i/>
          <w:iCs/>
          <w:sz w:val="26"/>
        </w:rPr>
        <w:t>See N. Am. Elec. Reliability Corp.</w:t>
      </w:r>
      <w:r w:rsidRPr="008742AC" w:rsidR="00051752">
        <w:rPr>
          <w:sz w:val="26"/>
        </w:rPr>
        <w:t>,</w:t>
      </w:r>
      <w:r w:rsidRPr="008742AC" w:rsidR="00051752">
        <w:rPr>
          <w:i/>
          <w:iCs/>
          <w:sz w:val="26"/>
        </w:rPr>
        <w:t xml:space="preserve"> </w:t>
      </w:r>
      <w:r w:rsidRPr="008742AC" w:rsidR="00051752">
        <w:rPr>
          <w:sz w:val="26"/>
        </w:rPr>
        <w:t>150 FERC ¶ 61,213 (2015);</w:t>
      </w:r>
      <w:r w:rsidRPr="008742AC" w:rsidR="00051752">
        <w:rPr>
          <w:i/>
          <w:iCs/>
          <w:sz w:val="26"/>
        </w:rPr>
        <w:t xml:space="preserve"> N. Am. Elec. Reliability Corp.</w:t>
      </w:r>
      <w:r w:rsidRPr="008742AC" w:rsidR="00051752">
        <w:rPr>
          <w:sz w:val="26"/>
        </w:rPr>
        <w:t xml:space="preserve">, 153 FERC ¶ 61,024 (2015).  NERC has an ongoing standard drafting team project to replace this function as an applicable entity in the Reliability Standards with the distribution provider function.  </w:t>
      </w:r>
      <w:r w:rsidRPr="008742AC" w:rsidR="00051752">
        <w:rPr>
          <w:i/>
          <w:iCs/>
          <w:sz w:val="26"/>
        </w:rPr>
        <w:t>See</w:t>
      </w:r>
      <w:r w:rsidRPr="008742AC" w:rsidR="00051752">
        <w:rPr>
          <w:sz w:val="26"/>
        </w:rPr>
        <w:t xml:space="preserve"> Project-2022-02 Modifications to TPL-001 and MOD-032.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7ED" w14:paraId="6B9DA12B" w14:textId="7626BA58">
    <w:r>
      <w:rPr>
        <w:rFonts w:ascii="Times New Roman" w:hAnsi="Times New Roman"/>
        <w:sz w:val="24"/>
        <w:szCs w:val="24"/>
      </w:rPr>
      <w:t>FERC-725A (OMB Control No. 1902-0244)</w:t>
    </w:r>
    <w:r w:rsidR="00FC42EB">
      <w:rPr>
        <w:rFonts w:ascii="Times New Roman" w:hAnsi="Times New Roman"/>
        <w:sz w:val="24"/>
        <w:szCs w:val="24"/>
      </w:rPr>
      <w:t xml:space="preserve">; Order </w:t>
    </w:r>
    <w:r w:rsidR="00373C36">
      <w:rPr>
        <w:rFonts w:ascii="Times New Roman" w:hAnsi="Times New Roman"/>
        <w:sz w:val="24"/>
        <w:szCs w:val="24"/>
      </w:rPr>
      <w:t xml:space="preserve">902 </w:t>
    </w:r>
    <w:r w:rsidR="00FC42EB">
      <w:rPr>
        <w:rFonts w:ascii="Times New Roman" w:hAnsi="Times New Roman"/>
        <w:sz w:val="24"/>
        <w:szCs w:val="24"/>
      </w:rPr>
      <w:t>in Docket N</w:t>
    </w:r>
    <w:r w:rsidR="002512DB">
      <w:rPr>
        <w:rFonts w:ascii="Times New Roman" w:hAnsi="Times New Roman"/>
        <w:sz w:val="24"/>
        <w:szCs w:val="24"/>
      </w:rPr>
      <w:t>o.</w:t>
    </w:r>
    <w:r w:rsidR="00FC42EB">
      <w:rPr>
        <w:rFonts w:ascii="Times New Roman" w:hAnsi="Times New Roman"/>
        <w:sz w:val="24"/>
        <w:szCs w:val="24"/>
      </w:rPr>
      <w:t xml:space="preserve"> RM19</w:t>
    </w:r>
    <w:r w:rsidR="002512DB">
      <w:rPr>
        <w:rFonts w:ascii="Times New Roman" w:hAnsi="Times New Roman"/>
        <w:sz w:val="24"/>
        <w:szCs w:val="24"/>
      </w:rPr>
      <w:t>-17-001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0A3322"/>
    <w:multiLevelType w:val="hybridMultilevel"/>
    <w:tmpl w:val="D6AE93A6"/>
    <w:lvl w:ilvl="0">
      <w:start w:val="40"/>
      <w:numFmt w:val="decimal"/>
      <w:lvlText w:val="%1"/>
      <w:lvlJc w:val="left"/>
      <w:pPr>
        <w:ind w:left="5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12">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4">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1A5B53"/>
    <w:multiLevelType w:val="hybridMultilevel"/>
    <w:tmpl w:val="C5C0E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E38F3"/>
    <w:multiLevelType w:val="hybridMultilevel"/>
    <w:tmpl w:val="10AE4AAC"/>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20B10"/>
    <w:multiLevelType w:val="hybridMultilevel"/>
    <w:tmpl w:val="185AA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5F2E15"/>
    <w:multiLevelType w:val="hybridMultilevel"/>
    <w:tmpl w:val="3BF4897A"/>
    <w:lvl w:ilvl="0">
      <w:start w:val="36"/>
      <w:numFmt w:val="decimal"/>
      <w:lvlText w:val="%1"/>
      <w:lvlJc w:val="left"/>
      <w:pPr>
        <w:ind w:left="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25">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192B44"/>
    <w:multiLevelType w:val="hybridMultilevel"/>
    <w:tmpl w:val="3A7E3F9E"/>
    <w:lvl w:ilvl="0">
      <w:start w:val="36"/>
      <w:numFmt w:val="decimal"/>
      <w:lvlText w:val="%1"/>
      <w:lvlJc w:val="left"/>
      <w:pPr>
        <w:ind w:left="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30">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515523"/>
    <w:multiLevelType w:val="hybridMultilevel"/>
    <w:tmpl w:val="B41ACCB0"/>
    <w:lvl w:ilvl="0">
      <w:start w:val="40"/>
      <w:numFmt w:val="decimal"/>
      <w:lvlText w:val="%1"/>
      <w:lvlJc w:val="left"/>
      <w:pPr>
        <w:ind w:left="5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34">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7">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317619032">
    <w:abstractNumId w:val="25"/>
  </w:num>
  <w:num w:numId="2" w16cid:durableId="2116245160">
    <w:abstractNumId w:val="19"/>
  </w:num>
  <w:num w:numId="3" w16cid:durableId="749886002">
    <w:abstractNumId w:val="30"/>
  </w:num>
  <w:num w:numId="4" w16cid:durableId="249049677">
    <w:abstractNumId w:val="32"/>
  </w:num>
  <w:num w:numId="5" w16cid:durableId="2008628788">
    <w:abstractNumId w:val="39"/>
  </w:num>
  <w:num w:numId="6" w16cid:durableId="925768625">
    <w:abstractNumId w:val="36"/>
  </w:num>
  <w:num w:numId="7" w16cid:durableId="1261597995">
    <w:abstractNumId w:val="13"/>
  </w:num>
  <w:num w:numId="8" w16cid:durableId="1327396703">
    <w:abstractNumId w:val="31"/>
  </w:num>
  <w:num w:numId="9" w16cid:durableId="1170175000">
    <w:abstractNumId w:val="9"/>
  </w:num>
  <w:num w:numId="10" w16cid:durableId="2024165294">
    <w:abstractNumId w:val="7"/>
  </w:num>
  <w:num w:numId="11" w16cid:durableId="1165976530">
    <w:abstractNumId w:val="6"/>
  </w:num>
  <w:num w:numId="12" w16cid:durableId="120539864">
    <w:abstractNumId w:val="5"/>
  </w:num>
  <w:num w:numId="13" w16cid:durableId="882715142">
    <w:abstractNumId w:val="4"/>
  </w:num>
  <w:num w:numId="14" w16cid:durableId="1016229300">
    <w:abstractNumId w:val="8"/>
  </w:num>
  <w:num w:numId="15" w16cid:durableId="369837913">
    <w:abstractNumId w:val="3"/>
  </w:num>
  <w:num w:numId="16" w16cid:durableId="815687499">
    <w:abstractNumId w:val="2"/>
  </w:num>
  <w:num w:numId="17" w16cid:durableId="1348025210">
    <w:abstractNumId w:val="1"/>
  </w:num>
  <w:num w:numId="18" w16cid:durableId="165024132">
    <w:abstractNumId w:val="0"/>
  </w:num>
  <w:num w:numId="19" w16cid:durableId="934171610">
    <w:abstractNumId w:val="34"/>
  </w:num>
  <w:num w:numId="20" w16cid:durableId="668142023">
    <w:abstractNumId w:val="17"/>
  </w:num>
  <w:num w:numId="21" w16cid:durableId="1051927323">
    <w:abstractNumId w:val="10"/>
  </w:num>
  <w:num w:numId="22" w16cid:durableId="1485733457">
    <w:abstractNumId w:val="38"/>
  </w:num>
  <w:num w:numId="23" w16cid:durableId="1013458287">
    <w:abstractNumId w:val="20"/>
  </w:num>
  <w:num w:numId="24" w16cid:durableId="845025440">
    <w:abstractNumId w:val="23"/>
  </w:num>
  <w:num w:numId="25" w16cid:durableId="977953996">
    <w:abstractNumId w:val="37"/>
  </w:num>
  <w:num w:numId="26" w16cid:durableId="303193649">
    <w:abstractNumId w:val="14"/>
  </w:num>
  <w:num w:numId="27" w16cid:durableId="658384917">
    <w:abstractNumId w:val="35"/>
  </w:num>
  <w:num w:numId="28" w16cid:durableId="934480859">
    <w:abstractNumId w:val="12"/>
  </w:num>
  <w:num w:numId="29" w16cid:durableId="1440947199">
    <w:abstractNumId w:val="15"/>
  </w:num>
  <w:num w:numId="30" w16cid:durableId="62266160">
    <w:abstractNumId w:val="27"/>
  </w:num>
  <w:num w:numId="31" w16cid:durableId="841360484">
    <w:abstractNumId w:val="28"/>
  </w:num>
  <w:num w:numId="32" w16cid:durableId="1350060103">
    <w:abstractNumId w:val="16"/>
  </w:num>
  <w:num w:numId="33" w16cid:durableId="2082214978">
    <w:abstractNumId w:val="26"/>
  </w:num>
  <w:num w:numId="34" w16cid:durableId="2107187126">
    <w:abstractNumId w:val="21"/>
  </w:num>
  <w:num w:numId="35" w16cid:durableId="1460996407">
    <w:abstractNumId w:val="22"/>
  </w:num>
  <w:num w:numId="36" w16cid:durableId="1259756345">
    <w:abstractNumId w:val="18"/>
  </w:num>
  <w:num w:numId="37" w16cid:durableId="1102336363">
    <w:abstractNumId w:val="2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25389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751242">
    <w:abstractNumId w:val="24"/>
  </w:num>
  <w:num w:numId="40" w16cid:durableId="2594152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1A41"/>
    <w:rsid w:val="00001EC7"/>
    <w:rsid w:val="0000315F"/>
    <w:rsid w:val="00003329"/>
    <w:rsid w:val="000042C0"/>
    <w:rsid w:val="00004303"/>
    <w:rsid w:val="00004D85"/>
    <w:rsid w:val="0000709E"/>
    <w:rsid w:val="00010305"/>
    <w:rsid w:val="00011946"/>
    <w:rsid w:val="00012DDC"/>
    <w:rsid w:val="0002242D"/>
    <w:rsid w:val="000232B8"/>
    <w:rsid w:val="000233B8"/>
    <w:rsid w:val="00024344"/>
    <w:rsid w:val="00025FDB"/>
    <w:rsid w:val="00032AB7"/>
    <w:rsid w:val="00033749"/>
    <w:rsid w:val="00035845"/>
    <w:rsid w:val="00043E54"/>
    <w:rsid w:val="00047034"/>
    <w:rsid w:val="0004709E"/>
    <w:rsid w:val="00051752"/>
    <w:rsid w:val="00053806"/>
    <w:rsid w:val="000541C7"/>
    <w:rsid w:val="00056FA3"/>
    <w:rsid w:val="00057220"/>
    <w:rsid w:val="00057A9A"/>
    <w:rsid w:val="000619C7"/>
    <w:rsid w:val="00067836"/>
    <w:rsid w:val="00071443"/>
    <w:rsid w:val="00071E8E"/>
    <w:rsid w:val="00086B41"/>
    <w:rsid w:val="00092D19"/>
    <w:rsid w:val="000A441A"/>
    <w:rsid w:val="000B025F"/>
    <w:rsid w:val="000B0C37"/>
    <w:rsid w:val="000B4923"/>
    <w:rsid w:val="000C69C2"/>
    <w:rsid w:val="000D1962"/>
    <w:rsid w:val="000E4604"/>
    <w:rsid w:val="000E608D"/>
    <w:rsid w:val="000F532B"/>
    <w:rsid w:val="000F5B28"/>
    <w:rsid w:val="0010002F"/>
    <w:rsid w:val="00101B89"/>
    <w:rsid w:val="00107834"/>
    <w:rsid w:val="00107CDE"/>
    <w:rsid w:val="00132DA0"/>
    <w:rsid w:val="0013654C"/>
    <w:rsid w:val="001372FF"/>
    <w:rsid w:val="001408AC"/>
    <w:rsid w:val="00143103"/>
    <w:rsid w:val="00145A85"/>
    <w:rsid w:val="001513C0"/>
    <w:rsid w:val="00155694"/>
    <w:rsid w:val="00172907"/>
    <w:rsid w:val="00172A88"/>
    <w:rsid w:val="0017787C"/>
    <w:rsid w:val="00181727"/>
    <w:rsid w:val="00182858"/>
    <w:rsid w:val="00185730"/>
    <w:rsid w:val="00190012"/>
    <w:rsid w:val="00190A04"/>
    <w:rsid w:val="00190F9D"/>
    <w:rsid w:val="001950C7"/>
    <w:rsid w:val="001A6340"/>
    <w:rsid w:val="001A77F6"/>
    <w:rsid w:val="001B2B87"/>
    <w:rsid w:val="001B3AAE"/>
    <w:rsid w:val="001B5333"/>
    <w:rsid w:val="001B581E"/>
    <w:rsid w:val="001B66CF"/>
    <w:rsid w:val="001C300E"/>
    <w:rsid w:val="001C3AC0"/>
    <w:rsid w:val="001D0D91"/>
    <w:rsid w:val="001E3441"/>
    <w:rsid w:val="001F0778"/>
    <w:rsid w:val="001F1AD2"/>
    <w:rsid w:val="001F3020"/>
    <w:rsid w:val="001F4608"/>
    <w:rsid w:val="001F5F1E"/>
    <w:rsid w:val="001F6B5F"/>
    <w:rsid w:val="001F709E"/>
    <w:rsid w:val="002051EB"/>
    <w:rsid w:val="0020669E"/>
    <w:rsid w:val="00210748"/>
    <w:rsid w:val="00210902"/>
    <w:rsid w:val="00212FCA"/>
    <w:rsid w:val="00214792"/>
    <w:rsid w:val="00215BA7"/>
    <w:rsid w:val="00222806"/>
    <w:rsid w:val="00224962"/>
    <w:rsid w:val="002249B4"/>
    <w:rsid w:val="002251F3"/>
    <w:rsid w:val="002312F1"/>
    <w:rsid w:val="00231EBD"/>
    <w:rsid w:val="00247AA9"/>
    <w:rsid w:val="002512DB"/>
    <w:rsid w:val="00261AB8"/>
    <w:rsid w:val="0026278B"/>
    <w:rsid w:val="0026499C"/>
    <w:rsid w:val="0026674D"/>
    <w:rsid w:val="00270229"/>
    <w:rsid w:val="002705B2"/>
    <w:rsid w:val="00275E54"/>
    <w:rsid w:val="002800F3"/>
    <w:rsid w:val="00280A6C"/>
    <w:rsid w:val="0028269D"/>
    <w:rsid w:val="00293DD1"/>
    <w:rsid w:val="00297035"/>
    <w:rsid w:val="0029769D"/>
    <w:rsid w:val="002B13E2"/>
    <w:rsid w:val="002B4480"/>
    <w:rsid w:val="002B502D"/>
    <w:rsid w:val="002B555D"/>
    <w:rsid w:val="002C1DB4"/>
    <w:rsid w:val="002C5309"/>
    <w:rsid w:val="002C7345"/>
    <w:rsid w:val="002D108B"/>
    <w:rsid w:val="002D57E3"/>
    <w:rsid w:val="002D7F9F"/>
    <w:rsid w:val="002E48FF"/>
    <w:rsid w:val="002E6793"/>
    <w:rsid w:val="002E73DC"/>
    <w:rsid w:val="002E7D81"/>
    <w:rsid w:val="002F0209"/>
    <w:rsid w:val="002F347A"/>
    <w:rsid w:val="002F4042"/>
    <w:rsid w:val="002F5621"/>
    <w:rsid w:val="0030268B"/>
    <w:rsid w:val="0030535D"/>
    <w:rsid w:val="00312677"/>
    <w:rsid w:val="00312AD1"/>
    <w:rsid w:val="00321226"/>
    <w:rsid w:val="00324D7D"/>
    <w:rsid w:val="00325FB3"/>
    <w:rsid w:val="00330A2A"/>
    <w:rsid w:val="00330AEB"/>
    <w:rsid w:val="00333EE2"/>
    <w:rsid w:val="003536EA"/>
    <w:rsid w:val="00370C68"/>
    <w:rsid w:val="00373C36"/>
    <w:rsid w:val="00375A46"/>
    <w:rsid w:val="00383A48"/>
    <w:rsid w:val="0038611B"/>
    <w:rsid w:val="003915AF"/>
    <w:rsid w:val="00397889"/>
    <w:rsid w:val="003A2655"/>
    <w:rsid w:val="003B11FC"/>
    <w:rsid w:val="003B1498"/>
    <w:rsid w:val="003B25DD"/>
    <w:rsid w:val="003C0A4F"/>
    <w:rsid w:val="003C4526"/>
    <w:rsid w:val="003D1048"/>
    <w:rsid w:val="003D1945"/>
    <w:rsid w:val="003D3224"/>
    <w:rsid w:val="003D69FC"/>
    <w:rsid w:val="003E0475"/>
    <w:rsid w:val="003E3EF2"/>
    <w:rsid w:val="003F119D"/>
    <w:rsid w:val="004002A4"/>
    <w:rsid w:val="004046B1"/>
    <w:rsid w:val="00406E7C"/>
    <w:rsid w:val="00414F32"/>
    <w:rsid w:val="00415C53"/>
    <w:rsid w:val="00421760"/>
    <w:rsid w:val="00425E21"/>
    <w:rsid w:val="00427514"/>
    <w:rsid w:val="00443C42"/>
    <w:rsid w:val="004469CF"/>
    <w:rsid w:val="004552E9"/>
    <w:rsid w:val="0046112D"/>
    <w:rsid w:val="00461A70"/>
    <w:rsid w:val="004620D9"/>
    <w:rsid w:val="0046560A"/>
    <w:rsid w:val="00470344"/>
    <w:rsid w:val="00471EC4"/>
    <w:rsid w:val="00474E28"/>
    <w:rsid w:val="00477458"/>
    <w:rsid w:val="004779B9"/>
    <w:rsid w:val="00477CC5"/>
    <w:rsid w:val="00486729"/>
    <w:rsid w:val="00492339"/>
    <w:rsid w:val="004948ED"/>
    <w:rsid w:val="004951E2"/>
    <w:rsid w:val="0049779A"/>
    <w:rsid w:val="004A446A"/>
    <w:rsid w:val="004B01EE"/>
    <w:rsid w:val="004B3103"/>
    <w:rsid w:val="004B502E"/>
    <w:rsid w:val="004B7A8E"/>
    <w:rsid w:val="004C104A"/>
    <w:rsid w:val="004C4C89"/>
    <w:rsid w:val="004D504E"/>
    <w:rsid w:val="004E3E8F"/>
    <w:rsid w:val="004F1D5A"/>
    <w:rsid w:val="004F3733"/>
    <w:rsid w:val="004F64EB"/>
    <w:rsid w:val="004F66B9"/>
    <w:rsid w:val="004F6977"/>
    <w:rsid w:val="004F7A4D"/>
    <w:rsid w:val="0050258F"/>
    <w:rsid w:val="00504E92"/>
    <w:rsid w:val="00506506"/>
    <w:rsid w:val="005140A8"/>
    <w:rsid w:val="00520776"/>
    <w:rsid w:val="00522F69"/>
    <w:rsid w:val="00525121"/>
    <w:rsid w:val="00530462"/>
    <w:rsid w:val="005317BD"/>
    <w:rsid w:val="0053287C"/>
    <w:rsid w:val="005335A7"/>
    <w:rsid w:val="005344DB"/>
    <w:rsid w:val="0055294C"/>
    <w:rsid w:val="005532D4"/>
    <w:rsid w:val="00554773"/>
    <w:rsid w:val="00557DDD"/>
    <w:rsid w:val="0056728B"/>
    <w:rsid w:val="005706BD"/>
    <w:rsid w:val="00571C5E"/>
    <w:rsid w:val="00572435"/>
    <w:rsid w:val="00572C67"/>
    <w:rsid w:val="0057700F"/>
    <w:rsid w:val="00577CC7"/>
    <w:rsid w:val="0058043B"/>
    <w:rsid w:val="00580974"/>
    <w:rsid w:val="00583179"/>
    <w:rsid w:val="00583863"/>
    <w:rsid w:val="0059004C"/>
    <w:rsid w:val="005932C8"/>
    <w:rsid w:val="005A2792"/>
    <w:rsid w:val="005A57ED"/>
    <w:rsid w:val="005A7605"/>
    <w:rsid w:val="005B222B"/>
    <w:rsid w:val="005B4642"/>
    <w:rsid w:val="005B72CD"/>
    <w:rsid w:val="005B74EF"/>
    <w:rsid w:val="005B77CE"/>
    <w:rsid w:val="005C59EC"/>
    <w:rsid w:val="005C7425"/>
    <w:rsid w:val="005D0394"/>
    <w:rsid w:val="005D41A2"/>
    <w:rsid w:val="005D7D08"/>
    <w:rsid w:val="005E25DF"/>
    <w:rsid w:val="005E7290"/>
    <w:rsid w:val="005F0A0E"/>
    <w:rsid w:val="005F0F07"/>
    <w:rsid w:val="005F1C3C"/>
    <w:rsid w:val="005F2922"/>
    <w:rsid w:val="005F321F"/>
    <w:rsid w:val="005F37A1"/>
    <w:rsid w:val="00606994"/>
    <w:rsid w:val="0060709A"/>
    <w:rsid w:val="0060762B"/>
    <w:rsid w:val="00615C10"/>
    <w:rsid w:val="006166FA"/>
    <w:rsid w:val="00620E17"/>
    <w:rsid w:val="00622210"/>
    <w:rsid w:val="00630606"/>
    <w:rsid w:val="006339D0"/>
    <w:rsid w:val="006368BA"/>
    <w:rsid w:val="00644E06"/>
    <w:rsid w:val="00653239"/>
    <w:rsid w:val="00653BD5"/>
    <w:rsid w:val="00656BFD"/>
    <w:rsid w:val="00656F55"/>
    <w:rsid w:val="00657D4D"/>
    <w:rsid w:val="00664BC0"/>
    <w:rsid w:val="006668B5"/>
    <w:rsid w:val="00676CE5"/>
    <w:rsid w:val="00681134"/>
    <w:rsid w:val="006825A5"/>
    <w:rsid w:val="00682C0F"/>
    <w:rsid w:val="006835EB"/>
    <w:rsid w:val="00687039"/>
    <w:rsid w:val="00690136"/>
    <w:rsid w:val="00691710"/>
    <w:rsid w:val="0069205E"/>
    <w:rsid w:val="006945DB"/>
    <w:rsid w:val="0069477F"/>
    <w:rsid w:val="00695622"/>
    <w:rsid w:val="006957DC"/>
    <w:rsid w:val="006A25D4"/>
    <w:rsid w:val="006A426A"/>
    <w:rsid w:val="006A4951"/>
    <w:rsid w:val="006A5231"/>
    <w:rsid w:val="006C7216"/>
    <w:rsid w:val="006D67DF"/>
    <w:rsid w:val="006D74D9"/>
    <w:rsid w:val="006D7EBE"/>
    <w:rsid w:val="006E08D1"/>
    <w:rsid w:val="006E33D4"/>
    <w:rsid w:val="006E6BF1"/>
    <w:rsid w:val="006E761D"/>
    <w:rsid w:val="006F587F"/>
    <w:rsid w:val="00705A5C"/>
    <w:rsid w:val="00705F66"/>
    <w:rsid w:val="00712881"/>
    <w:rsid w:val="007165A2"/>
    <w:rsid w:val="0072020E"/>
    <w:rsid w:val="0072126E"/>
    <w:rsid w:val="00730120"/>
    <w:rsid w:val="00730307"/>
    <w:rsid w:val="00731CBC"/>
    <w:rsid w:val="0073424E"/>
    <w:rsid w:val="00734692"/>
    <w:rsid w:val="00734D39"/>
    <w:rsid w:val="00736846"/>
    <w:rsid w:val="00736881"/>
    <w:rsid w:val="00742C9C"/>
    <w:rsid w:val="0074489A"/>
    <w:rsid w:val="00760836"/>
    <w:rsid w:val="00763A41"/>
    <w:rsid w:val="00763EAE"/>
    <w:rsid w:val="00764D4D"/>
    <w:rsid w:val="007666A8"/>
    <w:rsid w:val="00767664"/>
    <w:rsid w:val="00773039"/>
    <w:rsid w:val="00773AEB"/>
    <w:rsid w:val="00774EB5"/>
    <w:rsid w:val="00776623"/>
    <w:rsid w:val="00781137"/>
    <w:rsid w:val="007869CF"/>
    <w:rsid w:val="00787670"/>
    <w:rsid w:val="00787FED"/>
    <w:rsid w:val="007A2408"/>
    <w:rsid w:val="007A2F92"/>
    <w:rsid w:val="007A3D73"/>
    <w:rsid w:val="007A6167"/>
    <w:rsid w:val="007A69B7"/>
    <w:rsid w:val="007A7A19"/>
    <w:rsid w:val="007B3E16"/>
    <w:rsid w:val="007C18C6"/>
    <w:rsid w:val="007C31D6"/>
    <w:rsid w:val="007C5EB4"/>
    <w:rsid w:val="007D00F7"/>
    <w:rsid w:val="007D1C64"/>
    <w:rsid w:val="007D1EDB"/>
    <w:rsid w:val="007D3513"/>
    <w:rsid w:val="007D4C3D"/>
    <w:rsid w:val="007D5718"/>
    <w:rsid w:val="007D67D3"/>
    <w:rsid w:val="007E08EF"/>
    <w:rsid w:val="007E12BA"/>
    <w:rsid w:val="007E7C0F"/>
    <w:rsid w:val="007E7FE9"/>
    <w:rsid w:val="007F0136"/>
    <w:rsid w:val="007F1AC1"/>
    <w:rsid w:val="007F2CD9"/>
    <w:rsid w:val="007F42F1"/>
    <w:rsid w:val="007F58DE"/>
    <w:rsid w:val="007F7801"/>
    <w:rsid w:val="00804051"/>
    <w:rsid w:val="008129BD"/>
    <w:rsid w:val="0081469B"/>
    <w:rsid w:val="008204E6"/>
    <w:rsid w:val="0082480E"/>
    <w:rsid w:val="00824B30"/>
    <w:rsid w:val="00826750"/>
    <w:rsid w:val="00836ACB"/>
    <w:rsid w:val="00841095"/>
    <w:rsid w:val="00841DE0"/>
    <w:rsid w:val="00842C1A"/>
    <w:rsid w:val="00844D11"/>
    <w:rsid w:val="00845C73"/>
    <w:rsid w:val="00847190"/>
    <w:rsid w:val="00847B85"/>
    <w:rsid w:val="00853750"/>
    <w:rsid w:val="008571D8"/>
    <w:rsid w:val="00860221"/>
    <w:rsid w:val="008619E1"/>
    <w:rsid w:val="008742AC"/>
    <w:rsid w:val="00876C2E"/>
    <w:rsid w:val="00876E48"/>
    <w:rsid w:val="00876F75"/>
    <w:rsid w:val="008838BF"/>
    <w:rsid w:val="00883F19"/>
    <w:rsid w:val="00896477"/>
    <w:rsid w:val="00896DEA"/>
    <w:rsid w:val="00897AE9"/>
    <w:rsid w:val="008A042D"/>
    <w:rsid w:val="008A0CCC"/>
    <w:rsid w:val="008A21A4"/>
    <w:rsid w:val="008A757A"/>
    <w:rsid w:val="008B0A37"/>
    <w:rsid w:val="008B4649"/>
    <w:rsid w:val="008B58EA"/>
    <w:rsid w:val="008B703B"/>
    <w:rsid w:val="008B7B44"/>
    <w:rsid w:val="008C1F0A"/>
    <w:rsid w:val="008C288D"/>
    <w:rsid w:val="008C4831"/>
    <w:rsid w:val="008D00BA"/>
    <w:rsid w:val="008D4476"/>
    <w:rsid w:val="008E041E"/>
    <w:rsid w:val="008E2350"/>
    <w:rsid w:val="008E70CD"/>
    <w:rsid w:val="008F16EE"/>
    <w:rsid w:val="008F3AD3"/>
    <w:rsid w:val="008F70E5"/>
    <w:rsid w:val="00900934"/>
    <w:rsid w:val="00901659"/>
    <w:rsid w:val="00907E06"/>
    <w:rsid w:val="00913A8B"/>
    <w:rsid w:val="00913AEB"/>
    <w:rsid w:val="00914615"/>
    <w:rsid w:val="00914D64"/>
    <w:rsid w:val="00916824"/>
    <w:rsid w:val="009230FE"/>
    <w:rsid w:val="00923407"/>
    <w:rsid w:val="009234F6"/>
    <w:rsid w:val="00924C11"/>
    <w:rsid w:val="009250E0"/>
    <w:rsid w:val="00925499"/>
    <w:rsid w:val="0092596C"/>
    <w:rsid w:val="00926C52"/>
    <w:rsid w:val="0093047B"/>
    <w:rsid w:val="00937B80"/>
    <w:rsid w:val="00943534"/>
    <w:rsid w:val="009500BF"/>
    <w:rsid w:val="00954E34"/>
    <w:rsid w:val="00956723"/>
    <w:rsid w:val="00961152"/>
    <w:rsid w:val="00962059"/>
    <w:rsid w:val="00964094"/>
    <w:rsid w:val="00970FE4"/>
    <w:rsid w:val="00973D7D"/>
    <w:rsid w:val="0097495E"/>
    <w:rsid w:val="00980605"/>
    <w:rsid w:val="00981012"/>
    <w:rsid w:val="0098144A"/>
    <w:rsid w:val="0098152D"/>
    <w:rsid w:val="00983944"/>
    <w:rsid w:val="00990402"/>
    <w:rsid w:val="009930C8"/>
    <w:rsid w:val="00993AE1"/>
    <w:rsid w:val="009946AD"/>
    <w:rsid w:val="0099480B"/>
    <w:rsid w:val="009A21D0"/>
    <w:rsid w:val="009A2394"/>
    <w:rsid w:val="009A2C8A"/>
    <w:rsid w:val="009A3F1E"/>
    <w:rsid w:val="009A480A"/>
    <w:rsid w:val="009A6041"/>
    <w:rsid w:val="009A6326"/>
    <w:rsid w:val="009B0D3A"/>
    <w:rsid w:val="009B2E0D"/>
    <w:rsid w:val="009C1C89"/>
    <w:rsid w:val="009C373A"/>
    <w:rsid w:val="009C7ADC"/>
    <w:rsid w:val="009D3282"/>
    <w:rsid w:val="009D4D24"/>
    <w:rsid w:val="009D65E5"/>
    <w:rsid w:val="009E1190"/>
    <w:rsid w:val="009E68B7"/>
    <w:rsid w:val="009F04D1"/>
    <w:rsid w:val="009F0FC2"/>
    <w:rsid w:val="009F2DC4"/>
    <w:rsid w:val="009F2EB1"/>
    <w:rsid w:val="009F358B"/>
    <w:rsid w:val="009F534F"/>
    <w:rsid w:val="00A03A01"/>
    <w:rsid w:val="00A0793A"/>
    <w:rsid w:val="00A124D2"/>
    <w:rsid w:val="00A16ACC"/>
    <w:rsid w:val="00A21E72"/>
    <w:rsid w:val="00A24658"/>
    <w:rsid w:val="00A25080"/>
    <w:rsid w:val="00A276F5"/>
    <w:rsid w:val="00A32414"/>
    <w:rsid w:val="00A32B85"/>
    <w:rsid w:val="00A330B8"/>
    <w:rsid w:val="00A343EB"/>
    <w:rsid w:val="00A36704"/>
    <w:rsid w:val="00A37824"/>
    <w:rsid w:val="00A42341"/>
    <w:rsid w:val="00A4336A"/>
    <w:rsid w:val="00A548BE"/>
    <w:rsid w:val="00A64846"/>
    <w:rsid w:val="00A6790F"/>
    <w:rsid w:val="00A72E7B"/>
    <w:rsid w:val="00A81296"/>
    <w:rsid w:val="00A82672"/>
    <w:rsid w:val="00A828A2"/>
    <w:rsid w:val="00A830F4"/>
    <w:rsid w:val="00A95796"/>
    <w:rsid w:val="00A9662B"/>
    <w:rsid w:val="00A968FB"/>
    <w:rsid w:val="00A96B65"/>
    <w:rsid w:val="00AA2703"/>
    <w:rsid w:val="00AA55C7"/>
    <w:rsid w:val="00AB222C"/>
    <w:rsid w:val="00AB3C34"/>
    <w:rsid w:val="00AB6645"/>
    <w:rsid w:val="00AB665B"/>
    <w:rsid w:val="00AC44F0"/>
    <w:rsid w:val="00AC488E"/>
    <w:rsid w:val="00AC5B54"/>
    <w:rsid w:val="00AD09F7"/>
    <w:rsid w:val="00AD3A82"/>
    <w:rsid w:val="00AD3DE5"/>
    <w:rsid w:val="00AD4C87"/>
    <w:rsid w:val="00AD4CC5"/>
    <w:rsid w:val="00AD5F1C"/>
    <w:rsid w:val="00AD7868"/>
    <w:rsid w:val="00AE1737"/>
    <w:rsid w:val="00AE205C"/>
    <w:rsid w:val="00AF32F2"/>
    <w:rsid w:val="00B0505D"/>
    <w:rsid w:val="00B06088"/>
    <w:rsid w:val="00B132AA"/>
    <w:rsid w:val="00B1381C"/>
    <w:rsid w:val="00B1520D"/>
    <w:rsid w:val="00B16372"/>
    <w:rsid w:val="00B17D68"/>
    <w:rsid w:val="00B253C7"/>
    <w:rsid w:val="00B3407F"/>
    <w:rsid w:val="00B40453"/>
    <w:rsid w:val="00B40DAD"/>
    <w:rsid w:val="00B44058"/>
    <w:rsid w:val="00B44D95"/>
    <w:rsid w:val="00B5301A"/>
    <w:rsid w:val="00B552E2"/>
    <w:rsid w:val="00B62DC2"/>
    <w:rsid w:val="00B633FE"/>
    <w:rsid w:val="00B664B3"/>
    <w:rsid w:val="00B7213C"/>
    <w:rsid w:val="00B77083"/>
    <w:rsid w:val="00B82D54"/>
    <w:rsid w:val="00B8516E"/>
    <w:rsid w:val="00B86284"/>
    <w:rsid w:val="00B862DA"/>
    <w:rsid w:val="00B87BD5"/>
    <w:rsid w:val="00BA1C7D"/>
    <w:rsid w:val="00BA1D55"/>
    <w:rsid w:val="00BA5743"/>
    <w:rsid w:val="00BA57C6"/>
    <w:rsid w:val="00BA7C56"/>
    <w:rsid w:val="00BB0FAF"/>
    <w:rsid w:val="00BB19B9"/>
    <w:rsid w:val="00BB7F3D"/>
    <w:rsid w:val="00BC266B"/>
    <w:rsid w:val="00BC2D1E"/>
    <w:rsid w:val="00BC302C"/>
    <w:rsid w:val="00BC3FF3"/>
    <w:rsid w:val="00BC5409"/>
    <w:rsid w:val="00BD0FD5"/>
    <w:rsid w:val="00BD3423"/>
    <w:rsid w:val="00BD37A8"/>
    <w:rsid w:val="00BD6EFF"/>
    <w:rsid w:val="00BF3121"/>
    <w:rsid w:val="00BF6199"/>
    <w:rsid w:val="00BF725C"/>
    <w:rsid w:val="00C00D70"/>
    <w:rsid w:val="00C01459"/>
    <w:rsid w:val="00C01698"/>
    <w:rsid w:val="00C120BE"/>
    <w:rsid w:val="00C1258E"/>
    <w:rsid w:val="00C26A65"/>
    <w:rsid w:val="00C314B4"/>
    <w:rsid w:val="00C32A4C"/>
    <w:rsid w:val="00C3435C"/>
    <w:rsid w:val="00C42A79"/>
    <w:rsid w:val="00C438A6"/>
    <w:rsid w:val="00C45F56"/>
    <w:rsid w:val="00C5074E"/>
    <w:rsid w:val="00C508CC"/>
    <w:rsid w:val="00C510DD"/>
    <w:rsid w:val="00C540D8"/>
    <w:rsid w:val="00C5745C"/>
    <w:rsid w:val="00C57485"/>
    <w:rsid w:val="00C604F0"/>
    <w:rsid w:val="00C60EDC"/>
    <w:rsid w:val="00C62B59"/>
    <w:rsid w:val="00C62FF1"/>
    <w:rsid w:val="00C754A4"/>
    <w:rsid w:val="00C80796"/>
    <w:rsid w:val="00C8605B"/>
    <w:rsid w:val="00C867EB"/>
    <w:rsid w:val="00C944AD"/>
    <w:rsid w:val="00C96857"/>
    <w:rsid w:val="00CA495F"/>
    <w:rsid w:val="00CA4F8C"/>
    <w:rsid w:val="00CA59C3"/>
    <w:rsid w:val="00CA6D5C"/>
    <w:rsid w:val="00CB0CFE"/>
    <w:rsid w:val="00CB4FDE"/>
    <w:rsid w:val="00CB5C60"/>
    <w:rsid w:val="00CB6E9E"/>
    <w:rsid w:val="00CC086F"/>
    <w:rsid w:val="00CC0E63"/>
    <w:rsid w:val="00CC3EA3"/>
    <w:rsid w:val="00CD061C"/>
    <w:rsid w:val="00CD7DBB"/>
    <w:rsid w:val="00CE34E4"/>
    <w:rsid w:val="00CE7EC8"/>
    <w:rsid w:val="00CF21A0"/>
    <w:rsid w:val="00CF702E"/>
    <w:rsid w:val="00CF734E"/>
    <w:rsid w:val="00D01F52"/>
    <w:rsid w:val="00D037AB"/>
    <w:rsid w:val="00D03DA5"/>
    <w:rsid w:val="00D05648"/>
    <w:rsid w:val="00D059C1"/>
    <w:rsid w:val="00D05A7F"/>
    <w:rsid w:val="00D119C3"/>
    <w:rsid w:val="00D15EC4"/>
    <w:rsid w:val="00D16521"/>
    <w:rsid w:val="00D20588"/>
    <w:rsid w:val="00D31FF3"/>
    <w:rsid w:val="00D32EB5"/>
    <w:rsid w:val="00D47A58"/>
    <w:rsid w:val="00D50AB5"/>
    <w:rsid w:val="00D514C1"/>
    <w:rsid w:val="00D53C96"/>
    <w:rsid w:val="00D5479E"/>
    <w:rsid w:val="00D54915"/>
    <w:rsid w:val="00D572AF"/>
    <w:rsid w:val="00D60602"/>
    <w:rsid w:val="00D60B08"/>
    <w:rsid w:val="00D65F04"/>
    <w:rsid w:val="00D668AB"/>
    <w:rsid w:val="00D734E6"/>
    <w:rsid w:val="00D80FBD"/>
    <w:rsid w:val="00D822F2"/>
    <w:rsid w:val="00D900B6"/>
    <w:rsid w:val="00D930C9"/>
    <w:rsid w:val="00D935E6"/>
    <w:rsid w:val="00D95158"/>
    <w:rsid w:val="00D96B0C"/>
    <w:rsid w:val="00D97595"/>
    <w:rsid w:val="00D979F5"/>
    <w:rsid w:val="00D97A1F"/>
    <w:rsid w:val="00DA2A0C"/>
    <w:rsid w:val="00DA39E7"/>
    <w:rsid w:val="00DA4AAB"/>
    <w:rsid w:val="00DA7E74"/>
    <w:rsid w:val="00DB14A2"/>
    <w:rsid w:val="00DB1B41"/>
    <w:rsid w:val="00DC1E3C"/>
    <w:rsid w:val="00DC3363"/>
    <w:rsid w:val="00DC4E36"/>
    <w:rsid w:val="00DC5E38"/>
    <w:rsid w:val="00DD0189"/>
    <w:rsid w:val="00DD0209"/>
    <w:rsid w:val="00DD1F76"/>
    <w:rsid w:val="00DD2B39"/>
    <w:rsid w:val="00DE2B0D"/>
    <w:rsid w:val="00DE63E2"/>
    <w:rsid w:val="00DF1E62"/>
    <w:rsid w:val="00DF35C6"/>
    <w:rsid w:val="00DF401D"/>
    <w:rsid w:val="00DF4879"/>
    <w:rsid w:val="00DF56DA"/>
    <w:rsid w:val="00DF60C5"/>
    <w:rsid w:val="00DF739D"/>
    <w:rsid w:val="00E031E8"/>
    <w:rsid w:val="00E052FC"/>
    <w:rsid w:val="00E0595B"/>
    <w:rsid w:val="00E05FA3"/>
    <w:rsid w:val="00E11CA6"/>
    <w:rsid w:val="00E14565"/>
    <w:rsid w:val="00E20612"/>
    <w:rsid w:val="00E22E62"/>
    <w:rsid w:val="00E25003"/>
    <w:rsid w:val="00E2558C"/>
    <w:rsid w:val="00E32E13"/>
    <w:rsid w:val="00E32FBE"/>
    <w:rsid w:val="00E5214D"/>
    <w:rsid w:val="00E53E6A"/>
    <w:rsid w:val="00E56E39"/>
    <w:rsid w:val="00E57AAC"/>
    <w:rsid w:val="00E60A5F"/>
    <w:rsid w:val="00E636D7"/>
    <w:rsid w:val="00E64E93"/>
    <w:rsid w:val="00E705F0"/>
    <w:rsid w:val="00E70EFE"/>
    <w:rsid w:val="00E71CB8"/>
    <w:rsid w:val="00E727DF"/>
    <w:rsid w:val="00E75129"/>
    <w:rsid w:val="00E77D58"/>
    <w:rsid w:val="00E8669E"/>
    <w:rsid w:val="00E86750"/>
    <w:rsid w:val="00E87A4F"/>
    <w:rsid w:val="00E90E56"/>
    <w:rsid w:val="00E920BC"/>
    <w:rsid w:val="00EA1CE0"/>
    <w:rsid w:val="00EA5DC5"/>
    <w:rsid w:val="00EB1FF5"/>
    <w:rsid w:val="00EB3E6F"/>
    <w:rsid w:val="00EC0232"/>
    <w:rsid w:val="00EC7208"/>
    <w:rsid w:val="00ED3021"/>
    <w:rsid w:val="00ED5560"/>
    <w:rsid w:val="00EE0C41"/>
    <w:rsid w:val="00EE137D"/>
    <w:rsid w:val="00EE1F12"/>
    <w:rsid w:val="00EE2CE5"/>
    <w:rsid w:val="00EE4C15"/>
    <w:rsid w:val="00EE7794"/>
    <w:rsid w:val="00EF0B6E"/>
    <w:rsid w:val="00EF38C8"/>
    <w:rsid w:val="00EF3E7D"/>
    <w:rsid w:val="00EF6759"/>
    <w:rsid w:val="00EF7828"/>
    <w:rsid w:val="00F1126D"/>
    <w:rsid w:val="00F12DC2"/>
    <w:rsid w:val="00F13D5C"/>
    <w:rsid w:val="00F152DF"/>
    <w:rsid w:val="00F21C1A"/>
    <w:rsid w:val="00F2495D"/>
    <w:rsid w:val="00F30A81"/>
    <w:rsid w:val="00F30D79"/>
    <w:rsid w:val="00F3397E"/>
    <w:rsid w:val="00F35839"/>
    <w:rsid w:val="00F36A08"/>
    <w:rsid w:val="00F41825"/>
    <w:rsid w:val="00F449B8"/>
    <w:rsid w:val="00F4774A"/>
    <w:rsid w:val="00F50647"/>
    <w:rsid w:val="00F546B0"/>
    <w:rsid w:val="00F55597"/>
    <w:rsid w:val="00F61AF6"/>
    <w:rsid w:val="00F63BAB"/>
    <w:rsid w:val="00F70991"/>
    <w:rsid w:val="00F73789"/>
    <w:rsid w:val="00F82BE2"/>
    <w:rsid w:val="00F8342A"/>
    <w:rsid w:val="00F84E20"/>
    <w:rsid w:val="00F85F9A"/>
    <w:rsid w:val="00F92EF3"/>
    <w:rsid w:val="00F9588F"/>
    <w:rsid w:val="00FA01E0"/>
    <w:rsid w:val="00FA0AF5"/>
    <w:rsid w:val="00FA0F81"/>
    <w:rsid w:val="00FA2243"/>
    <w:rsid w:val="00FB0397"/>
    <w:rsid w:val="00FB09BD"/>
    <w:rsid w:val="00FB16E6"/>
    <w:rsid w:val="00FB2A4A"/>
    <w:rsid w:val="00FB482A"/>
    <w:rsid w:val="00FC1142"/>
    <w:rsid w:val="00FC42EB"/>
    <w:rsid w:val="00FD05F3"/>
    <w:rsid w:val="00FD1AE4"/>
    <w:rsid w:val="00FD2E3C"/>
    <w:rsid w:val="00FD65FD"/>
    <w:rsid w:val="00FD66F1"/>
    <w:rsid w:val="00FF0862"/>
    <w:rsid w:val="00FF5C5A"/>
    <w:rsid w:val="00FF5E95"/>
    <w:rsid w:val="00FF6C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table" w:styleId="TableGrid">
    <w:name w:val="Table Grid"/>
    <w:basedOn w:val="TableNormal"/>
    <w:uiPriority w:val="39"/>
    <w:rsid w:val="00923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D41A2"/>
    <w:pPr>
      <w:spacing w:after="0" w:line="259" w:lineRule="auto"/>
      <w:ind w:left="720" w:right="146"/>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5D41A2"/>
    <w:rPr>
      <w:rFonts w:ascii="Times New Roman" w:eastAsia="Times New Roman" w:hAnsi="Times New Roman" w:cs="Times New Roman"/>
      <w:color w:val="000000"/>
      <w:sz w:val="26"/>
    </w:rPr>
  </w:style>
  <w:style w:type="character" w:customStyle="1" w:styleId="footnotemark">
    <w:name w:val="footnote mark"/>
    <w:hidden/>
    <w:rsid w:val="005D41A2"/>
    <w:rPr>
      <w:rFonts w:ascii="Times New Roman" w:eastAsia="Times New Roman" w:hAnsi="Times New Roman" w:cs="Times New Roman"/>
      <w:b/>
      <w:color w:val="000000"/>
      <w:sz w:val="26"/>
      <w:vertAlign w:val="superscript"/>
    </w:rPr>
  </w:style>
  <w:style w:type="character" w:styleId="UnresolvedMention">
    <w:name w:val="Unresolved Mention"/>
    <w:basedOn w:val="DefaultParagraphFont"/>
    <w:uiPriority w:val="99"/>
    <w:semiHidden/>
    <w:unhideWhenUsed/>
    <w:rsid w:val="0042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AboutNERC/RulesOfProcedure/NERC%20ROP%20effective%2020220825_no%20append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SharedWithUsers xmlns="5a7c6213-c3f8-4376-93f2-dc58e5c51d54">
      <UserInfo>
        <DisplayName>Jean Sonneman</DisplayName>
        <AccountId>551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97F1-0A9B-411B-8D18-BFD6AC3F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FA69B-9D30-4399-9238-96357D87FB69}">
  <ds:schemaRefs>
    <ds:schemaRef ds:uri="http://schemas.microsoft.com/sharepoint/v3/contenttype/forms"/>
  </ds:schemaRefs>
</ds:datastoreItem>
</file>

<file path=customXml/itemProps3.xml><?xml version="1.0" encoding="utf-8"?>
<ds:datastoreItem xmlns:ds="http://schemas.openxmlformats.org/officeDocument/2006/customXml" ds:itemID="{5EE38246-0F0A-41E9-B509-474AE497E194}">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2023-11-30T16:56:00Z</dcterms:created>
  <dcterms:modified xsi:type="dcterms:W3CDTF">2023-12-01T21:06:00Z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e120c11f-7d21-4fdf-9d04-b34a9c1c3979_ActionId">
    <vt:lpwstr>5a642ed9-319b-4eb9-ac23-12c9a34d0d62</vt:lpwstr>
  </property>
  <property fmtid="{D5CDD505-2E9C-101B-9397-08002B2CF9AE}" pid="5" name="MSIP_Label_e120c11f-7d21-4fdf-9d04-b34a9c1c3979_ContentBits">
    <vt:lpwstr>1</vt:lpwstr>
  </property>
  <property fmtid="{D5CDD505-2E9C-101B-9397-08002B2CF9AE}" pid="6" name="MSIP_Label_e120c11f-7d21-4fdf-9d04-b34a9c1c3979_Enabled">
    <vt:lpwstr>true</vt:lpwstr>
  </property>
  <property fmtid="{D5CDD505-2E9C-101B-9397-08002B2CF9AE}" pid="7" name="MSIP_Label_e120c11f-7d21-4fdf-9d04-b34a9c1c3979_Method">
    <vt:lpwstr>Privileged</vt:lpwstr>
  </property>
  <property fmtid="{D5CDD505-2E9C-101B-9397-08002B2CF9AE}" pid="8" name="MSIP_Label_e120c11f-7d21-4fdf-9d04-b34a9c1c3979_Name">
    <vt:lpwstr>e120c11f-7d21-4fdf-9d04-b34a9c1c3979</vt:lpwstr>
  </property>
  <property fmtid="{D5CDD505-2E9C-101B-9397-08002B2CF9AE}" pid="9" name="MSIP_Label_e120c11f-7d21-4fdf-9d04-b34a9c1c3979_SetDate">
    <vt:lpwstr>2021-10-05T13:47:03Z</vt:lpwstr>
  </property>
  <property fmtid="{D5CDD505-2E9C-101B-9397-08002B2CF9AE}" pid="10" name="MSIP_Label_e120c11f-7d21-4fdf-9d04-b34a9c1c3979_SiteId">
    <vt:lpwstr>19caa9e9-04ff-43fa-885f-d77fac387903</vt:lpwstr>
  </property>
  <property fmtid="{D5CDD505-2E9C-101B-9397-08002B2CF9AE}" pid="11" name="_NewReviewCycle">
    <vt:lpwstr/>
  </property>
</Properties>
</file>