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6B6D" w:rsidRPr="001A7291" w:rsidP="001D2EC1" w14:paraId="47F59ADF" w14:textId="3F6261F8">
      <w:pPr>
        <w:widowControl/>
        <w:tabs>
          <w:tab w:val="center" w:pos="5040"/>
        </w:tabs>
        <w:jc w:val="center"/>
        <w:rPr>
          <w:b/>
          <w:bCs/>
          <w:sz w:val="26"/>
          <w:szCs w:val="26"/>
        </w:rPr>
      </w:pPr>
      <w:r w:rsidRPr="001A7291">
        <w:rPr>
          <w:b/>
          <w:bCs/>
          <w:sz w:val="26"/>
          <w:szCs w:val="26"/>
        </w:rPr>
        <w:t>Supporting Statement for</w:t>
      </w:r>
    </w:p>
    <w:p w:rsidR="00F37BCE" w:rsidRPr="001A7291" w:rsidP="003E4B15" w14:paraId="50481766" w14:textId="7E5A90F1">
      <w:pPr>
        <w:widowControl/>
        <w:tabs>
          <w:tab w:val="center" w:pos="5040"/>
        </w:tabs>
        <w:jc w:val="center"/>
        <w:rPr>
          <w:b/>
          <w:bCs/>
          <w:sz w:val="26"/>
          <w:szCs w:val="26"/>
        </w:rPr>
      </w:pPr>
      <w:r>
        <w:rPr>
          <w:b/>
          <w:bCs/>
          <w:sz w:val="26"/>
          <w:szCs w:val="26"/>
        </w:rPr>
        <w:t xml:space="preserve">Extension </w:t>
      </w:r>
      <w:r w:rsidRPr="001A7291" w:rsidR="00F17A6B">
        <w:rPr>
          <w:b/>
          <w:bCs/>
          <w:sz w:val="26"/>
          <w:szCs w:val="26"/>
        </w:rPr>
        <w:t xml:space="preserve">of </w:t>
      </w:r>
      <w:r w:rsidRPr="001A7291" w:rsidR="003151DF">
        <w:rPr>
          <w:b/>
          <w:bCs/>
          <w:sz w:val="26"/>
          <w:szCs w:val="26"/>
        </w:rPr>
        <w:t>FERC-516H</w:t>
      </w:r>
      <w:r w:rsidRPr="001A7291" w:rsidR="00F17A6B">
        <w:rPr>
          <w:b/>
          <w:bCs/>
          <w:sz w:val="26"/>
          <w:szCs w:val="26"/>
        </w:rPr>
        <w:t xml:space="preserve"> (</w:t>
      </w:r>
      <w:r w:rsidRPr="001A7291">
        <w:rPr>
          <w:b/>
          <w:bCs/>
          <w:sz w:val="26"/>
          <w:szCs w:val="26"/>
        </w:rPr>
        <w:t>Electric Rate Schedules and Tariff Filings</w:t>
      </w:r>
      <w:r w:rsidRPr="001A7291" w:rsidR="00A75504">
        <w:rPr>
          <w:b/>
          <w:bCs/>
          <w:sz w:val="26"/>
          <w:szCs w:val="26"/>
        </w:rPr>
        <w:t>)</w:t>
      </w:r>
      <w:r w:rsidRPr="001A7291" w:rsidR="00B15A69">
        <w:rPr>
          <w:b/>
          <w:bCs/>
          <w:sz w:val="26"/>
          <w:szCs w:val="26"/>
        </w:rPr>
        <w:t xml:space="preserve"> </w:t>
      </w:r>
    </w:p>
    <w:p w:rsidR="009D6B6D" w:rsidRPr="001A7291" w:rsidP="001D2EC1" w14:paraId="13D26165" w14:textId="77777777">
      <w:pPr>
        <w:widowControl/>
        <w:tabs>
          <w:tab w:val="center" w:pos="5040"/>
        </w:tabs>
        <w:jc w:val="center"/>
        <w:rPr>
          <w:sz w:val="26"/>
          <w:szCs w:val="26"/>
        </w:rPr>
      </w:pPr>
    </w:p>
    <w:p w:rsidR="00957F48" w:rsidRPr="006829A9" w:rsidP="006829A9" w14:paraId="4033056F" w14:textId="525D37BE">
      <w:pPr>
        <w:rPr>
          <w:bCs/>
          <w:sz w:val="26"/>
          <w:szCs w:val="26"/>
        </w:rPr>
      </w:pPr>
      <w:r w:rsidRPr="006829A9">
        <w:rPr>
          <w:bCs/>
          <w:sz w:val="26"/>
          <w:szCs w:val="26"/>
        </w:rPr>
        <w:t>The Federal Energy Regulatory Commission (Commission or FERC) requests that the Office of Management and Budget (OMB) review and approve</w:t>
      </w:r>
      <w:r w:rsidRPr="006829A9" w:rsidR="009A4408">
        <w:rPr>
          <w:bCs/>
          <w:sz w:val="26"/>
          <w:szCs w:val="26"/>
        </w:rPr>
        <w:t xml:space="preserve"> </w:t>
      </w:r>
      <w:r w:rsidR="00F25553">
        <w:rPr>
          <w:bCs/>
          <w:sz w:val="26"/>
          <w:szCs w:val="26"/>
        </w:rPr>
        <w:t>exten</w:t>
      </w:r>
      <w:r w:rsidRPr="006829A9" w:rsidR="009A4408">
        <w:rPr>
          <w:bCs/>
          <w:sz w:val="26"/>
          <w:szCs w:val="26"/>
        </w:rPr>
        <w:t>sions of</w:t>
      </w:r>
      <w:r w:rsidRPr="006829A9">
        <w:rPr>
          <w:bCs/>
          <w:sz w:val="26"/>
          <w:szCs w:val="26"/>
        </w:rPr>
        <w:t xml:space="preserve"> </w:t>
      </w:r>
      <w:r w:rsidRPr="006829A9" w:rsidR="003151DF">
        <w:rPr>
          <w:bCs/>
          <w:sz w:val="26"/>
          <w:szCs w:val="26"/>
        </w:rPr>
        <w:t xml:space="preserve">FERC-516H </w:t>
      </w:r>
      <w:r w:rsidR="003E4B15">
        <w:rPr>
          <w:bCs/>
          <w:sz w:val="26"/>
          <w:szCs w:val="26"/>
        </w:rPr>
        <w:t>OMB#</w:t>
      </w:r>
      <w:r w:rsidRPr="006829A9" w:rsidR="00B823B1">
        <w:rPr>
          <w:bCs/>
          <w:sz w:val="26"/>
          <w:szCs w:val="26"/>
        </w:rPr>
        <w:t xml:space="preserve"> 1902-0303.</w:t>
      </w:r>
    </w:p>
    <w:p w:rsidR="00957F48" w:rsidRPr="006829A9" w:rsidP="006829A9" w14:paraId="25527A84" w14:textId="77777777">
      <w:pPr>
        <w:rPr>
          <w:bCs/>
          <w:sz w:val="26"/>
          <w:szCs w:val="26"/>
        </w:rPr>
      </w:pPr>
    </w:p>
    <w:p w:rsidR="009D6B6D" w:rsidRPr="001A7291" w:rsidP="00B6237D" w14:paraId="284B885E" w14:textId="0296E60E">
      <w:pPr>
        <w:widowControl/>
        <w:ind w:left="720" w:hanging="720"/>
        <w:rPr>
          <w:b/>
          <w:sz w:val="26"/>
          <w:szCs w:val="26"/>
        </w:rPr>
      </w:pPr>
      <w:r w:rsidRPr="001A7291">
        <w:rPr>
          <w:b/>
          <w:sz w:val="26"/>
          <w:szCs w:val="26"/>
        </w:rPr>
        <w:t>1.</w:t>
      </w:r>
      <w:r w:rsidRPr="001A7291">
        <w:rPr>
          <w:b/>
          <w:sz w:val="26"/>
          <w:szCs w:val="26"/>
        </w:rPr>
        <w:tab/>
        <w:t>CIRCUMSTANCES THAT MAKE THE COLLECTION OF INFORMATION NECESSARY</w:t>
      </w:r>
    </w:p>
    <w:p w:rsidR="009D6B6D" w:rsidRPr="001A7291" w:rsidP="00B1436F" w14:paraId="74BB5164" w14:textId="289AA960">
      <w:pPr>
        <w:widowControl/>
        <w:rPr>
          <w:b/>
          <w:sz w:val="26"/>
          <w:szCs w:val="26"/>
        </w:rPr>
      </w:pPr>
    </w:p>
    <w:p w:rsidR="00AF0AE7" w:rsidRPr="003E4B15" w:rsidP="003E4B15" w14:paraId="2067E245" w14:textId="7E026309">
      <w:pPr>
        <w:widowControl/>
        <w:tabs>
          <w:tab w:val="center" w:pos="5040"/>
        </w:tabs>
        <w:rPr>
          <w:bCs/>
          <w:sz w:val="26"/>
          <w:szCs w:val="26"/>
        </w:rPr>
      </w:pPr>
      <w:r w:rsidRPr="001A7291">
        <w:rPr>
          <w:bCs/>
          <w:sz w:val="26"/>
          <w:szCs w:val="26"/>
        </w:rPr>
        <w:t>F</w:t>
      </w:r>
      <w:r w:rsidRPr="001A7291" w:rsidR="00A408ED">
        <w:rPr>
          <w:bCs/>
          <w:sz w:val="26"/>
          <w:szCs w:val="26"/>
        </w:rPr>
        <w:t>ederal Power Act (F</w:t>
      </w:r>
      <w:r w:rsidRPr="001A7291">
        <w:rPr>
          <w:bCs/>
          <w:sz w:val="26"/>
          <w:szCs w:val="26"/>
        </w:rPr>
        <w:t>PA</w:t>
      </w:r>
      <w:r w:rsidRPr="00F714D7" w:rsidR="005024D2">
        <w:rPr>
          <w:bCs/>
          <w:sz w:val="26"/>
          <w:szCs w:val="26"/>
        </w:rPr>
        <w:t>)</w:t>
      </w:r>
      <w:r w:rsidRPr="00F714D7">
        <w:rPr>
          <w:bCs/>
          <w:sz w:val="26"/>
          <w:szCs w:val="26"/>
        </w:rPr>
        <w:t>,</w:t>
      </w:r>
      <w:r>
        <w:rPr>
          <w:rStyle w:val="FootnoteReference"/>
          <w:bCs/>
          <w:sz w:val="26"/>
          <w:szCs w:val="26"/>
        </w:rPr>
        <w:footnoteReference w:id="3"/>
      </w:r>
      <w:r w:rsidR="0071243C">
        <w:rPr>
          <w:bCs/>
          <w:sz w:val="26"/>
          <w:szCs w:val="26"/>
        </w:rPr>
        <w:t xml:space="preserve"> </w:t>
      </w:r>
      <w:r w:rsidRPr="001A7291" w:rsidR="00F94A7D">
        <w:rPr>
          <w:bCs/>
          <w:sz w:val="26"/>
          <w:szCs w:val="26"/>
        </w:rPr>
        <w:t xml:space="preserve">requires </w:t>
      </w:r>
      <w:r w:rsidRPr="001A7291" w:rsidR="005C36CD">
        <w:rPr>
          <w:bCs/>
          <w:sz w:val="26"/>
          <w:szCs w:val="26"/>
        </w:rPr>
        <w:t xml:space="preserve">respondents that are subject to </w:t>
      </w:r>
      <w:r w:rsidRPr="001A7291" w:rsidR="00CF32BD">
        <w:rPr>
          <w:bCs/>
          <w:sz w:val="26"/>
          <w:szCs w:val="26"/>
        </w:rPr>
        <w:t xml:space="preserve">18 CFR 35.28 </w:t>
      </w:r>
      <w:r w:rsidRPr="00F714D7" w:rsidR="0025759A">
        <w:rPr>
          <w:bCs/>
          <w:sz w:val="26"/>
          <w:szCs w:val="26"/>
        </w:rPr>
        <w:t>to</w:t>
      </w:r>
      <w:r w:rsidRPr="00F714D7" w:rsidR="0016722E">
        <w:rPr>
          <w:bCs/>
          <w:sz w:val="26"/>
          <w:szCs w:val="26"/>
        </w:rPr>
        <w:t xml:space="preserve"> s</w:t>
      </w:r>
      <w:r w:rsidRPr="00F714D7" w:rsidR="00A43FCC">
        <w:rPr>
          <w:bCs/>
          <w:sz w:val="26"/>
          <w:szCs w:val="26"/>
        </w:rPr>
        <w:t>ubmit comp</w:t>
      </w:r>
      <w:r w:rsidRPr="00723F1C" w:rsidR="00497A9F">
        <w:rPr>
          <w:bCs/>
          <w:sz w:val="26"/>
          <w:szCs w:val="26"/>
        </w:rPr>
        <w:t>liance filings</w:t>
      </w:r>
      <w:r w:rsidR="003E4B15">
        <w:rPr>
          <w:bCs/>
          <w:sz w:val="26"/>
          <w:szCs w:val="26"/>
        </w:rPr>
        <w:t xml:space="preserve">. </w:t>
      </w:r>
      <w:r w:rsidRPr="00F714D7" w:rsidR="00FD26C8">
        <w:rPr>
          <w:sz w:val="26"/>
          <w:szCs w:val="26"/>
        </w:rPr>
        <w:t xml:space="preserve">The regulation at 18 CFR 35.28, which </w:t>
      </w:r>
      <w:r w:rsidRPr="00723F1C" w:rsidR="00854FA7">
        <w:rPr>
          <w:sz w:val="26"/>
          <w:szCs w:val="26"/>
        </w:rPr>
        <w:t>pertains to n</w:t>
      </w:r>
      <w:r w:rsidRPr="0091662C" w:rsidR="00FD26C8">
        <w:rPr>
          <w:sz w:val="26"/>
          <w:szCs w:val="26"/>
        </w:rPr>
        <w:t>on-discriminatory open access transmission tariff</w:t>
      </w:r>
      <w:r w:rsidRPr="0091662C" w:rsidR="00854FA7">
        <w:rPr>
          <w:sz w:val="26"/>
          <w:szCs w:val="26"/>
        </w:rPr>
        <w:t>s</w:t>
      </w:r>
      <w:r w:rsidR="0071243C">
        <w:rPr>
          <w:sz w:val="26"/>
          <w:szCs w:val="26"/>
        </w:rPr>
        <w:t xml:space="preserve"> (OATTs)</w:t>
      </w:r>
      <w:r w:rsidRPr="0091662C" w:rsidR="00854FA7">
        <w:rPr>
          <w:sz w:val="26"/>
          <w:szCs w:val="26"/>
        </w:rPr>
        <w:t>, applies to</w:t>
      </w:r>
      <w:r w:rsidRPr="0091662C">
        <w:rPr>
          <w:sz w:val="26"/>
          <w:szCs w:val="26"/>
        </w:rPr>
        <w:t>:</w:t>
      </w:r>
    </w:p>
    <w:p w:rsidR="00AF0AE7" w:rsidRPr="0091662C" w:rsidP="005E0A8A" w14:paraId="20526F91" w14:textId="77777777">
      <w:pPr>
        <w:rPr>
          <w:sz w:val="26"/>
          <w:szCs w:val="26"/>
        </w:rPr>
      </w:pPr>
    </w:p>
    <w:p w:rsidR="00861F73" w:rsidRPr="0091662C" w:rsidP="00AF0AE7" w14:paraId="5714F49D" w14:textId="56B9980A">
      <w:pPr>
        <w:pStyle w:val="ListParagraph"/>
        <w:numPr>
          <w:ilvl w:val="0"/>
          <w:numId w:val="29"/>
        </w:numPr>
        <w:rPr>
          <w:rFonts w:ascii="Times New Roman" w:hAnsi="Times New Roman"/>
          <w:sz w:val="26"/>
          <w:szCs w:val="26"/>
        </w:rPr>
      </w:pPr>
      <w:r w:rsidRPr="0091662C">
        <w:rPr>
          <w:rFonts w:ascii="Times New Roman" w:hAnsi="Times New Roman"/>
          <w:sz w:val="26"/>
          <w:szCs w:val="26"/>
        </w:rPr>
        <w:t xml:space="preserve">Commission-jurisdictional </w:t>
      </w:r>
      <w:r w:rsidRPr="0091662C" w:rsidR="00854FA7">
        <w:rPr>
          <w:rFonts w:ascii="Times New Roman" w:hAnsi="Times New Roman"/>
          <w:sz w:val="26"/>
          <w:szCs w:val="26"/>
        </w:rPr>
        <w:t>public utilities that own, control</w:t>
      </w:r>
      <w:r w:rsidRPr="0091662C" w:rsidR="00AF0AE7">
        <w:rPr>
          <w:rFonts w:ascii="Times New Roman" w:hAnsi="Times New Roman"/>
          <w:sz w:val="26"/>
          <w:szCs w:val="26"/>
        </w:rPr>
        <w:t>, or operate facilities used for the transmission of electric energ</w:t>
      </w:r>
      <w:r w:rsidRPr="0091662C" w:rsidR="00DC1CA3">
        <w:rPr>
          <w:rFonts w:ascii="Times New Roman" w:hAnsi="Times New Roman"/>
          <w:sz w:val="26"/>
          <w:szCs w:val="26"/>
        </w:rPr>
        <w:t xml:space="preserve">y </w:t>
      </w:r>
      <w:r w:rsidRPr="0091662C">
        <w:rPr>
          <w:rFonts w:ascii="Times New Roman" w:hAnsi="Times New Roman"/>
          <w:sz w:val="26"/>
          <w:szCs w:val="26"/>
        </w:rPr>
        <w:t>in interstate commerce; and</w:t>
      </w:r>
    </w:p>
    <w:p w:rsidR="000B1903" w:rsidRPr="0091662C" w:rsidP="00AF0AE7" w14:paraId="1176C2D4" w14:textId="6DA3C381">
      <w:pPr>
        <w:pStyle w:val="ListParagraph"/>
        <w:numPr>
          <w:ilvl w:val="0"/>
          <w:numId w:val="29"/>
        </w:numPr>
        <w:rPr>
          <w:rFonts w:ascii="Times New Roman" w:hAnsi="Times New Roman"/>
          <w:sz w:val="26"/>
          <w:szCs w:val="26"/>
        </w:rPr>
      </w:pPr>
      <w:r w:rsidRPr="0091662C">
        <w:rPr>
          <w:rFonts w:ascii="Times New Roman" w:hAnsi="Times New Roman"/>
          <w:sz w:val="26"/>
          <w:szCs w:val="26"/>
        </w:rPr>
        <w:t xml:space="preserve">Non-jurisdictional utilities that seek voluntary compliance with jurisdictional </w:t>
      </w:r>
      <w:r w:rsidRPr="0091662C" w:rsidR="005A100A">
        <w:rPr>
          <w:rFonts w:ascii="Times New Roman" w:hAnsi="Times New Roman"/>
          <w:sz w:val="26"/>
          <w:szCs w:val="26"/>
        </w:rPr>
        <w:t>t</w:t>
      </w:r>
      <w:r w:rsidRPr="0091662C">
        <w:rPr>
          <w:rFonts w:ascii="Times New Roman" w:hAnsi="Times New Roman"/>
          <w:sz w:val="26"/>
          <w:szCs w:val="26"/>
        </w:rPr>
        <w:t>ransmission tariff reciprocity conditions.</w:t>
      </w:r>
    </w:p>
    <w:p w:rsidR="00412E00" w:rsidRPr="0091662C" w:rsidP="00B31FE1" w14:paraId="26EB76DC" w14:textId="1C860A36">
      <w:pPr>
        <w:rPr>
          <w:sz w:val="26"/>
          <w:szCs w:val="26"/>
        </w:rPr>
      </w:pPr>
      <w:r>
        <w:rPr>
          <w:sz w:val="26"/>
          <w:szCs w:val="26"/>
        </w:rPr>
        <w:t>T</w:t>
      </w:r>
      <w:r w:rsidRPr="001A7291" w:rsidR="0035250B">
        <w:rPr>
          <w:sz w:val="26"/>
          <w:szCs w:val="26"/>
        </w:rPr>
        <w:t xml:space="preserve">ransmission providers </w:t>
      </w:r>
      <w:r w:rsidRPr="001A7291" w:rsidR="007B2CCB">
        <w:rPr>
          <w:sz w:val="26"/>
          <w:szCs w:val="26"/>
        </w:rPr>
        <w:t xml:space="preserve">use </w:t>
      </w:r>
      <w:r w:rsidRPr="00F714D7" w:rsidR="00F6314C">
        <w:rPr>
          <w:sz w:val="26"/>
          <w:szCs w:val="26"/>
        </w:rPr>
        <w:t>“</w:t>
      </w:r>
      <w:r w:rsidRPr="00F714D7" w:rsidR="008A53B4">
        <w:rPr>
          <w:sz w:val="26"/>
          <w:szCs w:val="26"/>
        </w:rPr>
        <w:t>ambient-adjusted rating</w:t>
      </w:r>
      <w:r w:rsidRPr="00F714D7" w:rsidR="00866BA9">
        <w:rPr>
          <w:sz w:val="26"/>
          <w:szCs w:val="26"/>
        </w:rPr>
        <w:t>s</w:t>
      </w:r>
      <w:r w:rsidRPr="00723F1C" w:rsidR="00F6314C">
        <w:rPr>
          <w:sz w:val="26"/>
          <w:szCs w:val="26"/>
        </w:rPr>
        <w:t>” (AAR</w:t>
      </w:r>
      <w:r w:rsidRPr="0091662C" w:rsidR="00866BA9">
        <w:rPr>
          <w:sz w:val="26"/>
          <w:szCs w:val="26"/>
        </w:rPr>
        <w:t>s</w:t>
      </w:r>
      <w:r w:rsidRPr="0091662C" w:rsidR="00F6314C">
        <w:rPr>
          <w:sz w:val="26"/>
          <w:szCs w:val="26"/>
        </w:rPr>
        <w:t>)</w:t>
      </w:r>
      <w:r w:rsidRPr="00F714D7" w:rsidR="00F6314C">
        <w:rPr>
          <w:sz w:val="26"/>
          <w:szCs w:val="26"/>
        </w:rPr>
        <w:t xml:space="preserve"> </w:t>
      </w:r>
      <w:r w:rsidRPr="00F714D7" w:rsidR="00A05396">
        <w:rPr>
          <w:sz w:val="26"/>
          <w:szCs w:val="26"/>
        </w:rPr>
        <w:t xml:space="preserve">as the relevant </w:t>
      </w:r>
      <w:r w:rsidRPr="00F714D7" w:rsidR="008A53B4">
        <w:rPr>
          <w:sz w:val="26"/>
          <w:szCs w:val="26"/>
        </w:rPr>
        <w:t>transmission line ratin</w:t>
      </w:r>
      <w:r w:rsidRPr="00723F1C" w:rsidR="008A53B4">
        <w:rPr>
          <w:sz w:val="26"/>
          <w:szCs w:val="26"/>
        </w:rPr>
        <w:t>g</w:t>
      </w:r>
      <w:r w:rsidRPr="0091662C" w:rsidR="00C536C1">
        <w:rPr>
          <w:sz w:val="26"/>
          <w:szCs w:val="26"/>
        </w:rPr>
        <w:t>s</w:t>
      </w:r>
      <w:r w:rsidRPr="00F714D7" w:rsidR="00C536C1">
        <w:rPr>
          <w:sz w:val="26"/>
          <w:szCs w:val="26"/>
        </w:rPr>
        <w:t xml:space="preserve"> when performing </w:t>
      </w:r>
      <w:r w:rsidRPr="00723F1C" w:rsidR="00A74B5F">
        <w:rPr>
          <w:sz w:val="26"/>
          <w:szCs w:val="26"/>
        </w:rPr>
        <w:t>any of several functions enumerated in Attachment M.</w:t>
      </w:r>
    </w:p>
    <w:p w:rsidR="00412E00" w:rsidRPr="0091662C" w:rsidP="00B31FE1" w14:paraId="39FA07FF" w14:textId="77777777">
      <w:pPr>
        <w:rPr>
          <w:sz w:val="26"/>
          <w:szCs w:val="26"/>
        </w:rPr>
      </w:pPr>
    </w:p>
    <w:p w:rsidR="005E0A8A" w:rsidRPr="0091662C" w:rsidP="00B31FE1" w14:paraId="072E8CD1" w14:textId="645751BB">
      <w:pPr>
        <w:rPr>
          <w:sz w:val="26"/>
          <w:szCs w:val="26"/>
        </w:rPr>
      </w:pPr>
      <w:r w:rsidRPr="0091662C">
        <w:rPr>
          <w:sz w:val="26"/>
          <w:szCs w:val="26"/>
        </w:rPr>
        <w:t xml:space="preserve">In addition, </w:t>
      </w:r>
      <w:r w:rsidR="00F25553">
        <w:rPr>
          <w:sz w:val="26"/>
          <w:szCs w:val="26"/>
        </w:rPr>
        <w:t xml:space="preserve">18 </w:t>
      </w:r>
      <w:r w:rsidRPr="0091662C">
        <w:rPr>
          <w:sz w:val="26"/>
          <w:szCs w:val="26"/>
        </w:rPr>
        <w:t xml:space="preserve">CFR 35.28(c)(5) to require any public utility that owns transmission facilities that are not under the public utility’s control to, consistent with the </w:t>
      </w:r>
      <w:r w:rsidRPr="0091662C">
        <w:rPr>
          <w:i/>
          <w:iCs/>
          <w:sz w:val="26"/>
          <w:szCs w:val="26"/>
        </w:rPr>
        <w:t>pro forma</w:t>
      </w:r>
      <w:r w:rsidRPr="0091662C">
        <w:rPr>
          <w:sz w:val="26"/>
          <w:szCs w:val="26"/>
        </w:rPr>
        <w:t xml:space="preserve"> OATT required by 18 CFR 35.28(c)(1), share with the public utility that controls such facilities (and its Market Monitoring Unit(s), if applicable): </w:t>
      </w:r>
    </w:p>
    <w:p w:rsidR="005E0A8A" w:rsidRPr="0091662C" w:rsidP="005E0A8A" w14:paraId="1FDCD018" w14:textId="77777777">
      <w:pPr>
        <w:rPr>
          <w:sz w:val="26"/>
          <w:szCs w:val="26"/>
        </w:rPr>
      </w:pPr>
      <w:r w:rsidRPr="0091662C">
        <w:rPr>
          <w:sz w:val="26"/>
          <w:szCs w:val="26"/>
        </w:rPr>
        <w:t xml:space="preserve"> </w:t>
      </w:r>
    </w:p>
    <w:p w:rsidR="005E0A8A" w:rsidRPr="0091662C" w:rsidP="009740AA" w14:paraId="7527FBF6" w14:textId="77777777">
      <w:pPr>
        <w:ind w:left="720"/>
        <w:rPr>
          <w:sz w:val="26"/>
          <w:szCs w:val="26"/>
        </w:rPr>
      </w:pPr>
      <w:r w:rsidRPr="0091662C">
        <w:rPr>
          <w:sz w:val="26"/>
          <w:szCs w:val="26"/>
        </w:rPr>
        <w:t xml:space="preserve">(i) Transmission line ratings for each period for which transmission line ratings are calculated for such facilities (with updated ratings shared each time ratings are calculated); and </w:t>
      </w:r>
    </w:p>
    <w:p w:rsidR="005E0A8A" w:rsidRPr="0091662C" w:rsidP="005E0A8A" w14:paraId="19FA0501" w14:textId="77777777">
      <w:pPr>
        <w:rPr>
          <w:sz w:val="26"/>
          <w:szCs w:val="26"/>
        </w:rPr>
      </w:pPr>
    </w:p>
    <w:p w:rsidR="005E0A8A" w:rsidRPr="0091662C" w:rsidP="009740AA" w14:paraId="279EBBED" w14:textId="77777777">
      <w:pPr>
        <w:ind w:left="720"/>
        <w:rPr>
          <w:sz w:val="26"/>
          <w:szCs w:val="26"/>
        </w:rPr>
      </w:pPr>
      <w:r w:rsidRPr="0091662C">
        <w:rPr>
          <w:sz w:val="26"/>
          <w:szCs w:val="26"/>
        </w:rPr>
        <w:t>(ii) Written transmission line rating methodologies used to calculate the transmission line ratings for such facilities provided under subparagraph (i), above.</w:t>
      </w:r>
    </w:p>
    <w:p w:rsidR="005E0A8A" w:rsidRPr="0091662C" w:rsidP="005E0A8A" w14:paraId="0F9C2E4B" w14:textId="77777777">
      <w:pPr>
        <w:rPr>
          <w:sz w:val="26"/>
          <w:szCs w:val="26"/>
        </w:rPr>
      </w:pPr>
    </w:p>
    <w:p w:rsidR="004C6596" w:rsidRPr="0091662C" w:rsidP="003E4B15" w14:paraId="1215929A" w14:textId="530C6FD4">
      <w:pPr>
        <w:rPr>
          <w:iCs/>
          <w:sz w:val="26"/>
          <w:szCs w:val="26"/>
        </w:rPr>
      </w:pPr>
      <w:r w:rsidRPr="0091662C">
        <w:rPr>
          <w:sz w:val="26"/>
          <w:szCs w:val="26"/>
        </w:rPr>
        <w:t xml:space="preserve">Section 35.28(g)(13) </w:t>
      </w:r>
      <w:r w:rsidR="00F25553">
        <w:rPr>
          <w:sz w:val="26"/>
          <w:szCs w:val="26"/>
        </w:rPr>
        <w:t xml:space="preserve">also </w:t>
      </w:r>
      <w:r w:rsidRPr="0091662C">
        <w:rPr>
          <w:sz w:val="26"/>
          <w:szCs w:val="26"/>
        </w:rPr>
        <w:t xml:space="preserve">requires each regional transmission organization  (RTO) and independent system operator (ISO) to establish and maintain systems and procedures necessary to allow any public utility whose transmission facilities are under the independent control of the ISO or RTO to electronically update transmission line ratings for such facilities (for each period for which transmission line ratings are calculated) at </w:t>
      </w:r>
      <w:r w:rsidRPr="0091662C">
        <w:rPr>
          <w:sz w:val="26"/>
          <w:szCs w:val="26"/>
        </w:rPr>
        <w:t>least hourly, with such data submitted by those public utility transmission owners directly into the ISO’s or RTO’s Energy Management System through Supervisory Control and Data Acquisition or related systems</w:t>
      </w:r>
      <w:r w:rsidRPr="0091662C">
        <w:rPr>
          <w:i/>
          <w:sz w:val="26"/>
          <w:szCs w:val="26"/>
        </w:rPr>
        <w:t>.</w:t>
      </w:r>
    </w:p>
    <w:p w:rsidR="001F3ADE" w:rsidRPr="0091662C" w:rsidP="001F3ADE" w14:paraId="095CE0E8" w14:textId="77777777">
      <w:pPr>
        <w:pStyle w:val="FERCparanumber"/>
        <w:numPr>
          <w:ilvl w:val="0"/>
          <w:numId w:val="0"/>
        </w:numPr>
        <w:tabs>
          <w:tab w:val="left" w:pos="720"/>
          <w:tab w:val="left" w:pos="4860"/>
        </w:tabs>
        <w:rPr>
          <w:szCs w:val="26"/>
        </w:rPr>
      </w:pPr>
    </w:p>
    <w:p w:rsidR="009D6B6D" w:rsidRPr="0091662C" w:rsidP="001D2EC1" w14:paraId="31D7969C" w14:textId="1557D739">
      <w:pPr>
        <w:pStyle w:val="FERCparanumber"/>
        <w:numPr>
          <w:ilvl w:val="0"/>
          <w:numId w:val="7"/>
        </w:numPr>
        <w:tabs>
          <w:tab w:val="left" w:pos="720"/>
          <w:tab w:val="left" w:pos="4860"/>
        </w:tabs>
        <w:rPr>
          <w:szCs w:val="26"/>
        </w:rPr>
      </w:pPr>
      <w:r w:rsidRPr="0091662C">
        <w:rPr>
          <w:b/>
          <w:szCs w:val="26"/>
        </w:rPr>
        <w:t>HOW, BY WHOM AND FOR WHAT P</w:t>
      </w:r>
      <w:r w:rsidRPr="0091662C" w:rsidR="00980E8E">
        <w:rPr>
          <w:b/>
          <w:szCs w:val="26"/>
        </w:rPr>
        <w:t>URPOSE IS THE INFORMATION USED AND THE CONSEQUENCES OF NOT COLLECTING THE INFORMATION</w:t>
      </w:r>
    </w:p>
    <w:p w:rsidR="006A2E81" w:rsidRPr="0091662C" w:rsidP="006A2E81" w14:paraId="65E86D09" w14:textId="791FB740">
      <w:pPr>
        <w:pStyle w:val="FERCparanumber"/>
        <w:numPr>
          <w:ilvl w:val="0"/>
          <w:numId w:val="0"/>
        </w:numPr>
        <w:tabs>
          <w:tab w:val="left" w:pos="720"/>
          <w:tab w:val="left" w:pos="4860"/>
        </w:tabs>
        <w:ind w:left="72"/>
        <w:rPr>
          <w:b/>
          <w:szCs w:val="26"/>
        </w:rPr>
      </w:pPr>
    </w:p>
    <w:p w:rsidR="000C5B37" w:rsidRPr="0091662C" w:rsidP="00CF342D" w14:paraId="1FD93CDD" w14:textId="41E3E4A9">
      <w:pPr>
        <w:pStyle w:val="FERCparanumber"/>
        <w:numPr>
          <w:ilvl w:val="0"/>
          <w:numId w:val="0"/>
        </w:numPr>
        <w:tabs>
          <w:tab w:val="left" w:pos="720"/>
          <w:tab w:val="left" w:pos="4860"/>
        </w:tabs>
        <w:ind w:left="72"/>
        <w:rPr>
          <w:szCs w:val="26"/>
        </w:rPr>
      </w:pPr>
      <w:r w:rsidRPr="0091662C">
        <w:rPr>
          <w:bCs/>
          <w:szCs w:val="26"/>
        </w:rPr>
        <w:t xml:space="preserve">The content of </w:t>
      </w:r>
      <w:r w:rsidRPr="0091662C" w:rsidR="00B752F1">
        <w:rPr>
          <w:bCs/>
          <w:szCs w:val="26"/>
        </w:rPr>
        <w:t xml:space="preserve">the new </w:t>
      </w:r>
      <w:r w:rsidRPr="0091662C" w:rsidR="00B752F1">
        <w:rPr>
          <w:bCs/>
          <w:i/>
          <w:iCs/>
          <w:szCs w:val="26"/>
        </w:rPr>
        <w:t>pro forma</w:t>
      </w:r>
      <w:r w:rsidRPr="0091662C" w:rsidR="00B752F1">
        <w:rPr>
          <w:bCs/>
          <w:szCs w:val="26"/>
        </w:rPr>
        <w:t xml:space="preserve"> OATT Attachment M (“Transmission Line Ratings”) is shown at Appendix B of the final rule.  </w:t>
      </w:r>
      <w:r w:rsidRPr="0091662C" w:rsidR="007F5DDF">
        <w:rPr>
          <w:bCs/>
          <w:szCs w:val="26"/>
        </w:rPr>
        <w:t xml:space="preserve">The </w:t>
      </w:r>
      <w:r w:rsidRPr="0091662C" w:rsidR="00EC6BEB">
        <w:rPr>
          <w:bCs/>
          <w:szCs w:val="26"/>
        </w:rPr>
        <w:t xml:space="preserve">Commission is requiring the addition of Attachment </w:t>
      </w:r>
      <w:r w:rsidRPr="0091662C" w:rsidR="00AA11A8">
        <w:rPr>
          <w:bCs/>
          <w:szCs w:val="26"/>
        </w:rPr>
        <w:t>M</w:t>
      </w:r>
      <w:r w:rsidRPr="0091662C" w:rsidR="0095287F">
        <w:rPr>
          <w:bCs/>
          <w:szCs w:val="26"/>
        </w:rPr>
        <w:t xml:space="preserve"> to</w:t>
      </w:r>
      <w:r w:rsidRPr="0091662C" w:rsidR="00AA11A8">
        <w:rPr>
          <w:bCs/>
          <w:szCs w:val="26"/>
        </w:rPr>
        <w:t xml:space="preserve"> </w:t>
      </w:r>
      <w:r w:rsidRPr="0091662C" w:rsidR="00267AA9">
        <w:rPr>
          <w:bCs/>
          <w:szCs w:val="26"/>
        </w:rPr>
        <w:t>public utility transmission provider</w:t>
      </w:r>
      <w:r w:rsidRPr="0091662C" w:rsidR="00AA11A8">
        <w:rPr>
          <w:bCs/>
          <w:szCs w:val="26"/>
        </w:rPr>
        <w:t xml:space="preserve"> </w:t>
      </w:r>
      <w:r w:rsidRPr="0091662C" w:rsidR="0095287F">
        <w:rPr>
          <w:bCs/>
          <w:szCs w:val="26"/>
        </w:rPr>
        <w:t xml:space="preserve">OATTs </w:t>
      </w:r>
      <w:r w:rsidRPr="0091662C" w:rsidR="0010182C">
        <w:rPr>
          <w:bCs/>
          <w:szCs w:val="26"/>
        </w:rPr>
        <w:t xml:space="preserve">in order to improve </w:t>
      </w:r>
      <w:r w:rsidRPr="0091662C" w:rsidR="00011AED">
        <w:rPr>
          <w:bCs/>
          <w:szCs w:val="26"/>
        </w:rPr>
        <w:t xml:space="preserve">the </w:t>
      </w:r>
      <w:r w:rsidRPr="0091662C" w:rsidR="00FE7C79">
        <w:rPr>
          <w:bCs/>
          <w:szCs w:val="26"/>
        </w:rPr>
        <w:t>accuracy of transmission line ratings</w:t>
      </w:r>
      <w:r w:rsidRPr="0091662C" w:rsidR="00FE7C79">
        <w:rPr>
          <w:szCs w:val="26"/>
        </w:rPr>
        <w:t xml:space="preserve">.  </w:t>
      </w:r>
      <w:r w:rsidRPr="0091662C" w:rsidR="00C454A1">
        <w:rPr>
          <w:szCs w:val="26"/>
        </w:rPr>
        <w:t>Tran</w:t>
      </w:r>
      <w:r w:rsidRPr="0091662C" w:rsidR="00A90FD1">
        <w:rPr>
          <w:szCs w:val="26"/>
        </w:rPr>
        <w:t>s</w:t>
      </w:r>
      <w:r w:rsidRPr="0091662C" w:rsidR="00C454A1">
        <w:rPr>
          <w:szCs w:val="26"/>
        </w:rPr>
        <w:t xml:space="preserve">mission line ratings </w:t>
      </w:r>
      <w:r w:rsidRPr="0091662C" w:rsidR="0095287F">
        <w:rPr>
          <w:szCs w:val="26"/>
        </w:rPr>
        <w:t xml:space="preserve">directly affect </w:t>
      </w:r>
      <w:r w:rsidRPr="0091662C" w:rsidR="00C454A1">
        <w:rPr>
          <w:szCs w:val="26"/>
        </w:rPr>
        <w:t xml:space="preserve">Commission-jurisdictional wholesale rates </w:t>
      </w:r>
      <w:r w:rsidRPr="0091662C" w:rsidR="00A90FD1">
        <w:rPr>
          <w:szCs w:val="26"/>
        </w:rPr>
        <w:t>because the</w:t>
      </w:r>
      <w:r w:rsidRPr="0091662C" w:rsidR="00FC5DF3">
        <w:rPr>
          <w:szCs w:val="26"/>
        </w:rPr>
        <w:t>y</w:t>
      </w:r>
      <w:r w:rsidRPr="0091662C" w:rsidR="00A90FD1">
        <w:rPr>
          <w:szCs w:val="26"/>
        </w:rPr>
        <w:t xml:space="preserve"> repres</w:t>
      </w:r>
      <w:r w:rsidRPr="0091662C" w:rsidR="00FC5DF3">
        <w:rPr>
          <w:szCs w:val="26"/>
        </w:rPr>
        <w:t>ent</w:t>
      </w:r>
      <w:r w:rsidRPr="0091662C" w:rsidR="00A90FD1">
        <w:rPr>
          <w:szCs w:val="26"/>
        </w:rPr>
        <w:t xml:space="preserve"> the maximum transfer </w:t>
      </w:r>
      <w:r w:rsidRPr="0091662C" w:rsidR="00CF342D">
        <w:rPr>
          <w:szCs w:val="26"/>
        </w:rPr>
        <w:t>capability of transmission lines, and s</w:t>
      </w:r>
      <w:r w:rsidRPr="0091662C" w:rsidR="0095287F">
        <w:rPr>
          <w:szCs w:val="26"/>
        </w:rPr>
        <w:t>upply and demand fundamentals dictate that less transfer capability (i.e., less supply) will result in higher rates, all else being equal.</w:t>
      </w:r>
      <w:bookmarkStart w:id="0" w:name="_Hlk89964917"/>
    </w:p>
    <w:p w:rsidR="000C5B37" w:rsidRPr="0091662C" w:rsidP="00CF342D" w14:paraId="70DEBA6B" w14:textId="77777777">
      <w:pPr>
        <w:pStyle w:val="FERCparanumber"/>
        <w:numPr>
          <w:ilvl w:val="0"/>
          <w:numId w:val="0"/>
        </w:numPr>
        <w:tabs>
          <w:tab w:val="left" w:pos="720"/>
          <w:tab w:val="left" w:pos="4860"/>
        </w:tabs>
        <w:ind w:left="72"/>
        <w:rPr>
          <w:szCs w:val="26"/>
        </w:rPr>
      </w:pPr>
    </w:p>
    <w:p w:rsidR="007F5DDF" w:rsidRPr="0091662C" w:rsidP="008C4F41" w14:paraId="0E8E792F" w14:textId="7D849D23">
      <w:pPr>
        <w:pStyle w:val="FERCparanumber"/>
        <w:numPr>
          <w:ilvl w:val="0"/>
          <w:numId w:val="0"/>
        </w:numPr>
        <w:tabs>
          <w:tab w:val="left" w:pos="720"/>
          <w:tab w:val="left" w:pos="4860"/>
        </w:tabs>
        <w:ind w:left="72"/>
        <w:rPr>
          <w:bCs/>
          <w:szCs w:val="26"/>
        </w:rPr>
      </w:pPr>
      <w:r w:rsidRPr="0091662C">
        <w:rPr>
          <w:szCs w:val="26"/>
        </w:rPr>
        <w:t>Inaccurate transmission line ratings can result in underutilization (or overutilization) of existing transmission facilities, thereby sending a signal that there is less (or more) transfer capability than is truly available</w:t>
      </w:r>
      <w:bookmarkEnd w:id="0"/>
      <w:r w:rsidRPr="0091662C">
        <w:rPr>
          <w:szCs w:val="26"/>
        </w:rPr>
        <w:t xml:space="preserve">.  This signal impacts the wholesale rates charged for providing energy and other ancillary services.  For example, if the system operator believes there is less transfer capability than is truly available, it may dispatch more expensive generators to serve load, when less expensive generators (which would have resulted in lower costs) could have been used to reliably serve the same load.  </w:t>
      </w:r>
      <w:bookmarkStart w:id="1" w:name="_Hlk83886352"/>
      <w:r w:rsidRPr="0091662C">
        <w:rPr>
          <w:szCs w:val="26"/>
        </w:rPr>
        <w:t>Alternatively, inaccurate transmission line ratings can result in oversubscription of existing transmission facilities, thereby sending the opposite signal—that there is more transfer capability than is truly available—</w:t>
      </w:r>
      <w:bookmarkStart w:id="2" w:name="_Hlk83630115"/>
      <w:r w:rsidRPr="0091662C">
        <w:rPr>
          <w:szCs w:val="26"/>
        </w:rPr>
        <w:t>which may risk damage to equipment, may fail to accurately price congestion costs, and may fail to signal to the market that more generation and/or transmission investment may be needed in the long term.</w:t>
      </w:r>
      <w:bookmarkEnd w:id="1"/>
      <w:bookmarkEnd w:id="2"/>
      <w:r w:rsidRPr="0091662C">
        <w:rPr>
          <w:szCs w:val="26"/>
        </w:rPr>
        <w:t xml:space="preserve">  </w:t>
      </w:r>
      <w:r w:rsidRPr="0091662C" w:rsidR="004B11CF">
        <w:rPr>
          <w:szCs w:val="26"/>
        </w:rPr>
        <w:t xml:space="preserve">The Commission </w:t>
      </w:r>
      <w:r w:rsidRPr="0091662C">
        <w:rPr>
          <w:szCs w:val="26"/>
        </w:rPr>
        <w:t>therefore find</w:t>
      </w:r>
      <w:r w:rsidRPr="0091662C" w:rsidR="004B11CF">
        <w:rPr>
          <w:szCs w:val="26"/>
        </w:rPr>
        <w:t>s</w:t>
      </w:r>
      <w:r w:rsidRPr="0091662C">
        <w:rPr>
          <w:szCs w:val="26"/>
        </w:rPr>
        <w:t xml:space="preserve"> that transmission line ratings directly affect wholesale rates and, concomitantly, that inaccurate transmission line ratings result in unjust and unreasonable wholesale rates.</w:t>
      </w:r>
    </w:p>
    <w:p w:rsidR="00F35223" w:rsidRPr="0091662C" w:rsidP="00AD76D8" w14:paraId="4F4FB27C" w14:textId="77777777">
      <w:pPr>
        <w:pStyle w:val="FERCparanumber"/>
        <w:numPr>
          <w:ilvl w:val="0"/>
          <w:numId w:val="0"/>
        </w:numPr>
        <w:tabs>
          <w:tab w:val="left" w:pos="720"/>
          <w:tab w:val="left" w:pos="4860"/>
        </w:tabs>
        <w:ind w:left="72"/>
        <w:rPr>
          <w:bCs/>
          <w:szCs w:val="26"/>
        </w:rPr>
      </w:pPr>
    </w:p>
    <w:p w:rsidR="00F169B7" w:rsidRPr="0091662C" w:rsidP="00AD76D8" w14:paraId="0F2138C1" w14:textId="77777777">
      <w:pPr>
        <w:pStyle w:val="FERCparanumber"/>
        <w:numPr>
          <w:ilvl w:val="0"/>
          <w:numId w:val="0"/>
        </w:numPr>
        <w:tabs>
          <w:tab w:val="left" w:pos="720"/>
          <w:tab w:val="left" w:pos="4860"/>
        </w:tabs>
        <w:ind w:left="72"/>
        <w:rPr>
          <w:bCs/>
          <w:szCs w:val="26"/>
        </w:rPr>
      </w:pPr>
      <w:r w:rsidRPr="0091662C">
        <w:rPr>
          <w:bCs/>
          <w:szCs w:val="26"/>
        </w:rPr>
        <w:t xml:space="preserve">In accordance with </w:t>
      </w:r>
      <w:r w:rsidRPr="0091662C" w:rsidR="007F5DDF">
        <w:rPr>
          <w:bCs/>
          <w:szCs w:val="26"/>
        </w:rPr>
        <w:t>A</w:t>
      </w:r>
      <w:r w:rsidRPr="0091662C" w:rsidR="00DB4198">
        <w:rPr>
          <w:bCs/>
          <w:szCs w:val="26"/>
        </w:rPr>
        <w:t>ttachment M</w:t>
      </w:r>
      <w:r w:rsidRPr="0091662C" w:rsidR="00DF69E7">
        <w:rPr>
          <w:bCs/>
          <w:szCs w:val="26"/>
        </w:rPr>
        <w:t xml:space="preserve">, </w:t>
      </w:r>
      <w:r w:rsidRPr="0091662C" w:rsidR="00DB4198">
        <w:rPr>
          <w:bCs/>
          <w:szCs w:val="26"/>
        </w:rPr>
        <w:t xml:space="preserve">transmission providers </w:t>
      </w:r>
      <w:r w:rsidRPr="0091662C" w:rsidR="00EE702D">
        <w:rPr>
          <w:bCs/>
          <w:szCs w:val="26"/>
        </w:rPr>
        <w:t xml:space="preserve">must </w:t>
      </w:r>
      <w:r w:rsidRPr="0091662C" w:rsidR="00DB4198">
        <w:rPr>
          <w:bCs/>
          <w:szCs w:val="26"/>
        </w:rPr>
        <w:t>implement AARs on the transmission lines over which they provide transmission service.</w:t>
      </w:r>
      <w:r w:rsidRPr="0091662C" w:rsidR="002B1110">
        <w:rPr>
          <w:bCs/>
          <w:szCs w:val="26"/>
        </w:rPr>
        <w:t xml:space="preserve">  </w:t>
      </w:r>
      <w:r w:rsidRPr="0091662C" w:rsidR="00682374">
        <w:rPr>
          <w:bCs/>
          <w:szCs w:val="26"/>
        </w:rPr>
        <w:t xml:space="preserve">In addition, </w:t>
      </w:r>
      <w:r w:rsidRPr="0091662C" w:rsidR="00AD76D8">
        <w:rPr>
          <w:bCs/>
          <w:szCs w:val="26"/>
        </w:rPr>
        <w:t xml:space="preserve">transmission providers must </w:t>
      </w:r>
      <w:r w:rsidRPr="0091662C" w:rsidR="006060F7">
        <w:rPr>
          <w:bCs/>
          <w:szCs w:val="26"/>
        </w:rPr>
        <w:t xml:space="preserve">use uniquely determined Emergency Ratings for contingency analysis in the operations horizon and in post-contingency simulations of constraints.  Such uniquely determined Emergency Ratings must also include separate AAR calculations for each Emergency Rating duration used.  </w:t>
      </w:r>
    </w:p>
    <w:p w:rsidR="00F169B7" w:rsidRPr="0091662C" w:rsidP="00AD76D8" w14:paraId="72593CA0" w14:textId="77777777">
      <w:pPr>
        <w:pStyle w:val="FERCparanumber"/>
        <w:numPr>
          <w:ilvl w:val="0"/>
          <w:numId w:val="0"/>
        </w:numPr>
        <w:tabs>
          <w:tab w:val="left" w:pos="720"/>
          <w:tab w:val="left" w:pos="4860"/>
        </w:tabs>
        <w:ind w:left="72"/>
        <w:rPr>
          <w:bCs/>
          <w:szCs w:val="26"/>
        </w:rPr>
      </w:pPr>
    </w:p>
    <w:p w:rsidR="00AD76D8" w:rsidRPr="0091662C" w:rsidP="00AD76D8" w14:paraId="15C420E3" w14:textId="638D308A">
      <w:pPr>
        <w:pStyle w:val="FERCparanumber"/>
        <w:numPr>
          <w:ilvl w:val="0"/>
          <w:numId w:val="0"/>
        </w:numPr>
        <w:tabs>
          <w:tab w:val="left" w:pos="720"/>
          <w:tab w:val="left" w:pos="4860"/>
        </w:tabs>
        <w:ind w:left="72"/>
        <w:rPr>
          <w:bCs/>
          <w:iCs/>
          <w:szCs w:val="26"/>
        </w:rPr>
      </w:pPr>
      <w:r w:rsidRPr="0091662C">
        <w:rPr>
          <w:bCs/>
          <w:szCs w:val="26"/>
        </w:rPr>
        <w:t xml:space="preserve">To enhance transparency, transmission providers must </w:t>
      </w:r>
      <w:r w:rsidRPr="0091662C" w:rsidR="004E09FA">
        <w:rPr>
          <w:bCs/>
          <w:szCs w:val="26"/>
        </w:rPr>
        <w:t>main</w:t>
      </w:r>
      <w:r w:rsidRPr="0091662C">
        <w:rPr>
          <w:bCs/>
          <w:szCs w:val="26"/>
        </w:rPr>
        <w:t xml:space="preserve">tain on the password-protected section of its </w:t>
      </w:r>
      <w:r w:rsidRPr="0091662C" w:rsidR="00F46AAB">
        <w:rPr>
          <w:bCs/>
          <w:szCs w:val="26"/>
        </w:rPr>
        <w:t>Open Access Same-Time In</w:t>
      </w:r>
      <w:r w:rsidRPr="0091662C" w:rsidR="00382371">
        <w:rPr>
          <w:bCs/>
          <w:szCs w:val="26"/>
        </w:rPr>
        <w:t xml:space="preserve">formation System </w:t>
      </w:r>
      <w:r w:rsidRPr="0091662C" w:rsidR="001B3AEF">
        <w:rPr>
          <w:bCs/>
          <w:szCs w:val="26"/>
        </w:rPr>
        <w:t>(</w:t>
      </w:r>
      <w:r w:rsidRPr="0091662C">
        <w:rPr>
          <w:bCs/>
          <w:szCs w:val="26"/>
        </w:rPr>
        <w:t>OASIS</w:t>
      </w:r>
      <w:r w:rsidRPr="0091662C" w:rsidR="001B3AEF">
        <w:rPr>
          <w:bCs/>
          <w:szCs w:val="26"/>
        </w:rPr>
        <w:t>)</w:t>
      </w:r>
      <w:r w:rsidRPr="0091662C">
        <w:rPr>
          <w:bCs/>
          <w:szCs w:val="26"/>
        </w:rPr>
        <w:t xml:space="preserve"> page or on another password-protected website a database of Transmission Line Ratings and Transmission Line Rating methodologies.  The database must include a full record of all </w:t>
      </w:r>
      <w:r w:rsidRPr="0091662C">
        <w:rPr>
          <w:bCs/>
          <w:szCs w:val="26"/>
        </w:rPr>
        <w:t>Transmission Line Ratings, both as used in real-time operations, and as used for all future periods for which Transmission Service is offered.</w:t>
      </w:r>
      <w:r w:rsidRPr="0091662C" w:rsidR="00EE660F">
        <w:rPr>
          <w:bCs/>
          <w:szCs w:val="26"/>
        </w:rPr>
        <w:t xml:space="preserve">  </w:t>
      </w:r>
      <w:r w:rsidRPr="0091662C">
        <w:rPr>
          <w:bCs/>
          <w:szCs w:val="26"/>
        </w:rPr>
        <w:t>The database must include records of which Transmission Line Ratings and Transmission Line Rating methodologies were in effect at</w:t>
      </w:r>
      <w:r w:rsidRPr="0091662C" w:rsidR="00FD7FC3">
        <w:rPr>
          <w:bCs/>
          <w:szCs w:val="26"/>
        </w:rPr>
        <w:t xml:space="preserve"> </w:t>
      </w:r>
      <w:r w:rsidRPr="0091662C">
        <w:rPr>
          <w:bCs/>
          <w:szCs w:val="26"/>
        </w:rPr>
        <w:t xml:space="preserve">times over at least the previous </w:t>
      </w:r>
      <w:r w:rsidRPr="0091662C">
        <w:rPr>
          <w:bCs/>
          <w:iCs/>
          <w:szCs w:val="26"/>
        </w:rPr>
        <w:t xml:space="preserve">five years, including records of which temporary alternate Transmission Line Ratings or exceptions were in effect at which times during the previous five years.  </w:t>
      </w:r>
      <w:r w:rsidRPr="0091662C">
        <w:rPr>
          <w:bCs/>
          <w:szCs w:val="26"/>
        </w:rPr>
        <w:t>Each record in the database must indicate which transmission line the record applies to, and the date and time the record was entered into the database.  The database must be maintained such that users can view, download, and query data in standard formats, using standard protocols.</w:t>
      </w:r>
    </w:p>
    <w:p w:rsidR="00AD76D8" w:rsidRPr="0091662C" w:rsidP="00105334" w14:paraId="202E71CB" w14:textId="53EC2DF7">
      <w:pPr>
        <w:pStyle w:val="FERCparanumber"/>
        <w:numPr>
          <w:ilvl w:val="0"/>
          <w:numId w:val="0"/>
        </w:numPr>
        <w:tabs>
          <w:tab w:val="left" w:pos="720"/>
          <w:tab w:val="left" w:pos="4860"/>
        </w:tabs>
        <w:ind w:left="72"/>
        <w:rPr>
          <w:bCs/>
          <w:szCs w:val="26"/>
        </w:rPr>
      </w:pPr>
    </w:p>
    <w:p w:rsidR="006F0C42" w:rsidRPr="0091662C" w:rsidP="006F0C42" w14:paraId="4AAE6FAC" w14:textId="7E08E505">
      <w:pPr>
        <w:pStyle w:val="FERCparanumber"/>
        <w:numPr>
          <w:ilvl w:val="0"/>
          <w:numId w:val="0"/>
        </w:numPr>
        <w:tabs>
          <w:tab w:val="left" w:pos="720"/>
          <w:tab w:val="left" w:pos="4860"/>
        </w:tabs>
        <w:ind w:left="72"/>
        <w:rPr>
          <w:bCs/>
          <w:szCs w:val="26"/>
        </w:rPr>
      </w:pPr>
      <w:r w:rsidRPr="0091662C">
        <w:rPr>
          <w:bCs/>
          <w:szCs w:val="26"/>
        </w:rPr>
        <w:t xml:space="preserve">The Transmission Provider must share, upon request by any Transmission Provider and in a timely manner, the following information: </w:t>
      </w:r>
    </w:p>
    <w:p w:rsidR="006F0C42" w:rsidRPr="0091662C" w:rsidP="006F0C42" w14:paraId="20FEFF77" w14:textId="77777777">
      <w:pPr>
        <w:pStyle w:val="FERCparanumber"/>
        <w:numPr>
          <w:ilvl w:val="0"/>
          <w:numId w:val="0"/>
        </w:numPr>
        <w:tabs>
          <w:tab w:val="left" w:pos="720"/>
          <w:tab w:val="left" w:pos="4860"/>
        </w:tabs>
        <w:ind w:left="72"/>
        <w:rPr>
          <w:bCs/>
          <w:szCs w:val="26"/>
        </w:rPr>
      </w:pPr>
    </w:p>
    <w:p w:rsidR="006F0C42" w:rsidRPr="0091662C" w:rsidP="000E5E99" w14:paraId="719B33DF" w14:textId="642E64A9">
      <w:pPr>
        <w:pStyle w:val="FERCparanumber"/>
        <w:numPr>
          <w:ilvl w:val="0"/>
          <w:numId w:val="0"/>
        </w:numPr>
        <w:tabs>
          <w:tab w:val="left" w:pos="720"/>
          <w:tab w:val="left" w:pos="4860"/>
        </w:tabs>
        <w:ind w:left="720"/>
        <w:rPr>
          <w:bCs/>
          <w:szCs w:val="26"/>
        </w:rPr>
      </w:pPr>
      <w:r w:rsidRPr="0091662C">
        <w:rPr>
          <w:bCs/>
          <w:szCs w:val="26"/>
        </w:rPr>
        <w:t>(1) Transmission Line Ratings for each period for which Transmission Line Ratings are calculated, with updated ratings shared each time Transmission Line Ratings are calculated, and</w:t>
      </w:r>
    </w:p>
    <w:p w:rsidR="006F0C42" w:rsidRPr="0091662C" w:rsidP="00EC4B5C" w14:paraId="6A21E254" w14:textId="77777777">
      <w:pPr>
        <w:pStyle w:val="FERCparanumber"/>
        <w:numPr>
          <w:ilvl w:val="0"/>
          <w:numId w:val="0"/>
        </w:numPr>
        <w:tabs>
          <w:tab w:val="left" w:pos="720"/>
          <w:tab w:val="left" w:pos="4860"/>
        </w:tabs>
        <w:ind w:left="72"/>
        <w:rPr>
          <w:bCs/>
          <w:szCs w:val="26"/>
        </w:rPr>
      </w:pPr>
    </w:p>
    <w:p w:rsidR="006F0C42" w:rsidRPr="0091662C" w:rsidP="000E5E99" w14:paraId="30F49525" w14:textId="671BD343">
      <w:pPr>
        <w:pStyle w:val="FERCparanumber"/>
        <w:numPr>
          <w:ilvl w:val="0"/>
          <w:numId w:val="0"/>
        </w:numPr>
        <w:tabs>
          <w:tab w:val="left" w:pos="720"/>
          <w:tab w:val="left" w:pos="4860"/>
        </w:tabs>
        <w:ind w:left="720"/>
        <w:rPr>
          <w:bCs/>
          <w:szCs w:val="26"/>
        </w:rPr>
      </w:pPr>
      <w:r w:rsidRPr="0091662C">
        <w:rPr>
          <w:bCs/>
          <w:szCs w:val="26"/>
        </w:rPr>
        <w:t>(2) Written Transmission Line Rating methodologies used to calculate the Transmission Line Ratings in (1) above.</w:t>
      </w:r>
    </w:p>
    <w:p w:rsidR="006F0C42" w:rsidRPr="0091662C" w:rsidP="00EC4B5C" w14:paraId="320A841C" w14:textId="77777777">
      <w:pPr>
        <w:pStyle w:val="FERCparanumber"/>
        <w:numPr>
          <w:ilvl w:val="0"/>
          <w:numId w:val="0"/>
        </w:numPr>
        <w:tabs>
          <w:tab w:val="left" w:pos="720"/>
          <w:tab w:val="left" w:pos="4860"/>
        </w:tabs>
        <w:rPr>
          <w:bCs/>
          <w:szCs w:val="26"/>
        </w:rPr>
      </w:pPr>
    </w:p>
    <w:p w:rsidR="006060F7" w:rsidRPr="0091662C" w:rsidP="00EC4B5C" w14:paraId="279E8572" w14:textId="2761555F">
      <w:pPr>
        <w:pStyle w:val="FERCparanumber"/>
        <w:numPr>
          <w:ilvl w:val="0"/>
          <w:numId w:val="0"/>
        </w:numPr>
        <w:tabs>
          <w:tab w:val="left" w:pos="720"/>
          <w:tab w:val="left" w:pos="4860"/>
        </w:tabs>
        <w:ind w:left="72"/>
        <w:rPr>
          <w:bCs/>
          <w:szCs w:val="26"/>
        </w:rPr>
      </w:pPr>
      <w:r w:rsidRPr="0091662C">
        <w:rPr>
          <w:bCs/>
          <w:szCs w:val="26"/>
        </w:rPr>
        <w:t>The Commission provides for the following exceptions to the transmission line rating obligations enumerated in Attachment M</w:t>
      </w:r>
      <w:r w:rsidRPr="0091662C" w:rsidR="006F0C42">
        <w:rPr>
          <w:bCs/>
          <w:szCs w:val="26"/>
        </w:rPr>
        <w:t xml:space="preserve">:  </w:t>
      </w:r>
    </w:p>
    <w:p w:rsidR="000823D5" w:rsidRPr="0091662C" w:rsidP="00EC4B5C" w14:paraId="0C410FA8" w14:textId="77777777">
      <w:pPr>
        <w:pStyle w:val="FERCparanumber"/>
        <w:numPr>
          <w:ilvl w:val="0"/>
          <w:numId w:val="0"/>
        </w:numPr>
        <w:tabs>
          <w:tab w:val="left" w:pos="720"/>
          <w:tab w:val="left" w:pos="4860"/>
        </w:tabs>
        <w:ind w:left="72"/>
        <w:rPr>
          <w:bCs/>
          <w:szCs w:val="26"/>
        </w:rPr>
      </w:pPr>
    </w:p>
    <w:p w:rsidR="006060F7" w:rsidRPr="0091662C" w:rsidP="006060F7" w14:paraId="6AF9A9F8" w14:textId="0A77B6B9">
      <w:pPr>
        <w:pStyle w:val="FERCparanumber"/>
        <w:numPr>
          <w:ilvl w:val="0"/>
          <w:numId w:val="37"/>
        </w:numPr>
        <w:tabs>
          <w:tab w:val="left" w:pos="720"/>
          <w:tab w:val="left" w:pos="4860"/>
        </w:tabs>
        <w:rPr>
          <w:bCs/>
          <w:szCs w:val="26"/>
        </w:rPr>
      </w:pPr>
      <w:r w:rsidRPr="0091662C">
        <w:rPr>
          <w:bCs/>
          <w:szCs w:val="26"/>
        </w:rPr>
        <w:t xml:space="preserve">If the Transmission Provider reasonably determines, consistent with Good Utility Practice, that the temporary use of a Transmission Line Rating different than would otherwise be required by this Attachment is necessary to ensure the safety and reliability of the Transmission System, then the Transmission Provider may use such an alternate rating.  The Transmission Provider must document in its database of Transmission Line Ratings and Transmission Line Rating methodologies on OASIS or another password-protected website, as required by this Attachment, the use of an alternate Transmission Line Rating under this paragraph, including the nature of and basis for the alternate rating, the date and time that the alternate rating was initiated, and (if applicable) the date and time that the alternate rating was withdrawn and the standard rating became effective again.  </w:t>
      </w:r>
    </w:p>
    <w:p w:rsidR="00F40294" w:rsidRPr="0091662C" w:rsidP="000E5E99" w14:paraId="2DA99ADE" w14:textId="7EFAEC5C">
      <w:pPr>
        <w:pStyle w:val="FERCparanumber"/>
        <w:numPr>
          <w:ilvl w:val="0"/>
          <w:numId w:val="0"/>
        </w:numPr>
        <w:tabs>
          <w:tab w:val="left" w:pos="720"/>
          <w:tab w:val="left" w:pos="4860"/>
        </w:tabs>
        <w:ind w:left="792"/>
        <w:rPr>
          <w:bCs/>
          <w:szCs w:val="26"/>
        </w:rPr>
      </w:pPr>
    </w:p>
    <w:p w:rsidR="004C1879" w:rsidRPr="0091662C" w:rsidP="000E5E99" w14:paraId="7825798C" w14:textId="255A1089">
      <w:pPr>
        <w:pStyle w:val="FERCparanumber"/>
        <w:numPr>
          <w:ilvl w:val="0"/>
          <w:numId w:val="37"/>
        </w:numPr>
        <w:tabs>
          <w:tab w:val="left" w:pos="720"/>
          <w:tab w:val="left" w:pos="4860"/>
        </w:tabs>
        <w:rPr>
          <w:bCs/>
          <w:szCs w:val="26"/>
        </w:rPr>
      </w:pPr>
      <w:r w:rsidRPr="0091662C">
        <w:rPr>
          <w:bCs/>
          <w:szCs w:val="26"/>
        </w:rPr>
        <w:t xml:space="preserve">Where the Transmission Provider determines, consistent with Good Utility Practice, that the Transmission Line Rating of a transmission line is not affected by ambient air temperature or solar heating, the Transmission Provider may use a Transmission Line Rating for that transmission line that is not an AAR or Seasonal Line Rating.  Examples of such a transmission line may include (but are not limited to): (1) a transmission line for which the technical transfer capability of the limiting conductors and/or limiting transmission equipment is not </w:t>
      </w:r>
      <w:r w:rsidRPr="0091662C">
        <w:rPr>
          <w:bCs/>
          <w:szCs w:val="26"/>
        </w:rPr>
        <w:t>dependent on ambient air temperature or solar heating; or (2) a transmission line whose transfer capability is limited by a Transmission System limit (such as a system voltage or stability limit) which is not dependent on ambient air temperature or solar heating.  The Transmission Provider must document in its database of Transmission Line Ratings and Transmission Line Rating methodologies on OASIS or another password-protected website</w:t>
      </w:r>
      <w:r w:rsidRPr="0091662C" w:rsidR="006F6A6B">
        <w:rPr>
          <w:bCs/>
          <w:szCs w:val="26"/>
        </w:rPr>
        <w:t xml:space="preserve">. </w:t>
      </w:r>
      <w:r w:rsidRPr="0091662C">
        <w:rPr>
          <w:bCs/>
          <w:szCs w:val="26"/>
        </w:rPr>
        <w:t xml:space="preserve"> </w:t>
      </w:r>
      <w:r w:rsidRPr="0091662C" w:rsidR="006F6A6B">
        <w:rPr>
          <w:bCs/>
          <w:szCs w:val="26"/>
        </w:rPr>
        <w:t>A</w:t>
      </w:r>
      <w:r w:rsidRPr="0091662C">
        <w:rPr>
          <w:bCs/>
          <w:szCs w:val="26"/>
        </w:rPr>
        <w:t xml:space="preserve">ny exceptions to the requirements contained in this Attachment initiated under this paragraph, including the nature of and basis for each exception, the date(s) and time(s) that the exception was initiated, and (if applicable) the date(s) and time(s) that each exception was </w:t>
      </w:r>
      <w:r w:rsidRPr="0091662C" w:rsidR="001C457A">
        <w:rPr>
          <w:bCs/>
          <w:szCs w:val="26"/>
        </w:rPr>
        <w:t>withdrawn,</w:t>
      </w:r>
      <w:r w:rsidRPr="0091662C">
        <w:rPr>
          <w:bCs/>
          <w:szCs w:val="26"/>
        </w:rPr>
        <w:t xml:space="preserve"> and the standard rating became effective again.  If the technical basis for an exception under this paragraph changes, then the Transmission Provider must update the relevant Transmission Line Rating(s) in a timely manner.  The Transmission Provider must reevaluate any exceptions taken under this paragraph at least every five years.</w:t>
      </w:r>
    </w:p>
    <w:p w:rsidR="004C1879" w:rsidRPr="0091662C" w:rsidP="00EC4B5C" w14:paraId="61DB0972" w14:textId="77777777">
      <w:pPr>
        <w:pStyle w:val="FERCparanumber"/>
        <w:numPr>
          <w:ilvl w:val="0"/>
          <w:numId w:val="0"/>
        </w:numPr>
        <w:tabs>
          <w:tab w:val="left" w:pos="720"/>
          <w:tab w:val="left" w:pos="4860"/>
        </w:tabs>
        <w:ind w:left="72"/>
        <w:rPr>
          <w:bCs/>
          <w:szCs w:val="26"/>
        </w:rPr>
      </w:pPr>
    </w:p>
    <w:p w:rsidR="00FB54D6" w:rsidRPr="0091662C" w:rsidP="00EC4B5C" w14:paraId="1E10A72A" w14:textId="527AEE92">
      <w:pPr>
        <w:pStyle w:val="FERCparanumber"/>
        <w:numPr>
          <w:ilvl w:val="0"/>
          <w:numId w:val="0"/>
        </w:numPr>
        <w:tabs>
          <w:tab w:val="left" w:pos="720"/>
          <w:tab w:val="left" w:pos="4860"/>
        </w:tabs>
        <w:ind w:left="72"/>
        <w:rPr>
          <w:bCs/>
          <w:szCs w:val="26"/>
        </w:rPr>
      </w:pPr>
      <w:r w:rsidRPr="0091662C">
        <w:rPr>
          <w:bCs/>
          <w:szCs w:val="26"/>
        </w:rPr>
        <w:t xml:space="preserve">The information collection activities </w:t>
      </w:r>
      <w:r w:rsidRPr="0091662C" w:rsidR="00C811B6">
        <w:rPr>
          <w:bCs/>
          <w:szCs w:val="26"/>
        </w:rPr>
        <w:t>listed below</w:t>
      </w:r>
      <w:r w:rsidRPr="0091662C" w:rsidR="00A77865">
        <w:rPr>
          <w:bCs/>
          <w:szCs w:val="26"/>
        </w:rPr>
        <w:t>, that</w:t>
      </w:r>
      <w:r w:rsidRPr="0091662C" w:rsidR="00C811B6">
        <w:rPr>
          <w:bCs/>
          <w:szCs w:val="26"/>
        </w:rPr>
        <w:t xml:space="preserve"> w</w:t>
      </w:r>
      <w:r w:rsidRPr="0091662C">
        <w:rPr>
          <w:bCs/>
          <w:szCs w:val="26"/>
        </w:rPr>
        <w:t>ill be added to FERC-516H</w:t>
      </w:r>
      <w:r w:rsidRPr="0091662C" w:rsidR="00A77865">
        <w:rPr>
          <w:bCs/>
          <w:szCs w:val="26"/>
        </w:rPr>
        <w:t>,</w:t>
      </w:r>
      <w:r w:rsidRPr="0091662C" w:rsidR="001946DC">
        <w:rPr>
          <w:bCs/>
          <w:szCs w:val="26"/>
        </w:rPr>
        <w:t xml:space="preserve"> are all one-time burdens in Year 1</w:t>
      </w:r>
      <w:r w:rsidRPr="0091662C" w:rsidR="007F51F1">
        <w:rPr>
          <w:bCs/>
          <w:szCs w:val="26"/>
        </w:rPr>
        <w:t xml:space="preserve">.  In addition, </w:t>
      </w:r>
      <w:r w:rsidRPr="0091662C" w:rsidR="00C811B6">
        <w:rPr>
          <w:bCs/>
          <w:szCs w:val="26"/>
        </w:rPr>
        <w:t>information collection activity # 7, on the list below, will be ongoing.</w:t>
      </w:r>
    </w:p>
    <w:p w:rsidR="00556972" w:rsidRPr="0091662C" w:rsidP="00EC4B5C" w14:paraId="1C35B993" w14:textId="6B7575B3">
      <w:pPr>
        <w:pStyle w:val="FERCparanumber"/>
        <w:numPr>
          <w:ilvl w:val="0"/>
          <w:numId w:val="0"/>
        </w:numPr>
        <w:tabs>
          <w:tab w:val="left" w:pos="720"/>
          <w:tab w:val="left" w:pos="4860"/>
        </w:tabs>
        <w:ind w:left="72"/>
        <w:rPr>
          <w:bCs/>
          <w:szCs w:val="26"/>
        </w:rPr>
      </w:pPr>
    </w:p>
    <w:p w:rsidR="007A11B5" w:rsidRPr="0091662C" w:rsidP="007A11B5" w14:paraId="2798FFDE" w14:textId="77777777">
      <w:pPr>
        <w:pStyle w:val="FERCparanumber"/>
        <w:numPr>
          <w:ilvl w:val="0"/>
          <w:numId w:val="36"/>
        </w:numPr>
        <w:tabs>
          <w:tab w:val="left" w:pos="720"/>
          <w:tab w:val="left" w:pos="4860"/>
        </w:tabs>
        <w:rPr>
          <w:bCs/>
          <w:szCs w:val="26"/>
        </w:rPr>
      </w:pPr>
      <w:bookmarkStart w:id="3" w:name="_Hlk55808367"/>
      <w:r w:rsidRPr="0091662C">
        <w:rPr>
          <w:bCs/>
          <w:szCs w:val="26"/>
        </w:rPr>
        <w:t>For point-to-point transmission service requests within ten days, use AARs in determining available transfer capability (ATC) and total transfer capability (TTC</w:t>
      </w:r>
      <w:bookmarkEnd w:id="3"/>
      <w:r w:rsidRPr="0091662C">
        <w:rPr>
          <w:bCs/>
          <w:szCs w:val="26"/>
        </w:rPr>
        <w:t>).</w:t>
      </w:r>
      <w:bookmarkStart w:id="4" w:name="_Hlk55808437"/>
    </w:p>
    <w:p w:rsidR="007A11B5" w:rsidRPr="0091662C" w:rsidP="007A11B5" w14:paraId="34F684C5" w14:textId="77777777">
      <w:pPr>
        <w:pStyle w:val="FERCparanumber"/>
        <w:numPr>
          <w:ilvl w:val="0"/>
          <w:numId w:val="36"/>
        </w:numPr>
        <w:tabs>
          <w:tab w:val="left" w:pos="720"/>
          <w:tab w:val="left" w:pos="4860"/>
        </w:tabs>
        <w:rPr>
          <w:bCs/>
          <w:szCs w:val="26"/>
        </w:rPr>
      </w:pPr>
      <w:r w:rsidRPr="0091662C">
        <w:rPr>
          <w:bCs/>
          <w:szCs w:val="26"/>
        </w:rPr>
        <w:t>Where network transmission service is provided, use hourly AARs to determine curtailment or redispatch of network transmission service.</w:t>
      </w:r>
      <w:bookmarkEnd w:id="4"/>
    </w:p>
    <w:p w:rsidR="007A11B5" w:rsidRPr="0091662C" w:rsidP="007A11B5" w14:paraId="6904C73D" w14:textId="77777777">
      <w:pPr>
        <w:pStyle w:val="FERCparanumber"/>
        <w:numPr>
          <w:ilvl w:val="0"/>
          <w:numId w:val="36"/>
        </w:numPr>
        <w:tabs>
          <w:tab w:val="left" w:pos="720"/>
          <w:tab w:val="left" w:pos="4860"/>
        </w:tabs>
        <w:rPr>
          <w:bCs/>
          <w:szCs w:val="26"/>
        </w:rPr>
      </w:pPr>
      <w:r w:rsidRPr="0091662C">
        <w:rPr>
          <w:bCs/>
          <w:szCs w:val="26"/>
        </w:rPr>
        <w:t>Transmission Providers to implement uniquely determined emergency ratings.</w:t>
      </w:r>
    </w:p>
    <w:p w:rsidR="005C041F" w:rsidRPr="0091662C" w:rsidP="007A11B5" w14:paraId="198F91CE" w14:textId="0F7A22D0">
      <w:pPr>
        <w:pStyle w:val="FERCparanumber"/>
        <w:numPr>
          <w:ilvl w:val="0"/>
          <w:numId w:val="36"/>
        </w:numPr>
        <w:tabs>
          <w:tab w:val="left" w:pos="720"/>
          <w:tab w:val="left" w:pos="4860"/>
        </w:tabs>
        <w:rPr>
          <w:bCs/>
          <w:szCs w:val="26"/>
        </w:rPr>
      </w:pPr>
      <w:r w:rsidRPr="0091662C">
        <w:rPr>
          <w:bCs/>
          <w:szCs w:val="26"/>
        </w:rPr>
        <w:t>Implement software and systems to communicate the required transmission line ratings with relevant parties.</w:t>
      </w:r>
    </w:p>
    <w:p w:rsidR="007A11B5" w:rsidRPr="0091662C" w:rsidP="007A11B5" w14:paraId="5B964806" w14:textId="061AE625">
      <w:pPr>
        <w:pStyle w:val="FERCparanumber"/>
        <w:numPr>
          <w:ilvl w:val="0"/>
          <w:numId w:val="36"/>
        </w:numPr>
        <w:tabs>
          <w:tab w:val="left" w:pos="720"/>
          <w:tab w:val="left" w:pos="4860"/>
        </w:tabs>
        <w:rPr>
          <w:bCs/>
          <w:szCs w:val="26"/>
        </w:rPr>
      </w:pPr>
      <w:r w:rsidRPr="0091662C">
        <w:rPr>
          <w:bCs/>
          <w:szCs w:val="26"/>
        </w:rPr>
        <w:t>RTOs/ISOs implement software with the ability to accommodate AARs in both the day-ahead and real-time markets on an hourly basis.</w:t>
      </w:r>
    </w:p>
    <w:p w:rsidR="00F80134" w:rsidRPr="0091662C" w:rsidP="007A11B5" w14:paraId="42F1D47C" w14:textId="1EB16A20">
      <w:pPr>
        <w:pStyle w:val="FERCparanumber"/>
        <w:numPr>
          <w:ilvl w:val="0"/>
          <w:numId w:val="36"/>
        </w:numPr>
        <w:tabs>
          <w:tab w:val="left" w:pos="720"/>
          <w:tab w:val="left" w:pos="4860"/>
        </w:tabs>
        <w:rPr>
          <w:bCs/>
          <w:szCs w:val="26"/>
        </w:rPr>
      </w:pPr>
      <w:r w:rsidRPr="0091662C">
        <w:rPr>
          <w:bCs/>
          <w:szCs w:val="26"/>
        </w:rPr>
        <w:t>RTOs/ISOs establish the systems and procedures necessary to allow transmission owners to update line ratings on an hourly basis directly into an energy management system (EMS).</w:t>
      </w:r>
    </w:p>
    <w:p w:rsidR="007F51F1" w:rsidRPr="0091662C" w:rsidP="007A11B5" w14:paraId="1A467ED3" w14:textId="167F6706">
      <w:pPr>
        <w:pStyle w:val="FERCparanumber"/>
        <w:numPr>
          <w:ilvl w:val="0"/>
          <w:numId w:val="36"/>
        </w:numPr>
        <w:tabs>
          <w:tab w:val="left" w:pos="720"/>
          <w:tab w:val="left" w:pos="4860"/>
        </w:tabs>
        <w:rPr>
          <w:bCs/>
          <w:szCs w:val="26"/>
        </w:rPr>
      </w:pPr>
      <w:r w:rsidRPr="0091662C">
        <w:rPr>
          <w:bCs/>
          <w:szCs w:val="26"/>
        </w:rPr>
        <w:t xml:space="preserve">Transmission owners update forecasts and </w:t>
      </w:r>
      <w:r w:rsidRPr="0091662C" w:rsidR="001C457A">
        <w:rPr>
          <w:bCs/>
          <w:szCs w:val="26"/>
        </w:rPr>
        <w:t>ratings and</w:t>
      </w:r>
      <w:r w:rsidRPr="0091662C">
        <w:rPr>
          <w:bCs/>
          <w:szCs w:val="26"/>
        </w:rPr>
        <w:t xml:space="preserve"> share transmission line ratings and facility ratings methodologies w</w:t>
      </w:r>
      <w:r w:rsidRPr="0091662C" w:rsidR="001F04D5">
        <w:rPr>
          <w:bCs/>
          <w:szCs w:val="26"/>
        </w:rPr>
        <w:t>ith</w:t>
      </w:r>
      <w:r w:rsidRPr="0091662C">
        <w:rPr>
          <w:bCs/>
          <w:szCs w:val="26"/>
        </w:rPr>
        <w:t xml:space="preserve"> transmission providers and, if applicable, RTOs/ISOs </w:t>
      </w:r>
      <w:r w:rsidRPr="0091662C" w:rsidR="001F04D5">
        <w:rPr>
          <w:bCs/>
          <w:szCs w:val="26"/>
        </w:rPr>
        <w:t xml:space="preserve">and </w:t>
      </w:r>
      <w:r w:rsidRPr="0091662C">
        <w:rPr>
          <w:bCs/>
          <w:szCs w:val="26"/>
        </w:rPr>
        <w:t>market monitors.</w:t>
      </w:r>
    </w:p>
    <w:p w:rsidR="00A77865" w:rsidRPr="0091662C" w:rsidP="007A11B5" w14:paraId="338F05D4" w14:textId="52BD87F6">
      <w:pPr>
        <w:pStyle w:val="FERCparanumber"/>
        <w:numPr>
          <w:ilvl w:val="0"/>
          <w:numId w:val="36"/>
        </w:numPr>
        <w:tabs>
          <w:tab w:val="left" w:pos="720"/>
          <w:tab w:val="left" w:pos="4860"/>
        </w:tabs>
        <w:rPr>
          <w:bCs/>
          <w:szCs w:val="26"/>
        </w:rPr>
      </w:pPr>
      <w:r w:rsidRPr="0091662C">
        <w:rPr>
          <w:bCs/>
          <w:szCs w:val="26"/>
        </w:rPr>
        <w:t>Compliance filings.</w:t>
      </w:r>
    </w:p>
    <w:p w:rsidR="00556972" w:rsidRPr="0091662C" w:rsidP="00EC4B5C" w14:paraId="32B9523F" w14:textId="77777777">
      <w:pPr>
        <w:pStyle w:val="FERCparanumber"/>
        <w:numPr>
          <w:ilvl w:val="0"/>
          <w:numId w:val="0"/>
        </w:numPr>
        <w:tabs>
          <w:tab w:val="left" w:pos="720"/>
          <w:tab w:val="left" w:pos="4860"/>
        </w:tabs>
        <w:ind w:left="72"/>
        <w:rPr>
          <w:bCs/>
          <w:szCs w:val="26"/>
        </w:rPr>
      </w:pPr>
    </w:p>
    <w:p w:rsidR="001C05BE" w:rsidRPr="0091662C" w:rsidP="00B1174A" w14:paraId="4A2615AD" w14:textId="77777777">
      <w:pPr>
        <w:pStyle w:val="FERCparanumber"/>
        <w:numPr>
          <w:ilvl w:val="0"/>
          <w:numId w:val="0"/>
        </w:numPr>
        <w:tabs>
          <w:tab w:val="left" w:pos="720"/>
          <w:tab w:val="left" w:pos="4860"/>
        </w:tabs>
        <w:ind w:left="72"/>
        <w:rPr>
          <w:bCs/>
          <w:szCs w:val="26"/>
        </w:rPr>
      </w:pPr>
      <w:bookmarkStart w:id="5" w:name="_Hlk82502267"/>
    </w:p>
    <w:bookmarkEnd w:id="5"/>
    <w:p w:rsidR="00980E8E" w:rsidRPr="0091662C" w:rsidP="005240A1" w14:paraId="1191C360" w14:textId="7B0529DE">
      <w:pPr>
        <w:widowControl/>
        <w:numPr>
          <w:ilvl w:val="0"/>
          <w:numId w:val="7"/>
        </w:numPr>
        <w:rPr>
          <w:sz w:val="26"/>
          <w:szCs w:val="26"/>
        </w:rPr>
      </w:pPr>
      <w:r w:rsidRPr="0091662C">
        <w:rPr>
          <w:b/>
          <w:sz w:val="26"/>
          <w:szCs w:val="26"/>
        </w:rPr>
        <w:t>DESCRIBE ANY CONSIDERATION OF THE USE OF IMPROVED INFORMATION TECHNOLOGY TO REDUCE BURDEN AND THE TECHNICAL OR LEGAL OBSTACLES TO REDUCING BURDEN</w:t>
      </w:r>
    </w:p>
    <w:p w:rsidR="00980E8E" w:rsidRPr="0091662C" w:rsidP="00980E8E" w14:paraId="200107A7" w14:textId="77777777">
      <w:pPr>
        <w:rPr>
          <w:sz w:val="26"/>
          <w:szCs w:val="26"/>
        </w:rPr>
      </w:pPr>
    </w:p>
    <w:p w:rsidR="004D4C7B" w:rsidRPr="001A7291" w:rsidP="00042ECE" w14:paraId="317BE605" w14:textId="7497018B">
      <w:pPr>
        <w:rPr>
          <w:sz w:val="26"/>
          <w:szCs w:val="26"/>
        </w:rPr>
      </w:pPr>
      <w:r w:rsidRPr="0091662C">
        <w:rPr>
          <w:sz w:val="26"/>
          <w:szCs w:val="26"/>
        </w:rPr>
        <w:t>FERC implement</w:t>
      </w:r>
      <w:r w:rsidRPr="0091662C" w:rsidR="00AA199C">
        <w:rPr>
          <w:sz w:val="26"/>
          <w:szCs w:val="26"/>
        </w:rPr>
        <w:t>s</w:t>
      </w:r>
      <w:r w:rsidRPr="0091662C">
        <w:rPr>
          <w:sz w:val="26"/>
          <w:szCs w:val="26"/>
        </w:rPr>
        <w:t xml:space="preserve"> its eTariff system for the electronic filing of tariffs.</w:t>
      </w:r>
      <w:r w:rsidRPr="0091662C" w:rsidR="000811C6">
        <w:rPr>
          <w:sz w:val="26"/>
          <w:szCs w:val="26"/>
        </w:rPr>
        <w:t xml:space="preserve">  More information </w:t>
      </w:r>
      <w:r w:rsidRPr="0091662C" w:rsidR="000811C6">
        <w:rPr>
          <w:sz w:val="26"/>
          <w:szCs w:val="26"/>
        </w:rPr>
        <w:t>on eTariff is posted at</w:t>
      </w:r>
      <w:r w:rsidRPr="0091662C" w:rsidR="00B90974">
        <w:rPr>
          <w:sz w:val="26"/>
          <w:szCs w:val="26"/>
        </w:rPr>
        <w:t xml:space="preserve"> </w:t>
      </w:r>
      <w:hyperlink r:id="rId9" w:history="1">
        <w:r w:rsidRPr="0091662C" w:rsidR="00B90974">
          <w:rPr>
            <w:rStyle w:val="Hyperlink"/>
            <w:sz w:val="26"/>
            <w:szCs w:val="26"/>
          </w:rPr>
          <w:t>https://www.ferc.gov/ferc-online/etariff</w:t>
        </w:r>
      </w:hyperlink>
      <w:r w:rsidRPr="001A7291" w:rsidR="00B90974">
        <w:rPr>
          <w:sz w:val="26"/>
          <w:szCs w:val="26"/>
        </w:rPr>
        <w:t>.</w:t>
      </w:r>
    </w:p>
    <w:p w:rsidR="00FB2BC3" w:rsidRPr="00F714D7" w:rsidP="00042ECE" w14:paraId="1385B7F4" w14:textId="77777777">
      <w:pPr>
        <w:rPr>
          <w:sz w:val="26"/>
          <w:szCs w:val="26"/>
        </w:rPr>
      </w:pPr>
    </w:p>
    <w:p w:rsidR="009D6B6D" w:rsidRPr="0091662C" w:rsidP="005240A1" w14:paraId="0E702588" w14:textId="7BD1EC28">
      <w:pPr>
        <w:pStyle w:val="FERCparanumber"/>
        <w:numPr>
          <w:ilvl w:val="0"/>
          <w:numId w:val="7"/>
        </w:numPr>
        <w:rPr>
          <w:szCs w:val="26"/>
        </w:rPr>
      </w:pPr>
      <w:r w:rsidRPr="00F714D7">
        <w:rPr>
          <w:b/>
          <w:szCs w:val="26"/>
        </w:rPr>
        <w:t>DESCRIBE EFFORTS TO IDENTIFY DUPLICAT</w:t>
      </w:r>
      <w:r w:rsidRPr="00F714D7" w:rsidR="004927EF">
        <w:rPr>
          <w:b/>
          <w:szCs w:val="26"/>
        </w:rPr>
        <w:t>I</w:t>
      </w:r>
      <w:r w:rsidRPr="00F714D7">
        <w:rPr>
          <w:b/>
          <w:szCs w:val="26"/>
        </w:rPr>
        <w:t>ON AND SHOW SPECIFICALLY WHY ANY SIMILAR INFORMATION ALREADY AVAILABLE CANNOT BE USED OR MODIFIED FOR USE FOR THE PURPOSE(S) DESCRIBED IN INSTRUCTION NO. 2</w:t>
      </w:r>
    </w:p>
    <w:p w:rsidR="00BD4039" w:rsidRPr="0091662C" w:rsidP="00BD4039" w14:paraId="7F5C95B0" w14:textId="77777777">
      <w:pPr>
        <w:pStyle w:val="FERCparanumber"/>
        <w:numPr>
          <w:ilvl w:val="0"/>
          <w:numId w:val="0"/>
        </w:numPr>
        <w:rPr>
          <w:b/>
          <w:szCs w:val="26"/>
        </w:rPr>
      </w:pPr>
    </w:p>
    <w:p w:rsidR="00BD4039" w:rsidRPr="0091662C" w:rsidP="000541E0" w14:paraId="44C363AB" w14:textId="0410CA4D">
      <w:pPr>
        <w:rPr>
          <w:sz w:val="26"/>
          <w:szCs w:val="26"/>
        </w:rPr>
      </w:pPr>
      <w:r w:rsidRPr="0091662C">
        <w:rPr>
          <w:sz w:val="26"/>
          <w:szCs w:val="26"/>
        </w:rPr>
        <w:t xml:space="preserve">FERC rules and data requirements are periodically reviewed in conjunction with OMB clearance expiration dates.  This includes a review of </w:t>
      </w:r>
      <w:r w:rsidRPr="0091662C" w:rsidR="00AC35A0">
        <w:rPr>
          <w:sz w:val="26"/>
          <w:szCs w:val="26"/>
        </w:rPr>
        <w:t>the Commission’s</w:t>
      </w:r>
      <w:r w:rsidRPr="0091662C" w:rsidR="00D43059">
        <w:rPr>
          <w:sz w:val="26"/>
          <w:szCs w:val="26"/>
        </w:rPr>
        <w:t xml:space="preserve"> </w:t>
      </w:r>
      <w:r w:rsidRPr="0091662C">
        <w:rPr>
          <w:sz w:val="26"/>
          <w:szCs w:val="26"/>
        </w:rPr>
        <w:t>regulations and data requirements to identify duplication.  The information to be submitted, generated, retained, or posted, pursuant to th</w:t>
      </w:r>
      <w:r w:rsidRPr="0091662C" w:rsidR="00640E45">
        <w:rPr>
          <w:sz w:val="26"/>
          <w:szCs w:val="26"/>
        </w:rPr>
        <w:t>e final rule</w:t>
      </w:r>
      <w:r w:rsidRPr="0091662C">
        <w:rPr>
          <w:sz w:val="26"/>
          <w:szCs w:val="26"/>
        </w:rPr>
        <w:t xml:space="preserve"> is not available from other sources</w:t>
      </w:r>
      <w:r w:rsidRPr="0091662C" w:rsidR="008060D2">
        <w:rPr>
          <w:sz w:val="26"/>
          <w:szCs w:val="26"/>
        </w:rPr>
        <w:t xml:space="preserve">. </w:t>
      </w:r>
    </w:p>
    <w:p w:rsidR="008060D2" w:rsidRPr="0091662C" w:rsidP="00BD4039" w14:paraId="01E02908" w14:textId="77777777">
      <w:pPr>
        <w:pStyle w:val="FERCparanumber"/>
        <w:numPr>
          <w:ilvl w:val="0"/>
          <w:numId w:val="0"/>
        </w:numPr>
        <w:rPr>
          <w:szCs w:val="26"/>
        </w:rPr>
      </w:pPr>
    </w:p>
    <w:p w:rsidR="009D6B6D" w:rsidRPr="0091662C" w:rsidP="005240A1" w14:paraId="16D376F5" w14:textId="77777777">
      <w:pPr>
        <w:pStyle w:val="FERCparanumber"/>
        <w:numPr>
          <w:ilvl w:val="0"/>
          <w:numId w:val="7"/>
        </w:numPr>
        <w:rPr>
          <w:szCs w:val="26"/>
        </w:rPr>
      </w:pPr>
      <w:r w:rsidRPr="0091662C">
        <w:rPr>
          <w:b/>
          <w:szCs w:val="26"/>
        </w:rPr>
        <w:t>METHODS USED TO MINIMIZE BURDEN IN COLLECTION OF INFORMATION INVOLVING SMALL ENTITIES</w:t>
      </w:r>
      <w:r w:rsidRPr="0091662C">
        <w:rPr>
          <w:szCs w:val="26"/>
        </w:rPr>
        <w:t xml:space="preserve"> </w:t>
      </w:r>
    </w:p>
    <w:p w:rsidR="00D43059" w:rsidRPr="0091662C" w:rsidP="00F37BCE" w14:paraId="1B29DA3E" w14:textId="77777777">
      <w:pPr>
        <w:rPr>
          <w:sz w:val="26"/>
          <w:szCs w:val="26"/>
        </w:rPr>
      </w:pPr>
    </w:p>
    <w:p w:rsidR="008060D2" w:rsidRPr="0091662C" w:rsidP="00942D0F" w14:paraId="6A972740" w14:textId="0FE5B980">
      <w:pPr>
        <w:rPr>
          <w:sz w:val="26"/>
          <w:szCs w:val="26"/>
        </w:rPr>
      </w:pPr>
      <w:r w:rsidRPr="0091662C">
        <w:rPr>
          <w:sz w:val="26"/>
          <w:szCs w:val="26"/>
        </w:rPr>
        <w:t>Under the Small Business Administration’s classification</w:t>
      </w:r>
      <w:r w:rsidRPr="0091662C" w:rsidR="00E547F4">
        <w:rPr>
          <w:sz w:val="26"/>
          <w:szCs w:val="26"/>
        </w:rPr>
        <w:t>,</w:t>
      </w:r>
      <w:r>
        <w:rPr>
          <w:rStyle w:val="FootnoteReference"/>
          <w:sz w:val="26"/>
          <w:szCs w:val="26"/>
        </w:rPr>
        <w:footnoteReference w:id="4"/>
      </w:r>
      <w:r w:rsidRPr="001A7291">
        <w:rPr>
          <w:sz w:val="26"/>
          <w:szCs w:val="26"/>
        </w:rPr>
        <w:t xml:space="preserve"> the six RTOs/ISOs would be considered electric bulk power transmission and control, for which the small business size threshold is 500 or fewer employees.  </w:t>
      </w:r>
      <w:r w:rsidRPr="001A7291" w:rsidR="00B12FD6">
        <w:rPr>
          <w:sz w:val="26"/>
          <w:szCs w:val="26"/>
        </w:rPr>
        <w:t>Because each RTO/ISO has more than 500 employees, none are considered small entities.</w:t>
      </w:r>
      <w:r w:rsidRPr="00F714D7" w:rsidR="00942D0F">
        <w:rPr>
          <w:sz w:val="26"/>
          <w:szCs w:val="26"/>
        </w:rPr>
        <w:t xml:space="preserve">  The Commission estimated that </w:t>
      </w:r>
      <w:r w:rsidR="00133AB1">
        <w:rPr>
          <w:sz w:val="26"/>
          <w:szCs w:val="26"/>
        </w:rPr>
        <w:t>289</w:t>
      </w:r>
      <w:r w:rsidRPr="00F714D7" w:rsidR="00942D0F">
        <w:rPr>
          <w:sz w:val="26"/>
          <w:szCs w:val="26"/>
        </w:rPr>
        <w:t xml:space="preserve"> transmission owners and six planning authorities are also affected by this final rule and that approximately 68% of those entities are small entities affected by the final rule.</w:t>
      </w:r>
    </w:p>
    <w:p w:rsidR="005240A1" w:rsidRPr="0091662C" w:rsidP="000541E0" w14:paraId="2329B0A1" w14:textId="77777777">
      <w:pPr>
        <w:pStyle w:val="FERCparanumber"/>
        <w:numPr>
          <w:ilvl w:val="0"/>
          <w:numId w:val="0"/>
        </w:numPr>
        <w:tabs>
          <w:tab w:val="num" w:pos="0"/>
        </w:tabs>
        <w:jc w:val="center"/>
        <w:rPr>
          <w:szCs w:val="26"/>
        </w:rPr>
      </w:pPr>
    </w:p>
    <w:p w:rsidR="009D6B6D" w:rsidRPr="0091662C" w:rsidP="005240A1" w14:paraId="1169CF0E" w14:textId="77777777">
      <w:pPr>
        <w:pStyle w:val="FERCparanumber"/>
        <w:numPr>
          <w:ilvl w:val="0"/>
          <w:numId w:val="7"/>
        </w:numPr>
        <w:rPr>
          <w:szCs w:val="26"/>
        </w:rPr>
      </w:pPr>
      <w:r w:rsidRPr="0091662C">
        <w:rPr>
          <w:b/>
          <w:szCs w:val="26"/>
        </w:rPr>
        <w:t>CONSEQUENCE TO FEDERAL PROGRAM IF COLLECTION WERE CONDUCTED LESS FREQUENTLY</w:t>
      </w:r>
    </w:p>
    <w:p w:rsidR="00BB6095" w:rsidRPr="0091662C" w:rsidP="00BB6095" w14:paraId="23391944" w14:textId="77777777">
      <w:pPr>
        <w:pStyle w:val="FERCparanumber"/>
        <w:numPr>
          <w:ilvl w:val="0"/>
          <w:numId w:val="0"/>
        </w:numPr>
        <w:rPr>
          <w:b/>
          <w:szCs w:val="26"/>
        </w:rPr>
      </w:pPr>
    </w:p>
    <w:p w:rsidR="00042ECE" w:rsidRPr="0091662C" w:rsidP="00042ECE" w14:paraId="621621A2" w14:textId="5DB29B21">
      <w:pPr>
        <w:rPr>
          <w:sz w:val="26"/>
          <w:szCs w:val="26"/>
        </w:rPr>
      </w:pPr>
      <w:r w:rsidRPr="0091662C">
        <w:rPr>
          <w:sz w:val="26"/>
          <w:szCs w:val="26"/>
        </w:rPr>
        <w:t>The Commission</w:t>
      </w:r>
      <w:r w:rsidRPr="0091662C" w:rsidR="00F37BCE">
        <w:rPr>
          <w:sz w:val="26"/>
          <w:szCs w:val="26"/>
        </w:rPr>
        <w:t xml:space="preserve"> requires this information in order to perform its mandated oversight and review responsibilities with respect to electric market-based rates being just and reasonable.  Without this information, the Commission would be unable to meet its statutory responsibility under Section 20</w:t>
      </w:r>
      <w:r w:rsidRPr="0091662C">
        <w:rPr>
          <w:sz w:val="26"/>
          <w:szCs w:val="26"/>
        </w:rPr>
        <w:t>6</w:t>
      </w:r>
      <w:r w:rsidRPr="0091662C" w:rsidR="00F37BCE">
        <w:rPr>
          <w:sz w:val="26"/>
          <w:szCs w:val="26"/>
        </w:rPr>
        <w:t xml:space="preserve"> of the FPA to ensure </w:t>
      </w:r>
      <w:r w:rsidRPr="0091662C">
        <w:rPr>
          <w:sz w:val="26"/>
          <w:szCs w:val="26"/>
        </w:rPr>
        <w:t xml:space="preserve">that </w:t>
      </w:r>
      <w:r w:rsidRPr="0091662C" w:rsidR="00F37BCE">
        <w:rPr>
          <w:sz w:val="26"/>
          <w:szCs w:val="26"/>
        </w:rPr>
        <w:t xml:space="preserve">electric utility rates and tariffs are </w:t>
      </w:r>
      <w:r w:rsidRPr="0091662C">
        <w:rPr>
          <w:sz w:val="26"/>
          <w:szCs w:val="26"/>
        </w:rPr>
        <w:t>not un</w:t>
      </w:r>
      <w:r w:rsidRPr="0091662C" w:rsidR="00F37BCE">
        <w:rPr>
          <w:sz w:val="26"/>
          <w:szCs w:val="26"/>
        </w:rPr>
        <w:t>just</w:t>
      </w:r>
      <w:r w:rsidRPr="0091662C">
        <w:rPr>
          <w:sz w:val="26"/>
          <w:szCs w:val="26"/>
        </w:rPr>
        <w:t>,</w:t>
      </w:r>
      <w:r w:rsidRPr="0091662C" w:rsidR="00F37BCE">
        <w:rPr>
          <w:sz w:val="26"/>
          <w:szCs w:val="26"/>
        </w:rPr>
        <w:t xml:space="preserve"> </w:t>
      </w:r>
      <w:r w:rsidRPr="0091662C">
        <w:rPr>
          <w:sz w:val="26"/>
          <w:szCs w:val="26"/>
        </w:rPr>
        <w:t>un</w:t>
      </w:r>
      <w:r w:rsidRPr="0091662C" w:rsidR="00F37BCE">
        <w:rPr>
          <w:sz w:val="26"/>
          <w:szCs w:val="26"/>
        </w:rPr>
        <w:t>reasonable</w:t>
      </w:r>
      <w:r w:rsidRPr="0091662C">
        <w:rPr>
          <w:sz w:val="26"/>
          <w:szCs w:val="26"/>
        </w:rPr>
        <w:t>, or unduly discriminatory or preferential</w:t>
      </w:r>
      <w:r w:rsidRPr="0091662C" w:rsidR="00F37BCE">
        <w:rPr>
          <w:sz w:val="26"/>
          <w:szCs w:val="26"/>
        </w:rPr>
        <w:t>.  Failing to meet this responsibility could result in public utilities charging rates that are not just and reasonable</w:t>
      </w:r>
      <w:r w:rsidRPr="0091662C">
        <w:rPr>
          <w:sz w:val="26"/>
          <w:szCs w:val="26"/>
        </w:rPr>
        <w:t xml:space="preserve">.  </w:t>
      </w:r>
    </w:p>
    <w:p w:rsidR="00BB6095" w:rsidRPr="0091662C" w:rsidP="00BB6095" w14:paraId="4F0A656F" w14:textId="77777777">
      <w:pPr>
        <w:pStyle w:val="FERCparanumber"/>
        <w:numPr>
          <w:ilvl w:val="0"/>
          <w:numId w:val="0"/>
        </w:numPr>
        <w:rPr>
          <w:szCs w:val="26"/>
        </w:rPr>
      </w:pPr>
    </w:p>
    <w:p w:rsidR="00BB6095" w:rsidRPr="0091662C" w:rsidP="005240A1" w14:paraId="5CE22EF6" w14:textId="77777777">
      <w:pPr>
        <w:pStyle w:val="FERCparanumber"/>
        <w:numPr>
          <w:ilvl w:val="0"/>
          <w:numId w:val="7"/>
        </w:numPr>
        <w:rPr>
          <w:szCs w:val="26"/>
        </w:rPr>
      </w:pPr>
      <w:r w:rsidRPr="0091662C">
        <w:rPr>
          <w:b/>
          <w:szCs w:val="26"/>
        </w:rPr>
        <w:t>EXPLAIN ANY SPECIAL CIRCUMSTANCES RELATING TO THE INFORMATION</w:t>
      </w:r>
    </w:p>
    <w:p w:rsidR="00BB6095" w:rsidRPr="0091662C" w:rsidP="00BB6095" w14:paraId="6C3072D3" w14:textId="77777777">
      <w:pPr>
        <w:pStyle w:val="FERCparanumber"/>
        <w:numPr>
          <w:ilvl w:val="0"/>
          <w:numId w:val="0"/>
        </w:numPr>
        <w:rPr>
          <w:b/>
          <w:szCs w:val="26"/>
        </w:rPr>
      </w:pPr>
    </w:p>
    <w:p w:rsidR="00BB6095" w:rsidRPr="0091662C" w:rsidP="004D4C7B" w14:paraId="19B1F23B" w14:textId="79644114">
      <w:pPr>
        <w:rPr>
          <w:sz w:val="26"/>
          <w:szCs w:val="26"/>
        </w:rPr>
      </w:pPr>
      <w:r w:rsidRPr="0091662C">
        <w:rPr>
          <w:sz w:val="26"/>
          <w:szCs w:val="26"/>
        </w:rPr>
        <w:t>There are no special circumstances relating to this information collection</w:t>
      </w:r>
      <w:r w:rsidRPr="0091662C" w:rsidR="000541E0">
        <w:rPr>
          <w:sz w:val="26"/>
          <w:szCs w:val="26"/>
        </w:rPr>
        <w:t>.</w:t>
      </w:r>
      <w:r w:rsidRPr="0091662C">
        <w:rPr>
          <w:sz w:val="26"/>
          <w:szCs w:val="26"/>
        </w:rPr>
        <w:t xml:space="preserve"> </w:t>
      </w:r>
    </w:p>
    <w:p w:rsidR="00BB6095" w:rsidRPr="0091662C" w:rsidP="00BB6095" w14:paraId="5AA6725C" w14:textId="77777777">
      <w:pPr>
        <w:pStyle w:val="FERCparanumber"/>
        <w:numPr>
          <w:ilvl w:val="0"/>
          <w:numId w:val="0"/>
        </w:numPr>
        <w:rPr>
          <w:szCs w:val="26"/>
        </w:rPr>
      </w:pPr>
    </w:p>
    <w:p w:rsidR="00BB6095" w:rsidRPr="0091662C" w:rsidP="007D42B3" w14:paraId="08534C89" w14:textId="6E6D8627">
      <w:pPr>
        <w:pStyle w:val="FERCparanumber"/>
        <w:numPr>
          <w:ilvl w:val="0"/>
          <w:numId w:val="7"/>
        </w:numPr>
        <w:rPr>
          <w:szCs w:val="26"/>
        </w:rPr>
      </w:pPr>
      <w:r w:rsidRPr="0091662C">
        <w:rPr>
          <w:b/>
          <w:szCs w:val="26"/>
        </w:rPr>
        <w:t>DESCRIBE EFFORTS TO CONSULT OUTSIDE THE AGENCY: SUMMARIZE PUBLIC COMMENTS AND THE AGENCY’S RESPONSE TO THESE COMMENTS</w:t>
      </w:r>
    </w:p>
    <w:p w:rsidR="0014259A" w:rsidRPr="0091662C" w:rsidP="0014259A" w14:paraId="7AC08984" w14:textId="4478108D">
      <w:pPr>
        <w:pStyle w:val="FERCparanumber"/>
        <w:numPr>
          <w:ilvl w:val="0"/>
          <w:numId w:val="0"/>
        </w:numPr>
        <w:ind w:left="72"/>
        <w:rPr>
          <w:bCs/>
          <w:szCs w:val="26"/>
        </w:rPr>
      </w:pPr>
    </w:p>
    <w:p w:rsidR="00E72A4B" w:rsidRPr="0091662C" w:rsidP="009D5CB2" w14:paraId="08A53F67" w14:textId="33CDF478">
      <w:pPr>
        <w:pStyle w:val="FERCparanumber"/>
        <w:numPr>
          <w:ilvl w:val="0"/>
          <w:numId w:val="0"/>
        </w:numPr>
        <w:ind w:left="72"/>
        <w:rPr>
          <w:szCs w:val="26"/>
        </w:rPr>
      </w:pPr>
      <w:r>
        <w:rPr>
          <w:szCs w:val="26"/>
        </w:rPr>
        <w:t xml:space="preserve">The 60-day notice published on September 28, 2023 (88 FR 66834) with comments received.  The 30-day was published on December 7, 2023 (88 FR 85284) and no comments are anticipated. </w:t>
      </w:r>
    </w:p>
    <w:p w:rsidR="004D0562" w:rsidRPr="0091662C" w:rsidP="00BB6095" w14:paraId="1E957E11" w14:textId="77777777">
      <w:pPr>
        <w:rPr>
          <w:sz w:val="26"/>
          <w:szCs w:val="26"/>
        </w:rPr>
      </w:pPr>
    </w:p>
    <w:p w:rsidR="009D6B6D" w:rsidRPr="0091662C" w:rsidP="0014259A" w14:paraId="091A69F9" w14:textId="552F80CD">
      <w:pPr>
        <w:pStyle w:val="ListParagraph"/>
        <w:numPr>
          <w:ilvl w:val="0"/>
          <w:numId w:val="7"/>
        </w:numPr>
        <w:rPr>
          <w:rFonts w:ascii="Times New Roman" w:hAnsi="Times New Roman"/>
          <w:sz w:val="26"/>
          <w:szCs w:val="26"/>
        </w:rPr>
      </w:pPr>
      <w:r w:rsidRPr="0091662C">
        <w:rPr>
          <w:rFonts w:ascii="Times New Roman" w:hAnsi="Times New Roman"/>
          <w:b/>
          <w:sz w:val="26"/>
          <w:szCs w:val="26"/>
        </w:rPr>
        <w:t>EXPLAIN ANY PAYMENT OR GIFTS TO RESPONDENTS</w:t>
      </w:r>
    </w:p>
    <w:p w:rsidR="00BB6095" w:rsidRPr="0091662C" w:rsidP="00BB6095" w14:paraId="200271A7" w14:textId="71510E46">
      <w:pPr>
        <w:pStyle w:val="FERCparanumber"/>
        <w:numPr>
          <w:ilvl w:val="0"/>
          <w:numId w:val="0"/>
        </w:numPr>
        <w:rPr>
          <w:szCs w:val="26"/>
        </w:rPr>
      </w:pPr>
      <w:r w:rsidRPr="0091662C">
        <w:rPr>
          <w:szCs w:val="26"/>
        </w:rPr>
        <w:t xml:space="preserve">There are no payments or gifts to respondents </w:t>
      </w:r>
      <w:r w:rsidRPr="0091662C" w:rsidR="007B025D">
        <w:rPr>
          <w:szCs w:val="26"/>
        </w:rPr>
        <w:t>of</w:t>
      </w:r>
      <w:r w:rsidRPr="0091662C">
        <w:rPr>
          <w:szCs w:val="26"/>
        </w:rPr>
        <w:t xml:space="preserve"> this collection.</w:t>
      </w:r>
    </w:p>
    <w:p w:rsidR="001C0D4B" w:rsidRPr="0091662C" w:rsidP="00BB6095" w14:paraId="4D9D9A9A" w14:textId="77777777">
      <w:pPr>
        <w:pStyle w:val="FERCparanumber"/>
        <w:numPr>
          <w:ilvl w:val="0"/>
          <w:numId w:val="0"/>
        </w:numPr>
        <w:rPr>
          <w:szCs w:val="26"/>
        </w:rPr>
      </w:pPr>
    </w:p>
    <w:p w:rsidR="009D6B6D" w:rsidRPr="0091662C" w:rsidP="001D2EC1" w14:paraId="18CEDA1A" w14:textId="77777777">
      <w:pPr>
        <w:pStyle w:val="FERCparanumber"/>
        <w:numPr>
          <w:ilvl w:val="0"/>
          <w:numId w:val="7"/>
        </w:numPr>
        <w:rPr>
          <w:szCs w:val="26"/>
        </w:rPr>
      </w:pPr>
      <w:r w:rsidRPr="0091662C">
        <w:rPr>
          <w:b/>
          <w:szCs w:val="26"/>
        </w:rPr>
        <w:t>DESCRIBE ANY ASSURANCE OF CONFIDENTIALITY PROVIDED TO RESPONDENTS</w:t>
      </w:r>
    </w:p>
    <w:p w:rsidR="00BB6095" w:rsidRPr="0091662C" w:rsidP="00BB6095" w14:paraId="5291E765" w14:textId="77777777">
      <w:pPr>
        <w:pStyle w:val="FERCparanumber"/>
        <w:numPr>
          <w:ilvl w:val="0"/>
          <w:numId w:val="0"/>
        </w:numPr>
        <w:rPr>
          <w:b/>
          <w:szCs w:val="26"/>
        </w:rPr>
      </w:pPr>
    </w:p>
    <w:p w:rsidR="009049AF" w:rsidRPr="0091662C" w:rsidP="000541E0" w14:paraId="48E36C9E" w14:textId="5EC80AF9">
      <w:pPr>
        <w:rPr>
          <w:sz w:val="26"/>
          <w:szCs w:val="26"/>
        </w:rPr>
      </w:pPr>
      <w:r w:rsidRPr="0091662C">
        <w:rPr>
          <w:sz w:val="26"/>
          <w:szCs w:val="26"/>
        </w:rPr>
        <w:t xml:space="preserve">The Commission does not consider the information collected in </w:t>
      </w:r>
      <w:r w:rsidRPr="0091662C" w:rsidR="003151DF">
        <w:rPr>
          <w:sz w:val="26"/>
          <w:szCs w:val="26"/>
        </w:rPr>
        <w:t>FERC-516H</w:t>
      </w:r>
      <w:r w:rsidRPr="0091662C">
        <w:rPr>
          <w:sz w:val="26"/>
          <w:szCs w:val="26"/>
        </w:rPr>
        <w:t xml:space="preserve"> filings to be confidential</w:t>
      </w:r>
      <w:r w:rsidRPr="0091662C" w:rsidR="00371943">
        <w:rPr>
          <w:sz w:val="26"/>
          <w:szCs w:val="26"/>
        </w:rPr>
        <w:t>.</w:t>
      </w:r>
      <w:r w:rsidRPr="0091662C" w:rsidR="00C51340">
        <w:rPr>
          <w:sz w:val="26"/>
          <w:szCs w:val="26"/>
        </w:rPr>
        <w:t xml:space="preserve">  </w:t>
      </w:r>
      <w:r w:rsidRPr="0091662C" w:rsidR="004428FB">
        <w:rPr>
          <w:sz w:val="26"/>
          <w:szCs w:val="26"/>
        </w:rPr>
        <w:t xml:space="preserve">However, </w:t>
      </w:r>
      <w:r w:rsidRPr="0091662C">
        <w:rPr>
          <w:sz w:val="26"/>
          <w:szCs w:val="26"/>
        </w:rPr>
        <w:t xml:space="preserve">an entity </w:t>
      </w:r>
      <w:r w:rsidRPr="0091662C" w:rsidR="004428FB">
        <w:rPr>
          <w:sz w:val="26"/>
          <w:szCs w:val="26"/>
        </w:rPr>
        <w:t xml:space="preserve">that </w:t>
      </w:r>
      <w:r w:rsidRPr="0091662C">
        <w:rPr>
          <w:sz w:val="26"/>
          <w:szCs w:val="26"/>
        </w:rPr>
        <w:t>chooses to seek confidential treatment of the information</w:t>
      </w:r>
      <w:r w:rsidRPr="0091662C" w:rsidR="004428FB">
        <w:rPr>
          <w:sz w:val="26"/>
          <w:szCs w:val="26"/>
        </w:rPr>
        <w:t xml:space="preserve"> m</w:t>
      </w:r>
      <w:r w:rsidRPr="0091662C" w:rsidR="00C51340">
        <w:rPr>
          <w:sz w:val="26"/>
          <w:szCs w:val="26"/>
        </w:rPr>
        <w:t xml:space="preserve">ay </w:t>
      </w:r>
      <w:r w:rsidRPr="0091662C">
        <w:rPr>
          <w:sz w:val="26"/>
          <w:szCs w:val="26"/>
        </w:rPr>
        <w:t>submit a request for the Commission to treat this information as confidential and non-public, consistent with 18 CFR 388.112.</w:t>
      </w:r>
    </w:p>
    <w:p w:rsidR="00BB6095" w:rsidRPr="0091662C" w:rsidP="00BB6095" w14:paraId="7FB64A9E" w14:textId="77777777">
      <w:pPr>
        <w:pStyle w:val="FERCparanumber"/>
        <w:numPr>
          <w:ilvl w:val="0"/>
          <w:numId w:val="0"/>
        </w:numPr>
        <w:rPr>
          <w:szCs w:val="26"/>
        </w:rPr>
      </w:pPr>
    </w:p>
    <w:p w:rsidR="009D6B6D" w:rsidRPr="0091662C" w:rsidP="001D2EC1" w14:paraId="0F599F44" w14:textId="6387DEE9">
      <w:pPr>
        <w:pStyle w:val="FERCparanumber"/>
        <w:numPr>
          <w:ilvl w:val="0"/>
          <w:numId w:val="7"/>
        </w:numPr>
        <w:rPr>
          <w:szCs w:val="26"/>
        </w:rPr>
      </w:pPr>
      <w:r w:rsidRPr="0091662C">
        <w:rPr>
          <w:b/>
          <w:szCs w:val="26"/>
        </w:rPr>
        <w:t>PROVIDE ADDITIONAL JUSTIFICATION FOR ANY QUESTIONS OF A SENSITIVE NATURE</w:t>
      </w:r>
      <w:r w:rsidRPr="0091662C" w:rsidR="00860C58">
        <w:rPr>
          <w:b/>
          <w:szCs w:val="26"/>
        </w:rPr>
        <w:t>, SUCH AS SEXUAL BEHAVIOR AND ATTITUDES, RELIGIOUS BELIEFS, AND OTHER MATTERS THAT ARE COMMONLY CONSIDERED PRIVATE</w:t>
      </w:r>
    </w:p>
    <w:p w:rsidR="00BB6095" w:rsidRPr="0091662C" w:rsidP="00BB6095" w14:paraId="7C3F9D96" w14:textId="77777777">
      <w:pPr>
        <w:pStyle w:val="FERCparanumber"/>
        <w:numPr>
          <w:ilvl w:val="0"/>
          <w:numId w:val="0"/>
        </w:numPr>
        <w:rPr>
          <w:b/>
          <w:szCs w:val="26"/>
        </w:rPr>
      </w:pPr>
    </w:p>
    <w:p w:rsidR="00BB6095" w:rsidRPr="0091662C" w:rsidP="00BB6095" w14:paraId="2F8D71F0" w14:textId="77777777">
      <w:pPr>
        <w:widowControl/>
        <w:rPr>
          <w:b/>
          <w:sz w:val="26"/>
          <w:szCs w:val="26"/>
        </w:rPr>
      </w:pPr>
      <w:r w:rsidRPr="0091662C">
        <w:rPr>
          <w:sz w:val="26"/>
          <w:szCs w:val="26"/>
        </w:rPr>
        <w:t xml:space="preserve">There are no questions of a sensitive nature associated with the reporting requirements.  </w:t>
      </w:r>
    </w:p>
    <w:p w:rsidR="00BB6095" w:rsidRPr="0091662C" w:rsidP="00BB6095" w14:paraId="6058D422" w14:textId="77777777">
      <w:pPr>
        <w:pStyle w:val="FERCparanumber"/>
        <w:numPr>
          <w:ilvl w:val="0"/>
          <w:numId w:val="0"/>
        </w:numPr>
        <w:rPr>
          <w:szCs w:val="26"/>
        </w:rPr>
      </w:pPr>
    </w:p>
    <w:p w:rsidR="008027C6" w:rsidRPr="00DE5D12" w:rsidP="00444834" w14:paraId="4F61B26A" w14:textId="1EAF33E5">
      <w:pPr>
        <w:pStyle w:val="FERCparanumber"/>
        <w:numPr>
          <w:ilvl w:val="0"/>
          <w:numId w:val="7"/>
        </w:numPr>
        <w:rPr>
          <w:szCs w:val="26"/>
        </w:rPr>
      </w:pPr>
      <w:r w:rsidRPr="0091662C">
        <w:rPr>
          <w:b/>
          <w:szCs w:val="26"/>
        </w:rPr>
        <w:t>ESTIMATED BURDEN COLLECTION OF INFORMATION</w:t>
      </w:r>
    </w:p>
    <w:p w:rsidR="008377E2" w:rsidRPr="00B515B6" w:rsidP="00FA6521" w14:paraId="29BA1B90" w14:textId="77777777"/>
    <w:p w:rsidR="007C2808" w:rsidRPr="001A7291" w:rsidP="006B05DE" w14:paraId="13EEE2FC" w14:textId="54232F00">
      <w:pPr>
        <w:rPr>
          <w:sz w:val="26"/>
          <w:szCs w:val="26"/>
        </w:rPr>
      </w:pPr>
      <w:r w:rsidRPr="0091662C">
        <w:rPr>
          <w:sz w:val="26"/>
          <w:szCs w:val="26"/>
        </w:rPr>
        <w:t>The Commission estimates that the final rule will affect the burden</w:t>
      </w:r>
      <w:r>
        <w:rPr>
          <w:b/>
          <w:sz w:val="26"/>
          <w:szCs w:val="26"/>
          <w:vertAlign w:val="superscript"/>
        </w:rPr>
        <w:footnoteReference w:id="5"/>
      </w:r>
      <w:r w:rsidRPr="001A7291">
        <w:rPr>
          <w:sz w:val="26"/>
          <w:szCs w:val="26"/>
        </w:rPr>
        <w:t xml:space="preserve"> and cost of FERC-516H as follows:</w:t>
      </w:r>
    </w:p>
    <w:p w:rsidR="003C4E53" w:rsidRPr="00F714D7" w:rsidP="006B05DE" w14:paraId="417A5662" w14:textId="77777777">
      <w:pPr>
        <w:rPr>
          <w:sz w:val="26"/>
          <w:szCs w:val="26"/>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7"/>
        <w:gridCol w:w="1676"/>
        <w:gridCol w:w="1704"/>
        <w:gridCol w:w="1474"/>
        <w:gridCol w:w="1396"/>
        <w:gridCol w:w="1878"/>
      </w:tblGrid>
      <w:tr w14:paraId="41808389" w14:textId="77777777" w:rsidTr="00835AFA">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040"/>
          <w:tblHeader/>
        </w:trPr>
        <w:tc>
          <w:tcPr>
            <w:tcW w:w="0" w:type="auto"/>
            <w:shd w:val="clear" w:color="auto" w:fill="D9D9D9"/>
            <w:vAlign w:val="bottom"/>
          </w:tcPr>
          <w:p w:rsidR="003E4B15" w:rsidRPr="003E4B15" w:rsidP="003E4B15" w14:paraId="28BA2AC3" w14:textId="77777777">
            <w:pPr>
              <w:spacing w:line="480" w:lineRule="auto"/>
              <w:jc w:val="center"/>
              <w:rPr>
                <w:b/>
                <w:bCs/>
                <w:sz w:val="26"/>
                <w:szCs w:val="26"/>
              </w:rPr>
            </w:pPr>
            <w:r w:rsidRPr="003E4B15">
              <w:rPr>
                <w:b/>
                <w:bCs/>
                <w:sz w:val="26"/>
                <w:szCs w:val="26"/>
              </w:rPr>
              <w:t>A.</w:t>
            </w:r>
          </w:p>
          <w:p w:rsidR="003E4B15" w:rsidRPr="003E4B15" w:rsidP="003E4B15" w14:paraId="090734FD" w14:textId="77777777">
            <w:pPr>
              <w:spacing w:line="480" w:lineRule="auto"/>
              <w:jc w:val="center"/>
              <w:rPr>
                <w:b/>
                <w:bCs/>
                <w:sz w:val="26"/>
                <w:szCs w:val="26"/>
              </w:rPr>
            </w:pPr>
            <w:r w:rsidRPr="003E4B15">
              <w:rPr>
                <w:b/>
                <w:bCs/>
                <w:sz w:val="26"/>
                <w:szCs w:val="26"/>
              </w:rPr>
              <w:t>Area of Modification</w:t>
            </w:r>
          </w:p>
        </w:tc>
        <w:tc>
          <w:tcPr>
            <w:tcW w:w="0" w:type="auto"/>
            <w:shd w:val="clear" w:color="auto" w:fill="D9D9D9"/>
            <w:vAlign w:val="bottom"/>
          </w:tcPr>
          <w:p w:rsidR="003E4B15" w:rsidRPr="003E4B15" w:rsidP="003E4B15" w14:paraId="74887F96" w14:textId="77777777">
            <w:pPr>
              <w:spacing w:line="480" w:lineRule="auto"/>
              <w:jc w:val="center"/>
              <w:rPr>
                <w:b/>
                <w:bCs/>
                <w:sz w:val="26"/>
                <w:szCs w:val="26"/>
              </w:rPr>
            </w:pPr>
            <w:r w:rsidRPr="003E4B15">
              <w:rPr>
                <w:b/>
                <w:bCs/>
                <w:sz w:val="26"/>
                <w:szCs w:val="26"/>
              </w:rPr>
              <w:t>B.</w:t>
            </w:r>
          </w:p>
          <w:p w:rsidR="003E4B15" w:rsidRPr="003E4B15" w:rsidP="003E4B15" w14:paraId="339387BE" w14:textId="77777777">
            <w:pPr>
              <w:spacing w:line="480" w:lineRule="auto"/>
              <w:jc w:val="center"/>
              <w:rPr>
                <w:b/>
                <w:bCs/>
                <w:sz w:val="26"/>
                <w:szCs w:val="26"/>
              </w:rPr>
            </w:pPr>
            <w:r w:rsidRPr="003E4B15">
              <w:rPr>
                <w:b/>
                <w:bCs/>
                <w:sz w:val="26"/>
                <w:szCs w:val="26"/>
              </w:rPr>
              <w:t>Number of Respondents</w:t>
            </w:r>
          </w:p>
          <w:p w:rsidR="003E4B15" w:rsidRPr="003E4B15" w:rsidP="003E4B15" w14:paraId="3DCB4D61" w14:textId="77777777">
            <w:pPr>
              <w:spacing w:line="480" w:lineRule="auto"/>
              <w:jc w:val="center"/>
              <w:rPr>
                <w:b/>
                <w:bCs/>
                <w:sz w:val="26"/>
                <w:szCs w:val="26"/>
              </w:rPr>
            </w:pPr>
          </w:p>
        </w:tc>
        <w:tc>
          <w:tcPr>
            <w:tcW w:w="0" w:type="auto"/>
            <w:shd w:val="clear" w:color="auto" w:fill="D9D9D9"/>
            <w:vAlign w:val="bottom"/>
          </w:tcPr>
          <w:p w:rsidR="003E4B15" w:rsidRPr="003E4B15" w:rsidP="003E4B15" w14:paraId="3B645569" w14:textId="77777777">
            <w:pPr>
              <w:spacing w:line="480" w:lineRule="auto"/>
              <w:jc w:val="center"/>
              <w:rPr>
                <w:b/>
                <w:bCs/>
                <w:sz w:val="26"/>
                <w:szCs w:val="26"/>
              </w:rPr>
            </w:pPr>
            <w:r w:rsidRPr="003E4B15">
              <w:rPr>
                <w:b/>
                <w:bCs/>
                <w:sz w:val="26"/>
                <w:szCs w:val="26"/>
              </w:rPr>
              <w:t>C.</w:t>
            </w:r>
          </w:p>
          <w:p w:rsidR="003E4B15" w:rsidRPr="003E4B15" w:rsidP="003E4B15" w14:paraId="132D6873" w14:textId="77777777">
            <w:pPr>
              <w:spacing w:line="480" w:lineRule="auto"/>
              <w:jc w:val="center"/>
              <w:rPr>
                <w:b/>
                <w:bCs/>
                <w:sz w:val="26"/>
                <w:szCs w:val="26"/>
              </w:rPr>
            </w:pPr>
            <w:r w:rsidRPr="003E4B15">
              <w:rPr>
                <w:b/>
                <w:bCs/>
                <w:sz w:val="26"/>
                <w:szCs w:val="26"/>
              </w:rPr>
              <w:t>Annual Estimated Number of Responses per Respondent</w:t>
            </w:r>
          </w:p>
        </w:tc>
        <w:tc>
          <w:tcPr>
            <w:tcW w:w="0" w:type="auto"/>
            <w:shd w:val="clear" w:color="auto" w:fill="D9D9D9"/>
            <w:vAlign w:val="bottom"/>
          </w:tcPr>
          <w:p w:rsidR="003E4B15" w:rsidRPr="003E4B15" w:rsidP="003E4B15" w14:paraId="500CCC4F" w14:textId="77777777">
            <w:pPr>
              <w:spacing w:line="480" w:lineRule="auto"/>
              <w:jc w:val="center"/>
              <w:rPr>
                <w:b/>
                <w:bCs/>
                <w:sz w:val="26"/>
                <w:szCs w:val="26"/>
              </w:rPr>
            </w:pPr>
            <w:r w:rsidRPr="003E4B15">
              <w:rPr>
                <w:b/>
                <w:bCs/>
                <w:sz w:val="26"/>
                <w:szCs w:val="26"/>
              </w:rPr>
              <w:t>D.</w:t>
            </w:r>
          </w:p>
          <w:p w:rsidR="003E4B15" w:rsidRPr="003E4B15" w:rsidP="003E4B15" w14:paraId="1606C5F3" w14:textId="77777777">
            <w:pPr>
              <w:spacing w:line="480" w:lineRule="auto"/>
              <w:jc w:val="center"/>
              <w:rPr>
                <w:b/>
                <w:bCs/>
                <w:sz w:val="26"/>
                <w:szCs w:val="26"/>
              </w:rPr>
            </w:pPr>
            <w:r w:rsidRPr="003E4B15">
              <w:rPr>
                <w:b/>
                <w:bCs/>
                <w:sz w:val="26"/>
                <w:szCs w:val="26"/>
              </w:rPr>
              <w:t>Annual Estimated Number of Responses</w:t>
            </w:r>
          </w:p>
          <w:p w:rsidR="003E4B15" w:rsidRPr="003E4B15" w:rsidP="003E4B15" w14:paraId="1CE4A730" w14:textId="77777777">
            <w:pPr>
              <w:spacing w:line="480" w:lineRule="auto"/>
              <w:jc w:val="center"/>
              <w:rPr>
                <w:b/>
                <w:bCs/>
                <w:sz w:val="26"/>
                <w:szCs w:val="26"/>
              </w:rPr>
            </w:pPr>
            <w:r w:rsidRPr="003E4B15">
              <w:rPr>
                <w:b/>
                <w:bCs/>
                <w:sz w:val="26"/>
                <w:szCs w:val="26"/>
              </w:rPr>
              <w:t>(Column B X Column C)</w:t>
            </w:r>
          </w:p>
        </w:tc>
        <w:tc>
          <w:tcPr>
            <w:tcW w:w="0" w:type="auto"/>
            <w:shd w:val="clear" w:color="auto" w:fill="D9D9D9"/>
            <w:vAlign w:val="bottom"/>
          </w:tcPr>
          <w:p w:rsidR="003E4B15" w:rsidRPr="003E4B15" w:rsidP="003E4B15" w14:paraId="0AEEA0DA" w14:textId="77777777">
            <w:pPr>
              <w:spacing w:line="480" w:lineRule="auto"/>
              <w:jc w:val="center"/>
              <w:rPr>
                <w:b/>
                <w:bCs/>
                <w:sz w:val="26"/>
                <w:szCs w:val="26"/>
              </w:rPr>
            </w:pPr>
            <w:r w:rsidRPr="003E4B15">
              <w:rPr>
                <w:b/>
                <w:bCs/>
                <w:sz w:val="26"/>
                <w:szCs w:val="26"/>
              </w:rPr>
              <w:t>E.</w:t>
            </w:r>
          </w:p>
          <w:p w:rsidR="003E4B15" w:rsidRPr="003E4B15" w:rsidP="003E4B15" w14:paraId="7F9D7873" w14:textId="77777777">
            <w:pPr>
              <w:spacing w:line="480" w:lineRule="auto"/>
              <w:jc w:val="center"/>
              <w:rPr>
                <w:b/>
                <w:bCs/>
                <w:sz w:val="26"/>
                <w:szCs w:val="26"/>
              </w:rPr>
            </w:pPr>
            <w:r w:rsidRPr="003E4B15">
              <w:rPr>
                <w:b/>
                <w:bCs/>
                <w:sz w:val="26"/>
                <w:szCs w:val="26"/>
              </w:rPr>
              <w:t>Average Burden Hours &amp; Cost</w:t>
            </w:r>
            <w:r>
              <w:rPr>
                <w:b/>
                <w:bCs/>
                <w:sz w:val="26"/>
                <w:szCs w:val="26"/>
                <w:vertAlign w:val="superscript"/>
              </w:rPr>
              <w:footnoteReference w:id="6"/>
            </w:r>
            <w:r w:rsidRPr="003E4B15">
              <w:rPr>
                <w:b/>
                <w:bCs/>
                <w:sz w:val="26"/>
                <w:szCs w:val="26"/>
              </w:rPr>
              <w:t xml:space="preserve"> per Response</w:t>
            </w:r>
          </w:p>
        </w:tc>
        <w:tc>
          <w:tcPr>
            <w:tcW w:w="1878" w:type="dxa"/>
            <w:shd w:val="clear" w:color="auto" w:fill="D9D9D9"/>
            <w:vAlign w:val="bottom"/>
          </w:tcPr>
          <w:p w:rsidR="003E4B15" w:rsidRPr="003E4B15" w:rsidP="003E4B15" w14:paraId="5722C8E4" w14:textId="77777777">
            <w:pPr>
              <w:spacing w:line="480" w:lineRule="auto"/>
              <w:jc w:val="center"/>
              <w:rPr>
                <w:b/>
                <w:bCs/>
                <w:sz w:val="26"/>
                <w:szCs w:val="26"/>
              </w:rPr>
            </w:pPr>
            <w:r w:rsidRPr="003E4B15">
              <w:rPr>
                <w:b/>
                <w:bCs/>
                <w:sz w:val="26"/>
                <w:szCs w:val="26"/>
              </w:rPr>
              <w:t>F.</w:t>
            </w:r>
          </w:p>
          <w:p w:rsidR="003E4B15" w:rsidRPr="003E4B15" w:rsidP="003E4B15" w14:paraId="6C81A911" w14:textId="77777777">
            <w:pPr>
              <w:spacing w:line="480" w:lineRule="auto"/>
              <w:jc w:val="center"/>
              <w:rPr>
                <w:b/>
                <w:bCs/>
                <w:sz w:val="26"/>
                <w:szCs w:val="26"/>
              </w:rPr>
            </w:pPr>
            <w:r w:rsidRPr="003E4B15">
              <w:rPr>
                <w:b/>
                <w:bCs/>
                <w:sz w:val="26"/>
                <w:szCs w:val="26"/>
              </w:rPr>
              <w:t>Total Estimated Burden Hours &amp; Total Estimated Cost</w:t>
            </w:r>
          </w:p>
          <w:p w:rsidR="003E4B15" w:rsidRPr="003E4B15" w:rsidP="003E4B15" w14:paraId="453FF400" w14:textId="77777777">
            <w:pPr>
              <w:spacing w:line="480" w:lineRule="auto"/>
              <w:jc w:val="center"/>
              <w:rPr>
                <w:b/>
                <w:bCs/>
                <w:sz w:val="26"/>
                <w:szCs w:val="26"/>
              </w:rPr>
            </w:pPr>
            <w:r w:rsidRPr="003E4B15">
              <w:rPr>
                <w:b/>
                <w:bCs/>
                <w:sz w:val="26"/>
                <w:szCs w:val="26"/>
              </w:rPr>
              <w:t>(Column D x Column E)</w:t>
            </w:r>
          </w:p>
        </w:tc>
      </w:tr>
      <w:tr w14:paraId="73EF855F" w14:textId="77777777" w:rsidTr="00835AFA">
        <w:tblPrEx>
          <w:tblW w:w="9805" w:type="dxa"/>
          <w:tblLook w:val="04A0"/>
        </w:tblPrEx>
        <w:trPr>
          <w:cantSplit/>
          <w:trHeight w:val="197"/>
        </w:trPr>
        <w:tc>
          <w:tcPr>
            <w:tcW w:w="9805" w:type="dxa"/>
            <w:gridSpan w:val="6"/>
            <w:shd w:val="clear" w:color="auto" w:fill="D9D9D9"/>
          </w:tcPr>
          <w:p w:rsidR="003E4B15" w:rsidRPr="003E4B15" w:rsidP="003E4B15" w14:paraId="7A42E8F2" w14:textId="77777777">
            <w:pPr>
              <w:spacing w:line="480" w:lineRule="auto"/>
              <w:rPr>
                <w:b/>
                <w:bCs/>
                <w:sz w:val="26"/>
                <w:szCs w:val="26"/>
              </w:rPr>
            </w:pPr>
            <w:r w:rsidRPr="003E4B15">
              <w:rPr>
                <w:b/>
                <w:bCs/>
                <w:sz w:val="26"/>
                <w:szCs w:val="26"/>
              </w:rPr>
              <w:t>FERC-516H  (Control No. 1902-0303)</w:t>
            </w:r>
          </w:p>
        </w:tc>
      </w:tr>
      <w:tr w14:paraId="17383F43" w14:textId="77777777" w:rsidTr="00477BB3">
        <w:tblPrEx>
          <w:tblW w:w="9805" w:type="dxa"/>
          <w:tblLook w:val="04A0"/>
        </w:tblPrEx>
        <w:trPr>
          <w:cantSplit/>
          <w:trHeight w:val="1277"/>
        </w:trPr>
        <w:tc>
          <w:tcPr>
            <w:tcW w:w="0" w:type="auto"/>
          </w:tcPr>
          <w:p w:rsidR="003E4B15" w:rsidRPr="003E4B15" w:rsidP="00477BB3" w14:paraId="12FF5C38" w14:textId="0EF7AB77">
            <w:pPr>
              <w:jc w:val="center"/>
              <w:rPr>
                <w:sz w:val="26"/>
                <w:szCs w:val="26"/>
              </w:rPr>
            </w:pPr>
            <w:r w:rsidRPr="003E4B15">
              <w:rPr>
                <w:sz w:val="26"/>
                <w:szCs w:val="26"/>
              </w:rPr>
              <w:t>Transmission owners</w:t>
            </w:r>
            <w:r>
              <w:rPr>
                <w:b/>
                <w:sz w:val="26"/>
                <w:szCs w:val="26"/>
                <w:vertAlign w:val="superscript"/>
              </w:rPr>
              <w:footnoteReference w:id="7"/>
            </w:r>
          </w:p>
        </w:tc>
        <w:tc>
          <w:tcPr>
            <w:tcW w:w="0" w:type="auto"/>
            <w:vAlign w:val="bottom"/>
          </w:tcPr>
          <w:p w:rsidR="003E4B15" w:rsidRPr="003E4B15" w:rsidP="003E4B15" w14:paraId="69817FB2" w14:textId="77777777">
            <w:pPr>
              <w:spacing w:line="480" w:lineRule="auto"/>
              <w:jc w:val="right"/>
              <w:rPr>
                <w:sz w:val="26"/>
                <w:szCs w:val="26"/>
              </w:rPr>
            </w:pPr>
            <w:r w:rsidRPr="003E4B15">
              <w:rPr>
                <w:sz w:val="26"/>
                <w:szCs w:val="26"/>
              </w:rPr>
              <w:t>289 (TOs)</w:t>
            </w:r>
          </w:p>
        </w:tc>
        <w:tc>
          <w:tcPr>
            <w:tcW w:w="0" w:type="auto"/>
            <w:vAlign w:val="bottom"/>
          </w:tcPr>
          <w:p w:rsidR="003E4B15" w:rsidRPr="003E4B15" w:rsidP="003E4B15" w14:paraId="280CC813" w14:textId="77777777">
            <w:pPr>
              <w:spacing w:line="480" w:lineRule="auto"/>
              <w:jc w:val="right"/>
              <w:rPr>
                <w:sz w:val="26"/>
                <w:szCs w:val="26"/>
              </w:rPr>
            </w:pPr>
            <w:r w:rsidRPr="003E4B15">
              <w:rPr>
                <w:sz w:val="26"/>
                <w:szCs w:val="26"/>
              </w:rPr>
              <w:t>1</w:t>
            </w:r>
          </w:p>
        </w:tc>
        <w:tc>
          <w:tcPr>
            <w:tcW w:w="0" w:type="auto"/>
            <w:vAlign w:val="bottom"/>
          </w:tcPr>
          <w:p w:rsidR="003E4B15" w:rsidRPr="003E4B15" w:rsidP="003E4B15" w14:paraId="0D6456C6" w14:textId="77777777">
            <w:pPr>
              <w:spacing w:line="480" w:lineRule="auto"/>
              <w:jc w:val="right"/>
              <w:rPr>
                <w:sz w:val="26"/>
                <w:szCs w:val="26"/>
              </w:rPr>
            </w:pPr>
            <w:r w:rsidRPr="003E4B15">
              <w:rPr>
                <w:sz w:val="26"/>
                <w:szCs w:val="26"/>
              </w:rPr>
              <w:t>289</w:t>
            </w:r>
          </w:p>
        </w:tc>
        <w:tc>
          <w:tcPr>
            <w:tcW w:w="0" w:type="auto"/>
            <w:vAlign w:val="bottom"/>
          </w:tcPr>
          <w:p w:rsidR="003E4B15" w:rsidRPr="003E4B15" w:rsidP="003E4B15" w14:paraId="5D61A38C" w14:textId="77777777">
            <w:pPr>
              <w:spacing w:line="480" w:lineRule="auto"/>
              <w:jc w:val="right"/>
              <w:rPr>
                <w:sz w:val="26"/>
                <w:szCs w:val="26"/>
              </w:rPr>
            </w:pPr>
            <w:r w:rsidRPr="003E4B15">
              <w:rPr>
                <w:sz w:val="26"/>
                <w:szCs w:val="26"/>
              </w:rPr>
              <w:t xml:space="preserve">176 hrs.; </w:t>
            </w:r>
          </w:p>
          <w:p w:rsidR="003E4B15" w:rsidRPr="003E4B15" w:rsidP="003E4B15" w14:paraId="05CC25DA" w14:textId="77777777">
            <w:pPr>
              <w:spacing w:line="480" w:lineRule="auto"/>
              <w:jc w:val="right"/>
              <w:rPr>
                <w:sz w:val="26"/>
                <w:szCs w:val="26"/>
              </w:rPr>
            </w:pPr>
            <w:r w:rsidRPr="003E4B15">
              <w:rPr>
                <w:sz w:val="26"/>
                <w:szCs w:val="26"/>
              </w:rPr>
              <w:t>$16,192</w:t>
            </w:r>
          </w:p>
        </w:tc>
        <w:tc>
          <w:tcPr>
            <w:tcW w:w="1878" w:type="dxa"/>
            <w:vAlign w:val="bottom"/>
          </w:tcPr>
          <w:p w:rsidR="003E4B15" w:rsidRPr="003E4B15" w:rsidP="003E4B15" w14:paraId="03D4D692" w14:textId="77777777">
            <w:pPr>
              <w:spacing w:line="480" w:lineRule="auto"/>
              <w:jc w:val="right"/>
              <w:rPr>
                <w:sz w:val="26"/>
                <w:szCs w:val="26"/>
              </w:rPr>
            </w:pPr>
            <w:r w:rsidRPr="003E4B15">
              <w:rPr>
                <w:sz w:val="26"/>
                <w:szCs w:val="26"/>
              </w:rPr>
              <w:t>50,864 hrs.; $4,679,488</w:t>
            </w:r>
          </w:p>
        </w:tc>
      </w:tr>
    </w:tbl>
    <w:p w:rsidR="0091662C" w:rsidP="0091662C" w14:paraId="5D971D26" w14:textId="7F14835F">
      <w:pPr>
        <w:pStyle w:val="FERCparanumber"/>
        <w:numPr>
          <w:ilvl w:val="0"/>
          <w:numId w:val="0"/>
        </w:numPr>
        <w:ind w:left="72"/>
        <w:rPr>
          <w:b/>
          <w:szCs w:val="26"/>
        </w:rPr>
      </w:pPr>
    </w:p>
    <w:p w:rsidR="009D6B6D" w:rsidRPr="001A7291" w:rsidP="0091662C" w14:paraId="13BF2A57" w14:textId="3716C1C5">
      <w:pPr>
        <w:pStyle w:val="FERCparanumber"/>
        <w:numPr>
          <w:ilvl w:val="0"/>
          <w:numId w:val="7"/>
        </w:numPr>
        <w:rPr>
          <w:szCs w:val="26"/>
        </w:rPr>
      </w:pPr>
      <w:r w:rsidRPr="001A7291">
        <w:rPr>
          <w:b/>
          <w:szCs w:val="26"/>
        </w:rPr>
        <w:t>ESTIMATE OF THE TOTAL ANNUAL COST BURDEN TO RESPONDENTS</w:t>
      </w:r>
    </w:p>
    <w:p w:rsidR="00EF40FF" w:rsidRPr="00F714D7" w:rsidP="00EF40FF" w14:paraId="27C816AF" w14:textId="77777777">
      <w:pPr>
        <w:pStyle w:val="FERCparanumber"/>
        <w:numPr>
          <w:ilvl w:val="0"/>
          <w:numId w:val="0"/>
        </w:numPr>
        <w:rPr>
          <w:b/>
          <w:szCs w:val="26"/>
        </w:rPr>
      </w:pPr>
    </w:p>
    <w:p w:rsidR="003712E9" w:rsidRPr="0091662C" w:rsidP="0009613C" w14:paraId="23C283D8" w14:textId="5CA03CF4">
      <w:pPr>
        <w:widowControl/>
        <w:rPr>
          <w:sz w:val="26"/>
          <w:szCs w:val="26"/>
        </w:rPr>
      </w:pPr>
      <w:r w:rsidRPr="00F714D7">
        <w:rPr>
          <w:sz w:val="26"/>
          <w:szCs w:val="26"/>
        </w:rPr>
        <w:t>There are no non-labor</w:t>
      </w:r>
      <w:r w:rsidRPr="00F714D7" w:rsidR="00E44C3D">
        <w:rPr>
          <w:sz w:val="26"/>
          <w:szCs w:val="26"/>
        </w:rPr>
        <w:t xml:space="preserve"> or</w:t>
      </w:r>
      <w:r w:rsidRPr="00F714D7">
        <w:rPr>
          <w:sz w:val="26"/>
          <w:szCs w:val="26"/>
        </w:rPr>
        <w:t xml:space="preserve"> </w:t>
      </w:r>
      <w:r w:rsidRPr="0091662C" w:rsidR="00A83498">
        <w:rPr>
          <w:sz w:val="26"/>
          <w:szCs w:val="26"/>
        </w:rPr>
        <w:t xml:space="preserve">PRA-related </w:t>
      </w:r>
      <w:r w:rsidRPr="0091662C">
        <w:rPr>
          <w:sz w:val="26"/>
          <w:szCs w:val="26"/>
        </w:rPr>
        <w:t xml:space="preserve">costs. </w:t>
      </w:r>
      <w:r w:rsidRPr="0091662C" w:rsidR="00E44C3D">
        <w:rPr>
          <w:sz w:val="26"/>
          <w:szCs w:val="26"/>
        </w:rPr>
        <w:t xml:space="preserve"> </w:t>
      </w:r>
      <w:r w:rsidRPr="0091662C">
        <w:rPr>
          <w:sz w:val="26"/>
          <w:szCs w:val="26"/>
        </w:rPr>
        <w:t>All costs are related to burden hours and are addressed in Questions #12 and #15.</w:t>
      </w:r>
    </w:p>
    <w:p w:rsidR="00EF40FF" w:rsidRPr="00E6769C" w:rsidP="00EF40FF" w14:paraId="237DA0EC" w14:textId="77777777">
      <w:pPr>
        <w:pStyle w:val="FERCparanumber"/>
        <w:numPr>
          <w:ilvl w:val="0"/>
          <w:numId w:val="0"/>
        </w:numPr>
        <w:rPr>
          <w:szCs w:val="26"/>
        </w:rPr>
      </w:pPr>
    </w:p>
    <w:p w:rsidR="00EF40FF" w:rsidRPr="001A7291" w:rsidP="001D2EC1" w14:paraId="25934EE2" w14:textId="77777777">
      <w:pPr>
        <w:pStyle w:val="FERCparanumber"/>
        <w:numPr>
          <w:ilvl w:val="0"/>
          <w:numId w:val="7"/>
        </w:numPr>
        <w:rPr>
          <w:b/>
          <w:szCs w:val="26"/>
        </w:rPr>
      </w:pPr>
      <w:r w:rsidRPr="001A7291">
        <w:rPr>
          <w:b/>
          <w:szCs w:val="26"/>
        </w:rPr>
        <w:t>ESTIMATED ANNUALIZED COST TO FEDERAL GOVERNMENT</w:t>
      </w:r>
    </w:p>
    <w:p w:rsidR="00EF40FF" w:rsidRPr="001A7291" w:rsidP="00874F1D" w14:paraId="5BF0DAF9" w14:textId="14D5E081">
      <w:pPr>
        <w:rPr>
          <w:b/>
          <w:sz w:val="26"/>
          <w:szCs w:val="26"/>
        </w:rPr>
      </w:pPr>
    </w:p>
    <w:p w:rsidR="00E33D4D" w:rsidP="00E33D4D" w14:paraId="7123C73D" w14:textId="77777777">
      <w:pPr>
        <w:pStyle w:val="FERCparanumber"/>
        <w:numPr>
          <w:ilvl w:val="0"/>
          <w:numId w:val="0"/>
        </w:numPr>
        <w:jc w:val="center"/>
        <w:rPr>
          <w:b/>
          <w:bCs/>
          <w:szCs w:val="26"/>
        </w:rPr>
      </w:pPr>
      <w:r w:rsidRPr="001A7291">
        <w:rPr>
          <w:b/>
          <w:bCs/>
          <w:szCs w:val="26"/>
        </w:rPr>
        <w:t>Table 1</w:t>
      </w:r>
      <w:r w:rsidR="00861CC4">
        <w:rPr>
          <w:b/>
          <w:bCs/>
          <w:szCs w:val="26"/>
        </w:rPr>
        <w:t>4</w:t>
      </w:r>
    </w:p>
    <w:p w:rsidR="007637CB" w:rsidRPr="001A7291" w:rsidP="00E33D4D" w14:paraId="6C1272FA" w14:textId="13BAE6E3">
      <w:pPr>
        <w:pStyle w:val="FERCparanumber"/>
        <w:numPr>
          <w:ilvl w:val="0"/>
          <w:numId w:val="0"/>
        </w:numPr>
        <w:jc w:val="center"/>
        <w:rPr>
          <w:b/>
          <w:szCs w:val="26"/>
        </w:rPr>
      </w:pPr>
      <w:r w:rsidRPr="001A7291">
        <w:rPr>
          <w:b/>
          <w:bCs/>
          <w:szCs w:val="26"/>
        </w:rPr>
        <w:t>Estimated Annual</w:t>
      </w:r>
      <w:r w:rsidRPr="001A7291" w:rsidR="00744C8E">
        <w:rPr>
          <w:b/>
          <w:bCs/>
          <w:szCs w:val="26"/>
        </w:rPr>
        <w:t xml:space="preserve"> Federal</w:t>
      </w:r>
      <w:r w:rsidRPr="001A7291">
        <w:rPr>
          <w:b/>
          <w:bCs/>
          <w:szCs w:val="26"/>
        </w:rPr>
        <w:t xml:space="preserve"> </w:t>
      </w:r>
      <w:r w:rsidRPr="001A7291" w:rsidR="00744C8E">
        <w:rPr>
          <w:b/>
          <w:bCs/>
          <w:szCs w:val="26"/>
        </w:rPr>
        <w:t xml:space="preserve">Costs </w:t>
      </w:r>
      <w:r w:rsidR="009C41EE">
        <w:rPr>
          <w:b/>
          <w:bCs/>
          <w:szCs w:val="26"/>
        </w:rPr>
        <w:t>for</w:t>
      </w:r>
      <w:r w:rsidRPr="001A7291" w:rsidR="00744C8E">
        <w:rPr>
          <w:b/>
          <w:bCs/>
          <w:szCs w:val="26"/>
        </w:rPr>
        <w:t xml:space="preserve"> FERC-516H</w:t>
      </w:r>
      <w:r w:rsidRPr="001A7291">
        <w:rPr>
          <w:b/>
          <w:bCs/>
          <w:szCs w:val="26"/>
        </w:rPr>
        <w:t xml:space="preserve"> </w:t>
      </w:r>
    </w:p>
    <w:p w:rsidR="007637CB" w:rsidRPr="001A7291" w:rsidP="00874F1D" w14:paraId="7E4870A7" w14:textId="77777777">
      <w:pP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6C55F3AE" w14:textId="77777777" w:rsidTr="0091218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shd w:val="clear" w:color="auto" w:fill="D9D9D9"/>
            <w:vAlign w:val="center"/>
          </w:tcPr>
          <w:p w:rsidR="00EF40FF" w:rsidRPr="001A7291" w:rsidP="0091218B" w14:paraId="420D71F3" w14:textId="7ECC1371">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rsidR="00EF40FF" w:rsidRPr="001A7291" w:rsidP="0091218B" w14:paraId="18D95BE9" w14:textId="03FB7D25">
            <w:pPr>
              <w:pStyle w:val="ListParagraph"/>
              <w:spacing w:after="0" w:line="240" w:lineRule="auto"/>
              <w:ind w:left="0"/>
              <w:jc w:val="center"/>
              <w:rPr>
                <w:rFonts w:ascii="Times New Roman" w:hAnsi="Times New Roman"/>
                <w:b/>
                <w:sz w:val="26"/>
                <w:szCs w:val="26"/>
              </w:rPr>
            </w:pPr>
            <w:r w:rsidRPr="001A7291">
              <w:rPr>
                <w:rFonts w:ascii="Times New Roman" w:hAnsi="Times New Roman"/>
                <w:b/>
                <w:sz w:val="26"/>
                <w:szCs w:val="26"/>
              </w:rPr>
              <w:t>Number of Employees (F</w:t>
            </w:r>
            <w:r w:rsidRPr="001A7291" w:rsidR="001639D1">
              <w:rPr>
                <w:rFonts w:ascii="Times New Roman" w:hAnsi="Times New Roman"/>
                <w:b/>
                <w:sz w:val="26"/>
                <w:szCs w:val="26"/>
              </w:rPr>
              <w:t>ull-</w:t>
            </w:r>
            <w:r w:rsidRPr="001A7291">
              <w:rPr>
                <w:rFonts w:ascii="Times New Roman" w:hAnsi="Times New Roman"/>
                <w:b/>
                <w:sz w:val="26"/>
                <w:szCs w:val="26"/>
              </w:rPr>
              <w:t>T</w:t>
            </w:r>
            <w:r w:rsidRPr="001A7291" w:rsidR="001639D1">
              <w:rPr>
                <w:rFonts w:ascii="Times New Roman" w:hAnsi="Times New Roman"/>
                <w:b/>
                <w:sz w:val="26"/>
                <w:szCs w:val="26"/>
              </w:rPr>
              <w:t xml:space="preserve">ime </w:t>
            </w:r>
            <w:r w:rsidRPr="001A7291">
              <w:rPr>
                <w:rFonts w:ascii="Times New Roman" w:hAnsi="Times New Roman"/>
                <w:b/>
                <w:sz w:val="26"/>
                <w:szCs w:val="26"/>
              </w:rPr>
              <w:t>E</w:t>
            </w:r>
            <w:r w:rsidRPr="001A7291" w:rsidR="001639D1">
              <w:rPr>
                <w:rFonts w:ascii="Times New Roman" w:hAnsi="Times New Roman"/>
                <w:b/>
                <w:sz w:val="26"/>
                <w:szCs w:val="26"/>
              </w:rPr>
              <w:t>quivalents</w:t>
            </w:r>
            <w:r w:rsidRPr="001A7291">
              <w:rPr>
                <w:rFonts w:ascii="Times New Roman" w:hAnsi="Times New Roman"/>
                <w:b/>
                <w:sz w:val="26"/>
                <w:szCs w:val="26"/>
              </w:rPr>
              <w:t>)</w:t>
            </w:r>
          </w:p>
        </w:tc>
        <w:tc>
          <w:tcPr>
            <w:tcW w:w="1617" w:type="pct"/>
            <w:shd w:val="clear" w:color="auto" w:fill="D9D9D9"/>
            <w:vAlign w:val="center"/>
          </w:tcPr>
          <w:p w:rsidR="00EF40FF" w:rsidRPr="001A7291" w:rsidP="0091218B" w14:paraId="65A7AAF2" w14:textId="77777777">
            <w:pPr>
              <w:pStyle w:val="ListParagraph"/>
              <w:spacing w:after="0" w:line="240" w:lineRule="auto"/>
              <w:ind w:left="0"/>
              <w:jc w:val="center"/>
              <w:rPr>
                <w:rFonts w:ascii="Times New Roman" w:hAnsi="Times New Roman"/>
                <w:b/>
                <w:sz w:val="26"/>
                <w:szCs w:val="26"/>
              </w:rPr>
            </w:pPr>
            <w:r w:rsidRPr="001A7291">
              <w:rPr>
                <w:rFonts w:ascii="Times New Roman" w:hAnsi="Times New Roman"/>
                <w:b/>
                <w:sz w:val="26"/>
                <w:szCs w:val="26"/>
              </w:rPr>
              <w:t>Estimated Annual Federal Cost</w:t>
            </w:r>
          </w:p>
        </w:tc>
      </w:tr>
      <w:tr w14:paraId="73366A6A" w14:textId="77777777" w:rsidTr="0091218B">
        <w:tblPrEx>
          <w:tblW w:w="5000" w:type="pct"/>
          <w:tblLook w:val="01E0"/>
        </w:tblPrEx>
        <w:tc>
          <w:tcPr>
            <w:tcW w:w="1756" w:type="pct"/>
            <w:shd w:val="clear" w:color="auto" w:fill="auto"/>
            <w:vAlign w:val="center"/>
          </w:tcPr>
          <w:p w:rsidR="00EF40FF" w:rsidRPr="001A7291" w:rsidP="0091218B" w14:paraId="38725E63" w14:textId="77777777">
            <w:pPr>
              <w:pStyle w:val="ListParagraph"/>
              <w:spacing w:after="0" w:line="240" w:lineRule="auto"/>
              <w:ind w:left="0"/>
              <w:rPr>
                <w:rFonts w:ascii="Times New Roman" w:hAnsi="Times New Roman"/>
                <w:sz w:val="26"/>
                <w:szCs w:val="26"/>
              </w:rPr>
            </w:pPr>
            <w:r w:rsidRPr="001A7291">
              <w:rPr>
                <w:rFonts w:ascii="Times New Roman" w:hAnsi="Times New Roman"/>
                <w:sz w:val="26"/>
                <w:szCs w:val="26"/>
              </w:rPr>
              <w:t>Analysis and Processing of Filings</w:t>
            </w:r>
            <w:r>
              <w:rPr>
                <w:rStyle w:val="FootnoteReference"/>
                <w:rFonts w:ascii="Times New Roman" w:hAnsi="Times New Roman"/>
                <w:sz w:val="26"/>
                <w:szCs w:val="26"/>
              </w:rPr>
              <w:footnoteReference w:id="8"/>
            </w:r>
          </w:p>
        </w:tc>
        <w:tc>
          <w:tcPr>
            <w:tcW w:w="1627" w:type="pct"/>
            <w:shd w:val="clear" w:color="auto" w:fill="auto"/>
            <w:vAlign w:val="center"/>
          </w:tcPr>
          <w:p w:rsidR="00EF40FF" w:rsidRPr="001A7291" w:rsidP="00BD73DD" w14:paraId="169BBF54" w14:textId="04384532">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3.30</w:t>
            </w:r>
          </w:p>
        </w:tc>
        <w:tc>
          <w:tcPr>
            <w:tcW w:w="1617" w:type="pct"/>
            <w:shd w:val="clear" w:color="auto" w:fill="auto"/>
            <w:vAlign w:val="center"/>
          </w:tcPr>
          <w:p w:rsidR="00EF40FF" w:rsidRPr="00F714D7" w:rsidP="0091218B" w14:paraId="7007B84E" w14:textId="08647954">
            <w:pPr>
              <w:pStyle w:val="ListParagraph"/>
              <w:spacing w:after="0" w:line="240" w:lineRule="auto"/>
              <w:ind w:left="0"/>
              <w:jc w:val="right"/>
              <w:rPr>
                <w:rFonts w:ascii="Times New Roman" w:hAnsi="Times New Roman"/>
                <w:sz w:val="26"/>
                <w:szCs w:val="26"/>
              </w:rPr>
            </w:pPr>
            <w:r w:rsidRPr="00F714D7">
              <w:rPr>
                <w:rFonts w:ascii="Times New Roman" w:hAnsi="Times New Roman"/>
                <w:sz w:val="26"/>
                <w:szCs w:val="26"/>
              </w:rPr>
              <w:t>$</w:t>
            </w:r>
            <w:r w:rsidR="009C41EE">
              <w:rPr>
                <w:rFonts w:ascii="Times New Roman" w:hAnsi="Times New Roman"/>
                <w:sz w:val="26"/>
                <w:szCs w:val="26"/>
              </w:rPr>
              <w:t>659,561.10</w:t>
            </w:r>
          </w:p>
        </w:tc>
      </w:tr>
      <w:tr w14:paraId="7009D51E" w14:textId="77777777" w:rsidTr="0091218B">
        <w:tblPrEx>
          <w:tblW w:w="5000" w:type="pct"/>
          <w:tblLook w:val="01E0"/>
        </w:tblPrEx>
        <w:tc>
          <w:tcPr>
            <w:tcW w:w="1756" w:type="pct"/>
            <w:shd w:val="clear" w:color="auto" w:fill="auto"/>
            <w:vAlign w:val="center"/>
          </w:tcPr>
          <w:p w:rsidR="00EF40FF" w:rsidRPr="001A7291" w:rsidP="00195E58" w14:paraId="099D5BDF" w14:textId="6EC46709">
            <w:pPr>
              <w:pStyle w:val="ListParagraph"/>
              <w:spacing w:after="0" w:line="240" w:lineRule="auto"/>
              <w:ind w:left="0"/>
              <w:rPr>
                <w:rFonts w:ascii="Times New Roman" w:hAnsi="Times New Roman"/>
                <w:sz w:val="26"/>
                <w:szCs w:val="26"/>
              </w:rPr>
            </w:pPr>
            <w:r w:rsidRPr="001A7291">
              <w:rPr>
                <w:rFonts w:ascii="Times New Roman" w:hAnsi="Times New Roman"/>
                <w:sz w:val="26"/>
                <w:szCs w:val="26"/>
              </w:rPr>
              <w:t>PRA</w:t>
            </w:r>
            <w:r>
              <w:rPr>
                <w:rStyle w:val="FootnoteReference"/>
                <w:rFonts w:ascii="Times New Roman" w:hAnsi="Times New Roman"/>
                <w:sz w:val="26"/>
                <w:szCs w:val="26"/>
              </w:rPr>
              <w:footnoteReference w:id="9"/>
            </w:r>
            <w:r w:rsidRPr="001A7291">
              <w:rPr>
                <w:rFonts w:ascii="Times New Roman" w:hAnsi="Times New Roman"/>
                <w:sz w:val="26"/>
                <w:szCs w:val="26"/>
              </w:rPr>
              <w:t xml:space="preserve"> Administrative Cost</w:t>
            </w:r>
          </w:p>
        </w:tc>
        <w:tc>
          <w:tcPr>
            <w:tcW w:w="1627" w:type="pct"/>
            <w:shd w:val="clear" w:color="auto" w:fill="D9D9D9"/>
            <w:vAlign w:val="center"/>
          </w:tcPr>
          <w:p w:rsidR="00EF40FF" w:rsidRPr="00F714D7" w:rsidP="0091218B" w14:paraId="74DA3B1F"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F40FF" w:rsidRPr="0091662C" w:rsidP="0091218B" w14:paraId="731B0E8B" w14:textId="4228B4A4">
            <w:pPr>
              <w:pStyle w:val="ListParagraph"/>
              <w:spacing w:after="0" w:line="240" w:lineRule="auto"/>
              <w:ind w:left="0"/>
              <w:jc w:val="right"/>
              <w:rPr>
                <w:rFonts w:ascii="Times New Roman" w:hAnsi="Times New Roman"/>
                <w:sz w:val="26"/>
                <w:szCs w:val="26"/>
              </w:rPr>
            </w:pPr>
            <w:r w:rsidRPr="00F714D7">
              <w:rPr>
                <w:rFonts w:ascii="Times New Roman" w:hAnsi="Times New Roman"/>
                <w:sz w:val="26"/>
                <w:szCs w:val="26"/>
              </w:rPr>
              <w:t>$</w:t>
            </w:r>
            <w:r w:rsidRPr="00F714D7" w:rsidR="009D5CB2">
              <w:rPr>
                <w:rFonts w:ascii="Times New Roman" w:hAnsi="Times New Roman"/>
                <w:sz w:val="26"/>
                <w:szCs w:val="26"/>
              </w:rPr>
              <w:t>8</w:t>
            </w:r>
            <w:r w:rsidRPr="00F714D7" w:rsidR="00DA16D5">
              <w:rPr>
                <w:rFonts w:ascii="Times New Roman" w:hAnsi="Times New Roman"/>
                <w:sz w:val="26"/>
                <w:szCs w:val="26"/>
              </w:rPr>
              <w:t>,</w:t>
            </w:r>
            <w:r w:rsidRPr="0091662C" w:rsidR="009D5CB2">
              <w:rPr>
                <w:rFonts w:ascii="Times New Roman" w:hAnsi="Times New Roman"/>
                <w:sz w:val="26"/>
                <w:szCs w:val="26"/>
              </w:rPr>
              <w:t>2</w:t>
            </w:r>
            <w:r w:rsidR="003E4B15">
              <w:rPr>
                <w:rFonts w:ascii="Times New Roman" w:hAnsi="Times New Roman"/>
                <w:sz w:val="26"/>
                <w:szCs w:val="26"/>
              </w:rPr>
              <w:t>86</w:t>
            </w:r>
            <w:r w:rsidRPr="0091662C" w:rsidR="0094665F">
              <w:rPr>
                <w:rFonts w:ascii="Times New Roman" w:hAnsi="Times New Roman"/>
                <w:sz w:val="26"/>
                <w:szCs w:val="26"/>
              </w:rPr>
              <w:t>.00</w:t>
            </w:r>
          </w:p>
        </w:tc>
      </w:tr>
      <w:tr w14:paraId="0A5B5FA9" w14:textId="77777777" w:rsidTr="0091218B">
        <w:tblPrEx>
          <w:tblW w:w="5000" w:type="pct"/>
          <w:tblLook w:val="01E0"/>
        </w:tblPrEx>
        <w:tc>
          <w:tcPr>
            <w:tcW w:w="1756" w:type="pct"/>
            <w:shd w:val="clear" w:color="auto" w:fill="auto"/>
            <w:vAlign w:val="center"/>
          </w:tcPr>
          <w:p w:rsidR="00EF40FF" w:rsidRPr="001A7291" w:rsidP="0091218B" w14:paraId="4441CC05" w14:textId="6172CF4C">
            <w:pPr>
              <w:pStyle w:val="ListParagraph"/>
              <w:spacing w:after="0" w:line="240" w:lineRule="auto"/>
              <w:ind w:left="0"/>
              <w:rPr>
                <w:rFonts w:ascii="Times New Roman" w:hAnsi="Times New Roman"/>
                <w:sz w:val="26"/>
                <w:szCs w:val="26"/>
              </w:rPr>
            </w:pPr>
            <w:r w:rsidRPr="001A7291">
              <w:rPr>
                <w:rFonts w:ascii="Times New Roman" w:hAnsi="Times New Roman"/>
                <w:sz w:val="26"/>
                <w:szCs w:val="26"/>
              </w:rPr>
              <w:t>Total</w:t>
            </w:r>
            <w:r w:rsidRPr="001A7291" w:rsidR="009B2295">
              <w:rPr>
                <w:rFonts w:ascii="Times New Roman" w:hAnsi="Times New Roman"/>
                <w:sz w:val="26"/>
                <w:szCs w:val="26"/>
              </w:rPr>
              <w:t xml:space="preserve"> Federal Cost</w:t>
            </w:r>
          </w:p>
        </w:tc>
        <w:tc>
          <w:tcPr>
            <w:tcW w:w="1627" w:type="pct"/>
            <w:shd w:val="clear" w:color="auto" w:fill="D9D9D9"/>
            <w:vAlign w:val="center"/>
          </w:tcPr>
          <w:p w:rsidR="00EF40FF" w:rsidRPr="00F714D7" w:rsidP="0091218B" w14:paraId="2B3CB9DA"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F40FF" w:rsidRPr="0091662C" w:rsidP="0091218B" w14:paraId="53B2B876" w14:textId="7C5EFA2D">
            <w:pPr>
              <w:pStyle w:val="ListParagraph"/>
              <w:spacing w:after="0" w:line="240" w:lineRule="auto"/>
              <w:ind w:left="0"/>
              <w:jc w:val="right"/>
              <w:rPr>
                <w:rFonts w:ascii="Times New Roman" w:hAnsi="Times New Roman"/>
                <w:sz w:val="26"/>
                <w:szCs w:val="26"/>
              </w:rPr>
            </w:pPr>
            <w:r w:rsidRPr="00F714D7">
              <w:rPr>
                <w:rFonts w:ascii="Times New Roman" w:hAnsi="Times New Roman"/>
                <w:sz w:val="26"/>
                <w:szCs w:val="26"/>
              </w:rPr>
              <w:t>$6</w:t>
            </w:r>
            <w:r w:rsidR="009C41EE">
              <w:rPr>
                <w:rFonts w:ascii="Times New Roman" w:hAnsi="Times New Roman"/>
                <w:sz w:val="26"/>
                <w:szCs w:val="26"/>
              </w:rPr>
              <w:t>67</w:t>
            </w:r>
            <w:r w:rsidRPr="00F714D7">
              <w:rPr>
                <w:rFonts w:ascii="Times New Roman" w:hAnsi="Times New Roman"/>
                <w:sz w:val="26"/>
                <w:szCs w:val="26"/>
              </w:rPr>
              <w:t>,</w:t>
            </w:r>
            <w:r w:rsidR="009C41EE">
              <w:rPr>
                <w:rFonts w:ascii="Times New Roman" w:hAnsi="Times New Roman"/>
                <w:sz w:val="26"/>
                <w:szCs w:val="26"/>
              </w:rPr>
              <w:t>847</w:t>
            </w:r>
            <w:r w:rsidRPr="00F714D7">
              <w:rPr>
                <w:rFonts w:ascii="Times New Roman" w:hAnsi="Times New Roman"/>
                <w:sz w:val="26"/>
                <w:szCs w:val="26"/>
              </w:rPr>
              <w:t>.</w:t>
            </w:r>
            <w:r w:rsidR="009C41EE">
              <w:rPr>
                <w:rFonts w:ascii="Times New Roman" w:hAnsi="Times New Roman"/>
                <w:sz w:val="26"/>
                <w:szCs w:val="26"/>
              </w:rPr>
              <w:t>10</w:t>
            </w:r>
          </w:p>
        </w:tc>
      </w:tr>
    </w:tbl>
    <w:p w:rsidR="003866AD" w:rsidRPr="001A7291" w:rsidP="00EF40FF" w14:paraId="49B9BB07" w14:textId="77777777">
      <w:pPr>
        <w:pStyle w:val="ListParagraph"/>
        <w:spacing w:after="0" w:line="240" w:lineRule="auto"/>
        <w:rPr>
          <w:rFonts w:ascii="Times New Roman" w:hAnsi="Times New Roman"/>
          <w:b/>
          <w:sz w:val="26"/>
          <w:szCs w:val="26"/>
        </w:rPr>
      </w:pPr>
    </w:p>
    <w:p w:rsidR="00EF40FF" w:rsidRPr="00F714D7" w:rsidP="00EF40FF" w14:paraId="162A5185" w14:textId="2DB4AC9A">
      <w:pPr>
        <w:rPr>
          <w:sz w:val="26"/>
          <w:szCs w:val="26"/>
        </w:rPr>
      </w:pPr>
      <w:r w:rsidRPr="001A7291">
        <w:rPr>
          <w:sz w:val="26"/>
          <w:szCs w:val="26"/>
        </w:rPr>
        <w:t>FERC bases its estimate of the “Analysis and Processing of Filings” cost to the Federal Government on salaries and benefits for professional and clerical support.  This estimated cost represents staff analysis, decision-making, and review of any actual filings</w:t>
      </w:r>
      <w:r w:rsidRPr="00F714D7">
        <w:rPr>
          <w:sz w:val="26"/>
          <w:szCs w:val="26"/>
        </w:rPr>
        <w:t xml:space="preserve"> submitted in response to the information collection.</w:t>
      </w:r>
    </w:p>
    <w:p w:rsidR="00F515BD" w:rsidRPr="00F714D7" w:rsidP="00EF40FF" w14:paraId="074E6704" w14:textId="65D2BA79">
      <w:pPr>
        <w:rPr>
          <w:sz w:val="26"/>
          <w:szCs w:val="26"/>
        </w:rPr>
      </w:pPr>
    </w:p>
    <w:p w:rsidR="00F515BD" w:rsidRPr="0091662C" w:rsidP="00EF40FF" w14:paraId="6048B2BC" w14:textId="76D4E76A">
      <w:pPr>
        <w:rPr>
          <w:sz w:val="26"/>
          <w:szCs w:val="26"/>
        </w:rPr>
      </w:pPr>
      <w:r w:rsidRPr="0091662C">
        <w:rPr>
          <w:sz w:val="26"/>
          <w:szCs w:val="26"/>
        </w:rPr>
        <w:t>The “PRA Administrative Cost” is associated with preparing, issuing, and submitting materials necessary to comply with the Paperwork Reduction Act for rulemakings, orders, or any other vehicle used to create, modify, extend, or discontinue an information collection.  This average annual cost includes requests for extensions, all associated rulemakings and orders, other changes to the collection, and publication of related notices in the Federal Register.</w:t>
      </w:r>
    </w:p>
    <w:p w:rsidR="009D114E" w:rsidRPr="001A7291" w:rsidP="00EF40FF" w14:paraId="1F80CE13" w14:textId="77777777">
      <w:pPr>
        <w:pStyle w:val="FERCparanumber"/>
        <w:numPr>
          <w:ilvl w:val="0"/>
          <w:numId w:val="0"/>
        </w:numPr>
        <w:rPr>
          <w:b/>
          <w:szCs w:val="26"/>
        </w:rPr>
      </w:pPr>
    </w:p>
    <w:p w:rsidR="007B55FC" w:rsidP="007B55FC" w14:paraId="58286A51" w14:textId="39C21D95">
      <w:pPr>
        <w:pStyle w:val="FERCparanumber"/>
        <w:numPr>
          <w:ilvl w:val="0"/>
          <w:numId w:val="7"/>
        </w:numPr>
        <w:rPr>
          <w:b/>
          <w:szCs w:val="26"/>
        </w:rPr>
      </w:pPr>
      <w:r w:rsidRPr="001A7291">
        <w:rPr>
          <w:b/>
          <w:szCs w:val="26"/>
        </w:rPr>
        <w:t>REASONS FOR CHANGES IN BURDEN INCLUDING THE NEED FOR ANY INCREASE</w:t>
      </w:r>
    </w:p>
    <w:p w:rsidR="00746973" w:rsidP="00746973" w14:paraId="099C706D" w14:textId="77777777">
      <w:pPr>
        <w:pStyle w:val="FERCparanumber"/>
        <w:numPr>
          <w:ilvl w:val="0"/>
          <w:numId w:val="0"/>
        </w:numPr>
        <w:ind w:left="72"/>
        <w:rPr>
          <w:b/>
          <w:szCs w:val="26"/>
        </w:rPr>
      </w:pPr>
    </w:p>
    <w:p w:rsidR="00746973" w:rsidRPr="00746973" w:rsidP="00746973" w14:paraId="66F5BBD6" w14:textId="02B0E547">
      <w:pPr>
        <w:pStyle w:val="FERCparanumber"/>
        <w:numPr>
          <w:ilvl w:val="0"/>
          <w:numId w:val="0"/>
        </w:numPr>
        <w:rPr>
          <w:bCs/>
          <w:szCs w:val="26"/>
        </w:rPr>
      </w:pPr>
      <w:r>
        <w:rPr>
          <w:bCs/>
          <w:szCs w:val="26"/>
        </w:rPr>
        <w:t>T</w:t>
      </w:r>
      <w:r w:rsidRPr="00746973">
        <w:rPr>
          <w:bCs/>
          <w:szCs w:val="26"/>
        </w:rPr>
        <w:t>here are no changes to the reporting and recordkeeping requirements</w:t>
      </w:r>
      <w:r>
        <w:rPr>
          <w:bCs/>
          <w:szCs w:val="26"/>
        </w:rPr>
        <w:t xml:space="preserve"> since the last approval.</w:t>
      </w:r>
    </w:p>
    <w:p w:rsidR="007B55FC" w:rsidRPr="00746973" w:rsidP="00E40E46" w14:paraId="07D7C0F0" w14:textId="77777777">
      <w:pPr>
        <w:pStyle w:val="FERCparanumber"/>
        <w:numPr>
          <w:ilvl w:val="0"/>
          <w:numId w:val="0"/>
        </w:numPr>
        <w:rPr>
          <w:bCs/>
          <w:szCs w:val="26"/>
        </w:rPr>
      </w:pPr>
    </w:p>
    <w:p w:rsidR="009D6B6D" w:rsidRPr="00F714D7" w:rsidP="00D43511" w14:paraId="7CD93336" w14:textId="71C5C4C4">
      <w:pPr>
        <w:pStyle w:val="FERCparanumber"/>
        <w:numPr>
          <w:ilvl w:val="0"/>
          <w:numId w:val="7"/>
        </w:numPr>
        <w:rPr>
          <w:b/>
          <w:szCs w:val="26"/>
        </w:rPr>
      </w:pPr>
      <w:r w:rsidRPr="001A7291">
        <w:rPr>
          <w:b/>
          <w:szCs w:val="26"/>
        </w:rPr>
        <w:t>TIME SCHEDULE FOR PUBLICATION OF DATA</w:t>
      </w:r>
    </w:p>
    <w:p w:rsidR="00EF40FF" w:rsidRPr="00F714D7" w:rsidP="00EF40FF" w14:paraId="338E8E30" w14:textId="77777777">
      <w:pPr>
        <w:pStyle w:val="FERCparanumber"/>
        <w:numPr>
          <w:ilvl w:val="0"/>
          <w:numId w:val="0"/>
        </w:numPr>
        <w:rPr>
          <w:b/>
          <w:szCs w:val="26"/>
        </w:rPr>
      </w:pPr>
    </w:p>
    <w:p w:rsidR="00EB21C5" w:rsidRPr="001A7291" w:rsidP="0009613C" w14:paraId="78BC14DE" w14:textId="05232E09">
      <w:pPr>
        <w:widowControl/>
        <w:rPr>
          <w:sz w:val="26"/>
          <w:szCs w:val="26"/>
        </w:rPr>
      </w:pPr>
      <w:r w:rsidRPr="00F714D7">
        <w:rPr>
          <w:sz w:val="26"/>
          <w:szCs w:val="26"/>
        </w:rPr>
        <w:t xml:space="preserve">There </w:t>
      </w:r>
      <w:r w:rsidRPr="0091662C" w:rsidR="003B64DA">
        <w:rPr>
          <w:sz w:val="26"/>
          <w:szCs w:val="26"/>
        </w:rPr>
        <w:t>are</w:t>
      </w:r>
      <w:r w:rsidRPr="0091662C">
        <w:rPr>
          <w:sz w:val="26"/>
          <w:szCs w:val="26"/>
        </w:rPr>
        <w:t xml:space="preserve"> no tabulating</w:t>
      </w:r>
      <w:r w:rsidRPr="0091662C" w:rsidR="00E5030A">
        <w:rPr>
          <w:sz w:val="26"/>
          <w:szCs w:val="26"/>
        </w:rPr>
        <w:t xml:space="preserve"> or</w:t>
      </w:r>
      <w:r w:rsidRPr="0091662C">
        <w:rPr>
          <w:sz w:val="26"/>
          <w:szCs w:val="26"/>
        </w:rPr>
        <w:t xml:space="preserve"> statistical analysis or publication plans for the collection of information.  The data are used for regulatory purposes only</w:t>
      </w:r>
      <w:r w:rsidRPr="00E6769C" w:rsidR="00E5030A">
        <w:rPr>
          <w:sz w:val="26"/>
          <w:szCs w:val="26"/>
        </w:rPr>
        <w:t>.</w:t>
      </w:r>
    </w:p>
    <w:p w:rsidR="0009613C" w:rsidRPr="001A7291" w:rsidP="0009613C" w14:paraId="49B7EF0F" w14:textId="77777777">
      <w:pPr>
        <w:widowControl/>
        <w:rPr>
          <w:sz w:val="26"/>
          <w:szCs w:val="26"/>
        </w:rPr>
      </w:pPr>
    </w:p>
    <w:p w:rsidR="009D6B6D" w:rsidRPr="001A7291" w:rsidP="001D2EC1" w14:paraId="15394295" w14:textId="77777777">
      <w:pPr>
        <w:pStyle w:val="FERCparanumber"/>
        <w:numPr>
          <w:ilvl w:val="0"/>
          <w:numId w:val="7"/>
        </w:numPr>
        <w:rPr>
          <w:b/>
          <w:szCs w:val="26"/>
        </w:rPr>
      </w:pPr>
      <w:r w:rsidRPr="001A7291">
        <w:rPr>
          <w:b/>
          <w:szCs w:val="26"/>
        </w:rPr>
        <w:t>DISPLAY OF EXPIRATION DATE</w:t>
      </w:r>
    </w:p>
    <w:p w:rsidR="00EF40FF" w:rsidRPr="001A7291" w:rsidP="00EF40FF" w14:paraId="50BC026E" w14:textId="77777777">
      <w:pPr>
        <w:pStyle w:val="FERCparanumber"/>
        <w:numPr>
          <w:ilvl w:val="0"/>
          <w:numId w:val="0"/>
        </w:numPr>
        <w:rPr>
          <w:b/>
          <w:szCs w:val="26"/>
        </w:rPr>
      </w:pPr>
    </w:p>
    <w:p w:rsidR="006441AD" w:rsidRPr="001A7291" w:rsidP="006441AD" w14:paraId="587C08CA" w14:textId="78E5D498">
      <w:pPr>
        <w:rPr>
          <w:sz w:val="26"/>
          <w:szCs w:val="26"/>
        </w:rPr>
      </w:pPr>
      <w:r w:rsidRPr="001A7291">
        <w:rPr>
          <w:sz w:val="26"/>
          <w:szCs w:val="26"/>
        </w:rPr>
        <w:t xml:space="preserve">The expiration date is displayed at </w:t>
      </w:r>
      <w:hyperlink r:id="rId10" w:history="1">
        <w:r w:rsidRPr="001A7291">
          <w:rPr>
            <w:rStyle w:val="Hyperlink"/>
            <w:sz w:val="26"/>
            <w:szCs w:val="26"/>
          </w:rPr>
          <w:t>https://www.reginfo.gov/public/do/PRAMain</w:t>
        </w:r>
      </w:hyperlink>
      <w:r w:rsidRPr="001A7291">
        <w:rPr>
          <w:sz w:val="26"/>
          <w:szCs w:val="26"/>
        </w:rPr>
        <w:t>.</w:t>
      </w:r>
    </w:p>
    <w:p w:rsidR="00EF40FF" w:rsidRPr="00F714D7" w:rsidP="00EF40FF" w14:paraId="00403C61" w14:textId="77777777">
      <w:pPr>
        <w:pStyle w:val="FERCparanumber"/>
        <w:numPr>
          <w:ilvl w:val="0"/>
          <w:numId w:val="0"/>
        </w:numPr>
        <w:rPr>
          <w:b/>
          <w:szCs w:val="26"/>
        </w:rPr>
      </w:pPr>
    </w:p>
    <w:p w:rsidR="00EF40FF" w:rsidRPr="00F714D7" w:rsidP="00E138E1" w14:paraId="3B590558" w14:textId="77777777">
      <w:pPr>
        <w:widowControl/>
        <w:numPr>
          <w:ilvl w:val="0"/>
          <w:numId w:val="7"/>
        </w:numPr>
        <w:ind w:hanging="720"/>
        <w:rPr>
          <w:b/>
          <w:sz w:val="26"/>
          <w:szCs w:val="26"/>
        </w:rPr>
      </w:pPr>
      <w:r w:rsidRPr="00F714D7">
        <w:rPr>
          <w:b/>
          <w:sz w:val="26"/>
          <w:szCs w:val="26"/>
        </w:rPr>
        <w:t>EXCEPTIONS TO THE CERTIFICATION STATEMENT</w:t>
      </w:r>
    </w:p>
    <w:p w:rsidR="009D6B6D" w:rsidRPr="00F714D7" w:rsidP="001D2EC1" w14:paraId="612ECBF9" w14:textId="77777777">
      <w:pPr>
        <w:widowControl/>
        <w:ind w:left="720"/>
        <w:rPr>
          <w:b/>
          <w:sz w:val="26"/>
          <w:szCs w:val="26"/>
        </w:rPr>
      </w:pPr>
    </w:p>
    <w:p w:rsidR="0091218B" w:rsidRPr="0091662C" w:rsidP="001D2EC1" w14:paraId="5B53F0DD" w14:textId="37EA97A2">
      <w:pPr>
        <w:widowControl/>
        <w:rPr>
          <w:sz w:val="26"/>
          <w:szCs w:val="26"/>
        </w:rPr>
      </w:pPr>
      <w:r w:rsidRPr="0091662C">
        <w:rPr>
          <w:sz w:val="26"/>
          <w:szCs w:val="26"/>
        </w:rPr>
        <w:t>There are no exceptions.</w:t>
      </w:r>
    </w:p>
    <w:sectPr w:rsidSect="00703122">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19A" w14:paraId="69690493" w14:textId="77777777">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51519A" w14:paraId="7CE168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7F29" w:rsidP="009D6B6D" w14:paraId="1CC1AF59" w14:textId="77777777">
      <w:r>
        <w:separator/>
      </w:r>
    </w:p>
  </w:footnote>
  <w:footnote w:type="continuationSeparator" w:id="1">
    <w:p w:rsidR="00B47F29" w:rsidP="009D6B6D" w14:paraId="76AF26AD" w14:textId="77777777">
      <w:r>
        <w:continuationSeparator/>
      </w:r>
    </w:p>
  </w:footnote>
  <w:footnote w:type="continuationNotice" w:id="2">
    <w:p w:rsidR="00B47F29" w14:paraId="157B4FED" w14:textId="77777777"/>
  </w:footnote>
  <w:footnote w:id="3">
    <w:p w:rsidR="005024D2" w14:paraId="17A115DB" w14:textId="32EC9FC2">
      <w:pPr>
        <w:pStyle w:val="FootnoteText"/>
      </w:pPr>
      <w:r w:rsidRPr="00192839">
        <w:rPr>
          <w:rStyle w:val="FootnoteReference"/>
          <w:sz w:val="26"/>
        </w:rPr>
        <w:footnoteRef/>
      </w:r>
      <w:r w:rsidRPr="00192839">
        <w:rPr>
          <w:sz w:val="26"/>
        </w:rPr>
        <w:t xml:space="preserve"> 16 U.S.C. </w:t>
      </w:r>
      <w:r w:rsidRPr="00192839" w:rsidR="00192839">
        <w:rPr>
          <w:sz w:val="26"/>
        </w:rPr>
        <w:t>824e.</w:t>
      </w:r>
    </w:p>
  </w:footnote>
  <w:footnote w:id="4">
    <w:p w:rsidR="0051519A" w:rsidRPr="005D2056" w14:paraId="560EC395" w14:textId="357C5BD5">
      <w:pPr>
        <w:pStyle w:val="FootnoteText"/>
        <w:rPr>
          <w:sz w:val="26"/>
          <w:szCs w:val="26"/>
        </w:rPr>
      </w:pPr>
      <w:r w:rsidRPr="005D2056">
        <w:rPr>
          <w:rStyle w:val="FootnoteReference"/>
          <w:sz w:val="26"/>
          <w:szCs w:val="26"/>
        </w:rPr>
        <w:footnoteRef/>
      </w:r>
      <w:r w:rsidRPr="005D2056">
        <w:rPr>
          <w:sz w:val="26"/>
          <w:szCs w:val="26"/>
        </w:rPr>
        <w:t xml:space="preserve"> </w:t>
      </w:r>
      <w:r w:rsidRPr="00D41C2B">
        <w:rPr>
          <w:sz w:val="24"/>
          <w:szCs w:val="26"/>
        </w:rPr>
        <w:t>13 CFR 121.201 (</w:t>
      </w:r>
      <w:r w:rsidRPr="00D41C2B" w:rsidR="006A0CA7">
        <w:rPr>
          <w:sz w:val="24"/>
          <w:szCs w:val="26"/>
        </w:rPr>
        <w:t>2020) (</w:t>
      </w:r>
      <w:r w:rsidRPr="00D41C2B">
        <w:rPr>
          <w:sz w:val="24"/>
          <w:szCs w:val="26"/>
        </w:rPr>
        <w:t>Sector 22, Utilities).</w:t>
      </w:r>
    </w:p>
  </w:footnote>
  <w:footnote w:id="5">
    <w:p w:rsidR="00444834" w:rsidRPr="00065637" w:rsidP="00444834" w14:paraId="44C97300" w14:textId="77777777">
      <w:pPr>
        <w:pStyle w:val="FootnoteText"/>
        <w:rPr>
          <w:sz w:val="26"/>
        </w:rPr>
      </w:pPr>
      <w:r w:rsidRPr="007C2808">
        <w:rPr>
          <w:rStyle w:val="FootnoteReference"/>
          <w:sz w:val="26"/>
        </w:rPr>
        <w:footnoteRef/>
      </w:r>
      <w:r w:rsidRPr="00065637">
        <w:rPr>
          <w:sz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6">
    <w:p w:rsidR="003E4B15" w:rsidRPr="00632079" w:rsidP="003E4B15" w14:paraId="63DFA4DC" w14:textId="77777777">
      <w:pPr>
        <w:pStyle w:val="FootnoteText"/>
        <w:rPr>
          <w:sz w:val="26"/>
        </w:rPr>
      </w:pPr>
      <w:r w:rsidRPr="007C2808">
        <w:rPr>
          <w:rStyle w:val="FootnoteReference"/>
        </w:rPr>
        <w:footnoteRef/>
      </w:r>
      <w:r>
        <w:rPr>
          <w:sz w:val="26"/>
        </w:rPr>
        <w:t xml:space="preserve"> </w:t>
      </w:r>
      <w:r w:rsidRPr="00632079">
        <w:rPr>
          <w:sz w:val="26"/>
        </w:rPr>
        <w:t>The hourly cost (for salary plus benefits) uses the figures from the Bureau of Labor Statistics (BLS) for three positions involved in the reporting and recordkeeping requirements.  These figures include salary (based on BLS data for May 2</w:t>
      </w:r>
      <w:r>
        <w:rPr>
          <w:sz w:val="26"/>
        </w:rPr>
        <w:t>023</w:t>
      </w:r>
      <w:r w:rsidRPr="00632079">
        <w:rPr>
          <w:sz w:val="26"/>
        </w:rPr>
        <w:t>, http://bls.gov/oes/current/naics2_22.htm) and benefits (based on BLS data issued March 19, 202</w:t>
      </w:r>
      <w:r>
        <w:rPr>
          <w:sz w:val="26"/>
        </w:rPr>
        <w:t>2</w:t>
      </w:r>
      <w:r w:rsidRPr="00632079">
        <w:rPr>
          <w:sz w:val="26"/>
        </w:rPr>
        <w:t>, http://www.bls.gov/news.release/ecec.nr0.htm) and are Manager (Code 11-0000 $</w:t>
      </w:r>
      <w:r>
        <w:rPr>
          <w:sz w:val="26"/>
        </w:rPr>
        <w:t>106.33</w:t>
      </w:r>
      <w:r w:rsidRPr="00632079">
        <w:rPr>
          <w:sz w:val="26"/>
        </w:rPr>
        <w:t>/hour), Electrical Engineer (Code 17-2071 $7</w:t>
      </w:r>
      <w:r>
        <w:rPr>
          <w:sz w:val="26"/>
        </w:rPr>
        <w:t>7.29</w:t>
      </w:r>
      <w:r w:rsidRPr="00632079">
        <w:rPr>
          <w:sz w:val="26"/>
        </w:rPr>
        <w:t>/hour</w:t>
      </w:r>
      <w:r>
        <w:rPr>
          <w:sz w:val="26"/>
        </w:rPr>
        <w:t>).</w:t>
      </w:r>
      <w:r w:rsidRPr="00632079">
        <w:rPr>
          <w:sz w:val="26"/>
        </w:rPr>
        <w:t xml:space="preserve"> The hourly cost for the reporting requirements ($</w:t>
      </w:r>
      <w:r>
        <w:rPr>
          <w:sz w:val="26"/>
        </w:rPr>
        <w:t>91.81 = $92 rounded</w:t>
      </w:r>
      <w:r w:rsidRPr="00632079">
        <w:rPr>
          <w:sz w:val="26"/>
        </w:rPr>
        <w:t>) is an average of the cost of a manager and engineer</w:t>
      </w:r>
      <w:r>
        <w:rPr>
          <w:sz w:val="26"/>
        </w:rPr>
        <w:t>.</w:t>
      </w:r>
    </w:p>
    <w:p w:rsidR="003E4B15" w:rsidRPr="00065637" w:rsidP="003E4B15" w14:paraId="15C47C9E" w14:textId="77777777">
      <w:pPr>
        <w:pStyle w:val="FootnoteText"/>
        <w:rPr>
          <w:sz w:val="26"/>
        </w:rPr>
      </w:pPr>
    </w:p>
  </w:footnote>
  <w:footnote w:id="7">
    <w:p w:rsidR="003E4B15" w:rsidRPr="001E6BA7" w:rsidP="003E4B15" w14:paraId="2DED7412" w14:textId="77777777">
      <w:pPr>
        <w:pStyle w:val="FootnoteText"/>
        <w:rPr>
          <w:sz w:val="26"/>
          <w:szCs w:val="26"/>
        </w:rPr>
      </w:pPr>
      <w:r>
        <w:rPr>
          <w:rStyle w:val="FootnoteReference"/>
        </w:rPr>
        <w:footnoteRef/>
      </w:r>
      <w:r>
        <w:t xml:space="preserve"> </w:t>
      </w:r>
      <w:r w:rsidRPr="001E6BA7">
        <w:rPr>
          <w:sz w:val="26"/>
          <w:szCs w:val="26"/>
        </w:rPr>
        <w:t>Transmission owners update forecasts and ratings, and share transmission line ratings and facility ratings methodologies w/ transmission providers and, if applicable, RTOs/ ISOs &amp; market monitors</w:t>
      </w:r>
    </w:p>
  </w:footnote>
  <w:footnote w:id="8">
    <w:p w:rsidR="0051519A" w:rsidRPr="00016EE6" w:rsidP="00FB2BC3" w14:paraId="5C7AA698" w14:textId="13612FD4">
      <w:pPr>
        <w:rPr>
          <w:sz w:val="26"/>
          <w:szCs w:val="26"/>
        </w:rPr>
      </w:pPr>
      <w:r w:rsidRPr="00CB19EB">
        <w:rPr>
          <w:rStyle w:val="FootnoteReference"/>
          <w:bCs/>
          <w:sz w:val="26"/>
          <w:szCs w:val="26"/>
        </w:rPr>
        <w:footnoteRef/>
      </w:r>
      <w:r w:rsidRPr="00B96B45">
        <w:rPr>
          <w:b/>
          <w:sz w:val="26"/>
          <w:szCs w:val="26"/>
        </w:rPr>
        <w:t xml:space="preserve"> </w:t>
      </w:r>
      <w:r w:rsidRPr="000E5E99">
        <w:rPr>
          <w:sz w:val="26"/>
          <w:szCs w:val="26"/>
        </w:rPr>
        <w:t xml:space="preserve">Based upon </w:t>
      </w:r>
      <w:r w:rsidRPr="000E5E99" w:rsidR="00D864BB">
        <w:rPr>
          <w:sz w:val="26"/>
          <w:szCs w:val="26"/>
        </w:rPr>
        <w:t xml:space="preserve">FERC’s </w:t>
      </w:r>
      <w:r w:rsidRPr="000E5E99">
        <w:rPr>
          <w:sz w:val="26"/>
          <w:szCs w:val="26"/>
        </w:rPr>
        <w:t>202</w:t>
      </w:r>
      <w:r w:rsidR="009C41EE">
        <w:rPr>
          <w:sz w:val="26"/>
          <w:szCs w:val="26"/>
        </w:rPr>
        <w:t>3</w:t>
      </w:r>
      <w:r w:rsidRPr="000E5E99">
        <w:rPr>
          <w:sz w:val="26"/>
          <w:szCs w:val="26"/>
        </w:rPr>
        <w:t xml:space="preserve"> </w:t>
      </w:r>
      <w:r w:rsidRPr="000E5E99" w:rsidR="00DC3684">
        <w:rPr>
          <w:sz w:val="26"/>
          <w:szCs w:val="26"/>
        </w:rPr>
        <w:t xml:space="preserve">average annual salary plus benefits, i.e., </w:t>
      </w:r>
      <w:r w:rsidRPr="000E5E99" w:rsidR="00D864BB">
        <w:rPr>
          <w:sz w:val="26"/>
          <w:szCs w:val="26"/>
        </w:rPr>
        <w:t>$1</w:t>
      </w:r>
      <w:r w:rsidR="009C41EE">
        <w:rPr>
          <w:sz w:val="26"/>
          <w:szCs w:val="26"/>
        </w:rPr>
        <w:t>99,867</w:t>
      </w:r>
      <w:r w:rsidRPr="000E5E99" w:rsidR="00D864BB">
        <w:rPr>
          <w:sz w:val="26"/>
          <w:szCs w:val="26"/>
        </w:rPr>
        <w:t>.</w:t>
      </w:r>
    </w:p>
  </w:footnote>
  <w:footnote w:id="9">
    <w:p w:rsidR="00A86896" w:rsidRPr="003712E9" w:rsidP="00A86896" w14:paraId="7FB1BF39" w14:textId="66D8C533">
      <w:pPr>
        <w:pStyle w:val="FootnoteText"/>
        <w:rPr>
          <w:sz w:val="24"/>
        </w:rPr>
      </w:pPr>
      <w:r w:rsidRPr="000E5E99">
        <w:rPr>
          <w:rStyle w:val="FootnoteReference"/>
          <w:sz w:val="26"/>
          <w:szCs w:val="26"/>
        </w:rPr>
        <w:footnoteRef/>
      </w:r>
      <w:r w:rsidRPr="000E5E99">
        <w:rPr>
          <w:sz w:val="26"/>
          <w:szCs w:val="26"/>
          <w:vertAlign w:val="superscript"/>
        </w:rPr>
        <w:t xml:space="preserve">  </w:t>
      </w:r>
      <w:r w:rsidRPr="000E5E99">
        <w:rPr>
          <w:sz w:val="26"/>
          <w:szCs w:val="26"/>
        </w:rPr>
        <w:t>“PRA” refers to the Paperwork Reduction Act of 1.</w:t>
      </w:r>
      <w:r>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BAB" w:rsidRPr="00414545" w:rsidP="003E4B15" w14:paraId="1CB2770D" w14:textId="641BCEB1">
    <w:pPr>
      <w:pStyle w:val="Header"/>
      <w:rPr>
        <w:sz w:val="26"/>
        <w:szCs w:val="26"/>
      </w:rPr>
    </w:pPr>
    <w:r w:rsidRPr="00757BB4">
      <w:rPr>
        <w:sz w:val="26"/>
        <w:szCs w:val="26"/>
      </w:rPr>
      <w:t xml:space="preserve">FERC-516H (OMB Control No. </w:t>
    </w:r>
    <w:r>
      <w:rPr>
        <w:sz w:val="26"/>
        <w:szCs w:val="26"/>
      </w:rPr>
      <w:t>1902-0</w:t>
    </w:r>
    <w:r w:rsidR="009F6552">
      <w:rPr>
        <w:sz w:val="26"/>
        <w:szCs w:val="26"/>
      </w:rPr>
      <w:t>303</w:t>
    </w:r>
    <w:r w:rsidR="00994F7B">
      <w:rPr>
        <w:sz w:val="26"/>
        <w:szCs w:val="26"/>
      </w:rPr>
      <w:t>)</w:t>
    </w:r>
  </w:p>
  <w:p w:rsidR="0051519A" w:rsidRPr="003A4C85" w14:paraId="7C8C1321" w14:textId="77777777">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19A" w14:paraId="0B7CE994" w14:textId="77777777">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B71A4"/>
    <w:multiLevelType w:val="hybridMultilevel"/>
    <w:tmpl w:val="1E2E53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00EBE"/>
    <w:multiLevelType w:val="hybridMultilevel"/>
    <w:tmpl w:val="9856B5B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
    <w:nsid w:val="03F629A5"/>
    <w:multiLevelType w:val="hybridMultilevel"/>
    <w:tmpl w:val="896A27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A116E0"/>
    <w:multiLevelType w:val="hybridMultilevel"/>
    <w:tmpl w:val="9508BE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322545"/>
    <w:multiLevelType w:val="hybridMultilevel"/>
    <w:tmpl w:val="0D501B2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896CF2"/>
    <w:multiLevelType w:val="hybridMultilevel"/>
    <w:tmpl w:val="8EFA79A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C12683"/>
    <w:multiLevelType w:val="hybridMultilevel"/>
    <w:tmpl w:val="3B22F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C04E74"/>
    <w:multiLevelType w:val="hybridMultilevel"/>
    <w:tmpl w:val="0B5AD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2F61C5"/>
    <w:multiLevelType w:val="hybridMultilevel"/>
    <w:tmpl w:val="27543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5494A42"/>
    <w:multiLevelType w:val="hybridMultilevel"/>
    <w:tmpl w:val="3604B5A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0">
    <w:nsid w:val="17891E31"/>
    <w:multiLevelType w:val="hybridMultilevel"/>
    <w:tmpl w:val="D4485B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D43DEE"/>
    <w:multiLevelType w:val="hybridMultilevel"/>
    <w:tmpl w:val="285A5EE8"/>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2">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55262F0"/>
    <w:multiLevelType w:val="hybridMultilevel"/>
    <w:tmpl w:val="B142A88A"/>
    <w:lvl w:ilvl="0">
      <w:start w:val="1"/>
      <w:numFmt w:val="bullet"/>
      <w:lvlText w:val="*"/>
      <w:lvlJc w:val="left"/>
      <w:pPr>
        <w:ind w:left="4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nsid w:val="258630EC"/>
    <w:multiLevelType w:val="hybridMultilevel"/>
    <w:tmpl w:val="CE5C2F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E55F73"/>
    <w:multiLevelType w:val="hybridMultilevel"/>
    <w:tmpl w:val="0ED0A44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EA7F6E"/>
    <w:multiLevelType w:val="hybridMultilevel"/>
    <w:tmpl w:val="D786B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F64F88"/>
    <w:multiLevelType w:val="hybridMultilevel"/>
    <w:tmpl w:val="D9621F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565407"/>
    <w:multiLevelType w:val="hybridMultilevel"/>
    <w:tmpl w:val="CD34EB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B232496"/>
    <w:multiLevelType w:val="hybridMultilevel"/>
    <w:tmpl w:val="AD94922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0">
    <w:nsid w:val="32907AF5"/>
    <w:multiLevelType w:val="hybridMultilevel"/>
    <w:tmpl w:val="C02CD9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B3306C"/>
    <w:multiLevelType w:val="hybridMultilevel"/>
    <w:tmpl w:val="60D0A2E4"/>
    <w:lvl w:ilvl="0">
      <w:start w:val="2"/>
      <w:numFmt w:val="decimal"/>
      <w:lvlText w:val="%1."/>
      <w:lvlJc w:val="left"/>
      <w:pPr>
        <w:tabs>
          <w:tab w:val="num" w:pos="1815"/>
        </w:tabs>
        <w:ind w:left="1815" w:hanging="181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36AE766A"/>
    <w:multiLevelType w:val="hybridMultilevel"/>
    <w:tmpl w:val="1616D212"/>
    <w:lvl w:ilvl="0">
      <w:start w:val="2"/>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856940"/>
    <w:multiLevelType w:val="hybridMultilevel"/>
    <w:tmpl w:val="62BE67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0430F52"/>
    <w:multiLevelType w:val="hybridMultilevel"/>
    <w:tmpl w:val="D004E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646B08"/>
    <w:multiLevelType w:val="hybridMultilevel"/>
    <w:tmpl w:val="484E411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2916F4F"/>
    <w:multiLevelType w:val="hybridMultilevel"/>
    <w:tmpl w:val="E76010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3A549D9"/>
    <w:multiLevelType w:val="hybridMultilevel"/>
    <w:tmpl w:val="765C4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6725098"/>
    <w:multiLevelType w:val="hybridMultilevel"/>
    <w:tmpl w:val="43F0D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234472"/>
    <w:multiLevelType w:val="hybridMultilevel"/>
    <w:tmpl w:val="003C5440"/>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4AF60FAD"/>
    <w:multiLevelType w:val="hybridMultilevel"/>
    <w:tmpl w:val="05A87A02"/>
    <w:lvl w:ilvl="0">
      <w:start w:val="1"/>
      <w:numFmt w:val="decimal"/>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B314EBC"/>
    <w:multiLevelType w:val="hybridMultilevel"/>
    <w:tmpl w:val="7078097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3">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59EC0529"/>
    <w:multiLevelType w:val="hybridMultilevel"/>
    <w:tmpl w:val="368C18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B4240DE"/>
    <w:multiLevelType w:val="hybridMultilevel"/>
    <w:tmpl w:val="A38EE6F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1CA3DF0"/>
    <w:multiLevelType w:val="hybridMultilevel"/>
    <w:tmpl w:val="A1AE1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293499"/>
    <w:multiLevelType w:val="hybridMultilevel"/>
    <w:tmpl w:val="FD0EB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535E0B"/>
    <w:multiLevelType w:val="hybridMultilevel"/>
    <w:tmpl w:val="1CE6096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B576DF"/>
    <w:multiLevelType w:val="hybridMultilevel"/>
    <w:tmpl w:val="431C0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94A0B5E"/>
    <w:multiLevelType w:val="hybridMultilevel"/>
    <w:tmpl w:val="8F88E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061CDB"/>
    <w:multiLevelType w:val="hybridMultilevel"/>
    <w:tmpl w:val="B6CAE6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1157DE7"/>
    <w:multiLevelType w:val="hybridMultilevel"/>
    <w:tmpl w:val="C3E25AA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4B338F8"/>
    <w:multiLevelType w:val="hybridMultilevel"/>
    <w:tmpl w:val="A792106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3B09D3"/>
    <w:multiLevelType w:val="hybridMultilevel"/>
    <w:tmpl w:val="B1F0D992"/>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2103008">
    <w:abstractNumId w:val="36"/>
  </w:num>
  <w:num w:numId="2" w16cid:durableId="1131829617">
    <w:abstractNumId w:val="21"/>
  </w:num>
  <w:num w:numId="3" w16cid:durableId="1374766771">
    <w:abstractNumId w:val="33"/>
  </w:num>
  <w:num w:numId="4" w16cid:durableId="1561751660">
    <w:abstractNumId w:val="12"/>
  </w:num>
  <w:num w:numId="5" w16cid:durableId="460802658">
    <w:abstractNumId w:val="30"/>
  </w:num>
  <w:num w:numId="6" w16cid:durableId="1294366221">
    <w:abstractNumId w:val="34"/>
  </w:num>
  <w:num w:numId="7" w16cid:durableId="1040934768">
    <w:abstractNumId w:val="22"/>
  </w:num>
  <w:num w:numId="8" w16cid:durableId="1341272002">
    <w:abstractNumId w:val="5"/>
  </w:num>
  <w:num w:numId="9" w16cid:durableId="1477989561">
    <w:abstractNumId w:val="44"/>
  </w:num>
  <w:num w:numId="10" w16cid:durableId="680549626">
    <w:abstractNumId w:val="4"/>
  </w:num>
  <w:num w:numId="11" w16cid:durableId="722947688">
    <w:abstractNumId w:val="38"/>
  </w:num>
  <w:num w:numId="12" w16cid:durableId="241453964">
    <w:abstractNumId w:val="18"/>
  </w:num>
  <w:num w:numId="13" w16cid:durableId="1623146462">
    <w:abstractNumId w:val="14"/>
  </w:num>
  <w:num w:numId="14" w16cid:durableId="996572665">
    <w:abstractNumId w:val="42"/>
  </w:num>
  <w:num w:numId="15" w16cid:durableId="85227427">
    <w:abstractNumId w:val="2"/>
  </w:num>
  <w:num w:numId="16" w16cid:durableId="1551068278">
    <w:abstractNumId w:val="13"/>
  </w:num>
  <w:num w:numId="17" w16cid:durableId="489906528">
    <w:abstractNumId w:val="17"/>
  </w:num>
  <w:num w:numId="18" w16cid:durableId="1751467621">
    <w:abstractNumId w:val="43"/>
  </w:num>
  <w:num w:numId="19" w16cid:durableId="1132093842">
    <w:abstractNumId w:val="10"/>
  </w:num>
  <w:num w:numId="20" w16cid:durableId="701131092">
    <w:abstractNumId w:val="23"/>
  </w:num>
  <w:num w:numId="21" w16cid:durableId="234702876">
    <w:abstractNumId w:val="3"/>
  </w:num>
  <w:num w:numId="22" w16cid:durableId="137233735">
    <w:abstractNumId w:val="28"/>
  </w:num>
  <w:num w:numId="23" w16cid:durableId="279607673">
    <w:abstractNumId w:val="6"/>
  </w:num>
  <w:num w:numId="24" w16cid:durableId="1182277236">
    <w:abstractNumId w:val="0"/>
  </w:num>
  <w:num w:numId="25" w16cid:durableId="1885675921">
    <w:abstractNumId w:val="41"/>
  </w:num>
  <w:num w:numId="26" w16cid:durableId="391075634">
    <w:abstractNumId w:val="40"/>
  </w:num>
  <w:num w:numId="27" w16cid:durableId="1749036242">
    <w:abstractNumId w:val="24"/>
  </w:num>
  <w:num w:numId="28" w16cid:durableId="697391859">
    <w:abstractNumId w:val="7"/>
  </w:num>
  <w:num w:numId="29" w16cid:durableId="1067606293">
    <w:abstractNumId w:val="16"/>
  </w:num>
  <w:num w:numId="30" w16cid:durableId="1368919143">
    <w:abstractNumId w:val="32"/>
  </w:num>
  <w:num w:numId="31" w16cid:durableId="1019090735">
    <w:abstractNumId w:val="27"/>
  </w:num>
  <w:num w:numId="32" w16cid:durableId="1697806391">
    <w:abstractNumId w:val="9"/>
  </w:num>
  <w:num w:numId="33" w16cid:durableId="1856190175">
    <w:abstractNumId w:val="45"/>
  </w:num>
  <w:num w:numId="34" w16cid:durableId="117533367">
    <w:abstractNumId w:val="37"/>
  </w:num>
  <w:num w:numId="35" w16cid:durableId="2138183871">
    <w:abstractNumId w:val="1"/>
  </w:num>
  <w:num w:numId="36" w16cid:durableId="633415258">
    <w:abstractNumId w:val="20"/>
  </w:num>
  <w:num w:numId="37" w16cid:durableId="912742144">
    <w:abstractNumId w:val="19"/>
  </w:num>
  <w:num w:numId="38" w16cid:durableId="485631773">
    <w:abstractNumId w:val="11"/>
  </w:num>
  <w:num w:numId="39" w16cid:durableId="652370144">
    <w:abstractNumId w:val="26"/>
  </w:num>
  <w:num w:numId="40" w16cid:durableId="746342265">
    <w:abstractNumId w:val="25"/>
  </w:num>
  <w:num w:numId="41" w16cid:durableId="2903870">
    <w:abstractNumId w:val="29"/>
  </w:num>
  <w:num w:numId="42" w16cid:durableId="407195288">
    <w:abstractNumId w:val="39"/>
  </w:num>
  <w:num w:numId="43" w16cid:durableId="650713588">
    <w:abstractNumId w:val="35"/>
  </w:num>
  <w:num w:numId="44" w16cid:durableId="1690599193">
    <w:abstractNumId w:val="15"/>
  </w:num>
  <w:num w:numId="45" w16cid:durableId="417480051">
    <w:abstractNumId w:val="36"/>
  </w:num>
  <w:num w:numId="46" w16cid:durableId="42952568">
    <w:abstractNumId w:val="8"/>
  </w:num>
  <w:num w:numId="47" w16cid:durableId="16559135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6D"/>
    <w:rsid w:val="00001589"/>
    <w:rsid w:val="00001610"/>
    <w:rsid w:val="000049BA"/>
    <w:rsid w:val="00005058"/>
    <w:rsid w:val="0000699C"/>
    <w:rsid w:val="00007074"/>
    <w:rsid w:val="00010530"/>
    <w:rsid w:val="00011AED"/>
    <w:rsid w:val="00011FE0"/>
    <w:rsid w:val="000141B6"/>
    <w:rsid w:val="000156E3"/>
    <w:rsid w:val="00016EE6"/>
    <w:rsid w:val="00017A8F"/>
    <w:rsid w:val="000203D0"/>
    <w:rsid w:val="00021084"/>
    <w:rsid w:val="000218B7"/>
    <w:rsid w:val="00021A7C"/>
    <w:rsid w:val="000251AF"/>
    <w:rsid w:val="000335E8"/>
    <w:rsid w:val="00033BEA"/>
    <w:rsid w:val="00034128"/>
    <w:rsid w:val="00036685"/>
    <w:rsid w:val="0003687C"/>
    <w:rsid w:val="0003747E"/>
    <w:rsid w:val="000414A5"/>
    <w:rsid w:val="00042BAB"/>
    <w:rsid w:val="00042ECE"/>
    <w:rsid w:val="0004521E"/>
    <w:rsid w:val="00046193"/>
    <w:rsid w:val="00047B30"/>
    <w:rsid w:val="000541E0"/>
    <w:rsid w:val="000561FE"/>
    <w:rsid w:val="00062E37"/>
    <w:rsid w:val="00064511"/>
    <w:rsid w:val="00064CC9"/>
    <w:rsid w:val="00065637"/>
    <w:rsid w:val="00071BAF"/>
    <w:rsid w:val="0007447B"/>
    <w:rsid w:val="000766C0"/>
    <w:rsid w:val="00077890"/>
    <w:rsid w:val="000806CF"/>
    <w:rsid w:val="000811C6"/>
    <w:rsid w:val="00081301"/>
    <w:rsid w:val="000814E2"/>
    <w:rsid w:val="00081EF8"/>
    <w:rsid w:val="000823D5"/>
    <w:rsid w:val="000869AF"/>
    <w:rsid w:val="00086A60"/>
    <w:rsid w:val="00086C11"/>
    <w:rsid w:val="00090716"/>
    <w:rsid w:val="0009152C"/>
    <w:rsid w:val="0009613C"/>
    <w:rsid w:val="000969B5"/>
    <w:rsid w:val="000A1613"/>
    <w:rsid w:val="000A3526"/>
    <w:rsid w:val="000B1903"/>
    <w:rsid w:val="000B41C1"/>
    <w:rsid w:val="000B4BE9"/>
    <w:rsid w:val="000B7440"/>
    <w:rsid w:val="000C09AE"/>
    <w:rsid w:val="000C21B6"/>
    <w:rsid w:val="000C4E50"/>
    <w:rsid w:val="000C571A"/>
    <w:rsid w:val="000C5B37"/>
    <w:rsid w:val="000C5C56"/>
    <w:rsid w:val="000C7005"/>
    <w:rsid w:val="000C7EA3"/>
    <w:rsid w:val="000D0DAA"/>
    <w:rsid w:val="000D0EEE"/>
    <w:rsid w:val="000D1890"/>
    <w:rsid w:val="000D1CC3"/>
    <w:rsid w:val="000D2AF5"/>
    <w:rsid w:val="000D5E2E"/>
    <w:rsid w:val="000E0A79"/>
    <w:rsid w:val="000E131F"/>
    <w:rsid w:val="000E2463"/>
    <w:rsid w:val="000E2A1D"/>
    <w:rsid w:val="000E323D"/>
    <w:rsid w:val="000E3883"/>
    <w:rsid w:val="000E5E99"/>
    <w:rsid w:val="000F53A6"/>
    <w:rsid w:val="0010182C"/>
    <w:rsid w:val="001042C8"/>
    <w:rsid w:val="00104642"/>
    <w:rsid w:val="00105334"/>
    <w:rsid w:val="00105847"/>
    <w:rsid w:val="00107F6A"/>
    <w:rsid w:val="00116A2E"/>
    <w:rsid w:val="00116D13"/>
    <w:rsid w:val="0011793D"/>
    <w:rsid w:val="00117B20"/>
    <w:rsid w:val="00120133"/>
    <w:rsid w:val="00120B87"/>
    <w:rsid w:val="001221BF"/>
    <w:rsid w:val="00123062"/>
    <w:rsid w:val="00124B00"/>
    <w:rsid w:val="0012652D"/>
    <w:rsid w:val="00133AB1"/>
    <w:rsid w:val="001352B5"/>
    <w:rsid w:val="00135AA9"/>
    <w:rsid w:val="00135BA3"/>
    <w:rsid w:val="0014259A"/>
    <w:rsid w:val="00143267"/>
    <w:rsid w:val="001444AE"/>
    <w:rsid w:val="0014459B"/>
    <w:rsid w:val="00145BE9"/>
    <w:rsid w:val="0014602C"/>
    <w:rsid w:val="00147917"/>
    <w:rsid w:val="0015214C"/>
    <w:rsid w:val="00152635"/>
    <w:rsid w:val="001563EF"/>
    <w:rsid w:val="0015658F"/>
    <w:rsid w:val="0015728E"/>
    <w:rsid w:val="001578E1"/>
    <w:rsid w:val="001605C0"/>
    <w:rsid w:val="00161900"/>
    <w:rsid w:val="0016217E"/>
    <w:rsid w:val="00162D91"/>
    <w:rsid w:val="00163006"/>
    <w:rsid w:val="001639D1"/>
    <w:rsid w:val="00163FEF"/>
    <w:rsid w:val="00164F39"/>
    <w:rsid w:val="00166DA1"/>
    <w:rsid w:val="0016722E"/>
    <w:rsid w:val="00167E38"/>
    <w:rsid w:val="001746E9"/>
    <w:rsid w:val="0017633F"/>
    <w:rsid w:val="00176DFC"/>
    <w:rsid w:val="001771E4"/>
    <w:rsid w:val="00180E17"/>
    <w:rsid w:val="00181B4A"/>
    <w:rsid w:val="00183D26"/>
    <w:rsid w:val="00184AC4"/>
    <w:rsid w:val="001852E8"/>
    <w:rsid w:val="0018614A"/>
    <w:rsid w:val="00190092"/>
    <w:rsid w:val="00190500"/>
    <w:rsid w:val="001922FC"/>
    <w:rsid w:val="00192839"/>
    <w:rsid w:val="00192A85"/>
    <w:rsid w:val="00193A99"/>
    <w:rsid w:val="001946DC"/>
    <w:rsid w:val="00195E58"/>
    <w:rsid w:val="001A07E0"/>
    <w:rsid w:val="001A2C3A"/>
    <w:rsid w:val="001A3D17"/>
    <w:rsid w:val="001A7291"/>
    <w:rsid w:val="001A7E8D"/>
    <w:rsid w:val="001B000D"/>
    <w:rsid w:val="001B1350"/>
    <w:rsid w:val="001B3AEF"/>
    <w:rsid w:val="001B6647"/>
    <w:rsid w:val="001B691D"/>
    <w:rsid w:val="001B74E3"/>
    <w:rsid w:val="001B7CB4"/>
    <w:rsid w:val="001C042A"/>
    <w:rsid w:val="001C05BE"/>
    <w:rsid w:val="001C0D4B"/>
    <w:rsid w:val="001C457A"/>
    <w:rsid w:val="001C614D"/>
    <w:rsid w:val="001C61B5"/>
    <w:rsid w:val="001C7A48"/>
    <w:rsid w:val="001D1355"/>
    <w:rsid w:val="001D28C9"/>
    <w:rsid w:val="001D2EC1"/>
    <w:rsid w:val="001D3650"/>
    <w:rsid w:val="001D3CE0"/>
    <w:rsid w:val="001D50B2"/>
    <w:rsid w:val="001D575D"/>
    <w:rsid w:val="001D57F0"/>
    <w:rsid w:val="001D6A2C"/>
    <w:rsid w:val="001D7DCC"/>
    <w:rsid w:val="001E0F5F"/>
    <w:rsid w:val="001E26F0"/>
    <w:rsid w:val="001E349E"/>
    <w:rsid w:val="001E379F"/>
    <w:rsid w:val="001E4583"/>
    <w:rsid w:val="001E6BA7"/>
    <w:rsid w:val="001E6D2B"/>
    <w:rsid w:val="001F04D5"/>
    <w:rsid w:val="001F28EE"/>
    <w:rsid w:val="001F377F"/>
    <w:rsid w:val="001F3ADE"/>
    <w:rsid w:val="001F42E7"/>
    <w:rsid w:val="001F5398"/>
    <w:rsid w:val="001F60CC"/>
    <w:rsid w:val="001F6751"/>
    <w:rsid w:val="001F703D"/>
    <w:rsid w:val="002000AA"/>
    <w:rsid w:val="00203D37"/>
    <w:rsid w:val="0020452F"/>
    <w:rsid w:val="00206AA9"/>
    <w:rsid w:val="002100A9"/>
    <w:rsid w:val="002105BC"/>
    <w:rsid w:val="0021208A"/>
    <w:rsid w:val="002142A2"/>
    <w:rsid w:val="00214927"/>
    <w:rsid w:val="00221057"/>
    <w:rsid w:val="00223476"/>
    <w:rsid w:val="00223CFA"/>
    <w:rsid w:val="002278A6"/>
    <w:rsid w:val="00227E39"/>
    <w:rsid w:val="00231F18"/>
    <w:rsid w:val="002324B6"/>
    <w:rsid w:val="00233A9E"/>
    <w:rsid w:val="00236948"/>
    <w:rsid w:val="00237C0C"/>
    <w:rsid w:val="0024075A"/>
    <w:rsid w:val="0024137A"/>
    <w:rsid w:val="00242B70"/>
    <w:rsid w:val="00242F2B"/>
    <w:rsid w:val="00245280"/>
    <w:rsid w:val="00245ECA"/>
    <w:rsid w:val="00246A9F"/>
    <w:rsid w:val="00250B5D"/>
    <w:rsid w:val="00251F40"/>
    <w:rsid w:val="00252BCF"/>
    <w:rsid w:val="00254B50"/>
    <w:rsid w:val="00255ACF"/>
    <w:rsid w:val="002565F8"/>
    <w:rsid w:val="0025759A"/>
    <w:rsid w:val="00263B0F"/>
    <w:rsid w:val="002643FB"/>
    <w:rsid w:val="0026710A"/>
    <w:rsid w:val="00267AA9"/>
    <w:rsid w:val="00267F92"/>
    <w:rsid w:val="00270A06"/>
    <w:rsid w:val="002727F4"/>
    <w:rsid w:val="00272FDF"/>
    <w:rsid w:val="0027353B"/>
    <w:rsid w:val="00275313"/>
    <w:rsid w:val="002766DB"/>
    <w:rsid w:val="002766FC"/>
    <w:rsid w:val="00280E51"/>
    <w:rsid w:val="002826CD"/>
    <w:rsid w:val="00290C22"/>
    <w:rsid w:val="00292FCB"/>
    <w:rsid w:val="00293863"/>
    <w:rsid w:val="00295C38"/>
    <w:rsid w:val="002A27B8"/>
    <w:rsid w:val="002A2B8E"/>
    <w:rsid w:val="002A2E77"/>
    <w:rsid w:val="002A4F8B"/>
    <w:rsid w:val="002B0890"/>
    <w:rsid w:val="002B09D2"/>
    <w:rsid w:val="002B1110"/>
    <w:rsid w:val="002B1921"/>
    <w:rsid w:val="002B2810"/>
    <w:rsid w:val="002B3226"/>
    <w:rsid w:val="002B355F"/>
    <w:rsid w:val="002B4900"/>
    <w:rsid w:val="002B7F73"/>
    <w:rsid w:val="002C7726"/>
    <w:rsid w:val="002D0BCD"/>
    <w:rsid w:val="002D1C7E"/>
    <w:rsid w:val="002D33FF"/>
    <w:rsid w:val="002D40C1"/>
    <w:rsid w:val="002D4493"/>
    <w:rsid w:val="002D5138"/>
    <w:rsid w:val="002D7F19"/>
    <w:rsid w:val="002E1714"/>
    <w:rsid w:val="002E1A36"/>
    <w:rsid w:val="002E3158"/>
    <w:rsid w:val="002E47AD"/>
    <w:rsid w:val="002E51B0"/>
    <w:rsid w:val="002F167E"/>
    <w:rsid w:val="002F1FAB"/>
    <w:rsid w:val="002F2F34"/>
    <w:rsid w:val="002F353A"/>
    <w:rsid w:val="002F4CE6"/>
    <w:rsid w:val="0030141E"/>
    <w:rsid w:val="00301640"/>
    <w:rsid w:val="00303DA5"/>
    <w:rsid w:val="0030578D"/>
    <w:rsid w:val="003079DF"/>
    <w:rsid w:val="00307F28"/>
    <w:rsid w:val="00310D71"/>
    <w:rsid w:val="003116B1"/>
    <w:rsid w:val="003151DF"/>
    <w:rsid w:val="0032225E"/>
    <w:rsid w:val="003223FA"/>
    <w:rsid w:val="00322F48"/>
    <w:rsid w:val="00323E26"/>
    <w:rsid w:val="0033172E"/>
    <w:rsid w:val="00334777"/>
    <w:rsid w:val="00334C55"/>
    <w:rsid w:val="00335C0D"/>
    <w:rsid w:val="00342459"/>
    <w:rsid w:val="003431A7"/>
    <w:rsid w:val="003432B3"/>
    <w:rsid w:val="00343B78"/>
    <w:rsid w:val="0034569D"/>
    <w:rsid w:val="00346E68"/>
    <w:rsid w:val="00350B38"/>
    <w:rsid w:val="00351582"/>
    <w:rsid w:val="0035250B"/>
    <w:rsid w:val="003528FB"/>
    <w:rsid w:val="00353B18"/>
    <w:rsid w:val="00353DC5"/>
    <w:rsid w:val="0035481D"/>
    <w:rsid w:val="00355B94"/>
    <w:rsid w:val="00355D1E"/>
    <w:rsid w:val="0036069A"/>
    <w:rsid w:val="00360FCE"/>
    <w:rsid w:val="00361CCD"/>
    <w:rsid w:val="00363838"/>
    <w:rsid w:val="003712E9"/>
    <w:rsid w:val="00371943"/>
    <w:rsid w:val="00375230"/>
    <w:rsid w:val="003760DD"/>
    <w:rsid w:val="00381D75"/>
    <w:rsid w:val="00382371"/>
    <w:rsid w:val="003866AD"/>
    <w:rsid w:val="003909F1"/>
    <w:rsid w:val="00393665"/>
    <w:rsid w:val="00394EA7"/>
    <w:rsid w:val="00397279"/>
    <w:rsid w:val="00397DE9"/>
    <w:rsid w:val="003A2A91"/>
    <w:rsid w:val="003A4AD2"/>
    <w:rsid w:val="003A4C85"/>
    <w:rsid w:val="003A6A4F"/>
    <w:rsid w:val="003B203A"/>
    <w:rsid w:val="003B3370"/>
    <w:rsid w:val="003B3A3C"/>
    <w:rsid w:val="003B64DA"/>
    <w:rsid w:val="003B7DB9"/>
    <w:rsid w:val="003C20FA"/>
    <w:rsid w:val="003C302B"/>
    <w:rsid w:val="003C31BD"/>
    <w:rsid w:val="003C360D"/>
    <w:rsid w:val="003C3DB1"/>
    <w:rsid w:val="003C429A"/>
    <w:rsid w:val="003C4D03"/>
    <w:rsid w:val="003C4E53"/>
    <w:rsid w:val="003C63C0"/>
    <w:rsid w:val="003C7B9C"/>
    <w:rsid w:val="003D18B8"/>
    <w:rsid w:val="003D1B15"/>
    <w:rsid w:val="003D297D"/>
    <w:rsid w:val="003D2A7E"/>
    <w:rsid w:val="003D3356"/>
    <w:rsid w:val="003D3487"/>
    <w:rsid w:val="003D6F01"/>
    <w:rsid w:val="003D7DE6"/>
    <w:rsid w:val="003E0385"/>
    <w:rsid w:val="003E0F27"/>
    <w:rsid w:val="003E17A0"/>
    <w:rsid w:val="003E25EA"/>
    <w:rsid w:val="003E3983"/>
    <w:rsid w:val="003E3A5F"/>
    <w:rsid w:val="003E4B15"/>
    <w:rsid w:val="003E57B2"/>
    <w:rsid w:val="003E5B70"/>
    <w:rsid w:val="003E600D"/>
    <w:rsid w:val="003E701D"/>
    <w:rsid w:val="003E7CF1"/>
    <w:rsid w:val="003E7DE2"/>
    <w:rsid w:val="003F0DCA"/>
    <w:rsid w:val="003F4B4E"/>
    <w:rsid w:val="003F5372"/>
    <w:rsid w:val="003F62BB"/>
    <w:rsid w:val="003F6D0C"/>
    <w:rsid w:val="00402AEA"/>
    <w:rsid w:val="00403F61"/>
    <w:rsid w:val="00404DA0"/>
    <w:rsid w:val="004076C0"/>
    <w:rsid w:val="00407CE4"/>
    <w:rsid w:val="00410497"/>
    <w:rsid w:val="004109C3"/>
    <w:rsid w:val="004127B5"/>
    <w:rsid w:val="00412E00"/>
    <w:rsid w:val="00414545"/>
    <w:rsid w:val="004157CC"/>
    <w:rsid w:val="0042007D"/>
    <w:rsid w:val="004208AC"/>
    <w:rsid w:val="00422435"/>
    <w:rsid w:val="004243CF"/>
    <w:rsid w:val="00425003"/>
    <w:rsid w:val="004258C2"/>
    <w:rsid w:val="00426B6E"/>
    <w:rsid w:val="004327CC"/>
    <w:rsid w:val="00432DA3"/>
    <w:rsid w:val="00435193"/>
    <w:rsid w:val="004361AF"/>
    <w:rsid w:val="00436236"/>
    <w:rsid w:val="0043663C"/>
    <w:rsid w:val="00437320"/>
    <w:rsid w:val="00437802"/>
    <w:rsid w:val="00440B5E"/>
    <w:rsid w:val="00440F8D"/>
    <w:rsid w:val="004427DE"/>
    <w:rsid w:val="004428FB"/>
    <w:rsid w:val="004445CE"/>
    <w:rsid w:val="00444834"/>
    <w:rsid w:val="004472EB"/>
    <w:rsid w:val="0045205A"/>
    <w:rsid w:val="00452E07"/>
    <w:rsid w:val="00452E75"/>
    <w:rsid w:val="00454CE4"/>
    <w:rsid w:val="00454D32"/>
    <w:rsid w:val="00456B18"/>
    <w:rsid w:val="00457754"/>
    <w:rsid w:val="00460020"/>
    <w:rsid w:val="0046088D"/>
    <w:rsid w:val="0046368A"/>
    <w:rsid w:val="0047330F"/>
    <w:rsid w:val="00474B75"/>
    <w:rsid w:val="0047669F"/>
    <w:rsid w:val="0047698D"/>
    <w:rsid w:val="00477BB3"/>
    <w:rsid w:val="0048072D"/>
    <w:rsid w:val="00480964"/>
    <w:rsid w:val="00480ED8"/>
    <w:rsid w:val="00482090"/>
    <w:rsid w:val="0048257F"/>
    <w:rsid w:val="004839EB"/>
    <w:rsid w:val="004852F9"/>
    <w:rsid w:val="00485ECC"/>
    <w:rsid w:val="00486AE7"/>
    <w:rsid w:val="00490223"/>
    <w:rsid w:val="004927EF"/>
    <w:rsid w:val="00493BAE"/>
    <w:rsid w:val="00493EFD"/>
    <w:rsid w:val="004970F6"/>
    <w:rsid w:val="00497A9F"/>
    <w:rsid w:val="004A1177"/>
    <w:rsid w:val="004A118F"/>
    <w:rsid w:val="004A1C74"/>
    <w:rsid w:val="004A236F"/>
    <w:rsid w:val="004A32C6"/>
    <w:rsid w:val="004A454B"/>
    <w:rsid w:val="004A610D"/>
    <w:rsid w:val="004A657C"/>
    <w:rsid w:val="004B0930"/>
    <w:rsid w:val="004B11CF"/>
    <w:rsid w:val="004B21C3"/>
    <w:rsid w:val="004B2600"/>
    <w:rsid w:val="004B26AA"/>
    <w:rsid w:val="004B409D"/>
    <w:rsid w:val="004B5D16"/>
    <w:rsid w:val="004C0A7F"/>
    <w:rsid w:val="004C13D3"/>
    <w:rsid w:val="004C1879"/>
    <w:rsid w:val="004C373B"/>
    <w:rsid w:val="004C5085"/>
    <w:rsid w:val="004C5269"/>
    <w:rsid w:val="004C530D"/>
    <w:rsid w:val="004C592C"/>
    <w:rsid w:val="004C59D8"/>
    <w:rsid w:val="004C5DB1"/>
    <w:rsid w:val="004C6566"/>
    <w:rsid w:val="004C6596"/>
    <w:rsid w:val="004C6A91"/>
    <w:rsid w:val="004D0562"/>
    <w:rsid w:val="004D4C7B"/>
    <w:rsid w:val="004D6DEB"/>
    <w:rsid w:val="004D79BB"/>
    <w:rsid w:val="004E09FA"/>
    <w:rsid w:val="004E5215"/>
    <w:rsid w:val="004E576E"/>
    <w:rsid w:val="004F024E"/>
    <w:rsid w:val="004F156A"/>
    <w:rsid w:val="004F2E8D"/>
    <w:rsid w:val="004F2F74"/>
    <w:rsid w:val="004F394E"/>
    <w:rsid w:val="004F5DB5"/>
    <w:rsid w:val="004F646E"/>
    <w:rsid w:val="004F7BFA"/>
    <w:rsid w:val="00501F9D"/>
    <w:rsid w:val="00501FCA"/>
    <w:rsid w:val="005024D2"/>
    <w:rsid w:val="00506697"/>
    <w:rsid w:val="00507F03"/>
    <w:rsid w:val="0051003D"/>
    <w:rsid w:val="00510F77"/>
    <w:rsid w:val="0051162B"/>
    <w:rsid w:val="00512C48"/>
    <w:rsid w:val="0051519A"/>
    <w:rsid w:val="00516482"/>
    <w:rsid w:val="00522357"/>
    <w:rsid w:val="005240A1"/>
    <w:rsid w:val="005262E1"/>
    <w:rsid w:val="005271E0"/>
    <w:rsid w:val="00527663"/>
    <w:rsid w:val="005276EF"/>
    <w:rsid w:val="00527ACB"/>
    <w:rsid w:val="00532168"/>
    <w:rsid w:val="00532C0A"/>
    <w:rsid w:val="00536479"/>
    <w:rsid w:val="00537832"/>
    <w:rsid w:val="00537C4E"/>
    <w:rsid w:val="00540437"/>
    <w:rsid w:val="00540BF8"/>
    <w:rsid w:val="00541938"/>
    <w:rsid w:val="00542519"/>
    <w:rsid w:val="005433BE"/>
    <w:rsid w:val="00544DCE"/>
    <w:rsid w:val="00545035"/>
    <w:rsid w:val="00545B62"/>
    <w:rsid w:val="00547570"/>
    <w:rsid w:val="00556708"/>
    <w:rsid w:val="00556972"/>
    <w:rsid w:val="00557CB8"/>
    <w:rsid w:val="00560503"/>
    <w:rsid w:val="00564FFE"/>
    <w:rsid w:val="00567B20"/>
    <w:rsid w:val="00574928"/>
    <w:rsid w:val="00574FD6"/>
    <w:rsid w:val="0057524F"/>
    <w:rsid w:val="00577846"/>
    <w:rsid w:val="00577F48"/>
    <w:rsid w:val="00582571"/>
    <w:rsid w:val="00583677"/>
    <w:rsid w:val="00585B78"/>
    <w:rsid w:val="0058667A"/>
    <w:rsid w:val="00592E82"/>
    <w:rsid w:val="00593CC7"/>
    <w:rsid w:val="00593DF0"/>
    <w:rsid w:val="005A0105"/>
    <w:rsid w:val="005A0C39"/>
    <w:rsid w:val="005A0EC8"/>
    <w:rsid w:val="005A100A"/>
    <w:rsid w:val="005A2C24"/>
    <w:rsid w:val="005A5E01"/>
    <w:rsid w:val="005A6CCF"/>
    <w:rsid w:val="005A79EF"/>
    <w:rsid w:val="005A7F01"/>
    <w:rsid w:val="005B166E"/>
    <w:rsid w:val="005B2148"/>
    <w:rsid w:val="005B2951"/>
    <w:rsid w:val="005B337B"/>
    <w:rsid w:val="005B686F"/>
    <w:rsid w:val="005C041F"/>
    <w:rsid w:val="005C36CD"/>
    <w:rsid w:val="005C5249"/>
    <w:rsid w:val="005C5DE2"/>
    <w:rsid w:val="005C6433"/>
    <w:rsid w:val="005C6866"/>
    <w:rsid w:val="005C6964"/>
    <w:rsid w:val="005D04CA"/>
    <w:rsid w:val="005D0D6C"/>
    <w:rsid w:val="005D0E94"/>
    <w:rsid w:val="005D0FAD"/>
    <w:rsid w:val="005D19AD"/>
    <w:rsid w:val="005D2056"/>
    <w:rsid w:val="005D55CE"/>
    <w:rsid w:val="005D6791"/>
    <w:rsid w:val="005D729A"/>
    <w:rsid w:val="005E0A68"/>
    <w:rsid w:val="005E0A8A"/>
    <w:rsid w:val="005E2C23"/>
    <w:rsid w:val="005E56CE"/>
    <w:rsid w:val="005F0C42"/>
    <w:rsid w:val="005F1A0D"/>
    <w:rsid w:val="005F2731"/>
    <w:rsid w:val="005F2E11"/>
    <w:rsid w:val="005F4032"/>
    <w:rsid w:val="005F50EE"/>
    <w:rsid w:val="005F62ED"/>
    <w:rsid w:val="005F6E12"/>
    <w:rsid w:val="005F7D7C"/>
    <w:rsid w:val="00601596"/>
    <w:rsid w:val="00601D2F"/>
    <w:rsid w:val="00602D91"/>
    <w:rsid w:val="00603BD9"/>
    <w:rsid w:val="00606049"/>
    <w:rsid w:val="006060F7"/>
    <w:rsid w:val="00606879"/>
    <w:rsid w:val="00607DF1"/>
    <w:rsid w:val="00614508"/>
    <w:rsid w:val="0061484F"/>
    <w:rsid w:val="00614D21"/>
    <w:rsid w:val="006151C6"/>
    <w:rsid w:val="0061745E"/>
    <w:rsid w:val="006201D2"/>
    <w:rsid w:val="00621DDA"/>
    <w:rsid w:val="00622DDA"/>
    <w:rsid w:val="00623B15"/>
    <w:rsid w:val="0062624C"/>
    <w:rsid w:val="00627780"/>
    <w:rsid w:val="00632079"/>
    <w:rsid w:val="006348F6"/>
    <w:rsid w:val="006356CF"/>
    <w:rsid w:val="00640E45"/>
    <w:rsid w:val="00642250"/>
    <w:rsid w:val="006441AD"/>
    <w:rsid w:val="00645BE8"/>
    <w:rsid w:val="00646012"/>
    <w:rsid w:val="0064706B"/>
    <w:rsid w:val="00647D2D"/>
    <w:rsid w:val="00650053"/>
    <w:rsid w:val="00650145"/>
    <w:rsid w:val="00650720"/>
    <w:rsid w:val="006512C1"/>
    <w:rsid w:val="006523EC"/>
    <w:rsid w:val="00652BDA"/>
    <w:rsid w:val="006541FC"/>
    <w:rsid w:val="006605CA"/>
    <w:rsid w:val="00660CDA"/>
    <w:rsid w:val="0066130F"/>
    <w:rsid w:val="00664098"/>
    <w:rsid w:val="00672B10"/>
    <w:rsid w:val="006751E8"/>
    <w:rsid w:val="006754C8"/>
    <w:rsid w:val="00676F42"/>
    <w:rsid w:val="00677DE0"/>
    <w:rsid w:val="00677E3A"/>
    <w:rsid w:val="00681805"/>
    <w:rsid w:val="00682374"/>
    <w:rsid w:val="00682982"/>
    <w:rsid w:val="006829A9"/>
    <w:rsid w:val="00684E8F"/>
    <w:rsid w:val="00685B1A"/>
    <w:rsid w:val="00691C5F"/>
    <w:rsid w:val="006935BB"/>
    <w:rsid w:val="0069524A"/>
    <w:rsid w:val="006A027B"/>
    <w:rsid w:val="006A05AF"/>
    <w:rsid w:val="006A0AE5"/>
    <w:rsid w:val="006A0CA7"/>
    <w:rsid w:val="006A1A2E"/>
    <w:rsid w:val="006A2E81"/>
    <w:rsid w:val="006A3434"/>
    <w:rsid w:val="006A38A8"/>
    <w:rsid w:val="006A3C9E"/>
    <w:rsid w:val="006A6061"/>
    <w:rsid w:val="006A6928"/>
    <w:rsid w:val="006B0369"/>
    <w:rsid w:val="006B05DE"/>
    <w:rsid w:val="006B44D0"/>
    <w:rsid w:val="006B4E77"/>
    <w:rsid w:val="006B6007"/>
    <w:rsid w:val="006B667D"/>
    <w:rsid w:val="006C0F70"/>
    <w:rsid w:val="006C1E96"/>
    <w:rsid w:val="006C20AD"/>
    <w:rsid w:val="006C307D"/>
    <w:rsid w:val="006C3253"/>
    <w:rsid w:val="006C3306"/>
    <w:rsid w:val="006C4D89"/>
    <w:rsid w:val="006D1763"/>
    <w:rsid w:val="006D438C"/>
    <w:rsid w:val="006D4A37"/>
    <w:rsid w:val="006D7E44"/>
    <w:rsid w:val="006E06C2"/>
    <w:rsid w:val="006E1D64"/>
    <w:rsid w:val="006E2AB8"/>
    <w:rsid w:val="006E557D"/>
    <w:rsid w:val="006E61A4"/>
    <w:rsid w:val="006E6A27"/>
    <w:rsid w:val="006F0C42"/>
    <w:rsid w:val="006F224F"/>
    <w:rsid w:val="006F30ED"/>
    <w:rsid w:val="006F312E"/>
    <w:rsid w:val="006F6A6B"/>
    <w:rsid w:val="006F7CDB"/>
    <w:rsid w:val="00701C59"/>
    <w:rsid w:val="00701E03"/>
    <w:rsid w:val="00703122"/>
    <w:rsid w:val="00704313"/>
    <w:rsid w:val="007046C2"/>
    <w:rsid w:val="007049F0"/>
    <w:rsid w:val="0070705E"/>
    <w:rsid w:val="007107C2"/>
    <w:rsid w:val="0071208C"/>
    <w:rsid w:val="0071243C"/>
    <w:rsid w:val="0071391E"/>
    <w:rsid w:val="00714117"/>
    <w:rsid w:val="0071709A"/>
    <w:rsid w:val="00717199"/>
    <w:rsid w:val="00717ABD"/>
    <w:rsid w:val="0072243D"/>
    <w:rsid w:val="0072317D"/>
    <w:rsid w:val="00723F1C"/>
    <w:rsid w:val="0072415E"/>
    <w:rsid w:val="00727892"/>
    <w:rsid w:val="00727D48"/>
    <w:rsid w:val="0073001E"/>
    <w:rsid w:val="007304E8"/>
    <w:rsid w:val="00730509"/>
    <w:rsid w:val="00732CD0"/>
    <w:rsid w:val="00732EC0"/>
    <w:rsid w:val="00733E2D"/>
    <w:rsid w:val="00735219"/>
    <w:rsid w:val="00737717"/>
    <w:rsid w:val="007379E3"/>
    <w:rsid w:val="00740CD0"/>
    <w:rsid w:val="00741134"/>
    <w:rsid w:val="007446EB"/>
    <w:rsid w:val="00744C8E"/>
    <w:rsid w:val="00746748"/>
    <w:rsid w:val="00746973"/>
    <w:rsid w:val="007511CD"/>
    <w:rsid w:val="007512CE"/>
    <w:rsid w:val="0075271C"/>
    <w:rsid w:val="0075420C"/>
    <w:rsid w:val="007544A8"/>
    <w:rsid w:val="00754E97"/>
    <w:rsid w:val="0075519D"/>
    <w:rsid w:val="00757BB4"/>
    <w:rsid w:val="00760776"/>
    <w:rsid w:val="0076235F"/>
    <w:rsid w:val="007625CD"/>
    <w:rsid w:val="007637CB"/>
    <w:rsid w:val="00763E4F"/>
    <w:rsid w:val="0076752A"/>
    <w:rsid w:val="007701B5"/>
    <w:rsid w:val="00770C1B"/>
    <w:rsid w:val="007722E7"/>
    <w:rsid w:val="00773729"/>
    <w:rsid w:val="00774069"/>
    <w:rsid w:val="00777011"/>
    <w:rsid w:val="00780914"/>
    <w:rsid w:val="00780B06"/>
    <w:rsid w:val="00781074"/>
    <w:rsid w:val="00781AD9"/>
    <w:rsid w:val="00781C45"/>
    <w:rsid w:val="0078543D"/>
    <w:rsid w:val="00785BAA"/>
    <w:rsid w:val="00790DB8"/>
    <w:rsid w:val="00792005"/>
    <w:rsid w:val="00797423"/>
    <w:rsid w:val="00797F6C"/>
    <w:rsid w:val="007A11B5"/>
    <w:rsid w:val="007A57F9"/>
    <w:rsid w:val="007A699F"/>
    <w:rsid w:val="007A7143"/>
    <w:rsid w:val="007A7825"/>
    <w:rsid w:val="007B025D"/>
    <w:rsid w:val="007B1AB1"/>
    <w:rsid w:val="007B1B14"/>
    <w:rsid w:val="007B1E3E"/>
    <w:rsid w:val="007B1F1E"/>
    <w:rsid w:val="007B2CCB"/>
    <w:rsid w:val="007B50EA"/>
    <w:rsid w:val="007B55FC"/>
    <w:rsid w:val="007B5B0D"/>
    <w:rsid w:val="007C205F"/>
    <w:rsid w:val="007C2808"/>
    <w:rsid w:val="007C2EFE"/>
    <w:rsid w:val="007C3A14"/>
    <w:rsid w:val="007C5459"/>
    <w:rsid w:val="007C5E50"/>
    <w:rsid w:val="007C6654"/>
    <w:rsid w:val="007C76C3"/>
    <w:rsid w:val="007D3967"/>
    <w:rsid w:val="007D3EF2"/>
    <w:rsid w:val="007D42B3"/>
    <w:rsid w:val="007E0CB2"/>
    <w:rsid w:val="007E19EB"/>
    <w:rsid w:val="007E5154"/>
    <w:rsid w:val="007E7459"/>
    <w:rsid w:val="007E7647"/>
    <w:rsid w:val="007E7717"/>
    <w:rsid w:val="007F0316"/>
    <w:rsid w:val="007F4BC5"/>
    <w:rsid w:val="007F51F1"/>
    <w:rsid w:val="007F5407"/>
    <w:rsid w:val="007F5DDF"/>
    <w:rsid w:val="007F788C"/>
    <w:rsid w:val="008027C6"/>
    <w:rsid w:val="00802F0F"/>
    <w:rsid w:val="00802FBA"/>
    <w:rsid w:val="00803D8D"/>
    <w:rsid w:val="008060D2"/>
    <w:rsid w:val="00806E18"/>
    <w:rsid w:val="0081220C"/>
    <w:rsid w:val="008126E3"/>
    <w:rsid w:val="008171B3"/>
    <w:rsid w:val="00817390"/>
    <w:rsid w:val="00820C76"/>
    <w:rsid w:val="00821459"/>
    <w:rsid w:val="008249DC"/>
    <w:rsid w:val="00825A05"/>
    <w:rsid w:val="00827661"/>
    <w:rsid w:val="008277E3"/>
    <w:rsid w:val="00833307"/>
    <w:rsid w:val="00833F2B"/>
    <w:rsid w:val="00834050"/>
    <w:rsid w:val="00834E0A"/>
    <w:rsid w:val="0083523C"/>
    <w:rsid w:val="00836DE4"/>
    <w:rsid w:val="00836F62"/>
    <w:rsid w:val="008377E2"/>
    <w:rsid w:val="00837836"/>
    <w:rsid w:val="00837C78"/>
    <w:rsid w:val="008418DF"/>
    <w:rsid w:val="00844F88"/>
    <w:rsid w:val="00851214"/>
    <w:rsid w:val="00851D29"/>
    <w:rsid w:val="008520FA"/>
    <w:rsid w:val="00852A1D"/>
    <w:rsid w:val="00854ED1"/>
    <w:rsid w:val="00854FA7"/>
    <w:rsid w:val="00855702"/>
    <w:rsid w:val="008577E1"/>
    <w:rsid w:val="00857ADD"/>
    <w:rsid w:val="00860C58"/>
    <w:rsid w:val="00861CC4"/>
    <w:rsid w:val="00861F73"/>
    <w:rsid w:val="008634EA"/>
    <w:rsid w:val="008640E5"/>
    <w:rsid w:val="00865702"/>
    <w:rsid w:val="00866BA9"/>
    <w:rsid w:val="00867774"/>
    <w:rsid w:val="00870A54"/>
    <w:rsid w:val="008719BD"/>
    <w:rsid w:val="00874297"/>
    <w:rsid w:val="00874DC1"/>
    <w:rsid w:val="00874F1D"/>
    <w:rsid w:val="00875888"/>
    <w:rsid w:val="008836C4"/>
    <w:rsid w:val="008857F7"/>
    <w:rsid w:val="0088747A"/>
    <w:rsid w:val="0088784F"/>
    <w:rsid w:val="0089157A"/>
    <w:rsid w:val="00891C89"/>
    <w:rsid w:val="00893289"/>
    <w:rsid w:val="0089369D"/>
    <w:rsid w:val="008937D7"/>
    <w:rsid w:val="00893DC9"/>
    <w:rsid w:val="0089425C"/>
    <w:rsid w:val="008945A7"/>
    <w:rsid w:val="008A020C"/>
    <w:rsid w:val="008A122A"/>
    <w:rsid w:val="008A2941"/>
    <w:rsid w:val="008A35BD"/>
    <w:rsid w:val="008A38B5"/>
    <w:rsid w:val="008A53B4"/>
    <w:rsid w:val="008A5A17"/>
    <w:rsid w:val="008A6456"/>
    <w:rsid w:val="008A6AC9"/>
    <w:rsid w:val="008A6C38"/>
    <w:rsid w:val="008A72B8"/>
    <w:rsid w:val="008A7971"/>
    <w:rsid w:val="008B0503"/>
    <w:rsid w:val="008B128B"/>
    <w:rsid w:val="008B1A17"/>
    <w:rsid w:val="008B418B"/>
    <w:rsid w:val="008B7019"/>
    <w:rsid w:val="008C0961"/>
    <w:rsid w:val="008C4D1A"/>
    <w:rsid w:val="008C4F41"/>
    <w:rsid w:val="008C61FB"/>
    <w:rsid w:val="008D11A0"/>
    <w:rsid w:val="008D1467"/>
    <w:rsid w:val="008D2170"/>
    <w:rsid w:val="008D36BC"/>
    <w:rsid w:val="008D54E8"/>
    <w:rsid w:val="008D5E54"/>
    <w:rsid w:val="008D6438"/>
    <w:rsid w:val="008D7532"/>
    <w:rsid w:val="008D7A2E"/>
    <w:rsid w:val="008D7F85"/>
    <w:rsid w:val="008E07FD"/>
    <w:rsid w:val="008E29A6"/>
    <w:rsid w:val="008E2C0D"/>
    <w:rsid w:val="008E3C8A"/>
    <w:rsid w:val="008F0FB1"/>
    <w:rsid w:val="008F153E"/>
    <w:rsid w:val="008F194C"/>
    <w:rsid w:val="008F2D9F"/>
    <w:rsid w:val="008F7EBB"/>
    <w:rsid w:val="009032C6"/>
    <w:rsid w:val="00904038"/>
    <w:rsid w:val="009049AF"/>
    <w:rsid w:val="00905D2C"/>
    <w:rsid w:val="00907014"/>
    <w:rsid w:val="00907A71"/>
    <w:rsid w:val="00907EC0"/>
    <w:rsid w:val="0091154B"/>
    <w:rsid w:val="00912035"/>
    <w:rsid w:val="0091218B"/>
    <w:rsid w:val="00912878"/>
    <w:rsid w:val="00912EC7"/>
    <w:rsid w:val="009160BB"/>
    <w:rsid w:val="0091662C"/>
    <w:rsid w:val="00916F41"/>
    <w:rsid w:val="009200A9"/>
    <w:rsid w:val="0092118D"/>
    <w:rsid w:val="0092356F"/>
    <w:rsid w:val="009273BC"/>
    <w:rsid w:val="009307A8"/>
    <w:rsid w:val="00931387"/>
    <w:rsid w:val="00932AF5"/>
    <w:rsid w:val="00933179"/>
    <w:rsid w:val="00933292"/>
    <w:rsid w:val="00936A93"/>
    <w:rsid w:val="009400F2"/>
    <w:rsid w:val="00940AB3"/>
    <w:rsid w:val="0094233D"/>
    <w:rsid w:val="00942D0F"/>
    <w:rsid w:val="009433B3"/>
    <w:rsid w:val="00944F3C"/>
    <w:rsid w:val="0094539D"/>
    <w:rsid w:val="00946648"/>
    <w:rsid w:val="0094665F"/>
    <w:rsid w:val="009474C0"/>
    <w:rsid w:val="0095131E"/>
    <w:rsid w:val="0095287F"/>
    <w:rsid w:val="0095506F"/>
    <w:rsid w:val="00957DA2"/>
    <w:rsid w:val="00957F48"/>
    <w:rsid w:val="009606E5"/>
    <w:rsid w:val="009608FA"/>
    <w:rsid w:val="00961187"/>
    <w:rsid w:val="009616C9"/>
    <w:rsid w:val="009633FE"/>
    <w:rsid w:val="00964D99"/>
    <w:rsid w:val="00966289"/>
    <w:rsid w:val="00970557"/>
    <w:rsid w:val="00972277"/>
    <w:rsid w:val="009740AA"/>
    <w:rsid w:val="0097638B"/>
    <w:rsid w:val="00980E8E"/>
    <w:rsid w:val="009909D9"/>
    <w:rsid w:val="00991730"/>
    <w:rsid w:val="00992DEE"/>
    <w:rsid w:val="00993778"/>
    <w:rsid w:val="0099482D"/>
    <w:rsid w:val="00994F7B"/>
    <w:rsid w:val="00995FCB"/>
    <w:rsid w:val="00996E05"/>
    <w:rsid w:val="009A0461"/>
    <w:rsid w:val="009A0731"/>
    <w:rsid w:val="009A14BE"/>
    <w:rsid w:val="009A2CE2"/>
    <w:rsid w:val="009A3834"/>
    <w:rsid w:val="009A4408"/>
    <w:rsid w:val="009A4753"/>
    <w:rsid w:val="009A7344"/>
    <w:rsid w:val="009A74CF"/>
    <w:rsid w:val="009B172E"/>
    <w:rsid w:val="009B19E2"/>
    <w:rsid w:val="009B2295"/>
    <w:rsid w:val="009B263A"/>
    <w:rsid w:val="009B2C5E"/>
    <w:rsid w:val="009B6560"/>
    <w:rsid w:val="009B70C9"/>
    <w:rsid w:val="009C0A0C"/>
    <w:rsid w:val="009C0B40"/>
    <w:rsid w:val="009C13D8"/>
    <w:rsid w:val="009C2B91"/>
    <w:rsid w:val="009C40C4"/>
    <w:rsid w:val="009C41EE"/>
    <w:rsid w:val="009C7669"/>
    <w:rsid w:val="009D114E"/>
    <w:rsid w:val="009D5ACE"/>
    <w:rsid w:val="009D5CB2"/>
    <w:rsid w:val="009D6B6D"/>
    <w:rsid w:val="009D6E5D"/>
    <w:rsid w:val="009E0684"/>
    <w:rsid w:val="009E5E6C"/>
    <w:rsid w:val="009E6FA2"/>
    <w:rsid w:val="009E7E5C"/>
    <w:rsid w:val="009F1C7A"/>
    <w:rsid w:val="009F1D3E"/>
    <w:rsid w:val="009F25BF"/>
    <w:rsid w:val="009F5BD9"/>
    <w:rsid w:val="009F5EBC"/>
    <w:rsid w:val="009F6521"/>
    <w:rsid w:val="009F6552"/>
    <w:rsid w:val="00A01010"/>
    <w:rsid w:val="00A03295"/>
    <w:rsid w:val="00A05396"/>
    <w:rsid w:val="00A05BAA"/>
    <w:rsid w:val="00A103A1"/>
    <w:rsid w:val="00A11482"/>
    <w:rsid w:val="00A11985"/>
    <w:rsid w:val="00A11AC1"/>
    <w:rsid w:val="00A11BC3"/>
    <w:rsid w:val="00A12A6A"/>
    <w:rsid w:val="00A16D9D"/>
    <w:rsid w:val="00A24BCD"/>
    <w:rsid w:val="00A26160"/>
    <w:rsid w:val="00A268D2"/>
    <w:rsid w:val="00A2709B"/>
    <w:rsid w:val="00A27262"/>
    <w:rsid w:val="00A27491"/>
    <w:rsid w:val="00A312CC"/>
    <w:rsid w:val="00A343E0"/>
    <w:rsid w:val="00A3517F"/>
    <w:rsid w:val="00A37A1E"/>
    <w:rsid w:val="00A4077E"/>
    <w:rsid w:val="00A408ED"/>
    <w:rsid w:val="00A40C46"/>
    <w:rsid w:val="00A4204B"/>
    <w:rsid w:val="00A42A58"/>
    <w:rsid w:val="00A43FCC"/>
    <w:rsid w:val="00A46B54"/>
    <w:rsid w:val="00A524EB"/>
    <w:rsid w:val="00A52D20"/>
    <w:rsid w:val="00A57E47"/>
    <w:rsid w:val="00A6064A"/>
    <w:rsid w:val="00A60CFD"/>
    <w:rsid w:val="00A619B6"/>
    <w:rsid w:val="00A61BDB"/>
    <w:rsid w:val="00A62388"/>
    <w:rsid w:val="00A6300F"/>
    <w:rsid w:val="00A64F2D"/>
    <w:rsid w:val="00A66622"/>
    <w:rsid w:val="00A66828"/>
    <w:rsid w:val="00A70307"/>
    <w:rsid w:val="00A707F3"/>
    <w:rsid w:val="00A72314"/>
    <w:rsid w:val="00A72EC0"/>
    <w:rsid w:val="00A74B5F"/>
    <w:rsid w:val="00A75504"/>
    <w:rsid w:val="00A757B1"/>
    <w:rsid w:val="00A75D13"/>
    <w:rsid w:val="00A75DCB"/>
    <w:rsid w:val="00A766D6"/>
    <w:rsid w:val="00A77865"/>
    <w:rsid w:val="00A77ACD"/>
    <w:rsid w:val="00A83498"/>
    <w:rsid w:val="00A84F8F"/>
    <w:rsid w:val="00A86896"/>
    <w:rsid w:val="00A879E8"/>
    <w:rsid w:val="00A90967"/>
    <w:rsid w:val="00A90FD1"/>
    <w:rsid w:val="00A91F22"/>
    <w:rsid w:val="00A93670"/>
    <w:rsid w:val="00A94615"/>
    <w:rsid w:val="00A97BD2"/>
    <w:rsid w:val="00AA0C54"/>
    <w:rsid w:val="00AA11A8"/>
    <w:rsid w:val="00AA199C"/>
    <w:rsid w:val="00AA3D96"/>
    <w:rsid w:val="00AA3F59"/>
    <w:rsid w:val="00AA57E6"/>
    <w:rsid w:val="00AA5C83"/>
    <w:rsid w:val="00AA7EFC"/>
    <w:rsid w:val="00AB1EFC"/>
    <w:rsid w:val="00AC0958"/>
    <w:rsid w:val="00AC0D80"/>
    <w:rsid w:val="00AC24A9"/>
    <w:rsid w:val="00AC2F46"/>
    <w:rsid w:val="00AC35A0"/>
    <w:rsid w:val="00AC4D18"/>
    <w:rsid w:val="00AC55C4"/>
    <w:rsid w:val="00AC66FD"/>
    <w:rsid w:val="00AC727E"/>
    <w:rsid w:val="00AD1B98"/>
    <w:rsid w:val="00AD2157"/>
    <w:rsid w:val="00AD2BB6"/>
    <w:rsid w:val="00AD32D5"/>
    <w:rsid w:val="00AD5137"/>
    <w:rsid w:val="00AD6E7A"/>
    <w:rsid w:val="00AD76D8"/>
    <w:rsid w:val="00AE14A3"/>
    <w:rsid w:val="00AE23D2"/>
    <w:rsid w:val="00AE2D75"/>
    <w:rsid w:val="00AE3651"/>
    <w:rsid w:val="00AE5BF0"/>
    <w:rsid w:val="00AE7E4B"/>
    <w:rsid w:val="00AF0AE7"/>
    <w:rsid w:val="00AF3118"/>
    <w:rsid w:val="00AF359B"/>
    <w:rsid w:val="00AF414C"/>
    <w:rsid w:val="00AF66E0"/>
    <w:rsid w:val="00AF75E5"/>
    <w:rsid w:val="00B04CA6"/>
    <w:rsid w:val="00B066E4"/>
    <w:rsid w:val="00B078C0"/>
    <w:rsid w:val="00B07A33"/>
    <w:rsid w:val="00B11515"/>
    <w:rsid w:val="00B1174A"/>
    <w:rsid w:val="00B1260E"/>
    <w:rsid w:val="00B126DC"/>
    <w:rsid w:val="00B12FD6"/>
    <w:rsid w:val="00B13159"/>
    <w:rsid w:val="00B1436F"/>
    <w:rsid w:val="00B15A69"/>
    <w:rsid w:val="00B20732"/>
    <w:rsid w:val="00B23C3C"/>
    <w:rsid w:val="00B2599D"/>
    <w:rsid w:val="00B2634B"/>
    <w:rsid w:val="00B27808"/>
    <w:rsid w:val="00B31FE1"/>
    <w:rsid w:val="00B34BCD"/>
    <w:rsid w:val="00B4017A"/>
    <w:rsid w:val="00B40E83"/>
    <w:rsid w:val="00B41191"/>
    <w:rsid w:val="00B41C11"/>
    <w:rsid w:val="00B432FC"/>
    <w:rsid w:val="00B43ED9"/>
    <w:rsid w:val="00B445C5"/>
    <w:rsid w:val="00B45F1B"/>
    <w:rsid w:val="00B46CDD"/>
    <w:rsid w:val="00B4702D"/>
    <w:rsid w:val="00B47F29"/>
    <w:rsid w:val="00B47FC5"/>
    <w:rsid w:val="00B50E89"/>
    <w:rsid w:val="00B515B6"/>
    <w:rsid w:val="00B52724"/>
    <w:rsid w:val="00B53A0A"/>
    <w:rsid w:val="00B55EE9"/>
    <w:rsid w:val="00B56575"/>
    <w:rsid w:val="00B56BAA"/>
    <w:rsid w:val="00B57B5B"/>
    <w:rsid w:val="00B57DCB"/>
    <w:rsid w:val="00B61F02"/>
    <w:rsid w:val="00B6237D"/>
    <w:rsid w:val="00B62558"/>
    <w:rsid w:val="00B648FA"/>
    <w:rsid w:val="00B6530E"/>
    <w:rsid w:val="00B67E6C"/>
    <w:rsid w:val="00B70998"/>
    <w:rsid w:val="00B723B3"/>
    <w:rsid w:val="00B7305F"/>
    <w:rsid w:val="00B752F1"/>
    <w:rsid w:val="00B764B7"/>
    <w:rsid w:val="00B81F80"/>
    <w:rsid w:val="00B823B1"/>
    <w:rsid w:val="00B83908"/>
    <w:rsid w:val="00B83C7D"/>
    <w:rsid w:val="00B8730D"/>
    <w:rsid w:val="00B87759"/>
    <w:rsid w:val="00B90974"/>
    <w:rsid w:val="00B96B45"/>
    <w:rsid w:val="00BA11C1"/>
    <w:rsid w:val="00BA14D5"/>
    <w:rsid w:val="00BA1DB8"/>
    <w:rsid w:val="00BA2EE0"/>
    <w:rsid w:val="00BA37B8"/>
    <w:rsid w:val="00BA4EB9"/>
    <w:rsid w:val="00BA6428"/>
    <w:rsid w:val="00BB31DC"/>
    <w:rsid w:val="00BB391F"/>
    <w:rsid w:val="00BB4137"/>
    <w:rsid w:val="00BB4B08"/>
    <w:rsid w:val="00BB6095"/>
    <w:rsid w:val="00BB7AC5"/>
    <w:rsid w:val="00BC0480"/>
    <w:rsid w:val="00BC4520"/>
    <w:rsid w:val="00BC5BC5"/>
    <w:rsid w:val="00BC723A"/>
    <w:rsid w:val="00BD0413"/>
    <w:rsid w:val="00BD2A12"/>
    <w:rsid w:val="00BD4039"/>
    <w:rsid w:val="00BD4223"/>
    <w:rsid w:val="00BD47D2"/>
    <w:rsid w:val="00BD4927"/>
    <w:rsid w:val="00BD59F7"/>
    <w:rsid w:val="00BD5BFC"/>
    <w:rsid w:val="00BD73DD"/>
    <w:rsid w:val="00BE2F7A"/>
    <w:rsid w:val="00BE3A71"/>
    <w:rsid w:val="00BE5481"/>
    <w:rsid w:val="00BE6A28"/>
    <w:rsid w:val="00BF164F"/>
    <w:rsid w:val="00BF23AB"/>
    <w:rsid w:val="00BF25E8"/>
    <w:rsid w:val="00BF493B"/>
    <w:rsid w:val="00BF5C1F"/>
    <w:rsid w:val="00BF72C6"/>
    <w:rsid w:val="00C04335"/>
    <w:rsid w:val="00C06EC8"/>
    <w:rsid w:val="00C07703"/>
    <w:rsid w:val="00C07FC8"/>
    <w:rsid w:val="00C10377"/>
    <w:rsid w:val="00C118D0"/>
    <w:rsid w:val="00C12DC0"/>
    <w:rsid w:val="00C13C94"/>
    <w:rsid w:val="00C20532"/>
    <w:rsid w:val="00C21CE4"/>
    <w:rsid w:val="00C230FF"/>
    <w:rsid w:val="00C23C88"/>
    <w:rsid w:val="00C24F2D"/>
    <w:rsid w:val="00C24FDF"/>
    <w:rsid w:val="00C2698F"/>
    <w:rsid w:val="00C27A70"/>
    <w:rsid w:val="00C3086A"/>
    <w:rsid w:val="00C314A7"/>
    <w:rsid w:val="00C31871"/>
    <w:rsid w:val="00C32787"/>
    <w:rsid w:val="00C32B7E"/>
    <w:rsid w:val="00C334AD"/>
    <w:rsid w:val="00C33FDE"/>
    <w:rsid w:val="00C361DA"/>
    <w:rsid w:val="00C36FE8"/>
    <w:rsid w:val="00C42832"/>
    <w:rsid w:val="00C454A1"/>
    <w:rsid w:val="00C46639"/>
    <w:rsid w:val="00C4665C"/>
    <w:rsid w:val="00C51340"/>
    <w:rsid w:val="00C52BD4"/>
    <w:rsid w:val="00C531E4"/>
    <w:rsid w:val="00C536C1"/>
    <w:rsid w:val="00C604C0"/>
    <w:rsid w:val="00C62EE8"/>
    <w:rsid w:val="00C64B4C"/>
    <w:rsid w:val="00C651D2"/>
    <w:rsid w:val="00C65C50"/>
    <w:rsid w:val="00C66F8B"/>
    <w:rsid w:val="00C72448"/>
    <w:rsid w:val="00C74F2F"/>
    <w:rsid w:val="00C7666C"/>
    <w:rsid w:val="00C77F75"/>
    <w:rsid w:val="00C80C0C"/>
    <w:rsid w:val="00C80FA4"/>
    <w:rsid w:val="00C811B6"/>
    <w:rsid w:val="00C82760"/>
    <w:rsid w:val="00C82934"/>
    <w:rsid w:val="00C839CC"/>
    <w:rsid w:val="00C83C57"/>
    <w:rsid w:val="00C84DE5"/>
    <w:rsid w:val="00C908B3"/>
    <w:rsid w:val="00C909A2"/>
    <w:rsid w:val="00C93D7D"/>
    <w:rsid w:val="00C93F8F"/>
    <w:rsid w:val="00C9611F"/>
    <w:rsid w:val="00C96343"/>
    <w:rsid w:val="00C97FEE"/>
    <w:rsid w:val="00CA1750"/>
    <w:rsid w:val="00CA19D9"/>
    <w:rsid w:val="00CA26AE"/>
    <w:rsid w:val="00CA3F9B"/>
    <w:rsid w:val="00CA4F38"/>
    <w:rsid w:val="00CA5AF7"/>
    <w:rsid w:val="00CA635D"/>
    <w:rsid w:val="00CA7E9A"/>
    <w:rsid w:val="00CB145D"/>
    <w:rsid w:val="00CB19EB"/>
    <w:rsid w:val="00CB1B2C"/>
    <w:rsid w:val="00CB3EA0"/>
    <w:rsid w:val="00CC144F"/>
    <w:rsid w:val="00CC2C67"/>
    <w:rsid w:val="00CC3916"/>
    <w:rsid w:val="00CC41E2"/>
    <w:rsid w:val="00CC4D89"/>
    <w:rsid w:val="00CC538E"/>
    <w:rsid w:val="00CC615D"/>
    <w:rsid w:val="00CC65D6"/>
    <w:rsid w:val="00CC6DCC"/>
    <w:rsid w:val="00CC7D5C"/>
    <w:rsid w:val="00CD1583"/>
    <w:rsid w:val="00CD3C99"/>
    <w:rsid w:val="00CE1EC0"/>
    <w:rsid w:val="00CE217C"/>
    <w:rsid w:val="00CE363B"/>
    <w:rsid w:val="00CE4533"/>
    <w:rsid w:val="00CE4B2E"/>
    <w:rsid w:val="00CE6549"/>
    <w:rsid w:val="00CE7977"/>
    <w:rsid w:val="00CF32BD"/>
    <w:rsid w:val="00CF342D"/>
    <w:rsid w:val="00CF3884"/>
    <w:rsid w:val="00CF499A"/>
    <w:rsid w:val="00CF62B9"/>
    <w:rsid w:val="00CF6603"/>
    <w:rsid w:val="00CF7943"/>
    <w:rsid w:val="00CF7AC9"/>
    <w:rsid w:val="00D00D07"/>
    <w:rsid w:val="00D05C1E"/>
    <w:rsid w:val="00D068EB"/>
    <w:rsid w:val="00D1013F"/>
    <w:rsid w:val="00D140CF"/>
    <w:rsid w:val="00D14A94"/>
    <w:rsid w:val="00D14CF9"/>
    <w:rsid w:val="00D14D54"/>
    <w:rsid w:val="00D166CC"/>
    <w:rsid w:val="00D16B8B"/>
    <w:rsid w:val="00D204DE"/>
    <w:rsid w:val="00D218E0"/>
    <w:rsid w:val="00D225C1"/>
    <w:rsid w:val="00D2484B"/>
    <w:rsid w:val="00D2515A"/>
    <w:rsid w:val="00D25999"/>
    <w:rsid w:val="00D25F02"/>
    <w:rsid w:val="00D26BE1"/>
    <w:rsid w:val="00D27544"/>
    <w:rsid w:val="00D27551"/>
    <w:rsid w:val="00D358EA"/>
    <w:rsid w:val="00D401F6"/>
    <w:rsid w:val="00D41C2B"/>
    <w:rsid w:val="00D43059"/>
    <w:rsid w:val="00D431DB"/>
    <w:rsid w:val="00D43511"/>
    <w:rsid w:val="00D44AD7"/>
    <w:rsid w:val="00D4715C"/>
    <w:rsid w:val="00D50129"/>
    <w:rsid w:val="00D50849"/>
    <w:rsid w:val="00D50E12"/>
    <w:rsid w:val="00D50E98"/>
    <w:rsid w:val="00D54A83"/>
    <w:rsid w:val="00D57B2B"/>
    <w:rsid w:val="00D61455"/>
    <w:rsid w:val="00D625C0"/>
    <w:rsid w:val="00D62824"/>
    <w:rsid w:val="00D62CE8"/>
    <w:rsid w:val="00D6317E"/>
    <w:rsid w:val="00D6370F"/>
    <w:rsid w:val="00D637C5"/>
    <w:rsid w:val="00D7083D"/>
    <w:rsid w:val="00D70ABD"/>
    <w:rsid w:val="00D711BB"/>
    <w:rsid w:val="00D721CB"/>
    <w:rsid w:val="00D732BC"/>
    <w:rsid w:val="00D755A1"/>
    <w:rsid w:val="00D76146"/>
    <w:rsid w:val="00D774EA"/>
    <w:rsid w:val="00D77741"/>
    <w:rsid w:val="00D81B45"/>
    <w:rsid w:val="00D81B46"/>
    <w:rsid w:val="00D829A7"/>
    <w:rsid w:val="00D8370C"/>
    <w:rsid w:val="00D8386C"/>
    <w:rsid w:val="00D854FA"/>
    <w:rsid w:val="00D85B47"/>
    <w:rsid w:val="00D864BB"/>
    <w:rsid w:val="00D8767E"/>
    <w:rsid w:val="00D9097D"/>
    <w:rsid w:val="00D93558"/>
    <w:rsid w:val="00D935E8"/>
    <w:rsid w:val="00D93813"/>
    <w:rsid w:val="00D9496A"/>
    <w:rsid w:val="00D96ECE"/>
    <w:rsid w:val="00DA14C9"/>
    <w:rsid w:val="00DA16D5"/>
    <w:rsid w:val="00DA4553"/>
    <w:rsid w:val="00DB4198"/>
    <w:rsid w:val="00DB46DC"/>
    <w:rsid w:val="00DB4741"/>
    <w:rsid w:val="00DC1CA3"/>
    <w:rsid w:val="00DC1F22"/>
    <w:rsid w:val="00DC2C99"/>
    <w:rsid w:val="00DC3684"/>
    <w:rsid w:val="00DC3EEF"/>
    <w:rsid w:val="00DC48BA"/>
    <w:rsid w:val="00DC4EFF"/>
    <w:rsid w:val="00DC514B"/>
    <w:rsid w:val="00DC52E0"/>
    <w:rsid w:val="00DC7288"/>
    <w:rsid w:val="00DD25FB"/>
    <w:rsid w:val="00DD2F91"/>
    <w:rsid w:val="00DD3FFB"/>
    <w:rsid w:val="00DD62BF"/>
    <w:rsid w:val="00DD787E"/>
    <w:rsid w:val="00DD7BF0"/>
    <w:rsid w:val="00DE0C3A"/>
    <w:rsid w:val="00DE3734"/>
    <w:rsid w:val="00DE5423"/>
    <w:rsid w:val="00DE5D12"/>
    <w:rsid w:val="00DE602D"/>
    <w:rsid w:val="00DE6B6F"/>
    <w:rsid w:val="00DE717E"/>
    <w:rsid w:val="00DF2C68"/>
    <w:rsid w:val="00DF3EDA"/>
    <w:rsid w:val="00DF5525"/>
    <w:rsid w:val="00DF69E7"/>
    <w:rsid w:val="00DF6A49"/>
    <w:rsid w:val="00DF7698"/>
    <w:rsid w:val="00DF7D32"/>
    <w:rsid w:val="00E02A92"/>
    <w:rsid w:val="00E02FB8"/>
    <w:rsid w:val="00E037EA"/>
    <w:rsid w:val="00E061F4"/>
    <w:rsid w:val="00E06E4F"/>
    <w:rsid w:val="00E10631"/>
    <w:rsid w:val="00E10F08"/>
    <w:rsid w:val="00E12243"/>
    <w:rsid w:val="00E12499"/>
    <w:rsid w:val="00E138E1"/>
    <w:rsid w:val="00E15571"/>
    <w:rsid w:val="00E16543"/>
    <w:rsid w:val="00E2097F"/>
    <w:rsid w:val="00E20FCD"/>
    <w:rsid w:val="00E2173D"/>
    <w:rsid w:val="00E237C2"/>
    <w:rsid w:val="00E24034"/>
    <w:rsid w:val="00E27BC9"/>
    <w:rsid w:val="00E30B6A"/>
    <w:rsid w:val="00E32773"/>
    <w:rsid w:val="00E32D46"/>
    <w:rsid w:val="00E33D4D"/>
    <w:rsid w:val="00E341C0"/>
    <w:rsid w:val="00E3531A"/>
    <w:rsid w:val="00E355FA"/>
    <w:rsid w:val="00E362BD"/>
    <w:rsid w:val="00E36A05"/>
    <w:rsid w:val="00E40D6E"/>
    <w:rsid w:val="00E40E46"/>
    <w:rsid w:val="00E42145"/>
    <w:rsid w:val="00E4241E"/>
    <w:rsid w:val="00E44C3D"/>
    <w:rsid w:val="00E46B67"/>
    <w:rsid w:val="00E5030A"/>
    <w:rsid w:val="00E515A0"/>
    <w:rsid w:val="00E521EE"/>
    <w:rsid w:val="00E53B3C"/>
    <w:rsid w:val="00E54301"/>
    <w:rsid w:val="00E54653"/>
    <w:rsid w:val="00E547F4"/>
    <w:rsid w:val="00E55060"/>
    <w:rsid w:val="00E55328"/>
    <w:rsid w:val="00E56439"/>
    <w:rsid w:val="00E60946"/>
    <w:rsid w:val="00E635CA"/>
    <w:rsid w:val="00E6445B"/>
    <w:rsid w:val="00E66570"/>
    <w:rsid w:val="00E665C1"/>
    <w:rsid w:val="00E66914"/>
    <w:rsid w:val="00E66A98"/>
    <w:rsid w:val="00E6769C"/>
    <w:rsid w:val="00E70D50"/>
    <w:rsid w:val="00E716C2"/>
    <w:rsid w:val="00E72A3B"/>
    <w:rsid w:val="00E72A4B"/>
    <w:rsid w:val="00E74715"/>
    <w:rsid w:val="00E76211"/>
    <w:rsid w:val="00E76AEC"/>
    <w:rsid w:val="00E8144A"/>
    <w:rsid w:val="00E824BC"/>
    <w:rsid w:val="00E82BDC"/>
    <w:rsid w:val="00E841E3"/>
    <w:rsid w:val="00E86553"/>
    <w:rsid w:val="00E86704"/>
    <w:rsid w:val="00E87935"/>
    <w:rsid w:val="00E90D7C"/>
    <w:rsid w:val="00E93B93"/>
    <w:rsid w:val="00E95CD8"/>
    <w:rsid w:val="00E95DF7"/>
    <w:rsid w:val="00E95EF8"/>
    <w:rsid w:val="00E96F50"/>
    <w:rsid w:val="00EA026E"/>
    <w:rsid w:val="00EB052D"/>
    <w:rsid w:val="00EB21C5"/>
    <w:rsid w:val="00EB248F"/>
    <w:rsid w:val="00EB3139"/>
    <w:rsid w:val="00EC00A3"/>
    <w:rsid w:val="00EC1637"/>
    <w:rsid w:val="00EC3927"/>
    <w:rsid w:val="00EC4B5C"/>
    <w:rsid w:val="00EC4DE9"/>
    <w:rsid w:val="00EC6BEB"/>
    <w:rsid w:val="00ED01C0"/>
    <w:rsid w:val="00ED16CF"/>
    <w:rsid w:val="00ED185A"/>
    <w:rsid w:val="00ED26F9"/>
    <w:rsid w:val="00ED3A92"/>
    <w:rsid w:val="00ED3ED1"/>
    <w:rsid w:val="00ED50EB"/>
    <w:rsid w:val="00EE4544"/>
    <w:rsid w:val="00EE660B"/>
    <w:rsid w:val="00EE660F"/>
    <w:rsid w:val="00EE702D"/>
    <w:rsid w:val="00EF1246"/>
    <w:rsid w:val="00EF40FF"/>
    <w:rsid w:val="00EF4BE9"/>
    <w:rsid w:val="00EF4CE0"/>
    <w:rsid w:val="00EF5587"/>
    <w:rsid w:val="00F00F16"/>
    <w:rsid w:val="00F056E6"/>
    <w:rsid w:val="00F07FDF"/>
    <w:rsid w:val="00F1091E"/>
    <w:rsid w:val="00F12119"/>
    <w:rsid w:val="00F14D3D"/>
    <w:rsid w:val="00F15E1D"/>
    <w:rsid w:val="00F1670E"/>
    <w:rsid w:val="00F169B7"/>
    <w:rsid w:val="00F17A6B"/>
    <w:rsid w:val="00F205D2"/>
    <w:rsid w:val="00F21A0A"/>
    <w:rsid w:val="00F225F9"/>
    <w:rsid w:val="00F25553"/>
    <w:rsid w:val="00F32EFA"/>
    <w:rsid w:val="00F33D55"/>
    <w:rsid w:val="00F3471C"/>
    <w:rsid w:val="00F34FDB"/>
    <w:rsid w:val="00F35223"/>
    <w:rsid w:val="00F3663C"/>
    <w:rsid w:val="00F37BCE"/>
    <w:rsid w:val="00F37FB0"/>
    <w:rsid w:val="00F40294"/>
    <w:rsid w:val="00F412EA"/>
    <w:rsid w:val="00F46AAB"/>
    <w:rsid w:val="00F472BF"/>
    <w:rsid w:val="00F47A18"/>
    <w:rsid w:val="00F51488"/>
    <w:rsid w:val="00F515BD"/>
    <w:rsid w:val="00F51CBF"/>
    <w:rsid w:val="00F51E58"/>
    <w:rsid w:val="00F520F9"/>
    <w:rsid w:val="00F528CE"/>
    <w:rsid w:val="00F533A0"/>
    <w:rsid w:val="00F554C6"/>
    <w:rsid w:val="00F57236"/>
    <w:rsid w:val="00F620F6"/>
    <w:rsid w:val="00F6314C"/>
    <w:rsid w:val="00F631EF"/>
    <w:rsid w:val="00F64F7B"/>
    <w:rsid w:val="00F65832"/>
    <w:rsid w:val="00F6768A"/>
    <w:rsid w:val="00F70614"/>
    <w:rsid w:val="00F714D7"/>
    <w:rsid w:val="00F71DEA"/>
    <w:rsid w:val="00F726E4"/>
    <w:rsid w:val="00F72F37"/>
    <w:rsid w:val="00F73102"/>
    <w:rsid w:val="00F73E38"/>
    <w:rsid w:val="00F77061"/>
    <w:rsid w:val="00F77914"/>
    <w:rsid w:val="00F80134"/>
    <w:rsid w:val="00F80DE0"/>
    <w:rsid w:val="00F83BBB"/>
    <w:rsid w:val="00F86DA9"/>
    <w:rsid w:val="00F91382"/>
    <w:rsid w:val="00F918E2"/>
    <w:rsid w:val="00F91B95"/>
    <w:rsid w:val="00F934AA"/>
    <w:rsid w:val="00F93737"/>
    <w:rsid w:val="00F9384F"/>
    <w:rsid w:val="00F94565"/>
    <w:rsid w:val="00F94A7D"/>
    <w:rsid w:val="00F97007"/>
    <w:rsid w:val="00FA11F0"/>
    <w:rsid w:val="00FA1FE0"/>
    <w:rsid w:val="00FA21B5"/>
    <w:rsid w:val="00FA33AC"/>
    <w:rsid w:val="00FA5F94"/>
    <w:rsid w:val="00FA6521"/>
    <w:rsid w:val="00FA6CC6"/>
    <w:rsid w:val="00FA6CFF"/>
    <w:rsid w:val="00FB0174"/>
    <w:rsid w:val="00FB083A"/>
    <w:rsid w:val="00FB20D6"/>
    <w:rsid w:val="00FB2BC3"/>
    <w:rsid w:val="00FB4D04"/>
    <w:rsid w:val="00FB4E25"/>
    <w:rsid w:val="00FB54D6"/>
    <w:rsid w:val="00FB5824"/>
    <w:rsid w:val="00FB59D1"/>
    <w:rsid w:val="00FC0F45"/>
    <w:rsid w:val="00FC1838"/>
    <w:rsid w:val="00FC192E"/>
    <w:rsid w:val="00FC1E5B"/>
    <w:rsid w:val="00FC31D2"/>
    <w:rsid w:val="00FC3A98"/>
    <w:rsid w:val="00FC45CB"/>
    <w:rsid w:val="00FC5232"/>
    <w:rsid w:val="00FC5DAC"/>
    <w:rsid w:val="00FC5DF3"/>
    <w:rsid w:val="00FC7C5C"/>
    <w:rsid w:val="00FD049B"/>
    <w:rsid w:val="00FD196A"/>
    <w:rsid w:val="00FD23EC"/>
    <w:rsid w:val="00FD26C8"/>
    <w:rsid w:val="00FD4638"/>
    <w:rsid w:val="00FD4B5C"/>
    <w:rsid w:val="00FD5B45"/>
    <w:rsid w:val="00FD7FC3"/>
    <w:rsid w:val="00FE22D2"/>
    <w:rsid w:val="00FE40BA"/>
    <w:rsid w:val="00FE55F2"/>
    <w:rsid w:val="00FE70B5"/>
    <w:rsid w:val="00FE7C79"/>
    <w:rsid w:val="00FF1F67"/>
    <w:rsid w:val="00FF4587"/>
    <w:rsid w:val="00FF5B35"/>
    <w:rsid w:val="00FF654F"/>
    <w:rsid w:val="00FF67DE"/>
    <w:rsid w:val="00FF72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F0AE0"/>
  <w15:docId w15:val="{8E6A47E2-DFCD-4253-B187-A7E091A2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3">
    <w:name w:val="heading 3"/>
    <w:basedOn w:val="Normal"/>
    <w:next w:val="Normal"/>
    <w:link w:val="Heading3Char"/>
    <w:uiPriority w:val="9"/>
    <w:semiHidden/>
    <w:unhideWhenUsed/>
    <w:qFormat/>
    <w:rsid w:val="00512C4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unhideWhenUsed/>
    <w:qFormat/>
    <w:rsid w:val="00A7550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FC1E5B"/>
    <w:rPr>
      <w:caps w:val="0"/>
      <w:smallCaps w:val="0"/>
      <w:strike w:val="0"/>
      <w:dstrike w:val="0"/>
      <w:vanish w:val="0"/>
      <w:vertAlign w:val="superscript"/>
    </w:rPr>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fn,fn Char Char,fn1,fn3,ft"/>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 Char,Footnote Text Char1 Char Char1,Footnote Text Char3 Char,Footnote Text MRP Char,f Char,ft Char Char"/>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qFormat/>
    <w:rsid w:val="009D6B6D"/>
    <w:pPr>
      <w:widowControl/>
      <w:numPr>
        <w:numId w:val="1"/>
      </w:numPr>
      <w:autoSpaceDE/>
      <w:autoSpaceDN/>
      <w:adjustRightInd/>
    </w:pPr>
    <w:rPr>
      <w:sz w:val="26"/>
    </w:rPr>
  </w:style>
  <w:style w:type="character" w:customStyle="1" w:styleId="FootnoteTextChar2">
    <w:name w:val="Footnote Text Char2"/>
    <w:aliases w:val=" Char Char,Char Char,Char Char1 Char1,Footnote Text Char Char Char Char,Footnote Text Char Char Char1,Footnote Text Char Char Char1 Char Char,Footnote Text Char Char1 Char,Footnote Text Char1 Char Char,Footnote Text Char1 Char1"/>
    <w:link w:val="FootnoteText"/>
    <w:locked/>
    <w:rsid w:val="009D6B6D"/>
    <w:rPr>
      <w:rFonts w:eastAsia="Times New Roman"/>
      <w:sz w:val="20"/>
      <w:szCs w:val="20"/>
    </w:rPr>
  </w:style>
  <w:style w:type="character" w:customStyle="1" w:styleId="FERCparanumberChar">
    <w:name w:val="FERC paranumber Char"/>
    <w:link w:val="FERCparanumber"/>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character" w:styleId="UnresolvedMention">
    <w:name w:val="Unresolved Mention"/>
    <w:basedOn w:val="DefaultParagraphFont"/>
    <w:uiPriority w:val="99"/>
    <w:semiHidden/>
    <w:unhideWhenUsed/>
    <w:rsid w:val="00F47A18"/>
    <w:rPr>
      <w:color w:val="605E5C"/>
      <w:shd w:val="clear" w:color="auto" w:fill="E1DFDD"/>
    </w:rPr>
  </w:style>
  <w:style w:type="character" w:customStyle="1" w:styleId="Heading3Char">
    <w:name w:val="Heading 3 Char"/>
    <w:basedOn w:val="DefaultParagraphFont"/>
    <w:link w:val="Heading3"/>
    <w:uiPriority w:val="9"/>
    <w:semiHidden/>
    <w:rsid w:val="00512C48"/>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CA7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OC4">
    <w:name w:val="myTOC 4"/>
    <w:basedOn w:val="Normal"/>
    <w:next w:val="Normal"/>
    <w:rsid w:val="002C7726"/>
    <w:pPr>
      <w:tabs>
        <w:tab w:val="right" w:leader="dot" w:pos="9360"/>
      </w:tabs>
      <w:ind w:left="864"/>
    </w:pPr>
    <w:rPr>
      <w:sz w:val="26"/>
      <w:szCs w:val="26"/>
    </w:rPr>
  </w:style>
  <w:style w:type="character" w:customStyle="1" w:styleId="Heading5Char">
    <w:name w:val="Heading 5 Char"/>
    <w:basedOn w:val="DefaultParagraphFont"/>
    <w:link w:val="Heading5"/>
    <w:uiPriority w:val="9"/>
    <w:rsid w:val="00A75504"/>
    <w:rPr>
      <w:rFonts w:asciiTheme="majorHAnsi" w:eastAsiaTheme="majorEastAsia" w:hAnsiTheme="majorHAnsi" w:cstheme="majorBidi"/>
      <w:color w:val="365F91" w:themeColor="accent1" w:themeShade="BF"/>
      <w:sz w:val="24"/>
      <w:szCs w:val="24"/>
    </w:rPr>
  </w:style>
  <w:style w:type="character" w:styleId="SubtleReference">
    <w:name w:val="Subtle Reference"/>
    <w:basedOn w:val="DefaultParagraphFont"/>
    <w:uiPriority w:val="31"/>
    <w:qFormat/>
    <w:rsid w:val="00FC1E5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ferc-online/etarif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2.xml><?xml version="1.0" encoding="utf-8"?>
<ds:datastoreItem xmlns:ds="http://schemas.openxmlformats.org/officeDocument/2006/customXml" ds:itemID="{C87F8408-1214-4911-88DB-5A72F86C1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0B675-8F3D-4526-8552-03B87C3FA937}">
  <ds:schemaRefs>
    <ds:schemaRef ds:uri="http://schemas.openxmlformats.org/officeDocument/2006/bibliography"/>
  </ds:schemaRefs>
</ds:datastoreItem>
</file>

<file path=customXml/itemProps4.xml><?xml version="1.0" encoding="utf-8"?>
<ds:datastoreItem xmlns:ds="http://schemas.openxmlformats.org/officeDocument/2006/customXml" ds:itemID="{31AC678A-27A8-4A1F-8D0C-B3A31E55376D}">
  <ds:schemaRefs>
    <ds:schemaRef ds:uri="http://schemas.microsoft.com/office/2006/metadata/properties"/>
    <ds:schemaRef ds:uri="d6eefc7d-9817-4fa6-84d5-3bc009be21b8"/>
    <ds:schemaRef ds:uri="http://purl.org/dc/terms/"/>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e029e753-062b-49ce-baa7-feb352134f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2231</Words>
  <Characters>13660</Characters>
  <Application>Microsoft Office Word</Application>
  <DocSecurity>0</DocSecurity>
  <Lines>243</Lines>
  <Paragraphs>81</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 Parekh</dc:creator>
  <cp:lastModifiedBy>Kayla Williams</cp:lastModifiedBy>
  <cp:revision>2</cp:revision>
  <cp:lastPrinted>2018-01-31T02:32:00Z</cp:lastPrinted>
  <dcterms:created xsi:type="dcterms:W3CDTF">2023-12-21T20:34:00Z</dcterms:created>
  <dcterms:modified xsi:type="dcterms:W3CDTF">2023-12-21T20:34:00Z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SIP_Label_6155a89b-0f08-4a93-8ea2-8a916d6643b5_ActionId">
    <vt:lpwstr>57b33751-fbc5-4583-a64b-29d6fc863fe6</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2022-01-04T16:05:54Z</vt:lpwstr>
  </property>
  <property fmtid="{D5CDD505-2E9C-101B-9397-08002B2CF9AE}" pid="9" name="MSIP_Label_6155a89b-0f08-4a93-8ea2-8a916d6643b5_SiteId">
    <vt:lpwstr>19caa9e9-04ff-43fa-885f-d77fac387903</vt:lpwstr>
  </property>
  <property fmtid="{D5CDD505-2E9C-101B-9397-08002B2CF9AE}" pid="10" name="_NewReviewCycle">
    <vt:lpwstr/>
  </property>
</Properties>
</file>