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715" w:rsidRPr="008714EF" w:rsidP="00B803CA" w14:paraId="3126EDBE" w14:textId="0E9822CC">
      <w:pPr>
        <w:pStyle w:val="Title"/>
        <w:spacing w:after="240"/>
        <w:contextualSpacing w:val="0"/>
        <w:jc w:val="center"/>
      </w:pPr>
      <w:r w:rsidRPr="008714EF">
        <w:t>Supporting</w:t>
      </w:r>
      <w:r w:rsidRPr="008714EF">
        <w:rPr>
          <w:spacing w:val="-16"/>
        </w:rPr>
        <w:t xml:space="preserve"> </w:t>
      </w:r>
      <w:r w:rsidRPr="008714EF">
        <w:t>Statement</w:t>
      </w:r>
      <w:r w:rsidRPr="008714EF">
        <w:rPr>
          <w:spacing w:val="-16"/>
        </w:rPr>
        <w:t xml:space="preserve"> </w:t>
      </w:r>
      <w:r w:rsidRPr="008714EF">
        <w:t>for</w:t>
      </w:r>
      <w:r w:rsidRPr="008714EF">
        <w:rPr>
          <w:spacing w:val="-16"/>
        </w:rPr>
        <w:t xml:space="preserve"> </w:t>
      </w:r>
      <w:r w:rsidRPr="008714EF">
        <w:t>an</w:t>
      </w:r>
      <w:r w:rsidRPr="008714EF">
        <w:rPr>
          <w:spacing w:val="-16"/>
        </w:rPr>
        <w:t xml:space="preserve"> </w:t>
      </w:r>
      <w:r w:rsidRPr="008714EF">
        <w:t>Information</w:t>
      </w:r>
      <w:r w:rsidRPr="008714EF">
        <w:rPr>
          <w:spacing w:val="-16"/>
        </w:rPr>
        <w:t xml:space="preserve"> </w:t>
      </w:r>
      <w:r w:rsidRPr="008714EF">
        <w:t>Collection</w:t>
      </w:r>
      <w:r w:rsidRPr="008714EF">
        <w:rPr>
          <w:spacing w:val="-16"/>
        </w:rPr>
        <w:t xml:space="preserve"> </w:t>
      </w:r>
      <w:r w:rsidRPr="008714EF">
        <w:t>Request</w:t>
      </w:r>
      <w:r w:rsidRPr="008714EF">
        <w:rPr>
          <w:spacing w:val="-16"/>
        </w:rPr>
        <w:t xml:space="preserve"> </w:t>
      </w:r>
      <w:r w:rsidRPr="008714EF">
        <w:t xml:space="preserve">(ICR) </w:t>
      </w:r>
      <w:r w:rsidR="000B2512">
        <w:br/>
      </w:r>
      <w:r w:rsidRPr="008714EF">
        <w:rPr>
          <w:spacing w:val="-4"/>
        </w:rPr>
        <w:t>Under</w:t>
      </w:r>
      <w:r w:rsidRPr="008714EF">
        <w:rPr>
          <w:spacing w:val="-20"/>
        </w:rPr>
        <w:t xml:space="preserve"> </w:t>
      </w:r>
      <w:r w:rsidRPr="008714EF">
        <w:rPr>
          <w:spacing w:val="-4"/>
        </w:rPr>
        <w:t>the</w:t>
      </w:r>
      <w:r w:rsidRPr="008714EF">
        <w:rPr>
          <w:spacing w:val="-20"/>
        </w:rPr>
        <w:t xml:space="preserve"> </w:t>
      </w:r>
      <w:r w:rsidRPr="008714EF">
        <w:rPr>
          <w:spacing w:val="-4"/>
        </w:rPr>
        <w:t>Paperwork</w:t>
      </w:r>
      <w:r w:rsidRPr="008714EF">
        <w:rPr>
          <w:spacing w:val="-20"/>
        </w:rPr>
        <w:t xml:space="preserve"> </w:t>
      </w:r>
      <w:r w:rsidRPr="008714EF">
        <w:rPr>
          <w:spacing w:val="-4"/>
        </w:rPr>
        <w:t>Reduction</w:t>
      </w:r>
      <w:r w:rsidRPr="008714EF">
        <w:rPr>
          <w:spacing w:val="-31"/>
        </w:rPr>
        <w:t xml:space="preserve"> </w:t>
      </w:r>
      <w:r w:rsidRPr="008714EF">
        <w:rPr>
          <w:spacing w:val="-4"/>
        </w:rPr>
        <w:t>Act</w:t>
      </w:r>
      <w:r w:rsidRPr="008714EF">
        <w:rPr>
          <w:spacing w:val="-20"/>
        </w:rPr>
        <w:t xml:space="preserve"> </w:t>
      </w:r>
      <w:r w:rsidRPr="008714EF">
        <w:rPr>
          <w:spacing w:val="-4"/>
        </w:rPr>
        <w:t>(PRA)</w:t>
      </w:r>
    </w:p>
    <w:p w:rsidR="006B5715" w:rsidRPr="00B803CA" w:rsidP="00B803CA" w14:paraId="3126EDBF" w14:textId="77777777">
      <w:pPr>
        <w:pStyle w:val="Heading1"/>
      </w:pPr>
      <w:r w:rsidRPr="00B803CA">
        <w:t>EXECUTIVE SUMMARY</w:t>
      </w:r>
    </w:p>
    <w:p w:rsidR="006B5715" w:rsidRPr="008714EF" w:rsidP="00B803CA" w14:paraId="3126EDC0" w14:textId="77777777">
      <w:pPr>
        <w:pStyle w:val="Heading2"/>
      </w:pPr>
      <w:r w:rsidRPr="008714EF">
        <w:t>Identification</w:t>
      </w:r>
      <w:r w:rsidRPr="008714EF">
        <w:rPr>
          <w:spacing w:val="-3"/>
        </w:rPr>
        <w:t xml:space="preserve"> </w:t>
      </w:r>
      <w:r w:rsidRPr="008714EF">
        <w:t>of</w:t>
      </w:r>
      <w:r w:rsidRPr="008714EF">
        <w:rPr>
          <w:spacing w:val="-2"/>
        </w:rPr>
        <w:t xml:space="preserve"> </w:t>
      </w:r>
      <w:r w:rsidRPr="008714EF">
        <w:t>the</w:t>
      </w:r>
      <w:r w:rsidRPr="008714EF">
        <w:rPr>
          <w:spacing w:val="-2"/>
        </w:rPr>
        <w:t xml:space="preserve"> </w:t>
      </w:r>
      <w:r w:rsidRPr="008714EF">
        <w:t>Information</w:t>
      </w:r>
      <w:r w:rsidRPr="008714EF">
        <w:rPr>
          <w:spacing w:val="-4"/>
        </w:rPr>
        <w:t xml:space="preserve"> </w:t>
      </w:r>
      <w:r w:rsidRPr="008714EF">
        <w:t>Collection</w:t>
      </w:r>
      <w:r w:rsidRPr="008714EF">
        <w:rPr>
          <w:spacing w:val="-2"/>
        </w:rPr>
        <w:t xml:space="preserve"> </w:t>
      </w:r>
      <w:r w:rsidRPr="008714EF">
        <w:t>–</w:t>
      </w:r>
      <w:r w:rsidRPr="008714EF">
        <w:rPr>
          <w:spacing w:val="-2"/>
        </w:rPr>
        <w:t xml:space="preserve"> </w:t>
      </w:r>
      <w:r w:rsidRPr="008714EF">
        <w:t>Title</w:t>
      </w:r>
      <w:r w:rsidRPr="008714EF">
        <w:rPr>
          <w:spacing w:val="-2"/>
        </w:rPr>
        <w:t xml:space="preserve"> </w:t>
      </w:r>
      <w:r w:rsidRPr="008714EF">
        <w:t>and</w:t>
      </w:r>
      <w:r w:rsidRPr="008714EF">
        <w:rPr>
          <w:spacing w:val="-2"/>
        </w:rPr>
        <w:t xml:space="preserve"> Numbers</w:t>
      </w:r>
    </w:p>
    <w:p w:rsidR="006B5715" w:rsidRPr="008714EF" w:rsidP="005622DD" w14:paraId="3126EDC1" w14:textId="6AB41B04">
      <w:pPr>
        <w:pStyle w:val="BodyText"/>
        <w:spacing w:before="199" w:after="240"/>
        <w:ind w:left="1000" w:right="843"/>
      </w:pPr>
      <w:r w:rsidRPr="008714EF">
        <w:rPr>
          <w:b/>
          <w:bCs/>
        </w:rPr>
        <w:t>Title:</w:t>
      </w:r>
      <w:r w:rsidRPr="008714EF">
        <w:rPr>
          <w:b/>
          <w:bCs/>
          <w:spacing w:val="-5"/>
        </w:rPr>
        <w:t xml:space="preserve"> </w:t>
      </w:r>
      <w:r w:rsidRPr="008714EF" w:rsidR="00A41BA8">
        <w:t>Trichloro</w:t>
      </w:r>
      <w:r w:rsidRPr="008714EF" w:rsidR="0062471C">
        <w:t>ethylene</w:t>
      </w:r>
      <w:r w:rsidRPr="008714EF">
        <w:t>;</w:t>
      </w:r>
      <w:r w:rsidRPr="008714EF">
        <w:rPr>
          <w:spacing w:val="-4"/>
        </w:rPr>
        <w:t xml:space="preserve"> </w:t>
      </w:r>
      <w:r w:rsidR="005641A1">
        <w:rPr>
          <w:spacing w:val="-4"/>
        </w:rPr>
        <w:t>Regulation</w:t>
      </w:r>
      <w:r w:rsidRPr="008714EF" w:rsidR="001C796A">
        <w:rPr>
          <w:spacing w:val="-4"/>
        </w:rPr>
        <w:t xml:space="preserve"> </w:t>
      </w:r>
      <w:r w:rsidRPr="008714EF">
        <w:t>under</w:t>
      </w:r>
      <w:r w:rsidRPr="008714EF">
        <w:rPr>
          <w:spacing w:val="-4"/>
        </w:rPr>
        <w:t xml:space="preserve"> </w:t>
      </w:r>
      <w:r w:rsidRPr="008714EF" w:rsidR="001C796A">
        <w:rPr>
          <w:spacing w:val="-4"/>
        </w:rPr>
        <w:t>the Toxic Substances Control Act (</w:t>
      </w:r>
      <w:r w:rsidRPr="008714EF">
        <w:t>TSCA</w:t>
      </w:r>
      <w:r w:rsidRPr="008714EF" w:rsidR="001C796A">
        <w:t>)</w:t>
      </w:r>
      <w:r w:rsidR="000B2512">
        <w:t xml:space="preserve">; </w:t>
      </w:r>
      <w:r w:rsidRPr="008714EF">
        <w:t>Proposed</w:t>
      </w:r>
      <w:r w:rsidRPr="008714EF">
        <w:rPr>
          <w:spacing w:val="-4"/>
        </w:rPr>
        <w:t xml:space="preserve"> </w:t>
      </w:r>
      <w:r w:rsidRPr="008714EF">
        <w:t>Rule</w:t>
      </w:r>
      <w:r w:rsidR="000B2512">
        <w:t xml:space="preserve"> (</w:t>
      </w:r>
      <w:r w:rsidRPr="008714EF">
        <w:t>RIN 2070-</w:t>
      </w:r>
      <w:r w:rsidRPr="008714EF" w:rsidR="006C4F3E">
        <w:t>AK83</w:t>
      </w:r>
      <w:r w:rsidRPr="008714EF">
        <w:t>)</w:t>
      </w:r>
    </w:p>
    <w:p w:rsidR="006B5715" w:rsidRPr="008714EF" w:rsidP="005622DD" w14:paraId="3126EDC2" w14:textId="6495E4A4">
      <w:pPr>
        <w:spacing w:before="120" w:after="240"/>
        <w:ind w:left="1000"/>
        <w:rPr>
          <w:sz w:val="24"/>
          <w:szCs w:val="24"/>
        </w:rPr>
      </w:pPr>
      <w:r w:rsidRPr="008714EF">
        <w:rPr>
          <w:b/>
          <w:sz w:val="24"/>
          <w:szCs w:val="24"/>
        </w:rPr>
        <w:t>EPA</w:t>
      </w:r>
      <w:r w:rsidRPr="008714EF">
        <w:rPr>
          <w:b/>
          <w:spacing w:val="-2"/>
          <w:sz w:val="24"/>
          <w:szCs w:val="24"/>
        </w:rPr>
        <w:t xml:space="preserve"> </w:t>
      </w:r>
      <w:r w:rsidRPr="008714EF">
        <w:rPr>
          <w:b/>
          <w:sz w:val="24"/>
          <w:szCs w:val="24"/>
        </w:rPr>
        <w:t>ICR</w:t>
      </w:r>
      <w:r w:rsidRPr="008714EF">
        <w:rPr>
          <w:b/>
          <w:spacing w:val="-2"/>
          <w:sz w:val="24"/>
          <w:szCs w:val="24"/>
        </w:rPr>
        <w:t xml:space="preserve"> </w:t>
      </w:r>
      <w:r w:rsidRPr="008714EF">
        <w:rPr>
          <w:b/>
          <w:sz w:val="24"/>
          <w:szCs w:val="24"/>
        </w:rPr>
        <w:t>No.:</w:t>
      </w:r>
      <w:r w:rsidRPr="008714EF">
        <w:rPr>
          <w:b/>
          <w:spacing w:val="-1"/>
          <w:sz w:val="24"/>
          <w:szCs w:val="24"/>
        </w:rPr>
        <w:t xml:space="preserve"> </w:t>
      </w:r>
      <w:r w:rsidR="00E5174B">
        <w:rPr>
          <w:spacing w:val="-2"/>
          <w:sz w:val="24"/>
          <w:szCs w:val="24"/>
        </w:rPr>
        <w:t>2775</w:t>
      </w:r>
      <w:r w:rsidRPr="008714EF" w:rsidR="00375EEB">
        <w:rPr>
          <w:spacing w:val="-2"/>
          <w:sz w:val="24"/>
          <w:szCs w:val="24"/>
        </w:rPr>
        <w:t>.</w:t>
      </w:r>
      <w:r w:rsidR="000B2512">
        <w:rPr>
          <w:spacing w:val="-2"/>
          <w:sz w:val="24"/>
          <w:szCs w:val="24"/>
        </w:rPr>
        <w:t>01</w:t>
      </w:r>
    </w:p>
    <w:p w:rsidR="006B5715" w:rsidRPr="008714EF" w:rsidP="005622DD" w14:paraId="3126EDC3" w14:textId="774FDD90">
      <w:pPr>
        <w:spacing w:before="121" w:after="240"/>
        <w:ind w:left="1000"/>
        <w:rPr>
          <w:sz w:val="24"/>
          <w:szCs w:val="24"/>
        </w:rPr>
      </w:pPr>
      <w:r w:rsidRPr="008714EF">
        <w:rPr>
          <w:b/>
          <w:sz w:val="24"/>
          <w:szCs w:val="24"/>
        </w:rPr>
        <w:t>OMB</w:t>
      </w:r>
      <w:r w:rsidRPr="008714EF">
        <w:rPr>
          <w:b/>
          <w:spacing w:val="-4"/>
          <w:sz w:val="24"/>
          <w:szCs w:val="24"/>
        </w:rPr>
        <w:t xml:space="preserve"> </w:t>
      </w:r>
      <w:r w:rsidRPr="008714EF">
        <w:rPr>
          <w:b/>
          <w:sz w:val="24"/>
          <w:szCs w:val="24"/>
        </w:rPr>
        <w:t>Control</w:t>
      </w:r>
      <w:r w:rsidRPr="008714EF">
        <w:rPr>
          <w:b/>
          <w:spacing w:val="-4"/>
          <w:sz w:val="24"/>
          <w:szCs w:val="24"/>
        </w:rPr>
        <w:t xml:space="preserve"> </w:t>
      </w:r>
      <w:r w:rsidRPr="008714EF">
        <w:rPr>
          <w:b/>
          <w:sz w:val="24"/>
          <w:szCs w:val="24"/>
        </w:rPr>
        <w:t>No.:</w:t>
      </w:r>
      <w:r w:rsidRPr="008714EF">
        <w:rPr>
          <w:b/>
          <w:spacing w:val="-4"/>
          <w:sz w:val="24"/>
          <w:szCs w:val="24"/>
        </w:rPr>
        <w:t xml:space="preserve"> </w:t>
      </w:r>
      <w:r w:rsidRPr="008714EF" w:rsidR="008835A0">
        <w:rPr>
          <w:sz w:val="24"/>
          <w:szCs w:val="24"/>
        </w:rPr>
        <w:t>2070</w:t>
      </w:r>
      <w:r w:rsidRPr="008714EF" w:rsidR="0034175C">
        <w:rPr>
          <w:sz w:val="24"/>
          <w:szCs w:val="24"/>
        </w:rPr>
        <w:t>-</w:t>
      </w:r>
      <w:r w:rsidRPr="008714EF" w:rsidR="008835A0">
        <w:rPr>
          <w:sz w:val="24"/>
          <w:szCs w:val="24"/>
        </w:rPr>
        <w:t>NEW</w:t>
      </w:r>
    </w:p>
    <w:p w:rsidR="006B5715" w:rsidRPr="008714EF" w:rsidP="005622DD" w14:paraId="3126EDC4" w14:textId="74076198">
      <w:pPr>
        <w:spacing w:before="120" w:after="240"/>
        <w:ind w:left="1000"/>
        <w:rPr>
          <w:sz w:val="24"/>
          <w:szCs w:val="24"/>
        </w:rPr>
      </w:pPr>
      <w:r w:rsidRPr="008714EF">
        <w:rPr>
          <w:b/>
          <w:sz w:val="24"/>
          <w:szCs w:val="24"/>
        </w:rPr>
        <w:t>Docket</w:t>
      </w:r>
      <w:r w:rsidRPr="008714EF">
        <w:rPr>
          <w:b/>
          <w:spacing w:val="-9"/>
          <w:sz w:val="24"/>
          <w:szCs w:val="24"/>
        </w:rPr>
        <w:t xml:space="preserve"> </w:t>
      </w:r>
      <w:r w:rsidRPr="008714EF">
        <w:rPr>
          <w:b/>
          <w:sz w:val="24"/>
          <w:szCs w:val="24"/>
        </w:rPr>
        <w:t>ID</w:t>
      </w:r>
      <w:r w:rsidRPr="008714EF">
        <w:rPr>
          <w:b/>
          <w:spacing w:val="-8"/>
          <w:sz w:val="24"/>
          <w:szCs w:val="24"/>
        </w:rPr>
        <w:t xml:space="preserve"> </w:t>
      </w:r>
      <w:r w:rsidRPr="008714EF">
        <w:rPr>
          <w:b/>
          <w:sz w:val="24"/>
          <w:szCs w:val="24"/>
        </w:rPr>
        <w:t>No.:</w:t>
      </w:r>
      <w:r w:rsidRPr="008714EF">
        <w:rPr>
          <w:b/>
          <w:spacing w:val="-9"/>
          <w:sz w:val="24"/>
          <w:szCs w:val="24"/>
        </w:rPr>
        <w:t xml:space="preserve"> </w:t>
      </w:r>
      <w:r w:rsidRPr="008714EF">
        <w:rPr>
          <w:sz w:val="24"/>
          <w:szCs w:val="24"/>
        </w:rPr>
        <w:t>EPA-HQ-OPPT-202</w:t>
      </w:r>
      <w:r w:rsidRPr="008714EF" w:rsidR="00F5442D">
        <w:rPr>
          <w:sz w:val="24"/>
          <w:szCs w:val="24"/>
        </w:rPr>
        <w:t>0</w:t>
      </w:r>
      <w:r w:rsidRPr="008714EF">
        <w:rPr>
          <w:sz w:val="24"/>
          <w:szCs w:val="24"/>
        </w:rPr>
        <w:t>-</w:t>
      </w:r>
      <w:r w:rsidRPr="008714EF">
        <w:rPr>
          <w:spacing w:val="-4"/>
          <w:sz w:val="24"/>
          <w:szCs w:val="24"/>
        </w:rPr>
        <w:t>0</w:t>
      </w:r>
      <w:r w:rsidRPr="008714EF" w:rsidR="00375EEB">
        <w:rPr>
          <w:spacing w:val="-4"/>
          <w:sz w:val="24"/>
          <w:szCs w:val="24"/>
        </w:rPr>
        <w:t>642</w:t>
      </w:r>
    </w:p>
    <w:p w:rsidR="006B5715" w:rsidRPr="00B803CA" w:rsidP="00B803CA" w14:paraId="3126EDC5" w14:textId="77777777">
      <w:pPr>
        <w:pStyle w:val="Heading2"/>
      </w:pPr>
      <w:r w:rsidRPr="00B803CA">
        <w:t>Abstract</w:t>
      </w:r>
    </w:p>
    <w:p w:rsidR="00DC3110" w:rsidRPr="008714EF" w:rsidP="00194962" w14:paraId="16BB7409" w14:textId="301EBDAF">
      <w:pPr>
        <w:pStyle w:val="BodyText"/>
        <w:spacing w:after="240" w:line="276" w:lineRule="auto"/>
        <w:ind w:left="279" w:right="878"/>
      </w:pPr>
      <w:r w:rsidRPr="008714EF">
        <w:t xml:space="preserve">The Environmental Protection Agency (EPA) proposed </w:t>
      </w:r>
      <w:r w:rsidRPr="008714EF" w:rsidR="00B6558E">
        <w:t xml:space="preserve">a </w:t>
      </w:r>
      <w:r w:rsidRPr="008714EF">
        <w:t xml:space="preserve">rule </w:t>
      </w:r>
      <w:r w:rsidRPr="008714EF" w:rsidR="00B6558E">
        <w:t xml:space="preserve">under section 6 of the Toxic Substances Control Act (TSCA) </w:t>
      </w:r>
      <w:r w:rsidRPr="008714EF">
        <w:t>to address</w:t>
      </w:r>
      <w:r w:rsidRPr="008714EF">
        <w:rPr>
          <w:spacing w:val="-3"/>
        </w:rPr>
        <w:t xml:space="preserve"> </w:t>
      </w:r>
      <w:r w:rsidRPr="008714EF" w:rsidR="00B6558E">
        <w:rPr>
          <w:spacing w:val="-3"/>
        </w:rPr>
        <w:t xml:space="preserve">the </w:t>
      </w:r>
      <w:r w:rsidRPr="008714EF">
        <w:t>unreasonable</w:t>
      </w:r>
      <w:r w:rsidRPr="008714EF">
        <w:rPr>
          <w:spacing w:val="-3"/>
        </w:rPr>
        <w:t xml:space="preserve"> </w:t>
      </w:r>
      <w:r w:rsidRPr="008714EF">
        <w:t>risk</w:t>
      </w:r>
      <w:r w:rsidRPr="008714EF">
        <w:rPr>
          <w:spacing w:val="-3"/>
        </w:rPr>
        <w:t xml:space="preserve"> </w:t>
      </w:r>
      <w:r w:rsidRPr="008714EF">
        <w:t>to</w:t>
      </w:r>
      <w:r w:rsidRPr="008714EF">
        <w:rPr>
          <w:spacing w:val="-3"/>
        </w:rPr>
        <w:t xml:space="preserve"> </w:t>
      </w:r>
      <w:r w:rsidRPr="008714EF">
        <w:t>human</w:t>
      </w:r>
      <w:r w:rsidRPr="008714EF">
        <w:rPr>
          <w:spacing w:val="-3"/>
        </w:rPr>
        <w:t xml:space="preserve"> </w:t>
      </w:r>
      <w:r w:rsidRPr="008714EF">
        <w:t>health</w:t>
      </w:r>
      <w:r w:rsidRPr="008714EF">
        <w:rPr>
          <w:spacing w:val="-3"/>
        </w:rPr>
        <w:t xml:space="preserve"> </w:t>
      </w:r>
      <w:r w:rsidRPr="008714EF" w:rsidR="00B6558E">
        <w:rPr>
          <w:spacing w:val="-3"/>
        </w:rPr>
        <w:t>presented by</w:t>
      </w:r>
      <w:r w:rsidRPr="008714EF">
        <w:rPr>
          <w:spacing w:val="-3"/>
        </w:rPr>
        <w:t xml:space="preserve"> </w:t>
      </w:r>
      <w:r w:rsidRPr="008714EF" w:rsidR="00487BD1">
        <w:t>tri</w:t>
      </w:r>
      <w:r w:rsidRPr="008714EF" w:rsidR="001916CC">
        <w:t>chloroethylene (</w:t>
      </w:r>
      <w:r w:rsidRPr="008714EF" w:rsidR="00487BD1">
        <w:t>T</w:t>
      </w:r>
      <w:r w:rsidRPr="008714EF" w:rsidR="001916CC">
        <w:t>CE)</w:t>
      </w:r>
      <w:r w:rsidRPr="008714EF">
        <w:t>. The proposed rule would</w:t>
      </w:r>
      <w:r w:rsidRPr="008714EF">
        <w:t>:</w:t>
      </w:r>
    </w:p>
    <w:p w:rsidR="009906C7" w:rsidRPr="008714EF" w:rsidP="00DC3110" w14:paraId="74345F11" w14:textId="47517BBD">
      <w:pPr>
        <w:pStyle w:val="BodyText"/>
        <w:numPr>
          <w:ilvl w:val="0"/>
          <w:numId w:val="6"/>
        </w:numPr>
        <w:spacing w:after="240" w:line="276" w:lineRule="auto"/>
        <w:ind w:right="878"/>
      </w:pPr>
      <w:r w:rsidRPr="008714EF">
        <w:t>P</w:t>
      </w:r>
      <w:r w:rsidRPr="008714EF" w:rsidR="003E01EA">
        <w:t xml:space="preserve">rohibit the manufacture (including import), </w:t>
      </w:r>
      <w:r w:rsidRPr="008714EF" w:rsidR="00371CAE">
        <w:t xml:space="preserve">processing, </w:t>
      </w:r>
      <w:r w:rsidRPr="008714EF">
        <w:t xml:space="preserve">and </w:t>
      </w:r>
      <w:r w:rsidRPr="008714EF" w:rsidR="00371CAE">
        <w:t xml:space="preserve">distribution in commerce of </w:t>
      </w:r>
      <w:r w:rsidRPr="008714EF" w:rsidR="00121576">
        <w:t>T</w:t>
      </w:r>
      <w:r w:rsidRPr="008714EF" w:rsidR="00371CAE">
        <w:t xml:space="preserve">CE for </w:t>
      </w:r>
      <w:r w:rsidRPr="008714EF" w:rsidR="00121576">
        <w:t>all</w:t>
      </w:r>
      <w:r w:rsidRPr="008714EF" w:rsidR="00371CAE">
        <w:t xml:space="preserve"> </w:t>
      </w:r>
      <w:r w:rsidR="00F67319">
        <w:t>uses (including all consumer uses)</w:t>
      </w:r>
      <w:r w:rsidRPr="008714EF" w:rsidR="0048662E">
        <w:t xml:space="preserve">, </w:t>
      </w:r>
      <w:r w:rsidRPr="008714EF">
        <w:t xml:space="preserve">with longer </w:t>
      </w:r>
      <w:r w:rsidRPr="008714EF" w:rsidR="00634122">
        <w:t xml:space="preserve">compliance </w:t>
      </w:r>
      <w:r w:rsidRPr="008714EF">
        <w:t xml:space="preserve">timeframes for manufacture and processing related to </w:t>
      </w:r>
      <w:r w:rsidRPr="008714EF" w:rsidR="0048662E">
        <w:t xml:space="preserve">certain </w:t>
      </w:r>
      <w:r w:rsidRPr="008714EF" w:rsidR="0048662E">
        <w:t>uses</w:t>
      </w:r>
      <w:r w:rsidRPr="008714EF" w:rsidR="00371CAE">
        <w:t>;</w:t>
      </w:r>
      <w:r w:rsidRPr="008714EF" w:rsidR="00371CAE">
        <w:t xml:space="preserve"> </w:t>
      </w:r>
    </w:p>
    <w:p w:rsidR="00A2353F" w:rsidRPr="008714EF" w:rsidP="00A2353F" w14:paraId="417C9276" w14:textId="2E616761">
      <w:pPr>
        <w:pStyle w:val="BodyText"/>
        <w:numPr>
          <w:ilvl w:val="0"/>
          <w:numId w:val="6"/>
        </w:numPr>
        <w:spacing w:after="240" w:line="276" w:lineRule="auto"/>
        <w:ind w:right="878"/>
      </w:pPr>
      <w:r w:rsidRPr="008714EF">
        <w:t xml:space="preserve">Prohibit the industrial and commercial use of TCE, with longer </w:t>
      </w:r>
      <w:r w:rsidRPr="008714EF" w:rsidR="00634122">
        <w:t xml:space="preserve">compliance </w:t>
      </w:r>
      <w:r w:rsidRPr="008714EF">
        <w:t xml:space="preserve">timeframes for certain </w:t>
      </w:r>
      <w:r w:rsidRPr="008714EF">
        <w:t>uses;</w:t>
      </w:r>
      <w:r w:rsidRPr="008714EF">
        <w:t xml:space="preserve"> </w:t>
      </w:r>
    </w:p>
    <w:p w:rsidR="00A2353F" w:rsidRPr="008714EF" w:rsidP="00A2353F" w14:paraId="630B9C25" w14:textId="1C04D761">
      <w:pPr>
        <w:pStyle w:val="BodyText"/>
        <w:numPr>
          <w:ilvl w:val="0"/>
          <w:numId w:val="6"/>
        </w:numPr>
        <w:spacing w:after="240" w:line="276" w:lineRule="auto"/>
        <w:ind w:right="878"/>
      </w:pPr>
      <w:r w:rsidRPr="008714EF">
        <w:t>Prohibit the manufacture (including import) and processing of TCE as an intermediate</w:t>
      </w:r>
      <w:r w:rsidR="00F67319">
        <w:t xml:space="preserve"> for the manufacturing of hydrofluorocarbon 134a (HFC-134a),</w:t>
      </w:r>
      <w:r w:rsidRPr="008714EF">
        <w:t xml:space="preserve"> following an 8</w:t>
      </w:r>
      <w:r w:rsidRPr="008714EF" w:rsidR="00CE0101">
        <w:t>.5</w:t>
      </w:r>
      <w:r w:rsidRPr="008714EF">
        <w:t xml:space="preserve">-year </w:t>
      </w:r>
      <w:r w:rsidRPr="008714EF">
        <w:t>phaseout;</w:t>
      </w:r>
      <w:r w:rsidRPr="008714EF">
        <w:t xml:space="preserve"> </w:t>
      </w:r>
    </w:p>
    <w:p w:rsidR="00634122" w:rsidP="2DC3184F" w14:paraId="6DFD1A92" w14:textId="68E103DD">
      <w:pPr>
        <w:pStyle w:val="BodyText"/>
        <w:numPr>
          <w:ilvl w:val="0"/>
          <w:numId w:val="6"/>
        </w:numPr>
        <w:spacing w:after="240" w:line="276" w:lineRule="auto"/>
        <w:ind w:right="878"/>
      </w:pPr>
      <w:r w:rsidRPr="008714EF">
        <w:t>Prohibit the industrial and commercial use of TCE as a solvent for closed-loop batch vapor degreasing for rayon fabric scouring for end use in solid rocket booster nozzle production by Federal agencies or their contractors</w:t>
      </w:r>
      <w:r w:rsidRPr="008714EF" w:rsidR="00117D52">
        <w:t xml:space="preserve">, following a 10-year </w:t>
      </w:r>
      <w:r w:rsidRPr="008714EF" w:rsidR="00117D52">
        <w:t>phaseout</w:t>
      </w:r>
      <w:r w:rsidRPr="008714EF">
        <w:t>;</w:t>
      </w:r>
    </w:p>
    <w:p w:rsidR="00C03780" w:rsidRPr="008714EF" w:rsidP="2DC3184F" w14:paraId="1B5E2DD9" w14:textId="7CDFF575">
      <w:pPr>
        <w:pStyle w:val="BodyText"/>
        <w:numPr>
          <w:ilvl w:val="0"/>
          <w:numId w:val="6"/>
        </w:numPr>
        <w:spacing w:after="240" w:line="276" w:lineRule="auto"/>
        <w:ind w:right="878"/>
      </w:pPr>
      <w:r w:rsidRPr="00C03780">
        <w:t xml:space="preserve">For Department of Defense (DoD) naval vessels and their systems, and in the maintenance, fabrication, and sustainment for and of such vessels and systems,  prohibit the industrial and commercial use of TCE as potting compounds for naval electronic systems and equipment; sealing compounds for high and ultra- high vacuum systems; bonding compounds for materials testing and maintenance of underwater systems and bonding of nonmetallic materials; and cleaning requirements (which includes degreasing using wipes, sprays, solvents and vapor degreasing) for: materials and components required for military </w:t>
      </w:r>
      <w:r w:rsidRPr="00C03780">
        <w:t>ordinance testing; temporary resin repairs in vessel spaces where welding is not authorized; ensuring polyurethane adhesion for electronic systems and equipment repair and installation of elastomeric materials; various naval combat systems, radars, sensors, equipment; fabrication and prototyping processes to remove coolant and other residue from machine parts; machined part fabrications for naval systems; installation of topside rubber tile material aboard vessels; and vapor degreasing required for substrate  surface preparation prior to electroplating processes, following a 10-year TSCA section 6(g) exemption</w:t>
      </w:r>
      <w:r>
        <w:t>;</w:t>
      </w:r>
    </w:p>
    <w:p w:rsidR="00A2353F" w:rsidRPr="008714EF" w:rsidP="00A2353F" w14:paraId="4F722B21" w14:textId="62DC49F3">
      <w:pPr>
        <w:pStyle w:val="BodyText"/>
        <w:numPr>
          <w:ilvl w:val="0"/>
          <w:numId w:val="6"/>
        </w:numPr>
        <w:spacing w:after="240" w:line="276" w:lineRule="auto"/>
        <w:ind w:right="878"/>
      </w:pPr>
      <w:r w:rsidRPr="008714EF">
        <w:t>Prohibit the manufactur</w:t>
      </w:r>
      <w:r w:rsidRPr="008714EF" w:rsidR="006C4F3E">
        <w:t>e</w:t>
      </w:r>
      <w:r w:rsidRPr="008714EF">
        <w:t xml:space="preserve"> (including import), processing, distribution in commerce, and use of TCE as a processing aid for battery separator manufacturing</w:t>
      </w:r>
      <w:r w:rsidR="00F67319">
        <w:t>,</w:t>
      </w:r>
      <w:r w:rsidRPr="008714EF">
        <w:t xml:space="preserve"> following a 10-year TSCA section 6(g) </w:t>
      </w:r>
      <w:r w:rsidRPr="008714EF">
        <w:t>exemption;</w:t>
      </w:r>
      <w:r w:rsidRPr="008714EF">
        <w:t xml:space="preserve"> </w:t>
      </w:r>
    </w:p>
    <w:p w:rsidR="001F1142" w:rsidP="000A017A" w14:paraId="2DD5E971" w14:textId="791D2C06">
      <w:pPr>
        <w:pStyle w:val="BodyText"/>
        <w:numPr>
          <w:ilvl w:val="0"/>
          <w:numId w:val="6"/>
        </w:numPr>
        <w:spacing w:after="240" w:line="276" w:lineRule="auto"/>
        <w:ind w:right="839"/>
      </w:pPr>
      <w:r>
        <w:t>Prohibit the manufactur</w:t>
      </w:r>
      <w:r w:rsidR="00634122">
        <w:t>e</w:t>
      </w:r>
      <w:r>
        <w:t xml:space="preserve"> (including import), processing, distribution in commerce, and use of TCE as a laboratory chemical </w:t>
      </w:r>
      <w:r w:rsidR="621D58D6">
        <w:t>for essential laboratory activities</w:t>
      </w:r>
      <w:r w:rsidRPr="000E30F0" w:rsidR="000E30F0">
        <w:rPr>
          <w:rFonts w:cs="Times New Roman"/>
        </w:rPr>
        <w:t xml:space="preserve"> </w:t>
      </w:r>
      <w:r w:rsidR="000E30F0">
        <w:rPr>
          <w:rFonts w:cs="Times New Roman"/>
        </w:rPr>
        <w:t>and some research and development activities</w:t>
      </w:r>
      <w:r w:rsidR="00F67319">
        <w:t>,</w:t>
      </w:r>
      <w:r>
        <w:t xml:space="preserve"> following </w:t>
      </w:r>
      <w:bookmarkStart w:id="0" w:name="_Hlk146182620"/>
      <w:r>
        <w:t xml:space="preserve">a </w:t>
      </w:r>
      <w:bookmarkStart w:id="1" w:name="_Hlk146182708"/>
      <w:r w:rsidR="00C03780">
        <w:t>50</w:t>
      </w:r>
      <w:bookmarkEnd w:id="1"/>
      <w:r>
        <w:t>-year</w:t>
      </w:r>
      <w:bookmarkEnd w:id="0"/>
      <w:r>
        <w:t xml:space="preserve"> TSCA section 6(g) </w:t>
      </w:r>
      <w:r>
        <w:t>exemption;</w:t>
      </w:r>
    </w:p>
    <w:p w:rsidR="00A2353F" w:rsidP="000A017A" w14:paraId="69ED7C35" w14:textId="2382C485">
      <w:pPr>
        <w:pStyle w:val="BodyText"/>
        <w:numPr>
          <w:ilvl w:val="0"/>
          <w:numId w:val="6"/>
        </w:numPr>
        <w:spacing w:after="240" w:line="276" w:lineRule="auto"/>
        <w:ind w:right="839"/>
      </w:pPr>
      <w:r w:rsidRPr="001F1142">
        <w:t xml:space="preserve">Prohibit the manufacture (including import), processing, distribution in commerce, and industrial and commercial use of TCE </w:t>
      </w:r>
      <w:r w:rsidR="00F72230">
        <w:t xml:space="preserve">as a solvent </w:t>
      </w:r>
      <w:r w:rsidRPr="001F1142">
        <w:t xml:space="preserve">in closed loop vapor degreasing necessary for human-rated rocket engine cleaning by NASA and its contractors, following a 7-year TSCA section 6(g) </w:t>
      </w:r>
      <w:r w:rsidRPr="001F1142">
        <w:t>exemption</w:t>
      </w:r>
      <w:r w:rsidR="00E11863">
        <w:t>;</w:t>
      </w:r>
      <w:r>
        <w:t xml:space="preserve"> </w:t>
      </w:r>
    </w:p>
    <w:p w:rsidR="00A84EDD" w:rsidRPr="008714EF" w:rsidP="000A017A" w14:paraId="6AB9F483" w14:textId="690E4CEE">
      <w:pPr>
        <w:pStyle w:val="BodyText"/>
        <w:numPr>
          <w:ilvl w:val="0"/>
          <w:numId w:val="6"/>
        </w:numPr>
        <w:spacing w:after="240" w:line="276" w:lineRule="auto"/>
        <w:ind w:right="839"/>
      </w:pPr>
      <w:r w:rsidRPr="00A84EDD">
        <w:rPr>
          <w:bCs/>
        </w:rPr>
        <w:t xml:space="preserve">Prohibit the </w:t>
      </w:r>
      <w:r w:rsidRPr="00A84EDD">
        <w:t>emergency industrial and commercial use of TCE in furtherance of N</w:t>
      </w:r>
      <w:r w:rsidR="003D1326">
        <w:t xml:space="preserve">ational </w:t>
      </w:r>
      <w:r w:rsidRPr="00A84EDD">
        <w:t>A</w:t>
      </w:r>
      <w:r w:rsidR="002A445C">
        <w:t xml:space="preserve">eronautics and </w:t>
      </w:r>
      <w:r w:rsidRPr="00A84EDD">
        <w:t>S</w:t>
      </w:r>
      <w:r w:rsidR="002A445C">
        <w:t xml:space="preserve">pace </w:t>
      </w:r>
      <w:r w:rsidRPr="00A84EDD">
        <w:t>A</w:t>
      </w:r>
      <w:r w:rsidR="002A445C">
        <w:t>dministration</w:t>
      </w:r>
      <w:r w:rsidRPr="00A84EDD">
        <w:t xml:space="preserve">’s mission </w:t>
      </w:r>
      <w:r w:rsidR="008A6088">
        <w:t xml:space="preserve">for specific conditions </w:t>
      </w:r>
      <w:r w:rsidR="0077545D">
        <w:t xml:space="preserve">which are critical or essential and for which </w:t>
      </w:r>
      <w:r w:rsidR="00AD09DA">
        <w:t>n</w:t>
      </w:r>
      <w:r w:rsidR="0077545D">
        <w:t>o</w:t>
      </w:r>
      <w:r w:rsidR="0077545D">
        <w:t xml:space="preserve"> technically and economically feasible safer alternative i</w:t>
      </w:r>
      <w:r w:rsidR="0004670A">
        <w:t>s</w:t>
      </w:r>
      <w:r w:rsidR="0077545D">
        <w:t xml:space="preserve"> available</w:t>
      </w:r>
      <w:r w:rsidRPr="00A84EDD">
        <w:t>, following a 10-year TSCA section 6(g) exemption;</w:t>
      </w:r>
    </w:p>
    <w:p w:rsidR="00B15992" w:rsidRPr="008714EF" w:rsidP="00DC3110" w14:paraId="2967165A" w14:textId="265FA749">
      <w:pPr>
        <w:pStyle w:val="BodyText"/>
        <w:numPr>
          <w:ilvl w:val="0"/>
          <w:numId w:val="6"/>
        </w:numPr>
        <w:spacing w:after="240" w:line="276" w:lineRule="auto"/>
        <w:ind w:right="878"/>
      </w:pPr>
      <w:r>
        <w:t xml:space="preserve">Require strict workplace controls, including </w:t>
      </w:r>
      <w:r w:rsidR="00634122">
        <w:t xml:space="preserve">compliance with </w:t>
      </w:r>
      <w:r>
        <w:t xml:space="preserve">a TCE workplace chemical protection program (WCPP), which would include requirements for an inhalation exposure limit and </w:t>
      </w:r>
      <w:r w:rsidR="00634122">
        <w:t>dermal protection</w:t>
      </w:r>
      <w:r>
        <w:t xml:space="preserve"> to limit exposure to TCE, for conditions of use with long term phaseouts or time-limited exemptions under TSCA section </w:t>
      </w:r>
      <w:r>
        <w:t>6(g);</w:t>
      </w:r>
      <w:r>
        <w:t xml:space="preserve"> </w:t>
      </w:r>
    </w:p>
    <w:p w:rsidR="00AA299C" w:rsidRPr="008714EF" w:rsidP="00DC3110" w14:paraId="57D38142" w14:textId="6F2ECB00">
      <w:pPr>
        <w:pStyle w:val="BodyText"/>
        <w:numPr>
          <w:ilvl w:val="0"/>
          <w:numId w:val="6"/>
        </w:numPr>
        <w:spacing w:after="240" w:line="276" w:lineRule="auto"/>
        <w:ind w:right="878"/>
      </w:pPr>
      <w:r>
        <w:t>P</w:t>
      </w:r>
      <w:r>
        <w:t>rohibit</w:t>
      </w:r>
      <w:r w:rsidR="00F67319">
        <w:t>, due to worker risks,</w:t>
      </w:r>
      <w:r>
        <w:t xml:space="preserve"> the disposal of TCE </w:t>
      </w:r>
      <w:r w:rsidR="19D2EB6D">
        <w:t xml:space="preserve">to </w:t>
      </w:r>
      <w:r w:rsidR="66076230">
        <w:t>industrial pre-treatment, industrial treatment, or publicly owned treatment works</w:t>
      </w:r>
      <w:r w:rsidR="00962670">
        <w:t xml:space="preserve"> with a </w:t>
      </w:r>
      <w:r w:rsidR="00290378">
        <w:t>50-year</w:t>
      </w:r>
      <w:r w:rsidR="00962670">
        <w:t xml:space="preserve"> </w:t>
      </w:r>
      <w:r w:rsidR="00732C83">
        <w:t xml:space="preserve">TSCA section 6(g) </w:t>
      </w:r>
      <w:r w:rsidR="00962670">
        <w:t xml:space="preserve">exemption for cleanup </w:t>
      </w:r>
      <w:r w:rsidR="00D61BE2">
        <w:t>projects</w:t>
      </w:r>
      <w:r>
        <w:t>;</w:t>
      </w:r>
      <w:r>
        <w:t xml:space="preserve"> </w:t>
      </w:r>
    </w:p>
    <w:p w:rsidR="00E6109E" w:rsidRPr="008714EF" w:rsidP="00542678" w14:paraId="3E8F61B9" w14:textId="39B86DA5">
      <w:pPr>
        <w:pStyle w:val="BodyText"/>
        <w:numPr>
          <w:ilvl w:val="0"/>
          <w:numId w:val="6"/>
        </w:numPr>
        <w:spacing w:after="240" w:line="276" w:lineRule="auto"/>
        <w:ind w:right="878"/>
      </w:pPr>
      <w:r w:rsidRPr="008714EF">
        <w:t>E</w:t>
      </w:r>
      <w:r w:rsidRPr="008714EF" w:rsidR="00CC4220">
        <w:t>stablish recordkeeping and downstream notification requirements.</w:t>
      </w:r>
      <w:r w:rsidRPr="008714EF" w:rsidR="00371CAE">
        <w:t xml:space="preserve"> </w:t>
      </w:r>
    </w:p>
    <w:p w:rsidR="00236488" w:rsidRPr="008714EF" w:rsidP="00194962" w14:paraId="7E389412" w14:textId="0A16290C">
      <w:pPr>
        <w:pStyle w:val="BodyText"/>
        <w:spacing w:after="240" w:line="276" w:lineRule="auto"/>
        <w:ind w:left="279" w:right="878"/>
      </w:pPr>
      <w:r w:rsidRPr="008714EF">
        <w:t xml:space="preserve">The </w:t>
      </w:r>
      <w:r w:rsidRPr="008714EF" w:rsidR="00391E2E">
        <w:t xml:space="preserve">information collection activities </w:t>
      </w:r>
      <w:r w:rsidRPr="008714EF">
        <w:t xml:space="preserve">contained in </w:t>
      </w:r>
      <w:r w:rsidRPr="008714EF" w:rsidR="007071B6">
        <w:t xml:space="preserve">the proposed rule </w:t>
      </w:r>
      <w:r w:rsidRPr="008714EF" w:rsidR="007D7BF3">
        <w:t>are</w:t>
      </w:r>
      <w:r w:rsidRPr="008714EF">
        <w:t>:</w:t>
      </w:r>
    </w:p>
    <w:p w:rsidR="00464536" w:rsidRPr="008714EF" w:rsidP="00236488" w14:paraId="37B504CE" w14:textId="1B364295">
      <w:pPr>
        <w:pStyle w:val="BodyText"/>
        <w:numPr>
          <w:ilvl w:val="0"/>
          <w:numId w:val="6"/>
        </w:numPr>
        <w:spacing w:after="240" w:line="276" w:lineRule="auto"/>
        <w:ind w:right="878"/>
      </w:pPr>
      <w:r w:rsidRPr="008714EF">
        <w:t>D</w:t>
      </w:r>
      <w:r w:rsidRPr="008714EF" w:rsidR="002D456A">
        <w:t>ownstream notifi</w:t>
      </w:r>
      <w:r w:rsidRPr="008714EF" w:rsidR="00E677FA">
        <w:t>cation requirements</w:t>
      </w:r>
      <w:r w:rsidRPr="008714EF">
        <w:t xml:space="preserve"> through Safety Data Sheets (SDS)</w:t>
      </w:r>
      <w:r w:rsidRPr="008714EF" w:rsidR="002C5625">
        <w:t>,</w:t>
      </w:r>
    </w:p>
    <w:p w:rsidR="00081F22" w:rsidRPr="008714EF" w:rsidP="00236488" w14:paraId="40915CF7" w14:textId="2D9BD49F">
      <w:pPr>
        <w:pStyle w:val="BodyText"/>
        <w:numPr>
          <w:ilvl w:val="0"/>
          <w:numId w:val="6"/>
        </w:numPr>
        <w:spacing w:after="240" w:line="276" w:lineRule="auto"/>
        <w:ind w:right="878"/>
      </w:pPr>
      <w:r w:rsidRPr="008714EF">
        <w:t>I</w:t>
      </w:r>
      <w:r w:rsidRPr="008714EF" w:rsidR="00464536">
        <w:t>nformation generation</w:t>
      </w:r>
      <w:r w:rsidRPr="008714EF">
        <w:t xml:space="preserve"> related to the WCPP</w:t>
      </w:r>
      <w:r w:rsidRPr="008714EF" w:rsidR="00464536">
        <w:t>,</w:t>
      </w:r>
      <w:r w:rsidRPr="008714EF">
        <w:t xml:space="preserve"> including</w:t>
      </w:r>
      <w:r w:rsidRPr="008714EF" w:rsidR="00464536">
        <w:t xml:space="preserve"> recordkeeping and notification requirements, </w:t>
      </w:r>
      <w:r w:rsidRPr="008714EF">
        <w:t>such as</w:t>
      </w:r>
      <w:r w:rsidRPr="008714EF" w:rsidR="00464536">
        <w:t xml:space="preserve">: </w:t>
      </w:r>
    </w:p>
    <w:p w:rsidR="00081F22" w:rsidRPr="008714EF" w:rsidP="00081F22" w14:paraId="246FA6CD" w14:textId="207810B2">
      <w:pPr>
        <w:pStyle w:val="BodyText"/>
        <w:numPr>
          <w:ilvl w:val="1"/>
          <w:numId w:val="6"/>
        </w:numPr>
        <w:spacing w:after="240" w:line="276" w:lineRule="auto"/>
        <w:ind w:right="878"/>
      </w:pPr>
      <w:r w:rsidRPr="008714EF">
        <w:t xml:space="preserve">Development of exposure control </w:t>
      </w:r>
      <w:r w:rsidRPr="008714EF">
        <w:t>plans</w:t>
      </w:r>
      <w:r w:rsidRPr="008714EF" w:rsidR="002C5625">
        <w:t>;</w:t>
      </w:r>
    </w:p>
    <w:p w:rsidR="001A7247" w:rsidRPr="008714EF" w:rsidP="00081F22" w14:paraId="7E4A5287" w14:textId="20BE396E">
      <w:pPr>
        <w:pStyle w:val="BodyText"/>
        <w:numPr>
          <w:ilvl w:val="1"/>
          <w:numId w:val="6"/>
        </w:numPr>
        <w:spacing w:after="240" w:line="276" w:lineRule="auto"/>
        <w:ind w:right="878"/>
      </w:pPr>
      <w:r w:rsidRPr="008714EF">
        <w:t xml:space="preserve">Exposure level monitoring and related </w:t>
      </w:r>
      <w:r w:rsidRPr="008714EF">
        <w:t>recordkeeping</w:t>
      </w:r>
      <w:r w:rsidRPr="008714EF" w:rsidR="002C5625">
        <w:t>;</w:t>
      </w:r>
    </w:p>
    <w:p w:rsidR="00295209" w:rsidRPr="008714EF" w:rsidP="00295209" w14:paraId="081A2775" w14:textId="77777777">
      <w:pPr>
        <w:pStyle w:val="BodyText"/>
        <w:numPr>
          <w:ilvl w:val="1"/>
          <w:numId w:val="6"/>
        </w:numPr>
        <w:spacing w:after="240" w:line="276" w:lineRule="auto"/>
        <w:ind w:right="878"/>
      </w:pPr>
      <w:r w:rsidRPr="008714EF">
        <w:t xml:space="preserve">Development of documentation for a Personal Protective Equipment (PPE) program and related </w:t>
      </w:r>
      <w:r w:rsidRPr="008714EF">
        <w:t>recordkeeping;</w:t>
      </w:r>
    </w:p>
    <w:p w:rsidR="00295209" w:rsidRPr="008714EF" w:rsidP="00295209" w14:paraId="4EBF8F0A" w14:textId="4448E7DF">
      <w:pPr>
        <w:pStyle w:val="BodyText"/>
        <w:numPr>
          <w:ilvl w:val="1"/>
          <w:numId w:val="6"/>
        </w:numPr>
        <w:spacing w:after="240" w:line="276" w:lineRule="auto"/>
        <w:ind w:right="878"/>
      </w:pPr>
      <w:r w:rsidRPr="008714EF">
        <w:t xml:space="preserve">Development of documentation for a respiratory protection program and related </w:t>
      </w:r>
      <w:r w:rsidRPr="008714EF">
        <w:t>recordkeeping</w:t>
      </w:r>
      <w:r w:rsidRPr="008714EF" w:rsidR="00521D5D">
        <w:t>;</w:t>
      </w:r>
      <w:r w:rsidRPr="008714EF" w:rsidR="00FA754F">
        <w:t xml:space="preserve"> </w:t>
      </w:r>
    </w:p>
    <w:p w:rsidR="00634122" w:rsidRPr="008714EF" w:rsidP="2DC3184F" w14:paraId="4DAA1F58" w14:textId="353E5F9F">
      <w:pPr>
        <w:pStyle w:val="BodyText"/>
        <w:numPr>
          <w:ilvl w:val="1"/>
          <w:numId w:val="6"/>
        </w:numPr>
        <w:spacing w:after="240" w:line="276" w:lineRule="auto"/>
        <w:ind w:right="878"/>
      </w:pPr>
      <w:r>
        <w:t>Development and notification to potentially exposed persons (employees and others in the workplace) about how they can access the exposure control plans, exposure monitoring records, PPE program implementation documentation, and respirator program documentation</w:t>
      </w:r>
      <w:r w:rsidR="006747E4">
        <w:t xml:space="preserve">; </w:t>
      </w:r>
      <w:r w:rsidR="006C4F3E">
        <w:t>a</w:t>
      </w:r>
      <w:r w:rsidR="006747E4">
        <w:t>nd</w:t>
      </w:r>
      <w:r w:rsidR="006C4F3E">
        <w:t xml:space="preserve"> </w:t>
      </w:r>
      <w:r>
        <w:t>Recordkeeping related to exemptions proposed under TSCA section 6(g) demonstrating compliance with the specific conditions of the exemptions (including compliance with the WCPP)</w:t>
      </w:r>
      <w:r w:rsidR="00975521">
        <w:t>.</w:t>
      </w:r>
      <w:r>
        <w:t xml:space="preserve"> </w:t>
      </w:r>
    </w:p>
    <w:p w:rsidR="00634122" w:rsidRPr="008714EF" w:rsidP="2DC3184F" w14:paraId="515582A3" w14:textId="2184815C">
      <w:pPr>
        <w:pStyle w:val="BodyText"/>
        <w:numPr>
          <w:ilvl w:val="0"/>
          <w:numId w:val="6"/>
        </w:numPr>
        <w:spacing w:after="240" w:line="276" w:lineRule="auto"/>
        <w:ind w:right="878"/>
      </w:pPr>
      <w:r w:rsidRPr="008714EF">
        <w:t xml:space="preserve">Recordkeeping requirements related to </w:t>
      </w:r>
      <w:r w:rsidR="007E33B2">
        <w:t>a</w:t>
      </w:r>
      <w:r w:rsidRPr="008714EF">
        <w:t xml:space="preserve"> proposed phaseout, demonstrating compliance with the conditions of the phaseout for processing TCE </w:t>
      </w:r>
      <w:r w:rsidR="007E33B2">
        <w:t xml:space="preserve">as an intermediate </w:t>
      </w:r>
      <w:r w:rsidRPr="008714EF">
        <w:t>in the manufacture of HFC-134a</w:t>
      </w:r>
      <w:r w:rsidRPr="008714EF" w:rsidR="006747E4">
        <w:t>.</w:t>
      </w:r>
    </w:p>
    <w:p w:rsidR="006B5715" w:rsidRPr="008714EF" w:rsidP="008835A0" w14:paraId="3126EDC8" w14:textId="750B4D87">
      <w:pPr>
        <w:pStyle w:val="BodyText"/>
        <w:spacing w:after="240" w:line="276" w:lineRule="auto"/>
        <w:ind w:right="878"/>
      </w:pPr>
      <w:r w:rsidRPr="008714EF">
        <w:t xml:space="preserve">The </w:t>
      </w:r>
      <w:r w:rsidRPr="008714EF" w:rsidR="00295209">
        <w:t xml:space="preserve">proposed rule would require </w:t>
      </w:r>
      <w:r w:rsidRPr="008714EF" w:rsidR="00521D5D">
        <w:t xml:space="preserve">that </w:t>
      </w:r>
      <w:r w:rsidRPr="008714EF">
        <w:t>records be retained for 5 years from the date of generation.</w:t>
      </w:r>
    </w:p>
    <w:p w:rsidR="006B5715" w:rsidRPr="00B803CA" w:rsidP="00B803CA" w14:paraId="3126EDCC" w14:textId="69439FC3">
      <w:pPr>
        <w:pStyle w:val="Heading3"/>
      </w:pPr>
      <w:r w:rsidRPr="00B803CA">
        <w:t xml:space="preserve">Summary </w:t>
      </w:r>
      <w:r w:rsidRPr="00B803CA" w:rsidR="005075BC">
        <w:t>Annual</w:t>
      </w:r>
      <w:r w:rsidRPr="00B803CA">
        <w:t xml:space="preserve"> Burden and Costs</w:t>
      </w:r>
    </w:p>
    <w:p w:rsidR="008835A0" w:rsidRPr="008714EF" w:rsidP="008C4C4E" w14:paraId="7CC31AEC" w14:textId="0573AADB">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1"/>
        <w:gridCol w:w="1822"/>
        <w:gridCol w:w="1570"/>
        <w:gridCol w:w="1682"/>
        <w:gridCol w:w="1794"/>
        <w:gridCol w:w="1600"/>
      </w:tblGrid>
      <w:tr w14:paraId="030219E0" w14:textId="77777777" w:rsidTr="093B333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6" w:type="dxa"/>
            <w:shd w:val="clear" w:color="auto" w:fill="auto"/>
            <w:vAlign w:val="bottom"/>
          </w:tcPr>
          <w:p w:rsidR="008835A0" w:rsidRPr="008714EF" w:rsidP="00542678" w14:paraId="63ECCEA9" w14:textId="77777777">
            <w:pPr>
              <w:pStyle w:val="NoSpacing"/>
              <w:jc w:val="center"/>
              <w:rPr>
                <w:rFonts w:cs="Arial"/>
                <w:b/>
                <w:bCs/>
                <w:szCs w:val="24"/>
              </w:rPr>
            </w:pPr>
            <w:r w:rsidRPr="008714EF">
              <w:rPr>
                <w:rFonts w:cs="Arial"/>
                <w:b/>
                <w:bCs/>
                <w:szCs w:val="24"/>
              </w:rPr>
              <w:t>Information Collection</w:t>
            </w:r>
          </w:p>
        </w:tc>
        <w:tc>
          <w:tcPr>
            <w:tcW w:w="1515" w:type="dxa"/>
            <w:shd w:val="clear" w:color="auto" w:fill="auto"/>
            <w:vAlign w:val="bottom"/>
          </w:tcPr>
          <w:p w:rsidR="008835A0" w:rsidRPr="008714EF" w:rsidP="00542678" w14:paraId="0EC11E36" w14:textId="77777777">
            <w:pPr>
              <w:pStyle w:val="NoSpacing"/>
              <w:jc w:val="center"/>
              <w:rPr>
                <w:rFonts w:cs="Arial"/>
                <w:b/>
                <w:bCs/>
                <w:szCs w:val="24"/>
              </w:rPr>
            </w:pPr>
            <w:r w:rsidRPr="008714EF">
              <w:rPr>
                <w:rFonts w:cs="Arial"/>
                <w:b/>
                <w:bCs/>
                <w:szCs w:val="24"/>
              </w:rPr>
              <w:t>Number of Respondents</w:t>
            </w:r>
          </w:p>
        </w:tc>
        <w:tc>
          <w:tcPr>
            <w:tcW w:w="1344" w:type="dxa"/>
            <w:shd w:val="clear" w:color="auto" w:fill="auto"/>
            <w:vAlign w:val="bottom"/>
          </w:tcPr>
          <w:p w:rsidR="008835A0" w:rsidRPr="008714EF" w:rsidP="00542678" w14:paraId="21B0B7EA" w14:textId="77777777">
            <w:pPr>
              <w:pStyle w:val="NoSpacing"/>
              <w:jc w:val="center"/>
              <w:rPr>
                <w:rFonts w:cs="Arial"/>
                <w:b/>
                <w:bCs/>
                <w:szCs w:val="24"/>
              </w:rPr>
            </w:pPr>
            <w:r w:rsidRPr="008714EF">
              <w:rPr>
                <w:rFonts w:cs="Arial"/>
                <w:b/>
                <w:bCs/>
                <w:szCs w:val="24"/>
              </w:rPr>
              <w:t>Annual Number of Responses</w:t>
            </w:r>
          </w:p>
        </w:tc>
        <w:tc>
          <w:tcPr>
            <w:tcW w:w="1440" w:type="dxa"/>
            <w:vAlign w:val="bottom"/>
          </w:tcPr>
          <w:p w:rsidR="008835A0" w:rsidRPr="008714EF" w:rsidP="00542678" w14:paraId="138C4BA0" w14:textId="77777777">
            <w:pPr>
              <w:pStyle w:val="NoSpacing"/>
              <w:jc w:val="center"/>
              <w:rPr>
                <w:rFonts w:cs="Arial"/>
                <w:b/>
                <w:bCs/>
                <w:szCs w:val="24"/>
              </w:rPr>
            </w:pPr>
            <w:r w:rsidRPr="008714EF">
              <w:rPr>
                <w:rFonts w:cs="Arial"/>
                <w:b/>
                <w:bCs/>
                <w:szCs w:val="24"/>
              </w:rPr>
              <w:t>Responses per Respondent</w:t>
            </w:r>
          </w:p>
        </w:tc>
        <w:tc>
          <w:tcPr>
            <w:tcW w:w="1710" w:type="dxa"/>
            <w:shd w:val="clear" w:color="auto" w:fill="auto"/>
            <w:vAlign w:val="bottom"/>
          </w:tcPr>
          <w:p w:rsidR="008835A0" w:rsidRPr="008714EF" w:rsidP="00542678" w14:paraId="083DF4C6" w14:textId="77777777">
            <w:pPr>
              <w:pStyle w:val="NoSpacing"/>
              <w:jc w:val="center"/>
              <w:rPr>
                <w:rFonts w:cs="Arial"/>
                <w:b/>
                <w:bCs/>
                <w:szCs w:val="24"/>
              </w:rPr>
            </w:pPr>
            <w:r w:rsidRPr="008714EF">
              <w:rPr>
                <w:rFonts w:cs="Arial"/>
                <w:b/>
                <w:bCs/>
                <w:szCs w:val="24"/>
              </w:rPr>
              <w:t>Annual Time Burden (Hours)</w:t>
            </w:r>
          </w:p>
        </w:tc>
        <w:tc>
          <w:tcPr>
            <w:tcW w:w="1525" w:type="dxa"/>
            <w:vAlign w:val="bottom"/>
          </w:tcPr>
          <w:p w:rsidR="008835A0" w:rsidRPr="008714EF" w:rsidP="00542678" w14:paraId="4BE3F385" w14:textId="77777777">
            <w:pPr>
              <w:pStyle w:val="NoSpacing"/>
              <w:jc w:val="center"/>
              <w:rPr>
                <w:rFonts w:cs="Arial"/>
                <w:b/>
                <w:bCs/>
                <w:szCs w:val="24"/>
              </w:rPr>
            </w:pPr>
            <w:r w:rsidRPr="008714EF">
              <w:rPr>
                <w:rFonts w:cs="Arial"/>
                <w:b/>
                <w:bCs/>
                <w:szCs w:val="24"/>
              </w:rPr>
              <w:t>Annual Cost Burden (Dollars)</w:t>
            </w:r>
          </w:p>
        </w:tc>
      </w:tr>
      <w:tr w14:paraId="14B67DB3" w14:textId="77777777" w:rsidTr="093B333D">
        <w:tblPrEx>
          <w:tblW w:w="5000" w:type="pct"/>
          <w:tblLook w:val="01E0"/>
        </w:tblPrEx>
        <w:trPr>
          <w:trHeight w:val="368"/>
        </w:trPr>
        <w:tc>
          <w:tcPr>
            <w:tcW w:w="1816" w:type="dxa"/>
            <w:shd w:val="clear" w:color="auto" w:fill="auto"/>
          </w:tcPr>
          <w:p w:rsidR="006E4D0B" w:rsidRPr="006E4D0B" w:rsidP="00542678" w14:paraId="1EC9674F" w14:textId="14B1C341">
            <w:pPr>
              <w:pStyle w:val="NoSpacing"/>
              <w:rPr>
                <w:rFonts w:cs="Arial"/>
                <w:szCs w:val="24"/>
              </w:rPr>
            </w:pPr>
            <w:r w:rsidRPr="006E4D0B">
              <w:rPr>
                <w:rFonts w:cs="Arial"/>
                <w:szCs w:val="24"/>
              </w:rPr>
              <w:t xml:space="preserve">Rule Familiarization </w:t>
            </w:r>
          </w:p>
        </w:tc>
        <w:tc>
          <w:tcPr>
            <w:tcW w:w="1515" w:type="dxa"/>
            <w:shd w:val="clear" w:color="auto" w:fill="FFFFFF" w:themeFill="background1"/>
          </w:tcPr>
          <w:p w:rsidR="006E4D0B" w:rsidRPr="008714EF" w:rsidP="0D1C3C14" w14:paraId="2F8D0DFA" w14:textId="6A34A6BF">
            <w:pPr>
              <w:pStyle w:val="NoSpacing"/>
              <w:spacing w:line="259" w:lineRule="auto"/>
              <w:jc w:val="center"/>
              <w:rPr>
                <w:rFonts w:cs="Arial"/>
              </w:rPr>
            </w:pPr>
            <w:r>
              <w:rPr>
                <w:rFonts w:cs="Arial"/>
              </w:rPr>
              <w:t>22</w:t>
            </w:r>
            <w:r w:rsidR="007A36D7">
              <w:rPr>
                <w:rFonts w:cs="Arial"/>
              </w:rPr>
              <w:t>,</w:t>
            </w:r>
            <w:r>
              <w:rPr>
                <w:rFonts w:cs="Arial"/>
              </w:rPr>
              <w:t>113</w:t>
            </w:r>
          </w:p>
        </w:tc>
        <w:tc>
          <w:tcPr>
            <w:tcW w:w="1344" w:type="dxa"/>
            <w:shd w:val="clear" w:color="auto" w:fill="FFFFFF" w:themeFill="background1"/>
          </w:tcPr>
          <w:p w:rsidR="006E4D0B" w:rsidRPr="093B333D" w:rsidP="3C0D16AE" w14:paraId="515E0636" w14:textId="00EDCA27">
            <w:pPr>
              <w:pStyle w:val="NoSpacing"/>
              <w:jc w:val="center"/>
              <w:rPr>
                <w:rFonts w:cs="Arial"/>
              </w:rPr>
            </w:pPr>
            <w:r>
              <w:rPr>
                <w:rFonts w:cs="Arial"/>
              </w:rPr>
              <w:t>7,331</w:t>
            </w:r>
          </w:p>
        </w:tc>
        <w:tc>
          <w:tcPr>
            <w:tcW w:w="1440" w:type="dxa"/>
          </w:tcPr>
          <w:p w:rsidR="006E4D0B" w:rsidRPr="008714EF" w:rsidP="00542678" w14:paraId="1F213005" w14:textId="3CB49501">
            <w:pPr>
              <w:pStyle w:val="NoSpacing"/>
              <w:jc w:val="center"/>
              <w:rPr>
                <w:rFonts w:cs="Arial"/>
                <w:szCs w:val="24"/>
              </w:rPr>
            </w:pPr>
            <w:r>
              <w:rPr>
                <w:rFonts w:cs="Arial"/>
                <w:szCs w:val="24"/>
              </w:rPr>
              <w:t>.33</w:t>
            </w:r>
          </w:p>
        </w:tc>
        <w:tc>
          <w:tcPr>
            <w:tcW w:w="1710" w:type="dxa"/>
            <w:shd w:val="clear" w:color="auto" w:fill="auto"/>
          </w:tcPr>
          <w:p w:rsidR="006E4D0B" w:rsidRPr="093B333D" w:rsidP="093B333D" w14:paraId="573BE098" w14:textId="3D70E8B3">
            <w:pPr>
              <w:pStyle w:val="NoSpacing"/>
              <w:jc w:val="center"/>
              <w:rPr>
                <w:rFonts w:cs="Arial"/>
              </w:rPr>
            </w:pPr>
            <w:r>
              <w:rPr>
                <w:rFonts w:cs="Arial"/>
              </w:rPr>
              <w:t>7</w:t>
            </w:r>
            <w:r w:rsidR="007A36D7">
              <w:rPr>
                <w:rFonts w:cs="Arial"/>
              </w:rPr>
              <w:t>,</w:t>
            </w:r>
            <w:r w:rsidR="00942F2E">
              <w:rPr>
                <w:rFonts w:cs="Arial"/>
              </w:rPr>
              <w:t>405</w:t>
            </w:r>
          </w:p>
        </w:tc>
        <w:tc>
          <w:tcPr>
            <w:tcW w:w="1525" w:type="dxa"/>
          </w:tcPr>
          <w:p w:rsidR="006E4D0B" w:rsidRPr="093B333D" w:rsidP="592C7DA2" w14:paraId="2F240A93" w14:textId="49EE63A4">
            <w:pPr>
              <w:pStyle w:val="NoSpacing"/>
              <w:jc w:val="center"/>
              <w:rPr>
                <w:rFonts w:cs="Arial"/>
              </w:rPr>
            </w:pPr>
            <w:r>
              <w:rPr>
                <w:rFonts w:cs="Arial"/>
              </w:rPr>
              <w:t>$704,565</w:t>
            </w:r>
          </w:p>
        </w:tc>
      </w:tr>
      <w:tr w14:paraId="4800613C" w14:textId="77777777" w:rsidTr="093B333D">
        <w:tblPrEx>
          <w:tblW w:w="5000" w:type="pct"/>
          <w:tblLook w:val="01E0"/>
        </w:tblPrEx>
        <w:trPr>
          <w:trHeight w:val="368"/>
        </w:trPr>
        <w:tc>
          <w:tcPr>
            <w:tcW w:w="1816" w:type="dxa"/>
            <w:shd w:val="clear" w:color="auto" w:fill="auto"/>
          </w:tcPr>
          <w:p w:rsidR="006E4D0B" w:rsidRPr="006E4D0B" w:rsidP="00542678" w14:paraId="67E558B9" w14:textId="585305CF">
            <w:pPr>
              <w:pStyle w:val="NoSpacing"/>
              <w:rPr>
                <w:rFonts w:cs="Arial"/>
                <w:szCs w:val="24"/>
              </w:rPr>
            </w:pPr>
            <w:r w:rsidRPr="006E4D0B">
              <w:rPr>
                <w:rFonts w:cs="Arial"/>
                <w:szCs w:val="24"/>
              </w:rPr>
              <w:t>Downstream Notification (SDS)</w:t>
            </w:r>
          </w:p>
        </w:tc>
        <w:tc>
          <w:tcPr>
            <w:tcW w:w="1515" w:type="dxa"/>
            <w:shd w:val="clear" w:color="auto" w:fill="FFFFFF" w:themeFill="background1"/>
          </w:tcPr>
          <w:p w:rsidR="006E4D0B" w:rsidRPr="008714EF" w:rsidP="0D1C3C14" w14:paraId="6489A15F" w14:textId="597173B4">
            <w:pPr>
              <w:pStyle w:val="NoSpacing"/>
              <w:spacing w:line="259" w:lineRule="auto"/>
              <w:jc w:val="center"/>
              <w:rPr>
                <w:rFonts w:cs="Arial"/>
              </w:rPr>
            </w:pPr>
            <w:r>
              <w:rPr>
                <w:rFonts w:cs="Arial"/>
              </w:rPr>
              <w:t>2</w:t>
            </w:r>
          </w:p>
        </w:tc>
        <w:tc>
          <w:tcPr>
            <w:tcW w:w="1344" w:type="dxa"/>
            <w:shd w:val="clear" w:color="auto" w:fill="FFFFFF" w:themeFill="background1"/>
          </w:tcPr>
          <w:p w:rsidR="006E4D0B" w:rsidRPr="093B333D" w:rsidP="3C0D16AE" w14:paraId="0F00B67F" w14:textId="70709428">
            <w:pPr>
              <w:pStyle w:val="NoSpacing"/>
              <w:jc w:val="center"/>
              <w:rPr>
                <w:rFonts w:cs="Arial"/>
              </w:rPr>
            </w:pPr>
            <w:r>
              <w:rPr>
                <w:rFonts w:cs="Arial"/>
              </w:rPr>
              <w:t>1</w:t>
            </w:r>
          </w:p>
        </w:tc>
        <w:tc>
          <w:tcPr>
            <w:tcW w:w="1440" w:type="dxa"/>
          </w:tcPr>
          <w:p w:rsidR="006E4D0B" w:rsidRPr="008714EF" w:rsidP="00542678" w14:paraId="2965D8B7" w14:textId="29F0C595">
            <w:pPr>
              <w:pStyle w:val="NoSpacing"/>
              <w:jc w:val="center"/>
              <w:rPr>
                <w:rFonts w:cs="Arial"/>
                <w:szCs w:val="24"/>
              </w:rPr>
            </w:pPr>
            <w:r>
              <w:rPr>
                <w:rFonts w:cs="Arial"/>
                <w:szCs w:val="24"/>
              </w:rPr>
              <w:t>1</w:t>
            </w:r>
          </w:p>
        </w:tc>
        <w:tc>
          <w:tcPr>
            <w:tcW w:w="1710" w:type="dxa"/>
            <w:shd w:val="clear" w:color="auto" w:fill="auto"/>
          </w:tcPr>
          <w:p w:rsidR="006E4D0B" w:rsidRPr="093B333D" w:rsidP="093B333D" w14:paraId="4337AF42" w14:textId="5DD91303">
            <w:pPr>
              <w:pStyle w:val="NoSpacing"/>
              <w:jc w:val="center"/>
              <w:rPr>
                <w:rFonts w:cs="Arial"/>
              </w:rPr>
            </w:pPr>
            <w:r>
              <w:rPr>
                <w:rFonts w:cs="Arial"/>
              </w:rPr>
              <w:t>1</w:t>
            </w:r>
          </w:p>
        </w:tc>
        <w:tc>
          <w:tcPr>
            <w:tcW w:w="1525" w:type="dxa"/>
          </w:tcPr>
          <w:p w:rsidR="006E4D0B" w:rsidRPr="093B333D" w:rsidP="592C7DA2" w14:paraId="4A4B5B75" w14:textId="10E93669">
            <w:pPr>
              <w:pStyle w:val="NoSpacing"/>
              <w:jc w:val="center"/>
              <w:rPr>
                <w:rFonts w:cs="Arial"/>
              </w:rPr>
            </w:pPr>
            <w:r>
              <w:rPr>
                <w:rFonts w:cs="Arial"/>
              </w:rPr>
              <w:t>$126</w:t>
            </w:r>
          </w:p>
        </w:tc>
      </w:tr>
      <w:tr w14:paraId="022A60B5" w14:textId="77777777" w:rsidTr="093B333D">
        <w:tblPrEx>
          <w:tblW w:w="5000" w:type="pct"/>
          <w:tblLook w:val="01E0"/>
        </w:tblPrEx>
        <w:trPr>
          <w:trHeight w:val="368"/>
        </w:trPr>
        <w:tc>
          <w:tcPr>
            <w:tcW w:w="1816" w:type="dxa"/>
            <w:shd w:val="clear" w:color="auto" w:fill="auto"/>
          </w:tcPr>
          <w:p w:rsidR="006E4D0B" w:rsidRPr="006E4D0B" w:rsidP="00542678" w14:paraId="5B2B9126" w14:textId="42307121">
            <w:pPr>
              <w:pStyle w:val="NoSpacing"/>
              <w:rPr>
                <w:rFonts w:cs="Arial"/>
                <w:szCs w:val="24"/>
              </w:rPr>
            </w:pPr>
            <w:r>
              <w:rPr>
                <w:rFonts w:cs="Arial"/>
                <w:szCs w:val="24"/>
              </w:rPr>
              <w:t xml:space="preserve">Develop </w:t>
            </w:r>
            <w:r w:rsidRPr="006E4D0B">
              <w:rPr>
                <w:rFonts w:cs="Arial"/>
                <w:szCs w:val="24"/>
              </w:rPr>
              <w:t>Exposure Control Program</w:t>
            </w:r>
          </w:p>
        </w:tc>
        <w:tc>
          <w:tcPr>
            <w:tcW w:w="1515" w:type="dxa"/>
            <w:shd w:val="clear" w:color="auto" w:fill="FFFFFF" w:themeFill="background1"/>
          </w:tcPr>
          <w:p w:rsidR="006E4D0B" w:rsidRPr="008714EF" w:rsidP="0D1C3C14" w14:paraId="316C3A85" w14:textId="7380836A">
            <w:pPr>
              <w:pStyle w:val="NoSpacing"/>
              <w:spacing w:line="259" w:lineRule="auto"/>
              <w:jc w:val="center"/>
              <w:rPr>
                <w:rFonts w:cs="Arial"/>
              </w:rPr>
            </w:pPr>
            <w:r>
              <w:rPr>
                <w:rFonts w:cs="Arial"/>
              </w:rPr>
              <w:t>51</w:t>
            </w:r>
          </w:p>
        </w:tc>
        <w:tc>
          <w:tcPr>
            <w:tcW w:w="1344" w:type="dxa"/>
            <w:shd w:val="clear" w:color="auto" w:fill="FFFFFF" w:themeFill="background1"/>
          </w:tcPr>
          <w:p w:rsidR="006E4D0B" w:rsidRPr="093B333D" w:rsidP="3C0D16AE" w14:paraId="200DD763" w14:textId="188B31C3">
            <w:pPr>
              <w:pStyle w:val="NoSpacing"/>
              <w:jc w:val="center"/>
              <w:rPr>
                <w:rFonts w:cs="Arial"/>
              </w:rPr>
            </w:pPr>
            <w:r>
              <w:rPr>
                <w:rFonts w:cs="Arial"/>
              </w:rPr>
              <w:t>51</w:t>
            </w:r>
          </w:p>
        </w:tc>
        <w:tc>
          <w:tcPr>
            <w:tcW w:w="1440" w:type="dxa"/>
          </w:tcPr>
          <w:p w:rsidR="006E4D0B" w:rsidRPr="008714EF" w:rsidP="00542678" w14:paraId="4E0CA6FD" w14:textId="09E762DA">
            <w:pPr>
              <w:pStyle w:val="NoSpacing"/>
              <w:jc w:val="center"/>
              <w:rPr>
                <w:rFonts w:cs="Arial"/>
                <w:szCs w:val="24"/>
              </w:rPr>
            </w:pPr>
            <w:r>
              <w:rPr>
                <w:rFonts w:cs="Arial"/>
                <w:szCs w:val="24"/>
              </w:rPr>
              <w:t>1</w:t>
            </w:r>
          </w:p>
        </w:tc>
        <w:tc>
          <w:tcPr>
            <w:tcW w:w="1710" w:type="dxa"/>
            <w:shd w:val="clear" w:color="auto" w:fill="auto"/>
          </w:tcPr>
          <w:p w:rsidR="006E4D0B" w:rsidRPr="093B333D" w:rsidP="093B333D" w14:paraId="566F1053" w14:textId="7116F393">
            <w:pPr>
              <w:pStyle w:val="NoSpacing"/>
              <w:jc w:val="center"/>
              <w:rPr>
                <w:rFonts w:cs="Arial"/>
              </w:rPr>
            </w:pPr>
            <w:r>
              <w:rPr>
                <w:rFonts w:cs="Arial"/>
              </w:rPr>
              <w:t>85</w:t>
            </w:r>
          </w:p>
        </w:tc>
        <w:tc>
          <w:tcPr>
            <w:tcW w:w="1525" w:type="dxa"/>
          </w:tcPr>
          <w:p w:rsidR="006E4D0B" w:rsidRPr="007A36D7" w:rsidP="592C7DA2" w14:paraId="7DD226E0" w14:textId="0CBD69D8">
            <w:pPr>
              <w:pStyle w:val="NoSpacing"/>
              <w:jc w:val="center"/>
              <w:rPr>
                <w:rFonts w:cs="Arial"/>
                <w:szCs w:val="24"/>
              </w:rPr>
            </w:pPr>
            <w:r w:rsidRPr="007A36D7">
              <w:rPr>
                <w:rFonts w:eastAsia="Times New Roman"/>
                <w:color w:val="000000"/>
                <w:szCs w:val="24"/>
              </w:rPr>
              <w:t>$6,074  </w:t>
            </w:r>
          </w:p>
        </w:tc>
      </w:tr>
      <w:tr w14:paraId="249C6C77" w14:textId="77777777" w:rsidTr="093B333D">
        <w:tblPrEx>
          <w:tblW w:w="5000" w:type="pct"/>
          <w:tblLook w:val="01E0"/>
        </w:tblPrEx>
        <w:trPr>
          <w:trHeight w:val="368"/>
        </w:trPr>
        <w:tc>
          <w:tcPr>
            <w:tcW w:w="1816" w:type="dxa"/>
            <w:shd w:val="clear" w:color="auto" w:fill="auto"/>
          </w:tcPr>
          <w:p w:rsidR="006E4D0B" w:rsidRPr="006E4D0B" w:rsidP="006E4D0B" w14:paraId="6E5C2B5E" w14:textId="6D42CF97">
            <w:pPr>
              <w:rPr>
                <w:rFonts w:eastAsia="Times New Roman"/>
                <w:color w:val="000000"/>
                <w:sz w:val="24"/>
                <w:szCs w:val="24"/>
              </w:rPr>
            </w:pPr>
            <w:r w:rsidRPr="006E4D0B">
              <w:rPr>
                <w:color w:val="000000"/>
                <w:sz w:val="24"/>
                <w:szCs w:val="24"/>
              </w:rPr>
              <w:t>Respiratory Monitoring, Recordkeeping, and Notifications</w:t>
            </w:r>
          </w:p>
        </w:tc>
        <w:tc>
          <w:tcPr>
            <w:tcW w:w="1515" w:type="dxa"/>
            <w:shd w:val="clear" w:color="auto" w:fill="FFFFFF" w:themeFill="background1"/>
          </w:tcPr>
          <w:p w:rsidR="006E4D0B" w:rsidRPr="008714EF" w:rsidP="0D1C3C14" w14:paraId="60F89C19" w14:textId="7F30571F">
            <w:pPr>
              <w:pStyle w:val="NoSpacing"/>
              <w:spacing w:line="259" w:lineRule="auto"/>
              <w:jc w:val="center"/>
              <w:rPr>
                <w:rFonts w:cs="Arial"/>
              </w:rPr>
            </w:pPr>
            <w:r>
              <w:rPr>
                <w:rFonts w:cs="Arial"/>
              </w:rPr>
              <w:t>51</w:t>
            </w:r>
          </w:p>
        </w:tc>
        <w:tc>
          <w:tcPr>
            <w:tcW w:w="1344" w:type="dxa"/>
            <w:shd w:val="clear" w:color="auto" w:fill="FFFFFF" w:themeFill="background1"/>
          </w:tcPr>
          <w:p w:rsidR="006E4D0B" w:rsidRPr="093B333D" w:rsidP="3C0D16AE" w14:paraId="3C895B1A" w14:textId="143DDD5E">
            <w:pPr>
              <w:pStyle w:val="NoSpacing"/>
              <w:jc w:val="center"/>
              <w:rPr>
                <w:rFonts w:cs="Arial"/>
              </w:rPr>
            </w:pPr>
            <w:r>
              <w:rPr>
                <w:rFonts w:cs="Arial"/>
              </w:rPr>
              <w:t>113</w:t>
            </w:r>
          </w:p>
        </w:tc>
        <w:tc>
          <w:tcPr>
            <w:tcW w:w="1440" w:type="dxa"/>
          </w:tcPr>
          <w:p w:rsidR="006E4D0B" w:rsidRPr="008714EF" w:rsidP="00542678" w14:paraId="7C78BD1F" w14:textId="49DA5050">
            <w:pPr>
              <w:pStyle w:val="NoSpacing"/>
              <w:jc w:val="center"/>
              <w:rPr>
                <w:rFonts w:cs="Arial"/>
                <w:szCs w:val="24"/>
              </w:rPr>
            </w:pPr>
            <w:r>
              <w:rPr>
                <w:rFonts w:cs="Arial"/>
                <w:szCs w:val="24"/>
              </w:rPr>
              <w:t>2.2</w:t>
            </w:r>
          </w:p>
        </w:tc>
        <w:tc>
          <w:tcPr>
            <w:tcW w:w="1710" w:type="dxa"/>
            <w:shd w:val="clear" w:color="auto" w:fill="auto"/>
          </w:tcPr>
          <w:p w:rsidR="006E4D0B" w:rsidRPr="093B333D" w:rsidP="093B333D" w14:paraId="3EFC55CF" w14:textId="4122AC31">
            <w:pPr>
              <w:pStyle w:val="NoSpacing"/>
              <w:jc w:val="center"/>
              <w:rPr>
                <w:rFonts w:cs="Arial"/>
              </w:rPr>
            </w:pPr>
            <w:r>
              <w:rPr>
                <w:rFonts w:cs="Arial"/>
              </w:rPr>
              <w:t>4873</w:t>
            </w:r>
          </w:p>
        </w:tc>
        <w:tc>
          <w:tcPr>
            <w:tcW w:w="1525" w:type="dxa"/>
          </w:tcPr>
          <w:p w:rsidR="006E4D0B" w:rsidRPr="093B333D" w:rsidP="592C7DA2" w14:paraId="7174B04D" w14:textId="58BEF83E">
            <w:pPr>
              <w:pStyle w:val="NoSpacing"/>
              <w:jc w:val="center"/>
              <w:rPr>
                <w:rFonts w:cs="Arial"/>
              </w:rPr>
            </w:pPr>
            <w:r>
              <w:rPr>
                <w:rFonts w:cs="Arial"/>
              </w:rPr>
              <w:t>$1,028,454</w:t>
            </w:r>
          </w:p>
        </w:tc>
      </w:tr>
      <w:tr w14:paraId="2F64457A" w14:textId="77777777" w:rsidTr="093B333D">
        <w:tblPrEx>
          <w:tblW w:w="5000" w:type="pct"/>
          <w:tblLook w:val="01E0"/>
        </w:tblPrEx>
        <w:trPr>
          <w:trHeight w:val="368"/>
        </w:trPr>
        <w:tc>
          <w:tcPr>
            <w:tcW w:w="1816" w:type="dxa"/>
            <w:shd w:val="clear" w:color="auto" w:fill="auto"/>
          </w:tcPr>
          <w:p w:rsidR="008835A0" w:rsidRPr="008714EF" w:rsidP="00542678" w14:paraId="02A750B7" w14:textId="77777777">
            <w:pPr>
              <w:pStyle w:val="NoSpacing"/>
              <w:rPr>
                <w:rFonts w:cs="Arial"/>
                <w:b/>
                <w:bCs/>
                <w:szCs w:val="24"/>
              </w:rPr>
            </w:pPr>
            <w:r w:rsidRPr="008714EF">
              <w:rPr>
                <w:rFonts w:cs="Arial"/>
                <w:b/>
                <w:bCs/>
                <w:szCs w:val="24"/>
              </w:rPr>
              <w:t>Total Respondent</w:t>
            </w:r>
          </w:p>
        </w:tc>
        <w:tc>
          <w:tcPr>
            <w:tcW w:w="1515" w:type="dxa"/>
            <w:shd w:val="clear" w:color="auto" w:fill="FFFFFF" w:themeFill="background1"/>
          </w:tcPr>
          <w:p w:rsidR="008835A0" w:rsidRPr="008714EF" w:rsidP="0D1C3C14" w14:paraId="67D021A5" w14:textId="47791656">
            <w:pPr>
              <w:pStyle w:val="NoSpacing"/>
              <w:spacing w:line="259" w:lineRule="auto"/>
              <w:jc w:val="center"/>
              <w:rPr>
                <w:rFonts w:cs="Arial"/>
              </w:rPr>
            </w:pPr>
            <w:r w:rsidRPr="008714EF">
              <w:rPr>
                <w:rFonts w:cs="Arial"/>
              </w:rPr>
              <w:t>22,113</w:t>
            </w:r>
          </w:p>
        </w:tc>
        <w:tc>
          <w:tcPr>
            <w:tcW w:w="1344" w:type="dxa"/>
            <w:shd w:val="clear" w:color="auto" w:fill="FFFFFF" w:themeFill="background1"/>
          </w:tcPr>
          <w:p w:rsidR="008835A0" w:rsidRPr="008714EF" w:rsidP="3C0D16AE" w14:paraId="36A7AB60" w14:textId="1A707AB3">
            <w:pPr>
              <w:pStyle w:val="NoSpacing"/>
              <w:jc w:val="center"/>
              <w:rPr>
                <w:rFonts w:cs="Arial"/>
              </w:rPr>
            </w:pPr>
            <w:r w:rsidRPr="093B333D">
              <w:rPr>
                <w:rFonts w:cs="Arial"/>
              </w:rPr>
              <w:t>7,</w:t>
            </w:r>
            <w:r w:rsidR="007A36D7">
              <w:rPr>
                <w:rFonts w:cs="Arial"/>
              </w:rPr>
              <w:t>496</w:t>
            </w:r>
          </w:p>
        </w:tc>
        <w:tc>
          <w:tcPr>
            <w:tcW w:w="1440" w:type="dxa"/>
          </w:tcPr>
          <w:p w:rsidR="008835A0" w:rsidRPr="008714EF" w:rsidP="00542678" w14:paraId="59665E69" w14:textId="681FDE92">
            <w:pPr>
              <w:pStyle w:val="NoSpacing"/>
              <w:jc w:val="center"/>
              <w:rPr>
                <w:rFonts w:cs="Arial"/>
                <w:szCs w:val="24"/>
              </w:rPr>
            </w:pPr>
          </w:p>
        </w:tc>
        <w:tc>
          <w:tcPr>
            <w:tcW w:w="1710" w:type="dxa"/>
            <w:shd w:val="clear" w:color="auto" w:fill="auto"/>
          </w:tcPr>
          <w:p w:rsidR="008835A0" w:rsidRPr="008714EF" w:rsidP="093B333D" w14:paraId="4740C87F" w14:textId="2A1677E1">
            <w:pPr>
              <w:pStyle w:val="NoSpacing"/>
              <w:jc w:val="center"/>
              <w:rPr>
                <w:rFonts w:cs="Arial"/>
              </w:rPr>
            </w:pPr>
            <w:r w:rsidRPr="093B333D">
              <w:rPr>
                <w:rFonts w:cs="Arial"/>
              </w:rPr>
              <w:t>12,</w:t>
            </w:r>
            <w:r w:rsidRPr="093B333D" w:rsidR="290FB75B">
              <w:rPr>
                <w:rFonts w:cs="Arial"/>
              </w:rPr>
              <w:t>364</w:t>
            </w:r>
          </w:p>
        </w:tc>
        <w:tc>
          <w:tcPr>
            <w:tcW w:w="1525" w:type="dxa"/>
          </w:tcPr>
          <w:p w:rsidR="008835A0" w:rsidRPr="008714EF" w:rsidP="592C7DA2" w14:paraId="1B588EA0" w14:textId="36318863">
            <w:pPr>
              <w:pStyle w:val="NoSpacing"/>
              <w:jc w:val="center"/>
              <w:rPr>
                <w:rFonts w:cs="Arial"/>
              </w:rPr>
            </w:pPr>
            <w:r w:rsidRPr="093B333D">
              <w:rPr>
                <w:rFonts w:cs="Arial"/>
              </w:rPr>
              <w:t>$</w:t>
            </w:r>
            <w:r w:rsidRPr="093B333D" w:rsidR="4C6DDA8A">
              <w:rPr>
                <w:rFonts w:cs="Arial"/>
              </w:rPr>
              <w:t>1,739,220</w:t>
            </w:r>
          </w:p>
        </w:tc>
      </w:tr>
      <w:tr w14:paraId="7991020F" w14:textId="77777777" w:rsidTr="093B333D">
        <w:tblPrEx>
          <w:tblW w:w="5000" w:type="pct"/>
          <w:tblLook w:val="01E0"/>
        </w:tblPrEx>
        <w:tc>
          <w:tcPr>
            <w:tcW w:w="1816" w:type="dxa"/>
            <w:shd w:val="clear" w:color="auto" w:fill="auto"/>
          </w:tcPr>
          <w:p w:rsidR="008835A0" w:rsidRPr="008714EF" w:rsidP="00542678" w14:paraId="34CA1963" w14:textId="77777777">
            <w:pPr>
              <w:pStyle w:val="NoSpacing"/>
              <w:rPr>
                <w:rFonts w:cs="Arial"/>
                <w:b/>
                <w:bCs/>
                <w:szCs w:val="24"/>
              </w:rPr>
            </w:pPr>
            <w:r w:rsidRPr="008714EF">
              <w:rPr>
                <w:rFonts w:cs="Arial"/>
                <w:b/>
                <w:bCs/>
                <w:szCs w:val="24"/>
              </w:rPr>
              <w:t xml:space="preserve">Total Agency </w:t>
            </w:r>
          </w:p>
        </w:tc>
        <w:tc>
          <w:tcPr>
            <w:tcW w:w="1515" w:type="dxa"/>
            <w:shd w:val="clear" w:color="auto" w:fill="EEECE1" w:themeFill="background2"/>
          </w:tcPr>
          <w:p w:rsidR="008835A0" w:rsidRPr="008714EF" w:rsidP="00542678" w14:paraId="483CAA0E" w14:textId="77777777">
            <w:pPr>
              <w:pStyle w:val="NoSpacing"/>
              <w:jc w:val="center"/>
              <w:rPr>
                <w:rFonts w:cs="Arial"/>
                <w:szCs w:val="24"/>
              </w:rPr>
            </w:pPr>
          </w:p>
        </w:tc>
        <w:tc>
          <w:tcPr>
            <w:tcW w:w="1344" w:type="dxa"/>
            <w:shd w:val="clear" w:color="auto" w:fill="EEECE1" w:themeFill="background2"/>
          </w:tcPr>
          <w:p w:rsidR="008835A0" w:rsidRPr="008714EF" w:rsidP="00542678" w14:paraId="5A54B2AD" w14:textId="77777777">
            <w:pPr>
              <w:pStyle w:val="NoSpacing"/>
              <w:jc w:val="center"/>
              <w:rPr>
                <w:rFonts w:cs="Arial"/>
                <w:szCs w:val="24"/>
              </w:rPr>
            </w:pPr>
          </w:p>
        </w:tc>
        <w:tc>
          <w:tcPr>
            <w:tcW w:w="1440" w:type="dxa"/>
            <w:shd w:val="clear" w:color="auto" w:fill="EEECE1" w:themeFill="background2"/>
          </w:tcPr>
          <w:p w:rsidR="008835A0" w:rsidRPr="008714EF" w:rsidP="00542678" w14:paraId="7E577DA5" w14:textId="77777777">
            <w:pPr>
              <w:pStyle w:val="NoSpacing"/>
              <w:jc w:val="center"/>
              <w:rPr>
                <w:rFonts w:cs="Arial"/>
                <w:szCs w:val="24"/>
              </w:rPr>
            </w:pPr>
          </w:p>
        </w:tc>
        <w:tc>
          <w:tcPr>
            <w:tcW w:w="1710" w:type="dxa"/>
            <w:shd w:val="clear" w:color="auto" w:fill="auto"/>
          </w:tcPr>
          <w:p w:rsidR="008835A0" w:rsidRPr="008714EF" w:rsidP="00542678" w14:paraId="7D7C2B3C" w14:textId="57699977">
            <w:pPr>
              <w:pStyle w:val="NoSpacing"/>
              <w:jc w:val="center"/>
              <w:rPr>
                <w:rFonts w:cs="Arial"/>
                <w:szCs w:val="24"/>
              </w:rPr>
            </w:pPr>
            <w:r w:rsidRPr="008714EF">
              <w:rPr>
                <w:rFonts w:cs="Arial"/>
                <w:szCs w:val="24"/>
              </w:rPr>
              <w:t>-</w:t>
            </w:r>
          </w:p>
        </w:tc>
        <w:tc>
          <w:tcPr>
            <w:tcW w:w="1525" w:type="dxa"/>
          </w:tcPr>
          <w:p w:rsidR="008835A0" w:rsidRPr="008714EF" w:rsidP="00542678" w14:paraId="1F938639" w14:textId="0931474C">
            <w:pPr>
              <w:pStyle w:val="NoSpacing"/>
              <w:jc w:val="center"/>
              <w:rPr>
                <w:rFonts w:cs="Arial"/>
                <w:szCs w:val="24"/>
              </w:rPr>
            </w:pPr>
            <w:r w:rsidRPr="008714EF">
              <w:rPr>
                <w:rFonts w:cs="Arial"/>
                <w:szCs w:val="24"/>
              </w:rPr>
              <w:t>-</w:t>
            </w:r>
          </w:p>
        </w:tc>
      </w:tr>
    </w:tbl>
    <w:p w:rsidR="008835A0" w:rsidRPr="008714EF" w:rsidP="3C0D16AE" w14:paraId="4B2258B1" w14:textId="7CD811CA">
      <w:pPr>
        <w:ind w:left="280"/>
        <w:rPr>
          <w:b/>
          <w:bCs/>
          <w:sz w:val="18"/>
          <w:szCs w:val="18"/>
        </w:rPr>
      </w:pPr>
      <w:r w:rsidRPr="008714EF">
        <w:rPr>
          <w:sz w:val="18"/>
          <w:szCs w:val="18"/>
        </w:rPr>
        <w:t>Note: Responses per respondent have been rounded,</w:t>
      </w:r>
    </w:p>
    <w:p w:rsidR="008714EF" w:rsidRPr="008714EF" w14:paraId="0D8F6F16" w14:textId="2ABDC3C0">
      <w:pPr>
        <w:rPr>
          <w:b/>
          <w:bCs/>
          <w:sz w:val="24"/>
          <w:szCs w:val="24"/>
        </w:rPr>
      </w:pPr>
    </w:p>
    <w:p w:rsidR="006B5715" w:rsidRPr="008714EF" w:rsidP="00B803CA" w14:paraId="3126EDFC" w14:textId="5AA52BD5">
      <w:pPr>
        <w:pStyle w:val="Heading1"/>
      </w:pPr>
      <w:r w:rsidRPr="008714EF">
        <w:t>SUPPORTING</w:t>
      </w:r>
      <w:r w:rsidRPr="008714EF">
        <w:rPr>
          <w:spacing w:val="-19"/>
        </w:rPr>
        <w:t xml:space="preserve"> </w:t>
      </w:r>
      <w:r w:rsidRPr="008714EF">
        <w:rPr>
          <w:spacing w:val="-2"/>
        </w:rPr>
        <w:t>STATEMENT</w:t>
      </w:r>
    </w:p>
    <w:p w:rsidR="006B5715" w:rsidRPr="008714EF" w:rsidP="00B803CA" w14:paraId="3126EDFD" w14:textId="4B410429">
      <w:pPr>
        <w:pStyle w:val="Heading2"/>
      </w:pPr>
      <w:r w:rsidRPr="008714EF">
        <w:t xml:space="preserve">1. </w:t>
      </w:r>
      <w:r w:rsidRPr="008714EF" w:rsidR="007D7BF3">
        <w:t>Explain</w:t>
      </w:r>
      <w:r w:rsidRPr="008714EF" w:rsidR="007D7BF3">
        <w:rPr>
          <w:spacing w:val="-4"/>
        </w:rPr>
        <w:t xml:space="preserve"> </w:t>
      </w:r>
      <w:r w:rsidRPr="008714EF" w:rsidR="007D7BF3">
        <w:t>the</w:t>
      </w:r>
      <w:r w:rsidRPr="008714EF" w:rsidR="007D7BF3">
        <w:rPr>
          <w:spacing w:val="-4"/>
        </w:rPr>
        <w:t xml:space="preserve"> </w:t>
      </w:r>
      <w:r w:rsidRPr="008714EF" w:rsidR="007D7BF3">
        <w:t>circumstances</w:t>
      </w:r>
      <w:r w:rsidRPr="008714EF" w:rsidR="007D7BF3">
        <w:rPr>
          <w:spacing w:val="-4"/>
        </w:rPr>
        <w:t xml:space="preserve"> </w:t>
      </w:r>
      <w:r w:rsidRPr="008714EF" w:rsidR="007D7BF3">
        <w:t>that</w:t>
      </w:r>
      <w:r w:rsidRPr="008714EF" w:rsidR="007D7BF3">
        <w:rPr>
          <w:spacing w:val="-4"/>
        </w:rPr>
        <w:t xml:space="preserve"> </w:t>
      </w:r>
      <w:r w:rsidRPr="008714EF" w:rsidR="007D7BF3">
        <w:t>make</w:t>
      </w:r>
      <w:r w:rsidRPr="008714EF" w:rsidR="007D7BF3">
        <w:rPr>
          <w:spacing w:val="-4"/>
        </w:rPr>
        <w:t xml:space="preserve"> </w:t>
      </w:r>
      <w:r w:rsidRPr="008714EF" w:rsidR="007D7BF3">
        <w:t>the</w:t>
      </w:r>
      <w:r w:rsidRPr="008714EF" w:rsidR="007D7BF3">
        <w:rPr>
          <w:spacing w:val="-5"/>
        </w:rPr>
        <w:t xml:space="preserve"> </w:t>
      </w:r>
      <w:r w:rsidRPr="008714EF" w:rsidR="007D7BF3">
        <w:t>collection</w:t>
      </w:r>
      <w:r w:rsidRPr="008714EF" w:rsidR="007D7BF3">
        <w:rPr>
          <w:spacing w:val="-5"/>
        </w:rPr>
        <w:t xml:space="preserve"> </w:t>
      </w:r>
      <w:r w:rsidRPr="008714EF" w:rsidR="007D7BF3">
        <w:t>of</w:t>
      </w:r>
      <w:r w:rsidRPr="008714EF" w:rsidR="007D7BF3">
        <w:rPr>
          <w:spacing w:val="-5"/>
        </w:rPr>
        <w:t xml:space="preserve"> </w:t>
      </w:r>
      <w:r w:rsidRPr="008714EF" w:rsidR="007D7BF3">
        <w:t>information</w:t>
      </w:r>
      <w:r w:rsidRPr="008714EF" w:rsidR="007D7BF3">
        <w:rPr>
          <w:spacing w:val="-4"/>
        </w:rPr>
        <w:t xml:space="preserve"> </w:t>
      </w:r>
      <w:r w:rsidRPr="008714EF" w:rsidR="007D7BF3">
        <w:t>necessary. Identify any legal or administrative requirements that necessitate the collection. Attach a copy of the appropriate section of each statute and regulation mandating or authorizing the collection of information.</w:t>
      </w:r>
    </w:p>
    <w:p w:rsidR="006B5715" w:rsidRPr="008714EF" w:rsidP="00115543" w14:paraId="3126EDFE" w14:textId="760ED82A">
      <w:pPr>
        <w:pStyle w:val="BodyText"/>
        <w:spacing w:before="200" w:after="240"/>
        <w:ind w:left="279" w:right="862"/>
      </w:pPr>
      <w:r w:rsidRPr="008714EF">
        <w:t>Under section 6(a) of TSCA (15 U.S.C. § 2605(a))</w:t>
      </w:r>
      <w:r w:rsidRPr="008714EF" w:rsidR="002A2018">
        <w:t xml:space="preserve"> (</w:t>
      </w:r>
      <w:r w:rsidRPr="008714EF" w:rsidR="002A2018">
        <w:rPr>
          <w:b/>
          <w:bCs/>
        </w:rPr>
        <w:t>Attachment 1</w:t>
      </w:r>
      <w:r w:rsidRPr="008714EF" w:rsidR="002A2018">
        <w:t>)</w:t>
      </w:r>
      <w:r w:rsidRPr="008714EF">
        <w:t>,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w:t>
      </w:r>
      <w:r w:rsidRPr="008714EF">
        <w:rPr>
          <w:spacing w:val="-4"/>
        </w:rPr>
        <w:t xml:space="preserve"> </w:t>
      </w:r>
      <w:r w:rsidRPr="008714EF">
        <w:t>more</w:t>
      </w:r>
      <w:r w:rsidRPr="008714EF">
        <w:rPr>
          <w:spacing w:val="-3"/>
        </w:rPr>
        <w:t xml:space="preserve"> </w:t>
      </w:r>
      <w:r w:rsidRPr="008714EF">
        <w:t>requirements</w:t>
      </w:r>
      <w:r w:rsidRPr="008714EF">
        <w:rPr>
          <w:spacing w:val="-3"/>
        </w:rPr>
        <w:t xml:space="preserve"> </w:t>
      </w:r>
      <w:r w:rsidRPr="008714EF">
        <w:t>to</w:t>
      </w:r>
      <w:r w:rsidRPr="008714EF">
        <w:rPr>
          <w:spacing w:val="-3"/>
        </w:rPr>
        <w:t xml:space="preserve"> </w:t>
      </w:r>
      <w:r w:rsidRPr="008714EF">
        <w:t>the</w:t>
      </w:r>
      <w:r w:rsidRPr="008714EF">
        <w:rPr>
          <w:spacing w:val="-3"/>
        </w:rPr>
        <w:t xml:space="preserve"> </w:t>
      </w:r>
      <w:r w:rsidRPr="008714EF">
        <w:t>extent</w:t>
      </w:r>
      <w:r w:rsidRPr="008714EF">
        <w:rPr>
          <w:spacing w:val="-3"/>
        </w:rPr>
        <w:t xml:space="preserve"> </w:t>
      </w:r>
      <w:r w:rsidRPr="008714EF">
        <w:t>necessary</w:t>
      </w:r>
      <w:r w:rsidRPr="008714EF">
        <w:rPr>
          <w:spacing w:val="-3"/>
        </w:rPr>
        <w:t xml:space="preserve"> </w:t>
      </w:r>
      <w:r w:rsidRPr="008714EF">
        <w:t>so</w:t>
      </w:r>
      <w:r w:rsidRPr="008714EF">
        <w:rPr>
          <w:spacing w:val="-3"/>
        </w:rPr>
        <w:t xml:space="preserve"> </w:t>
      </w:r>
      <w:r w:rsidRPr="008714EF">
        <w:t>that</w:t>
      </w:r>
      <w:r w:rsidRPr="008714EF">
        <w:rPr>
          <w:spacing w:val="-3"/>
        </w:rPr>
        <w:t xml:space="preserve"> </w:t>
      </w:r>
      <w:r w:rsidRPr="008714EF">
        <w:t>the</w:t>
      </w:r>
      <w:r w:rsidRPr="008714EF">
        <w:rPr>
          <w:spacing w:val="-3"/>
        </w:rPr>
        <w:t xml:space="preserve"> </w:t>
      </w:r>
      <w:r w:rsidRPr="008714EF">
        <w:t>chemical</w:t>
      </w:r>
      <w:r w:rsidRPr="008714EF">
        <w:rPr>
          <w:spacing w:val="-3"/>
        </w:rPr>
        <w:t xml:space="preserve"> </w:t>
      </w:r>
      <w:r w:rsidRPr="008714EF">
        <w:t>substance</w:t>
      </w:r>
      <w:r w:rsidRPr="008714EF">
        <w:rPr>
          <w:spacing w:val="-3"/>
        </w:rPr>
        <w:t xml:space="preserve"> </w:t>
      </w:r>
      <w:r w:rsidRPr="008714EF">
        <w:t>or</w:t>
      </w:r>
      <w:r w:rsidRPr="008714EF">
        <w:rPr>
          <w:spacing w:val="-3"/>
        </w:rPr>
        <w:t xml:space="preserve"> </w:t>
      </w:r>
      <w:r w:rsidRPr="008714EF">
        <w:t>mixture no longer presents such risk. Section 6(a) authorizes EPA to:</w:t>
      </w:r>
    </w:p>
    <w:p w:rsidR="006B5715" w:rsidRPr="008714EF" w:rsidP="00115543" w14:paraId="3126EE00" w14:textId="77777777">
      <w:pPr>
        <w:pStyle w:val="ListParagraph"/>
        <w:numPr>
          <w:ilvl w:val="1"/>
          <w:numId w:val="5"/>
        </w:numPr>
        <w:tabs>
          <w:tab w:val="left" w:pos="1000"/>
        </w:tabs>
        <w:spacing w:after="240"/>
        <w:ind w:hanging="361"/>
        <w:contextualSpacing/>
        <w:rPr>
          <w:sz w:val="24"/>
          <w:szCs w:val="24"/>
        </w:rPr>
      </w:pPr>
      <w:r w:rsidRPr="008714EF">
        <w:rPr>
          <w:sz w:val="24"/>
          <w:szCs w:val="24"/>
        </w:rPr>
        <w:t>Prohibit</w:t>
      </w:r>
      <w:r w:rsidRPr="008714EF">
        <w:rPr>
          <w:spacing w:val="-6"/>
          <w:sz w:val="24"/>
          <w:szCs w:val="24"/>
        </w:rPr>
        <w:t xml:space="preserve"> </w:t>
      </w:r>
      <w:r w:rsidRPr="008714EF">
        <w:rPr>
          <w:sz w:val="24"/>
          <w:szCs w:val="24"/>
        </w:rPr>
        <w:t>or</w:t>
      </w:r>
      <w:r w:rsidRPr="008714EF">
        <w:rPr>
          <w:spacing w:val="-5"/>
          <w:sz w:val="24"/>
          <w:szCs w:val="24"/>
        </w:rPr>
        <w:t xml:space="preserve"> </w:t>
      </w:r>
      <w:r w:rsidRPr="008714EF">
        <w:rPr>
          <w:sz w:val="24"/>
          <w:szCs w:val="24"/>
        </w:rPr>
        <w:t>restrict</w:t>
      </w:r>
      <w:r w:rsidRPr="008714EF">
        <w:rPr>
          <w:spacing w:val="-5"/>
          <w:sz w:val="24"/>
          <w:szCs w:val="24"/>
        </w:rPr>
        <w:t xml:space="preserve"> </w:t>
      </w:r>
      <w:r w:rsidRPr="008714EF">
        <w:rPr>
          <w:sz w:val="24"/>
          <w:szCs w:val="24"/>
        </w:rPr>
        <w:t>manufacture,</w:t>
      </w:r>
      <w:r w:rsidRPr="008714EF">
        <w:rPr>
          <w:spacing w:val="-5"/>
          <w:sz w:val="24"/>
          <w:szCs w:val="24"/>
        </w:rPr>
        <w:t xml:space="preserve"> </w:t>
      </w:r>
      <w:r w:rsidRPr="008714EF">
        <w:rPr>
          <w:sz w:val="24"/>
          <w:szCs w:val="24"/>
        </w:rPr>
        <w:t>processing,</w:t>
      </w:r>
      <w:r w:rsidRPr="008714EF">
        <w:rPr>
          <w:spacing w:val="-4"/>
          <w:sz w:val="24"/>
          <w:szCs w:val="24"/>
        </w:rPr>
        <w:t xml:space="preserve"> </w:t>
      </w:r>
      <w:r w:rsidRPr="008714EF">
        <w:rPr>
          <w:sz w:val="24"/>
          <w:szCs w:val="24"/>
        </w:rPr>
        <w:t>or</w:t>
      </w:r>
      <w:r w:rsidRPr="008714EF">
        <w:rPr>
          <w:spacing w:val="-4"/>
          <w:sz w:val="24"/>
          <w:szCs w:val="24"/>
        </w:rPr>
        <w:t xml:space="preserve"> </w:t>
      </w:r>
      <w:r w:rsidRPr="008714EF">
        <w:rPr>
          <w:sz w:val="24"/>
          <w:szCs w:val="24"/>
        </w:rPr>
        <w:t>distribution</w:t>
      </w:r>
      <w:r w:rsidRPr="008714EF">
        <w:rPr>
          <w:spacing w:val="-4"/>
          <w:sz w:val="24"/>
          <w:szCs w:val="24"/>
        </w:rPr>
        <w:t xml:space="preserve"> </w:t>
      </w:r>
      <w:r w:rsidRPr="008714EF">
        <w:rPr>
          <w:sz w:val="24"/>
          <w:szCs w:val="24"/>
        </w:rPr>
        <w:t>in</w:t>
      </w:r>
      <w:r w:rsidRPr="008714EF">
        <w:rPr>
          <w:spacing w:val="-4"/>
          <w:sz w:val="24"/>
          <w:szCs w:val="24"/>
        </w:rPr>
        <w:t xml:space="preserve"> </w:t>
      </w:r>
      <w:r w:rsidRPr="008714EF">
        <w:rPr>
          <w:spacing w:val="-2"/>
          <w:sz w:val="24"/>
          <w:szCs w:val="24"/>
        </w:rPr>
        <w:t>commerce,</w:t>
      </w:r>
    </w:p>
    <w:p w:rsidR="006B5715" w:rsidRPr="008714EF" w:rsidP="00115543" w14:paraId="3126EE01" w14:textId="77777777">
      <w:pPr>
        <w:pStyle w:val="ListParagraph"/>
        <w:numPr>
          <w:ilvl w:val="1"/>
          <w:numId w:val="5"/>
        </w:numPr>
        <w:tabs>
          <w:tab w:val="left" w:pos="1000"/>
        </w:tabs>
        <w:spacing w:after="240"/>
        <w:ind w:right="1221"/>
        <w:contextualSpacing/>
        <w:rPr>
          <w:sz w:val="24"/>
          <w:szCs w:val="24"/>
        </w:rPr>
      </w:pPr>
      <w:r w:rsidRPr="008714EF">
        <w:rPr>
          <w:sz w:val="24"/>
          <w:szCs w:val="24"/>
        </w:rPr>
        <w:t>Prohibit</w:t>
      </w:r>
      <w:r w:rsidRPr="008714EF">
        <w:rPr>
          <w:spacing w:val="-5"/>
          <w:sz w:val="24"/>
          <w:szCs w:val="24"/>
        </w:rPr>
        <w:t xml:space="preserve"> </w:t>
      </w:r>
      <w:r w:rsidRPr="008714EF">
        <w:rPr>
          <w:sz w:val="24"/>
          <w:szCs w:val="24"/>
        </w:rPr>
        <w:t>or</w:t>
      </w:r>
      <w:r w:rsidRPr="008714EF">
        <w:rPr>
          <w:spacing w:val="-5"/>
          <w:sz w:val="24"/>
          <w:szCs w:val="24"/>
        </w:rPr>
        <w:t xml:space="preserve"> </w:t>
      </w:r>
      <w:r w:rsidRPr="008714EF">
        <w:rPr>
          <w:sz w:val="24"/>
          <w:szCs w:val="24"/>
        </w:rPr>
        <w:t>restrict</w:t>
      </w:r>
      <w:r w:rsidRPr="008714EF">
        <w:rPr>
          <w:spacing w:val="-5"/>
          <w:sz w:val="24"/>
          <w:szCs w:val="24"/>
        </w:rPr>
        <w:t xml:space="preserve"> </w:t>
      </w:r>
      <w:r w:rsidRPr="008714EF">
        <w:rPr>
          <w:sz w:val="24"/>
          <w:szCs w:val="24"/>
        </w:rPr>
        <w:t>the</w:t>
      </w:r>
      <w:r w:rsidRPr="008714EF">
        <w:rPr>
          <w:spacing w:val="-4"/>
          <w:sz w:val="24"/>
          <w:szCs w:val="24"/>
        </w:rPr>
        <w:t xml:space="preserve"> </w:t>
      </w:r>
      <w:r w:rsidRPr="008714EF">
        <w:rPr>
          <w:sz w:val="24"/>
          <w:szCs w:val="24"/>
        </w:rPr>
        <w:t>manufacture,</w:t>
      </w:r>
      <w:r w:rsidRPr="008714EF">
        <w:rPr>
          <w:spacing w:val="-4"/>
          <w:sz w:val="24"/>
          <w:szCs w:val="24"/>
        </w:rPr>
        <w:t xml:space="preserve"> </w:t>
      </w:r>
      <w:r w:rsidRPr="008714EF">
        <w:rPr>
          <w:sz w:val="24"/>
          <w:szCs w:val="24"/>
        </w:rPr>
        <w:t>processing,</w:t>
      </w:r>
      <w:r w:rsidRPr="008714EF">
        <w:rPr>
          <w:spacing w:val="-4"/>
          <w:sz w:val="24"/>
          <w:szCs w:val="24"/>
        </w:rPr>
        <w:t xml:space="preserve"> </w:t>
      </w:r>
      <w:r w:rsidRPr="008714EF">
        <w:rPr>
          <w:sz w:val="24"/>
          <w:szCs w:val="24"/>
        </w:rPr>
        <w:t>or</w:t>
      </w:r>
      <w:r w:rsidRPr="008714EF">
        <w:rPr>
          <w:spacing w:val="-4"/>
          <w:sz w:val="24"/>
          <w:szCs w:val="24"/>
        </w:rPr>
        <w:t xml:space="preserve"> </w:t>
      </w:r>
      <w:r w:rsidRPr="008714EF">
        <w:rPr>
          <w:sz w:val="24"/>
          <w:szCs w:val="24"/>
        </w:rPr>
        <w:t>distribution</w:t>
      </w:r>
      <w:r w:rsidRPr="008714EF">
        <w:rPr>
          <w:spacing w:val="-4"/>
          <w:sz w:val="24"/>
          <w:szCs w:val="24"/>
        </w:rPr>
        <w:t xml:space="preserve"> </w:t>
      </w:r>
      <w:r w:rsidRPr="008714EF">
        <w:rPr>
          <w:sz w:val="24"/>
          <w:szCs w:val="24"/>
        </w:rPr>
        <w:t>in</w:t>
      </w:r>
      <w:r w:rsidRPr="008714EF">
        <w:rPr>
          <w:spacing w:val="-4"/>
          <w:sz w:val="24"/>
          <w:szCs w:val="24"/>
        </w:rPr>
        <w:t xml:space="preserve"> </w:t>
      </w:r>
      <w:r w:rsidRPr="008714EF">
        <w:rPr>
          <w:sz w:val="24"/>
          <w:szCs w:val="24"/>
        </w:rPr>
        <w:t>commerce</w:t>
      </w:r>
      <w:r w:rsidRPr="008714EF">
        <w:rPr>
          <w:spacing w:val="-4"/>
          <w:sz w:val="24"/>
          <w:szCs w:val="24"/>
        </w:rPr>
        <w:t xml:space="preserve"> </w:t>
      </w:r>
      <w:r w:rsidRPr="008714EF">
        <w:rPr>
          <w:sz w:val="24"/>
          <w:szCs w:val="24"/>
        </w:rPr>
        <w:t>of the chemical substance above a specified concentration,</w:t>
      </w:r>
    </w:p>
    <w:p w:rsidR="006B5715" w:rsidRPr="008714EF" w:rsidP="00115543" w14:paraId="3126EE02" w14:textId="77777777">
      <w:pPr>
        <w:pStyle w:val="ListParagraph"/>
        <w:numPr>
          <w:ilvl w:val="1"/>
          <w:numId w:val="5"/>
        </w:numPr>
        <w:tabs>
          <w:tab w:val="left" w:pos="1001"/>
        </w:tabs>
        <w:spacing w:after="240"/>
        <w:ind w:right="1300"/>
        <w:contextualSpacing/>
        <w:rPr>
          <w:sz w:val="24"/>
          <w:szCs w:val="24"/>
        </w:rPr>
      </w:pPr>
      <w:r w:rsidRPr="008714EF">
        <w:rPr>
          <w:sz w:val="24"/>
          <w:szCs w:val="24"/>
        </w:rPr>
        <w:t>Require</w:t>
      </w:r>
      <w:r w:rsidRPr="008714EF">
        <w:rPr>
          <w:spacing w:val="-4"/>
          <w:sz w:val="24"/>
          <w:szCs w:val="24"/>
        </w:rPr>
        <w:t xml:space="preserve"> </w:t>
      </w:r>
      <w:r w:rsidRPr="008714EF">
        <w:rPr>
          <w:sz w:val="24"/>
          <w:szCs w:val="24"/>
        </w:rPr>
        <w:t>minimum</w:t>
      </w:r>
      <w:r w:rsidRPr="008714EF">
        <w:rPr>
          <w:spacing w:val="-4"/>
          <w:sz w:val="24"/>
          <w:szCs w:val="24"/>
        </w:rPr>
        <w:t xml:space="preserve"> </w:t>
      </w:r>
      <w:r w:rsidRPr="008714EF">
        <w:rPr>
          <w:sz w:val="24"/>
          <w:szCs w:val="24"/>
        </w:rPr>
        <w:t>warnings</w:t>
      </w:r>
      <w:r w:rsidRPr="008714EF">
        <w:rPr>
          <w:spacing w:val="-4"/>
          <w:sz w:val="24"/>
          <w:szCs w:val="24"/>
        </w:rPr>
        <w:t xml:space="preserve"> </w:t>
      </w:r>
      <w:r w:rsidRPr="008714EF">
        <w:rPr>
          <w:sz w:val="24"/>
          <w:szCs w:val="24"/>
        </w:rPr>
        <w:t>or</w:t>
      </w:r>
      <w:r w:rsidRPr="008714EF">
        <w:rPr>
          <w:spacing w:val="-4"/>
          <w:sz w:val="24"/>
          <w:szCs w:val="24"/>
        </w:rPr>
        <w:t xml:space="preserve"> </w:t>
      </w:r>
      <w:r w:rsidRPr="008714EF">
        <w:rPr>
          <w:sz w:val="24"/>
          <w:szCs w:val="24"/>
        </w:rPr>
        <w:t>instructions</w:t>
      </w:r>
      <w:r w:rsidRPr="008714EF">
        <w:rPr>
          <w:spacing w:val="-4"/>
          <w:sz w:val="24"/>
          <w:szCs w:val="24"/>
        </w:rPr>
        <w:t xml:space="preserve"> </w:t>
      </w:r>
      <w:r w:rsidRPr="008714EF">
        <w:rPr>
          <w:sz w:val="24"/>
          <w:szCs w:val="24"/>
        </w:rPr>
        <w:t>with</w:t>
      </w:r>
      <w:r w:rsidRPr="008714EF">
        <w:rPr>
          <w:spacing w:val="-4"/>
          <w:sz w:val="24"/>
          <w:szCs w:val="24"/>
        </w:rPr>
        <w:t xml:space="preserve"> </w:t>
      </w:r>
      <w:r w:rsidRPr="008714EF">
        <w:rPr>
          <w:sz w:val="24"/>
          <w:szCs w:val="24"/>
        </w:rPr>
        <w:t>respect</w:t>
      </w:r>
      <w:r w:rsidRPr="008714EF">
        <w:rPr>
          <w:spacing w:val="-4"/>
          <w:sz w:val="24"/>
          <w:szCs w:val="24"/>
        </w:rPr>
        <w:t xml:space="preserve"> </w:t>
      </w:r>
      <w:r w:rsidRPr="008714EF">
        <w:rPr>
          <w:sz w:val="24"/>
          <w:szCs w:val="24"/>
        </w:rPr>
        <w:t>to</w:t>
      </w:r>
      <w:r w:rsidRPr="008714EF">
        <w:rPr>
          <w:spacing w:val="-4"/>
          <w:sz w:val="24"/>
          <w:szCs w:val="24"/>
        </w:rPr>
        <w:t xml:space="preserve"> </w:t>
      </w:r>
      <w:r w:rsidRPr="008714EF">
        <w:rPr>
          <w:sz w:val="24"/>
          <w:szCs w:val="24"/>
        </w:rPr>
        <w:t>use,</w:t>
      </w:r>
      <w:r w:rsidRPr="008714EF">
        <w:rPr>
          <w:spacing w:val="-4"/>
          <w:sz w:val="24"/>
          <w:szCs w:val="24"/>
        </w:rPr>
        <w:t xml:space="preserve"> </w:t>
      </w:r>
      <w:r w:rsidRPr="008714EF">
        <w:rPr>
          <w:sz w:val="24"/>
          <w:szCs w:val="24"/>
        </w:rPr>
        <w:t>distribution,</w:t>
      </w:r>
      <w:r w:rsidRPr="008714EF">
        <w:rPr>
          <w:spacing w:val="-4"/>
          <w:sz w:val="24"/>
          <w:szCs w:val="24"/>
        </w:rPr>
        <w:t xml:space="preserve"> </w:t>
      </w:r>
      <w:r w:rsidRPr="008714EF">
        <w:rPr>
          <w:sz w:val="24"/>
          <w:szCs w:val="24"/>
        </w:rPr>
        <w:t xml:space="preserve">or </w:t>
      </w:r>
      <w:r w:rsidRPr="008714EF">
        <w:rPr>
          <w:spacing w:val="-2"/>
          <w:sz w:val="24"/>
          <w:szCs w:val="24"/>
        </w:rPr>
        <w:t>disposal,</w:t>
      </w:r>
    </w:p>
    <w:p w:rsidR="006B5715" w:rsidRPr="008714EF" w:rsidP="00115543" w14:paraId="3126EE03" w14:textId="77777777">
      <w:pPr>
        <w:pStyle w:val="ListParagraph"/>
        <w:numPr>
          <w:ilvl w:val="1"/>
          <w:numId w:val="5"/>
        </w:numPr>
        <w:tabs>
          <w:tab w:val="left" w:pos="1001"/>
        </w:tabs>
        <w:spacing w:after="240"/>
        <w:ind w:left="1000" w:hanging="362"/>
        <w:contextualSpacing/>
        <w:rPr>
          <w:sz w:val="24"/>
          <w:szCs w:val="24"/>
        </w:rPr>
      </w:pPr>
      <w:r w:rsidRPr="008714EF">
        <w:rPr>
          <w:sz w:val="24"/>
          <w:szCs w:val="24"/>
        </w:rPr>
        <w:t>Require</w:t>
      </w:r>
      <w:r w:rsidRPr="008714EF">
        <w:rPr>
          <w:spacing w:val="-6"/>
          <w:sz w:val="24"/>
          <w:szCs w:val="24"/>
        </w:rPr>
        <w:t xml:space="preserve"> </w:t>
      </w:r>
      <w:r w:rsidRPr="008714EF">
        <w:rPr>
          <w:sz w:val="24"/>
          <w:szCs w:val="24"/>
        </w:rPr>
        <w:t>manufacturers</w:t>
      </w:r>
      <w:r w:rsidRPr="008714EF">
        <w:rPr>
          <w:spacing w:val="-3"/>
          <w:sz w:val="24"/>
          <w:szCs w:val="24"/>
        </w:rPr>
        <w:t xml:space="preserve"> </w:t>
      </w:r>
      <w:r w:rsidRPr="008714EF">
        <w:rPr>
          <w:sz w:val="24"/>
          <w:szCs w:val="24"/>
        </w:rPr>
        <w:t>or</w:t>
      </w:r>
      <w:r w:rsidRPr="008714EF">
        <w:rPr>
          <w:spacing w:val="-4"/>
          <w:sz w:val="24"/>
          <w:szCs w:val="24"/>
        </w:rPr>
        <w:t xml:space="preserve"> </w:t>
      </w:r>
      <w:r w:rsidRPr="008714EF">
        <w:rPr>
          <w:sz w:val="24"/>
          <w:szCs w:val="24"/>
        </w:rPr>
        <w:t>processors</w:t>
      </w:r>
      <w:r w:rsidRPr="008714EF">
        <w:rPr>
          <w:spacing w:val="-3"/>
          <w:sz w:val="24"/>
          <w:szCs w:val="24"/>
        </w:rPr>
        <w:t xml:space="preserve"> </w:t>
      </w:r>
      <w:r w:rsidRPr="008714EF">
        <w:rPr>
          <w:sz w:val="24"/>
          <w:szCs w:val="24"/>
        </w:rPr>
        <w:t>to</w:t>
      </w:r>
      <w:r w:rsidRPr="008714EF">
        <w:rPr>
          <w:spacing w:val="-3"/>
          <w:sz w:val="24"/>
          <w:szCs w:val="24"/>
        </w:rPr>
        <w:t xml:space="preserve"> </w:t>
      </w:r>
      <w:r w:rsidRPr="008714EF">
        <w:rPr>
          <w:sz w:val="24"/>
          <w:szCs w:val="24"/>
        </w:rPr>
        <w:t>make</w:t>
      </w:r>
      <w:r w:rsidRPr="008714EF">
        <w:rPr>
          <w:spacing w:val="-4"/>
          <w:sz w:val="24"/>
          <w:szCs w:val="24"/>
        </w:rPr>
        <w:t xml:space="preserve"> </w:t>
      </w:r>
      <w:r w:rsidRPr="008714EF">
        <w:rPr>
          <w:sz w:val="24"/>
          <w:szCs w:val="24"/>
        </w:rPr>
        <w:t>and</w:t>
      </w:r>
      <w:r w:rsidRPr="008714EF">
        <w:rPr>
          <w:spacing w:val="-3"/>
          <w:sz w:val="24"/>
          <w:szCs w:val="24"/>
        </w:rPr>
        <w:t xml:space="preserve"> </w:t>
      </w:r>
      <w:r w:rsidRPr="008714EF">
        <w:rPr>
          <w:sz w:val="24"/>
          <w:szCs w:val="24"/>
        </w:rPr>
        <w:t>retain</w:t>
      </w:r>
      <w:r w:rsidRPr="008714EF">
        <w:rPr>
          <w:spacing w:val="-3"/>
          <w:sz w:val="24"/>
          <w:szCs w:val="24"/>
        </w:rPr>
        <w:t xml:space="preserve"> </w:t>
      </w:r>
      <w:r w:rsidRPr="008714EF">
        <w:rPr>
          <w:spacing w:val="-2"/>
          <w:sz w:val="24"/>
          <w:szCs w:val="24"/>
        </w:rPr>
        <w:t>records,</w:t>
      </w:r>
    </w:p>
    <w:p w:rsidR="006B5715" w:rsidRPr="008714EF" w:rsidP="00115543" w14:paraId="3126EE04" w14:textId="77777777">
      <w:pPr>
        <w:pStyle w:val="ListParagraph"/>
        <w:numPr>
          <w:ilvl w:val="1"/>
          <w:numId w:val="5"/>
        </w:numPr>
        <w:tabs>
          <w:tab w:val="left" w:pos="1001"/>
        </w:tabs>
        <w:spacing w:after="240"/>
        <w:ind w:left="1000" w:hanging="362"/>
        <w:contextualSpacing/>
        <w:rPr>
          <w:sz w:val="24"/>
          <w:szCs w:val="24"/>
        </w:rPr>
      </w:pPr>
      <w:r w:rsidRPr="008714EF">
        <w:rPr>
          <w:sz w:val="24"/>
          <w:szCs w:val="24"/>
        </w:rPr>
        <w:t>Prohibit</w:t>
      </w:r>
      <w:r w:rsidRPr="008714EF">
        <w:rPr>
          <w:spacing w:val="-7"/>
          <w:sz w:val="24"/>
          <w:szCs w:val="24"/>
        </w:rPr>
        <w:t xml:space="preserve"> </w:t>
      </w:r>
      <w:r w:rsidRPr="008714EF">
        <w:rPr>
          <w:sz w:val="24"/>
          <w:szCs w:val="24"/>
        </w:rPr>
        <w:t>or</w:t>
      </w:r>
      <w:r w:rsidRPr="008714EF">
        <w:rPr>
          <w:spacing w:val="-5"/>
          <w:sz w:val="24"/>
          <w:szCs w:val="24"/>
        </w:rPr>
        <w:t xml:space="preserve"> </w:t>
      </w:r>
      <w:r w:rsidRPr="008714EF">
        <w:rPr>
          <w:sz w:val="24"/>
          <w:szCs w:val="24"/>
        </w:rPr>
        <w:t>regulate</w:t>
      </w:r>
      <w:r w:rsidRPr="008714EF">
        <w:rPr>
          <w:spacing w:val="-4"/>
          <w:sz w:val="24"/>
          <w:szCs w:val="24"/>
        </w:rPr>
        <w:t xml:space="preserve"> </w:t>
      </w:r>
      <w:r w:rsidRPr="008714EF">
        <w:rPr>
          <w:sz w:val="24"/>
          <w:szCs w:val="24"/>
        </w:rPr>
        <w:t>any</w:t>
      </w:r>
      <w:r w:rsidRPr="008714EF">
        <w:rPr>
          <w:spacing w:val="-4"/>
          <w:sz w:val="24"/>
          <w:szCs w:val="24"/>
        </w:rPr>
        <w:t xml:space="preserve"> </w:t>
      </w:r>
      <w:r w:rsidRPr="008714EF">
        <w:rPr>
          <w:sz w:val="24"/>
          <w:szCs w:val="24"/>
        </w:rPr>
        <w:t>manner</w:t>
      </w:r>
      <w:r w:rsidRPr="008714EF">
        <w:rPr>
          <w:spacing w:val="-4"/>
          <w:sz w:val="24"/>
          <w:szCs w:val="24"/>
        </w:rPr>
        <w:t xml:space="preserve"> </w:t>
      </w:r>
      <w:r w:rsidRPr="008714EF">
        <w:rPr>
          <w:sz w:val="24"/>
          <w:szCs w:val="24"/>
        </w:rPr>
        <w:t>of</w:t>
      </w:r>
      <w:r w:rsidRPr="008714EF">
        <w:rPr>
          <w:spacing w:val="-5"/>
          <w:sz w:val="24"/>
          <w:szCs w:val="24"/>
        </w:rPr>
        <w:t xml:space="preserve"> </w:t>
      </w:r>
      <w:r w:rsidRPr="008714EF">
        <w:rPr>
          <w:sz w:val="24"/>
          <w:szCs w:val="24"/>
        </w:rPr>
        <w:t>commercial</w:t>
      </w:r>
      <w:r w:rsidRPr="008714EF">
        <w:rPr>
          <w:spacing w:val="-4"/>
          <w:sz w:val="24"/>
          <w:szCs w:val="24"/>
        </w:rPr>
        <w:t xml:space="preserve"> use,</w:t>
      </w:r>
    </w:p>
    <w:p w:rsidR="006B5715" w:rsidRPr="008714EF" w:rsidP="00115543" w14:paraId="3126EE05" w14:textId="77777777">
      <w:pPr>
        <w:pStyle w:val="ListParagraph"/>
        <w:numPr>
          <w:ilvl w:val="1"/>
          <w:numId w:val="5"/>
        </w:numPr>
        <w:tabs>
          <w:tab w:val="left" w:pos="1001"/>
        </w:tabs>
        <w:spacing w:after="240"/>
        <w:ind w:left="1000" w:hanging="362"/>
        <w:contextualSpacing/>
        <w:rPr>
          <w:sz w:val="24"/>
          <w:szCs w:val="24"/>
        </w:rPr>
      </w:pPr>
      <w:r w:rsidRPr="008714EF">
        <w:rPr>
          <w:sz w:val="24"/>
          <w:szCs w:val="24"/>
        </w:rPr>
        <w:t>Prohibit</w:t>
      </w:r>
      <w:r w:rsidRPr="008714EF">
        <w:rPr>
          <w:spacing w:val="-5"/>
          <w:sz w:val="24"/>
          <w:szCs w:val="24"/>
        </w:rPr>
        <w:t xml:space="preserve"> </w:t>
      </w:r>
      <w:r w:rsidRPr="008714EF">
        <w:rPr>
          <w:sz w:val="24"/>
          <w:szCs w:val="24"/>
        </w:rPr>
        <w:t>or</w:t>
      </w:r>
      <w:r w:rsidRPr="008714EF">
        <w:rPr>
          <w:spacing w:val="-4"/>
          <w:sz w:val="24"/>
          <w:szCs w:val="24"/>
        </w:rPr>
        <w:t xml:space="preserve"> </w:t>
      </w:r>
      <w:r w:rsidRPr="008714EF">
        <w:rPr>
          <w:sz w:val="24"/>
          <w:szCs w:val="24"/>
        </w:rPr>
        <w:t>regulate</w:t>
      </w:r>
      <w:r w:rsidRPr="008714EF">
        <w:rPr>
          <w:spacing w:val="-5"/>
          <w:sz w:val="24"/>
          <w:szCs w:val="24"/>
        </w:rPr>
        <w:t xml:space="preserve"> </w:t>
      </w:r>
      <w:r w:rsidRPr="008714EF">
        <w:rPr>
          <w:sz w:val="24"/>
          <w:szCs w:val="24"/>
        </w:rPr>
        <w:t>any</w:t>
      </w:r>
      <w:r w:rsidRPr="008714EF">
        <w:rPr>
          <w:spacing w:val="-3"/>
          <w:sz w:val="24"/>
          <w:szCs w:val="24"/>
        </w:rPr>
        <w:t xml:space="preserve"> </w:t>
      </w:r>
      <w:r w:rsidRPr="008714EF">
        <w:rPr>
          <w:sz w:val="24"/>
          <w:szCs w:val="24"/>
        </w:rPr>
        <w:t>manner</w:t>
      </w:r>
      <w:r w:rsidRPr="008714EF">
        <w:rPr>
          <w:spacing w:val="-5"/>
          <w:sz w:val="24"/>
          <w:szCs w:val="24"/>
        </w:rPr>
        <w:t xml:space="preserve"> </w:t>
      </w:r>
      <w:r w:rsidRPr="008714EF">
        <w:rPr>
          <w:sz w:val="24"/>
          <w:szCs w:val="24"/>
        </w:rPr>
        <w:t>of</w:t>
      </w:r>
      <w:r w:rsidRPr="008714EF">
        <w:rPr>
          <w:spacing w:val="-4"/>
          <w:sz w:val="24"/>
          <w:szCs w:val="24"/>
        </w:rPr>
        <w:t xml:space="preserve"> </w:t>
      </w:r>
      <w:r w:rsidRPr="008714EF">
        <w:rPr>
          <w:sz w:val="24"/>
          <w:szCs w:val="24"/>
        </w:rPr>
        <w:t>disposal,</w:t>
      </w:r>
      <w:r w:rsidRPr="008714EF">
        <w:rPr>
          <w:spacing w:val="-4"/>
          <w:sz w:val="24"/>
          <w:szCs w:val="24"/>
        </w:rPr>
        <w:t xml:space="preserve"> </w:t>
      </w:r>
      <w:r w:rsidRPr="008714EF">
        <w:rPr>
          <w:spacing w:val="-2"/>
          <w:sz w:val="24"/>
          <w:szCs w:val="24"/>
        </w:rPr>
        <w:t>and/or</w:t>
      </w:r>
    </w:p>
    <w:p w:rsidR="006B5715" w:rsidRPr="008714EF" w:rsidP="00115543" w14:paraId="3126EE06" w14:textId="77777777">
      <w:pPr>
        <w:pStyle w:val="ListParagraph"/>
        <w:numPr>
          <w:ilvl w:val="1"/>
          <w:numId w:val="5"/>
        </w:numPr>
        <w:tabs>
          <w:tab w:val="left" w:pos="1001"/>
        </w:tabs>
        <w:spacing w:after="240"/>
        <w:ind w:right="1138"/>
        <w:contextualSpacing/>
        <w:rPr>
          <w:sz w:val="24"/>
          <w:szCs w:val="24"/>
        </w:rPr>
      </w:pPr>
      <w:r w:rsidRPr="008714EF">
        <w:rPr>
          <w:sz w:val="24"/>
          <w:szCs w:val="24"/>
        </w:rPr>
        <w:t>Require</w:t>
      </w:r>
      <w:r w:rsidRPr="008714EF">
        <w:rPr>
          <w:spacing w:val="-4"/>
          <w:sz w:val="24"/>
          <w:szCs w:val="24"/>
        </w:rPr>
        <w:t xml:space="preserve"> </w:t>
      </w:r>
      <w:r w:rsidRPr="008714EF">
        <w:rPr>
          <w:sz w:val="24"/>
          <w:szCs w:val="24"/>
        </w:rPr>
        <w:t>manufacturers</w:t>
      </w:r>
      <w:r w:rsidRPr="008714EF">
        <w:rPr>
          <w:spacing w:val="-4"/>
          <w:sz w:val="24"/>
          <w:szCs w:val="24"/>
        </w:rPr>
        <w:t xml:space="preserve"> </w:t>
      </w:r>
      <w:r w:rsidRPr="008714EF">
        <w:rPr>
          <w:sz w:val="24"/>
          <w:szCs w:val="24"/>
        </w:rPr>
        <w:t>or</w:t>
      </w:r>
      <w:r w:rsidRPr="008714EF">
        <w:rPr>
          <w:spacing w:val="-4"/>
          <w:sz w:val="24"/>
          <w:szCs w:val="24"/>
        </w:rPr>
        <w:t xml:space="preserve"> </w:t>
      </w:r>
      <w:r w:rsidRPr="008714EF">
        <w:rPr>
          <w:sz w:val="24"/>
          <w:szCs w:val="24"/>
        </w:rPr>
        <w:t>processors</w:t>
      </w:r>
      <w:r w:rsidRPr="008714EF">
        <w:rPr>
          <w:spacing w:val="-3"/>
          <w:sz w:val="24"/>
          <w:szCs w:val="24"/>
        </w:rPr>
        <w:t xml:space="preserve"> </w:t>
      </w:r>
      <w:r w:rsidRPr="008714EF">
        <w:rPr>
          <w:sz w:val="24"/>
          <w:szCs w:val="24"/>
        </w:rPr>
        <w:t>to</w:t>
      </w:r>
      <w:r w:rsidRPr="008714EF">
        <w:rPr>
          <w:spacing w:val="-4"/>
          <w:sz w:val="24"/>
          <w:szCs w:val="24"/>
        </w:rPr>
        <w:t xml:space="preserve"> </w:t>
      </w:r>
      <w:r w:rsidRPr="008714EF">
        <w:rPr>
          <w:sz w:val="24"/>
          <w:szCs w:val="24"/>
        </w:rPr>
        <w:t>give</w:t>
      </w:r>
      <w:r w:rsidRPr="008714EF">
        <w:rPr>
          <w:spacing w:val="-4"/>
          <w:sz w:val="24"/>
          <w:szCs w:val="24"/>
        </w:rPr>
        <w:t xml:space="preserve"> </w:t>
      </w:r>
      <w:r w:rsidRPr="008714EF">
        <w:rPr>
          <w:sz w:val="24"/>
          <w:szCs w:val="24"/>
        </w:rPr>
        <w:t>notice</w:t>
      </w:r>
      <w:r w:rsidRPr="008714EF">
        <w:rPr>
          <w:spacing w:val="-4"/>
          <w:sz w:val="24"/>
          <w:szCs w:val="24"/>
        </w:rPr>
        <w:t xml:space="preserve"> </w:t>
      </w:r>
      <w:r w:rsidRPr="008714EF">
        <w:rPr>
          <w:sz w:val="24"/>
          <w:szCs w:val="24"/>
        </w:rPr>
        <w:t>of</w:t>
      </w:r>
      <w:r w:rsidRPr="008714EF">
        <w:rPr>
          <w:spacing w:val="-4"/>
          <w:sz w:val="24"/>
          <w:szCs w:val="24"/>
        </w:rPr>
        <w:t xml:space="preserve"> </w:t>
      </w:r>
      <w:r w:rsidRPr="008714EF">
        <w:rPr>
          <w:sz w:val="24"/>
          <w:szCs w:val="24"/>
        </w:rPr>
        <w:t>the</w:t>
      </w:r>
      <w:r w:rsidRPr="008714EF">
        <w:rPr>
          <w:spacing w:val="-4"/>
          <w:sz w:val="24"/>
          <w:szCs w:val="24"/>
        </w:rPr>
        <w:t xml:space="preserve"> </w:t>
      </w:r>
      <w:r w:rsidRPr="008714EF">
        <w:rPr>
          <w:sz w:val="24"/>
          <w:szCs w:val="24"/>
        </w:rPr>
        <w:t>unreasonable</w:t>
      </w:r>
      <w:r w:rsidRPr="008714EF">
        <w:rPr>
          <w:spacing w:val="-4"/>
          <w:sz w:val="24"/>
          <w:szCs w:val="24"/>
        </w:rPr>
        <w:t xml:space="preserve"> </w:t>
      </w:r>
      <w:r w:rsidRPr="008714EF">
        <w:rPr>
          <w:sz w:val="24"/>
          <w:szCs w:val="24"/>
        </w:rPr>
        <w:t>risk</w:t>
      </w:r>
      <w:r w:rsidRPr="008714EF">
        <w:rPr>
          <w:spacing w:val="-4"/>
          <w:sz w:val="24"/>
          <w:szCs w:val="24"/>
        </w:rPr>
        <w:t xml:space="preserve"> </w:t>
      </w:r>
      <w:r w:rsidRPr="008714EF">
        <w:rPr>
          <w:sz w:val="24"/>
          <w:szCs w:val="24"/>
        </w:rPr>
        <w:t>of injury, and to recall products if required.</w:t>
      </w:r>
    </w:p>
    <w:p w:rsidR="006B5715" w:rsidRPr="008714EF" w:rsidP="00115543" w14:paraId="3126EE08" w14:textId="1C514F5E">
      <w:pPr>
        <w:pStyle w:val="BodyText"/>
        <w:spacing w:after="240"/>
        <w:ind w:left="279"/>
      </w:pPr>
      <w:r w:rsidRPr="008714EF">
        <w:t>EPA propose</w:t>
      </w:r>
      <w:r w:rsidRPr="008714EF" w:rsidR="002A2018">
        <w:t>s</w:t>
      </w:r>
      <w:r w:rsidRPr="008714EF">
        <w:t xml:space="preserve"> to</w:t>
      </w:r>
      <w:r w:rsidRPr="008714EF" w:rsidR="007D7BF3">
        <w:rPr>
          <w:spacing w:val="-2"/>
        </w:rPr>
        <w:t>:</w:t>
      </w:r>
    </w:p>
    <w:p w:rsidR="00A2353F" w:rsidRPr="008714EF" w:rsidP="00A2353F" w14:paraId="4759F997" w14:textId="5892752F">
      <w:pPr>
        <w:pStyle w:val="BodyText"/>
        <w:numPr>
          <w:ilvl w:val="0"/>
          <w:numId w:val="4"/>
        </w:numPr>
        <w:spacing w:after="240" w:line="276" w:lineRule="auto"/>
        <w:ind w:right="878"/>
      </w:pPr>
      <w:r w:rsidRPr="008714EF">
        <w:t>Prohibit the manufacture (including import), processing, and distribution in commerce of TCE for all conditions of use</w:t>
      </w:r>
      <w:r w:rsidR="007E33B2">
        <w:t xml:space="preserve"> (including all consumer uses)</w:t>
      </w:r>
      <w:r w:rsidRPr="008714EF">
        <w:t xml:space="preserve">, with longer </w:t>
      </w:r>
      <w:r w:rsidRPr="008714EF" w:rsidR="00B22B92">
        <w:t xml:space="preserve">compliance </w:t>
      </w:r>
      <w:r w:rsidRPr="008714EF">
        <w:t xml:space="preserve">timeframes for manufacture and processing related to certain </w:t>
      </w:r>
      <w:r w:rsidRPr="008714EF">
        <w:t>uses;</w:t>
      </w:r>
      <w:r w:rsidRPr="008714EF">
        <w:t xml:space="preserve"> </w:t>
      </w:r>
    </w:p>
    <w:p w:rsidR="00A2353F" w:rsidRPr="008714EF" w:rsidP="00A2353F" w14:paraId="61C8ED98" w14:textId="224CCC4B">
      <w:pPr>
        <w:pStyle w:val="BodyText"/>
        <w:numPr>
          <w:ilvl w:val="0"/>
          <w:numId w:val="4"/>
        </w:numPr>
        <w:spacing w:after="240" w:line="276" w:lineRule="auto"/>
        <w:ind w:right="878"/>
      </w:pPr>
      <w:r w:rsidRPr="008714EF">
        <w:t xml:space="preserve">Prohibit the industrial and commercial use of TCE, with longer </w:t>
      </w:r>
      <w:r w:rsidRPr="008714EF" w:rsidR="00B22B92">
        <w:t xml:space="preserve">compliance </w:t>
      </w:r>
      <w:r w:rsidRPr="008714EF">
        <w:t xml:space="preserve">timeframes for certain </w:t>
      </w:r>
      <w:r w:rsidRPr="008714EF">
        <w:t>uses;</w:t>
      </w:r>
      <w:r w:rsidRPr="008714EF">
        <w:t xml:space="preserve"> </w:t>
      </w:r>
    </w:p>
    <w:p w:rsidR="00A2353F" w:rsidRPr="008714EF" w:rsidP="00A2353F" w14:paraId="744FD4F4" w14:textId="5220D49C">
      <w:pPr>
        <w:pStyle w:val="BodyText"/>
        <w:numPr>
          <w:ilvl w:val="0"/>
          <w:numId w:val="4"/>
        </w:numPr>
        <w:spacing w:after="240" w:line="276" w:lineRule="auto"/>
        <w:ind w:right="878"/>
      </w:pPr>
      <w:r w:rsidRPr="008714EF">
        <w:t>Prohibit the manufacture (including import) and processing of TCE as an intermediate</w:t>
      </w:r>
      <w:r w:rsidR="007E33B2">
        <w:t xml:space="preserve"> for the manufacturing of hydrofluorocarbon 134a (HFC-134a),</w:t>
      </w:r>
      <w:r w:rsidRPr="008714EF">
        <w:t xml:space="preserve"> </w:t>
      </w:r>
      <w:r w:rsidRPr="008714EF">
        <w:t>following an 8</w:t>
      </w:r>
      <w:r w:rsidRPr="008714EF" w:rsidR="00CE0101">
        <w:t>.5</w:t>
      </w:r>
      <w:r w:rsidRPr="008714EF">
        <w:t xml:space="preserve">-year </w:t>
      </w:r>
      <w:r w:rsidRPr="008714EF">
        <w:t>phaseout;</w:t>
      </w:r>
      <w:r w:rsidRPr="008714EF">
        <w:t xml:space="preserve"> </w:t>
      </w:r>
    </w:p>
    <w:p w:rsidR="00B22B92" w:rsidP="00A2353F" w14:paraId="462EA6E2" w14:textId="3AB48A55">
      <w:pPr>
        <w:pStyle w:val="BodyText"/>
        <w:numPr>
          <w:ilvl w:val="0"/>
          <w:numId w:val="4"/>
        </w:numPr>
        <w:spacing w:after="240" w:line="276" w:lineRule="auto"/>
        <w:ind w:right="878"/>
      </w:pPr>
      <w:r>
        <w:t xml:space="preserve">Prohibit the industrial and commercial use of TCE as a solvent for closed-loop batch vapor degreasing for rayon fabric scouring for end use in solid rocket booster nozzle production by Federal agencies </w:t>
      </w:r>
      <w:r w:rsidR="1190E11E">
        <w:t xml:space="preserve">and </w:t>
      </w:r>
      <w:r>
        <w:t>their contractors</w:t>
      </w:r>
      <w:r w:rsidR="007E33B2">
        <w:t xml:space="preserve">, </w:t>
      </w:r>
      <w:r w:rsidRPr="00B769E0" w:rsidR="007E33B2">
        <w:rPr>
          <w:rFonts w:cs="Times New Roman"/>
          <w:bCs/>
        </w:rPr>
        <w:t>following</w:t>
      </w:r>
      <w:r w:rsidR="007E33B2">
        <w:rPr>
          <w:rFonts w:cs="Times New Roman"/>
          <w:bCs/>
        </w:rPr>
        <w:t xml:space="preserve"> </w:t>
      </w:r>
      <w:r w:rsidRPr="00B769E0" w:rsidR="007E33B2">
        <w:rPr>
          <w:rFonts w:cs="Times New Roman"/>
          <w:bCs/>
        </w:rPr>
        <w:t>a</w:t>
      </w:r>
      <w:r w:rsidR="007E33B2">
        <w:rPr>
          <w:rFonts w:cs="Times New Roman"/>
          <w:bCs/>
        </w:rPr>
        <w:t xml:space="preserve"> </w:t>
      </w:r>
      <w:r w:rsidRPr="00B769E0" w:rsidR="007E33B2">
        <w:rPr>
          <w:rFonts w:cs="Times New Roman"/>
          <w:bCs/>
        </w:rPr>
        <w:t>10-year</w:t>
      </w:r>
      <w:r w:rsidR="007E33B2">
        <w:rPr>
          <w:rFonts w:cs="Times New Roman"/>
          <w:bCs/>
        </w:rPr>
        <w:t xml:space="preserve"> </w:t>
      </w:r>
      <w:r w:rsidRPr="00B769E0" w:rsidR="007E33B2">
        <w:rPr>
          <w:rFonts w:cs="Times New Roman"/>
          <w:bCs/>
        </w:rPr>
        <w:t>phaseout</w:t>
      </w:r>
      <w:r>
        <w:t>;</w:t>
      </w:r>
    </w:p>
    <w:p w:rsidR="00750669" w:rsidRPr="008714EF" w:rsidP="00A2353F" w14:paraId="53E7F93B" w14:textId="50B5AD08">
      <w:pPr>
        <w:pStyle w:val="BodyText"/>
        <w:numPr>
          <w:ilvl w:val="0"/>
          <w:numId w:val="4"/>
        </w:numPr>
        <w:spacing w:after="240" w:line="276" w:lineRule="auto"/>
        <w:ind w:right="878"/>
      </w:pPr>
      <w:r w:rsidRPr="008F0B23">
        <w:t>For Department of Defense (DoD) naval vessels and their systems, and in the maintenance, fabrication, and sustainment for and of such vessels and systems,  prohibit the industrial and commercial use of TCE as potting compounds for naval electronic systems and equipment; sealing compounds for high and ultra-high vacuum systems; bonding compounds for materials testing and maintenance of underwater systems and bonding of nonmetallic materials; and cleaning requirements (which includes degreasing using wipes, sprays, solvents and vapor degreasing) for: materials and components required for military ordinance testing; temporary resin repairs in vessel spaces where welding is not authorized; ensuring polyurethane adhesion for electronic systems and equipment repair and installation of elastomeric materials; various naval combat systems, radars, sensors, equipment; fabrication and prototyping processes to remove coolant and other residue from machine parts; machined part fabrications for naval systems; installation of topside rubber tile material aboard vessels; and vapor degreasing required for substrate  surface preparation prior to electroplating processes, following a 10-year TSCA section 6(g) exemption;</w:t>
      </w:r>
    </w:p>
    <w:p w:rsidR="00A2353F" w:rsidRPr="008714EF" w:rsidP="00A2353F" w14:paraId="35A994B2" w14:textId="18517165">
      <w:pPr>
        <w:pStyle w:val="BodyText"/>
        <w:numPr>
          <w:ilvl w:val="0"/>
          <w:numId w:val="4"/>
        </w:numPr>
        <w:spacing w:after="240" w:line="276" w:lineRule="auto"/>
        <w:ind w:right="878"/>
      </w:pPr>
      <w:r>
        <w:t>Prohibit the manufactur</w:t>
      </w:r>
      <w:r w:rsidR="00B22B92">
        <w:t>e</w:t>
      </w:r>
      <w:r>
        <w:t xml:space="preserve"> (including import), processing, distribution in commerce, and use of TCE as a processing aid for battery separator manufacturing following a 10-year TSCA section 6(g) </w:t>
      </w:r>
      <w:r>
        <w:t>exemption;</w:t>
      </w:r>
      <w:r>
        <w:t xml:space="preserve"> </w:t>
      </w:r>
    </w:p>
    <w:p w:rsidR="00A2353F" w:rsidRPr="008714EF" w:rsidP="00A2353F" w14:paraId="45BA3479" w14:textId="14494D33">
      <w:pPr>
        <w:pStyle w:val="BodyText"/>
        <w:numPr>
          <w:ilvl w:val="0"/>
          <w:numId w:val="4"/>
        </w:numPr>
        <w:spacing w:after="240" w:line="276" w:lineRule="auto"/>
        <w:ind w:right="878"/>
      </w:pPr>
      <w:r>
        <w:t>Prohibit the manufactur</w:t>
      </w:r>
      <w:r w:rsidR="00B22B92">
        <w:t>e</w:t>
      </w:r>
      <w:r>
        <w:t xml:space="preserve"> (including import), processing, distribution in commerce, and use of TCE as a laboratory chemical </w:t>
      </w:r>
      <w:r w:rsidR="2735D769">
        <w:t>for essential laboratory activities</w:t>
      </w:r>
      <w:r w:rsidRPr="00910717" w:rsidR="00910717">
        <w:t xml:space="preserve"> and some research and development activities</w:t>
      </w:r>
      <w:r w:rsidR="007E33B2">
        <w:t>,</w:t>
      </w:r>
      <w:r>
        <w:t xml:space="preserve"> following a </w:t>
      </w:r>
      <w:r w:rsidR="000B211E">
        <w:t>50</w:t>
      </w:r>
      <w:r>
        <w:t xml:space="preserve">-year TSCA section 6(g) </w:t>
      </w:r>
      <w:r>
        <w:t>exemption;</w:t>
      </w:r>
      <w:r>
        <w:t xml:space="preserve"> </w:t>
      </w:r>
    </w:p>
    <w:p w:rsidR="00F379F8" w:rsidP="00F379F8" w14:paraId="2F0C25EA" w14:textId="7C2431C1">
      <w:pPr>
        <w:pStyle w:val="BodyText"/>
        <w:numPr>
          <w:ilvl w:val="0"/>
          <w:numId w:val="4"/>
        </w:numPr>
        <w:spacing w:after="240" w:line="276" w:lineRule="auto"/>
        <w:ind w:right="839"/>
      </w:pPr>
      <w:r w:rsidRPr="001F1142">
        <w:t xml:space="preserve">Prohibit the manufacture (including import), processing, distribution in commerce, and industrial and commercial use of TCE </w:t>
      </w:r>
      <w:r w:rsidR="00F72230">
        <w:t xml:space="preserve">as a solvent </w:t>
      </w:r>
      <w:r w:rsidRPr="001F1142">
        <w:t xml:space="preserve">in closed loop vapor degreasing necessary for human-rated rocket engine cleaning by NASA and its contractors, following a 7-year TSCA section 6(g) </w:t>
      </w:r>
      <w:r w:rsidRPr="001F1142">
        <w:t>exemption</w:t>
      </w:r>
      <w:r>
        <w:t>;</w:t>
      </w:r>
      <w:r>
        <w:t xml:space="preserve"> </w:t>
      </w:r>
    </w:p>
    <w:p w:rsidR="00222A02" w:rsidRPr="008714EF" w:rsidP="00222A02" w14:paraId="4AA70681" w14:textId="5E0077E9">
      <w:pPr>
        <w:pStyle w:val="BodyText"/>
        <w:numPr>
          <w:ilvl w:val="0"/>
          <w:numId w:val="4"/>
        </w:numPr>
        <w:spacing w:after="240" w:line="276" w:lineRule="auto"/>
        <w:ind w:right="839"/>
      </w:pPr>
      <w:r w:rsidRPr="00A84EDD">
        <w:rPr>
          <w:bCs/>
        </w:rPr>
        <w:t xml:space="preserve">Prohibit the </w:t>
      </w:r>
      <w:r w:rsidRPr="00A84EDD">
        <w:t>emergency industrial and commercial use of TCE in furtherance of N</w:t>
      </w:r>
      <w:r>
        <w:t xml:space="preserve">ational </w:t>
      </w:r>
      <w:r w:rsidRPr="00A84EDD">
        <w:t>A</w:t>
      </w:r>
      <w:r>
        <w:t xml:space="preserve">eronautics and </w:t>
      </w:r>
      <w:r w:rsidRPr="00A84EDD">
        <w:t>S</w:t>
      </w:r>
      <w:r>
        <w:t xml:space="preserve">pace </w:t>
      </w:r>
      <w:r w:rsidRPr="00A84EDD">
        <w:t>A</w:t>
      </w:r>
      <w:r>
        <w:t>dministration</w:t>
      </w:r>
      <w:r w:rsidRPr="00A84EDD">
        <w:t xml:space="preserve">’s mission </w:t>
      </w:r>
      <w:r>
        <w:t xml:space="preserve">for specific conditions which are critical or essential and for which </w:t>
      </w:r>
      <w:r>
        <w:t>no</w:t>
      </w:r>
      <w:r>
        <w:t xml:space="preserve"> technically and economically feasible safer alternative is available</w:t>
      </w:r>
      <w:r w:rsidRPr="00A84EDD">
        <w:t xml:space="preserve">, following a 10-year TSCA section 6(g) </w:t>
      </w:r>
      <w:r w:rsidRPr="00A84EDD">
        <w:t>exemption;</w:t>
      </w:r>
    </w:p>
    <w:p w:rsidR="00A2353F" w:rsidRPr="008714EF" w:rsidP="00A2353F" w14:paraId="147BAD4F" w14:textId="509F18EF">
      <w:pPr>
        <w:pStyle w:val="BodyText"/>
        <w:numPr>
          <w:ilvl w:val="0"/>
          <w:numId w:val="4"/>
        </w:numPr>
        <w:spacing w:after="240" w:line="276" w:lineRule="auto"/>
        <w:ind w:right="878"/>
      </w:pPr>
      <w:r>
        <w:t xml:space="preserve">Require strict interim workplace controls, including </w:t>
      </w:r>
      <w:r w:rsidR="00B22B92">
        <w:t xml:space="preserve">compliance with </w:t>
      </w:r>
      <w:r>
        <w:t xml:space="preserve">a TCE workplace chemical protection program (WCPP), which would include requirements for an inhalation exposure limit and </w:t>
      </w:r>
      <w:r w:rsidR="00B22B92">
        <w:t>dermal protection</w:t>
      </w:r>
      <w:r>
        <w:t xml:space="preserve"> to limit exposure to TCE, for conditions of use with long term phaseouts or time-limited exemptions under TSCA section </w:t>
      </w:r>
      <w:r>
        <w:t>6(g);</w:t>
      </w:r>
      <w:r>
        <w:t xml:space="preserve"> </w:t>
      </w:r>
    </w:p>
    <w:p w:rsidR="00BC799D" w:rsidRPr="008714EF" w:rsidP="00FF35F0" w14:paraId="0B0637BB" w14:textId="5B23574C">
      <w:pPr>
        <w:pStyle w:val="ListParagraph"/>
        <w:numPr>
          <w:ilvl w:val="0"/>
          <w:numId w:val="4"/>
        </w:numPr>
        <w:tabs>
          <w:tab w:val="left" w:pos="1000"/>
        </w:tabs>
        <w:ind w:left="999" w:right="848"/>
        <w:rPr>
          <w:sz w:val="24"/>
          <w:szCs w:val="24"/>
        </w:rPr>
      </w:pPr>
      <w:r w:rsidRPr="7A936A1D">
        <w:rPr>
          <w:sz w:val="24"/>
          <w:szCs w:val="24"/>
        </w:rPr>
        <w:t>Prohibit the disposal of TCE</w:t>
      </w:r>
      <w:r w:rsidRPr="7A936A1D" w:rsidR="3B3C21C8">
        <w:rPr>
          <w:sz w:val="24"/>
          <w:szCs w:val="24"/>
        </w:rPr>
        <w:t xml:space="preserve"> </w:t>
      </w:r>
      <w:r w:rsidRPr="7A936A1D" w:rsidR="773ACC2F">
        <w:rPr>
          <w:sz w:val="24"/>
          <w:szCs w:val="24"/>
        </w:rPr>
        <w:t xml:space="preserve">to </w:t>
      </w:r>
      <w:r w:rsidRPr="7A936A1D" w:rsidR="3B3C21C8">
        <w:rPr>
          <w:sz w:val="24"/>
          <w:szCs w:val="24"/>
        </w:rPr>
        <w:t xml:space="preserve">industrial pre-treatment, industrial treatment, or publicly owned treatment </w:t>
      </w:r>
      <w:r w:rsidR="00281073">
        <w:t xml:space="preserve">works with a 50-year TSCA section 6(g) exemption for cleanup </w:t>
      </w:r>
      <w:r w:rsidR="00D61BE2">
        <w:t>projects</w:t>
      </w:r>
      <w:r w:rsidR="00281073">
        <w:t>;</w:t>
      </w:r>
      <w:r w:rsidR="00281073">
        <w:t xml:space="preserve"> </w:t>
      </w:r>
    </w:p>
    <w:p w:rsidR="002B252F" w:rsidRPr="008714EF" w:rsidP="002B252F" w14:paraId="12C8B7FE" w14:textId="77777777">
      <w:pPr>
        <w:pStyle w:val="ListParagraph"/>
        <w:tabs>
          <w:tab w:val="left" w:pos="1000"/>
        </w:tabs>
        <w:ind w:left="999" w:right="848" w:firstLine="0"/>
        <w:rPr>
          <w:sz w:val="24"/>
          <w:szCs w:val="24"/>
        </w:rPr>
      </w:pPr>
    </w:p>
    <w:p w:rsidR="00A61661" w:rsidRPr="008714EF" w:rsidP="001C368E" w14:paraId="23D20C19" w14:textId="01383AB6">
      <w:pPr>
        <w:pStyle w:val="ListParagraph"/>
        <w:numPr>
          <w:ilvl w:val="0"/>
          <w:numId w:val="4"/>
        </w:numPr>
        <w:tabs>
          <w:tab w:val="left" w:pos="1000"/>
        </w:tabs>
        <w:ind w:left="999" w:right="848"/>
        <w:rPr>
          <w:sz w:val="24"/>
          <w:szCs w:val="24"/>
        </w:rPr>
      </w:pPr>
      <w:r w:rsidRPr="008714EF">
        <w:rPr>
          <w:sz w:val="24"/>
          <w:szCs w:val="24"/>
        </w:rPr>
        <w:t>Establish recordkeeping and downstream notification requirements.</w:t>
      </w:r>
    </w:p>
    <w:p w:rsidR="00941786" w:rsidRPr="008714EF" w:rsidP="00941786" w14:paraId="653119C1" w14:textId="77777777">
      <w:pPr>
        <w:pStyle w:val="ListParagraph"/>
        <w:tabs>
          <w:tab w:val="left" w:pos="1000"/>
        </w:tabs>
        <w:ind w:left="999" w:right="848" w:firstLine="0"/>
        <w:rPr>
          <w:sz w:val="24"/>
          <w:szCs w:val="24"/>
        </w:rPr>
      </w:pPr>
    </w:p>
    <w:p w:rsidR="006B5715" w:rsidRPr="008714EF" w:rsidP="00B803CA" w14:paraId="3126EE15" w14:textId="418E21E5">
      <w:pPr>
        <w:pStyle w:val="Heading2"/>
      </w:pPr>
      <w:r w:rsidRPr="008714EF">
        <w:t xml:space="preserve">2. </w:t>
      </w:r>
      <w:r w:rsidRPr="008714EF" w:rsidR="007D7BF3">
        <w:t>Indicate</w:t>
      </w:r>
      <w:r w:rsidRPr="008714EF" w:rsidR="007D7BF3">
        <w:rPr>
          <w:spacing w:val="-2"/>
        </w:rPr>
        <w:t xml:space="preserve"> </w:t>
      </w:r>
      <w:r w:rsidRPr="008714EF" w:rsidR="007D7BF3">
        <w:t>how,</w:t>
      </w:r>
      <w:r w:rsidRPr="008714EF" w:rsidR="007D7BF3">
        <w:rPr>
          <w:spacing w:val="-2"/>
        </w:rPr>
        <w:t xml:space="preserve"> </w:t>
      </w:r>
      <w:r w:rsidRPr="008714EF" w:rsidR="007D7BF3">
        <w:t>by</w:t>
      </w:r>
      <w:r w:rsidRPr="008714EF" w:rsidR="007D7BF3">
        <w:rPr>
          <w:spacing w:val="-2"/>
        </w:rPr>
        <w:t xml:space="preserve"> </w:t>
      </w:r>
      <w:r w:rsidRPr="008714EF" w:rsidR="007D7BF3">
        <w:t>whom,</w:t>
      </w:r>
      <w:r w:rsidRPr="008714EF" w:rsidR="007D7BF3">
        <w:rPr>
          <w:spacing w:val="-2"/>
        </w:rPr>
        <w:t xml:space="preserve"> </w:t>
      </w:r>
      <w:r w:rsidRPr="008714EF" w:rsidR="007D7BF3">
        <w:t>and</w:t>
      </w:r>
      <w:r w:rsidRPr="008714EF" w:rsidR="007D7BF3">
        <w:rPr>
          <w:spacing w:val="-2"/>
        </w:rPr>
        <w:t xml:space="preserve"> </w:t>
      </w:r>
      <w:r w:rsidRPr="008714EF" w:rsidR="007D7BF3">
        <w:t>for</w:t>
      </w:r>
      <w:r w:rsidRPr="008714EF" w:rsidR="007D7BF3">
        <w:rPr>
          <w:spacing w:val="-2"/>
        </w:rPr>
        <w:t xml:space="preserve"> </w:t>
      </w:r>
      <w:r w:rsidRPr="008714EF" w:rsidR="007D7BF3">
        <w:t>what</w:t>
      </w:r>
      <w:r w:rsidRPr="008714EF" w:rsidR="007D7BF3">
        <w:rPr>
          <w:spacing w:val="-2"/>
        </w:rPr>
        <w:t xml:space="preserve"> </w:t>
      </w:r>
      <w:r w:rsidRPr="008714EF" w:rsidR="007D7BF3">
        <w:t>purpose</w:t>
      </w:r>
      <w:r w:rsidRPr="008714EF" w:rsidR="007D7BF3">
        <w:rPr>
          <w:spacing w:val="-2"/>
        </w:rPr>
        <w:t xml:space="preserve"> </w:t>
      </w:r>
      <w:r w:rsidRPr="008714EF" w:rsidR="007D7BF3">
        <w:t>the</w:t>
      </w:r>
      <w:r w:rsidRPr="008714EF" w:rsidR="007D7BF3">
        <w:rPr>
          <w:spacing w:val="-2"/>
        </w:rPr>
        <w:t xml:space="preserve"> </w:t>
      </w:r>
      <w:r w:rsidRPr="008714EF" w:rsidR="007D7BF3">
        <w:t>information</w:t>
      </w:r>
      <w:r w:rsidRPr="008714EF" w:rsidR="007D7BF3">
        <w:rPr>
          <w:spacing w:val="-2"/>
        </w:rPr>
        <w:t xml:space="preserve"> </w:t>
      </w:r>
      <w:r w:rsidRPr="008714EF" w:rsidR="007D7BF3">
        <w:t>is</w:t>
      </w:r>
      <w:r w:rsidRPr="008714EF" w:rsidR="007D7BF3">
        <w:rPr>
          <w:spacing w:val="-2"/>
        </w:rPr>
        <w:t xml:space="preserve"> </w:t>
      </w:r>
      <w:r w:rsidRPr="008714EF" w:rsidR="007D7BF3">
        <w:t>to</w:t>
      </w:r>
      <w:r w:rsidRPr="008714EF" w:rsidR="007D7BF3">
        <w:rPr>
          <w:spacing w:val="-3"/>
        </w:rPr>
        <w:t xml:space="preserve"> </w:t>
      </w:r>
      <w:r w:rsidRPr="008714EF" w:rsidR="007D7BF3">
        <w:t>be</w:t>
      </w:r>
      <w:r w:rsidRPr="008714EF" w:rsidR="007D7BF3">
        <w:rPr>
          <w:spacing w:val="-2"/>
        </w:rPr>
        <w:t xml:space="preserve"> </w:t>
      </w:r>
      <w:r w:rsidRPr="008714EF" w:rsidR="007D7BF3">
        <w:t>used. Except</w:t>
      </w:r>
      <w:r w:rsidRPr="008714EF" w:rsidR="007D7BF3">
        <w:rPr>
          <w:spacing w:val="-3"/>
        </w:rPr>
        <w:t xml:space="preserve"> </w:t>
      </w:r>
      <w:r w:rsidRPr="008714EF" w:rsidR="007D7BF3">
        <w:t>for</w:t>
      </w:r>
      <w:r w:rsidRPr="008714EF" w:rsidR="007D7BF3">
        <w:rPr>
          <w:spacing w:val="-3"/>
        </w:rPr>
        <w:t xml:space="preserve"> </w:t>
      </w:r>
      <w:r w:rsidRPr="008714EF" w:rsidR="007D7BF3">
        <w:t>a</w:t>
      </w:r>
      <w:r w:rsidRPr="008714EF" w:rsidR="007D7BF3">
        <w:rPr>
          <w:spacing w:val="-3"/>
        </w:rPr>
        <w:t xml:space="preserve"> </w:t>
      </w:r>
      <w:r w:rsidRPr="008714EF" w:rsidR="007D7BF3">
        <w:t>new</w:t>
      </w:r>
      <w:r w:rsidRPr="008714EF" w:rsidR="007D7BF3">
        <w:rPr>
          <w:spacing w:val="-3"/>
        </w:rPr>
        <w:t xml:space="preserve"> </w:t>
      </w:r>
      <w:r w:rsidRPr="008714EF" w:rsidR="007D7BF3">
        <w:t>collection,</w:t>
      </w:r>
      <w:r w:rsidRPr="008714EF" w:rsidR="007D7BF3">
        <w:rPr>
          <w:spacing w:val="-3"/>
        </w:rPr>
        <w:t xml:space="preserve"> </w:t>
      </w:r>
      <w:r w:rsidRPr="008714EF" w:rsidR="007D7BF3">
        <w:t>indicate</w:t>
      </w:r>
      <w:r w:rsidRPr="008714EF" w:rsidR="007D7BF3">
        <w:rPr>
          <w:spacing w:val="-3"/>
        </w:rPr>
        <w:t xml:space="preserve"> </w:t>
      </w:r>
      <w:r w:rsidRPr="008714EF" w:rsidR="007D7BF3">
        <w:t>the</w:t>
      </w:r>
      <w:r w:rsidRPr="008714EF" w:rsidR="007D7BF3">
        <w:rPr>
          <w:spacing w:val="-3"/>
        </w:rPr>
        <w:t xml:space="preserve"> </w:t>
      </w:r>
      <w:r w:rsidRPr="008714EF" w:rsidR="007D7BF3">
        <w:t>actual</w:t>
      </w:r>
      <w:r w:rsidRPr="008714EF" w:rsidR="007D7BF3">
        <w:rPr>
          <w:spacing w:val="-3"/>
        </w:rPr>
        <w:t xml:space="preserve"> </w:t>
      </w:r>
      <w:r w:rsidRPr="008714EF" w:rsidR="007D7BF3">
        <w:t>use</w:t>
      </w:r>
      <w:r w:rsidRPr="008714EF" w:rsidR="007D7BF3">
        <w:rPr>
          <w:spacing w:val="-3"/>
        </w:rPr>
        <w:t xml:space="preserve"> </w:t>
      </w:r>
      <w:r w:rsidRPr="008714EF" w:rsidR="007D7BF3">
        <w:t>the</w:t>
      </w:r>
      <w:r w:rsidRPr="008714EF" w:rsidR="007D7BF3">
        <w:rPr>
          <w:spacing w:val="-3"/>
        </w:rPr>
        <w:t xml:space="preserve"> </w:t>
      </w:r>
      <w:r w:rsidRPr="008714EF" w:rsidR="007D7BF3">
        <w:t>Agency</w:t>
      </w:r>
      <w:r w:rsidRPr="008714EF" w:rsidR="007D7BF3">
        <w:rPr>
          <w:spacing w:val="-3"/>
        </w:rPr>
        <w:t xml:space="preserve"> </w:t>
      </w:r>
      <w:r w:rsidRPr="008714EF" w:rsidR="007D7BF3">
        <w:t>has</w:t>
      </w:r>
      <w:r w:rsidRPr="008714EF" w:rsidR="007D7BF3">
        <w:rPr>
          <w:spacing w:val="-3"/>
        </w:rPr>
        <w:t xml:space="preserve"> </w:t>
      </w:r>
      <w:r w:rsidRPr="008714EF" w:rsidR="007D7BF3">
        <w:t>made</w:t>
      </w:r>
      <w:r w:rsidRPr="008714EF" w:rsidR="007D7BF3">
        <w:rPr>
          <w:spacing w:val="-3"/>
        </w:rPr>
        <w:t xml:space="preserve"> </w:t>
      </w:r>
      <w:r w:rsidRPr="008714EF" w:rsidR="007D7BF3">
        <w:t>of the information received from the current collection.</w:t>
      </w:r>
    </w:p>
    <w:p w:rsidR="00B32304" w:rsidRPr="008714EF" w:rsidP="001C368E" w14:paraId="533F572C" w14:textId="028C607F">
      <w:pPr>
        <w:pStyle w:val="BodyText"/>
        <w:spacing w:before="200" w:after="240"/>
        <w:ind w:left="280" w:right="912"/>
      </w:pPr>
      <w:r w:rsidRPr="008714EF">
        <w:t xml:space="preserve">The information collection activities covered by this ICR are necessary to mitigate the unreasonable risk from </w:t>
      </w:r>
      <w:r w:rsidRPr="008714EF" w:rsidR="00E8662E">
        <w:t>T</w:t>
      </w:r>
      <w:r w:rsidRPr="008714EF" w:rsidR="00AF66B7">
        <w:t>CE</w:t>
      </w:r>
      <w:r w:rsidRPr="008714EF">
        <w:t xml:space="preserve">. </w:t>
      </w:r>
    </w:p>
    <w:p w:rsidR="00585885" w:rsidRPr="008714EF" w:rsidP="001C368E" w14:paraId="6553A445" w14:textId="657FE5EF">
      <w:pPr>
        <w:pStyle w:val="BodyText"/>
        <w:spacing w:before="200" w:after="240"/>
        <w:ind w:left="280" w:right="912"/>
      </w:pPr>
      <w:r w:rsidRPr="008714EF">
        <w:rPr>
          <w:u w:val="single"/>
        </w:rPr>
        <w:t>Downstream Notification.</w:t>
      </w:r>
      <w:r w:rsidRPr="008714EF">
        <w:t xml:space="preserve"> </w:t>
      </w:r>
      <w:r w:rsidRPr="008714EF">
        <w:t xml:space="preserve">Without the downstream notification requirement, there is a greater likelihood that </w:t>
      </w:r>
      <w:r w:rsidRPr="008714EF" w:rsidR="00663196">
        <w:t>longer term prohibitions</w:t>
      </w:r>
      <w:r w:rsidRPr="008714EF" w:rsidR="00A434A8">
        <w:t xml:space="preserve"> on certain</w:t>
      </w:r>
      <w:r w:rsidRPr="008714EF">
        <w:t xml:space="preserve"> uses of </w:t>
      </w:r>
      <w:r w:rsidRPr="008714EF" w:rsidR="00E8662E">
        <w:t>T</w:t>
      </w:r>
      <w:r w:rsidRPr="008714EF" w:rsidR="00791B42">
        <w:t>CE</w:t>
      </w:r>
      <w:r w:rsidRPr="008714EF">
        <w:t xml:space="preserve"> could be diverted to </w:t>
      </w:r>
      <w:r w:rsidRPr="008714EF" w:rsidR="00A434A8">
        <w:t xml:space="preserve">the </w:t>
      </w:r>
      <w:r w:rsidRPr="008714EF" w:rsidR="00A2353F">
        <w:t xml:space="preserve">uses that would be prohibited </w:t>
      </w:r>
      <w:r w:rsidRPr="008714EF" w:rsidR="00A434A8">
        <w:t>more immediate</w:t>
      </w:r>
      <w:r w:rsidRPr="008714EF" w:rsidR="00A2353F">
        <w:t>ly</w:t>
      </w:r>
      <w:r w:rsidRPr="008714EF">
        <w:t xml:space="preserve">, or that users would buy or use materials that they do not realize are subject to the restrictions in the final rule. This would result in continuation of the risk that EPA has determined to be unreasonable. Downstream notification </w:t>
      </w:r>
      <w:r w:rsidRPr="008714EF" w:rsidR="00FB3297">
        <w:t xml:space="preserve">would be carried out by updates to the relevant SDS and </w:t>
      </w:r>
      <w:r w:rsidRPr="008714EF">
        <w:t xml:space="preserve">is necessary for effective </w:t>
      </w:r>
      <w:r w:rsidRPr="008714EF" w:rsidR="00FB3297">
        <w:t xml:space="preserve">implementation and </w:t>
      </w:r>
      <w:r w:rsidRPr="008714EF">
        <w:t>enforcement of the rule as it provides a record of notification on use restrictions throughout the supply chain.</w:t>
      </w:r>
      <w:r w:rsidRPr="008714EF" w:rsidR="006D1583">
        <w:t xml:space="preserve"> Downstream notification </w:t>
      </w:r>
      <w:bookmarkStart w:id="2" w:name="_Hlk118299276"/>
      <w:r w:rsidRPr="008714EF" w:rsidR="006D1583">
        <w:t xml:space="preserve">would be required for manufacturers, processors, and distributors in commerce of </w:t>
      </w:r>
      <w:r w:rsidRPr="008714EF" w:rsidR="0014137E">
        <w:t>T</w:t>
      </w:r>
      <w:r w:rsidRPr="008714EF" w:rsidR="001B4BAF">
        <w:t>CE</w:t>
      </w:r>
      <w:r w:rsidRPr="008714EF" w:rsidR="006D1583">
        <w:t xml:space="preserve">, who would provide notice to companies downstream upon shipment of </w:t>
      </w:r>
      <w:r w:rsidRPr="008714EF" w:rsidR="0014137E">
        <w:t>T</w:t>
      </w:r>
      <w:r w:rsidRPr="008714EF" w:rsidR="001B4BAF">
        <w:t>CE</w:t>
      </w:r>
      <w:r w:rsidRPr="008714EF" w:rsidR="006D1583">
        <w:t xml:space="preserve"> about the prohibitions. The information submitted to downstream companies through the SDS would provide knowledge and awareness of the restrictions to these companies.</w:t>
      </w:r>
      <w:bookmarkEnd w:id="2"/>
    </w:p>
    <w:p w:rsidR="00585885" w:rsidRPr="008714EF" w:rsidP="001C368E" w14:paraId="2A693BF8" w14:textId="6BC18785">
      <w:pPr>
        <w:pStyle w:val="BodyText"/>
        <w:spacing w:before="200" w:after="240"/>
        <w:ind w:left="280" w:right="912"/>
      </w:pPr>
      <w:r w:rsidRPr="008714EF">
        <w:rPr>
          <w:u w:val="single"/>
        </w:rPr>
        <w:t>I</w:t>
      </w:r>
      <w:r w:rsidRPr="008714EF" w:rsidR="00C462F2">
        <w:rPr>
          <w:u w:val="single"/>
        </w:rPr>
        <w:t>nformation generation</w:t>
      </w:r>
      <w:r w:rsidRPr="008714EF">
        <w:rPr>
          <w:u w:val="single"/>
        </w:rPr>
        <w:t xml:space="preserve"> related to the WCPP</w:t>
      </w:r>
      <w:r w:rsidRPr="008714EF" w:rsidR="00C462F2">
        <w:rPr>
          <w:u w:val="single"/>
        </w:rPr>
        <w:t xml:space="preserve">, </w:t>
      </w:r>
      <w:r w:rsidRPr="008714EF">
        <w:rPr>
          <w:u w:val="single"/>
        </w:rPr>
        <w:t xml:space="preserve">including </w:t>
      </w:r>
      <w:r w:rsidRPr="008714EF" w:rsidR="00C462F2">
        <w:rPr>
          <w:u w:val="single"/>
        </w:rPr>
        <w:t>recordkeeping, and notification requirements.</w:t>
      </w:r>
      <w:r w:rsidRPr="008714EF" w:rsidR="00C462F2">
        <w:t xml:space="preserve"> </w:t>
      </w:r>
      <w:r w:rsidRPr="008714EF">
        <w:t xml:space="preserve">EPA has authority under section 6 of TSCA to require recordkeeping related to the regulatory requirements imposed by EPA. This is especially important where, as here, such records are needed for effective </w:t>
      </w:r>
      <w:r w:rsidRPr="008714EF" w:rsidR="00263C07">
        <w:t xml:space="preserve">implementation and </w:t>
      </w:r>
      <w:r w:rsidRPr="008714EF">
        <w:t>enforcement of the TSCA section 6 rule</w:t>
      </w:r>
      <w:r w:rsidRPr="008714EF" w:rsidR="00C57993">
        <w:t xml:space="preserve"> to eliminate unreasonable risk. Information collection activities for such records required by </w:t>
      </w:r>
      <w:r w:rsidR="007E33B2">
        <w:t>the TCE</w:t>
      </w:r>
      <w:r w:rsidRPr="008714EF" w:rsidR="00C57993">
        <w:t xml:space="preserve"> WCPP would provide potentially exposed persons in a workplace with clear and necessary information and would provide EPA with a necessary evidential mechanism for effective enforcement. The regulated entities would develop, compile, and retain records that are necessary for</w:t>
      </w:r>
      <w:r w:rsidRPr="008714EF" w:rsidR="005C01B1">
        <w:t xml:space="preserve"> </w:t>
      </w:r>
      <w:r w:rsidRPr="008714EF" w:rsidR="00C57993">
        <w:t xml:space="preserve">implementing the exposure controls of the WCPP, provide workplace notification to potentially exposed persons, and serve as a reference for EPA or authorized entities. </w:t>
      </w:r>
      <w:r w:rsidRPr="008714EF" w:rsidR="00C57993">
        <w:t xml:space="preserve">These records include WCPP records, general business records such as invoices or bills-of-lading, exposure monitoring records, exposure control plan records, and records related to exemptions. </w:t>
      </w:r>
      <w:r w:rsidRPr="008714EF" w:rsidR="00391102">
        <w:t xml:space="preserve">For some entities, these records would also include documentation related to the exemptions proposed under TSCA section 6(g), demonstrating compliance with the specific conditions of the exemption. </w:t>
      </w:r>
      <w:r w:rsidRPr="008714EF" w:rsidR="00C57993">
        <w:t xml:space="preserve">These records demonstrate that regulated entities </w:t>
      </w:r>
      <w:r w:rsidRPr="008714EF" w:rsidR="00C57993">
        <w:t>are in compliance with</w:t>
      </w:r>
      <w:r w:rsidRPr="008714EF" w:rsidR="00C57993">
        <w:t xml:space="preserve"> the requirements in this rule. Compliance</w:t>
      </w:r>
      <w:r w:rsidR="00DF7C56">
        <w:t xml:space="preserve"> </w:t>
      </w:r>
      <w:r w:rsidRPr="008714EF" w:rsidR="00C57993">
        <w:t xml:space="preserve">with the </w:t>
      </w:r>
      <w:r w:rsidRPr="008714EF" w:rsidR="00391102">
        <w:t>WCPP and conditions of the exemption are</w:t>
      </w:r>
      <w:r w:rsidRPr="008714EF" w:rsidR="00C57993">
        <w:t xml:space="preserve"> required to </w:t>
      </w:r>
      <w:r w:rsidRPr="008714EF" w:rsidR="00391102">
        <w:t xml:space="preserve">reduce </w:t>
      </w:r>
      <w:r w:rsidRPr="008714EF" w:rsidR="00C57993">
        <w:t xml:space="preserve">the unreasonable risk to human health identified by EPA for </w:t>
      </w:r>
      <w:r w:rsidRPr="008714EF" w:rsidR="00A506AE">
        <w:t>T</w:t>
      </w:r>
      <w:r w:rsidRPr="008714EF" w:rsidR="002A277B">
        <w:t>CE</w:t>
      </w:r>
      <w:r w:rsidRPr="008714EF" w:rsidR="00C57993">
        <w:t>. These recordkeeping requirements</w:t>
      </w:r>
      <w:r w:rsidRPr="008714EF" w:rsidR="00C57993">
        <w:rPr>
          <w:spacing w:val="-4"/>
        </w:rPr>
        <w:t xml:space="preserve"> </w:t>
      </w:r>
      <w:r w:rsidRPr="008714EF" w:rsidR="00C57993">
        <w:t>are</w:t>
      </w:r>
      <w:r w:rsidRPr="008714EF" w:rsidR="00C57993">
        <w:rPr>
          <w:spacing w:val="-4"/>
        </w:rPr>
        <w:t xml:space="preserve"> </w:t>
      </w:r>
      <w:r w:rsidRPr="008714EF" w:rsidR="00C57993">
        <w:t>also</w:t>
      </w:r>
      <w:r w:rsidRPr="008714EF" w:rsidR="00C57993">
        <w:rPr>
          <w:spacing w:val="-4"/>
        </w:rPr>
        <w:t xml:space="preserve"> </w:t>
      </w:r>
      <w:r w:rsidRPr="008714EF" w:rsidR="00C57993">
        <w:t>necessary</w:t>
      </w:r>
      <w:r w:rsidRPr="008714EF" w:rsidR="00C57993">
        <w:rPr>
          <w:spacing w:val="-4"/>
        </w:rPr>
        <w:t xml:space="preserve"> </w:t>
      </w:r>
      <w:r w:rsidRPr="008714EF" w:rsidR="00C57993">
        <w:t>to</w:t>
      </w:r>
      <w:r w:rsidRPr="008714EF" w:rsidR="00C57993">
        <w:rPr>
          <w:spacing w:val="-4"/>
        </w:rPr>
        <w:t xml:space="preserve"> </w:t>
      </w:r>
      <w:r w:rsidRPr="008714EF" w:rsidR="00C57993">
        <w:t>permit</w:t>
      </w:r>
      <w:r w:rsidRPr="008714EF" w:rsidR="00C57993">
        <w:rPr>
          <w:spacing w:val="-4"/>
        </w:rPr>
        <w:t xml:space="preserve"> </w:t>
      </w:r>
      <w:r w:rsidRPr="008714EF" w:rsidR="00C57993">
        <w:t>the</w:t>
      </w:r>
      <w:r w:rsidRPr="008714EF" w:rsidR="00C57993">
        <w:rPr>
          <w:spacing w:val="-4"/>
        </w:rPr>
        <w:t xml:space="preserve"> </w:t>
      </w:r>
      <w:r w:rsidRPr="008714EF" w:rsidR="00C57993">
        <w:t>EPA</w:t>
      </w:r>
      <w:r w:rsidRPr="008714EF" w:rsidR="00C57993">
        <w:rPr>
          <w:spacing w:val="-4"/>
        </w:rPr>
        <w:t xml:space="preserve"> </w:t>
      </w:r>
      <w:r w:rsidRPr="008714EF" w:rsidR="00C57993">
        <w:t>to</w:t>
      </w:r>
      <w:r w:rsidRPr="008714EF" w:rsidR="00C57993">
        <w:rPr>
          <w:spacing w:val="-4"/>
        </w:rPr>
        <w:t xml:space="preserve"> </w:t>
      </w:r>
      <w:r w:rsidRPr="008714EF" w:rsidR="00C57993">
        <w:t>conduct</w:t>
      </w:r>
      <w:r w:rsidRPr="008714EF" w:rsidR="00C57993">
        <w:rPr>
          <w:spacing w:val="-4"/>
        </w:rPr>
        <w:t xml:space="preserve"> </w:t>
      </w:r>
      <w:r w:rsidRPr="008714EF" w:rsidR="00C57993">
        <w:t>its</w:t>
      </w:r>
      <w:r w:rsidRPr="008714EF" w:rsidR="00C57993">
        <w:rPr>
          <w:spacing w:val="-4"/>
        </w:rPr>
        <w:t xml:space="preserve"> </w:t>
      </w:r>
      <w:r w:rsidRPr="008714EF" w:rsidR="00C57993">
        <w:t>enforcement</w:t>
      </w:r>
      <w:r w:rsidRPr="008714EF" w:rsidR="00C57993">
        <w:rPr>
          <w:spacing w:val="-4"/>
        </w:rPr>
        <w:t xml:space="preserve"> </w:t>
      </w:r>
      <w:r w:rsidRPr="008714EF" w:rsidR="00C57993">
        <w:t>activities and to ensure compliance within the regulated community</w:t>
      </w:r>
      <w:r w:rsidRPr="008714EF">
        <w:t>.</w:t>
      </w:r>
    </w:p>
    <w:p w:rsidR="00457BBC" w:rsidRPr="008714EF" w:rsidP="001C368E" w14:paraId="092F23C7" w14:textId="7CE8C7C8">
      <w:pPr>
        <w:pStyle w:val="BodyText"/>
        <w:spacing w:before="200" w:after="240"/>
        <w:ind w:left="280" w:right="912"/>
      </w:pPr>
      <w:r w:rsidRPr="005A60C1">
        <w:rPr>
          <w:u w:val="single"/>
        </w:rPr>
        <w:t xml:space="preserve">Information generation related to </w:t>
      </w:r>
      <w:r w:rsidR="00DF7C56">
        <w:rPr>
          <w:u w:val="single"/>
        </w:rPr>
        <w:t>a</w:t>
      </w:r>
      <w:r w:rsidRPr="005A60C1" w:rsidR="00DF7C56">
        <w:rPr>
          <w:u w:val="single"/>
        </w:rPr>
        <w:t xml:space="preserve"> </w:t>
      </w:r>
      <w:r w:rsidRPr="005A60C1">
        <w:rPr>
          <w:u w:val="single"/>
        </w:rPr>
        <w:t>proposed phaseout, including recordkeeping.</w:t>
      </w:r>
      <w:r w:rsidRPr="008714EF">
        <w:t xml:space="preserve"> </w:t>
      </w:r>
      <w:r w:rsidRPr="008714EF">
        <w:t xml:space="preserve">Similar to the recordkeeping requirements for the interim WCPP, information collection activities for such records needed to demonstrate compliance with </w:t>
      </w:r>
      <w:r w:rsidR="00DF7C56">
        <w:t>a</w:t>
      </w:r>
      <w:r w:rsidRPr="008714EF">
        <w:t xml:space="preserve"> phaseout are needed for effective implementation and enforcement of the TSCA section 6 rule. These records would provide documentation of appropriate reduction or attempts at reduction of TCE </w:t>
      </w:r>
      <w:r w:rsidR="00DF7C56">
        <w:t xml:space="preserve">processed by manufacturers of HFC-134a </w:t>
      </w:r>
      <w:r w:rsidRPr="008714EF">
        <w:t>and would provide EPA with a necessary evidential mechanism for effective enforcement</w:t>
      </w:r>
      <w:r w:rsidR="00DF7C56">
        <w:t xml:space="preserve"> of</w:t>
      </w:r>
      <w:r w:rsidR="003B32D2">
        <w:t xml:space="preserve"> </w:t>
      </w:r>
      <w:r w:rsidRPr="008714EF">
        <w:t>the phase-out</w:t>
      </w:r>
      <w:r w:rsidR="00DF7C56">
        <w:t xml:space="preserve">. These </w:t>
      </w:r>
      <w:r w:rsidRPr="008714EF">
        <w:t xml:space="preserve">records would include production volume records establishing a baseline annual volume of TCE processed as an intermediate and subsequent production volume records on documenting production volume decreases in accordance with the schedule in the proposed rule. </w:t>
      </w:r>
    </w:p>
    <w:p w:rsidR="006B5715" w:rsidRPr="008714EF" w:rsidP="001C368E" w14:paraId="3126EE16" w14:textId="2FC25E0D">
      <w:pPr>
        <w:pStyle w:val="BodyText"/>
        <w:spacing w:before="200" w:after="240"/>
        <w:ind w:left="280" w:right="912"/>
      </w:pPr>
      <w:r w:rsidRPr="008714EF">
        <w:rPr>
          <w:u w:val="single"/>
        </w:rPr>
        <w:t>EPA.</w:t>
      </w:r>
      <w:r w:rsidRPr="008714EF">
        <w:rPr>
          <w:spacing w:val="-5"/>
        </w:rPr>
        <w:t xml:space="preserve"> </w:t>
      </w:r>
      <w:r w:rsidRPr="008714EF">
        <w:t>This</w:t>
      </w:r>
      <w:r w:rsidRPr="008714EF">
        <w:rPr>
          <w:spacing w:val="-5"/>
        </w:rPr>
        <w:t xml:space="preserve"> </w:t>
      </w:r>
      <w:r w:rsidRPr="008714EF">
        <w:t>information</w:t>
      </w:r>
      <w:r w:rsidRPr="008714EF">
        <w:rPr>
          <w:spacing w:val="-5"/>
        </w:rPr>
        <w:t xml:space="preserve"> </w:t>
      </w:r>
      <w:r w:rsidRPr="008714EF">
        <w:t>collection</w:t>
      </w:r>
      <w:r w:rsidRPr="008714EF">
        <w:rPr>
          <w:spacing w:val="-5"/>
        </w:rPr>
        <w:t xml:space="preserve"> </w:t>
      </w:r>
      <w:r w:rsidRPr="008714EF" w:rsidR="005C01B1">
        <w:rPr>
          <w:spacing w:val="-5"/>
        </w:rPr>
        <w:t xml:space="preserve">activity </w:t>
      </w:r>
      <w:r w:rsidRPr="008714EF">
        <w:t>will</w:t>
      </w:r>
      <w:r w:rsidRPr="008714EF">
        <w:rPr>
          <w:spacing w:val="-5"/>
        </w:rPr>
        <w:t xml:space="preserve"> </w:t>
      </w:r>
      <w:r w:rsidRPr="008714EF" w:rsidR="005C01B1">
        <w:t>ensure the availability of</w:t>
      </w:r>
      <w:r w:rsidRPr="008714EF">
        <w:rPr>
          <w:spacing w:val="-5"/>
        </w:rPr>
        <w:t xml:space="preserve"> </w:t>
      </w:r>
      <w:r w:rsidRPr="008714EF">
        <w:t>information</w:t>
      </w:r>
      <w:r w:rsidRPr="008714EF">
        <w:rPr>
          <w:spacing w:val="-5"/>
        </w:rPr>
        <w:t xml:space="preserve"> </w:t>
      </w:r>
      <w:r w:rsidRPr="008714EF" w:rsidR="00FE0488">
        <w:rPr>
          <w:spacing w:val="-5"/>
        </w:rPr>
        <w:t xml:space="preserve">to EPA </w:t>
      </w:r>
      <w:r w:rsidRPr="008714EF">
        <w:t>upon</w:t>
      </w:r>
      <w:r w:rsidRPr="008714EF">
        <w:rPr>
          <w:spacing w:val="-5"/>
        </w:rPr>
        <w:t xml:space="preserve"> </w:t>
      </w:r>
      <w:r w:rsidRPr="008714EF">
        <w:t>inspection. The</w:t>
      </w:r>
      <w:r w:rsidRPr="008714EF" w:rsidR="00FE0488">
        <w:t xml:space="preserve"> proposed rule would not establish</w:t>
      </w:r>
      <w:r w:rsidRPr="008714EF">
        <w:t xml:space="preserve"> requirements </w:t>
      </w:r>
      <w:r w:rsidRPr="008714EF" w:rsidR="00FE0488">
        <w:t>that result in the submission of</w:t>
      </w:r>
      <w:r w:rsidRPr="008714EF">
        <w:t xml:space="preserve"> information to EPA.</w:t>
      </w:r>
    </w:p>
    <w:p w:rsidR="006B5715" w:rsidRPr="008714EF" w:rsidP="00B803CA" w14:paraId="3126EE1A" w14:textId="6FC60CE5">
      <w:pPr>
        <w:pStyle w:val="Heading2"/>
      </w:pPr>
      <w:r w:rsidRPr="008714EF">
        <w:t xml:space="preserve">3. </w:t>
      </w:r>
      <w:r w:rsidRPr="008714EF" w:rsidR="007D7BF3">
        <w:t>Describe whether, and to what extent, the collection of information involves the</w:t>
      </w:r>
      <w:r w:rsidRPr="008714EF" w:rsidR="007D7BF3">
        <w:rPr>
          <w:spacing w:val="-5"/>
        </w:rPr>
        <w:t xml:space="preserve"> </w:t>
      </w:r>
      <w:r w:rsidRPr="008714EF" w:rsidR="007D7BF3">
        <w:t>use</w:t>
      </w:r>
      <w:r w:rsidRPr="008714EF" w:rsidR="007D7BF3">
        <w:rPr>
          <w:spacing w:val="-5"/>
        </w:rPr>
        <w:t xml:space="preserve"> </w:t>
      </w:r>
      <w:r w:rsidRPr="008714EF" w:rsidR="007D7BF3">
        <w:t>of</w:t>
      </w:r>
      <w:r w:rsidRPr="008714EF" w:rsidR="007D7BF3">
        <w:rPr>
          <w:spacing w:val="-5"/>
        </w:rPr>
        <w:t xml:space="preserve"> </w:t>
      </w:r>
      <w:r w:rsidRPr="008714EF" w:rsidR="007D7BF3">
        <w:t>automated,</w:t>
      </w:r>
      <w:r w:rsidRPr="008714EF" w:rsidR="007D7BF3">
        <w:rPr>
          <w:spacing w:val="-5"/>
        </w:rPr>
        <w:t xml:space="preserve"> </w:t>
      </w:r>
      <w:r w:rsidRPr="008714EF" w:rsidR="007D7BF3">
        <w:t>electronic,</w:t>
      </w:r>
      <w:r w:rsidRPr="008714EF" w:rsidR="007D7BF3">
        <w:rPr>
          <w:spacing w:val="-5"/>
        </w:rPr>
        <w:t xml:space="preserve"> </w:t>
      </w:r>
      <w:r w:rsidRPr="008714EF" w:rsidR="007D7BF3">
        <w:t>mechanical,</w:t>
      </w:r>
      <w:r w:rsidRPr="008714EF" w:rsidR="007D7BF3">
        <w:rPr>
          <w:spacing w:val="-5"/>
        </w:rPr>
        <w:t xml:space="preserve"> </w:t>
      </w:r>
      <w:r w:rsidRPr="008714EF" w:rsidR="007D7BF3">
        <w:t>or</w:t>
      </w:r>
      <w:r w:rsidRPr="008714EF" w:rsidR="007D7BF3">
        <w:rPr>
          <w:spacing w:val="-5"/>
        </w:rPr>
        <w:t xml:space="preserve"> </w:t>
      </w:r>
      <w:r w:rsidRPr="008714EF" w:rsidR="007D7BF3">
        <w:t>other</w:t>
      </w:r>
      <w:r w:rsidRPr="008714EF" w:rsidR="007D7BF3">
        <w:rPr>
          <w:spacing w:val="-5"/>
        </w:rPr>
        <w:t xml:space="preserve"> </w:t>
      </w:r>
      <w:r w:rsidRPr="008714EF" w:rsidR="007D7BF3">
        <w:t>technological</w:t>
      </w:r>
      <w:r w:rsidRPr="008714EF" w:rsidR="007D7BF3">
        <w:rPr>
          <w:spacing w:val="-5"/>
        </w:rPr>
        <w:t xml:space="preserve"> </w:t>
      </w:r>
      <w:r w:rsidRPr="008714EF" w:rsidR="007D7BF3">
        <w:t>collection techniques or other forms of information technology, e.g., permitting electronic submission of responses, and the basis for the decision for</w:t>
      </w:r>
      <w:r w:rsidRPr="008714EF" w:rsidR="00B67FA1">
        <w:t xml:space="preserve"> ad</w:t>
      </w:r>
      <w:r w:rsidRPr="008714EF" w:rsidR="007D7BF3">
        <w:t>opting</w:t>
      </w:r>
      <w:r w:rsidRPr="008714EF" w:rsidR="007D7BF3">
        <w:rPr>
          <w:spacing w:val="-4"/>
        </w:rPr>
        <w:t xml:space="preserve"> </w:t>
      </w:r>
      <w:r w:rsidRPr="008714EF" w:rsidR="007D7BF3">
        <w:t>this</w:t>
      </w:r>
      <w:r w:rsidRPr="008714EF" w:rsidR="007D7BF3">
        <w:rPr>
          <w:spacing w:val="-4"/>
        </w:rPr>
        <w:t xml:space="preserve"> </w:t>
      </w:r>
      <w:r w:rsidRPr="008714EF" w:rsidR="007D7BF3">
        <w:t>means</w:t>
      </w:r>
      <w:r w:rsidRPr="008714EF" w:rsidR="007D7BF3">
        <w:rPr>
          <w:spacing w:val="-4"/>
        </w:rPr>
        <w:t xml:space="preserve"> </w:t>
      </w:r>
      <w:r w:rsidRPr="008714EF" w:rsidR="007D7BF3">
        <w:t>of</w:t>
      </w:r>
      <w:r w:rsidRPr="008714EF" w:rsidR="007D7BF3">
        <w:rPr>
          <w:spacing w:val="-4"/>
        </w:rPr>
        <w:t xml:space="preserve"> </w:t>
      </w:r>
      <w:r w:rsidRPr="008714EF" w:rsidR="007D7BF3">
        <w:t>collection.</w:t>
      </w:r>
      <w:r w:rsidRPr="008714EF" w:rsidR="007D7BF3">
        <w:rPr>
          <w:spacing w:val="-4"/>
        </w:rPr>
        <w:t xml:space="preserve"> </w:t>
      </w:r>
      <w:r w:rsidRPr="008714EF" w:rsidR="007D7BF3">
        <w:t>Also</w:t>
      </w:r>
      <w:r w:rsidRPr="008714EF" w:rsidR="007D7BF3">
        <w:rPr>
          <w:spacing w:val="-4"/>
        </w:rPr>
        <w:t xml:space="preserve"> </w:t>
      </w:r>
      <w:r w:rsidRPr="008714EF" w:rsidR="007D7BF3">
        <w:t>describe</w:t>
      </w:r>
      <w:r w:rsidRPr="008714EF" w:rsidR="007D7BF3">
        <w:rPr>
          <w:spacing w:val="-4"/>
        </w:rPr>
        <w:t xml:space="preserve"> </w:t>
      </w:r>
      <w:r w:rsidRPr="008714EF" w:rsidR="007D7BF3">
        <w:t>any</w:t>
      </w:r>
      <w:r w:rsidRPr="008714EF" w:rsidR="007D7BF3">
        <w:rPr>
          <w:spacing w:val="-4"/>
        </w:rPr>
        <w:t xml:space="preserve"> </w:t>
      </w:r>
      <w:r w:rsidRPr="008714EF" w:rsidR="007D7BF3">
        <w:t>consideration</w:t>
      </w:r>
      <w:r w:rsidRPr="008714EF" w:rsidR="007D7BF3">
        <w:rPr>
          <w:spacing w:val="-4"/>
        </w:rPr>
        <w:t xml:space="preserve"> </w:t>
      </w:r>
      <w:r w:rsidRPr="008714EF" w:rsidR="007D7BF3">
        <w:t>of</w:t>
      </w:r>
      <w:r w:rsidRPr="008714EF" w:rsidR="007D7BF3">
        <w:rPr>
          <w:spacing w:val="-4"/>
        </w:rPr>
        <w:t xml:space="preserve"> </w:t>
      </w:r>
      <w:r w:rsidRPr="008714EF" w:rsidR="007D7BF3">
        <w:t>using information technology to reduce burden.</w:t>
      </w:r>
    </w:p>
    <w:p w:rsidR="006B5715" w:rsidRPr="008714EF" w:rsidP="00EE52BD" w14:paraId="3126EE1B" w14:textId="0BAAD06D">
      <w:pPr>
        <w:pStyle w:val="BodyText"/>
        <w:spacing w:before="201" w:after="240"/>
        <w:ind w:left="280" w:right="843"/>
      </w:pPr>
      <w:r w:rsidRPr="008714EF">
        <w:t xml:space="preserve">The proposed rule would not establish reporting requirements, so no information would be submitted to EPA. </w:t>
      </w:r>
      <w:r w:rsidRPr="008714EF" w:rsidR="007D7BF3">
        <w:t>Therefore, there is no need for any technology facilitation under the proposed rule related to the information collection activities.</w:t>
      </w:r>
      <w:r w:rsidRPr="008714EF" w:rsidR="007D7BF3">
        <w:rPr>
          <w:spacing w:val="-4"/>
        </w:rPr>
        <w:t xml:space="preserve"> </w:t>
      </w:r>
      <w:r w:rsidRPr="008714EF" w:rsidR="007D7BF3">
        <w:t>The</w:t>
      </w:r>
      <w:r w:rsidRPr="008714EF" w:rsidR="007D7BF3">
        <w:rPr>
          <w:spacing w:val="-4"/>
        </w:rPr>
        <w:t xml:space="preserve"> </w:t>
      </w:r>
      <w:r w:rsidRPr="008714EF" w:rsidR="007D7BF3">
        <w:t>recordkeeping</w:t>
      </w:r>
      <w:r w:rsidRPr="008714EF" w:rsidR="007D7BF3">
        <w:rPr>
          <w:spacing w:val="-4"/>
        </w:rPr>
        <w:t xml:space="preserve"> </w:t>
      </w:r>
      <w:r w:rsidRPr="008714EF" w:rsidR="007D7BF3">
        <w:t>requirement</w:t>
      </w:r>
      <w:r w:rsidRPr="008714EF" w:rsidR="007D7BF3">
        <w:rPr>
          <w:spacing w:val="-5"/>
        </w:rPr>
        <w:t xml:space="preserve"> </w:t>
      </w:r>
      <w:r w:rsidRPr="008714EF" w:rsidR="007D7BF3">
        <w:t>does</w:t>
      </w:r>
      <w:r w:rsidRPr="008714EF" w:rsidR="007D7BF3">
        <w:rPr>
          <w:spacing w:val="-4"/>
        </w:rPr>
        <w:t xml:space="preserve"> </w:t>
      </w:r>
      <w:r w:rsidRPr="008714EF" w:rsidR="007D7BF3">
        <w:t>not</w:t>
      </w:r>
      <w:r w:rsidRPr="008714EF" w:rsidR="007D7BF3">
        <w:rPr>
          <w:spacing w:val="-4"/>
        </w:rPr>
        <w:t xml:space="preserve"> </w:t>
      </w:r>
      <w:r w:rsidRPr="008714EF" w:rsidR="007D7BF3">
        <w:t>specify</w:t>
      </w:r>
      <w:r w:rsidRPr="008714EF" w:rsidR="007D7BF3">
        <w:rPr>
          <w:spacing w:val="-4"/>
        </w:rPr>
        <w:t xml:space="preserve"> </w:t>
      </w:r>
      <w:r w:rsidRPr="008714EF" w:rsidR="007D7BF3">
        <w:t>a</w:t>
      </w:r>
      <w:r w:rsidRPr="008714EF" w:rsidR="007D7BF3">
        <w:rPr>
          <w:spacing w:val="-4"/>
        </w:rPr>
        <w:t xml:space="preserve"> </w:t>
      </w:r>
      <w:r w:rsidRPr="008714EF" w:rsidR="007D7BF3">
        <w:t>particular</w:t>
      </w:r>
      <w:r w:rsidRPr="008714EF" w:rsidR="007D7BF3">
        <w:rPr>
          <w:spacing w:val="-4"/>
        </w:rPr>
        <w:t xml:space="preserve"> </w:t>
      </w:r>
      <w:r w:rsidRPr="008714EF" w:rsidR="007D7BF3">
        <w:t>technology</w:t>
      </w:r>
      <w:r w:rsidRPr="008714EF" w:rsidR="007D7BF3">
        <w:rPr>
          <w:spacing w:val="-4"/>
        </w:rPr>
        <w:t xml:space="preserve"> </w:t>
      </w:r>
      <w:r w:rsidRPr="008714EF" w:rsidR="007D7BF3">
        <w:t>or method of retaining the required information.</w:t>
      </w:r>
    </w:p>
    <w:p w:rsidR="006B5715" w:rsidRPr="008714EF" w:rsidP="00B803CA" w14:paraId="3126EE1C" w14:textId="64B9BAA5">
      <w:pPr>
        <w:pStyle w:val="Heading2"/>
      </w:pPr>
      <w:r w:rsidRPr="008714EF">
        <w:t xml:space="preserve">4. </w:t>
      </w:r>
      <w:r w:rsidRPr="008714EF" w:rsidR="007D7BF3">
        <w:t>Describe</w:t>
      </w:r>
      <w:r w:rsidRPr="008714EF" w:rsidR="007D7BF3">
        <w:rPr>
          <w:spacing w:val="-5"/>
        </w:rPr>
        <w:t xml:space="preserve"> </w:t>
      </w:r>
      <w:r w:rsidRPr="008714EF" w:rsidR="007D7BF3">
        <w:t>efforts</w:t>
      </w:r>
      <w:r w:rsidRPr="008714EF" w:rsidR="007D7BF3">
        <w:rPr>
          <w:spacing w:val="-5"/>
        </w:rPr>
        <w:t xml:space="preserve"> </w:t>
      </w:r>
      <w:r w:rsidRPr="008714EF" w:rsidR="007D7BF3">
        <w:t>to</w:t>
      </w:r>
      <w:r w:rsidRPr="008714EF" w:rsidR="007D7BF3">
        <w:rPr>
          <w:spacing w:val="-5"/>
        </w:rPr>
        <w:t xml:space="preserve"> </w:t>
      </w:r>
      <w:r w:rsidRPr="008714EF" w:rsidR="007D7BF3">
        <w:t>identify</w:t>
      </w:r>
      <w:r w:rsidRPr="008714EF" w:rsidR="007D7BF3">
        <w:rPr>
          <w:spacing w:val="-4"/>
        </w:rPr>
        <w:t xml:space="preserve"> </w:t>
      </w:r>
      <w:r w:rsidRPr="008714EF" w:rsidR="007D7BF3">
        <w:t>duplication.</w:t>
      </w:r>
      <w:r w:rsidRPr="008714EF" w:rsidR="007D7BF3">
        <w:rPr>
          <w:spacing w:val="-4"/>
        </w:rPr>
        <w:t xml:space="preserve"> </w:t>
      </w:r>
      <w:r w:rsidRPr="008714EF" w:rsidR="007D7BF3">
        <w:t>Show</w:t>
      </w:r>
      <w:r w:rsidRPr="008714EF" w:rsidR="007D7BF3">
        <w:rPr>
          <w:spacing w:val="-4"/>
        </w:rPr>
        <w:t xml:space="preserve"> </w:t>
      </w:r>
      <w:r w:rsidRPr="008714EF" w:rsidR="007D7BF3">
        <w:t>specifically</w:t>
      </w:r>
      <w:r w:rsidRPr="008714EF" w:rsidR="007D7BF3">
        <w:rPr>
          <w:spacing w:val="-4"/>
        </w:rPr>
        <w:t xml:space="preserve"> </w:t>
      </w:r>
      <w:r w:rsidRPr="008714EF" w:rsidR="007D7BF3">
        <w:t>why</w:t>
      </w:r>
      <w:r w:rsidRPr="008714EF" w:rsidR="007D7BF3">
        <w:rPr>
          <w:spacing w:val="-4"/>
        </w:rPr>
        <w:t xml:space="preserve"> </w:t>
      </w:r>
      <w:r w:rsidRPr="008714EF" w:rsidR="007D7BF3">
        <w:t>any</w:t>
      </w:r>
      <w:r w:rsidRPr="008714EF" w:rsidR="007D7BF3">
        <w:rPr>
          <w:spacing w:val="-4"/>
        </w:rPr>
        <w:t xml:space="preserve"> </w:t>
      </w:r>
      <w:r w:rsidRPr="008714EF" w:rsidR="007D7BF3">
        <w:t>similar information already available cannot be used or modified for use for the purposes described in Item 2 above.</w:t>
      </w:r>
    </w:p>
    <w:p w:rsidR="003A7050" w:rsidRPr="008714EF" w:rsidP="00DF2B2E" w14:paraId="691FD3FC" w14:textId="2DE37C3A">
      <w:pPr>
        <w:pStyle w:val="BodyText"/>
        <w:spacing w:before="200" w:after="240"/>
        <w:ind w:left="279" w:right="749"/>
      </w:pPr>
      <w:r w:rsidRPr="008714EF">
        <w:t>EPA’s</w:t>
      </w:r>
      <w:r w:rsidRPr="008714EF">
        <w:rPr>
          <w:spacing w:val="-3"/>
        </w:rPr>
        <w:t xml:space="preserve"> </w:t>
      </w:r>
      <w:r w:rsidRPr="008714EF">
        <w:t>collection</w:t>
      </w:r>
      <w:r w:rsidRPr="008714EF">
        <w:rPr>
          <w:spacing w:val="-3"/>
        </w:rPr>
        <w:t xml:space="preserve"> </w:t>
      </w:r>
      <w:r w:rsidRPr="008714EF">
        <w:t>pursuant</w:t>
      </w:r>
      <w:r w:rsidRPr="008714EF">
        <w:rPr>
          <w:spacing w:val="-3"/>
        </w:rPr>
        <w:t xml:space="preserve"> </w:t>
      </w:r>
      <w:r w:rsidRPr="008714EF">
        <w:t>to</w:t>
      </w:r>
      <w:r w:rsidRPr="008714EF">
        <w:rPr>
          <w:spacing w:val="-3"/>
        </w:rPr>
        <w:t xml:space="preserve"> </w:t>
      </w:r>
      <w:r w:rsidRPr="008714EF">
        <w:t>the</w:t>
      </w:r>
      <w:r w:rsidRPr="008714EF">
        <w:rPr>
          <w:spacing w:val="-3"/>
        </w:rPr>
        <w:t xml:space="preserve"> </w:t>
      </w:r>
      <w:r w:rsidRPr="008714EF">
        <w:t>TSCA</w:t>
      </w:r>
      <w:r w:rsidRPr="008714EF">
        <w:rPr>
          <w:spacing w:val="-3"/>
        </w:rPr>
        <w:t xml:space="preserve"> </w:t>
      </w:r>
      <w:r w:rsidRPr="008714EF">
        <w:t>section</w:t>
      </w:r>
      <w:r w:rsidRPr="008714EF">
        <w:rPr>
          <w:spacing w:val="-4"/>
        </w:rPr>
        <w:t xml:space="preserve"> </w:t>
      </w:r>
      <w:r w:rsidRPr="008714EF">
        <w:t>6(a)</w:t>
      </w:r>
      <w:r w:rsidRPr="008714EF">
        <w:rPr>
          <w:spacing w:val="-4"/>
        </w:rPr>
        <w:t xml:space="preserve"> </w:t>
      </w:r>
      <w:r w:rsidRPr="008714EF">
        <w:t>regulations for this rulemaking</w:t>
      </w:r>
      <w:r w:rsidRPr="008714EF">
        <w:rPr>
          <w:spacing w:val="-1"/>
        </w:rPr>
        <w:t xml:space="preserve"> </w:t>
      </w:r>
      <w:r w:rsidRPr="008714EF">
        <w:t>do</w:t>
      </w:r>
      <w:r w:rsidRPr="008714EF">
        <w:rPr>
          <w:spacing w:val="-3"/>
        </w:rPr>
        <w:t xml:space="preserve"> </w:t>
      </w:r>
      <w:r w:rsidRPr="008714EF">
        <w:t>not</w:t>
      </w:r>
      <w:r w:rsidRPr="008714EF">
        <w:rPr>
          <w:spacing w:val="-3"/>
        </w:rPr>
        <w:t xml:space="preserve"> </w:t>
      </w:r>
      <w:r w:rsidRPr="008714EF">
        <w:t>duplicate</w:t>
      </w:r>
      <w:r w:rsidRPr="008714EF">
        <w:rPr>
          <w:spacing w:val="-3"/>
        </w:rPr>
        <w:t xml:space="preserve"> </w:t>
      </w:r>
      <w:r w:rsidRPr="008714EF">
        <w:t xml:space="preserve">any other information collection activity. </w:t>
      </w:r>
      <w:r w:rsidRPr="7713EA23" w:rsidR="00A93E86">
        <w:rPr>
          <w:rFonts w:cs="Times New Roman"/>
        </w:rPr>
        <w:t xml:space="preserve">TSCA requires that </w:t>
      </w:r>
      <w:r w:rsidR="00A93E86">
        <w:rPr>
          <w:rFonts w:cs="Times New Roman"/>
        </w:rPr>
        <w:t xml:space="preserve">when EPA determines that a chemical substance presents unreasonable risk that </w:t>
      </w:r>
      <w:r w:rsidRPr="7713EA23" w:rsidR="00A93E86">
        <w:rPr>
          <w:rFonts w:cs="Times New Roman"/>
        </w:rPr>
        <w:t xml:space="preserve">EPA address by rule </w:t>
      </w:r>
      <w:r w:rsidR="00A93E86">
        <w:rPr>
          <w:rFonts w:cs="Times New Roman"/>
        </w:rPr>
        <w:t xml:space="preserve">the </w:t>
      </w:r>
      <w:r w:rsidRPr="7713EA23" w:rsidR="00A93E86">
        <w:rPr>
          <w:rFonts w:cs="Times New Roman"/>
        </w:rPr>
        <w:t xml:space="preserve">unreasonable risk of injury to health or the environment and apply requirements to the extent necessary so the chemical no longer presents unreasonable risk. </w:t>
      </w:r>
      <w:r w:rsidRPr="008714EF">
        <w:t xml:space="preserve">EPA is </w:t>
      </w:r>
      <w:r w:rsidRPr="008714EF">
        <w:t>requiring information to ensure the elimination of unreasonable risk</w:t>
      </w:r>
      <w:r w:rsidR="00A93E86">
        <w:t>.</w:t>
      </w:r>
      <w:r w:rsidRPr="008714EF">
        <w:t xml:space="preserve"> Because there are no existing statutes that have established precedence in the regulation of </w:t>
      </w:r>
      <w:r w:rsidRPr="008714EF" w:rsidR="00EC751F">
        <w:t>T</w:t>
      </w:r>
      <w:r w:rsidRPr="008714EF" w:rsidR="00417AAD">
        <w:t>CE</w:t>
      </w:r>
      <w:r w:rsidRPr="008714EF">
        <w:t xml:space="preserve"> with criteria similar to the authorities granted under TSCA, the information collection activity is not a duplication. Lastly, while this collection activity required by EPA is similar to those of other Federal agencies such as OSHA, EPA is setting a lower exposure threshold than the OSHA PEL; in this way, some entities who were not previously required to maintain certain records under the OSHA standard may be subject to recordkeeping requirements in order to demonstrate </w:t>
      </w:r>
      <w:r w:rsidRPr="008714EF" w:rsidR="00A2353F">
        <w:t xml:space="preserve">compliance with the rulemaking </w:t>
      </w:r>
      <w:r w:rsidRPr="008714EF">
        <w:t>under TSCA</w:t>
      </w:r>
      <w:r w:rsidRPr="008714EF" w:rsidR="00A2353F">
        <w:t>, which aims to address the unreasonable risk identified by EPA</w:t>
      </w:r>
      <w:r w:rsidRPr="008714EF">
        <w:t>.</w:t>
      </w:r>
      <w:r w:rsidRPr="008714EF">
        <w:t xml:space="preserve"> </w:t>
      </w:r>
      <w:r w:rsidRPr="008714EF">
        <w:t xml:space="preserve">The requirements of this rulemaking </w:t>
      </w:r>
      <w:r w:rsidRPr="008714EF" w:rsidR="00A2353F">
        <w:t xml:space="preserve">would </w:t>
      </w:r>
      <w:r w:rsidRPr="008714EF">
        <w:t xml:space="preserve">also include regulated entities where OSHA requirements are not applicable (e.g., public sector workers not covered by an OSHA State plan, and self-employed workers). Thus, these are unprecedented and EPA-specific collection activity guidelines for the regulation of </w:t>
      </w:r>
      <w:r w:rsidRPr="008714EF" w:rsidR="00F63EF6">
        <w:t>T</w:t>
      </w:r>
      <w:r w:rsidRPr="008714EF" w:rsidR="00417AAD">
        <w:t>CE</w:t>
      </w:r>
      <w:r w:rsidRPr="008714EF">
        <w:t xml:space="preserve"> under TSCA and therefore has no duplicative requirements. </w:t>
      </w:r>
    </w:p>
    <w:p w:rsidR="006B5715" w:rsidRPr="008714EF" w:rsidP="00B803CA" w14:paraId="3126EE1E" w14:textId="27B5DF73">
      <w:pPr>
        <w:pStyle w:val="Heading2"/>
      </w:pPr>
      <w:r w:rsidRPr="008714EF">
        <w:t xml:space="preserve">5. </w:t>
      </w:r>
      <w:r w:rsidRPr="008714EF" w:rsidR="007D7BF3">
        <w:t>If</w:t>
      </w:r>
      <w:r w:rsidRPr="008714EF" w:rsidR="007D7BF3">
        <w:rPr>
          <w:spacing w:val="-4"/>
        </w:rPr>
        <w:t xml:space="preserve"> </w:t>
      </w:r>
      <w:r w:rsidRPr="008714EF" w:rsidR="007D7BF3">
        <w:t>the</w:t>
      </w:r>
      <w:r w:rsidRPr="008714EF" w:rsidR="007D7BF3">
        <w:rPr>
          <w:spacing w:val="-4"/>
        </w:rPr>
        <w:t xml:space="preserve"> </w:t>
      </w:r>
      <w:r w:rsidRPr="008714EF" w:rsidR="007D7BF3">
        <w:t>collection</w:t>
      </w:r>
      <w:r w:rsidRPr="008714EF" w:rsidR="007D7BF3">
        <w:rPr>
          <w:spacing w:val="-4"/>
        </w:rPr>
        <w:t xml:space="preserve"> </w:t>
      </w:r>
      <w:r w:rsidRPr="008714EF" w:rsidR="007D7BF3">
        <w:t>of</w:t>
      </w:r>
      <w:r w:rsidRPr="008714EF" w:rsidR="007D7BF3">
        <w:rPr>
          <w:spacing w:val="-3"/>
        </w:rPr>
        <w:t xml:space="preserve"> </w:t>
      </w:r>
      <w:r w:rsidRPr="008714EF" w:rsidR="007D7BF3">
        <w:t>information</w:t>
      </w:r>
      <w:r w:rsidRPr="008714EF" w:rsidR="007D7BF3">
        <w:rPr>
          <w:spacing w:val="-4"/>
        </w:rPr>
        <w:t xml:space="preserve"> </w:t>
      </w:r>
      <w:r w:rsidRPr="008714EF" w:rsidR="007D7BF3">
        <w:t>impacts</w:t>
      </w:r>
      <w:r w:rsidRPr="008714EF" w:rsidR="007D7BF3">
        <w:rPr>
          <w:spacing w:val="-4"/>
        </w:rPr>
        <w:t xml:space="preserve"> </w:t>
      </w:r>
      <w:r w:rsidRPr="008714EF" w:rsidR="007D7BF3">
        <w:t>small</w:t>
      </w:r>
      <w:r w:rsidRPr="008714EF" w:rsidR="007D7BF3">
        <w:rPr>
          <w:spacing w:val="-4"/>
        </w:rPr>
        <w:t xml:space="preserve"> </w:t>
      </w:r>
      <w:r w:rsidRPr="008714EF" w:rsidR="007D7BF3">
        <w:t>businesses</w:t>
      </w:r>
      <w:r w:rsidRPr="008714EF" w:rsidR="007D7BF3">
        <w:rPr>
          <w:spacing w:val="-4"/>
        </w:rPr>
        <w:t xml:space="preserve"> </w:t>
      </w:r>
      <w:r w:rsidRPr="008714EF" w:rsidR="007D7BF3">
        <w:t>or</w:t>
      </w:r>
      <w:r w:rsidRPr="008714EF" w:rsidR="007D7BF3">
        <w:rPr>
          <w:spacing w:val="-4"/>
        </w:rPr>
        <w:t xml:space="preserve"> </w:t>
      </w:r>
      <w:r w:rsidRPr="008714EF" w:rsidR="007D7BF3">
        <w:t>other</w:t>
      </w:r>
      <w:r w:rsidRPr="008714EF" w:rsidR="007D7BF3">
        <w:rPr>
          <w:spacing w:val="-4"/>
        </w:rPr>
        <w:t xml:space="preserve"> </w:t>
      </w:r>
      <w:r w:rsidRPr="008714EF" w:rsidR="007D7BF3">
        <w:t>small entities, describe the methods used to minimize burden.</w:t>
      </w:r>
    </w:p>
    <w:p w:rsidR="00941786" w:rsidRPr="008714EF" w:rsidP="00941786" w14:paraId="074A1805" w14:textId="77777777"/>
    <w:p w:rsidR="00685F35" w:rsidRPr="008714EF" w:rsidP="00685F35" w14:paraId="45F93A12" w14:textId="6B078BA5">
      <w:pPr>
        <w:ind w:left="179" w:right="749"/>
        <w:rPr>
          <w:sz w:val="24"/>
          <w:szCs w:val="24"/>
        </w:rPr>
      </w:pPr>
      <w:r w:rsidRPr="008714EF">
        <w:rPr>
          <w:sz w:val="24"/>
          <w:szCs w:val="24"/>
        </w:rPr>
        <w:t>At the recommendation of the Small Business Review Panel, EPA</w:t>
      </w:r>
      <w:r w:rsidRPr="008714EF" w:rsidR="6CD3DFBB">
        <w:rPr>
          <w:sz w:val="24"/>
          <w:szCs w:val="24"/>
        </w:rPr>
        <w:t>:</w:t>
      </w:r>
      <w:r w:rsidRPr="008714EF" w:rsidR="00A2353F">
        <w:rPr>
          <w:sz w:val="24"/>
          <w:szCs w:val="24"/>
        </w:rPr>
        <w:t xml:space="preserve"> </w:t>
      </w:r>
      <w:r w:rsidRPr="008714EF">
        <w:rPr>
          <w:sz w:val="24"/>
          <w:szCs w:val="24"/>
        </w:rPr>
        <w:t xml:space="preserve">is requesting comment on the extent to which a regulation under TSCA section 6(a) could minimize requirements, such as testing and monitoring protocols, recordkeeping, and reporting requirements, which may exceed those already required under OSHA’s regulations for </w:t>
      </w:r>
      <w:r w:rsidRPr="008714EF" w:rsidR="00283F06">
        <w:rPr>
          <w:sz w:val="24"/>
          <w:szCs w:val="24"/>
        </w:rPr>
        <w:t>T</w:t>
      </w:r>
      <w:r w:rsidRPr="008714EF" w:rsidR="00FF0C19">
        <w:rPr>
          <w:sz w:val="24"/>
          <w:szCs w:val="24"/>
        </w:rPr>
        <w:t>CE</w:t>
      </w:r>
      <w:r w:rsidRPr="008714EF">
        <w:rPr>
          <w:sz w:val="24"/>
          <w:szCs w:val="24"/>
        </w:rPr>
        <w:t xml:space="preserve">. In addition, EPA is requesting comment on reasonable compliance timeframes for small businesses, including timeframes for reformulation of products or processes containing </w:t>
      </w:r>
      <w:r w:rsidRPr="008714EF" w:rsidR="00283F06">
        <w:rPr>
          <w:sz w:val="24"/>
          <w:szCs w:val="24"/>
        </w:rPr>
        <w:t>T</w:t>
      </w:r>
      <w:r w:rsidRPr="008714EF" w:rsidR="00FF0C19">
        <w:rPr>
          <w:sz w:val="24"/>
          <w:szCs w:val="24"/>
        </w:rPr>
        <w:t>CE</w:t>
      </w:r>
      <w:r w:rsidRPr="008714EF">
        <w:rPr>
          <w:sz w:val="24"/>
          <w:szCs w:val="24"/>
        </w:rPr>
        <w:t>;</w:t>
      </w:r>
      <w:r w:rsidRPr="008714EF" w:rsidR="53EA46D8">
        <w:rPr>
          <w:sz w:val="24"/>
          <w:szCs w:val="24"/>
        </w:rPr>
        <w:t xml:space="preserve"> </w:t>
      </w:r>
      <w:r w:rsidRPr="008714EF" w:rsidR="59DF442A">
        <w:rPr>
          <w:sz w:val="24"/>
          <w:szCs w:val="24"/>
        </w:rPr>
        <w:t>implementation</w:t>
      </w:r>
      <w:r w:rsidRPr="008714EF">
        <w:rPr>
          <w:sz w:val="24"/>
          <w:szCs w:val="24"/>
        </w:rPr>
        <w:t xml:space="preserve"> of new engineering or administrative controls; changes to labels, SDSs, and packaging; implementation of new PPE, including training and monitoring practices; and supply chain management challenges.</w:t>
      </w:r>
      <w:r w:rsidRPr="008714EF" w:rsidR="6D4330C8">
        <w:rPr>
          <w:sz w:val="24"/>
          <w:szCs w:val="24"/>
        </w:rPr>
        <w:t xml:space="preserve"> </w:t>
      </w:r>
      <w:r w:rsidRPr="008714EF" w:rsidR="20FA5DEA">
        <w:rPr>
          <w:sz w:val="24"/>
          <w:szCs w:val="24"/>
        </w:rPr>
        <w:t>EPA is also requesting comment on the feasibility of entities complying with and monitoring for a potential ECEL of either 0.004 ppm or 0.0011 ppm</w:t>
      </w:r>
      <w:r w:rsidRPr="008714EF" w:rsidR="53CBF167">
        <w:rPr>
          <w:sz w:val="24"/>
          <w:szCs w:val="24"/>
        </w:rPr>
        <w:t>, including on information on potential costs that could be incurred using strategies to meet the requirements of such a standard, such as engineering, administrative, or prescriptive controls and how feasible it would be for entities to implement these strategies in their operations.</w:t>
      </w:r>
      <w:r w:rsidRPr="008714EF" w:rsidR="1270D699">
        <w:rPr>
          <w:sz w:val="24"/>
          <w:szCs w:val="24"/>
        </w:rPr>
        <w:t xml:space="preserve"> Furthermore, EPA is requesting comment on a training and certification program for commercial users</w:t>
      </w:r>
      <w:r w:rsidRPr="008714EF" w:rsidR="0032539F">
        <w:rPr>
          <w:sz w:val="24"/>
          <w:szCs w:val="24"/>
        </w:rPr>
        <w:t>,</w:t>
      </w:r>
      <w:r w:rsidRPr="008714EF" w:rsidR="1270D699">
        <w:rPr>
          <w:sz w:val="24"/>
          <w:szCs w:val="24"/>
        </w:rPr>
        <w:t xml:space="preserve"> and on a </w:t>
      </w:r>
      <w:r w:rsidRPr="008714EF" w:rsidR="1270D699">
        <w:rPr>
          <w:i/>
          <w:iCs/>
          <w:sz w:val="24"/>
          <w:szCs w:val="24"/>
        </w:rPr>
        <w:t xml:space="preserve">de minimis </w:t>
      </w:r>
      <w:r w:rsidRPr="008714EF" w:rsidR="1270D699">
        <w:rPr>
          <w:sz w:val="24"/>
          <w:szCs w:val="24"/>
        </w:rPr>
        <w:t>level</w:t>
      </w:r>
      <w:r w:rsidRPr="008714EF" w:rsidR="0472DA3C">
        <w:rPr>
          <w:sz w:val="24"/>
          <w:szCs w:val="24"/>
        </w:rPr>
        <w:t xml:space="preserve"> in the case of an impurity in products. EPA also requests comment on whether to allow the use of TCE by entities that could, based on demonstrated ability through monitoring data, meet the ECEL under a workplace chemical protection program</w:t>
      </w:r>
      <w:r w:rsidRPr="008714EF" w:rsidR="1C039BA2">
        <w:rPr>
          <w:sz w:val="24"/>
          <w:szCs w:val="24"/>
        </w:rPr>
        <w:t>; and on whether the use of TCE in a closed-loop vapor degreasing system, when combined with requirements of a potential workplace chemical protection program, could meet the ECELs for TCE.</w:t>
      </w:r>
      <w:r w:rsidRPr="008714EF">
        <w:rPr>
          <w:sz w:val="24"/>
          <w:szCs w:val="24"/>
        </w:rPr>
        <w:t xml:space="preserve"> EPA also requests comment on establishing differing compliance or reporting requirements or timetables that </w:t>
      </w:r>
      <w:r w:rsidRPr="008714EF">
        <w:rPr>
          <w:sz w:val="24"/>
          <w:szCs w:val="24"/>
        </w:rPr>
        <w:t>take into account</w:t>
      </w:r>
      <w:r w:rsidRPr="008714EF">
        <w:rPr>
          <w:sz w:val="24"/>
          <w:szCs w:val="24"/>
        </w:rPr>
        <w:t xml:space="preserve"> the limited resources available to small entities.</w:t>
      </w:r>
    </w:p>
    <w:p w:rsidR="00941786" w:rsidRPr="008714EF" w:rsidP="00685F35" w14:paraId="44DD37CE" w14:textId="77777777">
      <w:pPr>
        <w:ind w:left="179" w:right="749"/>
        <w:rPr>
          <w:sz w:val="24"/>
          <w:szCs w:val="24"/>
        </w:rPr>
      </w:pPr>
    </w:p>
    <w:p w:rsidR="006B5715" w:rsidRPr="008714EF" w:rsidP="00B803CA" w14:paraId="3126EE20" w14:textId="30CD9302">
      <w:pPr>
        <w:pStyle w:val="Heading2"/>
      </w:pPr>
      <w:r w:rsidRPr="008714EF">
        <w:t xml:space="preserve">6. </w:t>
      </w:r>
      <w:r w:rsidRPr="008714EF" w:rsidR="007D7BF3">
        <w:t>Describe the consequence to Federal program or policy activities if the collection</w:t>
      </w:r>
      <w:r w:rsidRPr="008714EF" w:rsidR="007D7BF3">
        <w:rPr>
          <w:spacing w:val="-4"/>
        </w:rPr>
        <w:t xml:space="preserve"> </w:t>
      </w:r>
      <w:r w:rsidRPr="008714EF" w:rsidR="007D7BF3">
        <w:t>is</w:t>
      </w:r>
      <w:r w:rsidRPr="008714EF" w:rsidR="007D7BF3">
        <w:rPr>
          <w:spacing w:val="-4"/>
        </w:rPr>
        <w:t xml:space="preserve"> </w:t>
      </w:r>
      <w:r w:rsidRPr="008714EF" w:rsidR="007D7BF3">
        <w:t>not</w:t>
      </w:r>
      <w:r w:rsidRPr="008714EF" w:rsidR="007D7BF3">
        <w:rPr>
          <w:spacing w:val="-4"/>
        </w:rPr>
        <w:t xml:space="preserve"> </w:t>
      </w:r>
      <w:r w:rsidRPr="008714EF" w:rsidR="007D7BF3">
        <w:t>conducted</w:t>
      </w:r>
      <w:r w:rsidRPr="008714EF" w:rsidR="007D7BF3">
        <w:rPr>
          <w:spacing w:val="-4"/>
        </w:rPr>
        <w:t xml:space="preserve"> </w:t>
      </w:r>
      <w:r w:rsidRPr="008714EF" w:rsidR="007D7BF3">
        <w:t>or</w:t>
      </w:r>
      <w:r w:rsidRPr="008714EF" w:rsidR="007D7BF3">
        <w:rPr>
          <w:spacing w:val="-4"/>
        </w:rPr>
        <w:t xml:space="preserve"> </w:t>
      </w:r>
      <w:r w:rsidRPr="008714EF" w:rsidR="007D7BF3">
        <w:t>is</w:t>
      </w:r>
      <w:r w:rsidRPr="008714EF" w:rsidR="007D7BF3">
        <w:rPr>
          <w:spacing w:val="-4"/>
        </w:rPr>
        <w:t xml:space="preserve"> </w:t>
      </w:r>
      <w:r w:rsidRPr="008714EF" w:rsidR="007D7BF3">
        <w:t>conducted</w:t>
      </w:r>
      <w:r w:rsidRPr="008714EF" w:rsidR="007D7BF3">
        <w:rPr>
          <w:spacing w:val="-4"/>
        </w:rPr>
        <w:t xml:space="preserve"> </w:t>
      </w:r>
      <w:r w:rsidRPr="008714EF" w:rsidR="007D7BF3">
        <w:t>less</w:t>
      </w:r>
      <w:r w:rsidRPr="008714EF" w:rsidR="007D7BF3">
        <w:rPr>
          <w:spacing w:val="-4"/>
        </w:rPr>
        <w:t xml:space="preserve"> </w:t>
      </w:r>
      <w:r w:rsidRPr="008714EF" w:rsidR="007D7BF3">
        <w:t>frequently,</w:t>
      </w:r>
      <w:r w:rsidRPr="008714EF" w:rsidR="007D7BF3">
        <w:rPr>
          <w:spacing w:val="-4"/>
        </w:rPr>
        <w:t xml:space="preserve"> </w:t>
      </w:r>
      <w:r w:rsidRPr="008714EF" w:rsidR="007D7BF3">
        <w:t>as</w:t>
      </w:r>
      <w:r w:rsidRPr="008714EF" w:rsidR="007D7BF3">
        <w:rPr>
          <w:spacing w:val="-4"/>
        </w:rPr>
        <w:t xml:space="preserve"> </w:t>
      </w:r>
      <w:r w:rsidRPr="008714EF" w:rsidR="007D7BF3">
        <w:t>well</w:t>
      </w:r>
      <w:r w:rsidRPr="008714EF" w:rsidR="007D7BF3">
        <w:rPr>
          <w:spacing w:val="-4"/>
        </w:rPr>
        <w:t xml:space="preserve"> </w:t>
      </w:r>
      <w:r w:rsidRPr="008714EF" w:rsidR="007D7BF3">
        <w:t>as</w:t>
      </w:r>
      <w:r w:rsidRPr="008714EF" w:rsidR="007D7BF3">
        <w:rPr>
          <w:spacing w:val="-4"/>
        </w:rPr>
        <w:t xml:space="preserve"> </w:t>
      </w:r>
      <w:r w:rsidRPr="008714EF" w:rsidR="007D7BF3">
        <w:t>any technical or legal obstacles to reducing burden.</w:t>
      </w:r>
    </w:p>
    <w:p w:rsidR="007C27AA" w:rsidRPr="008714EF" w:rsidP="007C27AA" w14:paraId="2A6E5A09" w14:textId="20EF812E">
      <w:pPr>
        <w:pStyle w:val="BodyText"/>
        <w:spacing w:before="199" w:after="240"/>
        <w:ind w:left="279" w:right="749"/>
      </w:pPr>
      <w:r w:rsidRPr="008714EF">
        <w:t xml:space="preserve">Under section 6(a) of TSCA (15 U.S.C. § 2605(a)), if EPA determines after risk </w:t>
      </w:r>
      <w:r w:rsidRPr="008714EF">
        <w:t>evaluation that a chemical substance presents an unreasonable risk of injury to health or</w:t>
      </w:r>
      <w:r w:rsidRPr="008714EF">
        <w:rPr>
          <w:spacing w:val="-4"/>
        </w:rPr>
        <w:t xml:space="preserve"> </w:t>
      </w:r>
      <w:r w:rsidRPr="008714EF">
        <w:t>the</w:t>
      </w:r>
      <w:r w:rsidRPr="008714EF">
        <w:rPr>
          <w:spacing w:val="-4"/>
        </w:rPr>
        <w:t xml:space="preserve"> </w:t>
      </w:r>
      <w:r w:rsidRPr="008714EF">
        <w:t>environment,</w:t>
      </w:r>
      <w:r w:rsidRPr="008714EF">
        <w:rPr>
          <w:spacing w:val="-4"/>
        </w:rPr>
        <w:t xml:space="preserve"> </w:t>
      </w:r>
      <w:r w:rsidRPr="008714EF">
        <w:t>without</w:t>
      </w:r>
      <w:r w:rsidRPr="008714EF">
        <w:rPr>
          <w:spacing w:val="-4"/>
        </w:rPr>
        <w:t xml:space="preserve"> </w:t>
      </w:r>
      <w:r w:rsidRPr="008714EF">
        <w:t>consideration</w:t>
      </w:r>
      <w:r w:rsidRPr="008714EF">
        <w:rPr>
          <w:spacing w:val="-4"/>
        </w:rPr>
        <w:t xml:space="preserve"> </w:t>
      </w:r>
      <w:r w:rsidRPr="008714EF">
        <w:t>of</w:t>
      </w:r>
      <w:r w:rsidRPr="008714EF">
        <w:rPr>
          <w:spacing w:val="-4"/>
        </w:rPr>
        <w:t xml:space="preserve"> </w:t>
      </w:r>
      <w:r w:rsidRPr="008714EF">
        <w:t>costs</w:t>
      </w:r>
      <w:r w:rsidRPr="008714EF">
        <w:rPr>
          <w:spacing w:val="-4"/>
        </w:rPr>
        <w:t xml:space="preserve"> </w:t>
      </w:r>
      <w:r w:rsidRPr="008714EF">
        <w:t>or</w:t>
      </w:r>
      <w:r w:rsidRPr="008714EF">
        <w:rPr>
          <w:spacing w:val="-4"/>
        </w:rPr>
        <w:t xml:space="preserve"> </w:t>
      </w:r>
      <w:r w:rsidRPr="008714EF">
        <w:t>other</w:t>
      </w:r>
      <w:r w:rsidRPr="008714EF">
        <w:rPr>
          <w:spacing w:val="-4"/>
        </w:rPr>
        <w:t xml:space="preserve"> </w:t>
      </w:r>
      <w:r w:rsidRPr="008714EF">
        <w:t>non-risk</w:t>
      </w:r>
      <w:r w:rsidRPr="008714EF">
        <w:rPr>
          <w:spacing w:val="-5"/>
        </w:rPr>
        <w:t xml:space="preserve"> </w:t>
      </w:r>
      <w:r w:rsidRPr="008714EF">
        <w:t>factors,</w:t>
      </w:r>
      <w:r w:rsidRPr="008714EF">
        <w:rPr>
          <w:spacing w:val="-4"/>
        </w:rPr>
        <w:t xml:space="preserve"> </w:t>
      </w:r>
      <w:r w:rsidRPr="008714EF">
        <w:t>including</w:t>
      </w:r>
      <w:r w:rsidRPr="008714EF">
        <w:rPr>
          <w:spacing w:val="-5"/>
        </w:rPr>
        <w:t xml:space="preserve"> </w:t>
      </w:r>
      <w:r w:rsidRPr="008714EF">
        <w:t>an unreasonable risk to a potentially exposed or susceptible subpopulation identified as relevant to the risk evaluation, under the conditions of use, EPA must by rule apply one or more requirements, (see #1 above) to the extent necessary so that the chemical substance or mixture no longer presents such risk. EPA has authority under section 6 of TSCA to require recordkeeping related to the regulatory requirements imposed by EPA. This is important where, as here, such records</w:t>
      </w:r>
      <w:r w:rsidRPr="008714EF">
        <w:rPr>
          <w:spacing w:val="-3"/>
        </w:rPr>
        <w:t xml:space="preserve"> </w:t>
      </w:r>
      <w:r w:rsidRPr="008714EF">
        <w:t>and</w:t>
      </w:r>
      <w:r w:rsidRPr="008714EF">
        <w:rPr>
          <w:spacing w:val="-3"/>
        </w:rPr>
        <w:t xml:space="preserve"> </w:t>
      </w:r>
      <w:r w:rsidRPr="008714EF">
        <w:t>reports</w:t>
      </w:r>
      <w:r w:rsidRPr="008714EF">
        <w:rPr>
          <w:spacing w:val="-3"/>
        </w:rPr>
        <w:t xml:space="preserve"> </w:t>
      </w:r>
      <w:r w:rsidRPr="008714EF">
        <w:t>are</w:t>
      </w:r>
      <w:r w:rsidRPr="008714EF">
        <w:rPr>
          <w:spacing w:val="-3"/>
        </w:rPr>
        <w:t xml:space="preserve"> </w:t>
      </w:r>
      <w:r w:rsidRPr="008714EF">
        <w:t>necessary</w:t>
      </w:r>
      <w:r w:rsidRPr="008714EF">
        <w:rPr>
          <w:spacing w:val="-3"/>
        </w:rPr>
        <w:t xml:space="preserve"> </w:t>
      </w:r>
      <w:r w:rsidRPr="008714EF">
        <w:t>for</w:t>
      </w:r>
      <w:r w:rsidRPr="008714EF">
        <w:rPr>
          <w:spacing w:val="-3"/>
        </w:rPr>
        <w:t xml:space="preserve"> </w:t>
      </w:r>
      <w:r w:rsidRPr="008714EF">
        <w:t>effective</w:t>
      </w:r>
      <w:r w:rsidRPr="008714EF">
        <w:rPr>
          <w:spacing w:val="-3"/>
        </w:rPr>
        <w:t xml:space="preserve"> implementation and </w:t>
      </w:r>
      <w:r w:rsidRPr="008714EF">
        <w:t>enforcement</w:t>
      </w:r>
      <w:r w:rsidRPr="008714EF">
        <w:rPr>
          <w:spacing w:val="-3"/>
        </w:rPr>
        <w:t xml:space="preserve"> </w:t>
      </w:r>
      <w:r w:rsidRPr="008714EF">
        <w:t>of</w:t>
      </w:r>
      <w:r w:rsidRPr="008714EF">
        <w:rPr>
          <w:spacing w:val="-3"/>
        </w:rPr>
        <w:t xml:space="preserve"> </w:t>
      </w:r>
      <w:r w:rsidRPr="008714EF">
        <w:t>the</w:t>
      </w:r>
      <w:r w:rsidRPr="008714EF">
        <w:rPr>
          <w:spacing w:val="-2"/>
        </w:rPr>
        <w:t xml:space="preserve"> </w:t>
      </w:r>
      <w:r w:rsidRPr="008714EF">
        <w:t>section</w:t>
      </w:r>
      <w:r w:rsidRPr="008714EF">
        <w:rPr>
          <w:spacing w:val="-3"/>
        </w:rPr>
        <w:t xml:space="preserve"> </w:t>
      </w:r>
      <w:r w:rsidRPr="008714EF">
        <w:t>6</w:t>
      </w:r>
      <w:r w:rsidRPr="008714EF">
        <w:rPr>
          <w:spacing w:val="-3"/>
        </w:rPr>
        <w:t xml:space="preserve"> </w:t>
      </w:r>
      <w:r w:rsidRPr="008714EF">
        <w:t xml:space="preserve">rule. </w:t>
      </w:r>
    </w:p>
    <w:p w:rsidR="007C27AA" w:rsidRPr="008714EF" w:rsidP="007C27AA" w14:paraId="36F3EB42" w14:textId="6E44B0D7">
      <w:pPr>
        <w:pStyle w:val="BodyText"/>
        <w:spacing w:before="200" w:after="240"/>
        <w:ind w:left="280" w:right="894"/>
      </w:pPr>
      <w:r w:rsidRPr="008714EF">
        <w:t>Due to the nature of the triggering events that initiate information collection activities under</w:t>
      </w:r>
      <w:r w:rsidRPr="008714EF">
        <w:rPr>
          <w:spacing w:val="-3"/>
        </w:rPr>
        <w:t xml:space="preserve"> </w:t>
      </w:r>
      <w:r w:rsidRPr="008714EF">
        <w:t>the</w:t>
      </w:r>
      <w:r w:rsidRPr="008714EF">
        <w:rPr>
          <w:spacing w:val="-3"/>
        </w:rPr>
        <w:t xml:space="preserve"> </w:t>
      </w:r>
      <w:r w:rsidRPr="008714EF">
        <w:t>proposed</w:t>
      </w:r>
      <w:r w:rsidRPr="008714EF">
        <w:rPr>
          <w:spacing w:val="-3"/>
        </w:rPr>
        <w:t xml:space="preserve"> </w:t>
      </w:r>
      <w:r w:rsidRPr="008714EF">
        <w:t>rule</w:t>
      </w:r>
      <w:r w:rsidRPr="008714EF">
        <w:rPr>
          <w:spacing w:val="-3"/>
        </w:rPr>
        <w:t xml:space="preserve"> (i.e., the exposure of potentially exposed persons, consumers, and bystanders to unreasonable risk)</w:t>
      </w:r>
      <w:r w:rsidRPr="008714EF">
        <w:rPr>
          <w:spacing w:val="-3"/>
        </w:rPr>
        <w:t xml:space="preserve"> </w:t>
      </w:r>
      <w:r w:rsidRPr="008714EF">
        <w:rPr>
          <w:spacing w:val="-3"/>
        </w:rPr>
        <w:t xml:space="preserve">a shorter timeframe for record retention </w:t>
      </w:r>
      <w:r w:rsidRPr="008714EF">
        <w:t>is</w:t>
      </w:r>
      <w:r w:rsidRPr="008714EF">
        <w:rPr>
          <w:spacing w:val="-3"/>
        </w:rPr>
        <w:t xml:space="preserve"> </w:t>
      </w:r>
      <w:r w:rsidRPr="008714EF">
        <w:t>not</w:t>
      </w:r>
      <w:r w:rsidRPr="008714EF">
        <w:rPr>
          <w:spacing w:val="-3"/>
        </w:rPr>
        <w:t xml:space="preserve"> </w:t>
      </w:r>
      <w:r w:rsidRPr="008714EF">
        <w:t xml:space="preserve">feasible. The information collection activities covered by this ICR are necessary in order to ensure the effective mitigation of unreasonable risk from </w:t>
      </w:r>
      <w:r w:rsidRPr="008714EF" w:rsidR="00C0136D">
        <w:t>T</w:t>
      </w:r>
      <w:r w:rsidRPr="008714EF" w:rsidR="00EB3C91">
        <w:t>CE</w:t>
      </w:r>
      <w:r w:rsidRPr="008714EF">
        <w:t xml:space="preserve">. Due to EPA’s determination that </w:t>
      </w:r>
      <w:r w:rsidRPr="008714EF" w:rsidR="00C0136D">
        <w:t>T</w:t>
      </w:r>
      <w:r w:rsidRPr="008714EF" w:rsidR="00EB3C91">
        <w:t>CE</w:t>
      </w:r>
      <w:r w:rsidRPr="008714EF">
        <w:t xml:space="preserve"> presents an unreasonable risk,</w:t>
      </w:r>
      <w:r w:rsidRPr="008714EF">
        <w:rPr>
          <w:spacing w:val="-3"/>
        </w:rPr>
        <w:t xml:space="preserve"> </w:t>
      </w:r>
      <w:r w:rsidRPr="008714EF">
        <w:rPr>
          <w:spacing w:val="-3"/>
        </w:rPr>
        <w:t xml:space="preserve">the proposed risk management </w:t>
      </w:r>
      <w:r w:rsidRPr="008714EF">
        <w:t>rule</w:t>
      </w:r>
      <w:r w:rsidRPr="008714EF">
        <w:rPr>
          <w:spacing w:val="-3"/>
        </w:rPr>
        <w:t xml:space="preserve"> </w:t>
      </w:r>
      <w:r w:rsidRPr="008714EF">
        <w:t xml:space="preserve">involves information collection activities that are intended to ensure that </w:t>
      </w:r>
      <w:r w:rsidRPr="008714EF" w:rsidR="00C0136D">
        <w:t>T</w:t>
      </w:r>
      <w:r w:rsidRPr="008714EF" w:rsidR="00EB3C91">
        <w:t>CE</w:t>
      </w:r>
      <w:r w:rsidRPr="008714EF">
        <w:t xml:space="preserve"> does not present </w:t>
      </w:r>
      <w:r w:rsidRPr="008714EF" w:rsidR="009B0754">
        <w:t xml:space="preserve">an </w:t>
      </w:r>
      <w:r w:rsidRPr="008714EF">
        <w:t xml:space="preserve">unreasonable risk, thus any associated burdens to the regulated entities are necessary for the implementation of a TSCA section 6(a) rulemaking. Should the records in this information collection activity not be maintained nor be made accessible in accordance with the proposed rulemaking, effective implementation of the </w:t>
      </w:r>
      <w:r w:rsidRPr="008714EF" w:rsidR="00A2353F">
        <w:t>prohibitions</w:t>
      </w:r>
      <w:r w:rsidRPr="008714EF" w:rsidR="00151B8C">
        <w:t>, exemptions,</w:t>
      </w:r>
      <w:r w:rsidRPr="008714EF" w:rsidR="00A2353F">
        <w:t xml:space="preserve"> and interim </w:t>
      </w:r>
      <w:r w:rsidRPr="008714EF">
        <w:t>WCPP would be compromised</w:t>
      </w:r>
      <w:r w:rsidRPr="008714EF" w:rsidR="009B0754">
        <w:t>.</w:t>
      </w:r>
      <w:r w:rsidRPr="008714EF">
        <w:t xml:space="preserve"> EPA would not be able to determine if unreasonable risk is mitigated, leading to the possibility of injury and hinder</w:t>
      </w:r>
      <w:r w:rsidRPr="008714EF" w:rsidR="009B0754">
        <w:t>ance of</w:t>
      </w:r>
      <w:r w:rsidRPr="008714EF">
        <w:t xml:space="preserve"> investigative efforts by the regulated entity and by EPA.</w:t>
      </w:r>
    </w:p>
    <w:p w:rsidR="00C44B6E" w:rsidRPr="008714EF" w:rsidP="00B803CA" w14:paraId="4F8761A5" w14:textId="77777777">
      <w:pPr>
        <w:pStyle w:val="Heading2"/>
      </w:pPr>
      <w:r w:rsidRPr="008714EF">
        <w:t xml:space="preserve">7. </w:t>
      </w:r>
      <w:r w:rsidRPr="008714EF" w:rsidR="007D7BF3">
        <w:t>Explain</w:t>
      </w:r>
      <w:r w:rsidRPr="008714EF" w:rsidR="007D7BF3">
        <w:rPr>
          <w:spacing w:val="-4"/>
        </w:rPr>
        <w:t xml:space="preserve"> </w:t>
      </w:r>
      <w:r w:rsidRPr="008714EF" w:rsidR="007D7BF3">
        <w:t>any</w:t>
      </w:r>
      <w:r w:rsidRPr="008714EF" w:rsidR="007D7BF3">
        <w:rPr>
          <w:spacing w:val="-4"/>
        </w:rPr>
        <w:t xml:space="preserve"> </w:t>
      </w:r>
      <w:r w:rsidRPr="008714EF" w:rsidR="007D7BF3">
        <w:t>special</w:t>
      </w:r>
      <w:r w:rsidRPr="008714EF" w:rsidR="007D7BF3">
        <w:rPr>
          <w:spacing w:val="-4"/>
        </w:rPr>
        <w:t xml:space="preserve"> </w:t>
      </w:r>
      <w:r w:rsidRPr="008714EF" w:rsidR="007D7BF3">
        <w:t>circumstances</w:t>
      </w:r>
      <w:r w:rsidRPr="008714EF" w:rsidR="007D7BF3">
        <w:rPr>
          <w:spacing w:val="-4"/>
        </w:rPr>
        <w:t xml:space="preserve"> </w:t>
      </w:r>
      <w:r w:rsidRPr="008714EF" w:rsidR="007D7BF3">
        <w:t>that</w:t>
      </w:r>
      <w:r w:rsidRPr="008714EF" w:rsidR="007D7BF3">
        <w:rPr>
          <w:spacing w:val="-2"/>
        </w:rPr>
        <w:t xml:space="preserve"> </w:t>
      </w:r>
      <w:r w:rsidRPr="008714EF" w:rsidR="007D7BF3">
        <w:t>require</w:t>
      </w:r>
      <w:r w:rsidRPr="008714EF" w:rsidR="007D7BF3">
        <w:rPr>
          <w:spacing w:val="-4"/>
        </w:rPr>
        <w:t xml:space="preserve"> </w:t>
      </w:r>
      <w:r w:rsidRPr="008714EF" w:rsidR="007D7BF3">
        <w:t>the</w:t>
      </w:r>
      <w:r w:rsidRPr="008714EF" w:rsidR="007D7BF3">
        <w:rPr>
          <w:spacing w:val="-4"/>
        </w:rPr>
        <w:t xml:space="preserve"> </w:t>
      </w:r>
      <w:r w:rsidRPr="008714EF" w:rsidR="007D7BF3">
        <w:t>collection</w:t>
      </w:r>
      <w:r w:rsidRPr="008714EF" w:rsidR="007D7BF3">
        <w:rPr>
          <w:spacing w:val="-4"/>
        </w:rPr>
        <w:t xml:space="preserve"> </w:t>
      </w:r>
      <w:r w:rsidRPr="008714EF" w:rsidR="007D7BF3">
        <w:t>to</w:t>
      </w:r>
      <w:r w:rsidRPr="008714EF" w:rsidR="007D7BF3">
        <w:rPr>
          <w:spacing w:val="-4"/>
        </w:rPr>
        <w:t xml:space="preserve"> </w:t>
      </w:r>
      <w:r w:rsidRPr="008714EF" w:rsidR="007D7BF3">
        <w:t>be</w:t>
      </w:r>
      <w:r w:rsidRPr="008714EF" w:rsidR="007D7BF3">
        <w:rPr>
          <w:spacing w:val="-4"/>
        </w:rPr>
        <w:t xml:space="preserve"> </w:t>
      </w:r>
      <w:r w:rsidRPr="008714EF" w:rsidR="007D7BF3">
        <w:t>conducted in a manner:</w:t>
      </w:r>
    </w:p>
    <w:p w:rsidR="00C44B6E" w:rsidRPr="008714EF" w:rsidP="00B803CA" w14:paraId="0ACC9443" w14:textId="77777777">
      <w:pPr>
        <w:pStyle w:val="Heading2"/>
        <w:numPr>
          <w:ilvl w:val="0"/>
          <w:numId w:val="12"/>
        </w:numPr>
      </w:pPr>
      <w:r w:rsidRPr="008714EF">
        <w:t>requiring</w:t>
      </w:r>
      <w:r w:rsidRPr="008714EF">
        <w:rPr>
          <w:spacing w:val="-4"/>
        </w:rPr>
        <w:t xml:space="preserve"> </w:t>
      </w:r>
      <w:r w:rsidRPr="008714EF">
        <w:t>respondents</w:t>
      </w:r>
      <w:r w:rsidRPr="008714EF">
        <w:rPr>
          <w:spacing w:val="-4"/>
        </w:rPr>
        <w:t xml:space="preserve"> </w:t>
      </w:r>
      <w:r w:rsidRPr="008714EF">
        <w:t>to</w:t>
      </w:r>
      <w:r w:rsidRPr="008714EF">
        <w:rPr>
          <w:spacing w:val="-4"/>
        </w:rPr>
        <w:t xml:space="preserve"> </w:t>
      </w:r>
      <w:r w:rsidRPr="008714EF">
        <w:t>report</w:t>
      </w:r>
      <w:r w:rsidRPr="008714EF">
        <w:rPr>
          <w:spacing w:val="-4"/>
        </w:rPr>
        <w:t xml:space="preserve"> </w:t>
      </w:r>
      <w:r w:rsidRPr="008714EF">
        <w:t>information</w:t>
      </w:r>
      <w:r w:rsidRPr="008714EF">
        <w:rPr>
          <w:spacing w:val="-4"/>
        </w:rPr>
        <w:t xml:space="preserve"> </w:t>
      </w:r>
      <w:r w:rsidRPr="008714EF">
        <w:t>to</w:t>
      </w:r>
      <w:r w:rsidRPr="008714EF">
        <w:rPr>
          <w:spacing w:val="-4"/>
        </w:rPr>
        <w:t xml:space="preserve"> </w:t>
      </w:r>
      <w:r w:rsidRPr="008714EF">
        <w:t>the</w:t>
      </w:r>
      <w:r w:rsidRPr="008714EF">
        <w:rPr>
          <w:spacing w:val="-4"/>
        </w:rPr>
        <w:t xml:space="preserve"> </w:t>
      </w:r>
      <w:r w:rsidRPr="008714EF">
        <w:t>agency</w:t>
      </w:r>
      <w:r w:rsidRPr="008714EF">
        <w:rPr>
          <w:spacing w:val="-4"/>
        </w:rPr>
        <w:t xml:space="preserve"> </w:t>
      </w:r>
      <w:r w:rsidRPr="008714EF">
        <w:t>more</w:t>
      </w:r>
      <w:r w:rsidRPr="008714EF">
        <w:rPr>
          <w:spacing w:val="-4"/>
        </w:rPr>
        <w:t xml:space="preserve"> </w:t>
      </w:r>
      <w:r w:rsidRPr="008714EF">
        <w:t>often</w:t>
      </w:r>
      <w:r w:rsidRPr="008714EF">
        <w:rPr>
          <w:spacing w:val="-4"/>
        </w:rPr>
        <w:t xml:space="preserve"> </w:t>
      </w:r>
      <w:r w:rsidRPr="008714EF">
        <w:t xml:space="preserve">than </w:t>
      </w:r>
      <w:r w:rsidRPr="008714EF">
        <w:rPr>
          <w:spacing w:val="-2"/>
        </w:rPr>
        <w:t>quarterly;</w:t>
      </w:r>
    </w:p>
    <w:p w:rsidR="00C44B6E" w:rsidRPr="008714EF" w:rsidP="00B803CA" w14:paraId="55C12493" w14:textId="77777777">
      <w:pPr>
        <w:pStyle w:val="Heading2"/>
        <w:numPr>
          <w:ilvl w:val="0"/>
          <w:numId w:val="12"/>
        </w:numPr>
      </w:pPr>
      <w:r w:rsidRPr="008714EF">
        <w:t>requiring</w:t>
      </w:r>
      <w:r w:rsidRPr="008714EF">
        <w:rPr>
          <w:spacing w:val="-4"/>
        </w:rPr>
        <w:t xml:space="preserve"> </w:t>
      </w:r>
      <w:r w:rsidRPr="008714EF">
        <w:t>respondents</w:t>
      </w:r>
      <w:r w:rsidRPr="008714EF">
        <w:rPr>
          <w:spacing w:val="-4"/>
        </w:rPr>
        <w:t xml:space="preserve"> </w:t>
      </w:r>
      <w:r w:rsidRPr="008714EF">
        <w:t>to</w:t>
      </w:r>
      <w:r w:rsidRPr="008714EF">
        <w:rPr>
          <w:spacing w:val="-4"/>
        </w:rPr>
        <w:t xml:space="preserve"> </w:t>
      </w:r>
      <w:r w:rsidRPr="008714EF">
        <w:t>prepare</w:t>
      </w:r>
      <w:r w:rsidRPr="008714EF">
        <w:rPr>
          <w:spacing w:val="-4"/>
        </w:rPr>
        <w:t xml:space="preserve"> </w:t>
      </w:r>
      <w:r w:rsidRPr="008714EF">
        <w:t>a</w:t>
      </w:r>
      <w:r w:rsidRPr="008714EF">
        <w:rPr>
          <w:spacing w:val="-3"/>
        </w:rPr>
        <w:t xml:space="preserve"> </w:t>
      </w:r>
      <w:r w:rsidRPr="008714EF">
        <w:t>written</w:t>
      </w:r>
      <w:r w:rsidRPr="008714EF">
        <w:rPr>
          <w:spacing w:val="-4"/>
        </w:rPr>
        <w:t xml:space="preserve"> </w:t>
      </w:r>
      <w:r w:rsidRPr="008714EF">
        <w:t>response</w:t>
      </w:r>
      <w:r w:rsidRPr="008714EF">
        <w:rPr>
          <w:spacing w:val="-4"/>
        </w:rPr>
        <w:t xml:space="preserve"> </w:t>
      </w:r>
      <w:r w:rsidRPr="008714EF">
        <w:t>to</w:t>
      </w:r>
      <w:r w:rsidRPr="008714EF">
        <w:rPr>
          <w:spacing w:val="-4"/>
        </w:rPr>
        <w:t xml:space="preserve"> </w:t>
      </w:r>
      <w:r w:rsidRPr="008714EF">
        <w:t>a</w:t>
      </w:r>
      <w:r w:rsidRPr="008714EF">
        <w:rPr>
          <w:spacing w:val="-4"/>
        </w:rPr>
        <w:t xml:space="preserve"> </w:t>
      </w:r>
      <w:r w:rsidRPr="008714EF">
        <w:t>collection</w:t>
      </w:r>
      <w:r w:rsidRPr="008714EF">
        <w:rPr>
          <w:spacing w:val="-4"/>
        </w:rPr>
        <w:t xml:space="preserve"> </w:t>
      </w:r>
      <w:r w:rsidRPr="008714EF">
        <w:t xml:space="preserve">of information in fewer than 30 days after receipt of </w:t>
      </w:r>
      <w:r w:rsidRPr="008714EF">
        <w:t>it;</w:t>
      </w:r>
    </w:p>
    <w:p w:rsidR="00C44B6E" w:rsidRPr="008714EF" w:rsidP="00B803CA" w14:paraId="4069DC7F" w14:textId="77777777">
      <w:pPr>
        <w:pStyle w:val="Heading2"/>
        <w:numPr>
          <w:ilvl w:val="0"/>
          <w:numId w:val="12"/>
        </w:numPr>
      </w:pPr>
      <w:r w:rsidRPr="008714EF">
        <w:t>requiring</w:t>
      </w:r>
      <w:r w:rsidRPr="008714EF">
        <w:rPr>
          <w:spacing w:val="-4"/>
        </w:rPr>
        <w:t xml:space="preserve"> </w:t>
      </w:r>
      <w:r w:rsidRPr="008714EF">
        <w:t>respondents</w:t>
      </w:r>
      <w:r w:rsidRPr="008714EF">
        <w:rPr>
          <w:spacing w:val="-4"/>
        </w:rPr>
        <w:t xml:space="preserve"> </w:t>
      </w:r>
      <w:r w:rsidRPr="008714EF">
        <w:t>to</w:t>
      </w:r>
      <w:r w:rsidRPr="008714EF">
        <w:rPr>
          <w:spacing w:val="-4"/>
        </w:rPr>
        <w:t xml:space="preserve"> </w:t>
      </w:r>
      <w:r w:rsidRPr="008714EF">
        <w:t>submit</w:t>
      </w:r>
      <w:r w:rsidRPr="008714EF">
        <w:rPr>
          <w:spacing w:val="-4"/>
        </w:rPr>
        <w:t xml:space="preserve"> </w:t>
      </w:r>
      <w:r w:rsidRPr="008714EF">
        <w:t>more</w:t>
      </w:r>
      <w:r w:rsidRPr="008714EF">
        <w:rPr>
          <w:spacing w:val="-3"/>
        </w:rPr>
        <w:t xml:space="preserve"> </w:t>
      </w:r>
      <w:r w:rsidRPr="008714EF">
        <w:t>than</w:t>
      </w:r>
      <w:r w:rsidRPr="008714EF">
        <w:rPr>
          <w:spacing w:val="-4"/>
        </w:rPr>
        <w:t xml:space="preserve"> </w:t>
      </w:r>
      <w:r w:rsidRPr="008714EF">
        <w:t>an</w:t>
      </w:r>
      <w:r w:rsidRPr="008714EF">
        <w:rPr>
          <w:spacing w:val="-4"/>
        </w:rPr>
        <w:t xml:space="preserve"> </w:t>
      </w:r>
      <w:r w:rsidRPr="008714EF">
        <w:t>original</w:t>
      </w:r>
      <w:r w:rsidRPr="008714EF">
        <w:rPr>
          <w:spacing w:val="-4"/>
        </w:rPr>
        <w:t xml:space="preserve"> </w:t>
      </w:r>
      <w:r w:rsidRPr="008714EF">
        <w:t>and</w:t>
      </w:r>
      <w:r w:rsidRPr="008714EF">
        <w:rPr>
          <w:spacing w:val="-4"/>
        </w:rPr>
        <w:t xml:space="preserve"> </w:t>
      </w:r>
      <w:r w:rsidRPr="008714EF">
        <w:t>two</w:t>
      </w:r>
      <w:r w:rsidRPr="008714EF">
        <w:rPr>
          <w:spacing w:val="-4"/>
        </w:rPr>
        <w:t xml:space="preserve"> </w:t>
      </w:r>
      <w:r w:rsidRPr="008714EF">
        <w:t>copies</w:t>
      </w:r>
      <w:r w:rsidRPr="008714EF">
        <w:rPr>
          <w:spacing w:val="-4"/>
        </w:rPr>
        <w:t xml:space="preserve"> </w:t>
      </w:r>
      <w:r w:rsidRPr="008714EF">
        <w:t xml:space="preserve">of any </w:t>
      </w:r>
      <w:r w:rsidRPr="008714EF">
        <w:t>document;</w:t>
      </w:r>
    </w:p>
    <w:p w:rsidR="00C44B6E" w:rsidRPr="008714EF" w:rsidP="00B803CA" w14:paraId="4DE11464" w14:textId="77777777">
      <w:pPr>
        <w:pStyle w:val="Heading2"/>
        <w:numPr>
          <w:ilvl w:val="0"/>
          <w:numId w:val="12"/>
        </w:numPr>
      </w:pPr>
      <w:r w:rsidRPr="008714EF">
        <w:t>requiring respondents to retain records, other than health, medical, government</w:t>
      </w:r>
      <w:r w:rsidRPr="008714EF">
        <w:rPr>
          <w:spacing w:val="-4"/>
        </w:rPr>
        <w:t xml:space="preserve"> </w:t>
      </w:r>
      <w:r w:rsidRPr="008714EF">
        <w:t>contract,</w:t>
      </w:r>
      <w:r w:rsidRPr="008714EF">
        <w:rPr>
          <w:spacing w:val="-4"/>
        </w:rPr>
        <w:t xml:space="preserve"> </w:t>
      </w:r>
      <w:r w:rsidRPr="008714EF">
        <w:t>grant-in-aid,</w:t>
      </w:r>
      <w:r w:rsidRPr="008714EF">
        <w:rPr>
          <w:spacing w:val="-4"/>
        </w:rPr>
        <w:t xml:space="preserve"> </w:t>
      </w:r>
      <w:r w:rsidRPr="008714EF">
        <w:t>or</w:t>
      </w:r>
      <w:r w:rsidRPr="008714EF">
        <w:rPr>
          <w:spacing w:val="-7"/>
        </w:rPr>
        <w:t xml:space="preserve"> </w:t>
      </w:r>
      <w:r w:rsidRPr="008714EF">
        <w:t>tax</w:t>
      </w:r>
      <w:r w:rsidRPr="008714EF">
        <w:rPr>
          <w:spacing w:val="-4"/>
        </w:rPr>
        <w:t xml:space="preserve"> </w:t>
      </w:r>
      <w:r w:rsidRPr="008714EF">
        <w:t>records,</w:t>
      </w:r>
      <w:r w:rsidRPr="008714EF">
        <w:rPr>
          <w:spacing w:val="-4"/>
        </w:rPr>
        <w:t xml:space="preserve"> </w:t>
      </w:r>
      <w:r w:rsidRPr="008714EF">
        <w:t>for</w:t>
      </w:r>
      <w:r w:rsidRPr="008714EF">
        <w:rPr>
          <w:spacing w:val="-4"/>
        </w:rPr>
        <w:t xml:space="preserve"> </w:t>
      </w:r>
      <w:r w:rsidRPr="008714EF">
        <w:t>more</w:t>
      </w:r>
      <w:r w:rsidRPr="008714EF">
        <w:rPr>
          <w:spacing w:val="-4"/>
        </w:rPr>
        <w:t xml:space="preserve"> </w:t>
      </w:r>
      <w:r w:rsidRPr="008714EF">
        <w:t>than</w:t>
      </w:r>
      <w:r w:rsidRPr="008714EF">
        <w:rPr>
          <w:spacing w:val="-4"/>
        </w:rPr>
        <w:t xml:space="preserve"> </w:t>
      </w:r>
      <w:r w:rsidRPr="008714EF">
        <w:t xml:space="preserve">three </w:t>
      </w:r>
      <w:r w:rsidRPr="008714EF">
        <w:rPr>
          <w:spacing w:val="-2"/>
        </w:rPr>
        <w:t>years;</w:t>
      </w:r>
    </w:p>
    <w:p w:rsidR="00C44B6E" w:rsidRPr="008714EF" w:rsidP="00B803CA" w14:paraId="230F0F76" w14:textId="77777777">
      <w:pPr>
        <w:pStyle w:val="Heading2"/>
        <w:numPr>
          <w:ilvl w:val="0"/>
          <w:numId w:val="12"/>
        </w:numPr>
      </w:pPr>
      <w:r w:rsidRPr="008714EF">
        <w:t>in connection with a statistical survey, that is not designed to produce valid</w:t>
      </w:r>
      <w:r w:rsidRPr="008714EF">
        <w:rPr>
          <w:spacing w:val="-4"/>
        </w:rPr>
        <w:t xml:space="preserve"> </w:t>
      </w:r>
      <w:r w:rsidRPr="008714EF">
        <w:t>and</w:t>
      </w:r>
      <w:r w:rsidRPr="008714EF">
        <w:rPr>
          <w:spacing w:val="-4"/>
        </w:rPr>
        <w:t xml:space="preserve"> </w:t>
      </w:r>
      <w:r w:rsidRPr="008714EF">
        <w:t>reliable</w:t>
      </w:r>
      <w:r w:rsidRPr="008714EF">
        <w:rPr>
          <w:spacing w:val="-4"/>
        </w:rPr>
        <w:t xml:space="preserve"> </w:t>
      </w:r>
      <w:r w:rsidRPr="008714EF">
        <w:t>results</w:t>
      </w:r>
      <w:r w:rsidRPr="008714EF">
        <w:rPr>
          <w:spacing w:val="-4"/>
        </w:rPr>
        <w:t xml:space="preserve"> </w:t>
      </w:r>
      <w:r w:rsidRPr="008714EF">
        <w:t>that</w:t>
      </w:r>
      <w:r w:rsidRPr="008714EF">
        <w:rPr>
          <w:spacing w:val="-5"/>
        </w:rPr>
        <w:t xml:space="preserve"> </w:t>
      </w:r>
      <w:r w:rsidRPr="008714EF">
        <w:t>can</w:t>
      </w:r>
      <w:r w:rsidRPr="008714EF">
        <w:rPr>
          <w:spacing w:val="-4"/>
        </w:rPr>
        <w:t xml:space="preserve"> </w:t>
      </w:r>
      <w:r w:rsidRPr="008714EF">
        <w:t>be</w:t>
      </w:r>
      <w:r w:rsidRPr="008714EF">
        <w:rPr>
          <w:spacing w:val="-4"/>
        </w:rPr>
        <w:t xml:space="preserve"> </w:t>
      </w:r>
      <w:r w:rsidRPr="008714EF">
        <w:t>generalized</w:t>
      </w:r>
      <w:r w:rsidRPr="008714EF">
        <w:rPr>
          <w:spacing w:val="-4"/>
        </w:rPr>
        <w:t xml:space="preserve"> </w:t>
      </w:r>
      <w:r w:rsidRPr="008714EF">
        <w:t>to</w:t>
      </w:r>
      <w:r w:rsidRPr="008714EF">
        <w:rPr>
          <w:spacing w:val="-4"/>
        </w:rPr>
        <w:t xml:space="preserve"> </w:t>
      </w:r>
      <w:r w:rsidRPr="008714EF">
        <w:t>the</w:t>
      </w:r>
      <w:r w:rsidRPr="008714EF">
        <w:rPr>
          <w:spacing w:val="-4"/>
        </w:rPr>
        <w:t xml:space="preserve"> </w:t>
      </w:r>
      <w:r w:rsidRPr="008714EF">
        <w:t>universe</w:t>
      </w:r>
      <w:r w:rsidRPr="008714EF">
        <w:rPr>
          <w:spacing w:val="-4"/>
        </w:rPr>
        <w:t xml:space="preserve"> </w:t>
      </w:r>
      <w:r w:rsidRPr="008714EF">
        <w:t>of</w:t>
      </w:r>
      <w:r w:rsidRPr="008714EF">
        <w:rPr>
          <w:spacing w:val="-4"/>
        </w:rPr>
        <w:t xml:space="preserve"> </w:t>
      </w:r>
      <w:r w:rsidRPr="008714EF">
        <w:t>study;</w:t>
      </w:r>
    </w:p>
    <w:p w:rsidR="00C44B6E" w:rsidRPr="008714EF" w:rsidP="00B803CA" w14:paraId="682DA8A5" w14:textId="77777777">
      <w:pPr>
        <w:pStyle w:val="Heading2"/>
        <w:numPr>
          <w:ilvl w:val="0"/>
          <w:numId w:val="12"/>
        </w:numPr>
      </w:pPr>
      <w:r w:rsidRPr="008714EF">
        <w:t>requiring</w:t>
      </w:r>
      <w:r w:rsidRPr="008714EF">
        <w:rPr>
          <w:spacing w:val="-4"/>
        </w:rPr>
        <w:t xml:space="preserve"> </w:t>
      </w:r>
      <w:r w:rsidRPr="008714EF">
        <w:t>the</w:t>
      </w:r>
      <w:r w:rsidRPr="008714EF">
        <w:rPr>
          <w:spacing w:val="-4"/>
        </w:rPr>
        <w:t xml:space="preserve"> </w:t>
      </w:r>
      <w:r w:rsidRPr="008714EF">
        <w:t>use</w:t>
      </w:r>
      <w:r w:rsidRPr="008714EF">
        <w:rPr>
          <w:spacing w:val="-4"/>
        </w:rPr>
        <w:t xml:space="preserve"> </w:t>
      </w:r>
      <w:r w:rsidRPr="008714EF">
        <w:t>of</w:t>
      </w:r>
      <w:r w:rsidRPr="008714EF">
        <w:rPr>
          <w:spacing w:val="-4"/>
        </w:rPr>
        <w:t xml:space="preserve"> </w:t>
      </w:r>
      <w:r w:rsidRPr="008714EF">
        <w:t>a</w:t>
      </w:r>
      <w:r w:rsidRPr="008714EF">
        <w:rPr>
          <w:spacing w:val="-3"/>
        </w:rPr>
        <w:t xml:space="preserve"> </w:t>
      </w:r>
      <w:r w:rsidRPr="008714EF">
        <w:t>statistical</w:t>
      </w:r>
      <w:r w:rsidRPr="008714EF">
        <w:rPr>
          <w:spacing w:val="-4"/>
        </w:rPr>
        <w:t xml:space="preserve"> </w:t>
      </w:r>
      <w:r w:rsidRPr="008714EF">
        <w:t>data</w:t>
      </w:r>
      <w:r w:rsidRPr="008714EF">
        <w:rPr>
          <w:spacing w:val="-4"/>
        </w:rPr>
        <w:t xml:space="preserve"> </w:t>
      </w:r>
      <w:r w:rsidRPr="008714EF">
        <w:t>classification</w:t>
      </w:r>
      <w:r w:rsidRPr="008714EF">
        <w:rPr>
          <w:spacing w:val="-4"/>
        </w:rPr>
        <w:t xml:space="preserve"> </w:t>
      </w:r>
      <w:r w:rsidRPr="008714EF">
        <w:t>that</w:t>
      </w:r>
      <w:r w:rsidRPr="008714EF">
        <w:rPr>
          <w:spacing w:val="-4"/>
        </w:rPr>
        <w:t xml:space="preserve"> </w:t>
      </w:r>
      <w:r w:rsidRPr="008714EF">
        <w:t>has</w:t>
      </w:r>
      <w:r w:rsidRPr="008714EF">
        <w:rPr>
          <w:spacing w:val="-4"/>
        </w:rPr>
        <w:t xml:space="preserve"> </w:t>
      </w:r>
      <w:r w:rsidRPr="008714EF">
        <w:t>not</w:t>
      </w:r>
      <w:r w:rsidRPr="008714EF">
        <w:rPr>
          <w:spacing w:val="-4"/>
        </w:rPr>
        <w:t xml:space="preserve"> </w:t>
      </w:r>
      <w:r w:rsidRPr="008714EF">
        <w:t xml:space="preserve">been reviewed and approved by </w:t>
      </w:r>
      <w:r w:rsidRPr="008714EF">
        <w:t>OMB;</w:t>
      </w:r>
    </w:p>
    <w:p w:rsidR="00C44B6E" w:rsidRPr="008714EF" w:rsidP="00B803CA" w14:paraId="2CE03FA5" w14:textId="77777777">
      <w:pPr>
        <w:pStyle w:val="Heading2"/>
        <w:numPr>
          <w:ilvl w:val="0"/>
          <w:numId w:val="12"/>
        </w:numPr>
      </w:pPr>
      <w:r w:rsidRPr="008714EF">
        <w:t>that includes a pledge of confidentiality that is not supported by authority established</w:t>
      </w:r>
      <w:r w:rsidRPr="008714EF">
        <w:rPr>
          <w:spacing w:val="-4"/>
        </w:rPr>
        <w:t xml:space="preserve"> </w:t>
      </w:r>
      <w:r w:rsidRPr="008714EF">
        <w:t>in</w:t>
      </w:r>
      <w:r w:rsidRPr="008714EF">
        <w:rPr>
          <w:spacing w:val="-4"/>
        </w:rPr>
        <w:t xml:space="preserve"> </w:t>
      </w:r>
      <w:r w:rsidRPr="008714EF">
        <w:t>statute</w:t>
      </w:r>
      <w:r w:rsidRPr="008714EF">
        <w:rPr>
          <w:spacing w:val="-4"/>
        </w:rPr>
        <w:t xml:space="preserve"> </w:t>
      </w:r>
      <w:r w:rsidRPr="008714EF">
        <w:t>or</w:t>
      </w:r>
      <w:r w:rsidRPr="008714EF">
        <w:rPr>
          <w:spacing w:val="-4"/>
        </w:rPr>
        <w:t xml:space="preserve"> </w:t>
      </w:r>
      <w:r w:rsidRPr="008714EF">
        <w:t>regulation,</w:t>
      </w:r>
      <w:r w:rsidRPr="008714EF">
        <w:rPr>
          <w:spacing w:val="-4"/>
        </w:rPr>
        <w:t xml:space="preserve"> </w:t>
      </w:r>
      <w:r w:rsidRPr="008714EF">
        <w:t>that</w:t>
      </w:r>
      <w:r w:rsidRPr="008714EF">
        <w:rPr>
          <w:spacing w:val="-4"/>
        </w:rPr>
        <w:t xml:space="preserve"> </w:t>
      </w:r>
      <w:r w:rsidRPr="008714EF">
        <w:t>is</w:t>
      </w:r>
      <w:r w:rsidRPr="008714EF">
        <w:rPr>
          <w:spacing w:val="-4"/>
        </w:rPr>
        <w:t xml:space="preserve"> </w:t>
      </w:r>
      <w:r w:rsidRPr="008714EF">
        <w:t>not</w:t>
      </w:r>
      <w:r w:rsidRPr="008714EF">
        <w:rPr>
          <w:spacing w:val="-4"/>
        </w:rPr>
        <w:t xml:space="preserve"> </w:t>
      </w:r>
      <w:r w:rsidRPr="008714EF">
        <w:t>supported</w:t>
      </w:r>
      <w:r w:rsidRPr="008714EF">
        <w:rPr>
          <w:spacing w:val="-4"/>
        </w:rPr>
        <w:t xml:space="preserve"> </w:t>
      </w:r>
      <w:r w:rsidRPr="008714EF">
        <w:t>by</w:t>
      </w:r>
      <w:r w:rsidRPr="008714EF">
        <w:rPr>
          <w:spacing w:val="-4"/>
        </w:rPr>
        <w:t xml:space="preserve"> </w:t>
      </w:r>
      <w:r w:rsidRPr="008714EF">
        <w:t>disclosure</w:t>
      </w:r>
      <w:r w:rsidRPr="008714EF">
        <w:rPr>
          <w:spacing w:val="-4"/>
        </w:rPr>
        <w:t xml:space="preserve"> </w:t>
      </w:r>
      <w:r w:rsidRPr="008714EF">
        <w:t>and data security policies that are consistent with the pledge, or which unnecessarily impedes sharing of data with other agencies for compatible confidential use; or</w:t>
      </w:r>
    </w:p>
    <w:p w:rsidR="006B5715" w:rsidRPr="008714EF" w:rsidP="00B803CA" w14:paraId="3126EE33" w14:textId="146CCC24">
      <w:pPr>
        <w:pStyle w:val="Heading2"/>
        <w:numPr>
          <w:ilvl w:val="0"/>
          <w:numId w:val="12"/>
        </w:numPr>
      </w:pPr>
      <w:r w:rsidRPr="008714EF">
        <w:t>requiring respondents to submit proprietary trade secrets, or other confidential</w:t>
      </w:r>
      <w:r w:rsidRPr="008714EF">
        <w:rPr>
          <w:spacing w:val="-5"/>
        </w:rPr>
        <w:t xml:space="preserve"> </w:t>
      </w:r>
      <w:r w:rsidRPr="008714EF">
        <w:t>information</w:t>
      </w:r>
      <w:r w:rsidRPr="008714EF">
        <w:rPr>
          <w:spacing w:val="-5"/>
        </w:rPr>
        <w:t xml:space="preserve"> </w:t>
      </w:r>
      <w:r w:rsidRPr="008714EF">
        <w:t>unless</w:t>
      </w:r>
      <w:r w:rsidRPr="008714EF">
        <w:rPr>
          <w:spacing w:val="-5"/>
        </w:rPr>
        <w:t xml:space="preserve"> </w:t>
      </w:r>
      <w:r w:rsidRPr="008714EF">
        <w:t>the</w:t>
      </w:r>
      <w:r w:rsidRPr="008714EF">
        <w:rPr>
          <w:spacing w:val="-5"/>
        </w:rPr>
        <w:t xml:space="preserve"> </w:t>
      </w:r>
      <w:r w:rsidRPr="008714EF">
        <w:t>agency</w:t>
      </w:r>
      <w:r w:rsidRPr="008714EF">
        <w:rPr>
          <w:spacing w:val="-5"/>
        </w:rPr>
        <w:t xml:space="preserve"> </w:t>
      </w:r>
      <w:r w:rsidRPr="008714EF">
        <w:t>can</w:t>
      </w:r>
      <w:r w:rsidRPr="008714EF">
        <w:rPr>
          <w:spacing w:val="-5"/>
        </w:rPr>
        <w:t xml:space="preserve"> </w:t>
      </w:r>
      <w:r w:rsidRPr="008714EF">
        <w:t>demonstrate</w:t>
      </w:r>
      <w:r w:rsidRPr="008714EF">
        <w:rPr>
          <w:spacing w:val="-5"/>
        </w:rPr>
        <w:t xml:space="preserve"> </w:t>
      </w:r>
      <w:r w:rsidRPr="008714EF">
        <w:t>that</w:t>
      </w:r>
      <w:r w:rsidRPr="008714EF">
        <w:rPr>
          <w:spacing w:val="-5"/>
        </w:rPr>
        <w:t xml:space="preserve"> </w:t>
      </w:r>
      <w:r w:rsidRPr="008714EF">
        <w:t>it</w:t>
      </w:r>
      <w:r w:rsidRPr="008714EF">
        <w:rPr>
          <w:spacing w:val="-5"/>
        </w:rPr>
        <w:t xml:space="preserve"> </w:t>
      </w:r>
      <w:r w:rsidRPr="008714EF">
        <w:t>has instituted</w:t>
      </w:r>
      <w:r w:rsidRPr="008714EF">
        <w:rPr>
          <w:spacing w:val="-2"/>
        </w:rPr>
        <w:t xml:space="preserve"> </w:t>
      </w:r>
      <w:r w:rsidRPr="008714EF">
        <w:t>procedures</w:t>
      </w:r>
      <w:r w:rsidRPr="008714EF">
        <w:rPr>
          <w:spacing w:val="-2"/>
        </w:rPr>
        <w:t xml:space="preserve"> </w:t>
      </w:r>
      <w:r w:rsidRPr="008714EF">
        <w:t>to</w:t>
      </w:r>
      <w:r w:rsidRPr="008714EF">
        <w:rPr>
          <w:spacing w:val="-2"/>
        </w:rPr>
        <w:t xml:space="preserve"> </w:t>
      </w:r>
      <w:r w:rsidRPr="008714EF">
        <w:t>protect</w:t>
      </w:r>
      <w:r w:rsidRPr="008714EF">
        <w:rPr>
          <w:spacing w:val="-2"/>
        </w:rPr>
        <w:t xml:space="preserve"> </w:t>
      </w:r>
      <w:r w:rsidRPr="008714EF">
        <w:t>the</w:t>
      </w:r>
      <w:r w:rsidRPr="008714EF">
        <w:rPr>
          <w:spacing w:val="-4"/>
        </w:rPr>
        <w:t xml:space="preserve"> </w:t>
      </w:r>
      <w:r w:rsidRPr="008714EF">
        <w:t>information's</w:t>
      </w:r>
      <w:r w:rsidRPr="008714EF">
        <w:rPr>
          <w:spacing w:val="-2"/>
        </w:rPr>
        <w:t xml:space="preserve"> </w:t>
      </w:r>
      <w:r w:rsidRPr="008714EF">
        <w:t>confidentiality</w:t>
      </w:r>
      <w:r w:rsidRPr="008714EF">
        <w:rPr>
          <w:spacing w:val="-2"/>
        </w:rPr>
        <w:t xml:space="preserve"> </w:t>
      </w:r>
      <w:r w:rsidRPr="008714EF">
        <w:t>to</w:t>
      </w:r>
      <w:r w:rsidRPr="008714EF">
        <w:rPr>
          <w:spacing w:val="-3"/>
        </w:rPr>
        <w:t xml:space="preserve"> </w:t>
      </w:r>
      <w:r w:rsidRPr="008714EF">
        <w:t>the extent permitted by law.</w:t>
      </w:r>
    </w:p>
    <w:p w:rsidR="006B5715" w:rsidRPr="008714EF" w:rsidP="00DF2B2E" w14:paraId="3126EE34" w14:textId="52E7EAAE">
      <w:pPr>
        <w:pStyle w:val="BodyText"/>
        <w:spacing w:before="201" w:after="240"/>
        <w:ind w:left="280" w:right="749"/>
      </w:pPr>
      <w:r w:rsidRPr="008714EF">
        <w:t xml:space="preserve">This proposed rulemaking and information collection activity </w:t>
      </w:r>
      <w:r w:rsidRPr="008714EF" w:rsidR="009B0754">
        <w:t xml:space="preserve">would </w:t>
      </w:r>
      <w:r w:rsidRPr="008714EF">
        <w:t>require that regulated entities retain records for a duration of 5 years from the date of its inception such as downstream notification. EPA has tailored this timeframe to coincide with the statute of limitations for civil penalty enforcement (28 U.S.C. 2842). EPA expects that 5-year retention of records for a</w:t>
      </w:r>
      <w:r w:rsidRPr="008714EF" w:rsidR="35742905">
        <w:t xml:space="preserve"> </w:t>
      </w:r>
      <w:r w:rsidRPr="008714EF">
        <w:t>WCPP</w:t>
      </w:r>
      <w:r w:rsidRPr="008714EF" w:rsidR="00CA08C5">
        <w:t xml:space="preserve"> </w:t>
      </w:r>
      <w:r w:rsidRPr="008714EF" w:rsidR="00CC3650">
        <w:t xml:space="preserve">and, as relevant, for exemption documentation, </w:t>
      </w:r>
      <w:r w:rsidRPr="008714EF">
        <w:t xml:space="preserve">is necessary for effective implementation and enforcement of this rulemaking. </w:t>
      </w:r>
    </w:p>
    <w:p w:rsidR="006B5715" w:rsidRPr="008714EF" w:rsidP="00B803CA" w14:paraId="3126EE35" w14:textId="228DEB56">
      <w:pPr>
        <w:pStyle w:val="Heading2"/>
      </w:pPr>
      <w:r w:rsidRPr="008714EF">
        <w:t xml:space="preserve">8. </w:t>
      </w:r>
      <w:r w:rsidRPr="008714EF" w:rsidR="007D7BF3">
        <w:t>If applicable, provide a copy and identify the date and page number of publication in the Federal Register of the agency’s notice, required by 5 CFR 1320.8(d), soliciting comments on the information collection prior to submission</w:t>
      </w:r>
      <w:r w:rsidRPr="008714EF" w:rsidR="007D7BF3">
        <w:rPr>
          <w:spacing w:val="-4"/>
        </w:rPr>
        <w:t xml:space="preserve"> </w:t>
      </w:r>
      <w:r w:rsidRPr="008714EF" w:rsidR="007D7BF3">
        <w:t>to</w:t>
      </w:r>
      <w:r w:rsidRPr="008714EF" w:rsidR="007D7BF3">
        <w:rPr>
          <w:spacing w:val="-4"/>
        </w:rPr>
        <w:t xml:space="preserve"> </w:t>
      </w:r>
      <w:r w:rsidRPr="008714EF" w:rsidR="007D7BF3">
        <w:t>OMB.</w:t>
      </w:r>
      <w:r w:rsidRPr="008714EF" w:rsidR="007D7BF3">
        <w:rPr>
          <w:spacing w:val="-4"/>
        </w:rPr>
        <w:t xml:space="preserve"> </w:t>
      </w:r>
      <w:r w:rsidRPr="008714EF" w:rsidR="007D7BF3">
        <w:t>Summarize</w:t>
      </w:r>
      <w:r w:rsidRPr="008714EF" w:rsidR="007D7BF3">
        <w:rPr>
          <w:spacing w:val="-4"/>
        </w:rPr>
        <w:t xml:space="preserve"> </w:t>
      </w:r>
      <w:r w:rsidRPr="008714EF" w:rsidR="007D7BF3">
        <w:t>public</w:t>
      </w:r>
      <w:r w:rsidRPr="008714EF" w:rsidR="007D7BF3">
        <w:rPr>
          <w:spacing w:val="-4"/>
        </w:rPr>
        <w:t xml:space="preserve"> </w:t>
      </w:r>
      <w:r w:rsidRPr="008714EF" w:rsidR="007D7BF3">
        <w:t>comments</w:t>
      </w:r>
      <w:r w:rsidRPr="008714EF" w:rsidR="007D7BF3">
        <w:rPr>
          <w:spacing w:val="-4"/>
        </w:rPr>
        <w:t xml:space="preserve"> </w:t>
      </w:r>
      <w:r w:rsidRPr="008714EF" w:rsidR="007D7BF3">
        <w:t>received</w:t>
      </w:r>
      <w:r w:rsidRPr="008714EF" w:rsidR="007D7BF3">
        <w:rPr>
          <w:spacing w:val="-4"/>
        </w:rPr>
        <w:t xml:space="preserve"> </w:t>
      </w:r>
      <w:r w:rsidRPr="008714EF" w:rsidR="007D7BF3">
        <w:t>in</w:t>
      </w:r>
      <w:r w:rsidRPr="008714EF" w:rsidR="007D7BF3">
        <w:rPr>
          <w:spacing w:val="-4"/>
        </w:rPr>
        <w:t xml:space="preserve"> </w:t>
      </w:r>
      <w:r w:rsidRPr="008714EF" w:rsidR="007D7BF3">
        <w:t>response</w:t>
      </w:r>
      <w:r w:rsidRPr="008714EF" w:rsidR="007D7BF3">
        <w:rPr>
          <w:spacing w:val="-4"/>
        </w:rPr>
        <w:t xml:space="preserve"> </w:t>
      </w:r>
      <w:r w:rsidRPr="008714EF" w:rsidR="007D7BF3">
        <w:t>to</w:t>
      </w:r>
      <w:r w:rsidRPr="008714EF" w:rsidR="007D7BF3">
        <w:rPr>
          <w:spacing w:val="-4"/>
        </w:rPr>
        <w:t xml:space="preserve"> </w:t>
      </w:r>
      <w:r w:rsidRPr="008714EF" w:rsidR="007D7BF3">
        <w:t>that notice and describe actions taken in response to the comments. Specifically address comments received on cost and hour burden.</w:t>
      </w:r>
    </w:p>
    <w:p w:rsidR="00C44B6E" w:rsidRPr="008714EF" w:rsidP="00C44B6E" w14:paraId="5551DE2F" w14:textId="77777777"/>
    <w:p w:rsidR="006B5715" w:rsidRPr="008714EF" w:rsidP="00B803CA" w14:paraId="3126EE36" w14:textId="31F66A1E">
      <w:pPr>
        <w:pStyle w:val="Heading2"/>
      </w:pPr>
      <w:r w:rsidRPr="008714EF">
        <w:t>Describe</w:t>
      </w:r>
      <w:r w:rsidRPr="008714EF">
        <w:rPr>
          <w:spacing w:val="-3"/>
        </w:rPr>
        <w:t xml:space="preserve"> </w:t>
      </w:r>
      <w:r w:rsidRPr="008714EF">
        <w:t>efforts</w:t>
      </w:r>
      <w:r w:rsidRPr="008714EF">
        <w:rPr>
          <w:spacing w:val="-3"/>
        </w:rPr>
        <w:t xml:space="preserve"> </w:t>
      </w:r>
      <w:r w:rsidRPr="008714EF">
        <w:t>to</w:t>
      </w:r>
      <w:r w:rsidRPr="008714EF">
        <w:rPr>
          <w:spacing w:val="-3"/>
        </w:rPr>
        <w:t xml:space="preserve"> </w:t>
      </w:r>
      <w:r w:rsidRPr="008714EF">
        <w:t>consult</w:t>
      </w:r>
      <w:r w:rsidRPr="008714EF">
        <w:rPr>
          <w:spacing w:val="-3"/>
        </w:rPr>
        <w:t xml:space="preserve"> </w:t>
      </w:r>
      <w:r w:rsidRPr="008714EF">
        <w:t>with</w:t>
      </w:r>
      <w:r w:rsidRPr="008714EF">
        <w:rPr>
          <w:spacing w:val="-3"/>
        </w:rPr>
        <w:t xml:space="preserve"> </w:t>
      </w:r>
      <w:r w:rsidRPr="008714EF">
        <w:t>persons</w:t>
      </w:r>
      <w:r w:rsidRPr="008714EF">
        <w:rPr>
          <w:spacing w:val="-3"/>
        </w:rPr>
        <w:t xml:space="preserve"> </w:t>
      </w:r>
      <w:r w:rsidRPr="008714EF">
        <w:t>outside</w:t>
      </w:r>
      <w:r w:rsidRPr="008714EF">
        <w:rPr>
          <w:spacing w:val="-3"/>
        </w:rPr>
        <w:t xml:space="preserve"> </w:t>
      </w:r>
      <w:r w:rsidRPr="008714EF">
        <w:t>EPA</w:t>
      </w:r>
      <w:r w:rsidRPr="008714EF">
        <w:rPr>
          <w:spacing w:val="-6"/>
        </w:rPr>
        <w:t xml:space="preserve"> </w:t>
      </w:r>
      <w:r w:rsidRPr="008714EF">
        <w:t>to</w:t>
      </w:r>
      <w:r w:rsidRPr="008714EF">
        <w:rPr>
          <w:spacing w:val="-3"/>
        </w:rPr>
        <w:t xml:space="preserve"> </w:t>
      </w:r>
      <w:r w:rsidRPr="008714EF">
        <w:t>obtain</w:t>
      </w:r>
      <w:r w:rsidRPr="008714EF">
        <w:rPr>
          <w:spacing w:val="-3"/>
        </w:rPr>
        <w:t xml:space="preserve"> </w:t>
      </w:r>
      <w:r w:rsidRPr="008714EF">
        <w:t>their</w:t>
      </w:r>
      <w:r w:rsidRPr="008714EF">
        <w:rPr>
          <w:spacing w:val="-3"/>
        </w:rPr>
        <w:t xml:space="preserve"> </w:t>
      </w:r>
      <w:r w:rsidRPr="008714EF">
        <w:t>views</w:t>
      </w:r>
      <w:r w:rsidRPr="008714EF">
        <w:rPr>
          <w:spacing w:val="-3"/>
        </w:rPr>
        <w:t xml:space="preserve"> </w:t>
      </w:r>
      <w:r w:rsidRPr="008714EF">
        <w:t>on the availability of data, frequency of collection, the clarity of instructions and recordkeeping, disclosure, or reporting format (if any), and on the data elements to be recorded, disclosed, or reported.</w:t>
      </w:r>
    </w:p>
    <w:p w:rsidR="00C44B6E" w:rsidRPr="008714EF" w:rsidP="00C44B6E" w14:paraId="7640DB3C" w14:textId="77777777"/>
    <w:p w:rsidR="006B5715" w:rsidRPr="008714EF" w:rsidP="00B803CA" w14:paraId="3126EE37" w14:textId="40C59062">
      <w:pPr>
        <w:pStyle w:val="Heading2"/>
      </w:pPr>
      <w:r w:rsidRPr="008714EF">
        <w:t>Consultation with representatives of those from whom information is to be obtained</w:t>
      </w:r>
      <w:r w:rsidRPr="008714EF">
        <w:rPr>
          <w:spacing w:val="-4"/>
        </w:rPr>
        <w:t xml:space="preserve"> </w:t>
      </w:r>
      <w:r w:rsidRPr="008714EF">
        <w:t>or</w:t>
      </w:r>
      <w:r w:rsidRPr="008714EF">
        <w:rPr>
          <w:spacing w:val="-4"/>
        </w:rPr>
        <w:t xml:space="preserve"> </w:t>
      </w:r>
      <w:r w:rsidRPr="008714EF">
        <w:t>those</w:t>
      </w:r>
      <w:r w:rsidRPr="008714EF">
        <w:rPr>
          <w:spacing w:val="-4"/>
        </w:rPr>
        <w:t xml:space="preserve"> </w:t>
      </w:r>
      <w:r w:rsidRPr="008714EF">
        <w:t>who</w:t>
      </w:r>
      <w:r w:rsidRPr="008714EF">
        <w:rPr>
          <w:spacing w:val="-4"/>
        </w:rPr>
        <w:t xml:space="preserve"> </w:t>
      </w:r>
      <w:r w:rsidRPr="008714EF">
        <w:t>must</w:t>
      </w:r>
      <w:r w:rsidRPr="008714EF">
        <w:rPr>
          <w:spacing w:val="-4"/>
        </w:rPr>
        <w:t xml:space="preserve"> </w:t>
      </w:r>
      <w:r w:rsidRPr="008714EF">
        <w:t>compile</w:t>
      </w:r>
      <w:r w:rsidRPr="008714EF">
        <w:rPr>
          <w:spacing w:val="-4"/>
        </w:rPr>
        <w:t xml:space="preserve"> </w:t>
      </w:r>
      <w:r w:rsidRPr="008714EF">
        <w:t>records</w:t>
      </w:r>
      <w:r w:rsidRPr="008714EF">
        <w:rPr>
          <w:spacing w:val="-4"/>
        </w:rPr>
        <w:t xml:space="preserve"> </w:t>
      </w:r>
      <w:r w:rsidRPr="008714EF">
        <w:t>should</w:t>
      </w:r>
      <w:r w:rsidRPr="008714EF">
        <w:rPr>
          <w:spacing w:val="-4"/>
        </w:rPr>
        <w:t xml:space="preserve"> </w:t>
      </w:r>
      <w:r w:rsidRPr="008714EF">
        <w:t>occur</w:t>
      </w:r>
      <w:r w:rsidRPr="008714EF">
        <w:rPr>
          <w:spacing w:val="-4"/>
        </w:rPr>
        <w:t xml:space="preserve"> </w:t>
      </w:r>
      <w:r w:rsidRPr="008714EF">
        <w:t>at</w:t>
      </w:r>
      <w:r w:rsidRPr="008714EF">
        <w:rPr>
          <w:spacing w:val="-4"/>
        </w:rPr>
        <w:t xml:space="preserve"> </w:t>
      </w:r>
      <w:r w:rsidRPr="008714EF">
        <w:t>least</w:t>
      </w:r>
      <w:r w:rsidRPr="008714EF">
        <w:rPr>
          <w:spacing w:val="-4"/>
        </w:rPr>
        <w:t xml:space="preserve"> </w:t>
      </w:r>
      <w:r w:rsidRPr="008714EF">
        <w:t>once</w:t>
      </w:r>
      <w:r w:rsidRPr="008714EF">
        <w:rPr>
          <w:spacing w:val="-4"/>
        </w:rPr>
        <w:t xml:space="preserve"> </w:t>
      </w:r>
      <w:r w:rsidRPr="008714EF">
        <w:t>every 3 years - even if the collection of information activity is the same as in prior periods. There may be circumstances that may preclude consultation in a specific situation. These circumstances should be explained.</w:t>
      </w:r>
    </w:p>
    <w:p w:rsidR="006B5715" w:rsidRPr="008714EF" w:rsidP="00FA754F" w14:paraId="3126EE38" w14:textId="2A9F218C">
      <w:pPr>
        <w:pStyle w:val="BodyText"/>
        <w:spacing w:before="200" w:after="240"/>
        <w:ind w:left="280" w:right="1048"/>
      </w:pPr>
      <w:r w:rsidRPr="008714EF">
        <w:t xml:space="preserve">The proposed rulemaking serves as the public notice for this ICR. Interested parties </w:t>
      </w:r>
      <w:r w:rsidRPr="008714EF">
        <w:t>should submit comments referencing Docket ID No. EPA-HQ-OPPT-</w:t>
      </w:r>
      <w:r w:rsidRPr="008714EF" w:rsidR="00F57DA1">
        <w:t>2020-</w:t>
      </w:r>
      <w:r w:rsidRPr="008714EF" w:rsidR="00F358EF">
        <w:rPr>
          <w:spacing w:val="-4"/>
        </w:rPr>
        <w:t>0642</w:t>
      </w:r>
      <w:r w:rsidRPr="008714EF" w:rsidR="00F57DA1">
        <w:rPr>
          <w:spacing w:val="-4"/>
        </w:rPr>
        <w:t xml:space="preserve"> </w:t>
      </w:r>
      <w:r w:rsidRPr="008714EF">
        <w:t>to</w:t>
      </w:r>
      <w:r w:rsidRPr="008714EF">
        <w:rPr>
          <w:spacing w:val="-4"/>
        </w:rPr>
        <w:t xml:space="preserve"> </w:t>
      </w:r>
      <w:r w:rsidRPr="008714EF">
        <w:t>the</w:t>
      </w:r>
      <w:r w:rsidRPr="008714EF">
        <w:rPr>
          <w:spacing w:val="-4"/>
        </w:rPr>
        <w:t xml:space="preserve"> </w:t>
      </w:r>
      <w:r w:rsidRPr="008714EF">
        <w:t>address listed</w:t>
      </w:r>
      <w:r w:rsidRPr="008714EF">
        <w:rPr>
          <w:spacing w:val="-4"/>
        </w:rPr>
        <w:t xml:space="preserve"> </w:t>
      </w:r>
      <w:r w:rsidRPr="008714EF">
        <w:t>at</w:t>
      </w:r>
      <w:r w:rsidRPr="008714EF">
        <w:rPr>
          <w:spacing w:val="-4"/>
        </w:rPr>
        <w:t xml:space="preserve"> </w:t>
      </w:r>
      <w:r w:rsidRPr="008714EF">
        <w:t>the</w:t>
      </w:r>
      <w:r w:rsidRPr="008714EF">
        <w:rPr>
          <w:spacing w:val="-4"/>
        </w:rPr>
        <w:t xml:space="preserve"> </w:t>
      </w:r>
      <w:r w:rsidRPr="008714EF">
        <w:t>end</w:t>
      </w:r>
      <w:r w:rsidRPr="008714EF">
        <w:rPr>
          <w:spacing w:val="-4"/>
        </w:rPr>
        <w:t xml:space="preserve"> </w:t>
      </w:r>
      <w:r w:rsidRPr="008714EF">
        <w:t>of</w:t>
      </w:r>
      <w:r w:rsidRPr="008714EF">
        <w:rPr>
          <w:spacing w:val="-4"/>
        </w:rPr>
        <w:t xml:space="preserve"> </w:t>
      </w:r>
      <w:r w:rsidRPr="008714EF">
        <w:t>this</w:t>
      </w:r>
      <w:r w:rsidRPr="008714EF">
        <w:rPr>
          <w:spacing w:val="-4"/>
        </w:rPr>
        <w:t xml:space="preserve"> </w:t>
      </w:r>
      <w:r w:rsidRPr="008714EF">
        <w:t>document.</w:t>
      </w:r>
      <w:r w:rsidRPr="008714EF">
        <w:rPr>
          <w:spacing w:val="-4"/>
        </w:rPr>
        <w:t xml:space="preserve"> </w:t>
      </w:r>
      <w:r w:rsidRPr="008714EF" w:rsidR="006D0FB7">
        <w:rPr>
          <w:spacing w:val="-4"/>
        </w:rPr>
        <w:t xml:space="preserve">EPA will address any comments received from OMB or the public concerning the information collection activities contained in the rule, and the agency’s response, when developing the final rule. </w:t>
      </w:r>
    </w:p>
    <w:p w:rsidR="007922F5" w:rsidRPr="008714EF" w:rsidP="007922F5" w14:paraId="7EE7076C" w14:textId="09C1A7F7">
      <w:pPr>
        <w:pStyle w:val="BodyText"/>
        <w:spacing w:before="201" w:after="240"/>
        <w:ind w:left="280" w:right="749"/>
      </w:pPr>
      <w:r w:rsidRPr="008714EF">
        <w:t xml:space="preserve">EPA has engaged in significant consultation and outreach with the regulated community and other affected entities during development of the proposed rulemaking. Key opportunities to obtain public input on the availability and type of data that should be required, frequency of monitoring, and methods for carrying out downstream notification include the outreach meetings with small entity representatives held as part of the Small Business Advocacy Review (SBAR) Panel; presentations to small business stakeholders and the general public in </w:t>
      </w:r>
      <w:r w:rsidRPr="008714EF" w:rsidR="003E1301">
        <w:t>December</w:t>
      </w:r>
      <w:r w:rsidRPr="008714EF">
        <w:t xml:space="preserve"> 202</w:t>
      </w:r>
      <w:r w:rsidRPr="008714EF" w:rsidR="00A80D9A">
        <w:t>0</w:t>
      </w:r>
      <w:r w:rsidRPr="008714EF">
        <w:t xml:space="preserve">; and discussions with representatives from different industries, non-governmental organizations, technical experts and users of </w:t>
      </w:r>
      <w:r w:rsidRPr="008714EF" w:rsidR="00DE693E">
        <w:t>T</w:t>
      </w:r>
      <w:r w:rsidRPr="008714EF" w:rsidR="00251A77">
        <w:t>CE</w:t>
      </w:r>
      <w:r w:rsidRPr="008714EF">
        <w:t xml:space="preserve">. A list of external meetings held during the development of this proposed rule is in the docket. The purpose of these discussions was to create awareness and educate stakeholders and regulated entities on the provisions for risk management required under section 6(a) of TSCA; obtain input from manufacturers, processors, distributors, users, academics, advisory councils, and members of the public health community about uses of </w:t>
      </w:r>
      <w:r w:rsidRPr="008714EF" w:rsidR="00DE693E">
        <w:t>T</w:t>
      </w:r>
      <w:r w:rsidRPr="008714EF" w:rsidR="000F2B41">
        <w:t>CE</w:t>
      </w:r>
      <w:r w:rsidRPr="008714EF">
        <w:t xml:space="preserve">; identify workplace practices, engineering controls, administrative controls, PPE, and industrial hygiene plans currently in use or feasibly adoptable to reduce exposure to </w:t>
      </w:r>
      <w:r w:rsidRPr="008714EF" w:rsidR="00DE693E">
        <w:t>T</w:t>
      </w:r>
      <w:r w:rsidRPr="008714EF" w:rsidR="00D953D4">
        <w:t>CE</w:t>
      </w:r>
      <w:r w:rsidRPr="008714EF">
        <w:t xml:space="preserve"> under the conditions of use; generate potential risk reduction strategies; and understand the type of recordkeeping, notifications, and reporting already ongoing</w:t>
      </w:r>
      <w:r w:rsidRPr="008714EF" w:rsidR="002A2018">
        <w:t xml:space="preserve"> (</w:t>
      </w:r>
      <w:r w:rsidRPr="008714EF" w:rsidR="002A2018">
        <w:rPr>
          <w:b/>
          <w:bCs/>
        </w:rPr>
        <w:t>Attachment 4</w:t>
      </w:r>
      <w:r w:rsidRPr="008714EF" w:rsidR="002A2018">
        <w:t>)</w:t>
      </w:r>
      <w:r w:rsidRPr="008714EF">
        <w:t xml:space="preserve">. </w:t>
      </w:r>
    </w:p>
    <w:p w:rsidR="006B5715" w:rsidRPr="008714EF" w:rsidP="00B803CA" w14:paraId="3126EE39" w14:textId="1762AF0B">
      <w:pPr>
        <w:pStyle w:val="Heading2"/>
      </w:pPr>
      <w:r w:rsidRPr="008714EF">
        <w:t xml:space="preserve">9. </w:t>
      </w:r>
      <w:r w:rsidRPr="008714EF" w:rsidR="007D7BF3">
        <w:t>Explain</w:t>
      </w:r>
      <w:r w:rsidRPr="008714EF" w:rsidR="007D7BF3">
        <w:rPr>
          <w:spacing w:val="-3"/>
        </w:rPr>
        <w:t xml:space="preserve"> </w:t>
      </w:r>
      <w:r w:rsidRPr="008714EF" w:rsidR="007D7BF3">
        <w:t>any</w:t>
      </w:r>
      <w:r w:rsidRPr="008714EF" w:rsidR="007D7BF3">
        <w:rPr>
          <w:spacing w:val="-3"/>
        </w:rPr>
        <w:t xml:space="preserve"> </w:t>
      </w:r>
      <w:r w:rsidRPr="008714EF" w:rsidR="007D7BF3">
        <w:t>decision</w:t>
      </w:r>
      <w:r w:rsidRPr="008714EF" w:rsidR="007D7BF3">
        <w:rPr>
          <w:spacing w:val="-3"/>
        </w:rPr>
        <w:t xml:space="preserve"> </w:t>
      </w:r>
      <w:r w:rsidRPr="008714EF" w:rsidR="007D7BF3">
        <w:t>to</w:t>
      </w:r>
      <w:r w:rsidRPr="008714EF" w:rsidR="007D7BF3">
        <w:rPr>
          <w:spacing w:val="-3"/>
        </w:rPr>
        <w:t xml:space="preserve"> </w:t>
      </w:r>
      <w:r w:rsidRPr="008714EF" w:rsidR="007D7BF3">
        <w:t>provide</w:t>
      </w:r>
      <w:r w:rsidRPr="008714EF" w:rsidR="007D7BF3">
        <w:rPr>
          <w:spacing w:val="-4"/>
        </w:rPr>
        <w:t xml:space="preserve"> </w:t>
      </w:r>
      <w:r w:rsidRPr="008714EF" w:rsidR="007D7BF3">
        <w:t>any</w:t>
      </w:r>
      <w:r w:rsidRPr="008714EF" w:rsidR="007D7BF3">
        <w:rPr>
          <w:spacing w:val="-3"/>
        </w:rPr>
        <w:t xml:space="preserve"> </w:t>
      </w:r>
      <w:r w:rsidRPr="008714EF" w:rsidR="007D7BF3">
        <w:t>payment</w:t>
      </w:r>
      <w:r w:rsidRPr="008714EF" w:rsidR="007D7BF3">
        <w:rPr>
          <w:spacing w:val="-3"/>
        </w:rPr>
        <w:t xml:space="preserve"> </w:t>
      </w:r>
      <w:r w:rsidRPr="008714EF" w:rsidR="007D7BF3">
        <w:t>or</w:t>
      </w:r>
      <w:r w:rsidRPr="008714EF" w:rsidR="007D7BF3">
        <w:rPr>
          <w:spacing w:val="-3"/>
        </w:rPr>
        <w:t xml:space="preserve"> </w:t>
      </w:r>
      <w:r w:rsidRPr="008714EF" w:rsidR="007D7BF3">
        <w:t>gift</w:t>
      </w:r>
      <w:r w:rsidRPr="008714EF" w:rsidR="007D7BF3">
        <w:rPr>
          <w:spacing w:val="-3"/>
        </w:rPr>
        <w:t xml:space="preserve"> </w:t>
      </w:r>
      <w:r w:rsidRPr="008714EF" w:rsidR="007D7BF3">
        <w:t>to</w:t>
      </w:r>
      <w:r w:rsidRPr="008714EF" w:rsidR="007D7BF3">
        <w:rPr>
          <w:spacing w:val="-3"/>
        </w:rPr>
        <w:t xml:space="preserve"> </w:t>
      </w:r>
      <w:r w:rsidRPr="008714EF" w:rsidR="007D7BF3">
        <w:t>respondents,</w:t>
      </w:r>
      <w:r w:rsidRPr="008714EF" w:rsidR="007D7BF3">
        <w:rPr>
          <w:spacing w:val="-3"/>
        </w:rPr>
        <w:t xml:space="preserve"> </w:t>
      </w:r>
      <w:r w:rsidRPr="008714EF" w:rsidR="007D7BF3">
        <w:t>other</w:t>
      </w:r>
      <w:r w:rsidRPr="008714EF" w:rsidR="007D7BF3">
        <w:rPr>
          <w:spacing w:val="-3"/>
        </w:rPr>
        <w:t xml:space="preserve"> </w:t>
      </w:r>
      <w:r w:rsidRPr="008714EF" w:rsidR="007D7BF3">
        <w:t>than remuneration of contractors or grantees.</w:t>
      </w:r>
    </w:p>
    <w:p w:rsidR="006B5715" w:rsidRPr="008714EF" w:rsidP="0092604C" w14:paraId="3126EE3A" w14:textId="77777777">
      <w:pPr>
        <w:pStyle w:val="BodyText"/>
        <w:spacing w:before="200" w:after="240"/>
        <w:ind w:left="179"/>
      </w:pPr>
      <w:r w:rsidRPr="008714EF">
        <w:t>This</w:t>
      </w:r>
      <w:r w:rsidRPr="008714EF">
        <w:rPr>
          <w:spacing w:val="-4"/>
        </w:rPr>
        <w:t xml:space="preserve"> </w:t>
      </w:r>
      <w:r w:rsidRPr="008714EF">
        <w:t>collection</w:t>
      </w:r>
      <w:r w:rsidRPr="008714EF">
        <w:rPr>
          <w:spacing w:val="-3"/>
        </w:rPr>
        <w:t xml:space="preserve"> </w:t>
      </w:r>
      <w:r w:rsidRPr="008714EF">
        <w:t>does</w:t>
      </w:r>
      <w:r w:rsidRPr="008714EF">
        <w:rPr>
          <w:spacing w:val="-4"/>
        </w:rPr>
        <w:t xml:space="preserve"> </w:t>
      </w:r>
      <w:r w:rsidRPr="008714EF">
        <w:t>not</w:t>
      </w:r>
      <w:r w:rsidRPr="008714EF">
        <w:rPr>
          <w:spacing w:val="-3"/>
        </w:rPr>
        <w:t xml:space="preserve"> </w:t>
      </w:r>
      <w:r w:rsidRPr="008714EF">
        <w:t>provide</w:t>
      </w:r>
      <w:r w:rsidRPr="008714EF">
        <w:rPr>
          <w:spacing w:val="-4"/>
        </w:rPr>
        <w:t xml:space="preserve"> </w:t>
      </w:r>
      <w:r w:rsidRPr="008714EF">
        <w:t>any</w:t>
      </w:r>
      <w:r w:rsidRPr="008714EF">
        <w:rPr>
          <w:spacing w:val="-3"/>
        </w:rPr>
        <w:t xml:space="preserve"> </w:t>
      </w:r>
      <w:r w:rsidRPr="008714EF">
        <w:t>payment</w:t>
      </w:r>
      <w:r w:rsidRPr="008714EF">
        <w:rPr>
          <w:spacing w:val="-4"/>
        </w:rPr>
        <w:t xml:space="preserve"> </w:t>
      </w:r>
      <w:r w:rsidRPr="008714EF">
        <w:t>or</w:t>
      </w:r>
      <w:r w:rsidRPr="008714EF">
        <w:rPr>
          <w:spacing w:val="-3"/>
        </w:rPr>
        <w:t xml:space="preserve"> </w:t>
      </w:r>
      <w:r w:rsidRPr="008714EF">
        <w:t>gift</w:t>
      </w:r>
      <w:r w:rsidRPr="008714EF">
        <w:rPr>
          <w:spacing w:val="-4"/>
        </w:rPr>
        <w:t xml:space="preserve"> </w:t>
      </w:r>
      <w:r w:rsidRPr="008714EF">
        <w:t>to</w:t>
      </w:r>
      <w:r w:rsidRPr="008714EF">
        <w:rPr>
          <w:spacing w:val="-3"/>
        </w:rPr>
        <w:t xml:space="preserve"> </w:t>
      </w:r>
      <w:r w:rsidRPr="008714EF">
        <w:rPr>
          <w:spacing w:val="-2"/>
        </w:rPr>
        <w:t>respondents.</w:t>
      </w:r>
    </w:p>
    <w:p w:rsidR="006B5715" w:rsidRPr="008714EF" w:rsidP="00B803CA" w14:paraId="3126EE3C" w14:textId="38CC839A">
      <w:pPr>
        <w:pStyle w:val="Heading2"/>
      </w:pPr>
      <w:r w:rsidRPr="008714EF">
        <w:t xml:space="preserve">10. </w:t>
      </w:r>
      <w:r w:rsidRPr="008714EF" w:rsidR="007D7BF3">
        <w:t>Describe</w:t>
      </w:r>
      <w:r w:rsidRPr="008714EF" w:rsidR="007D7BF3">
        <w:rPr>
          <w:spacing w:val="-5"/>
        </w:rPr>
        <w:t xml:space="preserve"> </w:t>
      </w:r>
      <w:r w:rsidRPr="008714EF" w:rsidR="007D7BF3">
        <w:t>any</w:t>
      </w:r>
      <w:r w:rsidRPr="008714EF" w:rsidR="007D7BF3">
        <w:rPr>
          <w:spacing w:val="-5"/>
        </w:rPr>
        <w:t xml:space="preserve"> </w:t>
      </w:r>
      <w:r w:rsidRPr="008714EF" w:rsidR="007D7BF3">
        <w:t>assurance</w:t>
      </w:r>
      <w:r w:rsidRPr="008714EF" w:rsidR="007D7BF3">
        <w:rPr>
          <w:spacing w:val="-5"/>
        </w:rPr>
        <w:t xml:space="preserve"> </w:t>
      </w:r>
      <w:r w:rsidRPr="008714EF" w:rsidR="007D7BF3">
        <w:t>of</w:t>
      </w:r>
      <w:r w:rsidRPr="008714EF" w:rsidR="007D7BF3">
        <w:rPr>
          <w:spacing w:val="-5"/>
        </w:rPr>
        <w:t xml:space="preserve"> </w:t>
      </w:r>
      <w:r w:rsidRPr="008714EF" w:rsidR="007D7BF3">
        <w:t>confidentiality</w:t>
      </w:r>
      <w:r w:rsidRPr="008714EF" w:rsidR="007D7BF3">
        <w:rPr>
          <w:spacing w:val="-6"/>
        </w:rPr>
        <w:t xml:space="preserve"> </w:t>
      </w:r>
      <w:r w:rsidRPr="008714EF" w:rsidR="007D7BF3">
        <w:t>provided</w:t>
      </w:r>
      <w:r w:rsidRPr="008714EF" w:rsidR="007D7BF3">
        <w:rPr>
          <w:spacing w:val="-5"/>
        </w:rPr>
        <w:t xml:space="preserve"> </w:t>
      </w:r>
      <w:r w:rsidRPr="008714EF" w:rsidR="007D7BF3">
        <w:t>to</w:t>
      </w:r>
      <w:r w:rsidRPr="008714EF" w:rsidR="007D7BF3">
        <w:rPr>
          <w:spacing w:val="-5"/>
        </w:rPr>
        <w:t xml:space="preserve"> </w:t>
      </w:r>
      <w:r w:rsidRPr="008714EF" w:rsidR="007D7BF3">
        <w:t>respondents</w:t>
      </w:r>
      <w:r w:rsidRPr="008714EF" w:rsidR="007D7BF3">
        <w:rPr>
          <w:spacing w:val="-5"/>
        </w:rPr>
        <w:t xml:space="preserve"> </w:t>
      </w:r>
      <w:r w:rsidRPr="008714EF" w:rsidR="007D7BF3">
        <w:t>and</w:t>
      </w:r>
      <w:r w:rsidRPr="008714EF" w:rsidR="007D7BF3">
        <w:rPr>
          <w:spacing w:val="-5"/>
        </w:rPr>
        <w:t xml:space="preserve"> </w:t>
      </w:r>
      <w:r w:rsidRPr="008714EF" w:rsidR="007D7BF3">
        <w:t>the basis for the assurance in statute, regulation, or agency policy. If the collection requires a systems of records notice (SORN) or privacy impact assessment (PIA), those should be cited and described here.</w:t>
      </w:r>
    </w:p>
    <w:p w:rsidR="006B5715" w:rsidRPr="008714EF" w:rsidP="0092604C" w14:paraId="3126EE3D" w14:textId="77777777">
      <w:pPr>
        <w:pStyle w:val="BodyText"/>
        <w:spacing w:before="200" w:after="240"/>
        <w:ind w:left="112" w:right="843"/>
      </w:pPr>
      <w:r w:rsidRPr="008714EF">
        <w:t>EPA</w:t>
      </w:r>
      <w:r w:rsidRPr="008714EF">
        <w:rPr>
          <w:spacing w:val="-4"/>
        </w:rPr>
        <w:t xml:space="preserve"> </w:t>
      </w:r>
      <w:r w:rsidRPr="008714EF">
        <w:t>will</w:t>
      </w:r>
      <w:r w:rsidRPr="008714EF">
        <w:rPr>
          <w:spacing w:val="-4"/>
        </w:rPr>
        <w:t xml:space="preserve"> </w:t>
      </w:r>
      <w:r w:rsidRPr="008714EF">
        <w:t>not</w:t>
      </w:r>
      <w:r w:rsidRPr="008714EF">
        <w:rPr>
          <w:spacing w:val="-4"/>
        </w:rPr>
        <w:t xml:space="preserve"> </w:t>
      </w:r>
      <w:r w:rsidRPr="008714EF">
        <w:t>be</w:t>
      </w:r>
      <w:r w:rsidRPr="008714EF">
        <w:rPr>
          <w:spacing w:val="-4"/>
        </w:rPr>
        <w:t xml:space="preserve"> </w:t>
      </w:r>
      <w:r w:rsidRPr="008714EF">
        <w:t>collecting</w:t>
      </w:r>
      <w:r w:rsidRPr="008714EF">
        <w:rPr>
          <w:spacing w:val="-4"/>
        </w:rPr>
        <w:t xml:space="preserve"> </w:t>
      </w:r>
      <w:r w:rsidRPr="008714EF">
        <w:t>any</w:t>
      </w:r>
      <w:r w:rsidRPr="008714EF">
        <w:rPr>
          <w:spacing w:val="-4"/>
        </w:rPr>
        <w:t xml:space="preserve"> </w:t>
      </w:r>
      <w:r w:rsidRPr="008714EF">
        <w:t>information.</w:t>
      </w:r>
      <w:r w:rsidRPr="008714EF">
        <w:rPr>
          <w:spacing w:val="-4"/>
        </w:rPr>
        <w:t xml:space="preserve"> </w:t>
      </w:r>
      <w:r w:rsidRPr="008714EF">
        <w:t>Therefore,</w:t>
      </w:r>
      <w:r w:rsidRPr="008714EF">
        <w:rPr>
          <w:spacing w:val="-4"/>
        </w:rPr>
        <w:t xml:space="preserve"> </w:t>
      </w:r>
      <w:r w:rsidRPr="008714EF">
        <w:t>confidential</w:t>
      </w:r>
      <w:r w:rsidRPr="008714EF">
        <w:rPr>
          <w:spacing w:val="-5"/>
        </w:rPr>
        <w:t xml:space="preserve"> </w:t>
      </w:r>
      <w:r w:rsidRPr="008714EF">
        <w:t>information</w:t>
      </w:r>
      <w:r w:rsidRPr="008714EF">
        <w:rPr>
          <w:spacing w:val="-4"/>
        </w:rPr>
        <w:t xml:space="preserve"> </w:t>
      </w:r>
      <w:r w:rsidRPr="008714EF">
        <w:t>will</w:t>
      </w:r>
      <w:r w:rsidRPr="008714EF">
        <w:rPr>
          <w:spacing w:val="-5"/>
        </w:rPr>
        <w:t xml:space="preserve"> </w:t>
      </w:r>
      <w:r w:rsidRPr="008714EF">
        <w:t>not be submitted to EPA.</w:t>
      </w:r>
    </w:p>
    <w:p w:rsidR="006B5715" w:rsidRPr="008714EF" w:rsidP="00B803CA" w14:paraId="3126EE40" w14:textId="0331B0C3">
      <w:pPr>
        <w:pStyle w:val="Heading2"/>
      </w:pPr>
      <w:r w:rsidRPr="008714EF">
        <w:t xml:space="preserve">11. </w:t>
      </w:r>
      <w:r w:rsidRPr="008714EF" w:rsidR="007D7BF3">
        <w:t>Provide</w:t>
      </w:r>
      <w:r w:rsidRPr="008714EF" w:rsidR="007D7BF3">
        <w:rPr>
          <w:spacing w:val="-4"/>
        </w:rPr>
        <w:t xml:space="preserve"> </w:t>
      </w:r>
      <w:r w:rsidRPr="008714EF" w:rsidR="007D7BF3">
        <w:t>additional</w:t>
      </w:r>
      <w:r w:rsidRPr="008714EF" w:rsidR="007D7BF3">
        <w:rPr>
          <w:spacing w:val="-5"/>
        </w:rPr>
        <w:t xml:space="preserve"> </w:t>
      </w:r>
      <w:r w:rsidRPr="008714EF" w:rsidR="007D7BF3">
        <w:t>justification</w:t>
      </w:r>
      <w:r w:rsidRPr="008714EF" w:rsidR="007D7BF3">
        <w:rPr>
          <w:spacing w:val="-4"/>
        </w:rPr>
        <w:t xml:space="preserve"> </w:t>
      </w:r>
      <w:r w:rsidRPr="008714EF" w:rsidR="007D7BF3">
        <w:t>for</w:t>
      </w:r>
      <w:r w:rsidRPr="008714EF" w:rsidR="007D7BF3">
        <w:rPr>
          <w:spacing w:val="-4"/>
        </w:rPr>
        <w:t xml:space="preserve"> </w:t>
      </w:r>
      <w:r w:rsidRPr="008714EF" w:rsidR="007D7BF3">
        <w:t>any</w:t>
      </w:r>
      <w:r w:rsidRPr="008714EF" w:rsidR="007D7BF3">
        <w:rPr>
          <w:spacing w:val="-4"/>
        </w:rPr>
        <w:t xml:space="preserve"> </w:t>
      </w:r>
      <w:r w:rsidRPr="008714EF" w:rsidR="007D7BF3">
        <w:t>questions</w:t>
      </w:r>
      <w:r w:rsidRPr="008714EF" w:rsidR="007D7BF3">
        <w:rPr>
          <w:spacing w:val="-4"/>
        </w:rPr>
        <w:t xml:space="preserve"> </w:t>
      </w:r>
      <w:r w:rsidRPr="008714EF" w:rsidR="007D7BF3">
        <w:t>of</w:t>
      </w:r>
      <w:r w:rsidRPr="008714EF" w:rsidR="007D7BF3">
        <w:rPr>
          <w:spacing w:val="-5"/>
        </w:rPr>
        <w:t xml:space="preserve"> </w:t>
      </w:r>
      <w:r w:rsidRPr="008714EF" w:rsidR="007D7BF3">
        <w:t>a</w:t>
      </w:r>
      <w:r w:rsidRPr="008714EF" w:rsidR="007D7BF3">
        <w:rPr>
          <w:spacing w:val="-4"/>
        </w:rPr>
        <w:t xml:space="preserve"> </w:t>
      </w:r>
      <w:r w:rsidRPr="008714EF" w:rsidR="007D7BF3">
        <w:t>sensitive</w:t>
      </w:r>
      <w:r w:rsidRPr="008714EF" w:rsidR="007D7BF3">
        <w:rPr>
          <w:spacing w:val="-4"/>
        </w:rPr>
        <w:t xml:space="preserve"> </w:t>
      </w:r>
      <w:r w:rsidRPr="008714EF" w:rsidR="007D7BF3">
        <w:t>nature,</w:t>
      </w:r>
      <w:r w:rsidRPr="008714EF" w:rsidR="007D7BF3">
        <w:rPr>
          <w:spacing w:val="-4"/>
        </w:rPr>
        <w:t xml:space="preserve"> </w:t>
      </w:r>
      <w:r w:rsidRPr="008714EF" w:rsidR="007D7BF3">
        <w:t>such</w:t>
      </w:r>
      <w:r w:rsidRPr="008714EF" w:rsidR="007D7BF3">
        <w:rPr>
          <w:spacing w:val="-4"/>
        </w:rPr>
        <w:t xml:space="preserve"> </w:t>
      </w:r>
      <w:r w:rsidRPr="008714EF" w:rsidR="007D7BF3">
        <w:t>as sexual behavior and attitudes, religious beliefs, and other matters that are commonly considered private. This justification should include the reasons why the agency considers the questions necessary, the specific uses to be</w:t>
      </w:r>
      <w:r w:rsidRPr="008714EF" w:rsidR="00CA2040">
        <w:t xml:space="preserve"> </w:t>
      </w:r>
      <w:r w:rsidRPr="008714EF" w:rsidR="007D7BF3">
        <w:t>made</w:t>
      </w:r>
      <w:r w:rsidRPr="008714EF" w:rsidR="007D7BF3">
        <w:rPr>
          <w:spacing w:val="-3"/>
        </w:rPr>
        <w:t xml:space="preserve"> </w:t>
      </w:r>
      <w:r w:rsidRPr="008714EF" w:rsidR="007D7BF3">
        <w:t>of</w:t>
      </w:r>
      <w:r w:rsidRPr="008714EF" w:rsidR="007D7BF3">
        <w:rPr>
          <w:spacing w:val="-3"/>
        </w:rPr>
        <w:t xml:space="preserve"> </w:t>
      </w:r>
      <w:r w:rsidRPr="008714EF" w:rsidR="007D7BF3">
        <w:t>the</w:t>
      </w:r>
      <w:r w:rsidRPr="008714EF" w:rsidR="007D7BF3">
        <w:rPr>
          <w:spacing w:val="-3"/>
        </w:rPr>
        <w:t xml:space="preserve"> </w:t>
      </w:r>
      <w:r w:rsidRPr="008714EF" w:rsidR="007D7BF3">
        <w:t>information,</w:t>
      </w:r>
      <w:r w:rsidRPr="008714EF" w:rsidR="007D7BF3">
        <w:rPr>
          <w:spacing w:val="-3"/>
        </w:rPr>
        <w:t xml:space="preserve"> </w:t>
      </w:r>
      <w:r w:rsidRPr="008714EF" w:rsidR="007D7BF3">
        <w:t>the</w:t>
      </w:r>
      <w:r w:rsidRPr="008714EF" w:rsidR="007D7BF3">
        <w:rPr>
          <w:spacing w:val="-3"/>
        </w:rPr>
        <w:t xml:space="preserve"> </w:t>
      </w:r>
      <w:r w:rsidRPr="008714EF" w:rsidR="007D7BF3">
        <w:t>explanation</w:t>
      </w:r>
      <w:r w:rsidRPr="008714EF" w:rsidR="007D7BF3">
        <w:rPr>
          <w:spacing w:val="-3"/>
        </w:rPr>
        <w:t xml:space="preserve"> </w:t>
      </w:r>
      <w:r w:rsidRPr="008714EF" w:rsidR="007D7BF3">
        <w:t>to</w:t>
      </w:r>
      <w:r w:rsidRPr="008714EF" w:rsidR="007D7BF3">
        <w:rPr>
          <w:spacing w:val="-3"/>
        </w:rPr>
        <w:t xml:space="preserve"> </w:t>
      </w:r>
      <w:r w:rsidRPr="008714EF" w:rsidR="007D7BF3">
        <w:t>be</w:t>
      </w:r>
      <w:r w:rsidRPr="008714EF" w:rsidR="007D7BF3">
        <w:rPr>
          <w:spacing w:val="-3"/>
        </w:rPr>
        <w:t xml:space="preserve"> </w:t>
      </w:r>
      <w:r w:rsidRPr="008714EF" w:rsidR="007D7BF3">
        <w:t>given</w:t>
      </w:r>
      <w:r w:rsidRPr="008714EF" w:rsidR="007D7BF3">
        <w:rPr>
          <w:spacing w:val="-3"/>
        </w:rPr>
        <w:t xml:space="preserve"> </w:t>
      </w:r>
      <w:r w:rsidRPr="008714EF" w:rsidR="007D7BF3">
        <w:t>to</w:t>
      </w:r>
      <w:r w:rsidRPr="008714EF" w:rsidR="007D7BF3">
        <w:rPr>
          <w:spacing w:val="-3"/>
        </w:rPr>
        <w:t xml:space="preserve"> </w:t>
      </w:r>
      <w:r w:rsidRPr="008714EF" w:rsidR="007D7BF3">
        <w:t>persons</w:t>
      </w:r>
      <w:r w:rsidRPr="008714EF" w:rsidR="007D7BF3">
        <w:rPr>
          <w:spacing w:val="-3"/>
        </w:rPr>
        <w:t xml:space="preserve"> </w:t>
      </w:r>
      <w:r w:rsidRPr="008714EF" w:rsidR="007D7BF3">
        <w:t>from</w:t>
      </w:r>
      <w:r w:rsidRPr="008714EF" w:rsidR="007D7BF3">
        <w:rPr>
          <w:spacing w:val="-3"/>
        </w:rPr>
        <w:t xml:space="preserve"> </w:t>
      </w:r>
      <w:r w:rsidRPr="008714EF" w:rsidR="007D7BF3">
        <w:t xml:space="preserve">whom the information is requested, and any steps to be taken to obtain their </w:t>
      </w:r>
      <w:r w:rsidRPr="008714EF" w:rsidR="007D7BF3">
        <w:rPr>
          <w:spacing w:val="-2"/>
        </w:rPr>
        <w:t>consent.</w:t>
      </w:r>
    </w:p>
    <w:p w:rsidR="006B5715" w:rsidRPr="008714EF" w:rsidP="0092604C" w14:paraId="3126EE41" w14:textId="77777777">
      <w:pPr>
        <w:pStyle w:val="BodyText"/>
        <w:spacing w:before="201" w:after="240"/>
        <w:ind w:left="112"/>
      </w:pPr>
      <w:r w:rsidRPr="008714EF">
        <w:t>The</w:t>
      </w:r>
      <w:r w:rsidRPr="008714EF">
        <w:rPr>
          <w:spacing w:val="-7"/>
        </w:rPr>
        <w:t xml:space="preserve"> </w:t>
      </w:r>
      <w:r w:rsidRPr="008714EF">
        <w:t>information</w:t>
      </w:r>
      <w:r w:rsidRPr="008714EF">
        <w:rPr>
          <w:spacing w:val="-4"/>
        </w:rPr>
        <w:t xml:space="preserve"> </w:t>
      </w:r>
      <w:r w:rsidRPr="008714EF">
        <w:t>collection</w:t>
      </w:r>
      <w:r w:rsidRPr="008714EF">
        <w:rPr>
          <w:spacing w:val="-5"/>
        </w:rPr>
        <w:t xml:space="preserve"> </w:t>
      </w:r>
      <w:r w:rsidRPr="008714EF">
        <w:t>activities</w:t>
      </w:r>
      <w:r w:rsidRPr="008714EF">
        <w:rPr>
          <w:spacing w:val="-4"/>
        </w:rPr>
        <w:t xml:space="preserve"> </w:t>
      </w:r>
      <w:r w:rsidRPr="008714EF">
        <w:t>do</w:t>
      </w:r>
      <w:r w:rsidRPr="008714EF">
        <w:rPr>
          <w:spacing w:val="-5"/>
        </w:rPr>
        <w:t xml:space="preserve"> </w:t>
      </w:r>
      <w:r w:rsidRPr="008714EF">
        <w:t>not</w:t>
      </w:r>
      <w:r w:rsidRPr="008714EF">
        <w:rPr>
          <w:spacing w:val="-3"/>
        </w:rPr>
        <w:t xml:space="preserve"> </w:t>
      </w:r>
      <w:r w:rsidRPr="008714EF">
        <w:t>include</w:t>
      </w:r>
      <w:r w:rsidRPr="008714EF">
        <w:rPr>
          <w:spacing w:val="-5"/>
        </w:rPr>
        <w:t xml:space="preserve"> </w:t>
      </w:r>
      <w:r w:rsidRPr="008714EF">
        <w:t>questions</w:t>
      </w:r>
      <w:r w:rsidRPr="008714EF">
        <w:rPr>
          <w:spacing w:val="-4"/>
        </w:rPr>
        <w:t xml:space="preserve"> </w:t>
      </w:r>
      <w:r w:rsidRPr="008714EF">
        <w:t>of</w:t>
      </w:r>
      <w:r w:rsidRPr="008714EF">
        <w:rPr>
          <w:spacing w:val="-5"/>
        </w:rPr>
        <w:t xml:space="preserve"> </w:t>
      </w:r>
      <w:r w:rsidRPr="008714EF">
        <w:t>a</w:t>
      </w:r>
      <w:r w:rsidRPr="008714EF">
        <w:rPr>
          <w:spacing w:val="-4"/>
        </w:rPr>
        <w:t xml:space="preserve"> </w:t>
      </w:r>
      <w:r w:rsidRPr="008714EF">
        <w:t>sensitive</w:t>
      </w:r>
      <w:r w:rsidRPr="008714EF">
        <w:rPr>
          <w:spacing w:val="-4"/>
        </w:rPr>
        <w:t xml:space="preserve"> </w:t>
      </w:r>
      <w:r w:rsidRPr="008714EF">
        <w:rPr>
          <w:spacing w:val="-2"/>
        </w:rPr>
        <w:t>nature.</w:t>
      </w:r>
    </w:p>
    <w:p w:rsidR="006B5715" w:rsidRPr="008714EF" w:rsidP="00B803CA" w14:paraId="3126EE43" w14:textId="18878957">
      <w:pPr>
        <w:pStyle w:val="Heading2"/>
      </w:pPr>
      <w:r w:rsidRPr="008714EF">
        <w:t xml:space="preserve">12. </w:t>
      </w:r>
      <w:r w:rsidRPr="008714EF" w:rsidR="007D7BF3">
        <w:t>Provide</w:t>
      </w:r>
      <w:r w:rsidRPr="008714EF" w:rsidR="007D7BF3">
        <w:rPr>
          <w:spacing w:val="-4"/>
        </w:rPr>
        <w:t xml:space="preserve"> </w:t>
      </w:r>
      <w:r w:rsidRPr="008714EF" w:rsidR="007D7BF3">
        <w:t>estimates</w:t>
      </w:r>
      <w:r w:rsidRPr="008714EF" w:rsidR="007D7BF3">
        <w:rPr>
          <w:spacing w:val="-4"/>
        </w:rPr>
        <w:t xml:space="preserve"> </w:t>
      </w:r>
      <w:r w:rsidRPr="008714EF" w:rsidR="007D7BF3">
        <w:t>of</w:t>
      </w:r>
      <w:r w:rsidRPr="008714EF" w:rsidR="007D7BF3">
        <w:rPr>
          <w:spacing w:val="-4"/>
        </w:rPr>
        <w:t xml:space="preserve"> </w:t>
      </w:r>
      <w:r w:rsidRPr="008714EF" w:rsidR="007D7BF3">
        <w:t>the</w:t>
      </w:r>
      <w:r w:rsidRPr="008714EF" w:rsidR="007D7BF3">
        <w:rPr>
          <w:spacing w:val="-4"/>
        </w:rPr>
        <w:t xml:space="preserve"> </w:t>
      </w:r>
      <w:r w:rsidRPr="008714EF" w:rsidR="007D7BF3">
        <w:t>hour</w:t>
      </w:r>
      <w:r w:rsidRPr="008714EF" w:rsidR="007D7BF3">
        <w:rPr>
          <w:spacing w:val="-4"/>
        </w:rPr>
        <w:t xml:space="preserve"> </w:t>
      </w:r>
      <w:r w:rsidRPr="008714EF" w:rsidR="007D7BF3">
        <w:t>burden</w:t>
      </w:r>
      <w:r w:rsidRPr="008714EF" w:rsidR="007D7BF3">
        <w:rPr>
          <w:spacing w:val="-3"/>
        </w:rPr>
        <w:t xml:space="preserve"> </w:t>
      </w:r>
      <w:r w:rsidRPr="008714EF" w:rsidR="007D7BF3">
        <w:t>of</w:t>
      </w:r>
      <w:r w:rsidRPr="008714EF" w:rsidR="007D7BF3">
        <w:rPr>
          <w:spacing w:val="-4"/>
        </w:rPr>
        <w:t xml:space="preserve"> </w:t>
      </w:r>
      <w:r w:rsidRPr="008714EF" w:rsidR="007D7BF3">
        <w:t>the</w:t>
      </w:r>
      <w:r w:rsidRPr="008714EF" w:rsidR="007D7BF3">
        <w:rPr>
          <w:spacing w:val="-4"/>
        </w:rPr>
        <w:t xml:space="preserve"> </w:t>
      </w:r>
      <w:r w:rsidRPr="008714EF" w:rsidR="007D7BF3">
        <w:t>collection</w:t>
      </w:r>
      <w:r w:rsidRPr="008714EF" w:rsidR="007D7BF3">
        <w:rPr>
          <w:spacing w:val="-4"/>
        </w:rPr>
        <w:t xml:space="preserve"> </w:t>
      </w:r>
      <w:r w:rsidRPr="008714EF" w:rsidR="007D7BF3">
        <w:t>of</w:t>
      </w:r>
      <w:r w:rsidRPr="008714EF" w:rsidR="007D7BF3">
        <w:rPr>
          <w:spacing w:val="-4"/>
        </w:rPr>
        <w:t xml:space="preserve"> </w:t>
      </w:r>
      <w:r w:rsidRPr="008714EF" w:rsidR="007D7BF3">
        <w:t>information.</w:t>
      </w:r>
      <w:r w:rsidRPr="008714EF" w:rsidR="007D7BF3">
        <w:rPr>
          <w:spacing w:val="-4"/>
        </w:rPr>
        <w:t xml:space="preserve"> </w:t>
      </w:r>
      <w:r w:rsidRPr="008714EF" w:rsidR="007D7BF3">
        <w:t>The statement should:</w:t>
      </w:r>
    </w:p>
    <w:p w:rsidR="00C44B6E" w:rsidRPr="008714EF" w:rsidP="00B803CA" w14:paraId="0539A328" w14:textId="77777777">
      <w:pPr>
        <w:pStyle w:val="Heading2"/>
        <w:numPr>
          <w:ilvl w:val="0"/>
          <w:numId w:val="14"/>
        </w:numPr>
      </w:pPr>
      <w:r w:rsidRPr="008714EF">
        <w:t>Indicate the number of respondents, frequency of response, annual hour burden, and an explanation of how the burden was estimated. Unless directed to do so, agencies should</w:t>
      </w:r>
      <w:r w:rsidRPr="008714EF">
        <w:rPr>
          <w:spacing w:val="-1"/>
        </w:rPr>
        <w:t xml:space="preserve"> </w:t>
      </w:r>
      <w:r w:rsidRPr="008714EF">
        <w:t>not conduct special surveys to obtain information on which to base hour burden estimates. Consultation with a sample (fewer than 10) of potential respondents is desirable. If the hour burden</w:t>
      </w:r>
      <w:r w:rsidRPr="008714EF">
        <w:rPr>
          <w:spacing w:val="-4"/>
        </w:rPr>
        <w:t xml:space="preserve"> </w:t>
      </w:r>
      <w:r w:rsidRPr="008714EF">
        <w:t>on</w:t>
      </w:r>
      <w:r w:rsidRPr="008714EF">
        <w:rPr>
          <w:spacing w:val="-3"/>
        </w:rPr>
        <w:t xml:space="preserve"> </w:t>
      </w:r>
      <w:r w:rsidRPr="008714EF">
        <w:t>respondents</w:t>
      </w:r>
      <w:r w:rsidRPr="008714EF">
        <w:rPr>
          <w:spacing w:val="-4"/>
        </w:rPr>
        <w:t xml:space="preserve"> </w:t>
      </w:r>
      <w:r w:rsidRPr="008714EF">
        <w:t>is</w:t>
      </w:r>
      <w:r w:rsidRPr="008714EF">
        <w:rPr>
          <w:spacing w:val="-4"/>
        </w:rPr>
        <w:t xml:space="preserve"> </w:t>
      </w:r>
      <w:r w:rsidRPr="008714EF">
        <w:t>expected</w:t>
      </w:r>
      <w:r w:rsidRPr="008714EF">
        <w:rPr>
          <w:spacing w:val="-4"/>
        </w:rPr>
        <w:t xml:space="preserve"> </w:t>
      </w:r>
      <w:r w:rsidRPr="008714EF">
        <w:t>to</w:t>
      </w:r>
      <w:r w:rsidRPr="008714EF">
        <w:rPr>
          <w:spacing w:val="-4"/>
        </w:rPr>
        <w:t xml:space="preserve"> </w:t>
      </w:r>
      <w:r w:rsidRPr="008714EF">
        <w:t>vary</w:t>
      </w:r>
      <w:r w:rsidRPr="008714EF">
        <w:rPr>
          <w:spacing w:val="-4"/>
        </w:rPr>
        <w:t xml:space="preserve"> </w:t>
      </w:r>
      <w:r w:rsidRPr="008714EF">
        <w:t>widely</w:t>
      </w:r>
      <w:r w:rsidRPr="008714EF">
        <w:rPr>
          <w:spacing w:val="-4"/>
        </w:rPr>
        <w:t xml:space="preserve"> </w:t>
      </w:r>
      <w:r w:rsidRPr="008714EF">
        <w:t>because</w:t>
      </w:r>
      <w:r w:rsidRPr="008714EF">
        <w:rPr>
          <w:spacing w:val="-4"/>
        </w:rPr>
        <w:t xml:space="preserve"> </w:t>
      </w:r>
      <w:r w:rsidRPr="008714EF">
        <w:t>of</w:t>
      </w:r>
      <w:r w:rsidRPr="008714EF">
        <w:rPr>
          <w:spacing w:val="-4"/>
        </w:rPr>
        <w:t xml:space="preserve"> </w:t>
      </w:r>
      <w:r w:rsidRPr="008714EF">
        <w:t>differences in activity, size, or complexity, show the range of estimated hour burden, and</w:t>
      </w:r>
      <w:r w:rsidRPr="008714EF">
        <w:rPr>
          <w:spacing w:val="-1"/>
        </w:rPr>
        <w:t xml:space="preserve"> </w:t>
      </w:r>
      <w:r w:rsidRPr="008714EF">
        <w:t>explain</w:t>
      </w:r>
      <w:r w:rsidRPr="008714EF">
        <w:rPr>
          <w:spacing w:val="-1"/>
        </w:rPr>
        <w:t xml:space="preserve"> </w:t>
      </w:r>
      <w:r w:rsidRPr="008714EF">
        <w:t>the</w:t>
      </w:r>
      <w:r w:rsidRPr="008714EF">
        <w:rPr>
          <w:spacing w:val="-1"/>
        </w:rPr>
        <w:t xml:space="preserve"> </w:t>
      </w:r>
      <w:r w:rsidRPr="008714EF">
        <w:t>reasons</w:t>
      </w:r>
      <w:r w:rsidRPr="008714EF">
        <w:rPr>
          <w:spacing w:val="-1"/>
        </w:rPr>
        <w:t xml:space="preserve"> </w:t>
      </w:r>
      <w:r w:rsidRPr="008714EF">
        <w:t>for</w:t>
      </w:r>
      <w:r w:rsidRPr="008714EF">
        <w:rPr>
          <w:spacing w:val="-1"/>
        </w:rPr>
        <w:t xml:space="preserve"> </w:t>
      </w:r>
      <w:r w:rsidRPr="008714EF">
        <w:t>the</w:t>
      </w:r>
      <w:r w:rsidRPr="008714EF">
        <w:rPr>
          <w:spacing w:val="-1"/>
        </w:rPr>
        <w:t xml:space="preserve"> </w:t>
      </w:r>
      <w:r w:rsidRPr="008714EF">
        <w:t>variance.</w:t>
      </w:r>
      <w:r w:rsidRPr="008714EF">
        <w:rPr>
          <w:spacing w:val="-1"/>
        </w:rPr>
        <w:t xml:space="preserve"> </w:t>
      </w:r>
      <w:r w:rsidRPr="008714EF">
        <w:t>Generally,</w:t>
      </w:r>
      <w:r w:rsidRPr="008714EF">
        <w:rPr>
          <w:spacing w:val="-1"/>
        </w:rPr>
        <w:t xml:space="preserve"> </w:t>
      </w:r>
      <w:r w:rsidRPr="008714EF">
        <w:t>estimates</w:t>
      </w:r>
      <w:r w:rsidRPr="008714EF">
        <w:rPr>
          <w:spacing w:val="-1"/>
        </w:rPr>
        <w:t xml:space="preserve"> </w:t>
      </w:r>
      <w:r w:rsidRPr="008714EF">
        <w:t>should</w:t>
      </w:r>
      <w:r w:rsidRPr="008714EF">
        <w:rPr>
          <w:spacing w:val="-1"/>
        </w:rPr>
        <w:t xml:space="preserve"> </w:t>
      </w:r>
      <w:r w:rsidRPr="008714EF">
        <w:t>not include burden hours for customary and usual business practices.</w:t>
      </w:r>
    </w:p>
    <w:p w:rsidR="00C44B6E" w:rsidRPr="008714EF" w:rsidP="00B803CA" w14:paraId="498BDD77" w14:textId="1B8A2E84">
      <w:pPr>
        <w:pStyle w:val="Heading2"/>
        <w:numPr>
          <w:ilvl w:val="0"/>
          <w:numId w:val="14"/>
        </w:numPr>
      </w:pPr>
      <w:r w:rsidRPr="008714EF">
        <w:t>If</w:t>
      </w:r>
      <w:r w:rsidRPr="008714EF">
        <w:rPr>
          <w:spacing w:val="-4"/>
        </w:rPr>
        <w:t xml:space="preserve"> </w:t>
      </w:r>
      <w:r w:rsidRPr="008714EF">
        <w:t>this</w:t>
      </w:r>
      <w:r w:rsidRPr="008714EF">
        <w:rPr>
          <w:spacing w:val="-4"/>
        </w:rPr>
        <w:t xml:space="preserve"> </w:t>
      </w:r>
      <w:r w:rsidRPr="008714EF">
        <w:t>request</w:t>
      </w:r>
      <w:r w:rsidRPr="008714EF">
        <w:rPr>
          <w:spacing w:val="-4"/>
        </w:rPr>
        <w:t xml:space="preserve"> </w:t>
      </w:r>
      <w:r w:rsidRPr="008714EF">
        <w:t>for</w:t>
      </w:r>
      <w:r w:rsidRPr="008714EF">
        <w:rPr>
          <w:spacing w:val="-4"/>
        </w:rPr>
        <w:t xml:space="preserve"> </w:t>
      </w:r>
      <w:r w:rsidRPr="008714EF">
        <w:t>approval</w:t>
      </w:r>
      <w:r w:rsidRPr="008714EF">
        <w:rPr>
          <w:spacing w:val="-4"/>
        </w:rPr>
        <w:t xml:space="preserve"> </w:t>
      </w:r>
      <w:r w:rsidRPr="008714EF">
        <w:t>covers</w:t>
      </w:r>
      <w:r w:rsidRPr="008714EF">
        <w:rPr>
          <w:spacing w:val="-4"/>
        </w:rPr>
        <w:t xml:space="preserve"> </w:t>
      </w:r>
      <w:r w:rsidRPr="008714EF">
        <w:t>more</w:t>
      </w:r>
      <w:r w:rsidRPr="008714EF">
        <w:rPr>
          <w:spacing w:val="-4"/>
        </w:rPr>
        <w:t xml:space="preserve"> </w:t>
      </w:r>
      <w:r w:rsidRPr="008714EF">
        <w:t>than</w:t>
      </w:r>
      <w:r w:rsidRPr="008714EF">
        <w:rPr>
          <w:spacing w:val="-4"/>
        </w:rPr>
        <w:t xml:space="preserve"> </w:t>
      </w:r>
      <w:r w:rsidRPr="008714EF">
        <w:t>one</w:t>
      </w:r>
      <w:r w:rsidRPr="008714EF">
        <w:rPr>
          <w:spacing w:val="-4"/>
        </w:rPr>
        <w:t xml:space="preserve"> </w:t>
      </w:r>
      <w:r w:rsidRPr="008714EF">
        <w:t>form,</w:t>
      </w:r>
      <w:r w:rsidRPr="008714EF">
        <w:rPr>
          <w:spacing w:val="-4"/>
        </w:rPr>
        <w:t xml:space="preserve"> </w:t>
      </w:r>
      <w:r w:rsidRPr="008714EF">
        <w:t>provide</w:t>
      </w:r>
      <w:r w:rsidRPr="008714EF">
        <w:rPr>
          <w:spacing w:val="-5"/>
        </w:rPr>
        <w:t xml:space="preserve"> </w:t>
      </w:r>
      <w:r w:rsidRPr="008714EF">
        <w:t>separate hour burden estimates for each form and aggregate the hour burdens.</w:t>
      </w:r>
    </w:p>
    <w:p w:rsidR="006B5715" w:rsidRPr="008714EF" w:rsidP="00B803CA" w14:paraId="3126EE46" w14:textId="0A05CCB0">
      <w:pPr>
        <w:pStyle w:val="Heading2"/>
        <w:numPr>
          <w:ilvl w:val="0"/>
          <w:numId w:val="14"/>
        </w:numPr>
      </w:pPr>
      <w:r w:rsidRPr="008714EF">
        <w:t>Provide</w:t>
      </w:r>
      <w:r w:rsidRPr="008714EF">
        <w:rPr>
          <w:spacing w:val="-4"/>
        </w:rPr>
        <w:t xml:space="preserve"> </w:t>
      </w:r>
      <w:r w:rsidRPr="008714EF">
        <w:t>estimates</w:t>
      </w:r>
      <w:r w:rsidRPr="008714EF">
        <w:rPr>
          <w:spacing w:val="-4"/>
        </w:rPr>
        <w:t xml:space="preserve"> </w:t>
      </w:r>
      <w:r w:rsidRPr="008714EF">
        <w:t>of</w:t>
      </w:r>
      <w:r w:rsidRPr="008714EF">
        <w:rPr>
          <w:spacing w:val="-4"/>
        </w:rPr>
        <w:t xml:space="preserve"> </w:t>
      </w:r>
      <w:r w:rsidRPr="008714EF">
        <w:t>annualized</w:t>
      </w:r>
      <w:r w:rsidRPr="008714EF">
        <w:rPr>
          <w:spacing w:val="-4"/>
        </w:rPr>
        <w:t xml:space="preserve"> </w:t>
      </w:r>
      <w:r w:rsidRPr="008714EF">
        <w:t>cost</w:t>
      </w:r>
      <w:r w:rsidRPr="008714EF">
        <w:rPr>
          <w:spacing w:val="-4"/>
        </w:rPr>
        <w:t xml:space="preserve"> </w:t>
      </w:r>
      <w:r w:rsidRPr="008714EF">
        <w:t>to</w:t>
      </w:r>
      <w:r w:rsidRPr="008714EF">
        <w:rPr>
          <w:spacing w:val="-4"/>
        </w:rPr>
        <w:t xml:space="preserve"> </w:t>
      </w:r>
      <w:r w:rsidRPr="008714EF">
        <w:t>respondents</w:t>
      </w:r>
      <w:r w:rsidRPr="008714EF">
        <w:rPr>
          <w:spacing w:val="-4"/>
        </w:rPr>
        <w:t xml:space="preserve"> </w:t>
      </w:r>
      <w:r w:rsidRPr="008714EF">
        <w:t>for</w:t>
      </w:r>
      <w:r w:rsidRPr="008714EF">
        <w:rPr>
          <w:spacing w:val="-4"/>
        </w:rPr>
        <w:t xml:space="preserve"> </w:t>
      </w:r>
      <w:r w:rsidRPr="008714EF">
        <w:t>the</w:t>
      </w:r>
      <w:r w:rsidRPr="008714EF">
        <w:rPr>
          <w:spacing w:val="-5"/>
        </w:rPr>
        <w:t xml:space="preserve"> </w:t>
      </w:r>
      <w:r w:rsidRPr="008714EF">
        <w:t>hour</w:t>
      </w:r>
      <w:r w:rsidRPr="008714EF">
        <w:rPr>
          <w:spacing w:val="-4"/>
        </w:rPr>
        <w:t xml:space="preserve"> </w:t>
      </w:r>
      <w:r w:rsidRPr="008714EF">
        <w:t>burdens for</w:t>
      </w:r>
      <w:r w:rsidRPr="008714EF">
        <w:rPr>
          <w:spacing w:val="-3"/>
        </w:rPr>
        <w:t xml:space="preserve"> </w:t>
      </w:r>
      <w:r w:rsidRPr="008714EF">
        <w:t>collections</w:t>
      </w:r>
      <w:r w:rsidRPr="008714EF">
        <w:rPr>
          <w:spacing w:val="-3"/>
        </w:rPr>
        <w:t xml:space="preserve"> </w:t>
      </w:r>
      <w:r w:rsidRPr="008714EF">
        <w:t>of</w:t>
      </w:r>
      <w:r w:rsidRPr="008714EF">
        <w:rPr>
          <w:spacing w:val="-3"/>
        </w:rPr>
        <w:t xml:space="preserve"> </w:t>
      </w:r>
      <w:r w:rsidRPr="008714EF">
        <w:t>information,</w:t>
      </w:r>
      <w:r w:rsidRPr="008714EF">
        <w:rPr>
          <w:spacing w:val="-3"/>
        </w:rPr>
        <w:t xml:space="preserve"> </w:t>
      </w:r>
      <w:r w:rsidRPr="008714EF">
        <w:t>identifying</w:t>
      </w:r>
      <w:r w:rsidRPr="008714EF">
        <w:rPr>
          <w:spacing w:val="-3"/>
        </w:rPr>
        <w:t xml:space="preserve"> </w:t>
      </w:r>
      <w:r w:rsidRPr="008714EF">
        <w:t>and</w:t>
      </w:r>
      <w:r w:rsidRPr="008714EF">
        <w:rPr>
          <w:spacing w:val="-3"/>
        </w:rPr>
        <w:t xml:space="preserve"> </w:t>
      </w:r>
      <w:r w:rsidRPr="008714EF">
        <w:t>using</w:t>
      </w:r>
      <w:r w:rsidRPr="008714EF">
        <w:rPr>
          <w:spacing w:val="-3"/>
        </w:rPr>
        <w:t xml:space="preserve"> </w:t>
      </w:r>
      <w:r w:rsidRPr="008714EF">
        <w:t>appropriate</w:t>
      </w:r>
      <w:r w:rsidRPr="008714EF">
        <w:rPr>
          <w:spacing w:val="-3"/>
        </w:rPr>
        <w:t xml:space="preserve"> </w:t>
      </w:r>
      <w:r w:rsidRPr="008714EF">
        <w:t>wage</w:t>
      </w:r>
      <w:r w:rsidRPr="008714EF">
        <w:rPr>
          <w:spacing w:val="-3"/>
        </w:rPr>
        <w:t xml:space="preserve"> </w:t>
      </w:r>
      <w:r w:rsidRPr="008714EF">
        <w:t>rate categories. The cost of contracting out or paying outside parties for information collection activities should not be included here. Instead, this cost should be included under ‘Annual Cost to Federal Government’.</w:t>
      </w:r>
    </w:p>
    <w:p w:rsidR="006B5715" w:rsidRPr="008714EF" w:rsidP="00B157CF" w14:paraId="3126EE47" w14:textId="1FF77293">
      <w:pPr>
        <w:spacing w:before="201" w:after="240"/>
        <w:ind w:left="279" w:right="843"/>
        <w:rPr>
          <w:spacing w:val="-2"/>
          <w:sz w:val="24"/>
          <w:szCs w:val="24"/>
        </w:rPr>
      </w:pPr>
      <w:r w:rsidRPr="008714EF">
        <w:rPr>
          <w:sz w:val="24"/>
          <w:szCs w:val="24"/>
        </w:rPr>
        <w:t>EPA’s</w:t>
      </w:r>
      <w:r w:rsidRPr="008714EF">
        <w:rPr>
          <w:spacing w:val="-3"/>
          <w:sz w:val="24"/>
          <w:szCs w:val="24"/>
        </w:rPr>
        <w:t xml:space="preserve"> </w:t>
      </w:r>
      <w:r w:rsidRPr="6F6B9616">
        <w:rPr>
          <w:i/>
          <w:iCs/>
          <w:sz w:val="24"/>
          <w:szCs w:val="24"/>
        </w:rPr>
        <w:t>Economic</w:t>
      </w:r>
      <w:r w:rsidRPr="6F6B9616">
        <w:rPr>
          <w:i/>
          <w:iCs/>
          <w:spacing w:val="-3"/>
          <w:sz w:val="24"/>
          <w:szCs w:val="24"/>
        </w:rPr>
        <w:t xml:space="preserve"> </w:t>
      </w:r>
      <w:r w:rsidRPr="6F6B9616">
        <w:rPr>
          <w:i/>
          <w:iCs/>
          <w:sz w:val="24"/>
          <w:szCs w:val="24"/>
        </w:rPr>
        <w:t>Analysis</w:t>
      </w:r>
      <w:r w:rsidRPr="6F6B9616">
        <w:rPr>
          <w:i/>
          <w:iCs/>
          <w:spacing w:val="-3"/>
          <w:sz w:val="24"/>
          <w:szCs w:val="24"/>
        </w:rPr>
        <w:t xml:space="preserve"> </w:t>
      </w:r>
      <w:r w:rsidRPr="6F6B9616">
        <w:rPr>
          <w:i/>
          <w:iCs/>
          <w:sz w:val="24"/>
          <w:szCs w:val="24"/>
        </w:rPr>
        <w:t>of</w:t>
      </w:r>
      <w:r w:rsidRPr="6F6B9616">
        <w:rPr>
          <w:i/>
          <w:iCs/>
          <w:spacing w:val="-3"/>
          <w:sz w:val="24"/>
          <w:szCs w:val="24"/>
        </w:rPr>
        <w:t xml:space="preserve"> </w:t>
      </w:r>
      <w:r w:rsidRPr="6F6B9616">
        <w:rPr>
          <w:i/>
          <w:iCs/>
          <w:sz w:val="24"/>
          <w:szCs w:val="24"/>
        </w:rPr>
        <w:t>the</w:t>
      </w:r>
      <w:r w:rsidRPr="6F6B9616">
        <w:rPr>
          <w:i/>
          <w:iCs/>
          <w:spacing w:val="-3"/>
          <w:sz w:val="24"/>
          <w:szCs w:val="24"/>
        </w:rPr>
        <w:t xml:space="preserve"> </w:t>
      </w:r>
      <w:r w:rsidRPr="6F6B9616">
        <w:rPr>
          <w:i/>
          <w:iCs/>
          <w:sz w:val="24"/>
          <w:szCs w:val="24"/>
        </w:rPr>
        <w:t>Proposed</w:t>
      </w:r>
      <w:r w:rsidRPr="6F6B9616">
        <w:rPr>
          <w:i/>
          <w:iCs/>
          <w:spacing w:val="-3"/>
          <w:sz w:val="24"/>
          <w:szCs w:val="24"/>
        </w:rPr>
        <w:t xml:space="preserve"> </w:t>
      </w:r>
      <w:r w:rsidRPr="6F6B9616" w:rsidR="2E55A08F">
        <w:rPr>
          <w:i/>
          <w:iCs/>
          <w:spacing w:val="-3"/>
          <w:sz w:val="24"/>
          <w:szCs w:val="24"/>
        </w:rPr>
        <w:t xml:space="preserve">Regulation of </w:t>
      </w:r>
      <w:r w:rsidRPr="6F6B9616" w:rsidR="5C34B868">
        <w:rPr>
          <w:i/>
          <w:iCs/>
          <w:spacing w:val="-3"/>
          <w:sz w:val="24"/>
          <w:szCs w:val="24"/>
        </w:rPr>
        <w:t>Tri</w:t>
      </w:r>
      <w:r w:rsidRPr="6F6B9616" w:rsidR="2E55A08F">
        <w:rPr>
          <w:i/>
          <w:iCs/>
          <w:spacing w:val="-3"/>
          <w:sz w:val="24"/>
          <w:szCs w:val="24"/>
        </w:rPr>
        <w:t xml:space="preserve">chloroethylene </w:t>
      </w:r>
      <w:r w:rsidRPr="6F6B9616" w:rsidR="52E3FE15">
        <w:rPr>
          <w:i/>
          <w:iCs/>
          <w:spacing w:val="-3"/>
          <w:sz w:val="24"/>
          <w:szCs w:val="24"/>
        </w:rPr>
        <w:t>(</w:t>
      </w:r>
      <w:r w:rsidRPr="6F6B9616" w:rsidR="5C34B868">
        <w:rPr>
          <w:i/>
          <w:iCs/>
          <w:spacing w:val="-3"/>
          <w:sz w:val="24"/>
          <w:szCs w:val="24"/>
        </w:rPr>
        <w:t>T</w:t>
      </w:r>
      <w:r w:rsidRPr="6F6B9616" w:rsidR="52E3FE15">
        <w:rPr>
          <w:i/>
          <w:iCs/>
          <w:spacing w:val="-3"/>
          <w:sz w:val="24"/>
          <w:szCs w:val="24"/>
        </w:rPr>
        <w:t>CE)</w:t>
      </w:r>
      <w:r w:rsidRPr="6F6B9616" w:rsidR="3A6215E5">
        <w:rPr>
          <w:i/>
          <w:iCs/>
          <w:spacing w:val="-3"/>
          <w:sz w:val="24"/>
          <w:szCs w:val="24"/>
        </w:rPr>
        <w:t xml:space="preserve"> Under TSCA</w:t>
      </w:r>
      <w:r w:rsidRPr="6F6B9616">
        <w:rPr>
          <w:i/>
          <w:iCs/>
          <w:sz w:val="24"/>
          <w:szCs w:val="24"/>
        </w:rPr>
        <w:t xml:space="preserve"> </w:t>
      </w:r>
      <w:r w:rsidRPr="008714EF">
        <w:rPr>
          <w:sz w:val="24"/>
          <w:szCs w:val="24"/>
        </w:rPr>
        <w:t xml:space="preserve">(U.S. EPA, </w:t>
      </w:r>
      <w:r w:rsidRPr="008714EF" w:rsidR="003033C5">
        <w:rPr>
          <w:sz w:val="24"/>
          <w:szCs w:val="24"/>
        </w:rPr>
        <w:t>202</w:t>
      </w:r>
      <w:r w:rsidR="003033C5">
        <w:rPr>
          <w:sz w:val="24"/>
          <w:szCs w:val="24"/>
        </w:rPr>
        <w:t>3</w:t>
      </w:r>
      <w:r w:rsidRPr="008714EF">
        <w:rPr>
          <w:sz w:val="24"/>
          <w:szCs w:val="24"/>
        </w:rPr>
        <w:t xml:space="preserve">) provides the detailed methodology for estimating the number of </w:t>
      </w:r>
      <w:r w:rsidRPr="008714EF">
        <w:rPr>
          <w:spacing w:val="-2"/>
          <w:sz w:val="24"/>
          <w:szCs w:val="24"/>
        </w:rPr>
        <w:t>respondents</w:t>
      </w:r>
      <w:r w:rsidRPr="008714EF" w:rsidR="5995AA04">
        <w:rPr>
          <w:spacing w:val="-2"/>
          <w:sz w:val="24"/>
          <w:szCs w:val="24"/>
        </w:rPr>
        <w:t xml:space="preserve"> (</w:t>
      </w:r>
      <w:r w:rsidRPr="008714EF" w:rsidR="5995AA04">
        <w:rPr>
          <w:b/>
          <w:bCs/>
          <w:spacing w:val="-2"/>
          <w:sz w:val="24"/>
          <w:szCs w:val="24"/>
        </w:rPr>
        <w:t>Attachment 3</w:t>
      </w:r>
      <w:r w:rsidRPr="008714EF" w:rsidR="5995AA04">
        <w:rPr>
          <w:spacing w:val="-2"/>
          <w:sz w:val="24"/>
          <w:szCs w:val="24"/>
        </w:rPr>
        <w:t>)</w:t>
      </w:r>
      <w:r w:rsidRPr="008714EF">
        <w:rPr>
          <w:spacing w:val="-2"/>
          <w:sz w:val="24"/>
          <w:szCs w:val="24"/>
        </w:rPr>
        <w:t>.</w:t>
      </w:r>
    </w:p>
    <w:p w:rsidR="00FC28E1" w:rsidRPr="008714EF" w:rsidP="00EC436E" w14:paraId="401C9B1C" w14:textId="2D2786F6">
      <w:pPr>
        <w:spacing w:before="201" w:after="240"/>
        <w:ind w:left="270" w:right="843"/>
        <w:rPr>
          <w:spacing w:val="-2"/>
          <w:sz w:val="24"/>
          <w:szCs w:val="24"/>
        </w:rPr>
      </w:pPr>
      <w:r w:rsidRPr="008714EF">
        <w:rPr>
          <w:spacing w:val="-2"/>
          <w:sz w:val="24"/>
          <w:szCs w:val="24"/>
        </w:rPr>
        <w:t xml:space="preserve">The paperwork burden and associated costs include the activity types listed below. Note that not all entities would incur burden or costs from these activities because they may already be meeting the requirements </w:t>
      </w:r>
      <w:r w:rsidRPr="008714EF" w:rsidR="009537C0">
        <w:rPr>
          <w:spacing w:val="-2"/>
          <w:sz w:val="24"/>
          <w:szCs w:val="24"/>
        </w:rPr>
        <w:t>as part of their usual business practices.</w:t>
      </w:r>
    </w:p>
    <w:p w:rsidR="00441A94" w:rsidRPr="008714EF" w:rsidP="00B821C2" w14:paraId="1D04FC43" w14:textId="06A44626">
      <w:pPr>
        <w:pStyle w:val="ListParagraph"/>
        <w:numPr>
          <w:ilvl w:val="0"/>
          <w:numId w:val="9"/>
        </w:numPr>
        <w:spacing w:before="201" w:after="240"/>
        <w:ind w:right="843"/>
        <w:rPr>
          <w:sz w:val="24"/>
          <w:szCs w:val="24"/>
        </w:rPr>
      </w:pPr>
      <w:r w:rsidRPr="008714EF">
        <w:rPr>
          <w:sz w:val="24"/>
          <w:szCs w:val="24"/>
        </w:rPr>
        <w:t xml:space="preserve">Rule </w:t>
      </w:r>
      <w:r w:rsidRPr="008714EF" w:rsidR="00F56CBA">
        <w:rPr>
          <w:sz w:val="24"/>
          <w:szCs w:val="24"/>
        </w:rPr>
        <w:t>familiarization</w:t>
      </w:r>
      <w:r w:rsidRPr="008714EF">
        <w:rPr>
          <w:sz w:val="24"/>
          <w:szCs w:val="24"/>
        </w:rPr>
        <w:t xml:space="preserve"> </w:t>
      </w:r>
    </w:p>
    <w:p w:rsidR="0027626C" w:rsidRPr="008714EF" w:rsidP="005A60C1" w14:paraId="4243FE72" w14:textId="1FCE8494">
      <w:pPr>
        <w:pStyle w:val="paragraph"/>
        <w:numPr>
          <w:ilvl w:val="0"/>
          <w:numId w:val="19"/>
        </w:numPr>
        <w:spacing w:before="0" w:beforeAutospacing="0" w:after="0" w:afterAutospacing="0"/>
        <w:ind w:left="1530" w:hanging="450"/>
        <w:textAlignment w:val="baseline"/>
        <w:rPr>
          <w:rFonts w:ascii="Arial" w:hAnsi="Arial" w:cs="Arial"/>
        </w:rPr>
      </w:pPr>
      <w:r w:rsidRPr="00DF7C56">
        <w:rPr>
          <w:rFonts w:ascii="Arial" w:hAnsi="Arial" w:cs="Arial"/>
        </w:rPr>
        <w:t xml:space="preserve">The </w:t>
      </w:r>
      <w:r w:rsidRPr="00DF7C56" w:rsidR="022E77BD">
        <w:rPr>
          <w:rFonts w:ascii="Arial" w:hAnsi="Arial" w:cs="Arial"/>
        </w:rPr>
        <w:t xml:space="preserve">51 </w:t>
      </w:r>
      <w:r w:rsidRPr="00DF7C56">
        <w:rPr>
          <w:rFonts w:ascii="Arial" w:hAnsi="Arial" w:cs="Arial"/>
        </w:rPr>
        <w:t xml:space="preserve">facilities </w:t>
      </w:r>
      <w:r w:rsidRPr="005A60C1" w:rsidR="14AF9D0C">
        <w:rPr>
          <w:rFonts w:ascii="Arial" w:eastAsia="Arial" w:hAnsi="Arial" w:cs="Arial"/>
        </w:rPr>
        <w:t xml:space="preserve">that </w:t>
      </w:r>
      <w:r w:rsidRPr="005A60C1" w:rsidR="00DF7C56">
        <w:rPr>
          <w:rFonts w:ascii="Arial" w:eastAsia="Arial" w:hAnsi="Arial" w:cs="Arial"/>
        </w:rPr>
        <w:t xml:space="preserve">would be </w:t>
      </w:r>
      <w:r w:rsidRPr="005A60C1" w:rsidR="14AF9D0C">
        <w:rPr>
          <w:rFonts w:ascii="Arial" w:eastAsia="Arial" w:hAnsi="Arial" w:cs="Arial"/>
        </w:rPr>
        <w:t xml:space="preserve">subject to a WCPP </w:t>
      </w:r>
      <w:r w:rsidRPr="00DF7C56" w:rsidR="574E1875">
        <w:rPr>
          <w:rFonts w:ascii="Arial" w:hAnsi="Arial" w:cs="Arial"/>
        </w:rPr>
        <w:t>with associated PRA burdens</w:t>
      </w:r>
      <w:r w:rsidRPr="6F6B9616" w:rsidR="574E1875">
        <w:rPr>
          <w:rFonts w:ascii="Arial" w:hAnsi="Arial" w:cs="Arial"/>
        </w:rPr>
        <w:t xml:space="preserve"> and costs are assumed to incur an initial cost of $</w:t>
      </w:r>
      <w:r w:rsidRPr="6F6B9616" w:rsidR="05307FF0">
        <w:rPr>
          <w:rFonts w:ascii="Arial" w:hAnsi="Arial" w:cs="Arial"/>
        </w:rPr>
        <w:t>284</w:t>
      </w:r>
      <w:r w:rsidRPr="6F6B9616" w:rsidR="022E77BD">
        <w:rPr>
          <w:rFonts w:ascii="Arial" w:hAnsi="Arial" w:cs="Arial"/>
        </w:rPr>
        <w:t xml:space="preserve"> </w:t>
      </w:r>
      <w:r w:rsidRPr="6F6B9616" w:rsidR="574E1875">
        <w:rPr>
          <w:rFonts w:ascii="Arial" w:hAnsi="Arial" w:cs="Arial"/>
        </w:rPr>
        <w:t xml:space="preserve">for a </w:t>
      </w:r>
      <w:r w:rsidRPr="6F6B9616" w:rsidR="022E77BD">
        <w:rPr>
          <w:rFonts w:ascii="Arial" w:hAnsi="Arial" w:cs="Arial"/>
        </w:rPr>
        <w:t>3</w:t>
      </w:r>
      <w:r w:rsidRPr="6F6B9616" w:rsidR="574E1875">
        <w:rPr>
          <w:rFonts w:ascii="Arial" w:hAnsi="Arial" w:cs="Arial"/>
        </w:rPr>
        <w:t>-hour burden</w:t>
      </w:r>
      <w:r w:rsidRPr="6F6B9616" w:rsidR="022E77BD">
        <w:rPr>
          <w:rFonts w:ascii="Arial" w:hAnsi="Arial" w:cs="Arial"/>
        </w:rPr>
        <w:t xml:space="preserve"> (Industrial Hygienist labor)</w:t>
      </w:r>
      <w:r w:rsidRPr="6F6B9616" w:rsidR="574E1875">
        <w:rPr>
          <w:rFonts w:ascii="Arial" w:hAnsi="Arial" w:cs="Arial"/>
        </w:rPr>
        <w:t xml:space="preserve"> </w:t>
      </w:r>
      <w:r w:rsidRPr="6F6B9616" w:rsidR="022E77BD">
        <w:rPr>
          <w:rStyle w:val="normaltextrun"/>
          <w:rFonts w:ascii="Arial" w:hAnsi="Arial" w:cs="Arial"/>
        </w:rPr>
        <w:t>associated with rule familiarization.</w:t>
      </w:r>
      <w:r w:rsidRPr="6F6B9616" w:rsidR="53936FA3">
        <w:rPr>
          <w:rFonts w:ascii="Arial" w:eastAsia="Arial" w:hAnsi="Arial" w:cs="Arial"/>
        </w:rPr>
        <w:t xml:space="preserve"> This results in an annual average burden and cost of 51 hours and $4,832. </w:t>
      </w:r>
      <w:r w:rsidRPr="6F6B9616" w:rsidR="022E77BD">
        <w:rPr>
          <w:rStyle w:val="eop"/>
          <w:rFonts w:ascii="Arial" w:hAnsi="Arial" w:cs="Arial"/>
        </w:rPr>
        <w:t xml:space="preserve">The 22,062 facilities that </w:t>
      </w:r>
      <w:r w:rsidR="00DF7C56">
        <w:rPr>
          <w:rStyle w:val="eop"/>
          <w:rFonts w:ascii="Arial" w:hAnsi="Arial" w:cs="Arial"/>
        </w:rPr>
        <w:t>would be</w:t>
      </w:r>
      <w:r w:rsidRPr="6F6B9616" w:rsidR="00DF7C56">
        <w:rPr>
          <w:rStyle w:val="eop"/>
          <w:rFonts w:ascii="Arial" w:hAnsi="Arial" w:cs="Arial"/>
        </w:rPr>
        <w:t xml:space="preserve"> </w:t>
      </w:r>
      <w:r w:rsidRPr="6F6B9616" w:rsidR="022E77BD">
        <w:rPr>
          <w:rStyle w:val="eop"/>
          <w:rFonts w:ascii="Arial" w:hAnsi="Arial" w:cs="Arial"/>
        </w:rPr>
        <w:t xml:space="preserve">subject to prohibition with </w:t>
      </w:r>
      <w:r w:rsidRPr="6F6B9616" w:rsidR="022E77BD">
        <w:rPr>
          <w:rStyle w:val="normaltextrun"/>
          <w:rFonts w:ascii="Arial" w:hAnsi="Arial" w:cs="Arial"/>
        </w:rPr>
        <w:t>associated PRA burdens and costs are assumed to incur an initial cost of $9</w:t>
      </w:r>
      <w:r w:rsidRPr="6F6B9616" w:rsidR="05149F60">
        <w:rPr>
          <w:rStyle w:val="normaltextrun"/>
          <w:rFonts w:ascii="Arial" w:hAnsi="Arial" w:cs="Arial"/>
        </w:rPr>
        <w:t>5</w:t>
      </w:r>
      <w:r w:rsidRPr="6F6B9616" w:rsidR="022E77BD">
        <w:rPr>
          <w:rStyle w:val="normaltextrun"/>
          <w:rFonts w:ascii="Arial" w:hAnsi="Arial" w:cs="Arial"/>
        </w:rPr>
        <w:t xml:space="preserve"> for a 1-hour burden </w:t>
      </w:r>
      <w:r w:rsidRPr="6F6B9616" w:rsidR="022E77BD">
        <w:rPr>
          <w:rFonts w:ascii="Arial" w:hAnsi="Arial" w:cs="Arial"/>
        </w:rPr>
        <w:t xml:space="preserve">(Manufacturing/Managerial labor) </w:t>
      </w:r>
      <w:r w:rsidRPr="6F6B9616" w:rsidR="022E77BD">
        <w:rPr>
          <w:rStyle w:val="normaltextrun"/>
          <w:rFonts w:ascii="Arial" w:hAnsi="Arial" w:cs="Arial"/>
        </w:rPr>
        <w:t>associated with rule familiarization.</w:t>
      </w:r>
    </w:p>
    <w:p w:rsidR="00441A94" w:rsidRPr="008714EF" w:rsidP="00B821C2" w14:paraId="2DE28E3A" w14:textId="090D8211">
      <w:pPr>
        <w:pStyle w:val="ListParagraph"/>
        <w:numPr>
          <w:ilvl w:val="0"/>
          <w:numId w:val="9"/>
        </w:numPr>
        <w:spacing w:before="201" w:after="240"/>
        <w:ind w:right="843"/>
        <w:rPr>
          <w:sz w:val="24"/>
          <w:szCs w:val="24"/>
        </w:rPr>
      </w:pPr>
      <w:r w:rsidRPr="008714EF">
        <w:rPr>
          <w:sz w:val="24"/>
          <w:szCs w:val="24"/>
        </w:rPr>
        <w:t xml:space="preserve">Downstream notification </w:t>
      </w:r>
    </w:p>
    <w:p w:rsidR="008F011B" w:rsidRPr="008714EF" w:rsidP="00BA32AF" w14:paraId="4DE40E1B" w14:textId="1B36A27A">
      <w:pPr>
        <w:pStyle w:val="BodyText"/>
        <w:numPr>
          <w:ilvl w:val="1"/>
          <w:numId w:val="9"/>
        </w:numPr>
        <w:spacing w:before="200" w:after="240"/>
        <w:ind w:right="749"/>
      </w:pPr>
      <w:r>
        <w:t xml:space="preserve">Each person who </w:t>
      </w:r>
      <w:r w:rsidR="46EFC707">
        <w:t xml:space="preserve">processes or distributes in commerce </w:t>
      </w:r>
      <w:r w:rsidR="6F3AD6DE">
        <w:t>T</w:t>
      </w:r>
      <w:r w:rsidR="46EFC707">
        <w:t xml:space="preserve">CE or </w:t>
      </w:r>
      <w:r w:rsidR="6F3AD6DE">
        <w:t>T</w:t>
      </w:r>
      <w:r w:rsidR="46EFC707">
        <w:t xml:space="preserve">CE-containing products for any use </w:t>
      </w:r>
      <w:r w:rsidR="00DF7C56">
        <w:t>would be required</w:t>
      </w:r>
      <w:r w:rsidR="46EFC707">
        <w:t xml:space="preserve">, prior to or concurrent with the shipment, notify companies to whom </w:t>
      </w:r>
      <w:r w:rsidR="6F3AD6DE">
        <w:t>T</w:t>
      </w:r>
      <w:r w:rsidR="46EFC707">
        <w:t xml:space="preserve">CE is shipped, in writing, of the </w:t>
      </w:r>
      <w:r w:rsidR="1F1A4187">
        <w:t xml:space="preserve">prohibitions and </w:t>
      </w:r>
      <w:r w:rsidR="46EFC707">
        <w:t xml:space="preserve">restrictions on its use. It is assumed that </w:t>
      </w:r>
      <w:r w:rsidR="022E77BD">
        <w:t xml:space="preserve">2 </w:t>
      </w:r>
      <w:r w:rsidR="46EFC707">
        <w:t>respondents (manufacturers, import, and repackage facilities) accomplish this by modifying the SDS to note the restrictions</w:t>
      </w:r>
      <w:r w:rsidR="40539D70">
        <w:t>,</w:t>
      </w:r>
      <w:r w:rsidR="46EFC707">
        <w:t xml:space="preserve"> and the burden associated with the downstream notification requirements, including the related recordkeeping, is </w:t>
      </w:r>
      <w:r w:rsidR="022E77BD">
        <w:t xml:space="preserve">2 </w:t>
      </w:r>
      <w:r w:rsidR="46EFC707">
        <w:t xml:space="preserve">hours (Manufacturing/Managerial labor), with an associated labor cost of </w:t>
      </w:r>
      <w:r w:rsidR="46EFC707">
        <w:t>$</w:t>
      </w:r>
      <w:r w:rsidR="3071501C">
        <w:t>189</w:t>
      </w:r>
      <w:r w:rsidR="46EFC707">
        <w:t>.</w:t>
      </w:r>
      <w:r w:rsidR="38FE5FF6">
        <w:t xml:space="preserve"> This results in an annual average burden and cost of 1</w:t>
      </w:r>
      <w:r w:rsidR="3828FBEB">
        <w:t>.3</w:t>
      </w:r>
      <w:r w:rsidR="38FE5FF6">
        <w:t xml:space="preserve"> hour</w:t>
      </w:r>
      <w:r w:rsidR="268B7FAB">
        <w:t>s</w:t>
      </w:r>
      <w:r w:rsidR="38FE5FF6">
        <w:t xml:space="preserve"> and $126.</w:t>
      </w:r>
      <w:r w:rsidR="46EFC707">
        <w:t xml:space="preserve"> Shipment records are assumed to be kept as part of ordinary business practices, and therefore no incremental burden is estimated for this requirement.</w:t>
      </w:r>
    </w:p>
    <w:p w:rsidR="00441A94" w:rsidRPr="008714EF" w:rsidP="00B821C2" w14:paraId="1AB53896" w14:textId="17209B4F">
      <w:pPr>
        <w:pStyle w:val="ListParagraph"/>
        <w:numPr>
          <w:ilvl w:val="0"/>
          <w:numId w:val="9"/>
        </w:numPr>
        <w:spacing w:before="201" w:after="240"/>
        <w:ind w:right="843"/>
        <w:rPr>
          <w:sz w:val="24"/>
          <w:szCs w:val="24"/>
        </w:rPr>
      </w:pPr>
      <w:r w:rsidRPr="7A936A1D">
        <w:rPr>
          <w:sz w:val="24"/>
          <w:szCs w:val="24"/>
        </w:rPr>
        <w:t>WCPP</w:t>
      </w:r>
    </w:p>
    <w:p w:rsidR="00DB5E10" w:rsidRPr="008714EF" w:rsidP="00B821C2" w14:paraId="112D1FDD" w14:textId="010442DE">
      <w:pPr>
        <w:pStyle w:val="BodyText"/>
        <w:numPr>
          <w:ilvl w:val="1"/>
          <w:numId w:val="9"/>
        </w:numPr>
        <w:spacing w:before="200" w:after="240"/>
        <w:ind w:right="749"/>
      </w:pPr>
      <w:r>
        <w:t xml:space="preserve">Under the proposed rule, the </w:t>
      </w:r>
      <w:r w:rsidR="001C49D7">
        <w:t xml:space="preserve">51 </w:t>
      </w:r>
      <w:r>
        <w:t xml:space="preserve">facilities </w:t>
      </w:r>
      <w:r w:rsidR="00DF7C56">
        <w:t xml:space="preserve">that would comply </w:t>
      </w:r>
      <w:r>
        <w:t xml:space="preserve">with the rule through </w:t>
      </w:r>
      <w:r w:rsidR="0AEEDDBA">
        <w:t xml:space="preserve">a </w:t>
      </w:r>
      <w:r>
        <w:t xml:space="preserve">WCPP </w:t>
      </w:r>
      <w:r w:rsidR="50D6AFB0">
        <w:t xml:space="preserve">until the eventual prohibition </w:t>
      </w:r>
      <w:r>
        <w:t>would be required to develop exposure control plans, monitor exposure levels, maintain records of this monitoring, and provide employees with information about how they can access the exposure control plans, exposure monitoring records, PPE program implementation documentation, and respirator program documentation. The estimated costs and burdens are as follows:</w:t>
      </w:r>
    </w:p>
    <w:p w:rsidR="00DB5E10" w:rsidRPr="008714EF" w:rsidP="00FD2699" w14:paraId="0B2C2CF7" w14:textId="07DF0BCC">
      <w:pPr>
        <w:pStyle w:val="BodyText"/>
        <w:numPr>
          <w:ilvl w:val="0"/>
          <w:numId w:val="18"/>
        </w:numPr>
        <w:spacing w:before="200" w:after="240"/>
        <w:ind w:right="749"/>
      </w:pPr>
      <w:r w:rsidRPr="008714EF">
        <w:t>The e</w:t>
      </w:r>
      <w:r w:rsidRPr="008714EF">
        <w:t xml:space="preserve">stimated burden and costs for the respiratory exposure monitoring plan and conducting exposure monitoring (generating the exposure monitoring results) depend on the </w:t>
      </w:r>
      <w:r w:rsidRPr="008714EF" w:rsidR="008C7E26">
        <w:t>T</w:t>
      </w:r>
      <w:r w:rsidRPr="008714EF">
        <w:t xml:space="preserve">CE levels determined by the monitoring and are described in Chapter </w:t>
      </w:r>
      <w:r w:rsidRPr="008714EF" w:rsidR="001469EC">
        <w:t>7</w:t>
      </w:r>
      <w:r w:rsidRPr="008714EF">
        <w:t xml:space="preserve"> of the economic analysis of the proposed rule (certified industrial hygienist and technical specialist labor). </w:t>
      </w:r>
    </w:p>
    <w:p w:rsidR="00DB5E10" w:rsidRPr="008714EF" w:rsidP="00B821C2" w14:paraId="38C5C4BD" w14:textId="12D444E3">
      <w:pPr>
        <w:pStyle w:val="BodyText"/>
        <w:numPr>
          <w:ilvl w:val="2"/>
          <w:numId w:val="9"/>
        </w:numPr>
        <w:spacing w:before="200" w:after="240"/>
        <w:ind w:right="749"/>
      </w:pPr>
      <w:r w:rsidRPr="008714EF">
        <w:t xml:space="preserve">The estimated burden and costs for recordkeeping related to respiratory exposure monitoring depend on the </w:t>
      </w:r>
      <w:r w:rsidRPr="008714EF" w:rsidR="008C7E26">
        <w:t>T</w:t>
      </w:r>
      <w:r w:rsidRPr="008714EF" w:rsidR="00693899">
        <w:t>CE</w:t>
      </w:r>
      <w:r w:rsidRPr="008714EF">
        <w:t xml:space="preserve"> levels determined by the monitoring and are described in Chapter </w:t>
      </w:r>
      <w:r w:rsidRPr="008714EF" w:rsidR="001469EC">
        <w:t>7</w:t>
      </w:r>
      <w:r w:rsidRPr="008714EF">
        <w:t xml:space="preserve"> of the economic analysis of the proposed rule (Manufacturing/Managerial labor).</w:t>
      </w:r>
    </w:p>
    <w:p w:rsidR="00DB5E10" w:rsidRPr="008714EF" w:rsidP="00B821C2" w14:paraId="16196BAB" w14:textId="74637FA5">
      <w:pPr>
        <w:pStyle w:val="BodyText"/>
        <w:numPr>
          <w:ilvl w:val="2"/>
          <w:numId w:val="9"/>
        </w:numPr>
        <w:spacing w:before="200" w:after="240"/>
        <w:ind w:right="749"/>
      </w:pPr>
      <w:r w:rsidRPr="008714EF">
        <w:t xml:space="preserve">The estimated burden and costs for notifications related to exposure monitoring (notifying potentially exposed workers; providing them with access to exposure control plans, exposure monitoring records, PPE program implementation documentation, and respirator program documentation) depend on the </w:t>
      </w:r>
      <w:r w:rsidRPr="008714EF" w:rsidR="00AC21C3">
        <w:t>T</w:t>
      </w:r>
      <w:r w:rsidRPr="008714EF" w:rsidR="00693899">
        <w:t>CE</w:t>
      </w:r>
      <w:r w:rsidRPr="008714EF">
        <w:t xml:space="preserve"> levels determined by the monitoring and are described in Chapter </w:t>
      </w:r>
      <w:r w:rsidRPr="008714EF" w:rsidR="001469EC">
        <w:t>7</w:t>
      </w:r>
      <w:r w:rsidRPr="008714EF">
        <w:t xml:space="preserve"> of the economic analysis of the proposed rule (Manufacturing/Managerial labor).</w:t>
      </w:r>
    </w:p>
    <w:p w:rsidR="00CC3650" w:rsidRPr="008714EF" w:rsidP="00CC3650" w14:paraId="3193D87E" w14:textId="523F8B12">
      <w:pPr>
        <w:pStyle w:val="BodyText"/>
        <w:numPr>
          <w:ilvl w:val="1"/>
          <w:numId w:val="9"/>
        </w:numPr>
        <w:spacing w:before="200" w:after="240"/>
        <w:ind w:right="749"/>
      </w:pPr>
      <w:r>
        <w:t xml:space="preserve">Under the proposed rule, </w:t>
      </w:r>
      <w:r w:rsidR="00B55E2C">
        <w:t xml:space="preserve">51 </w:t>
      </w:r>
      <w:r>
        <w:t xml:space="preserve">facilities complying with the rule through </w:t>
      </w:r>
      <w:r w:rsidR="4A1337B3">
        <w:t xml:space="preserve">a </w:t>
      </w:r>
      <w:r>
        <w:t xml:space="preserve">WCPP would be doing so as part of a </w:t>
      </w:r>
      <w:r w:rsidR="00C95571">
        <w:t xml:space="preserve">phaseout or </w:t>
      </w:r>
      <w:r>
        <w:t xml:space="preserve">time-limited exemption. </w:t>
      </w:r>
      <w:r w:rsidR="00C95571">
        <w:t xml:space="preserve">For those firms continuing to use TCE under a proposed exemption under TSCA section 6(g), </w:t>
      </w:r>
      <w:r>
        <w:t xml:space="preserve">Documentation related to exemptions would be required to maintain their compliance with the terms of the exemption and would include </w:t>
      </w:r>
      <w:r w:rsidR="00B55E2C">
        <w:t xml:space="preserve">usual </w:t>
      </w:r>
      <w:r>
        <w:t>business records demonstrating that their manufacturing (including import), processing, or use of TCE is for lead-acid and lithium battery separator manufacturing</w:t>
      </w:r>
      <w:r w:rsidR="00B83558">
        <w:t xml:space="preserve"> or laboratory use. </w:t>
      </w:r>
    </w:p>
    <w:p w:rsidR="00B83558" w:rsidRPr="008714EF" w:rsidP="00B83558" w14:paraId="020BDDEF" w14:textId="104F21A2">
      <w:pPr>
        <w:pStyle w:val="BodyText"/>
        <w:numPr>
          <w:ilvl w:val="0"/>
          <w:numId w:val="9"/>
        </w:numPr>
        <w:spacing w:before="200" w:after="240"/>
        <w:ind w:right="749"/>
      </w:pPr>
      <w:r w:rsidRPr="008714EF">
        <w:t xml:space="preserve">Information related to proposed phase </w:t>
      </w:r>
      <w:r w:rsidRPr="008714EF">
        <w:t>outs</w:t>
      </w:r>
    </w:p>
    <w:p w:rsidR="00B83558" w:rsidRPr="008714EF" w:rsidP="008714EF" w14:paraId="7EFB8112" w14:textId="1A03E9BB">
      <w:pPr>
        <w:pStyle w:val="BodyText"/>
        <w:numPr>
          <w:ilvl w:val="1"/>
          <w:numId w:val="9"/>
        </w:numPr>
        <w:spacing w:before="200" w:after="240"/>
        <w:ind w:right="749"/>
      </w:pPr>
      <w:r>
        <w:t xml:space="preserve">Under the proposed rule, </w:t>
      </w:r>
      <w:r w:rsidR="50244E9C">
        <w:t>2</w:t>
      </w:r>
      <w:r w:rsidR="00B55E2C">
        <w:t xml:space="preserve"> </w:t>
      </w:r>
      <w:r>
        <w:t xml:space="preserve">facilities complying with the rule through a phase-out for </w:t>
      </w:r>
      <w:r w:rsidR="00DF7C56">
        <w:t>processing</w:t>
      </w:r>
      <w:r>
        <w:t xml:space="preserve"> TCE as an intermediate to manufacture HFC-134a would </w:t>
      </w:r>
      <w:r>
        <w:t>be required to maintain records that document appropriate reduction or attempts at reduction of use of TCE.</w:t>
      </w:r>
      <w:r w:rsidR="00596F35">
        <w:t xml:space="preserve"> Documentation related </w:t>
      </w:r>
      <w:r>
        <w:t xml:space="preserve">to production volumes </w:t>
      </w:r>
      <w:r w:rsidR="00596F35">
        <w:t>would be considered usual business records</w:t>
      </w:r>
      <w:r>
        <w:t xml:space="preserve">. </w:t>
      </w:r>
    </w:p>
    <w:p w:rsidR="00947871" w:rsidRPr="008714EF" w:rsidP="00947871" w14:paraId="0C6A8881" w14:textId="65AB9C61">
      <w:pPr>
        <w:pStyle w:val="ListParagraph"/>
        <w:ind w:left="1440" w:firstLine="0"/>
        <w:rPr>
          <w:sz w:val="24"/>
          <w:szCs w:val="24"/>
        </w:rPr>
      </w:pPr>
      <w:r w:rsidRPr="008714EF">
        <w:rPr>
          <w:sz w:val="24"/>
          <w:szCs w:val="24"/>
        </w:rPr>
        <w:t xml:space="preserve">The estimated burden and cost of recordkeeping related to demonstrating that the end use is in rocket booster nozzle production for Federal agencies or their contractors, and records that demonstrate that a final </w:t>
      </w:r>
      <w:r w:rsidRPr="008714EF" w:rsidR="0035780B">
        <w:rPr>
          <w:sz w:val="24"/>
          <w:szCs w:val="24"/>
        </w:rPr>
        <w:t xml:space="preserve">pre-launch </w:t>
      </w:r>
      <w:r w:rsidRPr="008714EF">
        <w:rPr>
          <w:sz w:val="24"/>
          <w:szCs w:val="24"/>
        </w:rPr>
        <w:t xml:space="preserve">test </w:t>
      </w:r>
      <w:r w:rsidRPr="008714EF" w:rsidR="0035780B">
        <w:rPr>
          <w:sz w:val="24"/>
          <w:szCs w:val="24"/>
        </w:rPr>
        <w:t xml:space="preserve">of rocket booster nozzles without using TCE </w:t>
      </w:r>
      <w:r w:rsidRPr="008714EF">
        <w:rPr>
          <w:sz w:val="24"/>
          <w:szCs w:val="24"/>
        </w:rPr>
        <w:t>was completed using an alternative to TCE in the production of rocket booster nozzles for Federal agencies and their contractors are described in the economic analysis of the proposed rule.</w:t>
      </w:r>
    </w:p>
    <w:p w:rsidR="008714EF" w:rsidRPr="008714EF" w:rsidP="008714EF" w14:paraId="039B2110" w14:textId="77777777">
      <w:pPr>
        <w:rPr>
          <w:sz w:val="24"/>
          <w:szCs w:val="24"/>
        </w:rPr>
      </w:pPr>
    </w:p>
    <w:p w:rsidR="00CA6BE7" w:rsidP="00947871" w14:paraId="51F35BA9" w14:textId="41A27E4E">
      <w:pPr>
        <w:rPr>
          <w:sz w:val="24"/>
          <w:szCs w:val="24"/>
        </w:rPr>
      </w:pPr>
      <w:r w:rsidRPr="008714EF">
        <w:rPr>
          <w:sz w:val="24"/>
          <w:szCs w:val="24"/>
        </w:rPr>
        <w:t>The table below presents the labor rates used to estimate the costs of the labor burdens under the ICR.</w:t>
      </w:r>
    </w:p>
    <w:tbl>
      <w:tblPr>
        <w:tblW w:w="11658" w:type="dxa"/>
        <w:tblCellMar>
          <w:left w:w="0" w:type="dxa"/>
          <w:right w:w="0" w:type="dxa"/>
        </w:tblCellMar>
        <w:tblLook w:val="04A0"/>
      </w:tblPr>
      <w:tblGrid>
        <w:gridCol w:w="1422"/>
        <w:gridCol w:w="2771"/>
        <w:gridCol w:w="757"/>
        <w:gridCol w:w="836"/>
        <w:gridCol w:w="795"/>
        <w:gridCol w:w="878"/>
        <w:gridCol w:w="913"/>
        <w:gridCol w:w="1008"/>
        <w:gridCol w:w="1018"/>
        <w:gridCol w:w="1260"/>
      </w:tblGrid>
      <w:tr w14:paraId="08D78A42" w14:textId="77777777" w:rsidTr="00DF7C56">
        <w:tblPrEx>
          <w:tblW w:w="11658" w:type="dxa"/>
          <w:tblCellMar>
            <w:left w:w="0" w:type="dxa"/>
            <w:right w:w="0" w:type="dxa"/>
          </w:tblCellMar>
          <w:tblLook w:val="04A0"/>
        </w:tblPrEx>
        <w:trPr>
          <w:trHeight w:val="278"/>
          <w:tblHeader/>
        </w:trPr>
        <w:tc>
          <w:tcPr>
            <w:tcW w:w="11220" w:type="dxa"/>
            <w:gridSpan w:val="10"/>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366EC0" w:rsidRPr="00DF7C56" w:rsidP="00366EC0" w14:paraId="7858FC64" w14:textId="1E780341">
            <w:pPr>
              <w:pStyle w:val="TableTitleA"/>
              <w:rPr>
                <w:rFonts w:ascii="Arial" w:hAnsi="Arial" w:cs="Arial"/>
                <w:b/>
                <w:bCs/>
                <w:sz w:val="22"/>
                <w:szCs w:val="22"/>
              </w:rPr>
            </w:pPr>
            <w:r w:rsidRPr="00DF7C56">
              <w:rPr>
                <w:rFonts w:ascii="Arial" w:hAnsi="Arial" w:cs="Arial"/>
                <w:b/>
                <w:bCs/>
                <w:sz w:val="22"/>
                <w:szCs w:val="22"/>
              </w:rPr>
              <w:t>Industry Wage Rates (2022$) </w:t>
            </w:r>
          </w:p>
        </w:tc>
      </w:tr>
      <w:tr w14:paraId="29B7FAB6"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vMerge w:val="restart"/>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4FDFB841"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Labor Category </w:t>
            </w:r>
          </w:p>
        </w:tc>
        <w:tc>
          <w:tcPr>
            <w:tcW w:w="2771" w:type="dxa"/>
            <w:vMerge w:val="restart"/>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54AC6AE1"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Data Series</w:t>
            </w:r>
            <w:r w:rsidRPr="00DF7C56">
              <w:rPr>
                <w:rFonts w:eastAsia="Times New Roman"/>
                <w:b/>
                <w:bCs/>
                <w:color w:val="FFFFFF"/>
                <w:sz w:val="14"/>
                <w:szCs w:val="14"/>
                <w:vertAlign w:val="superscript"/>
              </w:rPr>
              <w:t> </w:t>
            </w:r>
            <w:r w:rsidRPr="00DF7C56">
              <w:rPr>
                <w:rFonts w:eastAsia="Times New Roman"/>
                <w:b/>
                <w:bCs/>
                <w:color w:val="FFFFFF"/>
                <w:sz w:val="14"/>
                <w:szCs w:val="14"/>
              </w:rPr>
              <w:t> </w:t>
            </w:r>
          </w:p>
        </w:tc>
        <w:tc>
          <w:tcPr>
            <w:tcW w:w="757" w:type="dxa"/>
            <w:vMerge w:val="restart"/>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758D2EB3"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Date </w:t>
            </w:r>
          </w:p>
        </w:tc>
        <w:tc>
          <w:tcPr>
            <w:tcW w:w="836"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4445779F"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Wage ($/hour) </w:t>
            </w:r>
          </w:p>
        </w:tc>
        <w:tc>
          <w:tcPr>
            <w:tcW w:w="79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380AEC7F"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Fringe Benefit </w:t>
            </w:r>
          </w:p>
        </w:tc>
        <w:tc>
          <w:tcPr>
            <w:tcW w:w="878"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161FA6E5"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 xml:space="preserve">Total </w:t>
            </w:r>
            <w:r w:rsidRPr="00DF7C56">
              <w:rPr>
                <w:rFonts w:eastAsia="Times New Roman"/>
                <w:b/>
                <w:bCs/>
                <w:color w:val="FFFFFF"/>
                <w:sz w:val="18"/>
                <w:szCs w:val="18"/>
              </w:rPr>
              <w:t>Compen-sation</w:t>
            </w:r>
            <w:r w:rsidRPr="00DF7C56">
              <w:rPr>
                <w:rFonts w:eastAsia="Times New Roman"/>
                <w:b/>
                <w:bCs/>
                <w:color w:val="FFFFFF"/>
                <w:sz w:val="18"/>
                <w:szCs w:val="18"/>
              </w:rPr>
              <w:t> </w:t>
            </w:r>
          </w:p>
        </w:tc>
        <w:tc>
          <w:tcPr>
            <w:tcW w:w="913"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5752621A"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Overhead as % of Total Compen-sation</w:t>
            </w:r>
            <w:r w:rsidRPr="00DF7C56">
              <w:rPr>
                <w:rFonts w:eastAsia="Times New Roman"/>
                <w:b/>
                <w:bCs/>
                <w:color w:val="FFFFFF"/>
                <w:sz w:val="14"/>
                <w:szCs w:val="14"/>
                <w:vertAlign w:val="superscript"/>
              </w:rPr>
              <w:t>1</w:t>
            </w:r>
            <w:r w:rsidRPr="00DF7C56">
              <w:rPr>
                <w:rFonts w:eastAsia="Times New Roman"/>
                <w:b/>
                <w:bCs/>
                <w:color w:val="FFFFFF"/>
                <w:sz w:val="14"/>
                <w:szCs w:val="14"/>
              </w:rPr>
              <w:t> </w:t>
            </w:r>
          </w:p>
        </w:tc>
        <w:tc>
          <w:tcPr>
            <w:tcW w:w="1008"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0E8A6128"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Overhead </w:t>
            </w:r>
          </w:p>
        </w:tc>
        <w:tc>
          <w:tcPr>
            <w:tcW w:w="1018"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6DBDE99C"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Hourly Loaded Wages </w:t>
            </w:r>
          </w:p>
        </w:tc>
      </w:tr>
      <w:tr w14:paraId="3A861EC0"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1219E778" w14:textId="77777777">
            <w:pPr>
              <w:rPr>
                <w:rFonts w:eastAsia="Times New Roman"/>
                <w:b/>
                <w:bCs/>
                <w:color w:val="FFFFFF"/>
                <w:sz w:val="18"/>
                <w:szCs w:val="18"/>
              </w:rPr>
            </w:pPr>
          </w:p>
        </w:tc>
        <w:tc>
          <w:tcPr>
            <w:tcW w:w="277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06D1A7C9" w14:textId="77777777">
            <w:pPr>
              <w:rPr>
                <w:rFonts w:eastAsia="Times New Roman"/>
                <w:b/>
                <w:bCs/>
                <w:color w:val="FFFFFF"/>
                <w:sz w:val="18"/>
                <w:szCs w:val="18"/>
              </w:rPr>
            </w:pPr>
          </w:p>
        </w:tc>
        <w:tc>
          <w:tcPr>
            <w:tcW w:w="7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41E7E8C" w14:textId="77777777">
            <w:pPr>
              <w:rPr>
                <w:rFonts w:eastAsia="Times New Roman"/>
                <w:b/>
                <w:bCs/>
                <w:color w:val="FFFFFF"/>
                <w:sz w:val="18"/>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10E98100"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(a) </w:t>
            </w:r>
          </w:p>
        </w:tc>
        <w:tc>
          <w:tcPr>
            <w:tcW w:w="79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6906A30E"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(b) </w:t>
            </w:r>
          </w:p>
        </w:tc>
        <w:tc>
          <w:tcPr>
            <w:tcW w:w="878"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3EAA49EB"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(c) =(b)+(a) </w:t>
            </w:r>
          </w:p>
        </w:tc>
        <w:tc>
          <w:tcPr>
            <w:tcW w:w="913"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25E2A38D"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(d) </w:t>
            </w:r>
          </w:p>
        </w:tc>
        <w:tc>
          <w:tcPr>
            <w:tcW w:w="1008"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02A91046"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(e)=(c)*(d) </w:t>
            </w:r>
          </w:p>
        </w:tc>
        <w:tc>
          <w:tcPr>
            <w:tcW w:w="1018"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66EC0" w:rsidRPr="00DF7C56" w:rsidP="002E68C9" w14:paraId="2AE1FBD0" w14:textId="77777777">
            <w:pPr>
              <w:jc w:val="center"/>
              <w:textAlignment w:val="baseline"/>
              <w:rPr>
                <w:rFonts w:eastAsia="Times New Roman"/>
                <w:b/>
                <w:bCs/>
                <w:color w:val="FFFFFF"/>
                <w:sz w:val="18"/>
                <w:szCs w:val="18"/>
              </w:rPr>
            </w:pPr>
            <w:r w:rsidRPr="00DF7C56">
              <w:rPr>
                <w:rFonts w:eastAsia="Times New Roman"/>
                <w:b/>
                <w:bCs/>
                <w:color w:val="FFFFFF"/>
                <w:sz w:val="18"/>
                <w:szCs w:val="18"/>
              </w:rPr>
              <w:t>(f)=(c)+(e) </w:t>
            </w:r>
          </w:p>
        </w:tc>
      </w:tr>
      <w:tr w14:paraId="43ADA547"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6568178" w14:textId="77777777">
            <w:pPr>
              <w:textAlignment w:val="baseline"/>
              <w:rPr>
                <w:rFonts w:eastAsia="Times New Roman"/>
                <w:color w:val="000000"/>
                <w:sz w:val="18"/>
                <w:szCs w:val="18"/>
              </w:rPr>
            </w:pPr>
            <w:r w:rsidRPr="00DF7C56">
              <w:rPr>
                <w:rFonts w:eastAsia="Times New Roman"/>
                <w:color w:val="000000"/>
                <w:sz w:val="18"/>
                <w:szCs w:val="18"/>
              </w:rPr>
              <w:t>Manufacturing/ </w:t>
            </w:r>
          </w:p>
          <w:p w:rsidR="00366EC0" w:rsidRPr="00DF7C56" w:rsidP="002E68C9" w14:paraId="7FB1AAA3" w14:textId="77777777">
            <w:pPr>
              <w:textAlignment w:val="baseline"/>
              <w:rPr>
                <w:rFonts w:eastAsia="Times New Roman"/>
                <w:color w:val="000000"/>
                <w:sz w:val="18"/>
                <w:szCs w:val="18"/>
              </w:rPr>
            </w:pPr>
            <w:r w:rsidRPr="00DF7C56">
              <w:rPr>
                <w:rFonts w:eastAsia="Times New Roman"/>
                <w:color w:val="000000"/>
                <w:sz w:val="18"/>
                <w:szCs w:val="18"/>
              </w:rPr>
              <w:t>Managerial </w:t>
            </w:r>
          </w:p>
        </w:tc>
        <w:tc>
          <w:tcPr>
            <w:tcW w:w="2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DEC2B72" w14:textId="77777777">
            <w:pPr>
              <w:textAlignment w:val="baseline"/>
              <w:rPr>
                <w:rFonts w:eastAsia="Times New Roman"/>
                <w:color w:val="000000"/>
                <w:sz w:val="18"/>
                <w:szCs w:val="18"/>
              </w:rPr>
            </w:pPr>
            <w:r w:rsidRPr="00DF7C56">
              <w:rPr>
                <w:rFonts w:eastAsia="Times New Roman"/>
                <w:color w:val="000000"/>
                <w:sz w:val="18"/>
                <w:szCs w:val="18"/>
              </w:rPr>
              <w:t>BLS ECEC, Private Manufacturing industries, “Mgt, Business, and Financial”</w:t>
            </w:r>
            <w:r w:rsidRPr="00DF7C56">
              <w:rPr>
                <w:rFonts w:eastAsia="Times New Roman"/>
                <w:color w:val="000000"/>
                <w:sz w:val="14"/>
                <w:szCs w:val="14"/>
                <w:vertAlign w:val="superscript"/>
              </w:rPr>
              <w:t>2</w:t>
            </w:r>
            <w:r w:rsidRPr="00DF7C56">
              <w:rPr>
                <w:rFonts w:eastAsia="Times New Roman"/>
                <w:color w:val="000000"/>
                <w:sz w:val="14"/>
                <w:szCs w:val="14"/>
              </w:rPr>
              <w:t> </w:t>
            </w:r>
          </w:p>
        </w:tc>
        <w:tc>
          <w:tcPr>
            <w:tcW w:w="7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84B948C" w14:textId="77777777">
            <w:pPr>
              <w:jc w:val="right"/>
              <w:textAlignment w:val="baseline"/>
              <w:rPr>
                <w:rFonts w:eastAsia="Times New Roman"/>
                <w:color w:val="000000"/>
                <w:sz w:val="18"/>
                <w:szCs w:val="18"/>
              </w:rPr>
            </w:pPr>
            <w:r w:rsidRPr="00DF7C56">
              <w:rPr>
                <w:rFonts w:eastAsia="Times New Roman"/>
                <w:color w:val="000000"/>
                <w:sz w:val="18"/>
                <w:szCs w:val="18"/>
              </w:rPr>
              <w:t>Dec-22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168E9A6D" w14:textId="77777777">
            <w:pPr>
              <w:jc w:val="right"/>
              <w:textAlignment w:val="baseline"/>
              <w:rPr>
                <w:rFonts w:eastAsia="Times New Roman"/>
                <w:color w:val="000000"/>
                <w:sz w:val="18"/>
                <w:szCs w:val="18"/>
              </w:rPr>
            </w:pPr>
            <w:r w:rsidRPr="00DF7C56">
              <w:rPr>
                <w:rFonts w:eastAsia="Times New Roman"/>
                <w:color w:val="000000"/>
                <w:sz w:val="18"/>
                <w:szCs w:val="18"/>
              </w:rPr>
              <w:t>$54.29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7C6F9B9" w14:textId="77777777">
            <w:pPr>
              <w:jc w:val="right"/>
              <w:textAlignment w:val="baseline"/>
              <w:rPr>
                <w:rFonts w:eastAsia="Times New Roman"/>
                <w:color w:val="000000"/>
                <w:sz w:val="18"/>
                <w:szCs w:val="18"/>
              </w:rPr>
            </w:pPr>
            <w:r w:rsidRPr="00DF7C56">
              <w:rPr>
                <w:rFonts w:eastAsia="Times New Roman"/>
                <w:color w:val="000000"/>
                <w:sz w:val="18"/>
                <w:szCs w:val="18"/>
              </w:rPr>
              <w:t>$24.66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7671BE7" w14:textId="77777777">
            <w:pPr>
              <w:jc w:val="right"/>
              <w:textAlignment w:val="baseline"/>
              <w:rPr>
                <w:rFonts w:eastAsia="Times New Roman"/>
                <w:color w:val="000000"/>
                <w:sz w:val="18"/>
                <w:szCs w:val="18"/>
              </w:rPr>
            </w:pPr>
            <w:r w:rsidRPr="00DF7C56">
              <w:rPr>
                <w:rFonts w:eastAsia="Times New Roman"/>
                <w:color w:val="000000"/>
                <w:sz w:val="18"/>
                <w:szCs w:val="18"/>
              </w:rPr>
              <w:t>$78.95  </w:t>
            </w:r>
          </w:p>
        </w:tc>
        <w:tc>
          <w:tcPr>
            <w:tcW w:w="9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9A643C3" w14:textId="77777777">
            <w:pPr>
              <w:jc w:val="right"/>
              <w:textAlignment w:val="baseline"/>
              <w:rPr>
                <w:rFonts w:eastAsia="Times New Roman"/>
                <w:color w:val="000000"/>
                <w:sz w:val="18"/>
                <w:szCs w:val="18"/>
              </w:rPr>
            </w:pPr>
            <w:r w:rsidRPr="00DF7C56">
              <w:rPr>
                <w:rFonts w:eastAsia="Times New Roman"/>
                <w:color w:val="000000"/>
                <w:sz w:val="20"/>
                <w:szCs w:val="20"/>
              </w:rPr>
              <w:t>20%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A825752" w14:textId="77777777">
            <w:pPr>
              <w:jc w:val="right"/>
              <w:textAlignment w:val="baseline"/>
              <w:rPr>
                <w:rFonts w:eastAsia="Times New Roman"/>
                <w:color w:val="000000"/>
                <w:sz w:val="18"/>
                <w:szCs w:val="18"/>
              </w:rPr>
            </w:pPr>
            <w:r w:rsidRPr="00DF7C56">
              <w:rPr>
                <w:rFonts w:eastAsia="Times New Roman"/>
                <w:color w:val="000000"/>
                <w:sz w:val="18"/>
                <w:szCs w:val="18"/>
              </w:rPr>
              <w:t>$15.79  </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55CC992" w14:textId="77777777">
            <w:pPr>
              <w:jc w:val="right"/>
              <w:textAlignment w:val="baseline"/>
              <w:rPr>
                <w:rFonts w:eastAsia="Times New Roman"/>
                <w:color w:val="000000"/>
                <w:sz w:val="18"/>
                <w:szCs w:val="18"/>
              </w:rPr>
            </w:pPr>
            <w:r w:rsidRPr="00DF7C56">
              <w:rPr>
                <w:rFonts w:eastAsia="Times New Roman"/>
                <w:color w:val="000000"/>
                <w:sz w:val="18"/>
                <w:szCs w:val="18"/>
              </w:rPr>
              <w:t>$94.74  </w:t>
            </w:r>
          </w:p>
        </w:tc>
      </w:tr>
      <w:tr w14:paraId="0A923D88"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7AA7A51" w14:textId="77777777">
            <w:pPr>
              <w:textAlignment w:val="baseline"/>
              <w:rPr>
                <w:rFonts w:eastAsia="Times New Roman"/>
                <w:color w:val="000000"/>
                <w:sz w:val="18"/>
                <w:szCs w:val="18"/>
              </w:rPr>
            </w:pPr>
            <w:r w:rsidRPr="00DF7C56">
              <w:rPr>
                <w:rFonts w:eastAsia="Times New Roman"/>
                <w:color w:val="000000"/>
                <w:sz w:val="18"/>
                <w:szCs w:val="18"/>
              </w:rPr>
              <w:t>Manufacturing/ Production Worker </w:t>
            </w:r>
          </w:p>
        </w:tc>
        <w:tc>
          <w:tcPr>
            <w:tcW w:w="2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62237A59" w14:textId="77777777">
            <w:pPr>
              <w:textAlignment w:val="baseline"/>
              <w:rPr>
                <w:rFonts w:eastAsia="Times New Roman"/>
                <w:color w:val="000000"/>
                <w:sz w:val="18"/>
                <w:szCs w:val="18"/>
              </w:rPr>
            </w:pPr>
            <w:r w:rsidRPr="00DF7C56">
              <w:rPr>
                <w:rFonts w:eastAsia="Times New Roman"/>
                <w:color w:val="000000"/>
                <w:sz w:val="18"/>
                <w:szCs w:val="18"/>
              </w:rPr>
              <w:t>BLS ECEC, Private Manufacturing Industries, “Production occupations”</w:t>
            </w:r>
            <w:r w:rsidRPr="00DF7C56">
              <w:rPr>
                <w:rFonts w:eastAsia="Times New Roman"/>
                <w:color w:val="000000"/>
                <w:sz w:val="14"/>
                <w:szCs w:val="14"/>
                <w:vertAlign w:val="superscript"/>
              </w:rPr>
              <w:t>2</w:t>
            </w:r>
            <w:r w:rsidRPr="00DF7C56">
              <w:rPr>
                <w:rFonts w:eastAsia="Times New Roman"/>
                <w:color w:val="000000"/>
                <w:sz w:val="14"/>
                <w:szCs w:val="14"/>
              </w:rPr>
              <w:t> </w:t>
            </w:r>
          </w:p>
        </w:tc>
        <w:tc>
          <w:tcPr>
            <w:tcW w:w="7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06198B2B" w14:textId="77777777">
            <w:pPr>
              <w:jc w:val="right"/>
              <w:textAlignment w:val="baseline"/>
              <w:rPr>
                <w:rFonts w:eastAsia="Times New Roman"/>
                <w:color w:val="000000"/>
                <w:sz w:val="18"/>
                <w:szCs w:val="18"/>
              </w:rPr>
            </w:pPr>
            <w:r w:rsidRPr="00DF7C56">
              <w:rPr>
                <w:rFonts w:eastAsia="Times New Roman"/>
                <w:color w:val="000000"/>
                <w:sz w:val="18"/>
                <w:szCs w:val="18"/>
              </w:rPr>
              <w:t>Dec-22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1CFC9424" w14:textId="77777777">
            <w:pPr>
              <w:jc w:val="right"/>
              <w:textAlignment w:val="baseline"/>
              <w:rPr>
                <w:rFonts w:eastAsia="Times New Roman"/>
                <w:color w:val="000000"/>
                <w:sz w:val="18"/>
                <w:szCs w:val="18"/>
              </w:rPr>
            </w:pPr>
            <w:r w:rsidRPr="00DF7C56">
              <w:rPr>
                <w:rFonts w:eastAsia="Times New Roman"/>
                <w:color w:val="000000"/>
                <w:sz w:val="18"/>
                <w:szCs w:val="18"/>
              </w:rPr>
              <w:t>$21.79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0CBE04D" w14:textId="77777777">
            <w:pPr>
              <w:jc w:val="right"/>
              <w:textAlignment w:val="baseline"/>
              <w:rPr>
                <w:rFonts w:eastAsia="Times New Roman"/>
                <w:color w:val="000000"/>
                <w:sz w:val="18"/>
                <w:szCs w:val="18"/>
              </w:rPr>
            </w:pPr>
            <w:r w:rsidRPr="00DF7C56">
              <w:rPr>
                <w:rFonts w:eastAsia="Times New Roman"/>
                <w:color w:val="000000"/>
                <w:sz w:val="18"/>
                <w:szCs w:val="18"/>
              </w:rPr>
              <w:t>$11.63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868BECB" w14:textId="77777777">
            <w:pPr>
              <w:jc w:val="right"/>
              <w:textAlignment w:val="baseline"/>
              <w:rPr>
                <w:rFonts w:eastAsia="Times New Roman"/>
                <w:color w:val="000000"/>
                <w:sz w:val="18"/>
                <w:szCs w:val="18"/>
              </w:rPr>
            </w:pPr>
            <w:r w:rsidRPr="00DF7C56">
              <w:rPr>
                <w:rFonts w:eastAsia="Times New Roman"/>
                <w:color w:val="000000"/>
                <w:sz w:val="18"/>
                <w:szCs w:val="18"/>
              </w:rPr>
              <w:t>$33.42  </w:t>
            </w:r>
          </w:p>
        </w:tc>
        <w:tc>
          <w:tcPr>
            <w:tcW w:w="9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56C3CE5" w14:textId="77777777">
            <w:pPr>
              <w:jc w:val="right"/>
              <w:textAlignment w:val="baseline"/>
              <w:rPr>
                <w:rFonts w:eastAsia="Times New Roman"/>
                <w:color w:val="000000"/>
                <w:sz w:val="18"/>
                <w:szCs w:val="18"/>
              </w:rPr>
            </w:pPr>
            <w:r w:rsidRPr="00DF7C56">
              <w:rPr>
                <w:rFonts w:eastAsia="Times New Roman"/>
                <w:color w:val="000000"/>
                <w:sz w:val="20"/>
                <w:szCs w:val="20"/>
              </w:rPr>
              <w:t>20%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4692483" w14:textId="77777777">
            <w:pPr>
              <w:jc w:val="right"/>
              <w:textAlignment w:val="baseline"/>
              <w:rPr>
                <w:rFonts w:eastAsia="Times New Roman"/>
                <w:color w:val="000000"/>
                <w:sz w:val="18"/>
                <w:szCs w:val="18"/>
              </w:rPr>
            </w:pPr>
            <w:r w:rsidRPr="00DF7C56">
              <w:rPr>
                <w:rFonts w:eastAsia="Times New Roman"/>
                <w:color w:val="000000"/>
                <w:sz w:val="18"/>
                <w:szCs w:val="18"/>
              </w:rPr>
              <w:t>$6.68  </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60AA913A" w14:textId="77777777">
            <w:pPr>
              <w:jc w:val="right"/>
              <w:textAlignment w:val="baseline"/>
              <w:rPr>
                <w:rFonts w:eastAsia="Times New Roman"/>
                <w:color w:val="000000"/>
                <w:sz w:val="18"/>
                <w:szCs w:val="18"/>
              </w:rPr>
            </w:pPr>
            <w:r w:rsidRPr="00DF7C56">
              <w:rPr>
                <w:rFonts w:eastAsia="Times New Roman"/>
                <w:color w:val="000000"/>
                <w:sz w:val="18"/>
                <w:szCs w:val="18"/>
              </w:rPr>
              <w:t>$40.10  </w:t>
            </w:r>
          </w:p>
        </w:tc>
      </w:tr>
      <w:tr w14:paraId="283035D3"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74F4D9E" w14:textId="77777777">
            <w:pPr>
              <w:textAlignment w:val="baseline"/>
              <w:rPr>
                <w:rFonts w:eastAsia="Times New Roman"/>
                <w:color w:val="000000"/>
                <w:sz w:val="18"/>
                <w:szCs w:val="18"/>
              </w:rPr>
            </w:pPr>
            <w:r w:rsidRPr="00DF7C56">
              <w:rPr>
                <w:rFonts w:eastAsia="Times New Roman"/>
                <w:color w:val="000000"/>
                <w:sz w:val="18"/>
                <w:szCs w:val="18"/>
              </w:rPr>
              <w:t>Transportation and Public Utilities/ </w:t>
            </w:r>
          </w:p>
          <w:p w:rsidR="00366EC0" w:rsidRPr="00DF7C56" w:rsidP="002E68C9" w14:paraId="28617D9E" w14:textId="77777777">
            <w:pPr>
              <w:textAlignment w:val="baseline"/>
              <w:rPr>
                <w:rFonts w:eastAsia="Times New Roman"/>
                <w:color w:val="000000"/>
                <w:sz w:val="18"/>
                <w:szCs w:val="18"/>
              </w:rPr>
            </w:pPr>
            <w:r w:rsidRPr="00DF7C56">
              <w:rPr>
                <w:rFonts w:eastAsia="Times New Roman"/>
                <w:color w:val="000000"/>
                <w:sz w:val="18"/>
                <w:szCs w:val="18"/>
              </w:rPr>
              <w:t>Managerial </w:t>
            </w:r>
          </w:p>
        </w:tc>
        <w:tc>
          <w:tcPr>
            <w:tcW w:w="2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F1CDA5C" w14:textId="77777777">
            <w:pPr>
              <w:textAlignment w:val="baseline"/>
              <w:rPr>
                <w:rFonts w:eastAsia="Times New Roman"/>
                <w:color w:val="000000"/>
                <w:sz w:val="18"/>
                <w:szCs w:val="18"/>
              </w:rPr>
            </w:pPr>
            <w:r w:rsidRPr="00DF7C56">
              <w:rPr>
                <w:rFonts w:eastAsia="Times New Roman"/>
                <w:color w:val="000000"/>
                <w:sz w:val="18"/>
                <w:szCs w:val="18"/>
              </w:rPr>
              <w:t>BLS</w:t>
            </w:r>
            <w:r w:rsidRPr="00DF7C56">
              <w:rPr>
                <w:rFonts w:eastAsia="Times New Roman"/>
                <w:i/>
                <w:iCs/>
                <w:color w:val="000000"/>
                <w:sz w:val="18"/>
                <w:szCs w:val="18"/>
              </w:rPr>
              <w:t xml:space="preserve"> ECEC</w:t>
            </w:r>
            <w:r w:rsidRPr="00DF7C56">
              <w:rPr>
                <w:rFonts w:eastAsia="Times New Roman"/>
                <w:color w:val="000000"/>
                <w:sz w:val="18"/>
                <w:szCs w:val="18"/>
              </w:rPr>
              <w:t>, Trade, Transportation, and Utilities Industries</w:t>
            </w:r>
            <w:r w:rsidRPr="00DF7C56">
              <w:rPr>
                <w:rFonts w:eastAsia="Times New Roman"/>
                <w:i/>
                <w:iCs/>
                <w:color w:val="000000"/>
                <w:sz w:val="18"/>
                <w:szCs w:val="18"/>
              </w:rPr>
              <w:t>,</w:t>
            </w:r>
            <w:r w:rsidRPr="00DF7C56">
              <w:rPr>
                <w:rFonts w:eastAsia="Times New Roman"/>
                <w:color w:val="000000"/>
                <w:sz w:val="18"/>
                <w:szCs w:val="18"/>
              </w:rPr>
              <w:t xml:space="preserve"> “Mgt, Business, and Financial”</w:t>
            </w:r>
            <w:r w:rsidRPr="00DF7C56">
              <w:rPr>
                <w:rFonts w:eastAsia="Times New Roman"/>
                <w:color w:val="000000"/>
                <w:sz w:val="14"/>
                <w:szCs w:val="14"/>
                <w:vertAlign w:val="superscript"/>
              </w:rPr>
              <w:t xml:space="preserve"> 2</w:t>
            </w:r>
            <w:r w:rsidRPr="00DF7C56">
              <w:rPr>
                <w:rFonts w:eastAsia="Times New Roman"/>
                <w:color w:val="000000"/>
                <w:sz w:val="14"/>
                <w:szCs w:val="14"/>
              </w:rPr>
              <w:t> </w:t>
            </w:r>
          </w:p>
        </w:tc>
        <w:tc>
          <w:tcPr>
            <w:tcW w:w="7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0F1CB98" w14:textId="77777777">
            <w:pPr>
              <w:jc w:val="right"/>
              <w:textAlignment w:val="baseline"/>
              <w:rPr>
                <w:rFonts w:eastAsia="Times New Roman"/>
                <w:color w:val="000000"/>
                <w:sz w:val="18"/>
                <w:szCs w:val="18"/>
              </w:rPr>
            </w:pPr>
            <w:r w:rsidRPr="00DF7C56">
              <w:rPr>
                <w:rFonts w:eastAsia="Times New Roman"/>
                <w:color w:val="000000"/>
                <w:sz w:val="18"/>
                <w:szCs w:val="18"/>
              </w:rPr>
              <w:t>Dec-22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671C6DB1" w14:textId="77777777">
            <w:pPr>
              <w:jc w:val="right"/>
              <w:textAlignment w:val="baseline"/>
              <w:rPr>
                <w:rFonts w:eastAsia="Times New Roman"/>
                <w:color w:val="000000"/>
                <w:sz w:val="18"/>
                <w:szCs w:val="18"/>
              </w:rPr>
            </w:pPr>
            <w:r w:rsidRPr="00DF7C56">
              <w:rPr>
                <w:rFonts w:eastAsia="Times New Roman"/>
                <w:color w:val="000000"/>
                <w:sz w:val="18"/>
                <w:szCs w:val="18"/>
              </w:rPr>
              <w:t>$54.12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8A91995" w14:textId="77777777">
            <w:pPr>
              <w:jc w:val="right"/>
              <w:textAlignment w:val="baseline"/>
              <w:rPr>
                <w:rFonts w:eastAsia="Times New Roman"/>
                <w:color w:val="000000"/>
                <w:sz w:val="18"/>
                <w:szCs w:val="18"/>
              </w:rPr>
            </w:pPr>
            <w:r w:rsidRPr="00DF7C56">
              <w:rPr>
                <w:rFonts w:eastAsia="Times New Roman"/>
                <w:color w:val="000000"/>
                <w:sz w:val="18"/>
                <w:szCs w:val="18"/>
              </w:rPr>
              <w:t>$21.82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1A4753C1" w14:textId="77777777">
            <w:pPr>
              <w:jc w:val="right"/>
              <w:textAlignment w:val="baseline"/>
              <w:rPr>
                <w:rFonts w:eastAsia="Times New Roman"/>
                <w:color w:val="000000"/>
                <w:sz w:val="18"/>
                <w:szCs w:val="18"/>
              </w:rPr>
            </w:pPr>
            <w:r w:rsidRPr="00DF7C56">
              <w:rPr>
                <w:rFonts w:eastAsia="Times New Roman"/>
                <w:color w:val="000000"/>
                <w:sz w:val="18"/>
                <w:szCs w:val="18"/>
              </w:rPr>
              <w:t>$75.94  </w:t>
            </w:r>
          </w:p>
        </w:tc>
        <w:tc>
          <w:tcPr>
            <w:tcW w:w="9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D64D8CC" w14:textId="77777777">
            <w:pPr>
              <w:jc w:val="right"/>
              <w:textAlignment w:val="baseline"/>
              <w:rPr>
                <w:rFonts w:eastAsia="Times New Roman"/>
                <w:color w:val="000000"/>
                <w:sz w:val="18"/>
                <w:szCs w:val="18"/>
              </w:rPr>
            </w:pPr>
            <w:r w:rsidRPr="00DF7C56">
              <w:rPr>
                <w:rFonts w:eastAsia="Times New Roman"/>
                <w:color w:val="000000"/>
                <w:sz w:val="20"/>
                <w:szCs w:val="20"/>
              </w:rPr>
              <w:t>20%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60DDE119" w14:textId="77777777">
            <w:pPr>
              <w:jc w:val="right"/>
              <w:textAlignment w:val="baseline"/>
              <w:rPr>
                <w:rFonts w:eastAsia="Times New Roman"/>
                <w:color w:val="000000"/>
                <w:sz w:val="18"/>
                <w:szCs w:val="18"/>
              </w:rPr>
            </w:pPr>
            <w:r w:rsidRPr="00DF7C56">
              <w:rPr>
                <w:rFonts w:eastAsia="Times New Roman"/>
                <w:color w:val="000000"/>
                <w:sz w:val="18"/>
                <w:szCs w:val="18"/>
              </w:rPr>
              <w:t>$15.19  </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B1177DD" w14:textId="77777777">
            <w:pPr>
              <w:jc w:val="right"/>
              <w:textAlignment w:val="baseline"/>
              <w:rPr>
                <w:rFonts w:eastAsia="Times New Roman"/>
                <w:color w:val="000000"/>
                <w:sz w:val="18"/>
                <w:szCs w:val="18"/>
              </w:rPr>
            </w:pPr>
            <w:r w:rsidRPr="00DF7C56">
              <w:rPr>
                <w:rFonts w:eastAsia="Times New Roman"/>
                <w:color w:val="000000"/>
                <w:sz w:val="18"/>
                <w:szCs w:val="18"/>
              </w:rPr>
              <w:t>$91.13  </w:t>
            </w:r>
          </w:p>
        </w:tc>
      </w:tr>
      <w:tr w14:paraId="3A79C624"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C8D9FA4" w14:textId="77777777">
            <w:pPr>
              <w:textAlignment w:val="baseline"/>
              <w:rPr>
                <w:rFonts w:eastAsia="Times New Roman"/>
                <w:color w:val="000000"/>
                <w:sz w:val="18"/>
                <w:szCs w:val="18"/>
              </w:rPr>
            </w:pPr>
            <w:r w:rsidRPr="00DF7C56">
              <w:rPr>
                <w:rFonts w:eastAsia="Times New Roman"/>
                <w:color w:val="000000"/>
                <w:sz w:val="18"/>
                <w:szCs w:val="18"/>
              </w:rPr>
              <w:t>Transportation and Public Utilities/ </w:t>
            </w:r>
          </w:p>
          <w:p w:rsidR="00366EC0" w:rsidRPr="00DF7C56" w:rsidP="002E68C9" w14:paraId="40323510" w14:textId="77777777">
            <w:pPr>
              <w:textAlignment w:val="baseline"/>
              <w:rPr>
                <w:rFonts w:eastAsia="Times New Roman"/>
                <w:color w:val="000000"/>
                <w:sz w:val="18"/>
                <w:szCs w:val="18"/>
              </w:rPr>
            </w:pPr>
            <w:r w:rsidRPr="00DF7C56">
              <w:rPr>
                <w:rFonts w:eastAsia="Times New Roman"/>
                <w:color w:val="000000"/>
                <w:sz w:val="18"/>
                <w:szCs w:val="18"/>
              </w:rPr>
              <w:t>Maintenance and Repair Worker </w:t>
            </w:r>
          </w:p>
        </w:tc>
        <w:tc>
          <w:tcPr>
            <w:tcW w:w="2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612A8286" w14:textId="77777777">
            <w:pPr>
              <w:textAlignment w:val="baseline"/>
              <w:rPr>
                <w:rFonts w:eastAsia="Times New Roman"/>
                <w:color w:val="000000"/>
                <w:sz w:val="18"/>
                <w:szCs w:val="18"/>
              </w:rPr>
            </w:pPr>
            <w:r w:rsidRPr="00DF7C56">
              <w:rPr>
                <w:rFonts w:eastAsia="Times New Roman"/>
                <w:color w:val="000000"/>
                <w:sz w:val="18"/>
                <w:szCs w:val="18"/>
              </w:rPr>
              <w:t>BLS</w:t>
            </w:r>
            <w:r w:rsidRPr="00DF7C56">
              <w:rPr>
                <w:rFonts w:eastAsia="Times New Roman"/>
                <w:i/>
                <w:iCs/>
                <w:color w:val="000000"/>
                <w:sz w:val="18"/>
                <w:szCs w:val="18"/>
              </w:rPr>
              <w:t xml:space="preserve"> ECEC</w:t>
            </w:r>
            <w:r w:rsidRPr="00DF7C56">
              <w:rPr>
                <w:rFonts w:eastAsia="Times New Roman"/>
                <w:color w:val="000000"/>
                <w:sz w:val="18"/>
                <w:szCs w:val="18"/>
              </w:rPr>
              <w:t>, Trade, Transportation, and Utilities Industries</w:t>
            </w:r>
            <w:r w:rsidRPr="00DF7C56">
              <w:rPr>
                <w:rFonts w:eastAsia="Times New Roman"/>
                <w:i/>
                <w:iCs/>
                <w:color w:val="000000"/>
                <w:sz w:val="18"/>
                <w:szCs w:val="18"/>
              </w:rPr>
              <w:t>,</w:t>
            </w:r>
            <w:r w:rsidRPr="00DF7C56">
              <w:rPr>
                <w:rFonts w:eastAsia="Times New Roman"/>
                <w:color w:val="000000"/>
                <w:sz w:val="18"/>
                <w:szCs w:val="18"/>
              </w:rPr>
              <w:t xml:space="preserve"> “Installation, maintenance, and repair"</w:t>
            </w:r>
            <w:r w:rsidRPr="00DF7C56">
              <w:rPr>
                <w:rFonts w:eastAsia="Times New Roman"/>
                <w:color w:val="000000"/>
                <w:sz w:val="14"/>
                <w:szCs w:val="14"/>
                <w:vertAlign w:val="superscript"/>
              </w:rPr>
              <w:t>2</w:t>
            </w:r>
            <w:r w:rsidRPr="00DF7C56">
              <w:rPr>
                <w:rFonts w:eastAsia="Times New Roman"/>
                <w:color w:val="000000"/>
                <w:sz w:val="14"/>
                <w:szCs w:val="14"/>
              </w:rPr>
              <w:t> </w:t>
            </w:r>
          </w:p>
        </w:tc>
        <w:tc>
          <w:tcPr>
            <w:tcW w:w="7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6DE351C" w14:textId="77777777">
            <w:pPr>
              <w:jc w:val="right"/>
              <w:textAlignment w:val="baseline"/>
              <w:rPr>
                <w:rFonts w:eastAsia="Times New Roman"/>
                <w:color w:val="000000"/>
                <w:sz w:val="18"/>
                <w:szCs w:val="18"/>
              </w:rPr>
            </w:pPr>
            <w:r w:rsidRPr="00DF7C56">
              <w:rPr>
                <w:rFonts w:eastAsia="Times New Roman"/>
                <w:color w:val="000000"/>
                <w:sz w:val="18"/>
                <w:szCs w:val="18"/>
              </w:rPr>
              <w:t>Dec-22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05A83244" w14:textId="77777777">
            <w:pPr>
              <w:jc w:val="right"/>
              <w:textAlignment w:val="baseline"/>
              <w:rPr>
                <w:rFonts w:eastAsia="Times New Roman"/>
                <w:color w:val="000000"/>
                <w:sz w:val="18"/>
                <w:szCs w:val="18"/>
              </w:rPr>
            </w:pPr>
            <w:r w:rsidRPr="00DF7C56">
              <w:rPr>
                <w:rFonts w:eastAsia="Times New Roman"/>
                <w:color w:val="000000"/>
                <w:sz w:val="18"/>
                <w:szCs w:val="18"/>
              </w:rPr>
              <w:t>$31.08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09D0BEF" w14:textId="77777777">
            <w:pPr>
              <w:jc w:val="right"/>
              <w:textAlignment w:val="baseline"/>
              <w:rPr>
                <w:rFonts w:eastAsia="Times New Roman"/>
                <w:color w:val="000000"/>
                <w:sz w:val="18"/>
                <w:szCs w:val="18"/>
              </w:rPr>
            </w:pPr>
            <w:r w:rsidRPr="00DF7C56">
              <w:rPr>
                <w:rFonts w:eastAsia="Times New Roman"/>
                <w:color w:val="000000"/>
                <w:sz w:val="18"/>
                <w:szCs w:val="18"/>
              </w:rPr>
              <w:t>$15.29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3DF9043" w14:textId="77777777">
            <w:pPr>
              <w:jc w:val="right"/>
              <w:textAlignment w:val="baseline"/>
              <w:rPr>
                <w:rFonts w:eastAsia="Times New Roman"/>
                <w:color w:val="000000"/>
                <w:sz w:val="18"/>
                <w:szCs w:val="18"/>
              </w:rPr>
            </w:pPr>
            <w:r w:rsidRPr="00DF7C56">
              <w:rPr>
                <w:rFonts w:eastAsia="Times New Roman"/>
                <w:color w:val="000000"/>
                <w:sz w:val="18"/>
                <w:szCs w:val="18"/>
              </w:rPr>
              <w:t>$46.37  </w:t>
            </w:r>
          </w:p>
        </w:tc>
        <w:tc>
          <w:tcPr>
            <w:tcW w:w="9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2AE3C45" w14:textId="77777777">
            <w:pPr>
              <w:jc w:val="right"/>
              <w:textAlignment w:val="baseline"/>
              <w:rPr>
                <w:rFonts w:eastAsia="Times New Roman"/>
                <w:color w:val="000000"/>
                <w:sz w:val="18"/>
                <w:szCs w:val="18"/>
              </w:rPr>
            </w:pPr>
            <w:r w:rsidRPr="00DF7C56">
              <w:rPr>
                <w:rFonts w:eastAsia="Times New Roman"/>
                <w:color w:val="000000"/>
                <w:sz w:val="20"/>
                <w:szCs w:val="20"/>
              </w:rPr>
              <w:t>20%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14B0C6B" w14:textId="77777777">
            <w:pPr>
              <w:jc w:val="right"/>
              <w:textAlignment w:val="baseline"/>
              <w:rPr>
                <w:rFonts w:eastAsia="Times New Roman"/>
                <w:color w:val="000000"/>
                <w:sz w:val="18"/>
                <w:szCs w:val="18"/>
              </w:rPr>
            </w:pPr>
            <w:r w:rsidRPr="00DF7C56">
              <w:rPr>
                <w:rFonts w:eastAsia="Times New Roman"/>
                <w:color w:val="000000"/>
                <w:sz w:val="18"/>
                <w:szCs w:val="18"/>
              </w:rPr>
              <w:t>$9.27  </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7282755" w14:textId="77777777">
            <w:pPr>
              <w:jc w:val="right"/>
              <w:textAlignment w:val="baseline"/>
              <w:rPr>
                <w:rFonts w:eastAsia="Times New Roman"/>
                <w:color w:val="000000"/>
                <w:sz w:val="18"/>
                <w:szCs w:val="18"/>
              </w:rPr>
            </w:pPr>
            <w:r w:rsidRPr="00DF7C56">
              <w:rPr>
                <w:rFonts w:eastAsia="Times New Roman"/>
                <w:color w:val="000000"/>
                <w:sz w:val="18"/>
                <w:szCs w:val="18"/>
              </w:rPr>
              <w:t>$55.64  </w:t>
            </w:r>
          </w:p>
        </w:tc>
      </w:tr>
      <w:tr w14:paraId="4CA5C8DE"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6CB319E2" w14:textId="77777777">
            <w:pPr>
              <w:textAlignment w:val="baseline"/>
              <w:rPr>
                <w:rFonts w:eastAsia="Times New Roman"/>
                <w:color w:val="000000"/>
                <w:sz w:val="18"/>
                <w:szCs w:val="18"/>
              </w:rPr>
            </w:pPr>
            <w:r w:rsidRPr="00DF7C56">
              <w:rPr>
                <w:rFonts w:eastAsia="Times New Roman"/>
                <w:color w:val="000000"/>
                <w:sz w:val="18"/>
                <w:szCs w:val="18"/>
              </w:rPr>
              <w:t>Services/ </w:t>
            </w:r>
          </w:p>
          <w:p w:rsidR="00366EC0" w:rsidRPr="00DF7C56" w:rsidP="002E68C9" w14:paraId="2DF4E5E5" w14:textId="77777777">
            <w:pPr>
              <w:textAlignment w:val="baseline"/>
              <w:rPr>
                <w:rFonts w:eastAsia="Times New Roman"/>
                <w:color w:val="000000"/>
                <w:sz w:val="18"/>
                <w:szCs w:val="18"/>
              </w:rPr>
            </w:pPr>
            <w:r w:rsidRPr="00DF7C56">
              <w:rPr>
                <w:rFonts w:eastAsia="Times New Roman"/>
                <w:color w:val="000000"/>
                <w:sz w:val="18"/>
                <w:szCs w:val="18"/>
              </w:rPr>
              <w:t>Managerial </w:t>
            </w:r>
          </w:p>
        </w:tc>
        <w:tc>
          <w:tcPr>
            <w:tcW w:w="2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7244029" w14:textId="77777777">
            <w:pPr>
              <w:textAlignment w:val="baseline"/>
              <w:rPr>
                <w:rFonts w:eastAsia="Times New Roman"/>
                <w:color w:val="000000"/>
                <w:sz w:val="18"/>
                <w:szCs w:val="18"/>
              </w:rPr>
            </w:pPr>
            <w:r w:rsidRPr="00DF7C56">
              <w:rPr>
                <w:rFonts w:eastAsia="Times New Roman"/>
                <w:color w:val="000000"/>
                <w:sz w:val="18"/>
                <w:szCs w:val="18"/>
              </w:rPr>
              <w:t>BLS ECEC, Service-providing Industries, Management, professional, and related occupations, “Mgt, Business, and Financial” </w:t>
            </w:r>
          </w:p>
        </w:tc>
        <w:tc>
          <w:tcPr>
            <w:tcW w:w="7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4BE20B0" w14:textId="77777777">
            <w:pPr>
              <w:jc w:val="right"/>
              <w:textAlignment w:val="baseline"/>
              <w:rPr>
                <w:rFonts w:eastAsia="Times New Roman"/>
                <w:color w:val="000000"/>
                <w:sz w:val="18"/>
                <w:szCs w:val="18"/>
              </w:rPr>
            </w:pPr>
            <w:r w:rsidRPr="00DF7C56">
              <w:rPr>
                <w:rFonts w:eastAsia="Times New Roman"/>
                <w:color w:val="000000"/>
                <w:sz w:val="18"/>
                <w:szCs w:val="18"/>
              </w:rPr>
              <w:t>Dec-22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CF8D7D3" w14:textId="77777777">
            <w:pPr>
              <w:jc w:val="right"/>
              <w:textAlignment w:val="baseline"/>
              <w:rPr>
                <w:rFonts w:eastAsia="Times New Roman"/>
                <w:color w:val="000000"/>
                <w:sz w:val="18"/>
                <w:szCs w:val="18"/>
              </w:rPr>
            </w:pPr>
            <w:r w:rsidRPr="00DF7C56">
              <w:rPr>
                <w:rFonts w:eastAsia="Times New Roman"/>
                <w:color w:val="000000"/>
                <w:sz w:val="18"/>
                <w:szCs w:val="18"/>
              </w:rPr>
              <w:t>$54.77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17CBC53" w14:textId="77777777">
            <w:pPr>
              <w:jc w:val="right"/>
              <w:textAlignment w:val="baseline"/>
              <w:rPr>
                <w:rFonts w:eastAsia="Times New Roman"/>
                <w:color w:val="000000"/>
                <w:sz w:val="18"/>
                <w:szCs w:val="18"/>
              </w:rPr>
            </w:pPr>
            <w:r w:rsidRPr="00DF7C56">
              <w:rPr>
                <w:rFonts w:eastAsia="Times New Roman"/>
                <w:color w:val="000000"/>
                <w:sz w:val="18"/>
                <w:szCs w:val="18"/>
              </w:rPr>
              <w:t>$24.99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951B3F6" w14:textId="77777777">
            <w:pPr>
              <w:jc w:val="right"/>
              <w:textAlignment w:val="baseline"/>
              <w:rPr>
                <w:rFonts w:eastAsia="Times New Roman"/>
                <w:color w:val="000000"/>
                <w:sz w:val="18"/>
                <w:szCs w:val="18"/>
              </w:rPr>
            </w:pPr>
            <w:r w:rsidRPr="00DF7C56">
              <w:rPr>
                <w:rFonts w:eastAsia="Times New Roman"/>
                <w:color w:val="000000"/>
                <w:sz w:val="18"/>
                <w:szCs w:val="18"/>
              </w:rPr>
              <w:t>$79.76  </w:t>
            </w:r>
          </w:p>
        </w:tc>
        <w:tc>
          <w:tcPr>
            <w:tcW w:w="9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E71CF4B" w14:textId="77777777">
            <w:pPr>
              <w:jc w:val="right"/>
              <w:textAlignment w:val="baseline"/>
              <w:rPr>
                <w:rFonts w:eastAsia="Times New Roman"/>
                <w:color w:val="000000"/>
                <w:sz w:val="18"/>
                <w:szCs w:val="18"/>
              </w:rPr>
            </w:pPr>
            <w:r w:rsidRPr="00DF7C56">
              <w:rPr>
                <w:rFonts w:eastAsia="Times New Roman"/>
                <w:color w:val="000000"/>
                <w:sz w:val="20"/>
                <w:szCs w:val="20"/>
              </w:rPr>
              <w:t>20%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F2A2B70" w14:textId="77777777">
            <w:pPr>
              <w:jc w:val="right"/>
              <w:textAlignment w:val="baseline"/>
              <w:rPr>
                <w:rFonts w:eastAsia="Times New Roman"/>
                <w:color w:val="000000"/>
                <w:sz w:val="18"/>
                <w:szCs w:val="18"/>
              </w:rPr>
            </w:pPr>
            <w:r w:rsidRPr="00DF7C56">
              <w:rPr>
                <w:rFonts w:eastAsia="Times New Roman"/>
                <w:color w:val="000000"/>
                <w:sz w:val="18"/>
                <w:szCs w:val="18"/>
              </w:rPr>
              <w:t>$15.95  </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6FD1548E" w14:textId="77777777">
            <w:pPr>
              <w:jc w:val="right"/>
              <w:textAlignment w:val="baseline"/>
              <w:rPr>
                <w:rFonts w:eastAsia="Times New Roman"/>
                <w:color w:val="000000"/>
                <w:sz w:val="18"/>
                <w:szCs w:val="18"/>
              </w:rPr>
            </w:pPr>
            <w:r w:rsidRPr="00DF7C56">
              <w:rPr>
                <w:rFonts w:eastAsia="Times New Roman"/>
                <w:color w:val="000000"/>
                <w:sz w:val="18"/>
                <w:szCs w:val="18"/>
              </w:rPr>
              <w:t>$95.71  </w:t>
            </w:r>
          </w:p>
        </w:tc>
      </w:tr>
      <w:tr w14:paraId="10D3D261"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0F17BB1A" w14:textId="77777777">
            <w:pPr>
              <w:textAlignment w:val="baseline"/>
              <w:rPr>
                <w:rFonts w:eastAsia="Times New Roman"/>
                <w:color w:val="000000"/>
                <w:sz w:val="18"/>
                <w:szCs w:val="18"/>
              </w:rPr>
            </w:pPr>
            <w:r w:rsidRPr="00DF7C56">
              <w:rPr>
                <w:rFonts w:eastAsia="Times New Roman"/>
                <w:color w:val="000000"/>
                <w:sz w:val="18"/>
                <w:szCs w:val="18"/>
              </w:rPr>
              <w:t>Services/ </w:t>
            </w:r>
          </w:p>
          <w:p w:rsidR="00366EC0" w:rsidRPr="00DF7C56" w:rsidP="002E68C9" w14:paraId="1C718EBE" w14:textId="77777777">
            <w:pPr>
              <w:textAlignment w:val="baseline"/>
              <w:rPr>
                <w:rFonts w:eastAsia="Times New Roman"/>
                <w:color w:val="000000"/>
                <w:sz w:val="18"/>
                <w:szCs w:val="18"/>
              </w:rPr>
            </w:pPr>
            <w:r w:rsidRPr="00DF7C56">
              <w:rPr>
                <w:rFonts w:eastAsia="Times New Roman"/>
                <w:color w:val="000000"/>
                <w:sz w:val="18"/>
                <w:szCs w:val="18"/>
              </w:rPr>
              <w:t>Maintenance and Repair Worker </w:t>
            </w:r>
          </w:p>
        </w:tc>
        <w:tc>
          <w:tcPr>
            <w:tcW w:w="2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B7DCEA3" w14:textId="77777777">
            <w:pPr>
              <w:textAlignment w:val="baseline"/>
              <w:rPr>
                <w:rFonts w:eastAsia="Times New Roman"/>
                <w:color w:val="000000"/>
                <w:sz w:val="18"/>
                <w:szCs w:val="18"/>
              </w:rPr>
            </w:pPr>
            <w:r w:rsidRPr="00DF7C56">
              <w:rPr>
                <w:rFonts w:eastAsia="Times New Roman"/>
                <w:color w:val="000000"/>
                <w:sz w:val="18"/>
                <w:szCs w:val="18"/>
              </w:rPr>
              <w:t>BLS ECEC, Service-providing Industries, Natural resources, construction, and maintenance occupations, “Installation, maintenance, and repair" </w:t>
            </w:r>
          </w:p>
        </w:tc>
        <w:tc>
          <w:tcPr>
            <w:tcW w:w="7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46D2539" w14:textId="77777777">
            <w:pPr>
              <w:jc w:val="right"/>
              <w:textAlignment w:val="baseline"/>
              <w:rPr>
                <w:rFonts w:eastAsia="Times New Roman"/>
                <w:color w:val="000000"/>
                <w:sz w:val="18"/>
                <w:szCs w:val="18"/>
              </w:rPr>
            </w:pPr>
            <w:r w:rsidRPr="00DF7C56">
              <w:rPr>
                <w:rFonts w:eastAsia="Times New Roman"/>
                <w:color w:val="000000"/>
                <w:sz w:val="18"/>
                <w:szCs w:val="18"/>
              </w:rPr>
              <w:t>Dec-22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A39C5A9" w14:textId="77777777">
            <w:pPr>
              <w:jc w:val="right"/>
              <w:textAlignment w:val="baseline"/>
              <w:rPr>
                <w:rFonts w:eastAsia="Times New Roman"/>
                <w:color w:val="000000"/>
                <w:sz w:val="18"/>
                <w:szCs w:val="18"/>
              </w:rPr>
            </w:pPr>
            <w:r w:rsidRPr="00DF7C56">
              <w:rPr>
                <w:rFonts w:eastAsia="Times New Roman"/>
                <w:color w:val="000000"/>
                <w:sz w:val="18"/>
                <w:szCs w:val="18"/>
              </w:rPr>
              <w:t>$28.39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560C8F2" w14:textId="77777777">
            <w:pPr>
              <w:jc w:val="right"/>
              <w:textAlignment w:val="baseline"/>
              <w:rPr>
                <w:rFonts w:eastAsia="Times New Roman"/>
                <w:color w:val="000000"/>
                <w:sz w:val="18"/>
                <w:szCs w:val="18"/>
              </w:rPr>
            </w:pPr>
            <w:r w:rsidRPr="00DF7C56">
              <w:rPr>
                <w:rFonts w:eastAsia="Times New Roman"/>
                <w:color w:val="000000"/>
                <w:sz w:val="18"/>
                <w:szCs w:val="18"/>
              </w:rPr>
              <w:t>$13.15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1D09E2FA" w14:textId="77777777">
            <w:pPr>
              <w:jc w:val="right"/>
              <w:textAlignment w:val="baseline"/>
              <w:rPr>
                <w:rFonts w:eastAsia="Times New Roman"/>
                <w:color w:val="000000"/>
                <w:sz w:val="18"/>
                <w:szCs w:val="18"/>
              </w:rPr>
            </w:pPr>
            <w:r w:rsidRPr="00DF7C56">
              <w:rPr>
                <w:rFonts w:eastAsia="Times New Roman"/>
                <w:color w:val="000000"/>
                <w:sz w:val="18"/>
                <w:szCs w:val="18"/>
              </w:rPr>
              <w:t>$41.54  </w:t>
            </w:r>
          </w:p>
        </w:tc>
        <w:tc>
          <w:tcPr>
            <w:tcW w:w="9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1F555C6D" w14:textId="77777777">
            <w:pPr>
              <w:jc w:val="right"/>
              <w:textAlignment w:val="baseline"/>
              <w:rPr>
                <w:rFonts w:eastAsia="Times New Roman"/>
                <w:color w:val="000000"/>
                <w:sz w:val="18"/>
                <w:szCs w:val="18"/>
              </w:rPr>
            </w:pPr>
            <w:r w:rsidRPr="00DF7C56">
              <w:rPr>
                <w:rFonts w:eastAsia="Times New Roman"/>
                <w:color w:val="000000"/>
                <w:sz w:val="20"/>
                <w:szCs w:val="20"/>
              </w:rPr>
              <w:t>20%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8C77FA4" w14:textId="77777777">
            <w:pPr>
              <w:jc w:val="right"/>
              <w:textAlignment w:val="baseline"/>
              <w:rPr>
                <w:rFonts w:eastAsia="Times New Roman"/>
                <w:color w:val="000000"/>
                <w:sz w:val="18"/>
                <w:szCs w:val="18"/>
              </w:rPr>
            </w:pPr>
            <w:r w:rsidRPr="00DF7C56">
              <w:rPr>
                <w:rFonts w:eastAsia="Times New Roman"/>
                <w:color w:val="000000"/>
                <w:sz w:val="18"/>
                <w:szCs w:val="18"/>
              </w:rPr>
              <w:t>$8.31  </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08787958" w14:textId="77777777">
            <w:pPr>
              <w:jc w:val="right"/>
              <w:textAlignment w:val="baseline"/>
              <w:rPr>
                <w:rFonts w:eastAsia="Times New Roman"/>
                <w:color w:val="000000"/>
                <w:sz w:val="18"/>
                <w:szCs w:val="18"/>
              </w:rPr>
            </w:pPr>
            <w:r w:rsidRPr="00DF7C56">
              <w:rPr>
                <w:rFonts w:eastAsia="Times New Roman"/>
                <w:color w:val="000000"/>
                <w:sz w:val="18"/>
                <w:szCs w:val="18"/>
              </w:rPr>
              <w:t>$49.85  </w:t>
            </w:r>
          </w:p>
        </w:tc>
      </w:tr>
      <w:tr w14:paraId="7B0CF576"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93A8990" w14:textId="77777777">
            <w:pPr>
              <w:textAlignment w:val="baseline"/>
              <w:rPr>
                <w:rFonts w:eastAsia="Times New Roman"/>
                <w:color w:val="000000"/>
                <w:sz w:val="18"/>
                <w:szCs w:val="18"/>
              </w:rPr>
            </w:pPr>
            <w:r w:rsidRPr="00DF7C56">
              <w:rPr>
                <w:rFonts w:eastAsia="Times New Roman"/>
                <w:color w:val="000000"/>
                <w:sz w:val="18"/>
                <w:szCs w:val="18"/>
              </w:rPr>
              <w:t>Certified Industrial Hygienist </w:t>
            </w:r>
          </w:p>
        </w:tc>
        <w:tc>
          <w:tcPr>
            <w:tcW w:w="2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5BC273D" w14:textId="77777777">
            <w:pPr>
              <w:textAlignment w:val="baseline"/>
              <w:rPr>
                <w:rFonts w:eastAsia="Times New Roman"/>
                <w:color w:val="000000"/>
                <w:sz w:val="18"/>
                <w:szCs w:val="18"/>
              </w:rPr>
            </w:pPr>
            <w:r w:rsidRPr="00DF7C56">
              <w:rPr>
                <w:rFonts w:eastAsia="Times New Roman"/>
                <w:color w:val="000000"/>
                <w:sz w:val="18"/>
                <w:szCs w:val="18"/>
              </w:rPr>
              <w:t>Wage</w:t>
            </w:r>
            <w:r w:rsidRPr="00DF7C56">
              <w:rPr>
                <w:rFonts w:eastAsia="Times New Roman"/>
                <w:i/>
                <w:iCs/>
                <w:color w:val="000000"/>
                <w:sz w:val="18"/>
                <w:szCs w:val="18"/>
              </w:rPr>
              <w:t xml:space="preserve">: BLS OEWS Occupational Health &amp; Safety Specialists (19-5011) </w:t>
            </w:r>
            <w:r w:rsidRPr="00DF7C56">
              <w:rPr>
                <w:rFonts w:eastAsia="Times New Roman"/>
                <w:color w:val="000000"/>
                <w:sz w:val="18"/>
                <w:szCs w:val="18"/>
              </w:rPr>
              <w:t>Fringes as percent of wage: BLS ECEC, Private Manufacturing industries, “Professional and related occupations”</w:t>
            </w:r>
            <w:r w:rsidRPr="00DF7C56">
              <w:rPr>
                <w:rFonts w:eastAsia="Times New Roman"/>
                <w:color w:val="000000"/>
                <w:sz w:val="14"/>
                <w:szCs w:val="14"/>
                <w:vertAlign w:val="superscript"/>
              </w:rPr>
              <w:t xml:space="preserve"> 3,4</w:t>
            </w:r>
            <w:r w:rsidRPr="00DF7C56">
              <w:rPr>
                <w:rFonts w:eastAsia="Times New Roman"/>
                <w:color w:val="000000"/>
                <w:sz w:val="14"/>
                <w:szCs w:val="14"/>
              </w:rPr>
              <w:t> </w:t>
            </w:r>
          </w:p>
        </w:tc>
        <w:tc>
          <w:tcPr>
            <w:tcW w:w="7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E3A2567" w14:textId="77777777">
            <w:pPr>
              <w:jc w:val="right"/>
              <w:textAlignment w:val="baseline"/>
              <w:rPr>
                <w:rFonts w:eastAsia="Times New Roman"/>
                <w:color w:val="000000"/>
                <w:sz w:val="18"/>
                <w:szCs w:val="18"/>
              </w:rPr>
            </w:pPr>
            <w:r w:rsidRPr="00DF7C56">
              <w:rPr>
                <w:rFonts w:eastAsia="Times New Roman"/>
                <w:color w:val="000000"/>
                <w:sz w:val="18"/>
                <w:szCs w:val="18"/>
              </w:rPr>
              <w:t>May-22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7B9BCE0" w14:textId="77777777">
            <w:pPr>
              <w:jc w:val="right"/>
              <w:textAlignment w:val="baseline"/>
              <w:rPr>
                <w:rFonts w:eastAsia="Times New Roman"/>
                <w:color w:val="000000"/>
                <w:sz w:val="18"/>
                <w:szCs w:val="18"/>
              </w:rPr>
            </w:pPr>
            <w:r w:rsidRPr="00DF7C56">
              <w:rPr>
                <w:rFonts w:eastAsia="Times New Roman"/>
                <w:color w:val="000000"/>
                <w:sz w:val="18"/>
                <w:szCs w:val="18"/>
              </w:rPr>
              <w:t>$39.47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B8FE320" w14:textId="77777777">
            <w:pPr>
              <w:jc w:val="right"/>
              <w:textAlignment w:val="baseline"/>
              <w:rPr>
                <w:rFonts w:eastAsia="Times New Roman"/>
                <w:color w:val="000000"/>
                <w:sz w:val="18"/>
                <w:szCs w:val="18"/>
              </w:rPr>
            </w:pPr>
            <w:r w:rsidRPr="00DF7C56">
              <w:rPr>
                <w:rFonts w:eastAsia="Times New Roman"/>
                <w:color w:val="000000"/>
                <w:sz w:val="18"/>
                <w:szCs w:val="18"/>
              </w:rPr>
              <w:t>$19.96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A08FEF1" w14:textId="77777777">
            <w:pPr>
              <w:jc w:val="right"/>
              <w:textAlignment w:val="baseline"/>
              <w:rPr>
                <w:rFonts w:eastAsia="Times New Roman"/>
                <w:color w:val="000000"/>
                <w:sz w:val="18"/>
                <w:szCs w:val="18"/>
              </w:rPr>
            </w:pPr>
            <w:r w:rsidRPr="00DF7C56">
              <w:rPr>
                <w:rFonts w:eastAsia="Times New Roman"/>
                <w:color w:val="000000"/>
                <w:sz w:val="18"/>
                <w:szCs w:val="18"/>
              </w:rPr>
              <w:t>$59.43  </w:t>
            </w:r>
          </w:p>
        </w:tc>
        <w:tc>
          <w:tcPr>
            <w:tcW w:w="9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62945DB" w14:textId="77777777">
            <w:pPr>
              <w:jc w:val="right"/>
              <w:textAlignment w:val="baseline"/>
              <w:rPr>
                <w:rFonts w:eastAsia="Times New Roman"/>
                <w:color w:val="000000"/>
                <w:sz w:val="18"/>
                <w:szCs w:val="18"/>
              </w:rPr>
            </w:pPr>
            <w:r w:rsidRPr="00DF7C56">
              <w:rPr>
                <w:rFonts w:eastAsia="Times New Roman"/>
                <w:color w:val="000000"/>
                <w:sz w:val="18"/>
                <w:szCs w:val="18"/>
              </w:rPr>
              <w:t>20%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0869C864" w14:textId="77777777">
            <w:pPr>
              <w:jc w:val="right"/>
              <w:textAlignment w:val="baseline"/>
              <w:rPr>
                <w:rFonts w:eastAsia="Times New Roman"/>
                <w:color w:val="000000"/>
                <w:sz w:val="18"/>
                <w:szCs w:val="18"/>
              </w:rPr>
            </w:pPr>
            <w:r w:rsidRPr="00DF7C56">
              <w:rPr>
                <w:rFonts w:eastAsia="Times New Roman"/>
                <w:color w:val="000000"/>
                <w:sz w:val="18"/>
                <w:szCs w:val="18"/>
              </w:rPr>
              <w:t>$11.89  </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D395208" w14:textId="77777777">
            <w:pPr>
              <w:jc w:val="right"/>
              <w:textAlignment w:val="baseline"/>
              <w:rPr>
                <w:rFonts w:eastAsia="Times New Roman"/>
                <w:color w:val="000000"/>
                <w:sz w:val="18"/>
                <w:szCs w:val="18"/>
              </w:rPr>
            </w:pPr>
            <w:r w:rsidRPr="00DF7C56">
              <w:rPr>
                <w:rFonts w:eastAsia="Times New Roman"/>
                <w:color w:val="000000"/>
                <w:sz w:val="18"/>
                <w:szCs w:val="18"/>
              </w:rPr>
              <w:t>$71.32  </w:t>
            </w:r>
          </w:p>
        </w:tc>
      </w:tr>
      <w:tr w14:paraId="4A4E47D4"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B31BA09" w14:textId="77777777">
            <w:pPr>
              <w:textAlignment w:val="baseline"/>
              <w:rPr>
                <w:rFonts w:eastAsia="Times New Roman"/>
                <w:color w:val="000000"/>
                <w:sz w:val="18"/>
                <w:szCs w:val="18"/>
              </w:rPr>
            </w:pPr>
            <w:r w:rsidRPr="00DF7C56">
              <w:rPr>
                <w:rFonts w:eastAsia="Times New Roman"/>
                <w:color w:val="000000"/>
                <w:sz w:val="18"/>
                <w:szCs w:val="18"/>
              </w:rPr>
              <w:t>Technical Specialist </w:t>
            </w:r>
          </w:p>
        </w:tc>
        <w:tc>
          <w:tcPr>
            <w:tcW w:w="2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DBAC302" w14:textId="77777777">
            <w:pPr>
              <w:textAlignment w:val="baseline"/>
              <w:rPr>
                <w:rFonts w:eastAsia="Times New Roman"/>
                <w:color w:val="000000"/>
                <w:sz w:val="18"/>
                <w:szCs w:val="18"/>
              </w:rPr>
            </w:pPr>
            <w:r w:rsidRPr="00DF7C56">
              <w:rPr>
                <w:rFonts w:eastAsia="Times New Roman"/>
                <w:color w:val="000000"/>
                <w:sz w:val="18"/>
                <w:szCs w:val="18"/>
              </w:rPr>
              <w:t>Wage</w:t>
            </w:r>
            <w:r w:rsidRPr="00DF7C56">
              <w:rPr>
                <w:rFonts w:eastAsia="Times New Roman"/>
                <w:i/>
                <w:iCs/>
                <w:color w:val="000000"/>
                <w:sz w:val="18"/>
                <w:szCs w:val="18"/>
              </w:rPr>
              <w:t xml:space="preserve">: BLS OEWS Occupational Health &amp; Safety Technicians (19-5012) </w:t>
            </w:r>
            <w:r w:rsidRPr="00DF7C56">
              <w:rPr>
                <w:rFonts w:eastAsia="Times New Roman"/>
                <w:color w:val="000000"/>
                <w:sz w:val="18"/>
                <w:szCs w:val="18"/>
              </w:rPr>
              <w:t xml:space="preserve">Fringes as percent of wage: BLS ECEC, Private Manufacturing industries, “Professional and </w:t>
            </w:r>
            <w:r w:rsidRPr="00DF7C56">
              <w:rPr>
                <w:rFonts w:eastAsia="Times New Roman"/>
                <w:color w:val="000000"/>
                <w:sz w:val="18"/>
                <w:szCs w:val="18"/>
              </w:rPr>
              <w:t>related occupations”</w:t>
            </w:r>
            <w:r w:rsidRPr="00DF7C56">
              <w:rPr>
                <w:rFonts w:eastAsia="Times New Roman"/>
                <w:color w:val="000000"/>
                <w:sz w:val="14"/>
                <w:szCs w:val="14"/>
                <w:vertAlign w:val="superscript"/>
              </w:rPr>
              <w:t xml:space="preserve"> 3,4</w:t>
            </w:r>
            <w:r w:rsidRPr="00DF7C56">
              <w:rPr>
                <w:rFonts w:eastAsia="Times New Roman"/>
                <w:color w:val="000000"/>
                <w:sz w:val="14"/>
                <w:szCs w:val="14"/>
              </w:rPr>
              <w:t> </w:t>
            </w:r>
          </w:p>
        </w:tc>
        <w:tc>
          <w:tcPr>
            <w:tcW w:w="7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00D81878" w14:textId="77777777">
            <w:pPr>
              <w:jc w:val="right"/>
              <w:textAlignment w:val="baseline"/>
              <w:rPr>
                <w:rFonts w:eastAsia="Times New Roman"/>
                <w:color w:val="000000"/>
                <w:sz w:val="18"/>
                <w:szCs w:val="18"/>
              </w:rPr>
            </w:pPr>
            <w:r w:rsidRPr="00DF7C56">
              <w:rPr>
                <w:rFonts w:eastAsia="Times New Roman"/>
                <w:color w:val="000000"/>
                <w:sz w:val="18"/>
                <w:szCs w:val="18"/>
              </w:rPr>
              <w:t>May-22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D2F6711" w14:textId="77777777">
            <w:pPr>
              <w:jc w:val="right"/>
              <w:textAlignment w:val="baseline"/>
              <w:rPr>
                <w:rFonts w:eastAsia="Times New Roman"/>
                <w:color w:val="000000"/>
                <w:sz w:val="18"/>
                <w:szCs w:val="18"/>
              </w:rPr>
            </w:pPr>
            <w:r w:rsidRPr="00DF7C56">
              <w:rPr>
                <w:rFonts w:eastAsia="Times New Roman"/>
                <w:color w:val="000000"/>
                <w:sz w:val="18"/>
                <w:szCs w:val="18"/>
              </w:rPr>
              <w:t>$30.40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1E91EF37" w14:textId="77777777">
            <w:pPr>
              <w:jc w:val="right"/>
              <w:textAlignment w:val="baseline"/>
              <w:rPr>
                <w:rFonts w:eastAsia="Times New Roman"/>
                <w:color w:val="000000"/>
                <w:sz w:val="18"/>
                <w:szCs w:val="18"/>
              </w:rPr>
            </w:pPr>
            <w:r w:rsidRPr="00DF7C56">
              <w:rPr>
                <w:rFonts w:eastAsia="Times New Roman"/>
                <w:color w:val="000000"/>
                <w:sz w:val="18"/>
                <w:szCs w:val="18"/>
              </w:rPr>
              <w:t>$15.38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F92CF8B" w14:textId="77777777">
            <w:pPr>
              <w:jc w:val="right"/>
              <w:textAlignment w:val="baseline"/>
              <w:rPr>
                <w:rFonts w:eastAsia="Times New Roman"/>
                <w:color w:val="000000"/>
                <w:sz w:val="18"/>
                <w:szCs w:val="18"/>
              </w:rPr>
            </w:pPr>
            <w:r w:rsidRPr="00DF7C56">
              <w:rPr>
                <w:rFonts w:eastAsia="Times New Roman"/>
                <w:color w:val="000000"/>
                <w:sz w:val="18"/>
                <w:szCs w:val="18"/>
              </w:rPr>
              <w:t>$45.78  </w:t>
            </w:r>
          </w:p>
        </w:tc>
        <w:tc>
          <w:tcPr>
            <w:tcW w:w="9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1E30FB0A" w14:textId="77777777">
            <w:pPr>
              <w:jc w:val="right"/>
              <w:textAlignment w:val="baseline"/>
              <w:rPr>
                <w:rFonts w:eastAsia="Times New Roman"/>
                <w:color w:val="000000"/>
                <w:sz w:val="18"/>
                <w:szCs w:val="18"/>
              </w:rPr>
            </w:pPr>
            <w:r w:rsidRPr="00DF7C56">
              <w:rPr>
                <w:rFonts w:eastAsia="Times New Roman"/>
                <w:color w:val="000000"/>
                <w:sz w:val="18"/>
                <w:szCs w:val="18"/>
              </w:rPr>
              <w:t>20%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81B658E" w14:textId="77777777">
            <w:pPr>
              <w:jc w:val="right"/>
              <w:textAlignment w:val="baseline"/>
              <w:rPr>
                <w:rFonts w:eastAsia="Times New Roman"/>
                <w:color w:val="000000"/>
                <w:sz w:val="18"/>
                <w:szCs w:val="18"/>
              </w:rPr>
            </w:pPr>
            <w:r w:rsidRPr="00DF7C56">
              <w:rPr>
                <w:rFonts w:eastAsia="Times New Roman"/>
                <w:color w:val="000000"/>
                <w:sz w:val="18"/>
                <w:szCs w:val="18"/>
              </w:rPr>
              <w:t>$9.16  </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E13D7E5" w14:textId="77777777">
            <w:pPr>
              <w:jc w:val="right"/>
              <w:textAlignment w:val="baseline"/>
              <w:rPr>
                <w:rFonts w:eastAsia="Times New Roman"/>
                <w:color w:val="000000"/>
                <w:sz w:val="18"/>
                <w:szCs w:val="18"/>
              </w:rPr>
            </w:pPr>
            <w:r w:rsidRPr="00DF7C56">
              <w:rPr>
                <w:rFonts w:eastAsia="Times New Roman"/>
                <w:color w:val="000000"/>
                <w:sz w:val="18"/>
                <w:szCs w:val="18"/>
              </w:rPr>
              <w:t>$54.93  </w:t>
            </w:r>
          </w:p>
        </w:tc>
      </w:tr>
      <w:tr w14:paraId="2A0C82E0"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8266F7A" w14:textId="77777777">
            <w:pPr>
              <w:textAlignment w:val="baseline"/>
              <w:rPr>
                <w:rFonts w:eastAsia="Times New Roman"/>
                <w:color w:val="000000"/>
                <w:sz w:val="18"/>
                <w:szCs w:val="18"/>
              </w:rPr>
            </w:pPr>
            <w:r w:rsidRPr="00DF7C56">
              <w:rPr>
                <w:rFonts w:eastAsia="Times New Roman"/>
                <w:color w:val="000000"/>
                <w:sz w:val="18"/>
                <w:szCs w:val="18"/>
              </w:rPr>
              <w:t>Vapor Degreasing Technician </w:t>
            </w:r>
          </w:p>
        </w:tc>
        <w:tc>
          <w:tcPr>
            <w:tcW w:w="2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58F5E88" w14:textId="77777777">
            <w:pPr>
              <w:textAlignment w:val="baseline"/>
              <w:rPr>
                <w:rFonts w:eastAsia="Times New Roman"/>
                <w:color w:val="000000"/>
                <w:sz w:val="18"/>
                <w:szCs w:val="18"/>
              </w:rPr>
            </w:pPr>
            <w:r w:rsidRPr="00DF7C56">
              <w:rPr>
                <w:rFonts w:eastAsia="Times New Roman"/>
                <w:color w:val="000000"/>
                <w:sz w:val="18"/>
                <w:szCs w:val="18"/>
              </w:rPr>
              <w:t>Wage</w:t>
            </w:r>
            <w:r w:rsidRPr="00DF7C56">
              <w:rPr>
                <w:rFonts w:eastAsia="Times New Roman"/>
                <w:i/>
                <w:iCs/>
                <w:color w:val="000000"/>
                <w:sz w:val="18"/>
                <w:szCs w:val="18"/>
              </w:rPr>
              <w:t xml:space="preserve">: BLS OEWS Plant and Systems Operators (51-8000) </w:t>
            </w:r>
            <w:r w:rsidRPr="00DF7C56">
              <w:rPr>
                <w:rFonts w:eastAsia="Times New Roman"/>
                <w:color w:val="000000"/>
                <w:sz w:val="18"/>
                <w:szCs w:val="18"/>
              </w:rPr>
              <w:t>Fringes as percent of wage: BLS ECEC, Manufacturing industry</w:t>
            </w:r>
            <w:r w:rsidRPr="00DF7C56">
              <w:rPr>
                <w:rFonts w:eastAsia="Times New Roman"/>
                <w:color w:val="000000"/>
                <w:sz w:val="14"/>
                <w:szCs w:val="14"/>
                <w:vertAlign w:val="superscript"/>
              </w:rPr>
              <w:t xml:space="preserve"> 3,4</w:t>
            </w:r>
            <w:r w:rsidRPr="00DF7C56">
              <w:rPr>
                <w:rFonts w:eastAsia="Times New Roman"/>
                <w:color w:val="000000"/>
                <w:sz w:val="14"/>
                <w:szCs w:val="14"/>
              </w:rPr>
              <w:t> </w:t>
            </w:r>
          </w:p>
        </w:tc>
        <w:tc>
          <w:tcPr>
            <w:tcW w:w="7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82A5E9F" w14:textId="77777777">
            <w:pPr>
              <w:jc w:val="right"/>
              <w:textAlignment w:val="baseline"/>
              <w:rPr>
                <w:rFonts w:eastAsia="Times New Roman"/>
                <w:color w:val="000000"/>
                <w:sz w:val="18"/>
                <w:szCs w:val="18"/>
              </w:rPr>
            </w:pPr>
            <w:r w:rsidRPr="00DF7C56">
              <w:rPr>
                <w:rFonts w:eastAsia="Times New Roman"/>
                <w:color w:val="000000"/>
                <w:sz w:val="18"/>
                <w:szCs w:val="18"/>
              </w:rPr>
              <w:t>May-22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6C7CE415" w14:textId="77777777">
            <w:pPr>
              <w:jc w:val="right"/>
              <w:textAlignment w:val="baseline"/>
              <w:rPr>
                <w:rFonts w:eastAsia="Times New Roman"/>
                <w:color w:val="000000"/>
                <w:sz w:val="18"/>
                <w:szCs w:val="18"/>
              </w:rPr>
            </w:pPr>
            <w:r w:rsidRPr="00DF7C56">
              <w:rPr>
                <w:rFonts w:eastAsia="Times New Roman"/>
                <w:color w:val="000000"/>
                <w:sz w:val="18"/>
                <w:szCs w:val="18"/>
              </w:rPr>
              <w:t>$33.85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0E46F02B" w14:textId="77777777">
            <w:pPr>
              <w:jc w:val="right"/>
              <w:textAlignment w:val="baseline"/>
              <w:rPr>
                <w:rFonts w:eastAsia="Times New Roman"/>
                <w:color w:val="000000"/>
                <w:sz w:val="18"/>
                <w:szCs w:val="18"/>
              </w:rPr>
            </w:pPr>
            <w:r w:rsidRPr="00DF7C56">
              <w:rPr>
                <w:rFonts w:eastAsia="Times New Roman"/>
                <w:color w:val="000000"/>
                <w:sz w:val="18"/>
                <w:szCs w:val="18"/>
              </w:rPr>
              <w:t>$17.12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527862E2" w14:textId="77777777">
            <w:pPr>
              <w:jc w:val="right"/>
              <w:textAlignment w:val="baseline"/>
              <w:rPr>
                <w:rFonts w:eastAsia="Times New Roman"/>
                <w:color w:val="000000"/>
                <w:sz w:val="18"/>
                <w:szCs w:val="18"/>
              </w:rPr>
            </w:pPr>
            <w:r w:rsidRPr="00DF7C56">
              <w:rPr>
                <w:rFonts w:eastAsia="Times New Roman"/>
                <w:color w:val="000000"/>
                <w:sz w:val="18"/>
                <w:szCs w:val="18"/>
              </w:rPr>
              <w:t>$50.97  </w:t>
            </w:r>
          </w:p>
        </w:tc>
        <w:tc>
          <w:tcPr>
            <w:tcW w:w="9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6F7659F5" w14:textId="77777777">
            <w:pPr>
              <w:jc w:val="right"/>
              <w:textAlignment w:val="baseline"/>
              <w:rPr>
                <w:rFonts w:eastAsia="Times New Roman"/>
                <w:color w:val="000000"/>
                <w:sz w:val="18"/>
                <w:szCs w:val="18"/>
              </w:rPr>
            </w:pPr>
            <w:r w:rsidRPr="00DF7C56">
              <w:rPr>
                <w:rFonts w:eastAsia="Times New Roman"/>
                <w:color w:val="000000"/>
                <w:sz w:val="18"/>
                <w:szCs w:val="18"/>
              </w:rPr>
              <w:t>20%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A65EE63" w14:textId="77777777">
            <w:pPr>
              <w:jc w:val="right"/>
              <w:textAlignment w:val="baseline"/>
              <w:rPr>
                <w:rFonts w:eastAsia="Times New Roman"/>
                <w:color w:val="000000"/>
                <w:sz w:val="18"/>
                <w:szCs w:val="18"/>
              </w:rPr>
            </w:pPr>
            <w:r w:rsidRPr="00DF7C56">
              <w:rPr>
                <w:rFonts w:eastAsia="Times New Roman"/>
                <w:color w:val="000000"/>
                <w:sz w:val="18"/>
                <w:szCs w:val="18"/>
              </w:rPr>
              <w:t>$10.19  </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23771279" w14:textId="77777777">
            <w:pPr>
              <w:jc w:val="right"/>
              <w:textAlignment w:val="baseline"/>
              <w:rPr>
                <w:rFonts w:eastAsia="Times New Roman"/>
                <w:color w:val="000000"/>
                <w:sz w:val="18"/>
                <w:szCs w:val="18"/>
              </w:rPr>
            </w:pPr>
            <w:r w:rsidRPr="00DF7C56">
              <w:rPr>
                <w:rFonts w:eastAsia="Times New Roman"/>
                <w:color w:val="000000"/>
                <w:sz w:val="18"/>
                <w:szCs w:val="18"/>
              </w:rPr>
              <w:t>$61.16  </w:t>
            </w:r>
          </w:p>
        </w:tc>
      </w:tr>
      <w:tr w14:paraId="4B144058" w14:textId="77777777" w:rsidTr="005A60C1">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D0599D3" w14:textId="77777777">
            <w:pPr>
              <w:textAlignment w:val="baseline"/>
              <w:rPr>
                <w:rFonts w:eastAsia="Times New Roman"/>
                <w:color w:val="000000"/>
                <w:sz w:val="18"/>
                <w:szCs w:val="18"/>
              </w:rPr>
            </w:pPr>
            <w:r w:rsidRPr="00DF7C56">
              <w:rPr>
                <w:rFonts w:eastAsia="Times New Roman"/>
                <w:color w:val="000000"/>
                <w:sz w:val="18"/>
                <w:szCs w:val="18"/>
              </w:rPr>
              <w:t>Senior Engineer and Technical Advisor (vapor degreasing)  </w:t>
            </w:r>
          </w:p>
        </w:tc>
        <w:tc>
          <w:tcPr>
            <w:tcW w:w="2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1AEB1450" w14:textId="77777777">
            <w:pPr>
              <w:textAlignment w:val="baseline"/>
              <w:rPr>
                <w:rFonts w:eastAsia="Times New Roman"/>
                <w:color w:val="000000"/>
                <w:sz w:val="18"/>
                <w:szCs w:val="18"/>
              </w:rPr>
            </w:pPr>
            <w:r w:rsidRPr="00DF7C56">
              <w:rPr>
                <w:rFonts w:eastAsia="Times New Roman"/>
                <w:color w:val="000000"/>
                <w:sz w:val="18"/>
                <w:szCs w:val="18"/>
              </w:rPr>
              <w:t>Wage</w:t>
            </w:r>
            <w:r w:rsidRPr="00DF7C56">
              <w:rPr>
                <w:rFonts w:eastAsia="Times New Roman"/>
                <w:i/>
                <w:iCs/>
                <w:color w:val="000000"/>
                <w:sz w:val="18"/>
                <w:szCs w:val="18"/>
              </w:rPr>
              <w:t xml:space="preserve">: BLS OEWS Architectural and Engineering Managers (11-9041) </w:t>
            </w:r>
            <w:r w:rsidRPr="00DF7C56">
              <w:rPr>
                <w:rFonts w:eastAsia="Times New Roman"/>
                <w:color w:val="000000"/>
                <w:sz w:val="18"/>
                <w:szCs w:val="18"/>
              </w:rPr>
              <w:t>Fringes as percent of wage: BLS ECEC, Manufacturing industry</w:t>
            </w:r>
            <w:r w:rsidRPr="00DF7C56">
              <w:rPr>
                <w:rFonts w:eastAsia="Times New Roman"/>
                <w:color w:val="000000"/>
                <w:sz w:val="14"/>
                <w:szCs w:val="14"/>
                <w:vertAlign w:val="superscript"/>
              </w:rPr>
              <w:t xml:space="preserve"> 3,4</w:t>
            </w:r>
            <w:r w:rsidRPr="00DF7C56">
              <w:rPr>
                <w:rFonts w:eastAsia="Times New Roman"/>
                <w:color w:val="000000"/>
                <w:sz w:val="14"/>
                <w:szCs w:val="14"/>
              </w:rPr>
              <w:t> </w:t>
            </w:r>
          </w:p>
        </w:tc>
        <w:tc>
          <w:tcPr>
            <w:tcW w:w="7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77700AD" w14:textId="77777777">
            <w:pPr>
              <w:jc w:val="right"/>
              <w:textAlignment w:val="baseline"/>
              <w:rPr>
                <w:rFonts w:eastAsia="Times New Roman"/>
                <w:color w:val="000000"/>
                <w:sz w:val="18"/>
                <w:szCs w:val="18"/>
              </w:rPr>
            </w:pPr>
            <w:r w:rsidRPr="00DF7C56">
              <w:rPr>
                <w:rFonts w:eastAsia="Times New Roman"/>
                <w:color w:val="000000"/>
                <w:sz w:val="18"/>
                <w:szCs w:val="18"/>
              </w:rPr>
              <w:t>May-22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B61CEDB" w14:textId="77777777">
            <w:pPr>
              <w:jc w:val="right"/>
              <w:textAlignment w:val="baseline"/>
              <w:rPr>
                <w:rFonts w:eastAsia="Times New Roman"/>
                <w:color w:val="000000"/>
                <w:sz w:val="18"/>
                <w:szCs w:val="18"/>
              </w:rPr>
            </w:pPr>
            <w:r w:rsidRPr="00DF7C56">
              <w:rPr>
                <w:rFonts w:eastAsia="Times New Roman"/>
                <w:color w:val="000000"/>
                <w:sz w:val="18"/>
                <w:szCs w:val="18"/>
              </w:rPr>
              <w:t>$78.52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2497184" w14:textId="77777777">
            <w:pPr>
              <w:jc w:val="right"/>
              <w:textAlignment w:val="baseline"/>
              <w:rPr>
                <w:rFonts w:eastAsia="Times New Roman"/>
                <w:color w:val="000000"/>
                <w:sz w:val="18"/>
                <w:szCs w:val="18"/>
              </w:rPr>
            </w:pPr>
            <w:r w:rsidRPr="00DF7C56">
              <w:rPr>
                <w:rFonts w:eastAsia="Times New Roman"/>
                <w:color w:val="000000"/>
                <w:sz w:val="18"/>
                <w:szCs w:val="18"/>
              </w:rPr>
              <w:t>$39.71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6949325" w14:textId="77777777">
            <w:pPr>
              <w:jc w:val="right"/>
              <w:textAlignment w:val="baseline"/>
              <w:rPr>
                <w:rFonts w:eastAsia="Times New Roman"/>
                <w:color w:val="000000"/>
                <w:sz w:val="18"/>
                <w:szCs w:val="18"/>
              </w:rPr>
            </w:pPr>
            <w:r w:rsidRPr="00DF7C56">
              <w:rPr>
                <w:rFonts w:eastAsia="Times New Roman"/>
                <w:color w:val="000000"/>
                <w:sz w:val="18"/>
                <w:szCs w:val="18"/>
              </w:rPr>
              <w:t>$118.23  </w:t>
            </w:r>
          </w:p>
        </w:tc>
        <w:tc>
          <w:tcPr>
            <w:tcW w:w="9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4CDDC324" w14:textId="77777777">
            <w:pPr>
              <w:jc w:val="right"/>
              <w:textAlignment w:val="baseline"/>
              <w:rPr>
                <w:rFonts w:eastAsia="Times New Roman"/>
                <w:color w:val="000000"/>
                <w:sz w:val="18"/>
                <w:szCs w:val="18"/>
              </w:rPr>
            </w:pPr>
            <w:r w:rsidRPr="00DF7C56">
              <w:rPr>
                <w:rFonts w:eastAsia="Times New Roman"/>
                <w:color w:val="000000"/>
                <w:sz w:val="18"/>
                <w:szCs w:val="18"/>
              </w:rPr>
              <w:t>20%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7294079A" w14:textId="77777777">
            <w:pPr>
              <w:jc w:val="right"/>
              <w:textAlignment w:val="baseline"/>
              <w:rPr>
                <w:rFonts w:eastAsia="Times New Roman"/>
                <w:color w:val="000000"/>
                <w:sz w:val="18"/>
                <w:szCs w:val="18"/>
              </w:rPr>
            </w:pPr>
            <w:r w:rsidRPr="00DF7C56">
              <w:rPr>
                <w:rFonts w:eastAsia="Times New Roman"/>
                <w:color w:val="000000"/>
                <w:sz w:val="18"/>
                <w:szCs w:val="18"/>
              </w:rPr>
              <w:t>$23.65  </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33F4A2BF" w14:textId="77777777">
            <w:pPr>
              <w:jc w:val="right"/>
              <w:textAlignment w:val="baseline"/>
              <w:rPr>
                <w:rFonts w:eastAsia="Times New Roman"/>
                <w:color w:val="000000"/>
                <w:sz w:val="18"/>
                <w:szCs w:val="18"/>
              </w:rPr>
            </w:pPr>
            <w:r w:rsidRPr="00DF7C56">
              <w:rPr>
                <w:rFonts w:eastAsia="Times New Roman"/>
                <w:color w:val="000000"/>
                <w:sz w:val="18"/>
                <w:szCs w:val="18"/>
              </w:rPr>
              <w:t>$141.88  </w:t>
            </w:r>
          </w:p>
        </w:tc>
      </w:tr>
      <w:tr w14:paraId="530DBD47" w14:textId="77777777" w:rsidTr="00DF7C56">
        <w:tblPrEx>
          <w:tblW w:w="116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260" w:type="dxa"/>
          <w:trHeight w:val="300"/>
        </w:trPr>
        <w:tc>
          <w:tcPr>
            <w:tcW w:w="10398"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rsidR="00366EC0" w:rsidRPr="00DF7C56" w:rsidP="002E68C9" w14:paraId="62F54A55" w14:textId="77777777">
            <w:pPr>
              <w:textAlignment w:val="baseline"/>
              <w:rPr>
                <w:rFonts w:eastAsia="Times New Roman"/>
                <w:sz w:val="18"/>
                <w:szCs w:val="18"/>
              </w:rPr>
            </w:pPr>
            <w:r w:rsidRPr="00DF7C56">
              <w:rPr>
                <w:rFonts w:eastAsia="Times New Roman"/>
                <w:sz w:val="14"/>
                <w:szCs w:val="14"/>
                <w:vertAlign w:val="superscript"/>
              </w:rPr>
              <w:t>1</w:t>
            </w:r>
            <w:r w:rsidRPr="00DF7C56">
              <w:rPr>
                <w:rFonts w:eastAsia="Times New Roman"/>
                <w:sz w:val="18"/>
                <w:szCs w:val="18"/>
              </w:rPr>
              <w:t xml:space="preserve"> An overhead rate of 20% is used based on assumptions in </w:t>
            </w:r>
            <w:r w:rsidRPr="00DF7C56">
              <w:rPr>
                <w:rFonts w:eastAsia="Times New Roman"/>
                <w:i/>
                <w:iCs/>
                <w:sz w:val="18"/>
                <w:szCs w:val="18"/>
              </w:rPr>
              <w:t>Handbook on Valuing Changes in Time Use Induced by Regulatory Requirements and Other U.S. EPA Actions</w:t>
            </w:r>
            <w:r w:rsidRPr="00DF7C56">
              <w:rPr>
                <w:rFonts w:eastAsia="Times New Roman"/>
                <w:sz w:val="18"/>
                <w:szCs w:val="18"/>
              </w:rPr>
              <w:t xml:space="preserve"> (</w:t>
            </w:r>
            <w:r w:rsidRPr="00DF7C56">
              <w:rPr>
                <w:rFonts w:eastAsia="Times New Roman"/>
                <w:color w:val="000000"/>
                <w:sz w:val="18"/>
                <w:szCs w:val="18"/>
                <w:shd w:val="clear" w:color="auto" w:fill="E1E3E6"/>
              </w:rPr>
              <w:t>EPA 2020g</w:t>
            </w:r>
            <w:r w:rsidRPr="00DF7C56">
              <w:rPr>
                <w:rFonts w:eastAsia="Times New Roman"/>
                <w:sz w:val="18"/>
                <w:szCs w:val="18"/>
              </w:rPr>
              <w:t>). </w:t>
            </w:r>
          </w:p>
          <w:p w:rsidR="00366EC0" w:rsidRPr="00DF7C56" w:rsidP="002E68C9" w14:paraId="77317AF6" w14:textId="77777777">
            <w:pPr>
              <w:textAlignment w:val="baseline"/>
              <w:rPr>
                <w:rFonts w:eastAsia="Times New Roman"/>
                <w:sz w:val="18"/>
                <w:szCs w:val="18"/>
              </w:rPr>
            </w:pPr>
            <w:r w:rsidRPr="00DF7C56">
              <w:rPr>
                <w:rFonts w:eastAsia="Times New Roman"/>
                <w:sz w:val="14"/>
                <w:szCs w:val="14"/>
                <w:vertAlign w:val="superscript"/>
              </w:rPr>
              <w:t xml:space="preserve">2 </w:t>
            </w:r>
            <w:r w:rsidRPr="00DF7C56">
              <w:rPr>
                <w:rFonts w:eastAsia="Times New Roman"/>
                <w:sz w:val="18"/>
                <w:szCs w:val="18"/>
              </w:rPr>
              <w:t xml:space="preserve">Source: </w:t>
            </w:r>
            <w:r w:rsidRPr="00DF7C56">
              <w:rPr>
                <w:rFonts w:eastAsia="Times New Roman"/>
                <w:i/>
                <w:iCs/>
                <w:sz w:val="18"/>
                <w:szCs w:val="18"/>
              </w:rPr>
              <w:t>Employer Costs for Employee Compensation Historical Supplementary Tables, National Compensation Survey: December 2022</w:t>
            </w:r>
            <w:r w:rsidRPr="00DF7C56">
              <w:rPr>
                <w:rFonts w:eastAsia="Times New Roman"/>
                <w:sz w:val="18"/>
                <w:szCs w:val="18"/>
              </w:rPr>
              <w:t xml:space="preserve"> (</w:t>
            </w:r>
            <w:r w:rsidRPr="00DF7C56">
              <w:rPr>
                <w:rFonts w:eastAsia="Times New Roman"/>
                <w:color w:val="000000"/>
                <w:sz w:val="18"/>
                <w:szCs w:val="18"/>
                <w:shd w:val="clear" w:color="auto" w:fill="E1E3E6"/>
              </w:rPr>
              <w:t>BLS 2023b</w:t>
            </w:r>
            <w:r w:rsidRPr="00DF7C56">
              <w:rPr>
                <w:rFonts w:eastAsia="Times New Roman"/>
                <w:sz w:val="18"/>
                <w:szCs w:val="18"/>
              </w:rPr>
              <w:t>). </w:t>
            </w:r>
          </w:p>
          <w:p w:rsidR="00366EC0" w:rsidRPr="00DF7C56" w:rsidP="002E68C9" w14:paraId="404738A3" w14:textId="77777777">
            <w:pPr>
              <w:textAlignment w:val="baseline"/>
              <w:rPr>
                <w:rFonts w:eastAsia="Times New Roman"/>
                <w:sz w:val="18"/>
                <w:szCs w:val="18"/>
              </w:rPr>
            </w:pPr>
            <w:r w:rsidRPr="00DF7C56">
              <w:rPr>
                <w:rFonts w:eastAsia="Times New Roman"/>
                <w:sz w:val="14"/>
                <w:szCs w:val="14"/>
                <w:vertAlign w:val="superscript"/>
              </w:rPr>
              <w:t>3</w:t>
            </w:r>
            <w:r w:rsidRPr="00DF7C56">
              <w:rPr>
                <w:rFonts w:eastAsia="Times New Roman"/>
                <w:sz w:val="18"/>
                <w:szCs w:val="18"/>
              </w:rPr>
              <w:t xml:space="preserve"> Source: </w:t>
            </w:r>
            <w:r w:rsidRPr="00DF7C56">
              <w:rPr>
                <w:rFonts w:eastAsia="Times New Roman"/>
                <w:i/>
                <w:iCs/>
                <w:sz w:val="18"/>
                <w:szCs w:val="18"/>
              </w:rPr>
              <w:t>Occupational Employment Statistics</w:t>
            </w:r>
            <w:r w:rsidRPr="00DF7C56">
              <w:rPr>
                <w:rFonts w:eastAsia="Times New Roman"/>
                <w:sz w:val="18"/>
                <w:szCs w:val="18"/>
              </w:rPr>
              <w:t xml:space="preserve"> </w:t>
            </w:r>
            <w:r w:rsidRPr="00DF7C56">
              <w:rPr>
                <w:rFonts w:eastAsia="Times New Roman"/>
                <w:i/>
                <w:iCs/>
                <w:sz w:val="18"/>
                <w:szCs w:val="18"/>
              </w:rPr>
              <w:t>(Occupational Employment and Wage Statistics</w:t>
            </w:r>
            <w:r w:rsidRPr="00DF7C56">
              <w:rPr>
                <w:rFonts w:eastAsia="Times New Roman"/>
                <w:sz w:val="18"/>
                <w:szCs w:val="18"/>
              </w:rPr>
              <w:t>) for May 2022 (</w:t>
            </w:r>
            <w:r w:rsidRPr="00DF7C56">
              <w:rPr>
                <w:rFonts w:eastAsia="Times New Roman"/>
                <w:color w:val="000000"/>
                <w:sz w:val="18"/>
                <w:szCs w:val="18"/>
                <w:shd w:val="clear" w:color="auto" w:fill="E1E3E6"/>
              </w:rPr>
              <w:t>BLS 2023c</w:t>
            </w:r>
            <w:r w:rsidRPr="00DF7C56">
              <w:rPr>
                <w:rFonts w:eastAsia="Times New Roman"/>
                <w:sz w:val="18"/>
                <w:szCs w:val="18"/>
              </w:rPr>
              <w:t>). </w:t>
            </w:r>
          </w:p>
          <w:p w:rsidR="00366EC0" w:rsidRPr="00DF7C56" w:rsidP="002E68C9" w14:paraId="07549611" w14:textId="77777777">
            <w:pPr>
              <w:textAlignment w:val="baseline"/>
              <w:rPr>
                <w:rFonts w:eastAsia="Times New Roman"/>
                <w:sz w:val="18"/>
                <w:szCs w:val="18"/>
              </w:rPr>
            </w:pPr>
            <w:r w:rsidRPr="00DF7C56">
              <w:rPr>
                <w:rFonts w:eastAsia="Times New Roman"/>
                <w:sz w:val="14"/>
                <w:szCs w:val="14"/>
                <w:vertAlign w:val="superscript"/>
              </w:rPr>
              <w:t xml:space="preserve">4 </w:t>
            </w:r>
            <w:r w:rsidRPr="00DF7C56">
              <w:rPr>
                <w:rFonts w:eastAsia="Times New Roman"/>
                <w:sz w:val="18"/>
                <w:szCs w:val="18"/>
              </w:rPr>
              <w:t>Fringe benefits are not reported in the BLS OEWS (</w:t>
            </w:r>
            <w:r w:rsidRPr="00DF7C56">
              <w:rPr>
                <w:rFonts w:eastAsia="Times New Roman"/>
                <w:color w:val="000000"/>
                <w:sz w:val="18"/>
                <w:szCs w:val="18"/>
                <w:shd w:val="clear" w:color="auto" w:fill="E1E3E6"/>
              </w:rPr>
              <w:t>BLS 2023c</w:t>
            </w:r>
            <w:r w:rsidRPr="00DF7C56">
              <w:rPr>
                <w:rFonts w:eastAsia="Times New Roman"/>
                <w:sz w:val="18"/>
                <w:szCs w:val="18"/>
              </w:rPr>
              <w:t xml:space="preserve">). It </w:t>
            </w:r>
            <w:r w:rsidRPr="00DF7C56">
              <w:rPr>
                <w:rFonts w:eastAsia="Times New Roman"/>
                <w:sz w:val="18"/>
                <w:szCs w:val="18"/>
              </w:rPr>
              <w:t>is therefore is</w:t>
            </w:r>
            <w:r w:rsidRPr="00DF7C56">
              <w:rPr>
                <w:rFonts w:eastAsia="Times New Roman"/>
                <w:sz w:val="18"/>
                <w:szCs w:val="18"/>
              </w:rPr>
              <w:t xml:space="preserve"> assumed that fringes as a percentage of wages are 50.58%, based on the percentage for Private Manufacturing Industries, “Professional and related” in the BLS ECEC (</w:t>
            </w:r>
            <w:hyperlink w:tgtFrame="_blank" w:history="1">
              <w:r w:rsidRPr="00DF7C56">
                <w:rPr>
                  <w:rFonts w:eastAsia="Times New Roman"/>
                  <w:color w:val="000000"/>
                  <w:sz w:val="18"/>
                  <w:szCs w:val="18"/>
                  <w:shd w:val="clear" w:color="auto" w:fill="E1E3E6"/>
                </w:rPr>
                <w:t>BLS 2023b</w:t>
              </w:r>
            </w:hyperlink>
            <w:r w:rsidRPr="00DF7C56">
              <w:rPr>
                <w:rFonts w:eastAsia="Times New Roman"/>
                <w:sz w:val="18"/>
                <w:szCs w:val="18"/>
              </w:rPr>
              <w:t>).  </w:t>
            </w:r>
          </w:p>
        </w:tc>
      </w:tr>
    </w:tbl>
    <w:tbl>
      <w:tblPr>
        <w:tblpPr w:leftFromText="180" w:rightFromText="180" w:vertAnchor="text" w:horzAnchor="margin" w:tblpY="-3520"/>
        <w:tblW w:w="106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0620"/>
      </w:tblGrid>
      <w:tr w14:paraId="2C6BBBB0" w14:textId="77777777" w:rsidTr="005A60C1">
        <w:tblPrEx>
          <w:tblW w:w="106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738"/>
        </w:trPr>
        <w:tc>
          <w:tcPr>
            <w:tcW w:w="10620" w:type="dxa"/>
            <w:tcBorders>
              <w:top w:val="nil"/>
              <w:left w:val="nil"/>
              <w:bottom w:val="single" w:sz="6" w:space="0" w:color="auto"/>
              <w:right w:val="nil"/>
            </w:tcBorders>
            <w:shd w:val="clear" w:color="auto" w:fill="auto"/>
          </w:tcPr>
          <w:p w:rsidR="008714EF" w:rsidRPr="008714EF" w:rsidP="008714EF" w14:paraId="5878C6B4" w14:textId="66632E5F">
            <w:pPr>
              <w:textAlignment w:val="baseline"/>
              <w:rPr>
                <w:rFonts w:ascii="Segoe UI" w:eastAsia="Times New Roman" w:hAnsi="Segoe UI" w:cs="Segoe UI"/>
                <w:sz w:val="18"/>
                <w:szCs w:val="18"/>
              </w:rPr>
            </w:pPr>
          </w:p>
        </w:tc>
      </w:tr>
    </w:tbl>
    <w:p w:rsidR="003033C5" w:rsidP="00DF2B2E" w14:paraId="10399746" w14:textId="77777777">
      <w:pPr>
        <w:pStyle w:val="BodyText"/>
        <w:ind w:right="749"/>
      </w:pPr>
    </w:p>
    <w:p w:rsidR="005A60C1" w14:paraId="2BEAA8D5" w14:textId="4E389B59">
      <w:pPr>
        <w:rPr>
          <w:sz w:val="24"/>
          <w:szCs w:val="24"/>
        </w:rPr>
      </w:pPr>
    </w:p>
    <w:p w:rsidR="00960415" w:rsidP="00DF2B2E" w14:paraId="5D818285" w14:textId="14235E70">
      <w:pPr>
        <w:pStyle w:val="BodyText"/>
        <w:ind w:right="749"/>
      </w:pPr>
      <w:r w:rsidRPr="008714EF">
        <w:t xml:space="preserve">The table below presents the summary of the average annual burden hours and costs per facility associated with the proposed option. See Chapter </w:t>
      </w:r>
      <w:r w:rsidRPr="008714EF">
        <w:fldChar w:fldCharType="begin"/>
      </w:r>
      <w:r w:rsidRPr="008714EF">
        <w:instrText xml:space="preserve"> REF _Ref30142408 \r \h  \* MERGEFORMAT </w:instrText>
      </w:r>
      <w:r w:rsidRPr="008714EF">
        <w:fldChar w:fldCharType="separate"/>
      </w:r>
      <w:r w:rsidRPr="008714EF">
        <w:t>7</w:t>
      </w:r>
      <w:r w:rsidRPr="008714EF">
        <w:fldChar w:fldCharType="end"/>
      </w:r>
      <w:r w:rsidRPr="008714EF">
        <w:t xml:space="preserve"> of the economic analysis for a more detailed description of how the time burden and wage rates were estimated. The burden and cost estimates provided reflect the figures provided in the accompanying Information Collection Request (ICR) for the rule.</w:t>
      </w:r>
    </w:p>
    <w:p w:rsidR="003033C5" w:rsidRPr="008714EF" w:rsidP="00DF2B2E" w14:paraId="23E42ABC" w14:textId="77777777">
      <w:pPr>
        <w:pStyle w:val="BodyText"/>
        <w:ind w:right="749"/>
      </w:pPr>
    </w:p>
    <w:tbl>
      <w:tblPr>
        <w:tblW w:w="96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0"/>
        <w:gridCol w:w="1260"/>
        <w:gridCol w:w="1170"/>
        <w:gridCol w:w="1170"/>
        <w:gridCol w:w="870"/>
        <w:gridCol w:w="1065"/>
        <w:gridCol w:w="1065"/>
        <w:gridCol w:w="1144"/>
      </w:tblGrid>
      <w:tr w14:paraId="16DCFBE7" w14:textId="77777777" w:rsidTr="093B333D">
        <w:tblPrEx>
          <w:tblW w:w="96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634" w:type="dxa"/>
            <w:gridSpan w:val="8"/>
            <w:tcBorders>
              <w:top w:val="nil"/>
              <w:left w:val="nil"/>
              <w:bottom w:val="single" w:sz="6" w:space="0" w:color="auto"/>
              <w:right w:val="nil"/>
            </w:tcBorders>
            <w:shd w:val="clear" w:color="auto" w:fill="auto"/>
            <w:hideMark/>
          </w:tcPr>
          <w:p w:rsidR="003033C5" w:rsidRPr="00987D5D" w:rsidP="003033C5" w14:paraId="0C78F1B2" w14:textId="649D8377">
            <w:pPr>
              <w:widowControl/>
              <w:autoSpaceDE/>
              <w:autoSpaceDN/>
              <w:textAlignment w:val="baseline"/>
              <w:rPr>
                <w:rFonts w:eastAsia="Times New Roman"/>
                <w:b/>
                <w:bCs/>
                <w:sz w:val="24"/>
                <w:szCs w:val="24"/>
              </w:rPr>
            </w:pPr>
            <w:r w:rsidRPr="00987D5D">
              <w:rPr>
                <w:rFonts w:eastAsia="Times New Roman"/>
                <w:b/>
                <w:bCs/>
                <w:sz w:val="20"/>
                <w:szCs w:val="20"/>
              </w:rPr>
              <w:t>Summary of Three-Year Average Incremental Burden Hours and Costs for Primary Option </w:t>
            </w:r>
          </w:p>
        </w:tc>
      </w:tr>
      <w:tr w14:paraId="2C7BEFE9" w14:textId="77777777" w:rsidTr="093B333D">
        <w:tblPrEx>
          <w:tblW w:w="9634" w:type="dxa"/>
          <w:tblCellMar>
            <w:left w:w="0" w:type="dxa"/>
            <w:right w:w="0" w:type="dxa"/>
          </w:tblCellMar>
          <w:tblLook w:val="04A0"/>
        </w:tblPrEx>
        <w:trPr>
          <w:trHeight w:val="300"/>
        </w:trPr>
        <w:tc>
          <w:tcPr>
            <w:tcW w:w="1890" w:type="dxa"/>
            <w:tcBorders>
              <w:top w:val="nil"/>
              <w:left w:val="single" w:sz="6" w:space="0" w:color="auto"/>
              <w:bottom w:val="single" w:sz="6" w:space="0" w:color="auto"/>
              <w:right w:val="single" w:sz="6" w:space="0" w:color="auto"/>
            </w:tcBorders>
            <w:shd w:val="clear" w:color="auto" w:fill="48A9C5"/>
            <w:vAlign w:val="center"/>
            <w:hideMark/>
          </w:tcPr>
          <w:p w:rsidR="003033C5" w:rsidRPr="00987D5D" w:rsidP="003033C5" w14:paraId="36B89646" w14:textId="77777777">
            <w:pPr>
              <w:widowControl/>
              <w:autoSpaceDE/>
              <w:autoSpaceDN/>
              <w:jc w:val="center"/>
              <w:textAlignment w:val="baseline"/>
              <w:rPr>
                <w:rFonts w:eastAsia="Times New Roman"/>
                <w:b/>
                <w:bCs/>
                <w:color w:val="FFFFFF"/>
                <w:sz w:val="24"/>
                <w:szCs w:val="24"/>
              </w:rPr>
            </w:pPr>
            <w:r w:rsidRPr="00987D5D">
              <w:rPr>
                <w:rFonts w:eastAsia="Times New Roman"/>
                <w:b/>
                <w:bCs/>
                <w:color w:val="FFFFFF"/>
                <w:sz w:val="18"/>
                <w:szCs w:val="18"/>
              </w:rPr>
              <w:t>Activity </w:t>
            </w:r>
          </w:p>
        </w:tc>
        <w:tc>
          <w:tcPr>
            <w:tcW w:w="1260" w:type="dxa"/>
            <w:tcBorders>
              <w:top w:val="nil"/>
              <w:left w:val="single" w:sz="6" w:space="0" w:color="auto"/>
              <w:bottom w:val="single" w:sz="6" w:space="0" w:color="auto"/>
              <w:right w:val="single" w:sz="6" w:space="0" w:color="auto"/>
            </w:tcBorders>
            <w:shd w:val="clear" w:color="auto" w:fill="48A9C5"/>
            <w:vAlign w:val="center"/>
            <w:hideMark/>
          </w:tcPr>
          <w:p w:rsidR="003033C5" w:rsidRPr="00987D5D" w:rsidP="003033C5" w14:paraId="6269CE99" w14:textId="77777777">
            <w:pPr>
              <w:widowControl/>
              <w:autoSpaceDE/>
              <w:autoSpaceDN/>
              <w:jc w:val="center"/>
              <w:textAlignment w:val="baseline"/>
              <w:rPr>
                <w:rFonts w:eastAsia="Times New Roman"/>
                <w:b/>
                <w:bCs/>
                <w:color w:val="FFFFFF"/>
                <w:sz w:val="24"/>
                <w:szCs w:val="24"/>
              </w:rPr>
            </w:pPr>
            <w:r w:rsidRPr="00987D5D">
              <w:rPr>
                <w:rFonts w:eastAsia="Times New Roman"/>
                <w:b/>
                <w:bCs/>
                <w:color w:val="FFFFFF"/>
                <w:sz w:val="18"/>
                <w:szCs w:val="18"/>
              </w:rPr>
              <w:t>Number of Respondents </w:t>
            </w:r>
          </w:p>
        </w:tc>
        <w:tc>
          <w:tcPr>
            <w:tcW w:w="1170" w:type="dxa"/>
            <w:tcBorders>
              <w:top w:val="nil"/>
              <w:left w:val="single" w:sz="6" w:space="0" w:color="auto"/>
              <w:bottom w:val="single" w:sz="6" w:space="0" w:color="auto"/>
              <w:right w:val="single" w:sz="6" w:space="0" w:color="auto"/>
            </w:tcBorders>
            <w:shd w:val="clear" w:color="auto" w:fill="48A9C5"/>
            <w:vAlign w:val="center"/>
            <w:hideMark/>
          </w:tcPr>
          <w:p w:rsidR="003033C5" w:rsidRPr="00987D5D" w:rsidP="003033C5" w14:paraId="1027B540" w14:textId="77777777">
            <w:pPr>
              <w:widowControl/>
              <w:autoSpaceDE/>
              <w:autoSpaceDN/>
              <w:jc w:val="center"/>
              <w:textAlignment w:val="baseline"/>
              <w:rPr>
                <w:rFonts w:eastAsia="Times New Roman"/>
                <w:b/>
                <w:bCs/>
                <w:color w:val="FFFFFF"/>
                <w:sz w:val="24"/>
                <w:szCs w:val="24"/>
              </w:rPr>
            </w:pPr>
            <w:r w:rsidRPr="00987D5D">
              <w:rPr>
                <w:rFonts w:eastAsia="Times New Roman"/>
                <w:b/>
                <w:bCs/>
                <w:color w:val="FFFFFF"/>
                <w:sz w:val="18"/>
                <w:szCs w:val="18"/>
              </w:rPr>
              <w:t>Average Annual Responses Per Respondent </w:t>
            </w:r>
          </w:p>
        </w:tc>
        <w:tc>
          <w:tcPr>
            <w:tcW w:w="1170"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5E6120C7" w14:textId="77777777">
            <w:pPr>
              <w:widowControl/>
              <w:autoSpaceDE/>
              <w:autoSpaceDN/>
              <w:jc w:val="center"/>
              <w:textAlignment w:val="baseline"/>
              <w:rPr>
                <w:rFonts w:eastAsia="Times New Roman"/>
                <w:b/>
                <w:bCs/>
                <w:color w:val="FFFFFF"/>
                <w:sz w:val="24"/>
                <w:szCs w:val="24"/>
              </w:rPr>
            </w:pPr>
            <w:r w:rsidRPr="00987D5D">
              <w:rPr>
                <w:rFonts w:eastAsia="Times New Roman"/>
                <w:b/>
                <w:bCs/>
                <w:color w:val="FFFFFF"/>
                <w:sz w:val="18"/>
                <w:szCs w:val="18"/>
              </w:rPr>
              <w:t>Average Annual Burden Per Respondent </w:t>
            </w:r>
          </w:p>
        </w:tc>
        <w:tc>
          <w:tcPr>
            <w:tcW w:w="870"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4F336BE7" w14:textId="77777777">
            <w:pPr>
              <w:widowControl/>
              <w:autoSpaceDE/>
              <w:autoSpaceDN/>
              <w:jc w:val="center"/>
              <w:textAlignment w:val="baseline"/>
              <w:rPr>
                <w:rFonts w:eastAsia="Times New Roman"/>
                <w:b/>
                <w:bCs/>
                <w:color w:val="FFFFFF"/>
                <w:sz w:val="24"/>
                <w:szCs w:val="24"/>
              </w:rPr>
            </w:pPr>
            <w:r w:rsidRPr="00987D5D">
              <w:rPr>
                <w:rFonts w:eastAsia="Times New Roman"/>
                <w:b/>
                <w:bCs/>
                <w:color w:val="FFFFFF"/>
                <w:sz w:val="18"/>
                <w:szCs w:val="18"/>
              </w:rPr>
              <w:t>Average Annual Total Labor Burden </w:t>
            </w:r>
          </w:p>
        </w:tc>
        <w:tc>
          <w:tcPr>
            <w:tcW w:w="106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02BF4F31" w14:textId="77777777">
            <w:pPr>
              <w:widowControl/>
              <w:autoSpaceDE/>
              <w:autoSpaceDN/>
              <w:jc w:val="center"/>
              <w:textAlignment w:val="baseline"/>
              <w:rPr>
                <w:rFonts w:eastAsia="Times New Roman"/>
                <w:b/>
                <w:bCs/>
                <w:color w:val="FFFFFF"/>
                <w:sz w:val="24"/>
                <w:szCs w:val="24"/>
              </w:rPr>
            </w:pPr>
            <w:r w:rsidRPr="00987D5D">
              <w:rPr>
                <w:rFonts w:eastAsia="Times New Roman"/>
                <w:b/>
                <w:bCs/>
                <w:color w:val="FFFFFF"/>
                <w:sz w:val="18"/>
                <w:szCs w:val="18"/>
              </w:rPr>
              <w:t>Average Annual Total Labor Costs (2022$) </w:t>
            </w:r>
          </w:p>
        </w:tc>
        <w:tc>
          <w:tcPr>
            <w:tcW w:w="106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004DCF37" w14:textId="77777777">
            <w:pPr>
              <w:widowControl/>
              <w:autoSpaceDE/>
              <w:autoSpaceDN/>
              <w:jc w:val="center"/>
              <w:textAlignment w:val="baseline"/>
              <w:rPr>
                <w:rFonts w:eastAsia="Times New Roman"/>
                <w:b/>
                <w:bCs/>
                <w:color w:val="FFFFFF"/>
                <w:sz w:val="24"/>
                <w:szCs w:val="24"/>
              </w:rPr>
            </w:pPr>
            <w:r w:rsidRPr="00987D5D">
              <w:rPr>
                <w:rFonts w:eastAsia="Times New Roman"/>
                <w:b/>
                <w:bCs/>
                <w:color w:val="FFFFFF"/>
                <w:sz w:val="18"/>
                <w:szCs w:val="18"/>
              </w:rPr>
              <w:t>Average Annual Total Non-Labor Costs (2022$) </w:t>
            </w:r>
          </w:p>
        </w:tc>
        <w:tc>
          <w:tcPr>
            <w:tcW w:w="1140"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44131E3D" w14:textId="77777777">
            <w:pPr>
              <w:widowControl/>
              <w:autoSpaceDE/>
              <w:autoSpaceDN/>
              <w:jc w:val="center"/>
              <w:textAlignment w:val="baseline"/>
              <w:rPr>
                <w:rFonts w:eastAsia="Times New Roman"/>
                <w:b/>
                <w:bCs/>
                <w:color w:val="FFFFFF"/>
                <w:sz w:val="24"/>
                <w:szCs w:val="24"/>
              </w:rPr>
            </w:pPr>
            <w:r w:rsidRPr="00987D5D">
              <w:rPr>
                <w:rFonts w:eastAsia="Times New Roman"/>
                <w:b/>
                <w:bCs/>
                <w:color w:val="FFFFFF"/>
                <w:sz w:val="18"/>
                <w:szCs w:val="18"/>
              </w:rPr>
              <w:t>Average Annual Total Costs (2022$) </w:t>
            </w:r>
          </w:p>
        </w:tc>
      </w:tr>
      <w:tr w14:paraId="2D971D05" w14:textId="77777777" w:rsidTr="093B333D">
        <w:tblPrEx>
          <w:tblW w:w="9634" w:type="dxa"/>
          <w:tblCellMar>
            <w:left w:w="0" w:type="dxa"/>
            <w:right w:w="0" w:type="dxa"/>
          </w:tblCellMar>
          <w:tblLook w:val="04A0"/>
        </w:tblPrEx>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033C5" w:rsidRPr="00987D5D" w:rsidP="003033C5" w14:paraId="29AF7A7D" w14:textId="77777777">
            <w:pPr>
              <w:widowControl/>
              <w:autoSpaceDE/>
              <w:autoSpaceDN/>
              <w:textAlignment w:val="baseline"/>
              <w:rPr>
                <w:rFonts w:eastAsia="Times New Roman"/>
                <w:color w:val="000000"/>
                <w:sz w:val="24"/>
                <w:szCs w:val="24"/>
              </w:rPr>
            </w:pPr>
            <w:r w:rsidRPr="00987D5D">
              <w:rPr>
                <w:rFonts w:eastAsia="Times New Roman"/>
                <w:color w:val="000000"/>
                <w:sz w:val="18"/>
                <w:szCs w:val="18"/>
              </w:rPr>
              <w:t>Agency Burden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BFAD3C4"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09AF58B"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3CAD28E"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6FC4B35"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7DDFDE1"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A618178"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9B0C58B"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r>
      <w:tr w14:paraId="0FA7E26A" w14:textId="77777777" w:rsidTr="093B333D">
        <w:tblPrEx>
          <w:tblW w:w="9634" w:type="dxa"/>
          <w:tblCellMar>
            <w:left w:w="0" w:type="dxa"/>
            <w:right w:w="0" w:type="dxa"/>
          </w:tblCellMar>
          <w:tblLook w:val="04A0"/>
        </w:tblPrEx>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9411326" w14:textId="77777777">
            <w:pPr>
              <w:widowControl/>
              <w:autoSpaceDE/>
              <w:autoSpaceDN/>
              <w:textAlignment w:val="baseline"/>
              <w:rPr>
                <w:rFonts w:eastAsia="Times New Roman"/>
                <w:color w:val="000000"/>
                <w:sz w:val="24"/>
                <w:szCs w:val="24"/>
              </w:rPr>
            </w:pPr>
            <w:r w:rsidRPr="00987D5D">
              <w:rPr>
                <w:rFonts w:eastAsia="Times New Roman"/>
                <w:color w:val="000000"/>
                <w:sz w:val="18"/>
                <w:szCs w:val="18"/>
              </w:rPr>
              <w:t>Rule Familiarization (WCPP firms)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0885379"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51 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8F72B6A"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0.33 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D494F0E"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1.00 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06ACC38"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51 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C2924D6"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$4,832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176EAD3"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A1B981F"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$4,832  </w:t>
            </w:r>
          </w:p>
        </w:tc>
      </w:tr>
      <w:tr w14:paraId="71FB9CD3" w14:textId="77777777" w:rsidTr="093B333D">
        <w:tblPrEx>
          <w:tblW w:w="9634" w:type="dxa"/>
          <w:tblCellMar>
            <w:left w:w="0" w:type="dxa"/>
            <w:right w:w="0" w:type="dxa"/>
          </w:tblCellMar>
          <w:tblLook w:val="04A0"/>
        </w:tblPrEx>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6A5A771" w14:textId="77777777">
            <w:pPr>
              <w:widowControl/>
              <w:autoSpaceDE/>
              <w:autoSpaceDN/>
              <w:textAlignment w:val="baseline"/>
              <w:rPr>
                <w:rFonts w:eastAsia="Times New Roman"/>
                <w:color w:val="000000"/>
                <w:sz w:val="24"/>
                <w:szCs w:val="24"/>
              </w:rPr>
            </w:pPr>
            <w:r w:rsidRPr="00987D5D">
              <w:rPr>
                <w:rFonts w:eastAsia="Times New Roman"/>
                <w:color w:val="000000"/>
                <w:sz w:val="18"/>
                <w:szCs w:val="18"/>
              </w:rPr>
              <w:t>Rule Familiarization (prohibition firms)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C1576F7"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22,062 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E819E33"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0.33 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D9ED468"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0.33 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147775F"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7,354 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DBB25F7"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$699,733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FAC6640"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3DB5FEB"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$699,733  </w:t>
            </w:r>
          </w:p>
        </w:tc>
      </w:tr>
      <w:tr w14:paraId="48CCC8DB" w14:textId="77777777" w:rsidTr="093B333D">
        <w:tblPrEx>
          <w:tblW w:w="9634" w:type="dxa"/>
          <w:tblCellMar>
            <w:left w:w="0" w:type="dxa"/>
            <w:right w:w="0" w:type="dxa"/>
          </w:tblCellMar>
          <w:tblLook w:val="04A0"/>
        </w:tblPrEx>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CBC3E6A" w14:textId="77777777">
            <w:pPr>
              <w:widowControl/>
              <w:autoSpaceDE/>
              <w:autoSpaceDN/>
              <w:textAlignment w:val="baseline"/>
              <w:rPr>
                <w:rFonts w:eastAsia="Times New Roman"/>
                <w:color w:val="000000"/>
                <w:sz w:val="24"/>
                <w:szCs w:val="24"/>
              </w:rPr>
            </w:pPr>
            <w:r w:rsidRPr="00987D5D">
              <w:rPr>
                <w:rFonts w:eastAsia="Times New Roman"/>
                <w:color w:val="000000"/>
                <w:sz w:val="18"/>
                <w:szCs w:val="18"/>
              </w:rPr>
              <w:t>Downstream Notification (SDS)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CB35AC6"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2 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7AE37D8"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1 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1A1321D"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0.67 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00C3171"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1 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ED18AA8"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$126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7C0FC67"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19FC170"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$126  </w:t>
            </w:r>
          </w:p>
        </w:tc>
      </w:tr>
      <w:tr w14:paraId="5A2B1FFB" w14:textId="77777777" w:rsidTr="093B333D">
        <w:tblPrEx>
          <w:tblW w:w="9634" w:type="dxa"/>
          <w:tblCellMar>
            <w:left w:w="0" w:type="dxa"/>
            <w:right w:w="0" w:type="dxa"/>
          </w:tblCellMar>
          <w:tblLook w:val="04A0"/>
        </w:tblPrEx>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3424F93" w14:textId="77777777">
            <w:pPr>
              <w:widowControl/>
              <w:autoSpaceDE/>
              <w:autoSpaceDN/>
              <w:textAlignment w:val="baseline"/>
              <w:rPr>
                <w:rFonts w:eastAsia="Times New Roman"/>
                <w:color w:val="000000"/>
                <w:sz w:val="24"/>
                <w:szCs w:val="24"/>
              </w:rPr>
            </w:pPr>
            <w:r w:rsidRPr="00987D5D">
              <w:rPr>
                <w:rFonts w:eastAsia="Times New Roman"/>
                <w:color w:val="000000"/>
                <w:sz w:val="18"/>
                <w:szCs w:val="18"/>
              </w:rPr>
              <w:t>Develop Exposure Control Program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1F3A852"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51 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B8D3D9D"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1 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481721F"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1.67 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503F10B"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85 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3430E68"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$6,074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E8C9CB2"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3644EAE"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$6,074  </w:t>
            </w:r>
          </w:p>
        </w:tc>
      </w:tr>
      <w:tr w14:paraId="678AFB9B" w14:textId="77777777" w:rsidTr="093B333D">
        <w:tblPrEx>
          <w:tblW w:w="9634" w:type="dxa"/>
          <w:tblCellMar>
            <w:left w:w="0" w:type="dxa"/>
            <w:right w:w="0" w:type="dxa"/>
          </w:tblCellMar>
          <w:tblLook w:val="04A0"/>
        </w:tblPrEx>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376D7EB" w14:textId="77777777">
            <w:pPr>
              <w:widowControl/>
              <w:autoSpaceDE/>
              <w:autoSpaceDN/>
              <w:textAlignment w:val="baseline"/>
              <w:rPr>
                <w:rFonts w:eastAsia="Times New Roman"/>
                <w:color w:val="000000"/>
                <w:sz w:val="24"/>
                <w:szCs w:val="24"/>
              </w:rPr>
            </w:pPr>
            <w:r w:rsidRPr="00987D5D">
              <w:rPr>
                <w:rFonts w:eastAsia="Times New Roman"/>
                <w:color w:val="000000"/>
                <w:sz w:val="18"/>
                <w:szCs w:val="18"/>
              </w:rPr>
              <w:t>Respiratory Monitoring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1463640"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51 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D9C13F6" w14:textId="232A6262">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2.</w:t>
            </w:r>
            <w:r w:rsidRPr="093B333D" w:rsidR="16D9C116">
              <w:rPr>
                <w:rFonts w:eastAsia="Times New Roman"/>
                <w:color w:val="000000" w:themeColor="text1"/>
                <w:sz w:val="18"/>
                <w:szCs w:val="18"/>
              </w:rPr>
              <w:t>22</w:t>
            </w:r>
            <w:r w:rsidRPr="093B333D">
              <w:rPr>
                <w:rFonts w:eastAsia="Times New Roman"/>
                <w:color w:val="000000" w:themeColor="text1"/>
                <w:sz w:val="18"/>
                <w:szCs w:val="18"/>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93B333D" w14:paraId="27B68E9F" w14:textId="2C0D0CF7">
            <w:pPr>
              <w:widowControl/>
              <w:autoSpaceDE/>
              <w:autoSpaceDN/>
              <w:jc w:val="right"/>
              <w:textAlignment w:val="baseline"/>
              <w:rPr>
                <w:sz w:val="18"/>
                <w:szCs w:val="18"/>
              </w:rPr>
            </w:pPr>
            <w:r w:rsidRPr="093B333D">
              <w:rPr>
                <w:color w:val="000000" w:themeColor="text1"/>
                <w:sz w:val="18"/>
                <w:szCs w:val="18"/>
              </w:rPr>
              <w:t xml:space="preserve">76.48 </w:t>
            </w:r>
            <w:r w:rsidRPr="093B333D">
              <w:rPr>
                <w:sz w:val="18"/>
                <w:szCs w:val="18"/>
              </w:rPr>
              <w:t xml:space="preserve">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C504CE" w14:paraId="218A43D4" w14:textId="0BB71E86">
            <w:pPr>
              <w:widowControl/>
              <w:spacing w:line="259" w:lineRule="auto"/>
              <w:jc w:val="right"/>
              <w:rPr>
                <w:rFonts w:eastAsia="Times New Roman"/>
                <w:color w:val="000000" w:themeColor="text1"/>
                <w:sz w:val="18"/>
                <w:szCs w:val="18"/>
              </w:rPr>
            </w:pPr>
            <w:r w:rsidRPr="093B333D">
              <w:rPr>
                <w:rFonts w:eastAsia="Times New Roman"/>
                <w:color w:val="000000" w:themeColor="text1"/>
                <w:sz w:val="18"/>
                <w:szCs w:val="18"/>
              </w:rPr>
              <w:t>3,901</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058DC3A" w14:textId="0B1AB667">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w:t>
            </w:r>
            <w:r w:rsidRPr="093B333D" w:rsidR="5345726E">
              <w:rPr>
                <w:rFonts w:eastAsia="Times New Roman"/>
                <w:color w:val="000000" w:themeColor="text1"/>
                <w:sz w:val="18"/>
                <w:szCs w:val="18"/>
              </w:rPr>
              <w:t>222,019</w:t>
            </w:r>
            <w:r w:rsidRPr="093B333D">
              <w:rPr>
                <w:rFonts w:eastAsia="Times New Roman"/>
                <w:color w:val="000000" w:themeColor="text1"/>
                <w:sz w:val="18"/>
                <w:szCs w:val="18"/>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C059075" w14:textId="1AD437FB">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w:t>
            </w:r>
            <w:r w:rsidRPr="093B333D" w:rsidR="00786C1F">
              <w:rPr>
                <w:rFonts w:eastAsia="Times New Roman"/>
                <w:color w:val="000000" w:themeColor="text1"/>
                <w:sz w:val="18"/>
                <w:szCs w:val="18"/>
              </w:rPr>
              <w:t>749,609</w:t>
            </w:r>
            <w:r w:rsidRPr="093B333D">
              <w:rPr>
                <w:rFonts w:eastAsia="Times New Roman"/>
                <w:color w:val="000000" w:themeColor="text1"/>
                <w:sz w:val="18"/>
                <w:szCs w:val="18"/>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C83CE36" w14:textId="5A745240">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w:t>
            </w:r>
            <w:r w:rsidRPr="093B333D" w:rsidR="1A05EFBB">
              <w:rPr>
                <w:rFonts w:eastAsia="Times New Roman"/>
                <w:color w:val="000000" w:themeColor="text1"/>
                <w:sz w:val="18"/>
                <w:szCs w:val="18"/>
              </w:rPr>
              <w:t>971,628</w:t>
            </w:r>
            <w:r w:rsidRPr="093B333D">
              <w:rPr>
                <w:rFonts w:eastAsia="Times New Roman"/>
                <w:color w:val="000000" w:themeColor="text1"/>
                <w:sz w:val="18"/>
                <w:szCs w:val="18"/>
              </w:rPr>
              <w:t>  </w:t>
            </w:r>
          </w:p>
        </w:tc>
      </w:tr>
      <w:tr w14:paraId="386D4465" w14:textId="77777777" w:rsidTr="093B333D">
        <w:tblPrEx>
          <w:tblW w:w="9634" w:type="dxa"/>
          <w:tblCellMar>
            <w:left w:w="0" w:type="dxa"/>
            <w:right w:w="0" w:type="dxa"/>
          </w:tblCellMar>
          <w:tblLook w:val="04A0"/>
        </w:tblPrEx>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9E34B3D" w14:textId="77777777">
            <w:pPr>
              <w:widowControl/>
              <w:autoSpaceDE/>
              <w:autoSpaceDN/>
              <w:textAlignment w:val="baseline"/>
              <w:rPr>
                <w:rFonts w:eastAsia="Times New Roman"/>
                <w:color w:val="000000"/>
                <w:sz w:val="24"/>
                <w:szCs w:val="24"/>
              </w:rPr>
            </w:pPr>
            <w:r w:rsidRPr="00987D5D">
              <w:rPr>
                <w:rFonts w:eastAsia="Times New Roman"/>
                <w:color w:val="000000"/>
                <w:sz w:val="18"/>
                <w:szCs w:val="18"/>
              </w:rPr>
              <w:t>Respiratory Recordkeeping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FCA4C81"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51 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EE5FFE8" w14:textId="3B8458B0">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2.</w:t>
            </w:r>
            <w:r w:rsidRPr="093B333D" w:rsidR="632ADF16">
              <w:rPr>
                <w:rFonts w:eastAsia="Times New Roman"/>
                <w:color w:val="000000" w:themeColor="text1"/>
                <w:sz w:val="18"/>
                <w:szCs w:val="18"/>
              </w:rPr>
              <w:t>22</w:t>
            </w:r>
            <w:r w:rsidRPr="093B333D">
              <w:rPr>
                <w:rFonts w:eastAsia="Times New Roman"/>
                <w:color w:val="000000" w:themeColor="text1"/>
                <w:sz w:val="18"/>
                <w:szCs w:val="18"/>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8971151" w14:textId="5F4B1FF1">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15.70</w:t>
            </w:r>
            <w:r w:rsidRPr="093B333D">
              <w:rPr>
                <w:rFonts w:eastAsia="Times New Roman"/>
                <w:color w:val="000000" w:themeColor="text1"/>
                <w:sz w:val="18"/>
                <w:szCs w:val="18"/>
              </w:rPr>
              <w:t>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6802672" w14:textId="60154FBE">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801</w:t>
            </w:r>
            <w:r w:rsidRPr="093B333D">
              <w:rPr>
                <w:rFonts w:eastAsia="Times New Roman"/>
                <w:color w:val="000000" w:themeColor="text1"/>
                <w:sz w:val="18"/>
                <w:szCs w:val="18"/>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D4FAAF9" w14:textId="2CA11B25">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w:t>
            </w:r>
            <w:r w:rsidRPr="093B333D" w:rsidR="6F83B26F">
              <w:rPr>
                <w:rFonts w:eastAsia="Times New Roman"/>
                <w:color w:val="000000" w:themeColor="text1"/>
                <w:sz w:val="18"/>
                <w:szCs w:val="18"/>
              </w:rPr>
              <w:t>47,100</w:t>
            </w:r>
            <w:r w:rsidRPr="093B333D">
              <w:rPr>
                <w:rFonts w:eastAsia="Times New Roman"/>
                <w:color w:val="000000" w:themeColor="text1"/>
                <w:sz w:val="18"/>
                <w:szCs w:val="18"/>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45ED7D7"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58B3497" w14:textId="3B9B1C3B">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w:t>
            </w:r>
            <w:r w:rsidRPr="093B333D" w:rsidR="57F2F109">
              <w:rPr>
                <w:rFonts w:eastAsia="Times New Roman"/>
                <w:color w:val="000000" w:themeColor="text1"/>
                <w:sz w:val="18"/>
                <w:szCs w:val="18"/>
              </w:rPr>
              <w:t>47,100</w:t>
            </w:r>
            <w:r w:rsidRPr="093B333D">
              <w:rPr>
                <w:rFonts w:eastAsia="Times New Roman"/>
                <w:color w:val="000000" w:themeColor="text1"/>
                <w:sz w:val="18"/>
                <w:szCs w:val="18"/>
              </w:rPr>
              <w:t>  </w:t>
            </w:r>
          </w:p>
        </w:tc>
      </w:tr>
      <w:tr w14:paraId="3DD436ED" w14:textId="77777777" w:rsidTr="093B333D">
        <w:tblPrEx>
          <w:tblW w:w="9634" w:type="dxa"/>
          <w:tblCellMar>
            <w:left w:w="0" w:type="dxa"/>
            <w:right w:w="0" w:type="dxa"/>
          </w:tblCellMar>
          <w:tblLook w:val="04A0"/>
        </w:tblPrEx>
        <w:trPr>
          <w:trHeight w:val="9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2E5B1BA" w14:textId="77777777">
            <w:pPr>
              <w:widowControl/>
              <w:autoSpaceDE/>
              <w:autoSpaceDN/>
              <w:textAlignment w:val="baseline"/>
              <w:rPr>
                <w:rFonts w:eastAsia="Times New Roman"/>
                <w:color w:val="000000"/>
                <w:sz w:val="24"/>
                <w:szCs w:val="24"/>
              </w:rPr>
            </w:pPr>
            <w:r w:rsidRPr="00987D5D">
              <w:rPr>
                <w:rFonts w:eastAsia="Times New Roman"/>
                <w:color w:val="000000"/>
                <w:sz w:val="18"/>
                <w:szCs w:val="18"/>
              </w:rPr>
              <w:t>Respiratory Notifications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0E02102"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51 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15F2DE8" w14:textId="4896C957">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2.</w:t>
            </w:r>
            <w:r w:rsidRPr="093B333D" w:rsidR="120AA645">
              <w:rPr>
                <w:rFonts w:eastAsia="Times New Roman"/>
                <w:color w:val="000000" w:themeColor="text1"/>
                <w:sz w:val="18"/>
                <w:szCs w:val="18"/>
              </w:rPr>
              <w:t>22</w:t>
            </w:r>
            <w:r w:rsidRPr="093B333D">
              <w:rPr>
                <w:rFonts w:eastAsia="Times New Roman"/>
                <w:color w:val="000000" w:themeColor="text1"/>
                <w:sz w:val="18"/>
                <w:szCs w:val="18"/>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B70F17F" w14:textId="5BB6FA80">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3.36</w:t>
            </w:r>
            <w:r w:rsidRPr="093B333D">
              <w:rPr>
                <w:rFonts w:eastAsia="Times New Roman"/>
                <w:color w:val="000000" w:themeColor="text1"/>
                <w:sz w:val="18"/>
                <w:szCs w:val="18"/>
              </w:rPr>
              <w:t>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C504CE" w14:paraId="36ED9BA2" w14:textId="15B4EFEC">
            <w:pPr>
              <w:widowControl/>
              <w:spacing w:line="259" w:lineRule="auto"/>
              <w:jc w:val="right"/>
              <w:rPr>
                <w:sz w:val="18"/>
                <w:szCs w:val="18"/>
              </w:rPr>
            </w:pPr>
            <w:r w:rsidRPr="093B333D">
              <w:rPr>
                <w:rFonts w:eastAsia="Times New Roman"/>
                <w:color w:val="000000" w:themeColor="text1"/>
                <w:sz w:val="18"/>
                <w:szCs w:val="18"/>
              </w:rPr>
              <w:t>171</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478717D" w14:textId="5964E808">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w:t>
            </w:r>
            <w:r w:rsidRPr="093B333D" w:rsidR="66041377">
              <w:rPr>
                <w:rFonts w:eastAsia="Times New Roman"/>
                <w:color w:val="000000" w:themeColor="text1"/>
                <w:sz w:val="18"/>
                <w:szCs w:val="18"/>
              </w:rPr>
              <w:t>9,726</w:t>
            </w:r>
            <w:r w:rsidRPr="093B333D">
              <w:rPr>
                <w:rFonts w:eastAsia="Times New Roman"/>
                <w:color w:val="000000" w:themeColor="text1"/>
                <w:sz w:val="18"/>
                <w:szCs w:val="18"/>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BA6A7DF" w14:textId="77777777">
            <w:pPr>
              <w:widowControl/>
              <w:autoSpaceDE/>
              <w:autoSpaceDN/>
              <w:jc w:val="right"/>
              <w:textAlignment w:val="baseline"/>
              <w:rPr>
                <w:rFonts w:eastAsia="Times New Roman"/>
                <w:color w:val="000000"/>
                <w:sz w:val="24"/>
                <w:szCs w:val="24"/>
              </w:rPr>
            </w:pPr>
            <w:r w:rsidRPr="00987D5D">
              <w:rPr>
                <w:rFonts w:eastAsia="Times New Roman"/>
                <w:color w:val="000000"/>
                <w:sz w:val="18"/>
                <w:szCs w:val="18"/>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382D939" w14:textId="0F2656B2">
            <w:pPr>
              <w:widowControl/>
              <w:autoSpaceDE/>
              <w:autoSpaceDN/>
              <w:jc w:val="right"/>
              <w:textAlignment w:val="baseline"/>
              <w:rPr>
                <w:rFonts w:eastAsia="Times New Roman"/>
                <w:color w:val="000000"/>
                <w:sz w:val="24"/>
                <w:szCs w:val="24"/>
              </w:rPr>
            </w:pPr>
            <w:r w:rsidRPr="093B333D">
              <w:rPr>
                <w:rFonts w:eastAsia="Times New Roman"/>
                <w:color w:val="000000" w:themeColor="text1"/>
                <w:sz w:val="18"/>
                <w:szCs w:val="18"/>
              </w:rPr>
              <w:t>$</w:t>
            </w:r>
            <w:r w:rsidRPr="093B333D" w:rsidR="52108CC7">
              <w:rPr>
                <w:rFonts w:eastAsia="Times New Roman"/>
                <w:color w:val="000000" w:themeColor="text1"/>
                <w:sz w:val="18"/>
                <w:szCs w:val="18"/>
              </w:rPr>
              <w:t>9,726</w:t>
            </w:r>
            <w:r w:rsidRPr="093B333D">
              <w:rPr>
                <w:rFonts w:eastAsia="Times New Roman"/>
                <w:color w:val="000000" w:themeColor="text1"/>
                <w:sz w:val="18"/>
                <w:szCs w:val="18"/>
              </w:rPr>
              <w:t>  </w:t>
            </w:r>
          </w:p>
        </w:tc>
      </w:tr>
      <w:tr w14:paraId="47E09965" w14:textId="77777777" w:rsidTr="093B333D">
        <w:tblPrEx>
          <w:tblW w:w="9634" w:type="dxa"/>
          <w:tblCellMar>
            <w:left w:w="0" w:type="dxa"/>
            <w:right w:w="0" w:type="dxa"/>
          </w:tblCellMar>
          <w:tblLook w:val="04A0"/>
        </w:tblPrEx>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14BE610" w14:textId="77777777">
            <w:pPr>
              <w:widowControl/>
              <w:autoSpaceDE/>
              <w:autoSpaceDN/>
              <w:textAlignment w:val="baseline"/>
              <w:rPr>
                <w:rFonts w:eastAsia="Times New Roman"/>
                <w:color w:val="000000"/>
                <w:sz w:val="24"/>
                <w:szCs w:val="24"/>
              </w:rPr>
            </w:pPr>
            <w:r w:rsidRPr="00987D5D">
              <w:rPr>
                <w:rFonts w:eastAsia="Times New Roman"/>
                <w:b/>
                <w:bCs/>
                <w:color w:val="000000"/>
                <w:sz w:val="18"/>
                <w:szCs w:val="18"/>
              </w:rPr>
              <w:t>All Activities</w:t>
            </w:r>
            <w:r w:rsidRPr="00987D5D">
              <w:rPr>
                <w:rFonts w:eastAsia="Times New Roman"/>
                <w:color w:val="000000"/>
                <w:sz w:val="18"/>
                <w:szCs w:val="18"/>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7C59DA0" w14:textId="77777777">
            <w:pPr>
              <w:widowControl/>
              <w:autoSpaceDE/>
              <w:autoSpaceDN/>
              <w:jc w:val="right"/>
              <w:textAlignment w:val="baseline"/>
              <w:rPr>
                <w:rFonts w:eastAsia="Times New Roman"/>
                <w:color w:val="000000"/>
                <w:sz w:val="24"/>
                <w:szCs w:val="24"/>
              </w:rPr>
            </w:pPr>
            <w:r w:rsidRPr="00987D5D">
              <w:rPr>
                <w:rFonts w:eastAsia="Times New Roman"/>
                <w:b/>
                <w:bCs/>
                <w:color w:val="000000"/>
                <w:sz w:val="18"/>
                <w:szCs w:val="18"/>
              </w:rPr>
              <w:t>22,113</w:t>
            </w:r>
            <w:r w:rsidRPr="00987D5D">
              <w:rPr>
                <w:rFonts w:eastAsia="Times New Roman"/>
                <w:color w:val="000000"/>
                <w:sz w:val="18"/>
                <w:szCs w:val="18"/>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33CC43C" w14:textId="77777777">
            <w:pPr>
              <w:widowControl/>
              <w:autoSpaceDE/>
              <w:autoSpaceDN/>
              <w:jc w:val="right"/>
              <w:textAlignment w:val="baseline"/>
              <w:rPr>
                <w:rFonts w:eastAsia="Times New Roman"/>
                <w:color w:val="000000"/>
                <w:sz w:val="24"/>
                <w:szCs w:val="24"/>
              </w:rPr>
            </w:pPr>
            <w:r w:rsidRPr="093B333D">
              <w:rPr>
                <w:rFonts w:eastAsia="Times New Roman"/>
                <w:b/>
                <w:bCs/>
                <w:color w:val="000000" w:themeColor="text1"/>
                <w:sz w:val="18"/>
                <w:szCs w:val="18"/>
              </w:rPr>
              <w:t>-</w:t>
            </w:r>
            <w:r w:rsidRPr="093B333D">
              <w:rPr>
                <w:rFonts w:eastAsia="Times New Roman"/>
                <w:color w:val="000000" w:themeColor="text1"/>
                <w:sz w:val="18"/>
                <w:szCs w:val="18"/>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D412C15" w14:textId="4CD8B1B2">
            <w:pPr>
              <w:widowControl/>
              <w:autoSpaceDE/>
              <w:autoSpaceDN/>
              <w:jc w:val="right"/>
              <w:textAlignment w:val="baseline"/>
              <w:rPr>
                <w:rFonts w:eastAsia="Times New Roman"/>
                <w:color w:val="000000"/>
                <w:sz w:val="24"/>
                <w:szCs w:val="24"/>
              </w:rPr>
            </w:pPr>
            <w:r w:rsidRPr="093B333D">
              <w:rPr>
                <w:rFonts w:eastAsia="Times New Roman"/>
                <w:b/>
                <w:bCs/>
                <w:color w:val="000000" w:themeColor="text1"/>
                <w:sz w:val="18"/>
                <w:szCs w:val="18"/>
              </w:rPr>
              <w:t>0.</w:t>
            </w:r>
            <w:r w:rsidRPr="093B333D" w:rsidR="6EDBF3E7">
              <w:rPr>
                <w:rFonts w:eastAsia="Times New Roman"/>
                <w:b/>
                <w:bCs/>
                <w:color w:val="000000" w:themeColor="text1"/>
                <w:sz w:val="18"/>
                <w:szCs w:val="18"/>
              </w:rPr>
              <w:t>56</w:t>
            </w:r>
            <w:r w:rsidRPr="093B333D">
              <w:rPr>
                <w:rFonts w:eastAsia="Times New Roman"/>
                <w:color w:val="000000" w:themeColor="text1"/>
                <w:sz w:val="18"/>
                <w:szCs w:val="18"/>
              </w:rPr>
              <w:t>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844E5E4" w14:textId="3025DAFF">
            <w:pPr>
              <w:widowControl/>
              <w:autoSpaceDE/>
              <w:autoSpaceDN/>
              <w:jc w:val="right"/>
              <w:textAlignment w:val="baseline"/>
              <w:rPr>
                <w:rFonts w:eastAsia="Times New Roman"/>
                <w:color w:val="000000"/>
                <w:sz w:val="24"/>
                <w:szCs w:val="24"/>
              </w:rPr>
            </w:pPr>
            <w:r w:rsidRPr="093B333D">
              <w:rPr>
                <w:rFonts w:eastAsia="Times New Roman"/>
                <w:b/>
                <w:bCs/>
                <w:color w:val="000000" w:themeColor="text1"/>
                <w:sz w:val="18"/>
                <w:szCs w:val="18"/>
              </w:rPr>
              <w:t>12,364</w:t>
            </w:r>
            <w:r w:rsidRPr="093B333D">
              <w:rPr>
                <w:rFonts w:eastAsia="Times New Roman"/>
                <w:color w:val="000000" w:themeColor="text1"/>
                <w:sz w:val="18"/>
                <w:szCs w:val="18"/>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6342183" w14:textId="374F409A">
            <w:pPr>
              <w:widowControl/>
              <w:autoSpaceDE/>
              <w:autoSpaceDN/>
              <w:jc w:val="right"/>
              <w:textAlignment w:val="baseline"/>
              <w:rPr>
                <w:rFonts w:eastAsia="Times New Roman"/>
                <w:color w:val="000000"/>
                <w:sz w:val="24"/>
                <w:szCs w:val="24"/>
              </w:rPr>
            </w:pPr>
            <w:r w:rsidRPr="093B333D">
              <w:rPr>
                <w:rFonts w:eastAsia="Times New Roman"/>
                <w:b/>
                <w:bCs/>
                <w:color w:val="000000" w:themeColor="text1"/>
                <w:sz w:val="18"/>
                <w:szCs w:val="18"/>
              </w:rPr>
              <w:t>$</w:t>
            </w:r>
            <w:r w:rsidRPr="093B333D" w:rsidR="31D1C80A">
              <w:rPr>
                <w:rFonts w:eastAsia="Times New Roman"/>
                <w:b/>
                <w:bCs/>
                <w:color w:val="000000" w:themeColor="text1"/>
                <w:sz w:val="18"/>
                <w:szCs w:val="18"/>
              </w:rPr>
              <w:t>989,611</w:t>
            </w:r>
            <w:r w:rsidRPr="093B333D">
              <w:rPr>
                <w:rFonts w:eastAsia="Times New Roman"/>
                <w:b/>
                <w:bCs/>
                <w:color w:val="000000" w:themeColor="text1"/>
                <w:sz w:val="18"/>
                <w:szCs w:val="18"/>
              </w:rPr>
              <w:t> </w:t>
            </w:r>
            <w:r w:rsidRPr="093B333D">
              <w:rPr>
                <w:rFonts w:eastAsia="Times New Roman"/>
                <w:color w:val="000000" w:themeColor="text1"/>
                <w:sz w:val="18"/>
                <w:szCs w:val="18"/>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033C5" w:rsidRPr="00987D5D" w:rsidP="003033C5" w14:paraId="58F67595" w14:textId="766E3739">
            <w:pPr>
              <w:widowControl/>
              <w:autoSpaceDE/>
              <w:autoSpaceDN/>
              <w:jc w:val="right"/>
              <w:textAlignment w:val="baseline"/>
              <w:rPr>
                <w:rFonts w:eastAsia="Times New Roman"/>
                <w:color w:val="000000"/>
                <w:sz w:val="24"/>
                <w:szCs w:val="24"/>
              </w:rPr>
            </w:pPr>
            <w:r w:rsidRPr="093B333D">
              <w:rPr>
                <w:rFonts w:eastAsia="Times New Roman"/>
                <w:b/>
                <w:bCs/>
                <w:color w:val="000000" w:themeColor="text1"/>
                <w:sz w:val="18"/>
                <w:szCs w:val="18"/>
              </w:rPr>
              <w:t>$</w:t>
            </w:r>
            <w:r w:rsidRPr="093B333D" w:rsidR="49774D93">
              <w:rPr>
                <w:rFonts w:eastAsia="Times New Roman"/>
                <w:b/>
                <w:bCs/>
                <w:color w:val="000000" w:themeColor="text1"/>
                <w:sz w:val="18"/>
                <w:szCs w:val="18"/>
              </w:rPr>
              <w:t>749,609</w:t>
            </w:r>
            <w:r w:rsidRPr="093B333D">
              <w:rPr>
                <w:rFonts w:eastAsia="Times New Roman"/>
                <w:b/>
                <w:bCs/>
                <w:color w:val="000000" w:themeColor="text1"/>
                <w:sz w:val="18"/>
                <w:szCs w:val="18"/>
              </w:rPr>
              <w:t> </w:t>
            </w:r>
            <w:r w:rsidRPr="093B333D">
              <w:rPr>
                <w:rFonts w:eastAsia="Times New Roman"/>
                <w:color w:val="000000" w:themeColor="text1"/>
                <w:sz w:val="18"/>
                <w:szCs w:val="18"/>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209AA8D" w14:textId="7D497965">
            <w:pPr>
              <w:widowControl/>
              <w:autoSpaceDE/>
              <w:autoSpaceDN/>
              <w:jc w:val="right"/>
              <w:textAlignment w:val="baseline"/>
              <w:rPr>
                <w:rFonts w:eastAsia="Times New Roman"/>
                <w:color w:val="000000"/>
                <w:sz w:val="24"/>
                <w:szCs w:val="24"/>
              </w:rPr>
            </w:pPr>
            <w:r w:rsidRPr="093B333D">
              <w:rPr>
                <w:rFonts w:eastAsia="Times New Roman"/>
                <w:b/>
                <w:bCs/>
                <w:color w:val="000000" w:themeColor="text1"/>
                <w:sz w:val="18"/>
                <w:szCs w:val="18"/>
              </w:rPr>
              <w:t>$1,</w:t>
            </w:r>
            <w:r w:rsidRPr="093B333D" w:rsidR="1EDD92D3">
              <w:rPr>
                <w:rFonts w:eastAsia="Times New Roman"/>
                <w:b/>
                <w:bCs/>
                <w:color w:val="000000" w:themeColor="text1"/>
                <w:sz w:val="18"/>
                <w:szCs w:val="18"/>
              </w:rPr>
              <w:t>739,220</w:t>
            </w:r>
            <w:r w:rsidRPr="093B333D">
              <w:rPr>
                <w:rFonts w:eastAsia="Times New Roman"/>
                <w:b/>
                <w:bCs/>
                <w:color w:val="000000" w:themeColor="text1"/>
                <w:sz w:val="18"/>
                <w:szCs w:val="18"/>
              </w:rPr>
              <w:t> </w:t>
            </w:r>
            <w:r w:rsidRPr="093B333D">
              <w:rPr>
                <w:rFonts w:eastAsia="Times New Roman"/>
                <w:color w:val="000000" w:themeColor="text1"/>
                <w:sz w:val="18"/>
                <w:szCs w:val="18"/>
              </w:rPr>
              <w:t> </w:t>
            </w:r>
          </w:p>
        </w:tc>
      </w:tr>
    </w:tbl>
    <w:p w:rsidR="003033C5" w:rsidRPr="003033C5" w:rsidP="003033C5" w14:paraId="0E699E0D" w14:textId="77777777">
      <w:pPr>
        <w:widowControl/>
        <w:autoSpaceDE/>
        <w:autoSpaceDN/>
        <w:textAlignment w:val="baseline"/>
        <w:rPr>
          <w:rFonts w:ascii="Segoe UI" w:eastAsia="Times New Roman" w:hAnsi="Segoe UI" w:cs="Segoe UI"/>
          <w:sz w:val="18"/>
          <w:szCs w:val="18"/>
        </w:rPr>
      </w:pPr>
      <w:r w:rsidRPr="003033C5">
        <w:rPr>
          <w:rFonts w:ascii="Times New Roman" w:eastAsia="Times New Roman" w:hAnsi="Times New Roman" w:cs="Times New Roman"/>
        </w:rPr>
        <w:t> </w:t>
      </w:r>
    </w:p>
    <w:p w:rsidR="00685641" w:rsidRPr="008714EF" w:rsidP="00DF2B2E" w14:paraId="24CBD9BB" w14:textId="0C952862">
      <w:pPr>
        <w:pStyle w:val="BodyText"/>
        <w:ind w:right="749"/>
      </w:pPr>
    </w:p>
    <w:p w:rsidR="006B5715" w:rsidRPr="008714EF" w:rsidP="00B803CA" w14:paraId="3126EE62" w14:textId="5BE70940">
      <w:pPr>
        <w:pStyle w:val="Heading2"/>
      </w:pPr>
      <w:r w:rsidRPr="008714EF">
        <w:t xml:space="preserve">13. </w:t>
      </w:r>
      <w:r w:rsidRPr="008714EF" w:rsidR="007D7BF3">
        <w:t>Provide an estimate for the total annual cost burden to respondents or recordkeepers</w:t>
      </w:r>
      <w:r w:rsidRPr="008714EF" w:rsidR="007D7BF3">
        <w:rPr>
          <w:spacing w:val="-4"/>
        </w:rPr>
        <w:t xml:space="preserve"> </w:t>
      </w:r>
      <w:r w:rsidRPr="008714EF" w:rsidR="007D7BF3">
        <w:t>resulting</w:t>
      </w:r>
      <w:r w:rsidRPr="008714EF" w:rsidR="007D7BF3">
        <w:rPr>
          <w:spacing w:val="-4"/>
        </w:rPr>
        <w:t xml:space="preserve"> </w:t>
      </w:r>
      <w:r w:rsidRPr="008714EF" w:rsidR="007D7BF3">
        <w:t>from</w:t>
      </w:r>
      <w:r w:rsidRPr="008714EF" w:rsidR="007D7BF3">
        <w:rPr>
          <w:spacing w:val="-4"/>
        </w:rPr>
        <w:t xml:space="preserve"> </w:t>
      </w:r>
      <w:r w:rsidRPr="008714EF" w:rsidR="007D7BF3">
        <w:t>the</w:t>
      </w:r>
      <w:r w:rsidRPr="008714EF" w:rsidR="007D7BF3">
        <w:rPr>
          <w:spacing w:val="-4"/>
        </w:rPr>
        <w:t xml:space="preserve"> </w:t>
      </w:r>
      <w:r w:rsidRPr="008714EF" w:rsidR="007D7BF3">
        <w:t>collection</w:t>
      </w:r>
      <w:r w:rsidRPr="008714EF" w:rsidR="007D7BF3">
        <w:rPr>
          <w:spacing w:val="-4"/>
        </w:rPr>
        <w:t xml:space="preserve"> </w:t>
      </w:r>
      <w:r w:rsidRPr="008714EF" w:rsidR="007D7BF3">
        <w:t>of</w:t>
      </w:r>
      <w:r w:rsidRPr="008714EF" w:rsidR="007D7BF3">
        <w:rPr>
          <w:spacing w:val="-4"/>
        </w:rPr>
        <w:t xml:space="preserve"> </w:t>
      </w:r>
      <w:r w:rsidRPr="008714EF" w:rsidR="007D7BF3">
        <w:t>information.</w:t>
      </w:r>
      <w:r w:rsidRPr="008714EF" w:rsidR="007D7BF3">
        <w:rPr>
          <w:spacing w:val="-4"/>
        </w:rPr>
        <w:t xml:space="preserve"> </w:t>
      </w:r>
      <w:r w:rsidRPr="008714EF" w:rsidR="007D7BF3">
        <w:t>(Do</w:t>
      </w:r>
      <w:r w:rsidRPr="008714EF" w:rsidR="007D7BF3">
        <w:rPr>
          <w:spacing w:val="-4"/>
        </w:rPr>
        <w:t xml:space="preserve"> </w:t>
      </w:r>
      <w:r w:rsidRPr="008714EF" w:rsidR="007D7BF3">
        <w:t>not</w:t>
      </w:r>
      <w:r w:rsidRPr="008714EF" w:rsidR="007D7BF3">
        <w:rPr>
          <w:spacing w:val="-4"/>
        </w:rPr>
        <w:t xml:space="preserve"> </w:t>
      </w:r>
      <w:r w:rsidRPr="008714EF" w:rsidR="007D7BF3">
        <w:t>include</w:t>
      </w:r>
      <w:r w:rsidRPr="008714EF" w:rsidR="007D7BF3">
        <w:rPr>
          <w:spacing w:val="-4"/>
        </w:rPr>
        <w:t xml:space="preserve"> </w:t>
      </w:r>
      <w:r w:rsidRPr="008714EF" w:rsidR="007D7BF3">
        <w:t>the cost of any hour burden already reflected on the burden worksheet).</w:t>
      </w:r>
    </w:p>
    <w:p w:rsidR="00C44B6E" w:rsidRPr="008714EF" w:rsidP="00B803CA" w14:paraId="02183A2F" w14:textId="2B998216">
      <w:pPr>
        <w:pStyle w:val="Heading2"/>
        <w:numPr>
          <w:ilvl w:val="0"/>
          <w:numId w:val="16"/>
        </w:numPr>
      </w:pPr>
      <w:r w:rsidRPr="008714EF">
        <w:t>The cost estimate should be split into two components: (a) a total capital and</w:t>
      </w:r>
      <w:r w:rsidRPr="008714EF">
        <w:rPr>
          <w:spacing w:val="-4"/>
        </w:rPr>
        <w:t xml:space="preserve"> </w:t>
      </w:r>
      <w:r w:rsidRPr="008714EF">
        <w:t>start-up</w:t>
      </w:r>
      <w:r w:rsidRPr="008714EF">
        <w:rPr>
          <w:spacing w:val="-4"/>
        </w:rPr>
        <w:t xml:space="preserve"> </w:t>
      </w:r>
      <w:r w:rsidRPr="008714EF">
        <w:t>cost</w:t>
      </w:r>
      <w:r w:rsidRPr="008714EF">
        <w:rPr>
          <w:spacing w:val="-4"/>
        </w:rPr>
        <w:t xml:space="preserve"> </w:t>
      </w:r>
      <w:r w:rsidRPr="008714EF">
        <w:t>component</w:t>
      </w:r>
      <w:r w:rsidRPr="008714EF">
        <w:rPr>
          <w:spacing w:val="-4"/>
        </w:rPr>
        <w:t xml:space="preserve"> </w:t>
      </w:r>
      <w:r w:rsidRPr="008714EF">
        <w:t>(annualized</w:t>
      </w:r>
      <w:r w:rsidRPr="008714EF">
        <w:rPr>
          <w:spacing w:val="-3"/>
        </w:rPr>
        <w:t xml:space="preserve"> </w:t>
      </w:r>
      <w:r w:rsidRPr="008714EF">
        <w:t>over</w:t>
      </w:r>
      <w:r w:rsidRPr="008714EF">
        <w:rPr>
          <w:spacing w:val="-4"/>
        </w:rPr>
        <w:t xml:space="preserve"> </w:t>
      </w:r>
      <w:r w:rsidRPr="008714EF">
        <w:t>its</w:t>
      </w:r>
      <w:r w:rsidRPr="008714EF">
        <w:rPr>
          <w:spacing w:val="-4"/>
        </w:rPr>
        <w:t xml:space="preserve"> </w:t>
      </w:r>
      <w:r w:rsidRPr="008714EF">
        <w:t>expected</w:t>
      </w:r>
      <w:r w:rsidRPr="008714EF">
        <w:rPr>
          <w:spacing w:val="-4"/>
        </w:rPr>
        <w:t xml:space="preserve"> </w:t>
      </w:r>
      <w:r w:rsidRPr="008714EF">
        <w:t>useful</w:t>
      </w:r>
      <w:r w:rsidRPr="008714EF">
        <w:rPr>
          <w:spacing w:val="-4"/>
        </w:rPr>
        <w:t xml:space="preserve"> </w:t>
      </w:r>
      <w:r w:rsidRPr="008714EF">
        <w:t>life)</w:t>
      </w:r>
      <w:r w:rsidRPr="008714EF">
        <w:rPr>
          <w:spacing w:val="-4"/>
        </w:rPr>
        <w:t xml:space="preserve"> </w:t>
      </w:r>
      <w:r w:rsidRPr="008714EF">
        <w:t>and</w:t>
      </w:r>
      <w:r w:rsidRPr="008714EF">
        <w:t xml:space="preserve"> </w:t>
      </w:r>
      <w:r w:rsidRPr="008714EF">
        <w:t>a total operation and maintenance and purchase of services</w:t>
      </w:r>
      <w:r w:rsidRPr="008714EF">
        <w:rPr>
          <w:spacing w:val="40"/>
        </w:rPr>
        <w:t xml:space="preserve"> </w:t>
      </w:r>
      <w:r w:rsidRPr="008714EF">
        <w:t xml:space="preserve">component. The estimates should </w:t>
      </w:r>
      <w:r w:rsidRPr="008714EF">
        <w:t>take into account</w:t>
      </w:r>
      <w:r w:rsidRPr="008714EF">
        <w:t xml:space="preserve"> costs associated with generating, maintaining, and disclosing or providing the information. Include descriptions of methods used to estimate major cost factors including</w:t>
      </w:r>
      <w:r w:rsidRPr="008714EF">
        <w:rPr>
          <w:spacing w:val="-4"/>
        </w:rPr>
        <w:t xml:space="preserve"> </w:t>
      </w:r>
      <w:r w:rsidRPr="008714EF">
        <w:t>system</w:t>
      </w:r>
      <w:r w:rsidRPr="008714EF">
        <w:rPr>
          <w:spacing w:val="-4"/>
        </w:rPr>
        <w:t xml:space="preserve"> </w:t>
      </w:r>
      <w:r w:rsidRPr="008714EF">
        <w:t>and</w:t>
      </w:r>
      <w:r w:rsidRPr="008714EF">
        <w:rPr>
          <w:spacing w:val="-4"/>
        </w:rPr>
        <w:t xml:space="preserve"> </w:t>
      </w:r>
      <w:r w:rsidRPr="008714EF">
        <w:t>technology</w:t>
      </w:r>
      <w:r w:rsidRPr="008714EF">
        <w:rPr>
          <w:spacing w:val="-4"/>
        </w:rPr>
        <w:t xml:space="preserve"> </w:t>
      </w:r>
      <w:r w:rsidRPr="008714EF">
        <w:t>acquisition,</w:t>
      </w:r>
      <w:r w:rsidRPr="008714EF">
        <w:rPr>
          <w:spacing w:val="-4"/>
        </w:rPr>
        <w:t xml:space="preserve"> </w:t>
      </w:r>
      <w:r w:rsidRPr="008714EF">
        <w:t>expected</w:t>
      </w:r>
      <w:r w:rsidRPr="008714EF">
        <w:rPr>
          <w:spacing w:val="-4"/>
        </w:rPr>
        <w:t xml:space="preserve"> </w:t>
      </w:r>
      <w:r w:rsidRPr="008714EF">
        <w:t>useful</w:t>
      </w:r>
      <w:r w:rsidRPr="008714EF">
        <w:rPr>
          <w:spacing w:val="-4"/>
        </w:rPr>
        <w:t xml:space="preserve"> </w:t>
      </w:r>
      <w:r w:rsidRPr="008714EF">
        <w:t>life</w:t>
      </w:r>
      <w:r w:rsidRPr="008714EF">
        <w:rPr>
          <w:spacing w:val="-4"/>
        </w:rPr>
        <w:t xml:space="preserve"> </w:t>
      </w:r>
      <w:r w:rsidRPr="008714EF">
        <w:t>of</w:t>
      </w:r>
      <w:r w:rsidRPr="008714EF">
        <w:rPr>
          <w:spacing w:val="-4"/>
        </w:rPr>
        <w:t xml:space="preserve"> </w:t>
      </w:r>
      <w:r w:rsidRPr="008714EF">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44B6E" w:rsidRPr="008714EF" w:rsidP="00B803CA" w14:paraId="03DA2A4C" w14:textId="77777777">
      <w:pPr>
        <w:pStyle w:val="Heading2"/>
        <w:numPr>
          <w:ilvl w:val="0"/>
          <w:numId w:val="16"/>
        </w:numPr>
      </w:pPr>
      <w:r w:rsidRPr="008714EF">
        <w:t>If cost estimates are expected to vary widely, agencies should present ranges of cost burdens and explain the reasons for the variance. The cost of purchasing or contracting out information collections services should</w:t>
      </w:r>
      <w:r w:rsidRPr="008714EF">
        <w:rPr>
          <w:spacing w:val="40"/>
        </w:rPr>
        <w:t xml:space="preserve"> </w:t>
      </w:r>
      <w:r w:rsidRPr="008714EF">
        <w:t>be</w:t>
      </w:r>
      <w:r w:rsidRPr="008714EF">
        <w:rPr>
          <w:spacing w:val="-4"/>
        </w:rPr>
        <w:t xml:space="preserve"> </w:t>
      </w:r>
      <w:r w:rsidRPr="008714EF">
        <w:t>a</w:t>
      </w:r>
      <w:r w:rsidRPr="008714EF">
        <w:rPr>
          <w:spacing w:val="-4"/>
        </w:rPr>
        <w:t xml:space="preserve"> </w:t>
      </w:r>
      <w:r w:rsidRPr="008714EF">
        <w:t>part</w:t>
      </w:r>
      <w:r w:rsidRPr="008714EF">
        <w:rPr>
          <w:spacing w:val="-4"/>
        </w:rPr>
        <w:t xml:space="preserve"> </w:t>
      </w:r>
      <w:r w:rsidRPr="008714EF">
        <w:t>of</w:t>
      </w:r>
      <w:r w:rsidRPr="008714EF">
        <w:rPr>
          <w:spacing w:val="-4"/>
        </w:rPr>
        <w:t xml:space="preserve"> </w:t>
      </w:r>
      <w:r w:rsidRPr="008714EF">
        <w:t>this</w:t>
      </w:r>
      <w:r w:rsidRPr="008714EF">
        <w:rPr>
          <w:spacing w:val="-4"/>
        </w:rPr>
        <w:t xml:space="preserve"> </w:t>
      </w:r>
      <w:r w:rsidRPr="008714EF">
        <w:t>cost</w:t>
      </w:r>
      <w:r w:rsidRPr="008714EF">
        <w:rPr>
          <w:spacing w:val="-4"/>
        </w:rPr>
        <w:t xml:space="preserve"> </w:t>
      </w:r>
      <w:r w:rsidRPr="008714EF">
        <w:t>burden</w:t>
      </w:r>
      <w:r w:rsidRPr="008714EF">
        <w:rPr>
          <w:spacing w:val="-4"/>
        </w:rPr>
        <w:t xml:space="preserve"> </w:t>
      </w:r>
      <w:r w:rsidRPr="008714EF">
        <w:t>estimate.</w:t>
      </w:r>
      <w:r w:rsidRPr="008714EF">
        <w:rPr>
          <w:spacing w:val="-5"/>
        </w:rPr>
        <w:t xml:space="preserve"> </w:t>
      </w:r>
      <w:r w:rsidRPr="008714EF">
        <w:t>In</w:t>
      </w:r>
      <w:r w:rsidRPr="008714EF">
        <w:rPr>
          <w:spacing w:val="-4"/>
        </w:rPr>
        <w:t xml:space="preserve"> </w:t>
      </w:r>
      <w:r w:rsidRPr="008714EF">
        <w:t>developing</w:t>
      </w:r>
      <w:r w:rsidRPr="008714EF">
        <w:rPr>
          <w:spacing w:val="-4"/>
        </w:rPr>
        <w:t xml:space="preserve"> </w:t>
      </w:r>
      <w:r w:rsidRPr="008714EF">
        <w:t>cost</w:t>
      </w:r>
      <w:r w:rsidRPr="008714EF">
        <w:rPr>
          <w:spacing w:val="-4"/>
        </w:rPr>
        <w:t xml:space="preserve"> </w:t>
      </w:r>
      <w:r w:rsidRPr="008714EF">
        <w:t>burden</w:t>
      </w:r>
      <w:r w:rsidRPr="008714EF">
        <w:rPr>
          <w:spacing w:val="-4"/>
        </w:rPr>
        <w:t xml:space="preserve"> </w:t>
      </w:r>
      <w:r w:rsidRPr="008714EF">
        <w:t>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B5715" w:rsidRPr="008714EF" w:rsidP="00B803CA" w14:paraId="3126EE66" w14:textId="1AE95121">
      <w:pPr>
        <w:pStyle w:val="Heading2"/>
        <w:numPr>
          <w:ilvl w:val="0"/>
          <w:numId w:val="16"/>
        </w:numPr>
      </w:pPr>
      <w:r w:rsidRPr="008714EF">
        <w:t>Generally, estimates should not include purchases of equipment or services, or portions thereof, made: (1) prior to October 1, 1995, (2) to achieve regulatory compliance with requirements not associated with the information</w:t>
      </w:r>
      <w:r w:rsidRPr="008714EF">
        <w:rPr>
          <w:spacing w:val="-4"/>
        </w:rPr>
        <w:t xml:space="preserve"> </w:t>
      </w:r>
      <w:r w:rsidRPr="008714EF">
        <w:t>collection,</w:t>
      </w:r>
      <w:r w:rsidRPr="008714EF">
        <w:rPr>
          <w:spacing w:val="-4"/>
        </w:rPr>
        <w:t xml:space="preserve"> </w:t>
      </w:r>
      <w:r w:rsidRPr="008714EF">
        <w:t>(3)</w:t>
      </w:r>
      <w:r w:rsidRPr="008714EF">
        <w:rPr>
          <w:spacing w:val="-5"/>
        </w:rPr>
        <w:t xml:space="preserve"> </w:t>
      </w:r>
      <w:r w:rsidRPr="008714EF">
        <w:t>for</w:t>
      </w:r>
      <w:r w:rsidRPr="008714EF">
        <w:rPr>
          <w:spacing w:val="-5"/>
        </w:rPr>
        <w:t xml:space="preserve"> </w:t>
      </w:r>
      <w:r w:rsidRPr="008714EF">
        <w:t>reasons</w:t>
      </w:r>
      <w:r w:rsidRPr="008714EF">
        <w:rPr>
          <w:spacing w:val="-5"/>
        </w:rPr>
        <w:t xml:space="preserve"> </w:t>
      </w:r>
      <w:r w:rsidRPr="008714EF">
        <w:t>other</w:t>
      </w:r>
      <w:r w:rsidRPr="008714EF">
        <w:rPr>
          <w:spacing w:val="-4"/>
        </w:rPr>
        <w:t xml:space="preserve"> </w:t>
      </w:r>
      <w:r w:rsidRPr="008714EF">
        <w:t>than</w:t>
      </w:r>
      <w:r w:rsidRPr="008714EF">
        <w:rPr>
          <w:spacing w:val="-4"/>
        </w:rPr>
        <w:t xml:space="preserve"> </w:t>
      </w:r>
      <w:r w:rsidRPr="008714EF">
        <w:t>to</w:t>
      </w:r>
      <w:r w:rsidRPr="008714EF">
        <w:rPr>
          <w:spacing w:val="-4"/>
        </w:rPr>
        <w:t xml:space="preserve"> </w:t>
      </w:r>
      <w:r w:rsidRPr="008714EF">
        <w:t>provide</w:t>
      </w:r>
      <w:r w:rsidRPr="008714EF">
        <w:rPr>
          <w:spacing w:val="-4"/>
        </w:rPr>
        <w:t xml:space="preserve"> </w:t>
      </w:r>
      <w:r w:rsidRPr="008714EF">
        <w:t>information</w:t>
      </w:r>
      <w:r w:rsidRPr="008714EF">
        <w:rPr>
          <w:spacing w:val="-4"/>
        </w:rPr>
        <w:t xml:space="preserve"> </w:t>
      </w:r>
      <w:r w:rsidRPr="008714EF">
        <w:t>or keep records for the government, or (4) as part of customary and usual business or private practices.</w:t>
      </w:r>
    </w:p>
    <w:p w:rsidR="00FF4844" w:rsidRPr="008714EF" w:rsidP="00FF4844" w14:paraId="536C19B6" w14:textId="34E673D8">
      <w:pPr>
        <w:pStyle w:val="BodyText"/>
        <w:spacing w:before="200" w:after="240"/>
        <w:ind w:left="280" w:right="843"/>
      </w:pPr>
      <w:r w:rsidRPr="008714EF">
        <w:t>There are ongoing monitoring costs incurred by respondents associated with monitoring equipment,</w:t>
      </w:r>
      <w:r>
        <w:rPr>
          <w:rStyle w:val="FootnoteReference"/>
        </w:rPr>
        <w:footnoteReference w:id="3"/>
      </w:r>
      <w:r w:rsidRPr="008714EF">
        <w:t xml:space="preserve"> laboratory analysis, and shipping costs. These costs are expected to vary depending on the extent to which monitoring results are below or above the existing chemical exposure limit (ECEL). EPA’s</w:t>
      </w:r>
      <w:r w:rsidRPr="008714EF">
        <w:rPr>
          <w:spacing w:val="-3"/>
        </w:rPr>
        <w:t xml:space="preserve"> </w:t>
      </w:r>
      <w:r w:rsidRPr="008714EF">
        <w:rPr>
          <w:i/>
        </w:rPr>
        <w:t>Economic</w:t>
      </w:r>
      <w:r w:rsidRPr="008714EF">
        <w:rPr>
          <w:i/>
          <w:spacing w:val="-3"/>
        </w:rPr>
        <w:t xml:space="preserve"> </w:t>
      </w:r>
      <w:r w:rsidRPr="008714EF">
        <w:rPr>
          <w:i/>
        </w:rPr>
        <w:t>Analysis</w:t>
      </w:r>
      <w:r w:rsidRPr="008714EF">
        <w:rPr>
          <w:i/>
          <w:spacing w:val="-3"/>
        </w:rPr>
        <w:t xml:space="preserve"> </w:t>
      </w:r>
      <w:r w:rsidRPr="008714EF">
        <w:rPr>
          <w:i/>
        </w:rPr>
        <w:t>of</w:t>
      </w:r>
      <w:r w:rsidRPr="008714EF">
        <w:rPr>
          <w:i/>
          <w:spacing w:val="-3"/>
        </w:rPr>
        <w:t xml:space="preserve"> </w:t>
      </w:r>
      <w:r w:rsidRPr="008714EF">
        <w:rPr>
          <w:i/>
        </w:rPr>
        <w:t>the</w:t>
      </w:r>
      <w:r w:rsidRPr="008714EF">
        <w:rPr>
          <w:i/>
          <w:spacing w:val="-3"/>
        </w:rPr>
        <w:t xml:space="preserve"> </w:t>
      </w:r>
      <w:r w:rsidRPr="008714EF">
        <w:rPr>
          <w:i/>
        </w:rPr>
        <w:t>Proposed</w:t>
      </w:r>
      <w:r w:rsidRPr="008714EF">
        <w:rPr>
          <w:i/>
          <w:spacing w:val="-3"/>
        </w:rPr>
        <w:t xml:space="preserve"> </w:t>
      </w:r>
      <w:r w:rsidRPr="008714EF">
        <w:rPr>
          <w:i/>
        </w:rPr>
        <w:t>Regulation of</w:t>
      </w:r>
      <w:r w:rsidRPr="008714EF">
        <w:rPr>
          <w:i/>
          <w:spacing w:val="-3"/>
        </w:rPr>
        <w:t xml:space="preserve"> </w:t>
      </w:r>
      <w:r w:rsidRPr="008714EF" w:rsidR="007C521D">
        <w:rPr>
          <w:i/>
          <w:spacing w:val="-3"/>
        </w:rPr>
        <w:t>Tri</w:t>
      </w:r>
      <w:r w:rsidRPr="008714EF" w:rsidR="00DB55F6">
        <w:rPr>
          <w:i/>
          <w:spacing w:val="-3"/>
        </w:rPr>
        <w:t>chloroethylene (</w:t>
      </w:r>
      <w:r w:rsidRPr="008714EF" w:rsidR="007C521D">
        <w:rPr>
          <w:i/>
          <w:spacing w:val="-3"/>
        </w:rPr>
        <w:t>T</w:t>
      </w:r>
      <w:r w:rsidRPr="008714EF" w:rsidR="00DB55F6">
        <w:rPr>
          <w:i/>
          <w:spacing w:val="-3"/>
        </w:rPr>
        <w:t>CE)</w:t>
      </w:r>
      <w:r w:rsidR="003033C5">
        <w:rPr>
          <w:i/>
          <w:spacing w:val="-3"/>
        </w:rPr>
        <w:t xml:space="preserve"> Under TSCA</w:t>
      </w:r>
      <w:r w:rsidRPr="008714EF" w:rsidR="00DB55F6">
        <w:rPr>
          <w:i/>
        </w:rPr>
        <w:t xml:space="preserve"> </w:t>
      </w:r>
      <w:r w:rsidRPr="008714EF" w:rsidR="00DB55F6">
        <w:t>(U.S. EPA, 202</w:t>
      </w:r>
      <w:r w:rsidR="003033C5">
        <w:t>3</w:t>
      </w:r>
      <w:r w:rsidRPr="008714EF" w:rsidR="00DB55F6">
        <w:t>)</w:t>
      </w:r>
      <w:r w:rsidRPr="008714EF">
        <w:t xml:space="preserve"> describes these cost estimates in detail. These ongoing non-labor costs are summarized in the table below.</w:t>
      </w:r>
    </w:p>
    <w:p w:rsidR="00C44B6E" w:rsidRPr="008714EF" w:rsidP="00C44B6E" w14:paraId="70EF7089" w14:textId="77777777"/>
    <w:p w:rsidR="6E54A3A8" w:rsidP="6E54A3A8" w14:paraId="65676B23" w14:textId="73342B86">
      <w:r w:rsidRPr="008714EF">
        <w:br w:type="page"/>
      </w:r>
    </w:p>
    <w:tbl>
      <w:tblPr>
        <w:tblW w:w="10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45"/>
        <w:gridCol w:w="1215"/>
        <w:gridCol w:w="1215"/>
        <w:gridCol w:w="1215"/>
        <w:gridCol w:w="1215"/>
        <w:gridCol w:w="1215"/>
        <w:gridCol w:w="1219"/>
      </w:tblGrid>
      <w:tr w14:paraId="0F1236A0" w14:textId="77777777" w:rsidTr="76D51D52">
        <w:tblPrEx>
          <w:tblW w:w="10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639" w:type="dxa"/>
            <w:gridSpan w:val="7"/>
            <w:tcBorders>
              <w:top w:val="nil"/>
              <w:left w:val="nil"/>
              <w:bottom w:val="single" w:sz="6" w:space="0" w:color="auto"/>
              <w:right w:val="nil"/>
            </w:tcBorders>
            <w:shd w:val="clear" w:color="auto" w:fill="auto"/>
            <w:vAlign w:val="center"/>
            <w:hideMark/>
          </w:tcPr>
          <w:p w:rsidR="003033C5" w:rsidRPr="00987D5D" w:rsidP="003033C5" w14:paraId="1FE77F7A" w14:textId="32E191F2">
            <w:pPr>
              <w:widowControl/>
              <w:autoSpaceDE/>
              <w:autoSpaceDN/>
              <w:textAlignment w:val="baseline"/>
              <w:rPr>
                <w:rFonts w:eastAsia="Times New Roman"/>
                <w:b/>
                <w:bCs/>
                <w:sz w:val="18"/>
                <w:szCs w:val="18"/>
              </w:rPr>
            </w:pPr>
            <w:r w:rsidRPr="00987D5D">
              <w:rPr>
                <w:rFonts w:eastAsia="Times New Roman"/>
                <w:b/>
                <w:bCs/>
                <w:sz w:val="20"/>
                <w:szCs w:val="20"/>
              </w:rPr>
              <w:t>Paperwork Non-Labor Cost Associated with Respiratory Monitoring </w:t>
            </w:r>
          </w:p>
        </w:tc>
      </w:tr>
      <w:tr w14:paraId="6BFF652B"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48C660A8" w14:textId="77777777">
            <w:pPr>
              <w:widowControl/>
              <w:autoSpaceDE/>
              <w:autoSpaceDN/>
              <w:jc w:val="center"/>
              <w:textAlignment w:val="baseline"/>
              <w:rPr>
                <w:rFonts w:eastAsia="Times New Roman"/>
                <w:b/>
                <w:bCs/>
                <w:color w:val="FFFFFF"/>
                <w:sz w:val="18"/>
                <w:szCs w:val="18"/>
              </w:rPr>
            </w:pPr>
            <w:r w:rsidRPr="00987D5D">
              <w:rPr>
                <w:rFonts w:eastAsia="Times New Roman"/>
                <w:b/>
                <w:bCs/>
                <w:color w:val="FFFFFF"/>
                <w:sz w:val="18"/>
                <w:szCs w:val="18"/>
              </w:rPr>
              <w:t>Threshold </w:t>
            </w:r>
          </w:p>
        </w:tc>
        <w:tc>
          <w:tcPr>
            <w:tcW w:w="121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7D76E046" w14:textId="77777777">
            <w:pPr>
              <w:widowControl/>
              <w:autoSpaceDE/>
              <w:autoSpaceDN/>
              <w:jc w:val="center"/>
              <w:textAlignment w:val="baseline"/>
              <w:rPr>
                <w:rFonts w:eastAsia="Times New Roman"/>
                <w:b/>
                <w:bCs/>
                <w:color w:val="FFFFFF"/>
                <w:sz w:val="18"/>
                <w:szCs w:val="18"/>
              </w:rPr>
            </w:pPr>
            <w:r w:rsidRPr="00987D5D">
              <w:rPr>
                <w:rFonts w:eastAsia="Times New Roman"/>
                <w:b/>
                <w:bCs/>
                <w:color w:val="FFFFFF"/>
                <w:sz w:val="18"/>
                <w:szCs w:val="18"/>
              </w:rPr>
              <w:t>Number of Respondents </w:t>
            </w:r>
          </w:p>
        </w:tc>
        <w:tc>
          <w:tcPr>
            <w:tcW w:w="121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5486D610" w14:textId="77777777">
            <w:pPr>
              <w:widowControl/>
              <w:autoSpaceDE/>
              <w:autoSpaceDN/>
              <w:jc w:val="center"/>
              <w:textAlignment w:val="baseline"/>
              <w:rPr>
                <w:rFonts w:eastAsia="Times New Roman"/>
                <w:b/>
                <w:bCs/>
                <w:color w:val="FFFFFF"/>
                <w:sz w:val="18"/>
                <w:szCs w:val="18"/>
              </w:rPr>
            </w:pPr>
            <w:r w:rsidRPr="00987D5D">
              <w:rPr>
                <w:rFonts w:eastAsia="Times New Roman"/>
                <w:b/>
                <w:bCs/>
                <w:color w:val="FFFFFF"/>
                <w:sz w:val="18"/>
                <w:szCs w:val="18"/>
              </w:rPr>
              <w:t>Number of Workers </w:t>
            </w:r>
          </w:p>
        </w:tc>
        <w:tc>
          <w:tcPr>
            <w:tcW w:w="121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53CF0EBC" w14:textId="77777777">
            <w:pPr>
              <w:widowControl/>
              <w:autoSpaceDE/>
              <w:autoSpaceDN/>
              <w:jc w:val="center"/>
              <w:textAlignment w:val="baseline"/>
              <w:rPr>
                <w:rFonts w:eastAsia="Times New Roman"/>
                <w:b/>
                <w:bCs/>
                <w:color w:val="FFFFFF"/>
                <w:sz w:val="18"/>
                <w:szCs w:val="18"/>
              </w:rPr>
            </w:pPr>
            <w:r w:rsidRPr="00987D5D">
              <w:rPr>
                <w:rFonts w:eastAsia="Times New Roman"/>
                <w:b/>
                <w:bCs/>
                <w:color w:val="FFFFFF"/>
                <w:sz w:val="18"/>
                <w:szCs w:val="18"/>
              </w:rPr>
              <w:t>Annual Per Respondent Non-Labor Costs (excludes costs estimated on a per-worker basis) </w:t>
            </w:r>
          </w:p>
        </w:tc>
        <w:tc>
          <w:tcPr>
            <w:tcW w:w="121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497523DA" w14:textId="77777777">
            <w:pPr>
              <w:widowControl/>
              <w:autoSpaceDE/>
              <w:autoSpaceDN/>
              <w:jc w:val="center"/>
              <w:textAlignment w:val="baseline"/>
              <w:rPr>
                <w:rFonts w:eastAsia="Times New Roman"/>
                <w:b/>
                <w:bCs/>
                <w:color w:val="FFFFFF"/>
                <w:sz w:val="18"/>
                <w:szCs w:val="18"/>
              </w:rPr>
            </w:pPr>
            <w:r w:rsidRPr="00987D5D">
              <w:rPr>
                <w:rFonts w:eastAsia="Times New Roman"/>
                <w:b/>
                <w:bCs/>
                <w:color w:val="FFFFFF"/>
                <w:sz w:val="18"/>
                <w:szCs w:val="18"/>
              </w:rPr>
              <w:t>Annual Per-Worker Non-Labor Cost </w:t>
            </w:r>
          </w:p>
        </w:tc>
        <w:tc>
          <w:tcPr>
            <w:tcW w:w="121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2DED4F11" w14:textId="77777777">
            <w:pPr>
              <w:widowControl/>
              <w:autoSpaceDE/>
              <w:autoSpaceDN/>
              <w:jc w:val="center"/>
              <w:textAlignment w:val="baseline"/>
              <w:rPr>
                <w:rFonts w:eastAsia="Times New Roman"/>
                <w:b/>
                <w:bCs/>
                <w:color w:val="FFFFFF"/>
                <w:sz w:val="18"/>
                <w:szCs w:val="18"/>
              </w:rPr>
            </w:pPr>
            <w:r w:rsidRPr="00987D5D">
              <w:rPr>
                <w:rFonts w:eastAsia="Times New Roman"/>
                <w:b/>
                <w:bCs/>
                <w:color w:val="FFFFFF"/>
                <w:sz w:val="18"/>
                <w:szCs w:val="18"/>
              </w:rPr>
              <w:t>Average Annual Per-Respondent Cost </w:t>
            </w:r>
          </w:p>
        </w:tc>
        <w:tc>
          <w:tcPr>
            <w:tcW w:w="1215" w:type="dxa"/>
            <w:tcBorders>
              <w:top w:val="single" w:sz="6" w:space="0" w:color="auto"/>
              <w:left w:val="single" w:sz="6" w:space="0" w:color="auto"/>
              <w:bottom w:val="single" w:sz="6" w:space="0" w:color="auto"/>
              <w:right w:val="single" w:sz="6" w:space="0" w:color="auto"/>
            </w:tcBorders>
            <w:shd w:val="clear" w:color="auto" w:fill="48A9C5"/>
            <w:vAlign w:val="center"/>
            <w:hideMark/>
          </w:tcPr>
          <w:p w:rsidR="003033C5" w:rsidRPr="00987D5D" w:rsidP="003033C5" w14:paraId="03FF1619" w14:textId="77777777">
            <w:pPr>
              <w:widowControl/>
              <w:autoSpaceDE/>
              <w:autoSpaceDN/>
              <w:jc w:val="center"/>
              <w:textAlignment w:val="baseline"/>
              <w:rPr>
                <w:rFonts w:eastAsia="Times New Roman"/>
                <w:b/>
                <w:bCs/>
                <w:color w:val="FFFFFF"/>
                <w:sz w:val="18"/>
                <w:szCs w:val="18"/>
              </w:rPr>
            </w:pPr>
            <w:r w:rsidRPr="00987D5D">
              <w:rPr>
                <w:rFonts w:eastAsia="Times New Roman"/>
                <w:b/>
                <w:bCs/>
                <w:color w:val="FFFFFF"/>
                <w:sz w:val="18"/>
                <w:szCs w:val="18"/>
              </w:rPr>
              <w:t>Average Annual Total Cost </w:t>
            </w:r>
          </w:p>
        </w:tc>
      </w:tr>
      <w:tr w14:paraId="035FA0ED" w14:textId="77777777" w:rsidTr="76D51D52">
        <w:tblPrEx>
          <w:tblW w:w="10639" w:type="dxa"/>
          <w:tblInd w:w="-15" w:type="dxa"/>
          <w:tblCellMar>
            <w:left w:w="0" w:type="dxa"/>
            <w:right w:w="0" w:type="dxa"/>
          </w:tblCellMar>
          <w:tblLook w:val="04A0"/>
        </w:tblPrEx>
        <w:trPr>
          <w:trHeight w:val="300"/>
        </w:trPr>
        <w:tc>
          <w:tcPr>
            <w:tcW w:w="10639" w:type="dxa"/>
            <w:gridSpan w:val="7"/>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3033C5" w:rsidRPr="00987D5D" w:rsidP="003033C5" w14:paraId="3FD90347" w14:textId="77777777">
            <w:pPr>
              <w:widowControl/>
              <w:autoSpaceDE/>
              <w:autoSpaceDN/>
              <w:jc w:val="center"/>
              <w:textAlignment w:val="baseline"/>
              <w:rPr>
                <w:rFonts w:eastAsia="Times New Roman"/>
                <w:b/>
                <w:bCs/>
                <w:color w:val="FFFFFF"/>
                <w:sz w:val="18"/>
                <w:szCs w:val="18"/>
              </w:rPr>
            </w:pPr>
            <w:r w:rsidRPr="00987D5D">
              <w:rPr>
                <w:rFonts w:eastAsia="Times New Roman"/>
                <w:b/>
                <w:bCs/>
                <w:color w:val="FFFFFF"/>
                <w:sz w:val="18"/>
                <w:szCs w:val="18"/>
              </w:rPr>
              <w:t>Respondents with three years of WCPP </w:t>
            </w:r>
          </w:p>
        </w:tc>
      </w:tr>
      <w:tr w14:paraId="7B4F15D1"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6AD4751"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&lt;Action Level </w:t>
            </w:r>
          </w:p>
          <w:p w:rsidR="003033C5" w:rsidRPr="00987D5D" w:rsidP="003033C5" w14:paraId="4095B023"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(1 event in first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9931405"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1.43 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A73CD79"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1.4 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79E63A3"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2614565"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$362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8B02415"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8652527"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$517  </w:t>
            </w:r>
          </w:p>
        </w:tc>
      </w:tr>
      <w:tr w14:paraId="5361E512"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404EC29"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Between Action Level and ECEL </w:t>
            </w:r>
          </w:p>
          <w:p w:rsidR="003033C5" w:rsidRPr="00987D5D" w:rsidP="003033C5" w14:paraId="6BE4B6D6"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(2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04716B2"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1.43 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23E7453"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1.4 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1013679"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6937AC8"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$724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2DA0554"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10B239B"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$1,034  </w:t>
            </w:r>
          </w:p>
        </w:tc>
      </w:tr>
      <w:tr w14:paraId="7BDCDB09"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D9DD5CD"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1 to &lt;10 times the ECEL </w:t>
            </w:r>
          </w:p>
          <w:p w:rsidR="003033C5" w:rsidRPr="00987D5D" w:rsidP="003033C5" w14:paraId="5B2019C0"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(4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988B363"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1.83 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C56D89A"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19.2 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AC03454"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AA4770C"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$1,448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277DD00"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$15,227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B663A71"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$27,843  </w:t>
            </w:r>
          </w:p>
        </w:tc>
      </w:tr>
      <w:tr w14:paraId="70110652"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2CBEE3D"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10 to &lt;25 times the ECEL </w:t>
            </w:r>
          </w:p>
          <w:p w:rsidR="003033C5" w:rsidRPr="00987D5D" w:rsidP="003033C5" w14:paraId="447F91AC"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(4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D044275"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1.92 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7766D93"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22.8 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5568FF8"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4DE08B2"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$1,448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50041D9"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$17,244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5EAE99E"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$33,085  </w:t>
            </w:r>
          </w:p>
        </w:tc>
      </w:tr>
      <w:tr w14:paraId="61B1FDE7"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82C7345"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25 to &lt;50 times the ECEL </w:t>
            </w:r>
          </w:p>
          <w:p w:rsidR="003033C5" w:rsidRPr="00987D5D" w:rsidP="003033C5" w14:paraId="3C4F0518"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(4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E833A31"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2.01 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B5C46C9"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23.4 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E1476D2"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21F1C0C"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$1,448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E83D651"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$16,861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2C1D917"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$33,867  </w:t>
            </w:r>
          </w:p>
        </w:tc>
      </w:tr>
      <w:tr w14:paraId="24DB6591"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46669C1"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50 to &lt;1,000 times the ECEL </w:t>
            </w:r>
          </w:p>
          <w:p w:rsidR="003033C5" w:rsidRPr="00987D5D" w:rsidP="003033C5" w14:paraId="67F3CBA1"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(4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ED7DA60"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4.48 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9E14429" w14:textId="6770B9C5">
            <w:pPr>
              <w:widowControl/>
              <w:autoSpaceDE/>
              <w:autoSpaceDN/>
              <w:jc w:val="right"/>
              <w:textAlignment w:val="baseline"/>
              <w:rPr>
                <w:rFonts w:eastAsia="Times New Roman"/>
                <w:color w:val="000000"/>
                <w:sz w:val="18"/>
                <w:szCs w:val="18"/>
              </w:rPr>
            </w:pPr>
            <w:r w:rsidRPr="093B333D">
              <w:rPr>
                <w:rFonts w:eastAsia="Times New Roman"/>
                <w:color w:val="000000" w:themeColor="text1"/>
                <w:sz w:val="18"/>
                <w:szCs w:val="18"/>
              </w:rPr>
              <w:t>107.3</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2007D9D"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7DFA3AA"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$1,448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9966A01" w14:textId="6A93A350">
            <w:pPr>
              <w:widowControl/>
              <w:autoSpaceDE/>
              <w:autoSpaceDN/>
              <w:jc w:val="right"/>
              <w:textAlignment w:val="baseline"/>
              <w:rPr>
                <w:rFonts w:eastAsia="Times New Roman"/>
                <w:color w:val="000000"/>
                <w:sz w:val="18"/>
                <w:szCs w:val="18"/>
              </w:rPr>
            </w:pPr>
            <w:r w:rsidRPr="093B333D">
              <w:rPr>
                <w:rFonts w:eastAsia="Times New Roman"/>
                <w:color w:val="000000" w:themeColor="text1"/>
                <w:sz w:val="18"/>
                <w:szCs w:val="18"/>
              </w:rPr>
              <w:t xml:space="preserve">$34,688 </w:t>
            </w:r>
            <w:r w:rsidRPr="093B333D">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93B333D" w14:paraId="0A6D7984" w14:textId="3CED31B8">
            <w:pPr>
              <w:widowControl/>
              <w:autoSpaceDE/>
              <w:autoSpaceDN/>
              <w:jc w:val="right"/>
              <w:textAlignment w:val="baseline"/>
              <w:rPr>
                <w:rFonts w:eastAsia="Times New Roman"/>
                <w:color w:val="000000"/>
                <w:sz w:val="18"/>
                <w:szCs w:val="18"/>
              </w:rPr>
            </w:pPr>
            <w:r w:rsidRPr="093B333D">
              <w:rPr>
                <w:rFonts w:ascii="Times New Roman" w:eastAsia="Times New Roman" w:hAnsi="Times New Roman" w:cs="Times New Roman"/>
              </w:rPr>
              <w:t>$155,354</w:t>
            </w:r>
            <w:r w:rsidRPr="093B333D">
              <w:rPr>
                <w:sz w:val="18"/>
                <w:szCs w:val="18"/>
              </w:rPr>
              <w:t xml:space="preserve"> </w:t>
            </w:r>
            <w:r w:rsidRPr="093B333D">
              <w:rPr>
                <w:rFonts w:eastAsia="Times New Roman"/>
                <w:color w:val="000000" w:themeColor="text1"/>
                <w:sz w:val="18"/>
                <w:szCs w:val="18"/>
              </w:rPr>
              <w:t>  </w:t>
            </w:r>
          </w:p>
        </w:tc>
      </w:tr>
      <w:tr w14:paraId="37921BD8"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FD43063"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1,000 to &lt;10,000 times the ECEL </w:t>
            </w:r>
          </w:p>
          <w:p w:rsidR="003033C5" w:rsidRPr="00987D5D" w:rsidP="003033C5" w14:paraId="5A510F18"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(4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C504CE" w14:paraId="72BCF058" w14:textId="790AB9FB">
            <w:pPr>
              <w:widowControl/>
              <w:spacing w:line="259" w:lineRule="auto"/>
              <w:jc w:val="right"/>
              <w:rPr>
                <w:sz w:val="18"/>
                <w:szCs w:val="18"/>
              </w:rPr>
            </w:pPr>
            <w:r w:rsidRPr="093B333D">
              <w:rPr>
                <w:rFonts w:eastAsia="Times New Roman"/>
                <w:color w:val="000000" w:themeColor="text1"/>
                <w:sz w:val="18"/>
                <w:szCs w:val="18"/>
              </w:rPr>
              <w:t>6.91</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55D5DFF" w14:textId="2B8DBA1C">
            <w:pPr>
              <w:widowControl/>
              <w:autoSpaceDE/>
              <w:autoSpaceDN/>
              <w:jc w:val="right"/>
              <w:textAlignment w:val="baseline"/>
              <w:rPr>
                <w:rFonts w:eastAsia="Times New Roman"/>
                <w:color w:val="000000"/>
                <w:sz w:val="18"/>
                <w:szCs w:val="18"/>
              </w:rPr>
            </w:pPr>
            <w:r w:rsidRPr="093B333D">
              <w:rPr>
                <w:rFonts w:eastAsia="Times New Roman"/>
                <w:color w:val="000000" w:themeColor="text1"/>
                <w:sz w:val="18"/>
                <w:szCs w:val="18"/>
              </w:rPr>
              <w:t>143.4</w:t>
            </w:r>
            <w:r w:rsidRPr="093B333D">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9EBED8E"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B054C55"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$1,448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54E3A83" w14:textId="77299B9C">
            <w:pPr>
              <w:widowControl/>
              <w:autoSpaceDE/>
              <w:autoSpaceDN/>
              <w:jc w:val="right"/>
              <w:textAlignment w:val="baseline"/>
              <w:rPr>
                <w:rFonts w:eastAsia="Times New Roman"/>
                <w:color w:val="000000"/>
                <w:sz w:val="18"/>
                <w:szCs w:val="18"/>
              </w:rPr>
            </w:pPr>
            <w:r w:rsidRPr="093B333D">
              <w:rPr>
                <w:rFonts w:eastAsia="Times New Roman"/>
                <w:color w:val="000000" w:themeColor="text1"/>
                <w:sz w:val="18"/>
                <w:szCs w:val="18"/>
              </w:rPr>
              <w:t>$</w:t>
            </w:r>
            <w:r w:rsidRPr="093B333D" w:rsidR="2259FB59">
              <w:rPr>
                <w:rFonts w:eastAsia="Times New Roman"/>
                <w:color w:val="000000" w:themeColor="text1"/>
                <w:sz w:val="18"/>
                <w:szCs w:val="18"/>
              </w:rPr>
              <w:t xml:space="preserve">$30,053 </w:t>
            </w:r>
            <w:r w:rsidRPr="093B333D">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5278124" w14:textId="1243AEE7">
            <w:pPr>
              <w:widowControl/>
              <w:autoSpaceDE/>
              <w:autoSpaceDN/>
              <w:jc w:val="right"/>
              <w:textAlignment w:val="baseline"/>
              <w:rPr>
                <w:rFonts w:eastAsia="Times New Roman"/>
                <w:color w:val="000000"/>
                <w:sz w:val="18"/>
                <w:szCs w:val="18"/>
              </w:rPr>
            </w:pPr>
            <w:r w:rsidRPr="093B333D">
              <w:rPr>
                <w:rFonts w:eastAsia="Times New Roman"/>
                <w:color w:val="000000" w:themeColor="text1"/>
                <w:sz w:val="18"/>
                <w:szCs w:val="18"/>
              </w:rPr>
              <w:t xml:space="preserve">$207,627 </w:t>
            </w:r>
            <w:r w:rsidRPr="093B333D">
              <w:rPr>
                <w:rFonts w:eastAsia="Times New Roman"/>
                <w:color w:val="000000" w:themeColor="text1"/>
                <w:sz w:val="18"/>
                <w:szCs w:val="18"/>
              </w:rPr>
              <w:t> </w:t>
            </w:r>
          </w:p>
        </w:tc>
      </w:tr>
      <w:tr w14:paraId="53378D7E" w14:textId="77777777" w:rsidTr="76D51D52">
        <w:tblPrEx>
          <w:tblW w:w="10639" w:type="dxa"/>
          <w:tblInd w:w="-15" w:type="dxa"/>
          <w:tblCellMar>
            <w:left w:w="0" w:type="dxa"/>
            <w:right w:w="0" w:type="dxa"/>
          </w:tblCellMar>
          <w:tblLook w:val="04A0"/>
        </w:tblPrEx>
        <w:trPr>
          <w:trHeight w:val="300"/>
        </w:trPr>
        <w:tc>
          <w:tcPr>
            <w:tcW w:w="10639" w:type="dxa"/>
            <w:gridSpan w:val="7"/>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3033C5" w:rsidRPr="00987D5D" w:rsidP="003033C5" w14:paraId="7B42F82B" w14:textId="77777777">
            <w:pPr>
              <w:widowControl/>
              <w:autoSpaceDE/>
              <w:autoSpaceDN/>
              <w:jc w:val="center"/>
              <w:textAlignment w:val="baseline"/>
              <w:rPr>
                <w:rFonts w:eastAsia="Times New Roman"/>
                <w:b/>
                <w:bCs/>
                <w:color w:val="FFFFFF"/>
                <w:sz w:val="18"/>
                <w:szCs w:val="18"/>
              </w:rPr>
            </w:pPr>
            <w:r w:rsidRPr="00987D5D">
              <w:rPr>
                <w:rFonts w:eastAsia="Times New Roman"/>
                <w:b/>
                <w:bCs/>
                <w:color w:val="FFFFFF"/>
                <w:sz w:val="18"/>
                <w:szCs w:val="18"/>
              </w:rPr>
              <w:t>Respondents with one year of WCPP </w:t>
            </w:r>
          </w:p>
        </w:tc>
      </w:tr>
      <w:tr w14:paraId="6C750BFF"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53C0EFD"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&lt;Action Level </w:t>
            </w:r>
          </w:p>
          <w:p w:rsidR="003033C5" w:rsidRPr="00987D5D" w:rsidP="003033C5" w14:paraId="3C17CF2F"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(1 event in first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8741EA7"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9C8F20B"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CFA4FC2"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9D2B56C"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$121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386B1F2"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1657638"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r>
      <w:tr w14:paraId="50F8D2C8"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15A24AE"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Between Action Level and ECEL </w:t>
            </w:r>
          </w:p>
          <w:p w:rsidR="003033C5" w:rsidRPr="00987D5D" w:rsidP="003033C5" w14:paraId="5A3E088B"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(2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8DA9477"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47E5626"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DBBBD21"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6538636"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$241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D509CAF"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897C1F6"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r>
      <w:tr w14:paraId="660BBCC5"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4BB2961"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1 to &lt;10 times the ECEL </w:t>
            </w:r>
          </w:p>
          <w:p w:rsidR="003033C5" w:rsidRPr="00987D5D" w:rsidP="003033C5" w14:paraId="4B2F6F90"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(4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5D7D4EE" w14:textId="499997E1">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 xml:space="preserve">0.29 </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410A4B2" w14:textId="246462EA">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5.5</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D8B32C8"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027EEB6"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$483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6FD7D9B"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$9,177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5C873B5" w14:textId="3A336C1F">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w:t>
            </w:r>
            <w:r w:rsidRPr="76D51D52" w:rsidR="26DF9751">
              <w:rPr>
                <w:rFonts w:eastAsia="Times New Roman"/>
                <w:color w:val="000000" w:themeColor="text1"/>
                <w:sz w:val="18"/>
                <w:szCs w:val="18"/>
              </w:rPr>
              <w:t>2,661</w:t>
            </w:r>
            <w:r w:rsidRPr="76D51D52">
              <w:rPr>
                <w:rFonts w:eastAsia="Times New Roman"/>
                <w:color w:val="000000" w:themeColor="text1"/>
                <w:sz w:val="18"/>
                <w:szCs w:val="18"/>
              </w:rPr>
              <w:t>  </w:t>
            </w:r>
          </w:p>
        </w:tc>
      </w:tr>
      <w:tr w14:paraId="6169B329"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B55BF7C"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10 to &lt;25 times the ECEL </w:t>
            </w:r>
          </w:p>
          <w:p w:rsidR="003033C5" w:rsidRPr="00987D5D" w:rsidP="003033C5" w14:paraId="539FE3CB"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(4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7F2C461" w14:textId="61C7B52E">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 xml:space="preserve">1.74 </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77648AB6" w14:textId="457E9055">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33.1</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72A6146"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FE2AFB1"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$483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67AFD68"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$9,177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7584C09" w14:textId="2373F8ED">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w:t>
            </w:r>
            <w:r w:rsidRPr="76D51D52" w:rsidR="56C7C990">
              <w:rPr>
                <w:rFonts w:eastAsia="Times New Roman"/>
                <w:color w:val="000000" w:themeColor="text1"/>
                <w:sz w:val="18"/>
                <w:szCs w:val="18"/>
              </w:rPr>
              <w:t>15,968</w:t>
            </w:r>
            <w:r w:rsidRPr="76D51D52">
              <w:rPr>
                <w:rFonts w:eastAsia="Times New Roman"/>
                <w:color w:val="000000" w:themeColor="text1"/>
                <w:sz w:val="18"/>
                <w:szCs w:val="18"/>
              </w:rPr>
              <w:t>  </w:t>
            </w:r>
          </w:p>
        </w:tc>
      </w:tr>
      <w:tr w14:paraId="49B42805"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F0B0715"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25 to &lt;50 times the ECEL </w:t>
            </w:r>
          </w:p>
          <w:p w:rsidR="003033C5" w:rsidRPr="00987D5D" w:rsidP="003033C5" w14:paraId="551B8CA4"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(4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CEF4B85" w14:textId="33217317">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 xml:space="preserve">4.06 </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330DBED" w14:textId="25490EC7">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77.1</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471C5D3"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BBF085E"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$483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AB0DA63"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$9,177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DB6D271" w14:textId="7EC89E76">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w:t>
            </w:r>
            <w:r w:rsidRPr="76D51D52" w:rsidR="20FD330F">
              <w:rPr>
                <w:rFonts w:eastAsia="Times New Roman"/>
                <w:color w:val="000000" w:themeColor="text1"/>
                <w:sz w:val="18"/>
                <w:szCs w:val="18"/>
              </w:rPr>
              <w:t>37,259</w:t>
            </w:r>
            <w:r w:rsidRPr="76D51D52">
              <w:rPr>
                <w:rFonts w:eastAsia="Times New Roman"/>
                <w:color w:val="000000" w:themeColor="text1"/>
                <w:sz w:val="18"/>
                <w:szCs w:val="18"/>
              </w:rPr>
              <w:t>  </w:t>
            </w:r>
          </w:p>
        </w:tc>
      </w:tr>
      <w:tr w14:paraId="552E2C12"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F702208"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50 to &lt;1,000 times the ECEL </w:t>
            </w:r>
          </w:p>
          <w:p w:rsidR="003033C5" w:rsidRPr="00987D5D" w:rsidP="003033C5" w14:paraId="2BD65B0F"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(4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970133B" w14:textId="71742194">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 xml:space="preserve">22.04 </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B9EB4E5" w14:textId="0F392FC4">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420.5</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28E95B3"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311CC11"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$483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CCE926D" w14:textId="1FEA3591">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w:t>
            </w:r>
            <w:r w:rsidRPr="76D51D52" w:rsidR="51DDCC60">
              <w:rPr>
                <w:rFonts w:eastAsia="Times New Roman"/>
                <w:color w:val="000000" w:themeColor="text1"/>
                <w:sz w:val="18"/>
                <w:szCs w:val="18"/>
              </w:rPr>
              <w:t>9,216</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3BD428CE" w14:textId="7715BA76">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w:t>
            </w:r>
            <w:r w:rsidRPr="76D51D52" w:rsidR="2C2E0ED6">
              <w:rPr>
                <w:rFonts w:eastAsia="Times New Roman"/>
                <w:color w:val="000000" w:themeColor="text1"/>
                <w:sz w:val="18"/>
                <w:szCs w:val="18"/>
              </w:rPr>
              <w:t>203,111</w:t>
            </w:r>
            <w:r w:rsidRPr="76D51D52">
              <w:rPr>
                <w:rFonts w:eastAsia="Times New Roman"/>
                <w:color w:val="000000" w:themeColor="text1"/>
                <w:sz w:val="18"/>
                <w:szCs w:val="18"/>
              </w:rPr>
              <w:t>6  </w:t>
            </w:r>
          </w:p>
        </w:tc>
      </w:tr>
      <w:tr w14:paraId="79B128A8"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75D8215"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1,000 to &lt;10,000 times the ECEL </w:t>
            </w:r>
          </w:p>
          <w:p w:rsidR="003033C5" w:rsidRPr="00987D5D" w:rsidP="003033C5" w14:paraId="09544DC7" w14:textId="77777777">
            <w:pPr>
              <w:widowControl/>
              <w:autoSpaceDE/>
              <w:autoSpaceDN/>
              <w:textAlignment w:val="baseline"/>
              <w:rPr>
                <w:rFonts w:eastAsia="Times New Roman"/>
                <w:color w:val="000000"/>
                <w:sz w:val="18"/>
                <w:szCs w:val="18"/>
              </w:rPr>
            </w:pPr>
            <w:r w:rsidRPr="00987D5D">
              <w:rPr>
                <w:rFonts w:eastAsia="Times New Roman"/>
                <w:color w:val="000000"/>
                <w:sz w:val="18"/>
                <w:szCs w:val="18"/>
              </w:rPr>
              <w:t>(4 events per year)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76D51D52" w14:paraId="02387F39" w14:textId="179F4950">
            <w:pPr>
              <w:widowControl/>
              <w:autoSpaceDE/>
              <w:autoSpaceDN/>
              <w:jc w:val="right"/>
              <w:textAlignment w:val="baseline"/>
              <w:rPr>
                <w:rFonts w:eastAsia="Times New Roman"/>
                <w:color w:val="000000"/>
                <w:sz w:val="18"/>
                <w:szCs w:val="18"/>
              </w:rPr>
            </w:pPr>
            <w:r w:rsidRPr="76D51D52">
              <w:rPr>
                <w:rFonts w:ascii="Times New Roman" w:eastAsia="Times New Roman" w:hAnsi="Times New Roman" w:cs="Times New Roman"/>
              </w:rPr>
              <w:t>2.87</w:t>
            </w:r>
            <w:r w:rsidRPr="76D51D52">
              <w:rPr>
                <w:sz w:val="18"/>
                <w:szCs w:val="18"/>
              </w:rPr>
              <w:t xml:space="preserve"> </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C755C76" w14:textId="54CC530F">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64.8</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4D6901E5"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07A95AB"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$483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9CC950B" w14:textId="3D9B4DDA">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w:t>
            </w:r>
            <w:r w:rsidRPr="76D51D52" w:rsidR="207900ED">
              <w:rPr>
                <w:rFonts w:eastAsia="Times New Roman"/>
                <w:color w:val="000000" w:themeColor="text1"/>
                <w:sz w:val="18"/>
                <w:szCs w:val="18"/>
              </w:rPr>
              <w:t xml:space="preserve">10,900 </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87E8B42" w14:textId="0A067126">
            <w:pPr>
              <w:widowControl/>
              <w:autoSpaceDE/>
              <w:autoSpaceDN/>
              <w:jc w:val="right"/>
              <w:textAlignment w:val="baseline"/>
              <w:rPr>
                <w:rFonts w:eastAsia="Times New Roman"/>
                <w:color w:val="000000"/>
                <w:sz w:val="18"/>
                <w:szCs w:val="18"/>
              </w:rPr>
            </w:pPr>
            <w:r w:rsidRPr="76D51D52">
              <w:rPr>
                <w:rFonts w:eastAsia="Times New Roman"/>
                <w:color w:val="000000" w:themeColor="text1"/>
                <w:sz w:val="18"/>
                <w:szCs w:val="18"/>
              </w:rPr>
              <w:t>$</w:t>
            </w:r>
            <w:r w:rsidRPr="76D51D52" w:rsidR="29992BF3">
              <w:rPr>
                <w:rFonts w:eastAsia="Times New Roman"/>
                <w:color w:val="000000" w:themeColor="text1"/>
                <w:sz w:val="18"/>
                <w:szCs w:val="18"/>
              </w:rPr>
              <w:t>31,284</w:t>
            </w:r>
            <w:r w:rsidRPr="76D51D52">
              <w:rPr>
                <w:rFonts w:eastAsia="Times New Roman"/>
                <w:color w:val="000000" w:themeColor="text1"/>
                <w:sz w:val="18"/>
                <w:szCs w:val="18"/>
              </w:rPr>
              <w:t>  </w:t>
            </w:r>
          </w:p>
        </w:tc>
      </w:tr>
      <w:tr w14:paraId="56F2A467" w14:textId="77777777" w:rsidTr="76D51D52">
        <w:tblPrEx>
          <w:tblW w:w="10639" w:type="dxa"/>
          <w:tblInd w:w="-15" w:type="dxa"/>
          <w:tblCellMar>
            <w:left w:w="0" w:type="dxa"/>
            <w:right w:w="0" w:type="dxa"/>
          </w:tblCellMar>
          <w:tblLook w:val="04A0"/>
        </w:tblPrEx>
        <w:trPr>
          <w:trHeight w:val="300"/>
        </w:trPr>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1C71B264" w14:textId="77777777">
            <w:pPr>
              <w:widowControl/>
              <w:autoSpaceDE/>
              <w:autoSpaceDN/>
              <w:textAlignment w:val="baseline"/>
              <w:rPr>
                <w:rFonts w:eastAsia="Times New Roman"/>
                <w:color w:val="000000"/>
                <w:sz w:val="18"/>
                <w:szCs w:val="18"/>
              </w:rPr>
            </w:pPr>
            <w:r w:rsidRPr="00987D5D">
              <w:rPr>
                <w:rFonts w:eastAsia="Times New Roman"/>
                <w:b/>
                <w:bCs/>
                <w:color w:val="000000"/>
                <w:sz w:val="18"/>
                <w:szCs w:val="18"/>
              </w:rPr>
              <w:t>All Respondents</w:t>
            </w: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0D55575" w14:textId="77777777">
            <w:pPr>
              <w:widowControl/>
              <w:autoSpaceDE/>
              <w:autoSpaceDN/>
              <w:jc w:val="right"/>
              <w:textAlignment w:val="baseline"/>
              <w:rPr>
                <w:rFonts w:eastAsia="Times New Roman"/>
                <w:color w:val="000000"/>
                <w:sz w:val="18"/>
                <w:szCs w:val="18"/>
              </w:rPr>
            </w:pPr>
            <w:r w:rsidRPr="76D51D52">
              <w:rPr>
                <w:rFonts w:eastAsia="Times New Roman"/>
                <w:b/>
                <w:bCs/>
                <w:color w:val="000000" w:themeColor="text1"/>
                <w:sz w:val="18"/>
                <w:szCs w:val="18"/>
              </w:rPr>
              <w:t>51</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233C4D03" w14:textId="342F8730">
            <w:pPr>
              <w:widowControl/>
              <w:autoSpaceDE/>
              <w:autoSpaceDN/>
              <w:jc w:val="right"/>
              <w:textAlignment w:val="baseline"/>
              <w:rPr>
                <w:rFonts w:eastAsia="Times New Roman"/>
                <w:color w:val="000000"/>
                <w:sz w:val="18"/>
                <w:szCs w:val="18"/>
              </w:rPr>
            </w:pPr>
            <w:r w:rsidRPr="76D51D52">
              <w:rPr>
                <w:rFonts w:eastAsia="Times New Roman"/>
                <w:b/>
                <w:bCs/>
                <w:color w:val="000000" w:themeColor="text1"/>
                <w:sz w:val="18"/>
                <w:szCs w:val="18"/>
              </w:rPr>
              <w:t>920</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B6327F5"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0600C0DE" w14:textId="77777777">
            <w:pPr>
              <w:widowControl/>
              <w:autoSpaceDE/>
              <w:autoSpaceDN/>
              <w:jc w:val="right"/>
              <w:textAlignment w:val="baseline"/>
              <w:rPr>
                <w:rFonts w:eastAsia="Times New Roman"/>
                <w:color w:val="000000"/>
                <w:sz w:val="18"/>
                <w:szCs w:val="18"/>
              </w:rPr>
            </w:pPr>
            <w:r w:rsidRPr="00987D5D">
              <w:rPr>
                <w:rFonts w:eastAsia="Times New Roman"/>
                <w:color w:val="000000"/>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65F3B679" w14:textId="1E6201C0">
            <w:pPr>
              <w:widowControl/>
              <w:autoSpaceDE/>
              <w:autoSpaceDN/>
              <w:jc w:val="right"/>
              <w:textAlignment w:val="baseline"/>
              <w:rPr>
                <w:rFonts w:eastAsia="Times New Roman"/>
                <w:color w:val="000000"/>
                <w:sz w:val="18"/>
                <w:szCs w:val="18"/>
              </w:rPr>
            </w:pPr>
            <w:r w:rsidRPr="76D51D52">
              <w:rPr>
                <w:rFonts w:eastAsia="Times New Roman"/>
                <w:b/>
                <w:bCs/>
                <w:color w:val="000000" w:themeColor="text1"/>
                <w:sz w:val="18"/>
                <w:szCs w:val="18"/>
              </w:rPr>
              <w:t>161,721</w:t>
            </w:r>
            <w:r w:rsidRPr="76D51D52">
              <w:rPr>
                <w:rFonts w:eastAsia="Times New Roman"/>
                <w:b/>
                <w:bCs/>
                <w:color w:val="000000" w:themeColor="text1"/>
                <w:sz w:val="18"/>
                <w:szCs w:val="18"/>
              </w:rPr>
              <w:t> </w:t>
            </w:r>
            <w:r w:rsidRPr="76D51D52">
              <w:rPr>
                <w:rFonts w:eastAsia="Times New Roman"/>
                <w:color w:val="000000" w:themeColor="text1"/>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33C5" w:rsidRPr="00987D5D" w:rsidP="003033C5" w14:paraId="51AC3824" w14:textId="30E9D6E7">
            <w:pPr>
              <w:widowControl/>
              <w:autoSpaceDE/>
              <w:autoSpaceDN/>
              <w:jc w:val="right"/>
              <w:textAlignment w:val="baseline"/>
              <w:rPr>
                <w:rFonts w:eastAsia="Times New Roman"/>
                <w:color w:val="000000"/>
                <w:sz w:val="18"/>
                <w:szCs w:val="18"/>
              </w:rPr>
            </w:pPr>
            <w:r w:rsidRPr="76D51D52">
              <w:rPr>
                <w:rFonts w:eastAsia="Times New Roman"/>
                <w:b/>
                <w:bCs/>
                <w:color w:val="000000" w:themeColor="text1"/>
                <w:sz w:val="18"/>
                <w:szCs w:val="18"/>
              </w:rPr>
              <w:t>$</w:t>
            </w:r>
            <w:r w:rsidRPr="76D51D52" w:rsidR="2CE968F4">
              <w:rPr>
                <w:rFonts w:eastAsia="Times New Roman"/>
                <w:b/>
                <w:bCs/>
                <w:color w:val="000000" w:themeColor="text1"/>
                <w:sz w:val="18"/>
                <w:szCs w:val="18"/>
              </w:rPr>
              <w:t>749,609</w:t>
            </w:r>
            <w:r w:rsidRPr="76D51D52">
              <w:rPr>
                <w:rFonts w:eastAsia="Times New Roman"/>
                <w:b/>
                <w:bCs/>
                <w:color w:val="000000" w:themeColor="text1"/>
                <w:sz w:val="18"/>
                <w:szCs w:val="18"/>
              </w:rPr>
              <w:t> </w:t>
            </w:r>
            <w:r w:rsidRPr="76D51D52">
              <w:rPr>
                <w:rFonts w:eastAsia="Times New Roman"/>
                <w:color w:val="000000" w:themeColor="text1"/>
                <w:sz w:val="18"/>
                <w:szCs w:val="18"/>
              </w:rPr>
              <w:t> </w:t>
            </w:r>
          </w:p>
        </w:tc>
      </w:tr>
    </w:tbl>
    <w:p w:rsidR="003033C5" w:rsidRPr="008714EF" w:rsidP="6E54A3A8" w14:paraId="79D93FAB" w14:textId="77777777"/>
    <w:p w:rsidR="6E54A3A8" w:rsidRPr="008714EF" w:rsidP="6E54A3A8" w14:paraId="58C1F7D9" w14:textId="1D78CE07"/>
    <w:p w:rsidR="006B5715" w:rsidRPr="008714EF" w:rsidP="00B803CA" w14:paraId="3126EE82" w14:textId="639547C6">
      <w:pPr>
        <w:pStyle w:val="Heading2"/>
      </w:pPr>
      <w:r w:rsidRPr="008714EF">
        <w:t xml:space="preserve">14. </w:t>
      </w:r>
      <w:r w:rsidRPr="008714EF" w:rsidR="007D7BF3">
        <w:t>Provide</w:t>
      </w:r>
      <w:r w:rsidRPr="008714EF" w:rsidR="007D7BF3">
        <w:rPr>
          <w:spacing w:val="-4"/>
        </w:rPr>
        <w:t xml:space="preserve"> </w:t>
      </w:r>
      <w:r w:rsidRPr="008714EF" w:rsidR="007D7BF3">
        <w:t>estimates</w:t>
      </w:r>
      <w:r w:rsidRPr="008714EF" w:rsidR="007D7BF3">
        <w:rPr>
          <w:spacing w:val="-4"/>
        </w:rPr>
        <w:t xml:space="preserve"> </w:t>
      </w:r>
      <w:r w:rsidRPr="008714EF" w:rsidR="007D7BF3">
        <w:t>of</w:t>
      </w:r>
      <w:r w:rsidRPr="008714EF" w:rsidR="007D7BF3">
        <w:rPr>
          <w:spacing w:val="-4"/>
        </w:rPr>
        <w:t xml:space="preserve"> </w:t>
      </w:r>
      <w:r w:rsidRPr="008714EF" w:rsidR="007D7BF3">
        <w:t>annualized</w:t>
      </w:r>
      <w:r w:rsidRPr="008714EF" w:rsidR="007D7BF3">
        <w:rPr>
          <w:spacing w:val="-4"/>
        </w:rPr>
        <w:t xml:space="preserve"> </w:t>
      </w:r>
      <w:r w:rsidRPr="008714EF" w:rsidR="007D7BF3">
        <w:t>cost</w:t>
      </w:r>
      <w:r w:rsidRPr="008714EF" w:rsidR="007D7BF3">
        <w:rPr>
          <w:spacing w:val="-3"/>
        </w:rPr>
        <w:t xml:space="preserve"> </w:t>
      </w:r>
      <w:r w:rsidRPr="008714EF" w:rsidR="007D7BF3">
        <w:t>to</w:t>
      </w:r>
      <w:r w:rsidRPr="008714EF" w:rsidR="007D7BF3">
        <w:rPr>
          <w:spacing w:val="-5"/>
        </w:rPr>
        <w:t xml:space="preserve"> </w:t>
      </w:r>
      <w:r w:rsidRPr="008714EF" w:rsidR="007D7BF3">
        <w:t>the</w:t>
      </w:r>
      <w:r w:rsidRPr="008714EF" w:rsidR="007D7BF3">
        <w:rPr>
          <w:spacing w:val="-5"/>
        </w:rPr>
        <w:t xml:space="preserve"> </w:t>
      </w:r>
      <w:r w:rsidRPr="008714EF" w:rsidR="007D7BF3">
        <w:t>Federal</w:t>
      </w:r>
      <w:r w:rsidRPr="008714EF" w:rsidR="007D7BF3">
        <w:rPr>
          <w:spacing w:val="-4"/>
        </w:rPr>
        <w:t xml:space="preserve"> </w:t>
      </w:r>
      <w:r w:rsidRPr="008714EF" w:rsidR="007D7BF3">
        <w:t>government.</w:t>
      </w:r>
      <w:r w:rsidRPr="008714EF" w:rsidR="007D7BF3">
        <w:rPr>
          <w:spacing w:val="-4"/>
        </w:rPr>
        <w:t xml:space="preserve"> </w:t>
      </w:r>
      <w:r w:rsidRPr="008714EF" w:rsidR="007D7BF3">
        <w:t>Also,</w:t>
      </w:r>
      <w:r w:rsidRPr="008714EF" w:rsidR="007D7BF3">
        <w:rPr>
          <w:spacing w:val="-5"/>
        </w:rPr>
        <w:t xml:space="preserve"> </w:t>
      </w:r>
      <w:r w:rsidRPr="008714EF" w:rsidR="007D7BF3">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B5715" w:rsidRPr="008714EF" w:rsidP="001852E7" w14:paraId="3126EE83" w14:textId="1ADD89A3">
      <w:pPr>
        <w:pStyle w:val="BodyText"/>
        <w:spacing w:before="201" w:after="240"/>
        <w:ind w:left="640" w:right="843"/>
      </w:pPr>
      <w:r w:rsidRPr="008714EF">
        <w:t>There</w:t>
      </w:r>
      <w:r w:rsidRPr="008714EF">
        <w:rPr>
          <w:spacing w:val="-4"/>
        </w:rPr>
        <w:t xml:space="preserve"> </w:t>
      </w:r>
      <w:r w:rsidRPr="008714EF">
        <w:t>will</w:t>
      </w:r>
      <w:r w:rsidRPr="008714EF">
        <w:rPr>
          <w:spacing w:val="-4"/>
        </w:rPr>
        <w:t xml:space="preserve"> </w:t>
      </w:r>
      <w:r w:rsidRPr="008714EF">
        <w:t>be</w:t>
      </w:r>
      <w:r w:rsidRPr="008714EF">
        <w:rPr>
          <w:spacing w:val="-4"/>
        </w:rPr>
        <w:t xml:space="preserve"> </w:t>
      </w:r>
      <w:r w:rsidRPr="008714EF">
        <w:t>no</w:t>
      </w:r>
      <w:r w:rsidRPr="008714EF">
        <w:rPr>
          <w:spacing w:val="-4"/>
        </w:rPr>
        <w:t xml:space="preserve"> </w:t>
      </w:r>
      <w:r w:rsidRPr="008714EF">
        <w:t>agency</w:t>
      </w:r>
      <w:r w:rsidRPr="008714EF">
        <w:rPr>
          <w:spacing w:val="-4"/>
        </w:rPr>
        <w:t xml:space="preserve"> </w:t>
      </w:r>
      <w:r w:rsidRPr="008714EF">
        <w:t>collection</w:t>
      </w:r>
      <w:r w:rsidRPr="008714EF">
        <w:rPr>
          <w:spacing w:val="-3"/>
        </w:rPr>
        <w:t xml:space="preserve"> </w:t>
      </w:r>
      <w:r w:rsidRPr="008714EF">
        <w:t>activities</w:t>
      </w:r>
      <w:r w:rsidRPr="008714EF">
        <w:rPr>
          <w:spacing w:val="-4"/>
        </w:rPr>
        <w:t xml:space="preserve"> </w:t>
      </w:r>
      <w:r w:rsidRPr="008714EF">
        <w:t>under</w:t>
      </w:r>
      <w:r w:rsidRPr="008714EF">
        <w:rPr>
          <w:spacing w:val="-4"/>
        </w:rPr>
        <w:t xml:space="preserve"> </w:t>
      </w:r>
      <w:r w:rsidRPr="008714EF">
        <w:t>the</w:t>
      </w:r>
      <w:r w:rsidRPr="008714EF">
        <w:rPr>
          <w:spacing w:val="-4"/>
        </w:rPr>
        <w:t xml:space="preserve"> </w:t>
      </w:r>
      <w:r w:rsidRPr="008714EF">
        <w:t>proposed</w:t>
      </w:r>
      <w:r w:rsidRPr="008714EF">
        <w:rPr>
          <w:spacing w:val="-4"/>
        </w:rPr>
        <w:t xml:space="preserve"> </w:t>
      </w:r>
      <w:r w:rsidRPr="008714EF">
        <w:t>rule.</w:t>
      </w:r>
      <w:r w:rsidRPr="008714EF">
        <w:rPr>
          <w:spacing w:val="-4"/>
        </w:rPr>
        <w:t xml:space="preserve"> </w:t>
      </w:r>
      <w:r w:rsidRPr="008714EF">
        <w:t>There</w:t>
      </w:r>
      <w:r w:rsidRPr="008714EF">
        <w:rPr>
          <w:spacing w:val="-4"/>
        </w:rPr>
        <w:t xml:space="preserve"> </w:t>
      </w:r>
      <w:r w:rsidRPr="008714EF">
        <w:t>will</w:t>
      </w:r>
      <w:r w:rsidRPr="008714EF">
        <w:rPr>
          <w:spacing w:val="-4"/>
        </w:rPr>
        <w:t xml:space="preserve"> </w:t>
      </w:r>
      <w:r w:rsidRPr="008714EF">
        <w:t xml:space="preserve">only be </w:t>
      </w:r>
      <w:r w:rsidRPr="008714EF" w:rsidR="005B5918">
        <w:t>third</w:t>
      </w:r>
      <w:r w:rsidRPr="008714EF" w:rsidR="002E0CDA">
        <w:t>-</w:t>
      </w:r>
      <w:r w:rsidRPr="008714EF" w:rsidR="005B5918">
        <w:t>party</w:t>
      </w:r>
      <w:r w:rsidRPr="008714EF" w:rsidR="002E0CDA">
        <w:t xml:space="preserve"> </w:t>
      </w:r>
      <w:r w:rsidRPr="008714EF" w:rsidR="005B5918">
        <w:t xml:space="preserve">notification and </w:t>
      </w:r>
      <w:r w:rsidRPr="008714EF">
        <w:t xml:space="preserve">recordkeeping requirements. </w:t>
      </w:r>
    </w:p>
    <w:p w:rsidR="006B5715" w:rsidRPr="008714EF" w:rsidP="00B803CA" w14:paraId="3126EE84" w14:textId="1AF58A4D">
      <w:pPr>
        <w:pStyle w:val="Heading2"/>
      </w:pPr>
      <w:r w:rsidRPr="008714EF">
        <w:t xml:space="preserve">15. </w:t>
      </w:r>
      <w:r w:rsidRPr="008714EF" w:rsidR="007D7BF3">
        <w:t>Explain</w:t>
      </w:r>
      <w:r w:rsidRPr="008714EF" w:rsidR="007D7BF3">
        <w:rPr>
          <w:spacing w:val="-4"/>
        </w:rPr>
        <w:t xml:space="preserve"> </w:t>
      </w:r>
      <w:r w:rsidRPr="008714EF" w:rsidR="007D7BF3">
        <w:t>the</w:t>
      </w:r>
      <w:r w:rsidRPr="008714EF" w:rsidR="007D7BF3">
        <w:rPr>
          <w:spacing w:val="-4"/>
        </w:rPr>
        <w:t xml:space="preserve"> </w:t>
      </w:r>
      <w:r w:rsidRPr="008714EF" w:rsidR="007D7BF3">
        <w:t>reasons</w:t>
      </w:r>
      <w:r w:rsidRPr="008714EF" w:rsidR="007D7BF3">
        <w:rPr>
          <w:spacing w:val="-4"/>
        </w:rPr>
        <w:t xml:space="preserve"> </w:t>
      </w:r>
      <w:r w:rsidRPr="008714EF" w:rsidR="007D7BF3">
        <w:t>for</w:t>
      </w:r>
      <w:r w:rsidRPr="008714EF" w:rsidR="007D7BF3">
        <w:rPr>
          <w:spacing w:val="-4"/>
        </w:rPr>
        <w:t xml:space="preserve"> </w:t>
      </w:r>
      <w:r w:rsidRPr="008714EF" w:rsidR="007D7BF3">
        <w:t>any</w:t>
      </w:r>
      <w:r w:rsidRPr="008714EF" w:rsidR="007D7BF3">
        <w:rPr>
          <w:spacing w:val="-4"/>
        </w:rPr>
        <w:t xml:space="preserve"> </w:t>
      </w:r>
      <w:r w:rsidRPr="008714EF" w:rsidR="007D7BF3">
        <w:t>program</w:t>
      </w:r>
      <w:r w:rsidRPr="008714EF" w:rsidR="007D7BF3">
        <w:rPr>
          <w:spacing w:val="-5"/>
        </w:rPr>
        <w:t xml:space="preserve"> </w:t>
      </w:r>
      <w:r w:rsidRPr="008714EF" w:rsidR="007D7BF3">
        <w:t>changes</w:t>
      </w:r>
      <w:r w:rsidRPr="008714EF" w:rsidR="007D7BF3">
        <w:rPr>
          <w:spacing w:val="-4"/>
        </w:rPr>
        <w:t xml:space="preserve"> </w:t>
      </w:r>
      <w:r w:rsidRPr="008714EF" w:rsidR="007D7BF3">
        <w:t>or</w:t>
      </w:r>
      <w:r w:rsidRPr="008714EF" w:rsidR="007D7BF3">
        <w:rPr>
          <w:spacing w:val="-4"/>
        </w:rPr>
        <w:t xml:space="preserve"> </w:t>
      </w:r>
      <w:r w:rsidRPr="008714EF" w:rsidR="007D7BF3">
        <w:t>adjustments</w:t>
      </w:r>
      <w:r w:rsidRPr="008714EF" w:rsidR="007D7BF3">
        <w:rPr>
          <w:spacing w:val="-4"/>
        </w:rPr>
        <w:t xml:space="preserve"> </w:t>
      </w:r>
      <w:r w:rsidRPr="008714EF" w:rsidR="007D7BF3">
        <w:t>reported</w:t>
      </w:r>
      <w:r w:rsidRPr="008714EF" w:rsidR="007D7BF3">
        <w:rPr>
          <w:spacing w:val="-4"/>
        </w:rPr>
        <w:t xml:space="preserve"> </w:t>
      </w:r>
      <w:r w:rsidRPr="008714EF" w:rsidR="007D7BF3">
        <w:t>in</w:t>
      </w:r>
      <w:r w:rsidRPr="008714EF" w:rsidR="007D7BF3">
        <w:rPr>
          <w:spacing w:val="-4"/>
        </w:rPr>
        <w:t xml:space="preserve"> </w:t>
      </w:r>
      <w:r w:rsidRPr="008714EF" w:rsidR="007D7BF3">
        <w:t>hour or cost burden.</w:t>
      </w:r>
    </w:p>
    <w:p w:rsidR="006B5715" w:rsidRPr="008714EF" w:rsidP="00C9481D" w14:paraId="3126EE86" w14:textId="3E60FD36">
      <w:pPr>
        <w:pStyle w:val="BodyText"/>
        <w:spacing w:before="199" w:after="240"/>
        <w:ind w:left="640" w:right="843"/>
      </w:pPr>
      <w:r w:rsidRPr="008714EF">
        <w:t>This</w:t>
      </w:r>
      <w:r w:rsidRPr="008714EF">
        <w:rPr>
          <w:spacing w:val="-4"/>
        </w:rPr>
        <w:t xml:space="preserve"> </w:t>
      </w:r>
      <w:r w:rsidRPr="008714EF">
        <w:t>is</w:t>
      </w:r>
      <w:r w:rsidRPr="008714EF">
        <w:rPr>
          <w:spacing w:val="-4"/>
        </w:rPr>
        <w:t xml:space="preserve"> </w:t>
      </w:r>
      <w:r w:rsidRPr="008714EF">
        <w:t>a</w:t>
      </w:r>
      <w:r w:rsidRPr="008714EF">
        <w:rPr>
          <w:spacing w:val="-4"/>
        </w:rPr>
        <w:t xml:space="preserve"> </w:t>
      </w:r>
      <w:r w:rsidRPr="008714EF">
        <w:t>new,</w:t>
      </w:r>
      <w:r w:rsidRPr="008714EF">
        <w:rPr>
          <w:spacing w:val="-4"/>
        </w:rPr>
        <w:t xml:space="preserve"> </w:t>
      </w:r>
      <w:r w:rsidRPr="008714EF">
        <w:t>rule-related</w:t>
      </w:r>
      <w:r w:rsidRPr="008714EF">
        <w:rPr>
          <w:spacing w:val="-4"/>
        </w:rPr>
        <w:t xml:space="preserve"> </w:t>
      </w:r>
      <w:r w:rsidRPr="008714EF">
        <w:t>information</w:t>
      </w:r>
      <w:r w:rsidRPr="008714EF">
        <w:rPr>
          <w:spacing w:val="-4"/>
        </w:rPr>
        <w:t xml:space="preserve"> </w:t>
      </w:r>
      <w:r w:rsidRPr="008714EF">
        <w:t>collection.</w:t>
      </w:r>
      <w:r w:rsidRPr="008714EF">
        <w:rPr>
          <w:spacing w:val="-4"/>
        </w:rPr>
        <w:t xml:space="preserve"> </w:t>
      </w:r>
      <w:r w:rsidRPr="008714EF" w:rsidR="00E110BB">
        <w:rPr>
          <w:spacing w:val="-4"/>
        </w:rPr>
        <w:t>Therefore, the reported burden reflects a program change.</w:t>
      </w:r>
    </w:p>
    <w:p w:rsidR="006B5715" w:rsidRPr="008714EF" w:rsidP="00B803CA" w14:paraId="3126EE88" w14:textId="680BED5A">
      <w:pPr>
        <w:pStyle w:val="Heading2"/>
      </w:pPr>
      <w:r w:rsidRPr="008714EF">
        <w:t xml:space="preserve">16. </w:t>
      </w:r>
      <w:r w:rsidRPr="008714EF" w:rsidR="007D7BF3">
        <w:t>For collections whose results will be published, outline the plans for tabulation</w:t>
      </w:r>
      <w:r w:rsidRPr="008714EF" w:rsidR="007D7BF3">
        <w:rPr>
          <w:spacing w:val="-6"/>
        </w:rPr>
        <w:t xml:space="preserve"> </w:t>
      </w:r>
      <w:r w:rsidRPr="008714EF" w:rsidR="007D7BF3">
        <w:t>and</w:t>
      </w:r>
      <w:r w:rsidRPr="008714EF" w:rsidR="007D7BF3">
        <w:rPr>
          <w:spacing w:val="-6"/>
        </w:rPr>
        <w:t xml:space="preserve"> </w:t>
      </w:r>
      <w:r w:rsidRPr="008714EF" w:rsidR="007D7BF3">
        <w:t>publication.</w:t>
      </w:r>
      <w:r w:rsidRPr="008714EF" w:rsidR="007D7BF3">
        <w:rPr>
          <w:spacing w:val="-5"/>
        </w:rPr>
        <w:t xml:space="preserve"> </w:t>
      </w:r>
      <w:r w:rsidRPr="008714EF" w:rsidR="007D7BF3">
        <w:t>Address</w:t>
      </w:r>
      <w:r w:rsidRPr="008714EF" w:rsidR="007D7BF3">
        <w:rPr>
          <w:spacing w:val="-5"/>
        </w:rPr>
        <w:t xml:space="preserve"> </w:t>
      </w:r>
      <w:r w:rsidRPr="008714EF" w:rsidR="007D7BF3">
        <w:t>any</w:t>
      </w:r>
      <w:r w:rsidRPr="008714EF" w:rsidR="007D7BF3">
        <w:rPr>
          <w:spacing w:val="-5"/>
        </w:rPr>
        <w:t xml:space="preserve"> </w:t>
      </w:r>
      <w:r w:rsidRPr="008714EF" w:rsidR="007D7BF3">
        <w:t>complex</w:t>
      </w:r>
      <w:r w:rsidRPr="008714EF" w:rsidR="007D7BF3">
        <w:rPr>
          <w:spacing w:val="-5"/>
        </w:rPr>
        <w:t xml:space="preserve"> </w:t>
      </w:r>
      <w:r w:rsidRPr="008714EF" w:rsidR="007D7BF3">
        <w:t>analytical</w:t>
      </w:r>
      <w:r w:rsidRPr="008714EF" w:rsidR="007D7BF3">
        <w:rPr>
          <w:spacing w:val="-6"/>
        </w:rPr>
        <w:t xml:space="preserve"> </w:t>
      </w:r>
      <w:r w:rsidRPr="008714EF" w:rsidR="007D7BF3">
        <w:t>techniques</w:t>
      </w:r>
      <w:r w:rsidRPr="008714EF" w:rsidR="007D7BF3">
        <w:rPr>
          <w:spacing w:val="-6"/>
        </w:rPr>
        <w:t xml:space="preserve"> </w:t>
      </w:r>
      <w:r w:rsidRPr="008714EF" w:rsidR="007D7BF3">
        <w:t>that will be used. Provide the time schedule for the entire project, including beginning and ending dates of the collection of information, completion of report, publication dates, and other actions.</w:t>
      </w:r>
    </w:p>
    <w:p w:rsidR="006B5715" w:rsidRPr="008714EF" w:rsidP="001852E7" w14:paraId="3126EE89" w14:textId="77777777">
      <w:pPr>
        <w:pStyle w:val="BodyText"/>
        <w:spacing w:before="200" w:after="240"/>
        <w:ind w:left="640"/>
      </w:pPr>
      <w:r w:rsidRPr="008714EF">
        <w:t>Not</w:t>
      </w:r>
      <w:r w:rsidRPr="008714EF">
        <w:rPr>
          <w:spacing w:val="-2"/>
        </w:rPr>
        <w:t xml:space="preserve"> applicable.</w:t>
      </w:r>
    </w:p>
    <w:p w:rsidR="006B5715" w:rsidRPr="008714EF" w:rsidP="00B803CA" w14:paraId="3126EE8B" w14:textId="6B846F1D">
      <w:pPr>
        <w:pStyle w:val="Heading2"/>
      </w:pPr>
      <w:r w:rsidRPr="008714EF">
        <w:t xml:space="preserve">17. </w:t>
      </w:r>
      <w:r w:rsidRPr="008714EF" w:rsidR="007D7BF3">
        <w:t>If</w:t>
      </w:r>
      <w:r w:rsidRPr="008714EF" w:rsidR="007D7BF3">
        <w:rPr>
          <w:spacing w:val="-3"/>
        </w:rPr>
        <w:t xml:space="preserve"> </w:t>
      </w:r>
      <w:r w:rsidRPr="008714EF" w:rsidR="007D7BF3">
        <w:t>seeking</w:t>
      </w:r>
      <w:r w:rsidRPr="008714EF" w:rsidR="007D7BF3">
        <w:rPr>
          <w:spacing w:val="-3"/>
        </w:rPr>
        <w:t xml:space="preserve"> </w:t>
      </w:r>
      <w:r w:rsidRPr="008714EF" w:rsidR="007D7BF3">
        <w:t>approval</w:t>
      </w:r>
      <w:r w:rsidRPr="008714EF" w:rsidR="007D7BF3">
        <w:rPr>
          <w:spacing w:val="-3"/>
        </w:rPr>
        <w:t xml:space="preserve"> </w:t>
      </w:r>
      <w:r w:rsidRPr="008714EF" w:rsidR="007D7BF3">
        <w:t>to</w:t>
      </w:r>
      <w:r w:rsidRPr="008714EF" w:rsidR="007D7BF3">
        <w:rPr>
          <w:spacing w:val="-3"/>
        </w:rPr>
        <w:t xml:space="preserve"> </w:t>
      </w:r>
      <w:r w:rsidRPr="008714EF" w:rsidR="007D7BF3">
        <w:t>not</w:t>
      </w:r>
      <w:r w:rsidRPr="008714EF" w:rsidR="007D7BF3">
        <w:rPr>
          <w:spacing w:val="-3"/>
        </w:rPr>
        <w:t xml:space="preserve"> </w:t>
      </w:r>
      <w:r w:rsidRPr="008714EF" w:rsidR="007D7BF3">
        <w:t>display</w:t>
      </w:r>
      <w:r w:rsidRPr="008714EF" w:rsidR="007D7BF3">
        <w:rPr>
          <w:spacing w:val="-3"/>
        </w:rPr>
        <w:t xml:space="preserve"> </w:t>
      </w:r>
      <w:r w:rsidRPr="008714EF" w:rsidR="007D7BF3">
        <w:t>the</w:t>
      </w:r>
      <w:r w:rsidRPr="008714EF" w:rsidR="007D7BF3">
        <w:rPr>
          <w:spacing w:val="-5"/>
        </w:rPr>
        <w:t xml:space="preserve"> </w:t>
      </w:r>
      <w:r w:rsidRPr="008714EF" w:rsidR="007D7BF3">
        <w:t>expiration</w:t>
      </w:r>
      <w:r w:rsidRPr="008714EF" w:rsidR="007D7BF3">
        <w:rPr>
          <w:spacing w:val="-3"/>
        </w:rPr>
        <w:t xml:space="preserve"> </w:t>
      </w:r>
      <w:r w:rsidRPr="008714EF" w:rsidR="007D7BF3">
        <w:t>date</w:t>
      </w:r>
      <w:r w:rsidRPr="008714EF" w:rsidR="007D7BF3">
        <w:rPr>
          <w:spacing w:val="-3"/>
        </w:rPr>
        <w:t xml:space="preserve"> </w:t>
      </w:r>
      <w:r w:rsidRPr="008714EF" w:rsidR="007D7BF3">
        <w:t>for</w:t>
      </w:r>
      <w:r w:rsidRPr="008714EF" w:rsidR="007D7BF3">
        <w:rPr>
          <w:spacing w:val="-3"/>
        </w:rPr>
        <w:t xml:space="preserve"> </w:t>
      </w:r>
      <w:r w:rsidRPr="008714EF" w:rsidR="007D7BF3">
        <w:t>OMB</w:t>
      </w:r>
      <w:r w:rsidRPr="008714EF" w:rsidR="007D7BF3">
        <w:rPr>
          <w:spacing w:val="-3"/>
        </w:rPr>
        <w:t xml:space="preserve"> </w:t>
      </w:r>
      <w:r w:rsidRPr="008714EF" w:rsidR="007D7BF3">
        <w:t>approval</w:t>
      </w:r>
      <w:r w:rsidRPr="008714EF" w:rsidR="007D7BF3">
        <w:rPr>
          <w:spacing w:val="-3"/>
        </w:rPr>
        <w:t xml:space="preserve"> </w:t>
      </w:r>
      <w:r w:rsidRPr="008714EF" w:rsidR="007D7BF3">
        <w:t>of</w:t>
      </w:r>
      <w:r w:rsidRPr="008714EF" w:rsidR="007D7BF3">
        <w:rPr>
          <w:spacing w:val="-3"/>
        </w:rPr>
        <w:t xml:space="preserve"> </w:t>
      </w:r>
      <w:r w:rsidRPr="008714EF" w:rsidR="007D7BF3">
        <w:t xml:space="preserve">the information collection, explain the reasons why display would be </w:t>
      </w:r>
      <w:r w:rsidRPr="008714EF" w:rsidR="007D7BF3">
        <w:rPr>
          <w:spacing w:val="-2"/>
        </w:rPr>
        <w:t>inappropriate.</w:t>
      </w:r>
    </w:p>
    <w:p w:rsidR="006B5715" w:rsidRPr="008714EF" w:rsidP="001852E7" w14:paraId="3126EE8C" w14:textId="77777777">
      <w:pPr>
        <w:pStyle w:val="BodyText"/>
        <w:spacing w:before="201" w:after="240"/>
        <w:ind w:left="640"/>
      </w:pPr>
      <w:r w:rsidRPr="008714EF">
        <w:t>Not</w:t>
      </w:r>
      <w:r w:rsidRPr="008714EF">
        <w:rPr>
          <w:spacing w:val="-2"/>
        </w:rPr>
        <w:t xml:space="preserve"> applicable.</w:t>
      </w:r>
    </w:p>
    <w:p w:rsidR="006B5715" w:rsidRPr="008714EF" w:rsidP="00B803CA" w14:paraId="3126EE8E" w14:textId="3539384B">
      <w:pPr>
        <w:pStyle w:val="Heading2"/>
      </w:pPr>
      <w:r w:rsidRPr="008714EF">
        <w:t xml:space="preserve">18. </w:t>
      </w:r>
      <w:r w:rsidRPr="008714EF" w:rsidR="007D7BF3">
        <w:t>Explain</w:t>
      </w:r>
      <w:r w:rsidRPr="008714EF" w:rsidR="007D7BF3">
        <w:rPr>
          <w:spacing w:val="-5"/>
        </w:rPr>
        <w:t xml:space="preserve"> </w:t>
      </w:r>
      <w:r w:rsidRPr="008714EF" w:rsidR="007D7BF3">
        <w:t>each</w:t>
      </w:r>
      <w:r w:rsidRPr="008714EF" w:rsidR="007D7BF3">
        <w:rPr>
          <w:spacing w:val="-5"/>
        </w:rPr>
        <w:t xml:space="preserve"> </w:t>
      </w:r>
      <w:r w:rsidRPr="008714EF" w:rsidR="007D7BF3">
        <w:t>exception</w:t>
      </w:r>
      <w:r w:rsidRPr="008714EF" w:rsidR="007D7BF3">
        <w:rPr>
          <w:spacing w:val="-5"/>
        </w:rPr>
        <w:t xml:space="preserve"> </w:t>
      </w:r>
      <w:r w:rsidRPr="008714EF" w:rsidR="007D7BF3">
        <w:t>to</w:t>
      </w:r>
      <w:r w:rsidRPr="008714EF" w:rsidR="007D7BF3">
        <w:rPr>
          <w:spacing w:val="-5"/>
        </w:rPr>
        <w:t xml:space="preserve"> </w:t>
      </w:r>
      <w:r w:rsidRPr="008714EF" w:rsidR="007D7BF3">
        <w:t>the</w:t>
      </w:r>
      <w:r w:rsidRPr="008714EF" w:rsidR="007D7BF3">
        <w:rPr>
          <w:spacing w:val="-5"/>
        </w:rPr>
        <w:t xml:space="preserve"> </w:t>
      </w:r>
      <w:r w:rsidRPr="008714EF" w:rsidR="007D7BF3">
        <w:t>certification</w:t>
      </w:r>
      <w:r w:rsidRPr="008714EF" w:rsidR="007D7BF3">
        <w:rPr>
          <w:spacing w:val="-5"/>
        </w:rPr>
        <w:t xml:space="preserve"> </w:t>
      </w:r>
      <w:r w:rsidRPr="008714EF" w:rsidR="007D7BF3">
        <w:t>statement</w:t>
      </w:r>
      <w:r w:rsidRPr="008714EF" w:rsidR="007D7BF3">
        <w:rPr>
          <w:spacing w:val="-6"/>
        </w:rPr>
        <w:t xml:space="preserve"> </w:t>
      </w:r>
      <w:r w:rsidRPr="008714EF" w:rsidR="007D7BF3">
        <w:t>identified</w:t>
      </w:r>
      <w:r w:rsidRPr="008714EF" w:rsidR="007D7BF3">
        <w:rPr>
          <w:spacing w:val="-5"/>
        </w:rPr>
        <w:t xml:space="preserve"> </w:t>
      </w:r>
      <w:r w:rsidRPr="008714EF" w:rsidR="007D7BF3">
        <w:t>in “Certification for Paperwork Reduction Act Submissions.”</w:t>
      </w:r>
    </w:p>
    <w:p w:rsidR="006B5715" w:rsidRPr="008714EF" w:rsidP="00DF2B2E" w14:paraId="3126EE8F" w14:textId="77777777">
      <w:pPr>
        <w:pStyle w:val="BodyText"/>
        <w:spacing w:before="201" w:after="480"/>
        <w:ind w:left="640"/>
      </w:pPr>
      <w:r w:rsidRPr="008714EF">
        <w:t>EPA</w:t>
      </w:r>
      <w:r w:rsidRPr="008714EF">
        <w:rPr>
          <w:spacing w:val="-6"/>
        </w:rPr>
        <w:t xml:space="preserve"> </w:t>
      </w:r>
      <w:r w:rsidRPr="008714EF">
        <w:t>does</w:t>
      </w:r>
      <w:r w:rsidRPr="008714EF">
        <w:rPr>
          <w:spacing w:val="-4"/>
        </w:rPr>
        <w:t xml:space="preserve"> </w:t>
      </w:r>
      <w:r w:rsidRPr="008714EF">
        <w:t>not</w:t>
      </w:r>
      <w:r w:rsidRPr="008714EF">
        <w:rPr>
          <w:spacing w:val="-4"/>
        </w:rPr>
        <w:t xml:space="preserve"> </w:t>
      </w:r>
      <w:r w:rsidRPr="008714EF">
        <w:t>request</w:t>
      </w:r>
      <w:r w:rsidRPr="008714EF">
        <w:rPr>
          <w:spacing w:val="-4"/>
        </w:rPr>
        <w:t xml:space="preserve"> </w:t>
      </w:r>
      <w:r w:rsidRPr="008714EF">
        <w:t>an</w:t>
      </w:r>
      <w:r w:rsidRPr="008714EF">
        <w:rPr>
          <w:spacing w:val="-4"/>
        </w:rPr>
        <w:t xml:space="preserve"> </w:t>
      </w:r>
      <w:r w:rsidRPr="008714EF">
        <w:t>exception</w:t>
      </w:r>
      <w:r w:rsidRPr="008714EF">
        <w:rPr>
          <w:spacing w:val="-4"/>
        </w:rPr>
        <w:t xml:space="preserve"> </w:t>
      </w:r>
      <w:r w:rsidRPr="008714EF">
        <w:t>to</w:t>
      </w:r>
      <w:r w:rsidRPr="008714EF">
        <w:rPr>
          <w:spacing w:val="-4"/>
        </w:rPr>
        <w:t xml:space="preserve"> </w:t>
      </w:r>
      <w:r w:rsidRPr="008714EF">
        <w:t>the</w:t>
      </w:r>
      <w:r w:rsidRPr="008714EF">
        <w:rPr>
          <w:spacing w:val="-4"/>
        </w:rPr>
        <w:t xml:space="preserve"> </w:t>
      </w:r>
      <w:r w:rsidRPr="008714EF">
        <w:t>certification</w:t>
      </w:r>
      <w:r w:rsidRPr="008714EF">
        <w:rPr>
          <w:spacing w:val="-4"/>
        </w:rPr>
        <w:t xml:space="preserve"> </w:t>
      </w:r>
      <w:r w:rsidRPr="008714EF">
        <w:t>of</w:t>
      </w:r>
      <w:r w:rsidRPr="008714EF">
        <w:rPr>
          <w:spacing w:val="-4"/>
        </w:rPr>
        <w:t xml:space="preserve"> </w:t>
      </w:r>
      <w:r w:rsidRPr="008714EF">
        <w:t>this</w:t>
      </w:r>
      <w:r w:rsidRPr="008714EF">
        <w:rPr>
          <w:spacing w:val="-4"/>
        </w:rPr>
        <w:t xml:space="preserve"> </w:t>
      </w:r>
      <w:r w:rsidRPr="008714EF">
        <w:t>information</w:t>
      </w:r>
      <w:r w:rsidRPr="008714EF">
        <w:rPr>
          <w:spacing w:val="-3"/>
        </w:rPr>
        <w:t xml:space="preserve"> </w:t>
      </w:r>
      <w:r w:rsidRPr="008714EF">
        <w:rPr>
          <w:spacing w:val="-2"/>
        </w:rPr>
        <w:t>collection.</w:t>
      </w:r>
    </w:p>
    <w:p w:rsidR="006B5715" w:rsidRPr="008714EF" w:rsidP="00B803CA" w14:paraId="3126EE91" w14:textId="77777777">
      <w:pPr>
        <w:pStyle w:val="Heading1"/>
      </w:pPr>
      <w:r w:rsidRPr="008714EF">
        <w:rPr>
          <w:w w:val="95"/>
        </w:rPr>
        <w:t>SUPPLEMENTAL</w:t>
      </w:r>
      <w:r w:rsidRPr="008714EF">
        <w:rPr>
          <w:spacing w:val="54"/>
          <w:w w:val="150"/>
        </w:rPr>
        <w:t xml:space="preserve"> </w:t>
      </w:r>
      <w:r w:rsidRPr="008714EF">
        <w:rPr>
          <w:spacing w:val="-2"/>
        </w:rPr>
        <w:t>INFORMATION</w:t>
      </w:r>
    </w:p>
    <w:p w:rsidR="00941786" w:rsidRPr="008714EF" w:rsidP="00EC436E" w14:paraId="5721D95B" w14:textId="07AD142F">
      <w:pPr>
        <w:ind w:left="270" w:right="1109"/>
        <w:rPr>
          <w:sz w:val="24"/>
          <w:szCs w:val="24"/>
          <w:u w:val="single"/>
        </w:rPr>
      </w:pPr>
      <w:r w:rsidRPr="008714EF">
        <w:rPr>
          <w:sz w:val="24"/>
          <w:szCs w:val="24"/>
          <w:u w:val="single"/>
        </w:rPr>
        <w:t xml:space="preserve">PRA Burden Statement </w:t>
      </w:r>
    </w:p>
    <w:p w:rsidR="00EC436E" w:rsidP="00EC436E" w14:paraId="6ECE763B" w14:textId="4C73D4CE">
      <w:pPr>
        <w:ind w:left="270" w:right="1109"/>
        <w:rPr>
          <w:sz w:val="24"/>
          <w:szCs w:val="24"/>
        </w:rPr>
      </w:pPr>
      <w:r w:rsidRPr="008714EF">
        <w:rPr>
          <w:sz w:val="24"/>
          <w:szCs w:val="24"/>
        </w:rPr>
        <w:t>This collection of information is approved by OMB under the Paperwork Reduction Act, 44 U.S.C. 3501 et seq. (OMB Control No. 2070-</w:t>
      </w:r>
      <w:r w:rsidRPr="008714EF" w:rsidR="00C44B6E">
        <w:rPr>
          <w:sz w:val="24"/>
          <w:szCs w:val="24"/>
        </w:rPr>
        <w:t>NEW</w:t>
      </w:r>
      <w:r w:rsidRPr="008714EF">
        <w:rPr>
          <w:sz w:val="24"/>
          <w:szCs w:val="24"/>
        </w:rPr>
        <w:t xml:space="preserve">). Responses to this collection of information are mandatory for certain persons, as specified at 40 CFR Part(s) 751.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8714EF" w:rsidR="0D802A32">
        <w:rPr>
          <w:sz w:val="24"/>
          <w:szCs w:val="24"/>
        </w:rPr>
        <w:t>1.6</w:t>
      </w:r>
      <w:r w:rsidRPr="008714EF">
        <w:rPr>
          <w:sz w:val="24"/>
          <w:szCs w:val="24"/>
        </w:rPr>
        <w:t xml:space="preserve">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DF7C56" w:rsidRPr="008714EF" w:rsidP="00EC436E" w14:paraId="12B7C85E" w14:textId="77777777">
      <w:pPr>
        <w:ind w:left="270" w:right="1109"/>
        <w:rPr>
          <w:sz w:val="24"/>
          <w:szCs w:val="24"/>
        </w:rPr>
      </w:pPr>
    </w:p>
    <w:p w:rsidR="004A6804" w14:paraId="6CFF29EA" w14:textId="77777777">
      <w:pPr>
        <w:rPr>
          <w:b/>
          <w:bCs/>
          <w:sz w:val="28"/>
          <w:szCs w:val="28"/>
        </w:rPr>
      </w:pPr>
      <w:r>
        <w:br w:type="page"/>
      </w:r>
    </w:p>
    <w:p w:rsidR="006B5715" w:rsidRPr="008714EF" w:rsidP="00B803CA" w14:paraId="3126EE9B" w14:textId="3376BB60">
      <w:pPr>
        <w:pStyle w:val="Heading1"/>
      </w:pPr>
      <w:r w:rsidRPr="008714EF">
        <w:t>LIST</w:t>
      </w:r>
      <w:r w:rsidRPr="008714EF">
        <w:rPr>
          <w:spacing w:val="-4"/>
        </w:rPr>
        <w:t xml:space="preserve"> </w:t>
      </w:r>
      <w:r w:rsidRPr="008714EF">
        <w:t>OF</w:t>
      </w:r>
      <w:r w:rsidRPr="008714EF">
        <w:rPr>
          <w:spacing w:val="-4"/>
        </w:rPr>
        <w:t xml:space="preserve"> </w:t>
      </w:r>
      <w:r w:rsidRPr="008714EF">
        <w:t>ATTACHMENTS</w:t>
      </w:r>
    </w:p>
    <w:p w:rsidR="00B43BBE" w:rsidRPr="008714EF" w:rsidP="00B07180" w14:paraId="152604EF" w14:textId="76527B5F">
      <w:pPr>
        <w:pStyle w:val="BodyText"/>
        <w:spacing w:before="200" w:after="240"/>
        <w:ind w:left="280" w:right="1233"/>
      </w:pPr>
      <w:r w:rsidRPr="008714EF">
        <w:t>The attachments listed below can be found in the docket for this ICR or by using the hyperlink that is provided in the list below. The docket for this ICR is accessible electronically</w:t>
      </w:r>
      <w:r w:rsidRPr="008714EF">
        <w:rPr>
          <w:spacing w:val="-6"/>
        </w:rPr>
        <w:t xml:space="preserve"> </w:t>
      </w:r>
      <w:r w:rsidRPr="008714EF">
        <w:t>through</w:t>
      </w:r>
      <w:r w:rsidRPr="008714EF">
        <w:rPr>
          <w:spacing w:val="-5"/>
        </w:rPr>
        <w:t xml:space="preserve"> </w:t>
      </w:r>
      <w:hyperlink r:id="rId11" w:history="1">
        <w:r w:rsidRPr="008714EF" w:rsidR="008256D1">
          <w:rPr>
            <w:rStyle w:val="Hyperlink"/>
            <w:color w:val="auto"/>
          </w:rPr>
          <w:t>regulations.gov</w:t>
        </w:r>
      </w:hyperlink>
      <w:r w:rsidRPr="008714EF">
        <w:rPr>
          <w:spacing w:val="-5"/>
        </w:rPr>
        <w:t xml:space="preserve"> </w:t>
      </w:r>
      <w:r w:rsidRPr="008714EF">
        <w:t>using</w:t>
      </w:r>
      <w:r w:rsidRPr="008714EF">
        <w:rPr>
          <w:spacing w:val="-6"/>
        </w:rPr>
        <w:t xml:space="preserve"> </w:t>
      </w:r>
      <w:r w:rsidRPr="008714EF">
        <w:t>Docket</w:t>
      </w:r>
      <w:r w:rsidRPr="008714EF">
        <w:rPr>
          <w:spacing w:val="-6"/>
        </w:rPr>
        <w:t xml:space="preserve"> </w:t>
      </w:r>
      <w:r w:rsidRPr="008714EF">
        <w:t>ID</w:t>
      </w:r>
      <w:r w:rsidRPr="008714EF">
        <w:rPr>
          <w:spacing w:val="-6"/>
        </w:rPr>
        <w:t xml:space="preserve"> </w:t>
      </w:r>
      <w:r w:rsidRPr="008714EF">
        <w:t>Number:</w:t>
      </w:r>
      <w:r w:rsidRPr="008714EF">
        <w:rPr>
          <w:spacing w:val="-6"/>
        </w:rPr>
        <w:t xml:space="preserve"> </w:t>
      </w:r>
      <w:r w:rsidRPr="008714EF">
        <w:t>EPA-HQ-</w:t>
      </w:r>
      <w:r w:rsidRPr="008714EF" w:rsidR="00947871">
        <w:t>OPPT-</w:t>
      </w:r>
      <w:r w:rsidRPr="008714EF" w:rsidR="002A59EF">
        <w:t>2020-</w:t>
      </w:r>
      <w:r w:rsidRPr="008714EF" w:rsidR="002A59EF">
        <w:rPr>
          <w:spacing w:val="-4"/>
        </w:rPr>
        <w:t>0</w:t>
      </w:r>
      <w:r w:rsidRPr="008714EF" w:rsidR="00E730EF">
        <w:rPr>
          <w:spacing w:val="-4"/>
        </w:rPr>
        <w:t>642</w:t>
      </w:r>
      <w:r w:rsidRPr="008714EF" w:rsidR="002A59EF">
        <w:rPr>
          <w:spacing w:val="-4"/>
        </w:rPr>
        <w:t>.</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1"/>
        <w:gridCol w:w="8680"/>
      </w:tblGrid>
      <w:tr w14:paraId="24B2CDBF" w14:textId="77777777" w:rsidTr="0D1C3C14">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6"/>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2F7" w:rsidRPr="008714EF" w:rsidP="00614C7D" w14:paraId="2472DBB2" w14:textId="77777777">
            <w:pPr>
              <w:pStyle w:val="TableParagraph"/>
              <w:spacing w:before="41" w:after="240"/>
              <w:ind w:left="107"/>
              <w:rPr>
                <w:b/>
                <w:bCs/>
                <w:spacing w:val="-5"/>
                <w:sz w:val="24"/>
                <w:szCs w:val="24"/>
              </w:rPr>
            </w:pPr>
            <w:r w:rsidRPr="008714EF">
              <w:rPr>
                <w:b/>
                <w:bCs/>
                <w:spacing w:val="-5"/>
                <w:sz w:val="24"/>
                <w:szCs w:val="24"/>
              </w:rPr>
              <w:t>Ref.</w:t>
            </w:r>
          </w:p>
        </w:tc>
        <w:tc>
          <w:tcPr>
            <w:tcW w:w="8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2F7" w:rsidRPr="008714EF" w:rsidP="00AE62F7" w14:paraId="656311E8" w14:textId="77777777">
            <w:pPr>
              <w:pStyle w:val="TableParagraph"/>
              <w:spacing w:before="41" w:after="240"/>
              <w:ind w:left="107"/>
              <w:rPr>
                <w:b/>
                <w:bCs/>
                <w:sz w:val="24"/>
                <w:szCs w:val="24"/>
              </w:rPr>
            </w:pPr>
            <w:r w:rsidRPr="008714EF">
              <w:rPr>
                <w:b/>
                <w:bCs/>
                <w:sz w:val="24"/>
                <w:szCs w:val="24"/>
              </w:rPr>
              <w:t>Title (hyperlink)</w:t>
            </w:r>
          </w:p>
        </w:tc>
      </w:tr>
      <w:tr w14:paraId="0E57624E" w14:textId="77777777" w:rsidTr="0D1C3C14">
        <w:tblPrEx>
          <w:tblW w:w="0" w:type="auto"/>
          <w:tblInd w:w="290" w:type="dxa"/>
          <w:tblLayout w:type="fixed"/>
          <w:tblCellMar>
            <w:left w:w="0" w:type="dxa"/>
            <w:right w:w="0" w:type="dxa"/>
          </w:tblCellMar>
          <w:tblLook w:val="01E0"/>
        </w:tblPrEx>
        <w:trPr>
          <w:trHeight w:val="356"/>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2F7" w:rsidRPr="008714EF" w:rsidP="00614C7D" w14:paraId="7A8BD167" w14:textId="77777777">
            <w:pPr>
              <w:pStyle w:val="TableParagraph"/>
              <w:spacing w:before="41" w:after="240"/>
              <w:ind w:left="107"/>
              <w:rPr>
                <w:spacing w:val="-5"/>
                <w:sz w:val="24"/>
                <w:szCs w:val="24"/>
              </w:rPr>
            </w:pPr>
            <w:r w:rsidRPr="008714EF">
              <w:rPr>
                <w:spacing w:val="-5"/>
                <w:sz w:val="24"/>
                <w:szCs w:val="24"/>
              </w:rPr>
              <w:t>1.</w:t>
            </w:r>
          </w:p>
        </w:tc>
        <w:tc>
          <w:tcPr>
            <w:tcW w:w="8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2F7" w:rsidRPr="008714EF" w:rsidP="00AE62F7" w14:paraId="60ED6563" w14:textId="0C38A19C">
            <w:pPr>
              <w:pStyle w:val="TableParagraph"/>
              <w:spacing w:before="41" w:after="240"/>
              <w:ind w:left="107"/>
              <w:rPr>
                <w:sz w:val="24"/>
                <w:szCs w:val="24"/>
              </w:rPr>
            </w:pPr>
            <w:r w:rsidRPr="008714EF">
              <w:rPr>
                <w:sz w:val="24"/>
                <w:szCs w:val="24"/>
              </w:rPr>
              <w:t>TSCA section 6 (</w:t>
            </w:r>
            <w:r w:rsidRPr="008714EF" w:rsidR="00491162">
              <w:rPr>
                <w:sz w:val="24"/>
                <w:szCs w:val="24"/>
                <w:u w:val="single" w:color="0562C1"/>
              </w:rPr>
              <w:t>15</w:t>
            </w:r>
            <w:r w:rsidRPr="008714EF" w:rsidR="00491162">
              <w:rPr>
                <w:spacing w:val="-3"/>
                <w:sz w:val="24"/>
                <w:szCs w:val="24"/>
                <w:u w:val="single" w:color="0562C1"/>
              </w:rPr>
              <w:t xml:space="preserve"> </w:t>
            </w:r>
            <w:r w:rsidRPr="008714EF" w:rsidR="00491162">
              <w:rPr>
                <w:sz w:val="24"/>
                <w:szCs w:val="24"/>
                <w:u w:val="single" w:color="0562C1"/>
              </w:rPr>
              <w:t>U.S.C.</w:t>
            </w:r>
            <w:r w:rsidRPr="008714EF" w:rsidR="00491162">
              <w:rPr>
                <w:spacing w:val="-3"/>
                <w:sz w:val="24"/>
                <w:szCs w:val="24"/>
                <w:u w:val="single" w:color="0562C1"/>
              </w:rPr>
              <w:t xml:space="preserve"> </w:t>
            </w:r>
            <w:r w:rsidRPr="008714EF" w:rsidR="00491162">
              <w:rPr>
                <w:spacing w:val="-2"/>
                <w:sz w:val="24"/>
                <w:szCs w:val="24"/>
                <w:u w:val="single" w:color="0562C1"/>
              </w:rPr>
              <w:t>2605</w:t>
            </w:r>
            <w:r w:rsidRPr="008714EF">
              <w:rPr>
                <w:sz w:val="24"/>
                <w:szCs w:val="24"/>
              </w:rPr>
              <w:t>)</w:t>
            </w:r>
          </w:p>
        </w:tc>
      </w:tr>
      <w:tr w14:paraId="154353AF" w14:textId="77777777" w:rsidTr="0D1C3C14">
        <w:tblPrEx>
          <w:tblW w:w="0" w:type="auto"/>
          <w:tblInd w:w="290" w:type="dxa"/>
          <w:tblLayout w:type="fixed"/>
          <w:tblCellMar>
            <w:left w:w="0" w:type="dxa"/>
            <w:right w:w="0" w:type="dxa"/>
          </w:tblCellMar>
          <w:tblLook w:val="01E0"/>
        </w:tblPrEx>
        <w:trPr>
          <w:trHeight w:val="356"/>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2F7" w:rsidRPr="008714EF" w:rsidP="00614C7D" w14:paraId="49630DEC" w14:textId="77777777">
            <w:pPr>
              <w:pStyle w:val="TableParagraph"/>
              <w:spacing w:before="41" w:after="240"/>
              <w:ind w:left="107"/>
              <w:rPr>
                <w:spacing w:val="-5"/>
                <w:sz w:val="24"/>
                <w:szCs w:val="24"/>
              </w:rPr>
            </w:pPr>
            <w:r w:rsidRPr="008714EF">
              <w:rPr>
                <w:spacing w:val="-5"/>
                <w:sz w:val="24"/>
                <w:szCs w:val="24"/>
              </w:rPr>
              <w:t>2.</w:t>
            </w:r>
          </w:p>
        </w:tc>
        <w:tc>
          <w:tcPr>
            <w:tcW w:w="8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2F7" w:rsidRPr="008714EF" w:rsidP="00AE62F7" w14:paraId="7819EA6D" w14:textId="77777777">
            <w:pPr>
              <w:pStyle w:val="TableParagraph"/>
              <w:spacing w:before="41" w:after="240"/>
              <w:ind w:left="107"/>
              <w:rPr>
                <w:sz w:val="24"/>
                <w:szCs w:val="24"/>
              </w:rPr>
            </w:pPr>
            <w:r w:rsidRPr="008714EF">
              <w:rPr>
                <w:sz w:val="24"/>
                <w:szCs w:val="24"/>
              </w:rPr>
              <w:t>Proposed Rule</w:t>
            </w:r>
          </w:p>
        </w:tc>
      </w:tr>
      <w:tr w14:paraId="21A7DF74" w14:textId="77777777" w:rsidTr="0D1C3C14">
        <w:tblPrEx>
          <w:tblW w:w="0" w:type="auto"/>
          <w:tblInd w:w="290" w:type="dxa"/>
          <w:tblLayout w:type="fixed"/>
          <w:tblCellMar>
            <w:left w:w="0" w:type="dxa"/>
            <w:right w:w="0" w:type="dxa"/>
          </w:tblCellMar>
          <w:tblLook w:val="01E0"/>
        </w:tblPrEx>
        <w:trPr>
          <w:trHeight w:val="356"/>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2F7" w:rsidRPr="008714EF" w:rsidP="00614C7D" w14:paraId="52EE0C42" w14:textId="77777777">
            <w:pPr>
              <w:pStyle w:val="TableParagraph"/>
              <w:spacing w:before="41" w:after="240"/>
              <w:ind w:left="107"/>
              <w:rPr>
                <w:spacing w:val="-5"/>
                <w:sz w:val="24"/>
                <w:szCs w:val="24"/>
              </w:rPr>
            </w:pPr>
            <w:r w:rsidRPr="008714EF">
              <w:rPr>
                <w:spacing w:val="-5"/>
                <w:sz w:val="24"/>
                <w:szCs w:val="24"/>
              </w:rPr>
              <w:t xml:space="preserve">3. </w:t>
            </w:r>
          </w:p>
        </w:tc>
        <w:tc>
          <w:tcPr>
            <w:tcW w:w="8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2F7" w:rsidRPr="008714EF" w:rsidP="00AE62F7" w14:paraId="115915D9" w14:textId="77777777">
            <w:pPr>
              <w:pStyle w:val="TableParagraph"/>
              <w:spacing w:before="41" w:after="240"/>
              <w:ind w:left="107"/>
              <w:rPr>
                <w:sz w:val="24"/>
                <w:szCs w:val="24"/>
              </w:rPr>
            </w:pPr>
            <w:r w:rsidRPr="008714EF">
              <w:rPr>
                <w:sz w:val="24"/>
                <w:szCs w:val="24"/>
              </w:rPr>
              <w:t xml:space="preserve">Economic Analysis </w:t>
            </w:r>
          </w:p>
        </w:tc>
      </w:tr>
      <w:tr w14:paraId="7EC8E2C4" w14:textId="77777777" w:rsidTr="0D1C3C14">
        <w:tblPrEx>
          <w:tblW w:w="0" w:type="auto"/>
          <w:tblInd w:w="290" w:type="dxa"/>
          <w:tblLayout w:type="fixed"/>
          <w:tblCellMar>
            <w:left w:w="0" w:type="dxa"/>
            <w:right w:w="0" w:type="dxa"/>
          </w:tblCellMar>
          <w:tblLook w:val="01E0"/>
        </w:tblPrEx>
        <w:trPr>
          <w:trHeight w:val="356"/>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2F7" w:rsidRPr="008714EF" w:rsidP="00614C7D" w14:paraId="403432C4" w14:textId="77777777">
            <w:pPr>
              <w:pStyle w:val="TableParagraph"/>
              <w:spacing w:before="41" w:after="240"/>
              <w:ind w:left="107"/>
              <w:rPr>
                <w:spacing w:val="-5"/>
                <w:sz w:val="24"/>
                <w:szCs w:val="24"/>
              </w:rPr>
            </w:pPr>
            <w:r w:rsidRPr="008714EF">
              <w:rPr>
                <w:spacing w:val="-5"/>
                <w:sz w:val="24"/>
                <w:szCs w:val="24"/>
              </w:rPr>
              <w:t xml:space="preserve">4. </w:t>
            </w:r>
          </w:p>
        </w:tc>
        <w:tc>
          <w:tcPr>
            <w:tcW w:w="8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2F7" w:rsidRPr="00941786" w:rsidP="00AE62F7" w14:paraId="2D8C69F0" w14:textId="77777777">
            <w:pPr>
              <w:pStyle w:val="TableParagraph"/>
              <w:spacing w:before="41" w:after="240"/>
              <w:ind w:left="107"/>
              <w:rPr>
                <w:sz w:val="24"/>
                <w:szCs w:val="24"/>
              </w:rPr>
            </w:pPr>
            <w:r w:rsidRPr="008714EF">
              <w:rPr>
                <w:sz w:val="24"/>
                <w:szCs w:val="24"/>
              </w:rPr>
              <w:t>Stakeholder Meeting Index</w:t>
            </w:r>
            <w:r w:rsidRPr="00941786">
              <w:rPr>
                <w:sz w:val="24"/>
                <w:szCs w:val="24"/>
              </w:rPr>
              <w:t xml:space="preserve"> </w:t>
            </w:r>
          </w:p>
        </w:tc>
      </w:tr>
    </w:tbl>
    <w:p w:rsidR="007D7BF3" w:rsidRPr="008835A0" w:rsidP="00B07180" w14:paraId="3126EEA7" w14:textId="4B2B7138">
      <w:pPr>
        <w:spacing w:after="240"/>
        <w:rPr>
          <w:sz w:val="24"/>
          <w:szCs w:val="24"/>
        </w:rPr>
      </w:pPr>
    </w:p>
    <w:sectPr w:rsidSect="0080358F">
      <w:footerReference w:type="default" r:id="rId12"/>
      <w:headerReference w:type="first" r:id="rId13"/>
      <w:pgSz w:w="12240" w:h="15840"/>
      <w:pgMar w:top="1440" w:right="605" w:bottom="1440" w:left="1166"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4304833"/>
      <w:docPartObj>
        <w:docPartGallery w:val="Page Numbers (Bottom of Page)"/>
        <w:docPartUnique/>
      </w:docPartObj>
    </w:sdtPr>
    <w:sdtEndPr>
      <w:rPr>
        <w:noProof/>
      </w:rPr>
    </w:sdtEndPr>
    <w:sdtContent>
      <w:p w:rsidR="00987D5D" w14:paraId="58A863B5" w14:textId="2282FC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B5715" w:rsidP="0D1C3C14" w14:paraId="3126EEA7" w14:textId="4B2B7138">
    <w:pPr>
      <w:spacing w:after="240" w:line="14"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2393" w14:paraId="0670FA33" w14:textId="77777777">
      <w:r>
        <w:separator/>
      </w:r>
    </w:p>
  </w:footnote>
  <w:footnote w:type="continuationSeparator" w:id="1">
    <w:p w:rsidR="00D22393" w14:paraId="7394EC4C" w14:textId="77777777">
      <w:r>
        <w:continuationSeparator/>
      </w:r>
    </w:p>
  </w:footnote>
  <w:footnote w:type="continuationNotice" w:id="2">
    <w:p w:rsidR="00D22393" w14:paraId="5442CA01" w14:textId="77777777"/>
  </w:footnote>
  <w:footnote w:id="3">
    <w:p w:rsidR="00FF4844" w:rsidRPr="003A7214" w:rsidP="00FF4844" w14:paraId="752332DB" w14:textId="77777777">
      <w:pPr>
        <w:pStyle w:val="FootnoteText"/>
        <w:rPr>
          <w:rFonts w:ascii="Times New Roman" w:hAnsi="Times New Roman" w:cs="Times New Roman"/>
          <w:sz w:val="18"/>
          <w:szCs w:val="18"/>
        </w:rPr>
      </w:pPr>
      <w:r w:rsidRPr="003A7214">
        <w:rPr>
          <w:rStyle w:val="FootnoteReference"/>
          <w:rFonts w:ascii="Times New Roman" w:hAnsi="Times New Roman"/>
        </w:rPr>
        <w:footnoteRef/>
      </w:r>
      <w:r w:rsidRPr="003A7214">
        <w:rPr>
          <w:rFonts w:ascii="Times New Roman" w:hAnsi="Times New Roman" w:cs="Times New Roman"/>
        </w:rPr>
        <w:t xml:space="preserve"> </w:t>
      </w:r>
      <w:r w:rsidRPr="003A7214">
        <w:rPr>
          <w:rFonts w:ascii="Times New Roman" w:hAnsi="Times New Roman" w:cs="Times New Roman"/>
          <w:sz w:val="18"/>
          <w:szCs w:val="18"/>
        </w:rPr>
        <w:t>Monitoring equipment is assumed to be rented, so it is an ongoing cost rather than a capital cost.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58F" w:rsidRPr="00A5378C" w:rsidP="00A5378C" w14:paraId="00B849F0" w14:textId="6627ED4F">
    <w:pPr>
      <w:pStyle w:val="Header"/>
    </w:pPr>
    <w:r>
      <w:tab/>
    </w:r>
    <w:r>
      <w:tab/>
      <w:t>OMB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770BE"/>
    <w:multiLevelType w:val="hybridMultilevel"/>
    <w:tmpl w:val="2A322E8A"/>
    <w:lvl w:ilvl="0">
      <w:start w:val="1"/>
      <w:numFmt w:val="lowerLetter"/>
      <w:lvlText w:val="%1)"/>
      <w:lvlJc w:val="left"/>
      <w:pPr>
        <w:ind w:left="1000" w:hanging="467"/>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1">
    <w:nsid w:val="09AF3E33"/>
    <w:multiLevelType w:val="hybridMultilevel"/>
    <w:tmpl w:val="04AC9260"/>
    <w:lvl w:ilvl="0">
      <w:start w:val="1"/>
      <w:numFmt w:val="decimal"/>
      <w:lvlText w:val="%1."/>
      <w:lvlJc w:val="left"/>
      <w:pPr>
        <w:ind w:left="640" w:hanging="460"/>
        <w:jc w:val="right"/>
      </w:pPr>
      <w:rPr>
        <w:rFonts w:ascii="Arial" w:eastAsia="Arial" w:hAnsi="Arial" w:cs="Arial" w:hint="default"/>
        <w:b/>
        <w:bCs/>
        <w:i w:val="0"/>
        <w:iCs w:val="0"/>
        <w:spacing w:val="-1"/>
        <w:w w:val="100"/>
        <w:sz w:val="24"/>
        <w:szCs w:val="24"/>
        <w:lang w:val="en-US" w:eastAsia="en-US" w:bidi="ar-SA"/>
      </w:rPr>
    </w:lvl>
    <w:lvl w:ilvl="1">
      <w:start w:val="1"/>
      <w:numFmt w:val="decimal"/>
      <w:lvlText w:val="(%2)"/>
      <w:lvlJc w:val="left"/>
      <w:pPr>
        <w:ind w:left="999" w:hanging="360"/>
      </w:pPr>
      <w:rPr>
        <w:rFonts w:ascii="Arial" w:eastAsia="Arial" w:hAnsi="Arial" w:cs="Arial" w:hint="default"/>
        <w:b w:val="0"/>
        <w:bCs w:val="0"/>
        <w:i w:val="0"/>
        <w:iCs w:val="0"/>
        <w:w w:val="100"/>
        <w:sz w:val="24"/>
        <w:szCs w:val="24"/>
        <w:lang w:val="en-US" w:eastAsia="en-US" w:bidi="ar-SA"/>
      </w:rPr>
    </w:lvl>
    <w:lvl w:ilvl="2">
      <w:start w:val="0"/>
      <w:numFmt w:val="bullet"/>
      <w:lvlText w:val="•"/>
      <w:lvlJc w:val="left"/>
      <w:pPr>
        <w:ind w:left="2053" w:hanging="360"/>
      </w:pPr>
      <w:rPr>
        <w:rFonts w:hint="default"/>
        <w:lang w:val="en-US" w:eastAsia="en-US" w:bidi="ar-SA"/>
      </w:rPr>
    </w:lvl>
    <w:lvl w:ilvl="3">
      <w:start w:val="0"/>
      <w:numFmt w:val="bullet"/>
      <w:lvlText w:val="•"/>
      <w:lvlJc w:val="left"/>
      <w:pPr>
        <w:ind w:left="3106"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213" w:hanging="360"/>
      </w:pPr>
      <w:rPr>
        <w:rFonts w:hint="default"/>
        <w:lang w:val="en-US" w:eastAsia="en-US" w:bidi="ar-SA"/>
      </w:rPr>
    </w:lvl>
    <w:lvl w:ilvl="6">
      <w:start w:val="0"/>
      <w:numFmt w:val="bullet"/>
      <w:lvlText w:val="•"/>
      <w:lvlJc w:val="left"/>
      <w:pPr>
        <w:ind w:left="6266"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73" w:hanging="360"/>
      </w:pPr>
      <w:rPr>
        <w:rFonts w:hint="default"/>
        <w:lang w:val="en-US" w:eastAsia="en-US" w:bidi="ar-SA"/>
      </w:rPr>
    </w:lvl>
  </w:abstractNum>
  <w:abstractNum w:abstractNumId="2">
    <w:nsid w:val="17D73B04"/>
    <w:multiLevelType w:val="hybridMultilevel"/>
    <w:tmpl w:val="A484F474"/>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BC80804"/>
    <w:multiLevelType w:val="hybridMultilevel"/>
    <w:tmpl w:val="04D0110A"/>
    <w:lvl w:ilvl="0">
      <w:start w:val="0"/>
      <w:numFmt w:val="bullet"/>
      <w:lvlText w:val=""/>
      <w:lvlJc w:val="left"/>
      <w:pPr>
        <w:ind w:left="720" w:hanging="360"/>
      </w:pPr>
      <w:rPr>
        <w:rFonts w:ascii="Symbol" w:eastAsia="Arial"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207307FE"/>
    <w:multiLevelType w:val="hybridMultilevel"/>
    <w:tmpl w:val="0D1EA168"/>
    <w:lvl w:ilvl="0">
      <w:start w:val="1"/>
      <w:numFmt w:val="decimal"/>
      <w:lvlText w:val="%1)"/>
      <w:lvlJc w:val="left"/>
      <w:pPr>
        <w:ind w:left="1000" w:hanging="360"/>
      </w:pPr>
      <w:rPr>
        <w:rFonts w:ascii="Arial" w:eastAsia="Arial" w:hAnsi="Arial" w:cs="Arial" w:hint="default"/>
        <w:b w:val="0"/>
        <w:bCs w:val="0"/>
        <w:i w:val="0"/>
        <w:iCs w:val="0"/>
        <w:spacing w:val="-1"/>
        <w:w w:val="100"/>
        <w:sz w:val="24"/>
        <w:szCs w:val="24"/>
        <w:lang w:val="en-US" w:eastAsia="en-US" w:bidi="ar-SA"/>
      </w:rPr>
    </w:lvl>
    <w:lvl w:ilvl="1">
      <w:start w:val="1"/>
      <w:numFmt w:val="lowerLetter"/>
      <w:lvlText w:val="%2."/>
      <w:lvlJc w:val="left"/>
      <w:pPr>
        <w:ind w:left="1719" w:hanging="360"/>
      </w:pPr>
      <w:rPr>
        <w:rFonts w:ascii="Arial" w:eastAsia="Arial" w:hAnsi="Arial" w:cs="Arial" w:hint="default"/>
        <w:b w:val="0"/>
        <w:bCs w:val="0"/>
        <w:i w:val="0"/>
        <w:iCs w:val="0"/>
        <w:spacing w:val="-1"/>
        <w:w w:val="100"/>
        <w:sz w:val="24"/>
        <w:szCs w:val="24"/>
        <w:lang w:val="en-US" w:eastAsia="en-US" w:bidi="ar-SA"/>
      </w:rPr>
    </w:lvl>
    <w:lvl w:ilvl="2">
      <w:start w:val="0"/>
      <w:numFmt w:val="bullet"/>
      <w:lvlText w:val="•"/>
      <w:lvlJc w:val="left"/>
      <w:pPr>
        <w:ind w:left="2693"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613" w:hanging="360"/>
      </w:pPr>
      <w:rPr>
        <w:rFonts w:hint="default"/>
        <w:lang w:val="en-US" w:eastAsia="en-US" w:bidi="ar-SA"/>
      </w:rPr>
    </w:lvl>
    <w:lvl w:ilvl="6">
      <w:start w:val="0"/>
      <w:numFmt w:val="bullet"/>
      <w:lvlText w:val="•"/>
      <w:lvlJc w:val="left"/>
      <w:pPr>
        <w:ind w:left="6586"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33" w:hanging="360"/>
      </w:pPr>
      <w:rPr>
        <w:rFonts w:hint="default"/>
        <w:lang w:val="en-US" w:eastAsia="en-US" w:bidi="ar-SA"/>
      </w:rPr>
    </w:lvl>
  </w:abstractNum>
  <w:abstractNum w:abstractNumId="5">
    <w:nsid w:val="28186A15"/>
    <w:multiLevelType w:val="hybridMultilevel"/>
    <w:tmpl w:val="F0DE3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F17523"/>
    <w:multiLevelType w:val="hybridMultilevel"/>
    <w:tmpl w:val="FC9C70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E08FF"/>
    <w:multiLevelType w:val="hybridMultilevel"/>
    <w:tmpl w:val="A8321ABC"/>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tentative="1">
      <w:start w:val="1"/>
      <w:numFmt w:val="bullet"/>
      <w:lvlText w:val=""/>
      <w:lvlJc w:val="left"/>
      <w:pPr>
        <w:ind w:left="2439" w:hanging="360"/>
      </w:pPr>
      <w:rPr>
        <w:rFonts w:ascii="Wingdings" w:hAnsi="Wingdings" w:hint="default"/>
      </w:rPr>
    </w:lvl>
    <w:lvl w:ilvl="3" w:tentative="1">
      <w:start w:val="1"/>
      <w:numFmt w:val="bullet"/>
      <w:lvlText w:val=""/>
      <w:lvlJc w:val="left"/>
      <w:pPr>
        <w:ind w:left="3159" w:hanging="360"/>
      </w:pPr>
      <w:rPr>
        <w:rFonts w:ascii="Symbol" w:hAnsi="Symbol" w:hint="default"/>
      </w:rPr>
    </w:lvl>
    <w:lvl w:ilvl="4" w:tentative="1">
      <w:start w:val="1"/>
      <w:numFmt w:val="bullet"/>
      <w:lvlText w:val="o"/>
      <w:lvlJc w:val="left"/>
      <w:pPr>
        <w:ind w:left="3879" w:hanging="360"/>
      </w:pPr>
      <w:rPr>
        <w:rFonts w:ascii="Courier New" w:hAnsi="Courier New" w:cs="Courier New" w:hint="default"/>
      </w:rPr>
    </w:lvl>
    <w:lvl w:ilvl="5" w:tentative="1">
      <w:start w:val="1"/>
      <w:numFmt w:val="bullet"/>
      <w:lvlText w:val=""/>
      <w:lvlJc w:val="left"/>
      <w:pPr>
        <w:ind w:left="4599" w:hanging="360"/>
      </w:pPr>
      <w:rPr>
        <w:rFonts w:ascii="Wingdings" w:hAnsi="Wingdings" w:hint="default"/>
      </w:rPr>
    </w:lvl>
    <w:lvl w:ilvl="6" w:tentative="1">
      <w:start w:val="1"/>
      <w:numFmt w:val="bullet"/>
      <w:lvlText w:val=""/>
      <w:lvlJc w:val="left"/>
      <w:pPr>
        <w:ind w:left="5319" w:hanging="360"/>
      </w:pPr>
      <w:rPr>
        <w:rFonts w:ascii="Symbol" w:hAnsi="Symbol" w:hint="default"/>
      </w:rPr>
    </w:lvl>
    <w:lvl w:ilvl="7" w:tentative="1">
      <w:start w:val="1"/>
      <w:numFmt w:val="bullet"/>
      <w:lvlText w:val="o"/>
      <w:lvlJc w:val="left"/>
      <w:pPr>
        <w:ind w:left="6039" w:hanging="360"/>
      </w:pPr>
      <w:rPr>
        <w:rFonts w:ascii="Courier New" w:hAnsi="Courier New" w:cs="Courier New" w:hint="default"/>
      </w:rPr>
    </w:lvl>
    <w:lvl w:ilvl="8" w:tentative="1">
      <w:start w:val="1"/>
      <w:numFmt w:val="bullet"/>
      <w:lvlText w:val=""/>
      <w:lvlJc w:val="left"/>
      <w:pPr>
        <w:ind w:left="6759" w:hanging="360"/>
      </w:pPr>
      <w:rPr>
        <w:rFonts w:ascii="Wingdings" w:hAnsi="Wingdings" w:hint="default"/>
      </w:rPr>
    </w:lvl>
  </w:abstractNum>
  <w:abstractNum w:abstractNumId="8">
    <w:nsid w:val="34BA7B5D"/>
    <w:multiLevelType w:val="hybridMultilevel"/>
    <w:tmpl w:val="6B481B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E7230C"/>
    <w:multiLevelType w:val="hybridMultilevel"/>
    <w:tmpl w:val="79400C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E1A7F"/>
    <w:multiLevelType w:val="hybridMultilevel"/>
    <w:tmpl w:val="7DD25B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D7A3715"/>
    <w:multiLevelType w:val="hybridMultilevel"/>
    <w:tmpl w:val="6EFE9608"/>
    <w:lvl w:ilvl="0">
      <w:start w:val="1"/>
      <w:numFmt w:val="lowerLetter"/>
      <w:lvlText w:val="%1)"/>
      <w:lvlJc w:val="left"/>
      <w:pPr>
        <w:ind w:left="1000" w:hanging="467"/>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12">
    <w:nsid w:val="43374972"/>
    <w:multiLevelType w:val="hybridMultilevel"/>
    <w:tmpl w:val="B8A4F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D2B5F"/>
    <w:multiLevelType w:val="hybridMultilevel"/>
    <w:tmpl w:val="6582CD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0B55BE"/>
    <w:multiLevelType w:val="multilevel"/>
    <w:tmpl w:val="564E72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1FD7EA8"/>
    <w:multiLevelType w:val="hybridMultilevel"/>
    <w:tmpl w:val="0644DA86"/>
    <w:lvl w:ilvl="0">
      <w:start w:val="0"/>
      <w:numFmt w:val="bullet"/>
      <w:lvlText w:val=""/>
      <w:lvlJc w:val="left"/>
      <w:pPr>
        <w:ind w:left="990" w:hanging="360"/>
      </w:pPr>
      <w:rPr>
        <w:rFonts w:ascii="Symbol" w:eastAsia="Arial" w:hAnsi="Symbol" w:cs="Times New Roman" w:hint="default"/>
        <w:color w:val="auto"/>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6">
    <w:nsid w:val="66563F57"/>
    <w:multiLevelType w:val="hybridMultilevel"/>
    <w:tmpl w:val="F990BE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C2773D"/>
    <w:multiLevelType w:val="hybridMultilevel"/>
    <w:tmpl w:val="92F67A70"/>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18">
    <w:nsid w:val="79BE396F"/>
    <w:multiLevelType w:val="hybridMultilevel"/>
    <w:tmpl w:val="208E5C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1465967">
    <w:abstractNumId w:val="11"/>
  </w:num>
  <w:num w:numId="2" w16cid:durableId="981495465">
    <w:abstractNumId w:val="0"/>
  </w:num>
  <w:num w:numId="3" w16cid:durableId="133256730">
    <w:abstractNumId w:val="17"/>
  </w:num>
  <w:num w:numId="4" w16cid:durableId="917208012">
    <w:abstractNumId w:val="4"/>
  </w:num>
  <w:num w:numId="5" w16cid:durableId="792023100">
    <w:abstractNumId w:val="1"/>
  </w:num>
  <w:num w:numId="6" w16cid:durableId="1942837755">
    <w:abstractNumId w:val="15"/>
  </w:num>
  <w:num w:numId="7" w16cid:durableId="1566797894">
    <w:abstractNumId w:val="7"/>
  </w:num>
  <w:num w:numId="8" w16cid:durableId="500974132">
    <w:abstractNumId w:val="12"/>
  </w:num>
  <w:num w:numId="9" w16cid:durableId="1811437994">
    <w:abstractNumId w:val="3"/>
  </w:num>
  <w:num w:numId="10" w16cid:durableId="653072900">
    <w:abstractNumId w:val="5"/>
  </w:num>
  <w:num w:numId="11" w16cid:durableId="64307811">
    <w:abstractNumId w:val="10"/>
  </w:num>
  <w:num w:numId="12" w16cid:durableId="1670671602">
    <w:abstractNumId w:val="6"/>
  </w:num>
  <w:num w:numId="13" w16cid:durableId="371927236">
    <w:abstractNumId w:val="8"/>
  </w:num>
  <w:num w:numId="14" w16cid:durableId="66615951">
    <w:abstractNumId w:val="18"/>
  </w:num>
  <w:num w:numId="15" w16cid:durableId="376587129">
    <w:abstractNumId w:val="16"/>
  </w:num>
  <w:num w:numId="16" w16cid:durableId="1213077780">
    <w:abstractNumId w:val="9"/>
  </w:num>
  <w:num w:numId="17" w16cid:durableId="129178960">
    <w:abstractNumId w:val="13"/>
  </w:num>
  <w:num w:numId="18" w16cid:durableId="350301019">
    <w:abstractNumId w:val="2"/>
  </w:num>
  <w:num w:numId="19" w16cid:durableId="11172189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15"/>
    <w:rsid w:val="00007002"/>
    <w:rsid w:val="0001255F"/>
    <w:rsid w:val="00023589"/>
    <w:rsid w:val="00025023"/>
    <w:rsid w:val="000359C8"/>
    <w:rsid w:val="00037F26"/>
    <w:rsid w:val="00045A55"/>
    <w:rsid w:val="0004670A"/>
    <w:rsid w:val="0004687F"/>
    <w:rsid w:val="0005054A"/>
    <w:rsid w:val="00052811"/>
    <w:rsid w:val="00052B98"/>
    <w:rsid w:val="000553A1"/>
    <w:rsid w:val="000562D1"/>
    <w:rsid w:val="000610B9"/>
    <w:rsid w:val="00066BC3"/>
    <w:rsid w:val="0007085D"/>
    <w:rsid w:val="00070B40"/>
    <w:rsid w:val="00070BCF"/>
    <w:rsid w:val="00072F1C"/>
    <w:rsid w:val="00081044"/>
    <w:rsid w:val="00081F22"/>
    <w:rsid w:val="00083212"/>
    <w:rsid w:val="00083BC6"/>
    <w:rsid w:val="00083E0B"/>
    <w:rsid w:val="0009420F"/>
    <w:rsid w:val="000A017A"/>
    <w:rsid w:val="000A205D"/>
    <w:rsid w:val="000A3018"/>
    <w:rsid w:val="000A42B8"/>
    <w:rsid w:val="000A4304"/>
    <w:rsid w:val="000B211E"/>
    <w:rsid w:val="000B2512"/>
    <w:rsid w:val="000B29D2"/>
    <w:rsid w:val="000B56EA"/>
    <w:rsid w:val="000C356C"/>
    <w:rsid w:val="000D1F77"/>
    <w:rsid w:val="000D696C"/>
    <w:rsid w:val="000E30F0"/>
    <w:rsid w:val="000F081F"/>
    <w:rsid w:val="000F2B41"/>
    <w:rsid w:val="000F330A"/>
    <w:rsid w:val="00103DFB"/>
    <w:rsid w:val="00105111"/>
    <w:rsid w:val="00111951"/>
    <w:rsid w:val="00113AD8"/>
    <w:rsid w:val="00115543"/>
    <w:rsid w:val="00115C6E"/>
    <w:rsid w:val="00117D52"/>
    <w:rsid w:val="00120B57"/>
    <w:rsid w:val="00121576"/>
    <w:rsid w:val="00121B40"/>
    <w:rsid w:val="00122491"/>
    <w:rsid w:val="0014137E"/>
    <w:rsid w:val="00144201"/>
    <w:rsid w:val="00144A1A"/>
    <w:rsid w:val="001469EC"/>
    <w:rsid w:val="00151B8C"/>
    <w:rsid w:val="001522D0"/>
    <w:rsid w:val="00152902"/>
    <w:rsid w:val="00155E55"/>
    <w:rsid w:val="001566A5"/>
    <w:rsid w:val="001642D8"/>
    <w:rsid w:val="0016645D"/>
    <w:rsid w:val="00182CF2"/>
    <w:rsid w:val="001852E7"/>
    <w:rsid w:val="001916CC"/>
    <w:rsid w:val="00191906"/>
    <w:rsid w:val="00194962"/>
    <w:rsid w:val="001A512F"/>
    <w:rsid w:val="001A7247"/>
    <w:rsid w:val="001B170A"/>
    <w:rsid w:val="001B1FF2"/>
    <w:rsid w:val="001B4BAF"/>
    <w:rsid w:val="001B6BA7"/>
    <w:rsid w:val="001B7473"/>
    <w:rsid w:val="001C02F8"/>
    <w:rsid w:val="001C368E"/>
    <w:rsid w:val="001C36DE"/>
    <w:rsid w:val="001C49D7"/>
    <w:rsid w:val="001C796A"/>
    <w:rsid w:val="001D21C0"/>
    <w:rsid w:val="001D33A1"/>
    <w:rsid w:val="001D6D28"/>
    <w:rsid w:val="001F1142"/>
    <w:rsid w:val="001F3F10"/>
    <w:rsid w:val="0020254F"/>
    <w:rsid w:val="00206E42"/>
    <w:rsid w:val="00211EC1"/>
    <w:rsid w:val="00216D03"/>
    <w:rsid w:val="00217404"/>
    <w:rsid w:val="00222A02"/>
    <w:rsid w:val="0022364D"/>
    <w:rsid w:val="002242D0"/>
    <w:rsid w:val="00227371"/>
    <w:rsid w:val="00231BBE"/>
    <w:rsid w:val="002327EC"/>
    <w:rsid w:val="00236028"/>
    <w:rsid w:val="00236488"/>
    <w:rsid w:val="00242086"/>
    <w:rsid w:val="00245611"/>
    <w:rsid w:val="00250CB7"/>
    <w:rsid w:val="00250D3C"/>
    <w:rsid w:val="00251A77"/>
    <w:rsid w:val="0025333E"/>
    <w:rsid w:val="00255A71"/>
    <w:rsid w:val="00263C07"/>
    <w:rsid w:val="00265DE4"/>
    <w:rsid w:val="002732BC"/>
    <w:rsid w:val="0027626C"/>
    <w:rsid w:val="00276B1F"/>
    <w:rsid w:val="00280838"/>
    <w:rsid w:val="00281073"/>
    <w:rsid w:val="0028153A"/>
    <w:rsid w:val="00283E1F"/>
    <w:rsid w:val="00283F06"/>
    <w:rsid w:val="00284304"/>
    <w:rsid w:val="00285B30"/>
    <w:rsid w:val="00290378"/>
    <w:rsid w:val="0029092E"/>
    <w:rsid w:val="002923BC"/>
    <w:rsid w:val="00295209"/>
    <w:rsid w:val="002A2018"/>
    <w:rsid w:val="002A277B"/>
    <w:rsid w:val="002A445C"/>
    <w:rsid w:val="002A59EF"/>
    <w:rsid w:val="002B252F"/>
    <w:rsid w:val="002C5625"/>
    <w:rsid w:val="002D239D"/>
    <w:rsid w:val="002D3927"/>
    <w:rsid w:val="002D456A"/>
    <w:rsid w:val="002D47AB"/>
    <w:rsid w:val="002D5674"/>
    <w:rsid w:val="002E0CDA"/>
    <w:rsid w:val="002E1C5C"/>
    <w:rsid w:val="002E5B3B"/>
    <w:rsid w:val="002E68C9"/>
    <w:rsid w:val="002E6CA5"/>
    <w:rsid w:val="002E6F48"/>
    <w:rsid w:val="002E7A0D"/>
    <w:rsid w:val="003033C5"/>
    <w:rsid w:val="0031739D"/>
    <w:rsid w:val="00321B2E"/>
    <w:rsid w:val="0032386F"/>
    <w:rsid w:val="0032539F"/>
    <w:rsid w:val="003311A2"/>
    <w:rsid w:val="00331835"/>
    <w:rsid w:val="0033572B"/>
    <w:rsid w:val="00340BAA"/>
    <w:rsid w:val="0034175C"/>
    <w:rsid w:val="00343C59"/>
    <w:rsid w:val="0034499E"/>
    <w:rsid w:val="00344D89"/>
    <w:rsid w:val="00346288"/>
    <w:rsid w:val="003534BD"/>
    <w:rsid w:val="0035780B"/>
    <w:rsid w:val="00366212"/>
    <w:rsid w:val="00366EC0"/>
    <w:rsid w:val="00367D75"/>
    <w:rsid w:val="003710F2"/>
    <w:rsid w:val="00371CAE"/>
    <w:rsid w:val="00375EEB"/>
    <w:rsid w:val="003769FA"/>
    <w:rsid w:val="003841A4"/>
    <w:rsid w:val="00391102"/>
    <w:rsid w:val="00391E2E"/>
    <w:rsid w:val="00395479"/>
    <w:rsid w:val="0039726C"/>
    <w:rsid w:val="00397DA6"/>
    <w:rsid w:val="003A3B2E"/>
    <w:rsid w:val="003A429A"/>
    <w:rsid w:val="003A7050"/>
    <w:rsid w:val="003A7214"/>
    <w:rsid w:val="003B18AC"/>
    <w:rsid w:val="003B32D2"/>
    <w:rsid w:val="003C63FB"/>
    <w:rsid w:val="003D1326"/>
    <w:rsid w:val="003E00E9"/>
    <w:rsid w:val="003E01EA"/>
    <w:rsid w:val="003E1301"/>
    <w:rsid w:val="003E3B2B"/>
    <w:rsid w:val="003E40F6"/>
    <w:rsid w:val="003E57D0"/>
    <w:rsid w:val="003E75CF"/>
    <w:rsid w:val="003F34BB"/>
    <w:rsid w:val="0040607A"/>
    <w:rsid w:val="004170B6"/>
    <w:rsid w:val="00417494"/>
    <w:rsid w:val="00417AAD"/>
    <w:rsid w:val="00420F10"/>
    <w:rsid w:val="0042223D"/>
    <w:rsid w:val="0042352E"/>
    <w:rsid w:val="004262D0"/>
    <w:rsid w:val="00434F3E"/>
    <w:rsid w:val="00436948"/>
    <w:rsid w:val="00441A94"/>
    <w:rsid w:val="00442D15"/>
    <w:rsid w:val="00443E78"/>
    <w:rsid w:val="00451527"/>
    <w:rsid w:val="00452614"/>
    <w:rsid w:val="00453BC6"/>
    <w:rsid w:val="00457BBC"/>
    <w:rsid w:val="00464536"/>
    <w:rsid w:val="0047431E"/>
    <w:rsid w:val="0047690C"/>
    <w:rsid w:val="004770D6"/>
    <w:rsid w:val="0048312D"/>
    <w:rsid w:val="004852C0"/>
    <w:rsid w:val="00485B0F"/>
    <w:rsid w:val="0048662E"/>
    <w:rsid w:val="00486E05"/>
    <w:rsid w:val="00487BD1"/>
    <w:rsid w:val="00491162"/>
    <w:rsid w:val="00495220"/>
    <w:rsid w:val="00495FC8"/>
    <w:rsid w:val="004A18E7"/>
    <w:rsid w:val="004A5588"/>
    <w:rsid w:val="004A6804"/>
    <w:rsid w:val="004B3EC7"/>
    <w:rsid w:val="004C5CFF"/>
    <w:rsid w:val="004D179B"/>
    <w:rsid w:val="004D38ED"/>
    <w:rsid w:val="004E4AD4"/>
    <w:rsid w:val="005075BC"/>
    <w:rsid w:val="005101D1"/>
    <w:rsid w:val="00511CEE"/>
    <w:rsid w:val="00520E33"/>
    <w:rsid w:val="00521D5D"/>
    <w:rsid w:val="00527C3A"/>
    <w:rsid w:val="005332AF"/>
    <w:rsid w:val="00533498"/>
    <w:rsid w:val="00536944"/>
    <w:rsid w:val="00542678"/>
    <w:rsid w:val="005513AC"/>
    <w:rsid w:val="00557BF3"/>
    <w:rsid w:val="0056172D"/>
    <w:rsid w:val="005622DD"/>
    <w:rsid w:val="005641A1"/>
    <w:rsid w:val="00571AB0"/>
    <w:rsid w:val="00574E5F"/>
    <w:rsid w:val="00577367"/>
    <w:rsid w:val="00582CE0"/>
    <w:rsid w:val="00585885"/>
    <w:rsid w:val="005872E2"/>
    <w:rsid w:val="00596DEC"/>
    <w:rsid w:val="00596F35"/>
    <w:rsid w:val="005A14E0"/>
    <w:rsid w:val="005A60C1"/>
    <w:rsid w:val="005B5337"/>
    <w:rsid w:val="005B5918"/>
    <w:rsid w:val="005B5E5E"/>
    <w:rsid w:val="005B69A0"/>
    <w:rsid w:val="005C01B1"/>
    <w:rsid w:val="005C57E7"/>
    <w:rsid w:val="005D240C"/>
    <w:rsid w:val="005D251B"/>
    <w:rsid w:val="005D53F9"/>
    <w:rsid w:val="005E017A"/>
    <w:rsid w:val="005E777D"/>
    <w:rsid w:val="005F4B8A"/>
    <w:rsid w:val="00601DCC"/>
    <w:rsid w:val="00602515"/>
    <w:rsid w:val="006025E9"/>
    <w:rsid w:val="006027CF"/>
    <w:rsid w:val="006066F9"/>
    <w:rsid w:val="00611CEE"/>
    <w:rsid w:val="00612643"/>
    <w:rsid w:val="00614235"/>
    <w:rsid w:val="00614C7D"/>
    <w:rsid w:val="00623040"/>
    <w:rsid w:val="0062471C"/>
    <w:rsid w:val="00625C13"/>
    <w:rsid w:val="00634122"/>
    <w:rsid w:val="00634A44"/>
    <w:rsid w:val="00640A76"/>
    <w:rsid w:val="00654C37"/>
    <w:rsid w:val="00663196"/>
    <w:rsid w:val="006640D2"/>
    <w:rsid w:val="00664758"/>
    <w:rsid w:val="006747E4"/>
    <w:rsid w:val="00685641"/>
    <w:rsid w:val="00685F35"/>
    <w:rsid w:val="00690FAB"/>
    <w:rsid w:val="00693899"/>
    <w:rsid w:val="006B37A3"/>
    <w:rsid w:val="006B5715"/>
    <w:rsid w:val="006C0CFF"/>
    <w:rsid w:val="006C4F3E"/>
    <w:rsid w:val="006C6500"/>
    <w:rsid w:val="006C6A72"/>
    <w:rsid w:val="006D0F5F"/>
    <w:rsid w:val="006D0FB7"/>
    <w:rsid w:val="006D1583"/>
    <w:rsid w:val="006E4D0B"/>
    <w:rsid w:val="006F39D5"/>
    <w:rsid w:val="006F5115"/>
    <w:rsid w:val="006F59F8"/>
    <w:rsid w:val="006F6A1D"/>
    <w:rsid w:val="00701B25"/>
    <w:rsid w:val="00706BCB"/>
    <w:rsid w:val="007071B6"/>
    <w:rsid w:val="00730994"/>
    <w:rsid w:val="00732C83"/>
    <w:rsid w:val="0073341F"/>
    <w:rsid w:val="007367E7"/>
    <w:rsid w:val="00750669"/>
    <w:rsid w:val="00757A36"/>
    <w:rsid w:val="007611FD"/>
    <w:rsid w:val="007621D6"/>
    <w:rsid w:val="007652EF"/>
    <w:rsid w:val="007701B4"/>
    <w:rsid w:val="0077545D"/>
    <w:rsid w:val="007755A9"/>
    <w:rsid w:val="007818EA"/>
    <w:rsid w:val="007863A0"/>
    <w:rsid w:val="00786C1F"/>
    <w:rsid w:val="00790979"/>
    <w:rsid w:val="00790BE2"/>
    <w:rsid w:val="00791B42"/>
    <w:rsid w:val="007922F5"/>
    <w:rsid w:val="00795875"/>
    <w:rsid w:val="007958F1"/>
    <w:rsid w:val="007A36D7"/>
    <w:rsid w:val="007A49F4"/>
    <w:rsid w:val="007A52E1"/>
    <w:rsid w:val="007B26B0"/>
    <w:rsid w:val="007B545A"/>
    <w:rsid w:val="007C27AA"/>
    <w:rsid w:val="007C521D"/>
    <w:rsid w:val="007C5E2B"/>
    <w:rsid w:val="007D7BF3"/>
    <w:rsid w:val="007E33B2"/>
    <w:rsid w:val="007E549D"/>
    <w:rsid w:val="007F79C8"/>
    <w:rsid w:val="00800378"/>
    <w:rsid w:val="008003E6"/>
    <w:rsid w:val="0080358F"/>
    <w:rsid w:val="00812694"/>
    <w:rsid w:val="00814EB9"/>
    <w:rsid w:val="008170EA"/>
    <w:rsid w:val="00820C38"/>
    <w:rsid w:val="008256D1"/>
    <w:rsid w:val="0084112F"/>
    <w:rsid w:val="00842754"/>
    <w:rsid w:val="00846759"/>
    <w:rsid w:val="00846F7E"/>
    <w:rsid w:val="00847C64"/>
    <w:rsid w:val="00847F5B"/>
    <w:rsid w:val="008506C5"/>
    <w:rsid w:val="0085487E"/>
    <w:rsid w:val="0086727A"/>
    <w:rsid w:val="00870393"/>
    <w:rsid w:val="008714EF"/>
    <w:rsid w:val="00875CD1"/>
    <w:rsid w:val="00876CE0"/>
    <w:rsid w:val="008804A4"/>
    <w:rsid w:val="008806F3"/>
    <w:rsid w:val="00882DF8"/>
    <w:rsid w:val="008835A0"/>
    <w:rsid w:val="0089670B"/>
    <w:rsid w:val="00897171"/>
    <w:rsid w:val="008A0DB5"/>
    <w:rsid w:val="008A6088"/>
    <w:rsid w:val="008C4C4E"/>
    <w:rsid w:val="008C6448"/>
    <w:rsid w:val="008C6790"/>
    <w:rsid w:val="008C7E26"/>
    <w:rsid w:val="008D1687"/>
    <w:rsid w:val="008D2414"/>
    <w:rsid w:val="008D2AC9"/>
    <w:rsid w:val="008D4B3D"/>
    <w:rsid w:val="008D50F2"/>
    <w:rsid w:val="008E1AFC"/>
    <w:rsid w:val="008F011B"/>
    <w:rsid w:val="008F0B23"/>
    <w:rsid w:val="008F5954"/>
    <w:rsid w:val="009014ED"/>
    <w:rsid w:val="00901E25"/>
    <w:rsid w:val="009104E2"/>
    <w:rsid w:val="00910717"/>
    <w:rsid w:val="009124F2"/>
    <w:rsid w:val="009126CC"/>
    <w:rsid w:val="00912AB5"/>
    <w:rsid w:val="00913165"/>
    <w:rsid w:val="00916427"/>
    <w:rsid w:val="0092604C"/>
    <w:rsid w:val="00931FD8"/>
    <w:rsid w:val="00941786"/>
    <w:rsid w:val="00942F2E"/>
    <w:rsid w:val="009445FA"/>
    <w:rsid w:val="00947871"/>
    <w:rsid w:val="009537C0"/>
    <w:rsid w:val="00960415"/>
    <w:rsid w:val="00962670"/>
    <w:rsid w:val="009737EF"/>
    <w:rsid w:val="00973F35"/>
    <w:rsid w:val="00975521"/>
    <w:rsid w:val="00981B62"/>
    <w:rsid w:val="00986308"/>
    <w:rsid w:val="00987D33"/>
    <w:rsid w:val="00987D5D"/>
    <w:rsid w:val="00987E24"/>
    <w:rsid w:val="009906C7"/>
    <w:rsid w:val="00990C80"/>
    <w:rsid w:val="00992537"/>
    <w:rsid w:val="00993605"/>
    <w:rsid w:val="00993EBD"/>
    <w:rsid w:val="009963BE"/>
    <w:rsid w:val="009A793B"/>
    <w:rsid w:val="009B0754"/>
    <w:rsid w:val="009B559B"/>
    <w:rsid w:val="009B6C03"/>
    <w:rsid w:val="009C1666"/>
    <w:rsid w:val="009D2E1E"/>
    <w:rsid w:val="009D3A8F"/>
    <w:rsid w:val="009E01E3"/>
    <w:rsid w:val="009E2916"/>
    <w:rsid w:val="009F02D7"/>
    <w:rsid w:val="00A01A0E"/>
    <w:rsid w:val="00A021B0"/>
    <w:rsid w:val="00A05403"/>
    <w:rsid w:val="00A07243"/>
    <w:rsid w:val="00A10B3E"/>
    <w:rsid w:val="00A22649"/>
    <w:rsid w:val="00A2353F"/>
    <w:rsid w:val="00A26CE9"/>
    <w:rsid w:val="00A41BA8"/>
    <w:rsid w:val="00A41FFC"/>
    <w:rsid w:val="00A434A8"/>
    <w:rsid w:val="00A506AE"/>
    <w:rsid w:val="00A5378C"/>
    <w:rsid w:val="00A61661"/>
    <w:rsid w:val="00A622C1"/>
    <w:rsid w:val="00A70AFB"/>
    <w:rsid w:val="00A74784"/>
    <w:rsid w:val="00A80D9A"/>
    <w:rsid w:val="00A83401"/>
    <w:rsid w:val="00A83CE5"/>
    <w:rsid w:val="00A84EDD"/>
    <w:rsid w:val="00A9041C"/>
    <w:rsid w:val="00A93E86"/>
    <w:rsid w:val="00AA17F8"/>
    <w:rsid w:val="00AA1B2C"/>
    <w:rsid w:val="00AA299C"/>
    <w:rsid w:val="00AA36F5"/>
    <w:rsid w:val="00AA393C"/>
    <w:rsid w:val="00AA4BD3"/>
    <w:rsid w:val="00AB08EB"/>
    <w:rsid w:val="00AC0717"/>
    <w:rsid w:val="00AC11CD"/>
    <w:rsid w:val="00AC21C3"/>
    <w:rsid w:val="00AC57BB"/>
    <w:rsid w:val="00AC5E58"/>
    <w:rsid w:val="00AC78C0"/>
    <w:rsid w:val="00AD09DA"/>
    <w:rsid w:val="00AD273C"/>
    <w:rsid w:val="00AE62F7"/>
    <w:rsid w:val="00AF15D0"/>
    <w:rsid w:val="00AF66B7"/>
    <w:rsid w:val="00B006AC"/>
    <w:rsid w:val="00B02F31"/>
    <w:rsid w:val="00B0390F"/>
    <w:rsid w:val="00B07180"/>
    <w:rsid w:val="00B120F5"/>
    <w:rsid w:val="00B13B0F"/>
    <w:rsid w:val="00B157CF"/>
    <w:rsid w:val="00B15992"/>
    <w:rsid w:val="00B22B92"/>
    <w:rsid w:val="00B22BB4"/>
    <w:rsid w:val="00B2371F"/>
    <w:rsid w:val="00B26248"/>
    <w:rsid w:val="00B300ED"/>
    <w:rsid w:val="00B3196E"/>
    <w:rsid w:val="00B32304"/>
    <w:rsid w:val="00B3438C"/>
    <w:rsid w:val="00B3560D"/>
    <w:rsid w:val="00B40FA6"/>
    <w:rsid w:val="00B43BBE"/>
    <w:rsid w:val="00B43E00"/>
    <w:rsid w:val="00B46ED8"/>
    <w:rsid w:val="00B55E2C"/>
    <w:rsid w:val="00B63987"/>
    <w:rsid w:val="00B63F96"/>
    <w:rsid w:val="00B6558E"/>
    <w:rsid w:val="00B67FA1"/>
    <w:rsid w:val="00B769E0"/>
    <w:rsid w:val="00B803CA"/>
    <w:rsid w:val="00B821C2"/>
    <w:rsid w:val="00B83558"/>
    <w:rsid w:val="00B83CEE"/>
    <w:rsid w:val="00B83E92"/>
    <w:rsid w:val="00B927E5"/>
    <w:rsid w:val="00BA22D7"/>
    <w:rsid w:val="00BA32AF"/>
    <w:rsid w:val="00BA385E"/>
    <w:rsid w:val="00BB46FD"/>
    <w:rsid w:val="00BC3697"/>
    <w:rsid w:val="00BC5F51"/>
    <w:rsid w:val="00BC692D"/>
    <w:rsid w:val="00BC799D"/>
    <w:rsid w:val="00BD10B8"/>
    <w:rsid w:val="00BD1D9D"/>
    <w:rsid w:val="00BD3416"/>
    <w:rsid w:val="00BD65C1"/>
    <w:rsid w:val="00BD6992"/>
    <w:rsid w:val="00BE3519"/>
    <w:rsid w:val="00BE6A9E"/>
    <w:rsid w:val="00BF0442"/>
    <w:rsid w:val="00BF4C90"/>
    <w:rsid w:val="00BF6EDB"/>
    <w:rsid w:val="00C0136D"/>
    <w:rsid w:val="00C03780"/>
    <w:rsid w:val="00C11143"/>
    <w:rsid w:val="00C132E0"/>
    <w:rsid w:val="00C262F6"/>
    <w:rsid w:val="00C30782"/>
    <w:rsid w:val="00C321CB"/>
    <w:rsid w:val="00C33B7A"/>
    <w:rsid w:val="00C41751"/>
    <w:rsid w:val="00C44B6E"/>
    <w:rsid w:val="00C45F46"/>
    <w:rsid w:val="00C462F2"/>
    <w:rsid w:val="00C46EBF"/>
    <w:rsid w:val="00C50344"/>
    <w:rsid w:val="00C504CE"/>
    <w:rsid w:val="00C56AB2"/>
    <w:rsid w:val="00C57993"/>
    <w:rsid w:val="00C6178B"/>
    <w:rsid w:val="00C622AA"/>
    <w:rsid w:val="00C8206D"/>
    <w:rsid w:val="00C8215A"/>
    <w:rsid w:val="00C8404E"/>
    <w:rsid w:val="00C87CB5"/>
    <w:rsid w:val="00C9481D"/>
    <w:rsid w:val="00C95571"/>
    <w:rsid w:val="00C95C93"/>
    <w:rsid w:val="00C97F98"/>
    <w:rsid w:val="00C9CAB2"/>
    <w:rsid w:val="00CA08C5"/>
    <w:rsid w:val="00CA2040"/>
    <w:rsid w:val="00CA6AD8"/>
    <w:rsid w:val="00CA6BE7"/>
    <w:rsid w:val="00CA7EC6"/>
    <w:rsid w:val="00CB116E"/>
    <w:rsid w:val="00CB193F"/>
    <w:rsid w:val="00CB3B6E"/>
    <w:rsid w:val="00CB5D98"/>
    <w:rsid w:val="00CC0BDC"/>
    <w:rsid w:val="00CC2CE0"/>
    <w:rsid w:val="00CC3650"/>
    <w:rsid w:val="00CC4220"/>
    <w:rsid w:val="00CC6CA9"/>
    <w:rsid w:val="00CC7B6D"/>
    <w:rsid w:val="00CE0101"/>
    <w:rsid w:val="00CE1F55"/>
    <w:rsid w:val="00CE36B3"/>
    <w:rsid w:val="00CE3FB9"/>
    <w:rsid w:val="00CF12C1"/>
    <w:rsid w:val="00D0511C"/>
    <w:rsid w:val="00D06670"/>
    <w:rsid w:val="00D1693B"/>
    <w:rsid w:val="00D221DE"/>
    <w:rsid w:val="00D22393"/>
    <w:rsid w:val="00D324F5"/>
    <w:rsid w:val="00D44F68"/>
    <w:rsid w:val="00D451F9"/>
    <w:rsid w:val="00D516A0"/>
    <w:rsid w:val="00D55597"/>
    <w:rsid w:val="00D55E06"/>
    <w:rsid w:val="00D571A6"/>
    <w:rsid w:val="00D60254"/>
    <w:rsid w:val="00D61BE2"/>
    <w:rsid w:val="00D64FC2"/>
    <w:rsid w:val="00D70D77"/>
    <w:rsid w:val="00D749CE"/>
    <w:rsid w:val="00D7698B"/>
    <w:rsid w:val="00D769C3"/>
    <w:rsid w:val="00D778E1"/>
    <w:rsid w:val="00D94DC8"/>
    <w:rsid w:val="00D953D4"/>
    <w:rsid w:val="00D95F18"/>
    <w:rsid w:val="00DA0225"/>
    <w:rsid w:val="00DA5077"/>
    <w:rsid w:val="00DB51FE"/>
    <w:rsid w:val="00DB55F6"/>
    <w:rsid w:val="00DB5E10"/>
    <w:rsid w:val="00DC3110"/>
    <w:rsid w:val="00DC54A9"/>
    <w:rsid w:val="00DD0386"/>
    <w:rsid w:val="00DD2ACD"/>
    <w:rsid w:val="00DD6969"/>
    <w:rsid w:val="00DE3F06"/>
    <w:rsid w:val="00DE693E"/>
    <w:rsid w:val="00DE6F6C"/>
    <w:rsid w:val="00DE70BD"/>
    <w:rsid w:val="00DF0BBE"/>
    <w:rsid w:val="00DF2B2E"/>
    <w:rsid w:val="00DF436E"/>
    <w:rsid w:val="00DF52D4"/>
    <w:rsid w:val="00DF6D40"/>
    <w:rsid w:val="00DF7C56"/>
    <w:rsid w:val="00E01D48"/>
    <w:rsid w:val="00E110BB"/>
    <w:rsid w:val="00E11863"/>
    <w:rsid w:val="00E13E24"/>
    <w:rsid w:val="00E23424"/>
    <w:rsid w:val="00E34251"/>
    <w:rsid w:val="00E35542"/>
    <w:rsid w:val="00E362B4"/>
    <w:rsid w:val="00E42894"/>
    <w:rsid w:val="00E44229"/>
    <w:rsid w:val="00E45344"/>
    <w:rsid w:val="00E46412"/>
    <w:rsid w:val="00E5174B"/>
    <w:rsid w:val="00E51C5F"/>
    <w:rsid w:val="00E55D7F"/>
    <w:rsid w:val="00E56551"/>
    <w:rsid w:val="00E57937"/>
    <w:rsid w:val="00E6109E"/>
    <w:rsid w:val="00E6459D"/>
    <w:rsid w:val="00E65A3C"/>
    <w:rsid w:val="00E677FA"/>
    <w:rsid w:val="00E67CC1"/>
    <w:rsid w:val="00E71F1C"/>
    <w:rsid w:val="00E730EF"/>
    <w:rsid w:val="00E82A40"/>
    <w:rsid w:val="00E845F2"/>
    <w:rsid w:val="00E8662E"/>
    <w:rsid w:val="00E97D73"/>
    <w:rsid w:val="00EA17C6"/>
    <w:rsid w:val="00EA1818"/>
    <w:rsid w:val="00EA1A9B"/>
    <w:rsid w:val="00EA7C59"/>
    <w:rsid w:val="00EB1944"/>
    <w:rsid w:val="00EB3C91"/>
    <w:rsid w:val="00EB505E"/>
    <w:rsid w:val="00EC436E"/>
    <w:rsid w:val="00EC4424"/>
    <w:rsid w:val="00EC751F"/>
    <w:rsid w:val="00ED0481"/>
    <w:rsid w:val="00ED0B6F"/>
    <w:rsid w:val="00ED37F6"/>
    <w:rsid w:val="00ED41A9"/>
    <w:rsid w:val="00EE52BD"/>
    <w:rsid w:val="00EF0134"/>
    <w:rsid w:val="00EF1EFC"/>
    <w:rsid w:val="00EF54C7"/>
    <w:rsid w:val="00EF7412"/>
    <w:rsid w:val="00F10548"/>
    <w:rsid w:val="00F10688"/>
    <w:rsid w:val="00F12B85"/>
    <w:rsid w:val="00F20228"/>
    <w:rsid w:val="00F26F26"/>
    <w:rsid w:val="00F2712A"/>
    <w:rsid w:val="00F31076"/>
    <w:rsid w:val="00F31B8D"/>
    <w:rsid w:val="00F358EF"/>
    <w:rsid w:val="00F379F8"/>
    <w:rsid w:val="00F402DA"/>
    <w:rsid w:val="00F44184"/>
    <w:rsid w:val="00F46B47"/>
    <w:rsid w:val="00F5442D"/>
    <w:rsid w:val="00F56608"/>
    <w:rsid w:val="00F56CBA"/>
    <w:rsid w:val="00F57BC7"/>
    <w:rsid w:val="00F57DA1"/>
    <w:rsid w:val="00F63EF6"/>
    <w:rsid w:val="00F67319"/>
    <w:rsid w:val="00F700E1"/>
    <w:rsid w:val="00F706E8"/>
    <w:rsid w:val="00F71560"/>
    <w:rsid w:val="00F72230"/>
    <w:rsid w:val="00F767D9"/>
    <w:rsid w:val="00F77604"/>
    <w:rsid w:val="00F8707E"/>
    <w:rsid w:val="00F87A18"/>
    <w:rsid w:val="00F91A06"/>
    <w:rsid w:val="00F971DC"/>
    <w:rsid w:val="00F97216"/>
    <w:rsid w:val="00FA101D"/>
    <w:rsid w:val="00FA1729"/>
    <w:rsid w:val="00FA43A6"/>
    <w:rsid w:val="00FA754F"/>
    <w:rsid w:val="00FB3297"/>
    <w:rsid w:val="00FB52AD"/>
    <w:rsid w:val="00FB5FF9"/>
    <w:rsid w:val="00FB743E"/>
    <w:rsid w:val="00FB7C38"/>
    <w:rsid w:val="00FC28E1"/>
    <w:rsid w:val="00FC77D6"/>
    <w:rsid w:val="00FD017E"/>
    <w:rsid w:val="00FD041C"/>
    <w:rsid w:val="00FD2699"/>
    <w:rsid w:val="00FE0488"/>
    <w:rsid w:val="00FE22E3"/>
    <w:rsid w:val="00FF0C19"/>
    <w:rsid w:val="00FF35F0"/>
    <w:rsid w:val="00FF4844"/>
    <w:rsid w:val="00FF5B82"/>
    <w:rsid w:val="016288FE"/>
    <w:rsid w:val="01A11788"/>
    <w:rsid w:val="022E77BD"/>
    <w:rsid w:val="026274B1"/>
    <w:rsid w:val="0305DB45"/>
    <w:rsid w:val="0313D544"/>
    <w:rsid w:val="03154730"/>
    <w:rsid w:val="0472DA3C"/>
    <w:rsid w:val="05149F60"/>
    <w:rsid w:val="05307FF0"/>
    <w:rsid w:val="0553490B"/>
    <w:rsid w:val="0593FB24"/>
    <w:rsid w:val="05BC10E2"/>
    <w:rsid w:val="06F3206F"/>
    <w:rsid w:val="07028D97"/>
    <w:rsid w:val="078350F9"/>
    <w:rsid w:val="0866C724"/>
    <w:rsid w:val="089E5DF8"/>
    <w:rsid w:val="090F0994"/>
    <w:rsid w:val="093B333D"/>
    <w:rsid w:val="0A1FC4F0"/>
    <w:rsid w:val="0AEEDDBA"/>
    <w:rsid w:val="0CBB2F85"/>
    <w:rsid w:val="0CC92082"/>
    <w:rsid w:val="0D051132"/>
    <w:rsid w:val="0D1C3C14"/>
    <w:rsid w:val="0D802A32"/>
    <w:rsid w:val="0E97E226"/>
    <w:rsid w:val="0F0D3787"/>
    <w:rsid w:val="0F856BAD"/>
    <w:rsid w:val="104CD6DE"/>
    <w:rsid w:val="1190E11E"/>
    <w:rsid w:val="1193C7F7"/>
    <w:rsid w:val="120AA645"/>
    <w:rsid w:val="122D9274"/>
    <w:rsid w:val="12537D05"/>
    <w:rsid w:val="1270D699"/>
    <w:rsid w:val="1284499E"/>
    <w:rsid w:val="12859967"/>
    <w:rsid w:val="1383B1E9"/>
    <w:rsid w:val="139F60F1"/>
    <w:rsid w:val="13F84AB4"/>
    <w:rsid w:val="14AF9D0C"/>
    <w:rsid w:val="14D20EF5"/>
    <w:rsid w:val="14E094BF"/>
    <w:rsid w:val="15816F5B"/>
    <w:rsid w:val="1584CE86"/>
    <w:rsid w:val="15C152F5"/>
    <w:rsid w:val="16089199"/>
    <w:rsid w:val="16486BCE"/>
    <w:rsid w:val="16D9C116"/>
    <w:rsid w:val="1775DA53"/>
    <w:rsid w:val="17EC3B38"/>
    <w:rsid w:val="18BC6F48"/>
    <w:rsid w:val="18F1072C"/>
    <w:rsid w:val="1955665A"/>
    <w:rsid w:val="1985135E"/>
    <w:rsid w:val="1996BA80"/>
    <w:rsid w:val="19A844B5"/>
    <w:rsid w:val="19D2EB6D"/>
    <w:rsid w:val="1A05EFBB"/>
    <w:rsid w:val="1C039BA2"/>
    <w:rsid w:val="1CCDC3CA"/>
    <w:rsid w:val="1D1CC909"/>
    <w:rsid w:val="1D1F7BE4"/>
    <w:rsid w:val="1E29964A"/>
    <w:rsid w:val="1E8FA8DB"/>
    <w:rsid w:val="1EDD92D3"/>
    <w:rsid w:val="1F1A4187"/>
    <w:rsid w:val="1F2B1ED7"/>
    <w:rsid w:val="1FADD76C"/>
    <w:rsid w:val="207900ED"/>
    <w:rsid w:val="2091CB6C"/>
    <w:rsid w:val="20DEEA50"/>
    <w:rsid w:val="20FA5DEA"/>
    <w:rsid w:val="20FD330F"/>
    <w:rsid w:val="21346398"/>
    <w:rsid w:val="21B0CE2B"/>
    <w:rsid w:val="2259FB59"/>
    <w:rsid w:val="22D033F9"/>
    <w:rsid w:val="230CEEE6"/>
    <w:rsid w:val="2401D00E"/>
    <w:rsid w:val="2514E6A9"/>
    <w:rsid w:val="25951D1B"/>
    <w:rsid w:val="25ADC008"/>
    <w:rsid w:val="268B7FAB"/>
    <w:rsid w:val="26DF9751"/>
    <w:rsid w:val="272DC4B6"/>
    <w:rsid w:val="2735D769"/>
    <w:rsid w:val="28A5697D"/>
    <w:rsid w:val="28FC825F"/>
    <w:rsid w:val="290FB75B"/>
    <w:rsid w:val="29992BF3"/>
    <w:rsid w:val="2A453676"/>
    <w:rsid w:val="2A878728"/>
    <w:rsid w:val="2A9852C0"/>
    <w:rsid w:val="2B48A0A9"/>
    <w:rsid w:val="2BCBEC9A"/>
    <w:rsid w:val="2BEEE0C1"/>
    <w:rsid w:val="2C2E0ED6"/>
    <w:rsid w:val="2C9AA8CF"/>
    <w:rsid w:val="2CE968F4"/>
    <w:rsid w:val="2DC3184F"/>
    <w:rsid w:val="2E1EC3DD"/>
    <w:rsid w:val="2E31D9B2"/>
    <w:rsid w:val="2E55A08F"/>
    <w:rsid w:val="301B3689"/>
    <w:rsid w:val="306EC35C"/>
    <w:rsid w:val="3071501C"/>
    <w:rsid w:val="31669F88"/>
    <w:rsid w:val="31BDE0C3"/>
    <w:rsid w:val="31D0027C"/>
    <w:rsid w:val="31D1C80A"/>
    <w:rsid w:val="321C70A6"/>
    <w:rsid w:val="343A2E77"/>
    <w:rsid w:val="34BD0324"/>
    <w:rsid w:val="35742905"/>
    <w:rsid w:val="36BE8E1A"/>
    <w:rsid w:val="38278111"/>
    <w:rsid w:val="3828FBEB"/>
    <w:rsid w:val="388BB95C"/>
    <w:rsid w:val="38E1FBEB"/>
    <w:rsid w:val="38FE5FF6"/>
    <w:rsid w:val="3A6215E5"/>
    <w:rsid w:val="3B3C21C8"/>
    <w:rsid w:val="3B45F976"/>
    <w:rsid w:val="3B5F21D3"/>
    <w:rsid w:val="3BA9BA47"/>
    <w:rsid w:val="3C0D16AE"/>
    <w:rsid w:val="3CF71BAF"/>
    <w:rsid w:val="3D01D617"/>
    <w:rsid w:val="3DD5703D"/>
    <w:rsid w:val="3DE022FF"/>
    <w:rsid w:val="3E0CC8E0"/>
    <w:rsid w:val="3E26EDF3"/>
    <w:rsid w:val="3E751D7C"/>
    <w:rsid w:val="3E95254B"/>
    <w:rsid w:val="3F704BC5"/>
    <w:rsid w:val="40539D70"/>
    <w:rsid w:val="40FE9B64"/>
    <w:rsid w:val="418DDEFD"/>
    <w:rsid w:val="4340DA63"/>
    <w:rsid w:val="436DFB47"/>
    <w:rsid w:val="438BBAE2"/>
    <w:rsid w:val="44771E66"/>
    <w:rsid w:val="449575DA"/>
    <w:rsid w:val="460E1356"/>
    <w:rsid w:val="4612EEC7"/>
    <w:rsid w:val="46EFC707"/>
    <w:rsid w:val="476DDCE8"/>
    <w:rsid w:val="485F3F46"/>
    <w:rsid w:val="48A49716"/>
    <w:rsid w:val="49774D93"/>
    <w:rsid w:val="49B2AD30"/>
    <w:rsid w:val="4A1337B3"/>
    <w:rsid w:val="4A4E452D"/>
    <w:rsid w:val="4A6A729E"/>
    <w:rsid w:val="4A976D0C"/>
    <w:rsid w:val="4AFC8EF8"/>
    <w:rsid w:val="4C6DDA8A"/>
    <w:rsid w:val="4CB3098C"/>
    <w:rsid w:val="4DE3D396"/>
    <w:rsid w:val="4FA0B489"/>
    <w:rsid w:val="4FF629C8"/>
    <w:rsid w:val="50244E9C"/>
    <w:rsid w:val="50AC2F34"/>
    <w:rsid w:val="50D6AFB0"/>
    <w:rsid w:val="513D8136"/>
    <w:rsid w:val="51DDCC60"/>
    <w:rsid w:val="51DFD6D2"/>
    <w:rsid w:val="51E69F72"/>
    <w:rsid w:val="52108CC7"/>
    <w:rsid w:val="52715BA1"/>
    <w:rsid w:val="52E3FE15"/>
    <w:rsid w:val="5345726E"/>
    <w:rsid w:val="53936FA3"/>
    <w:rsid w:val="53CBF167"/>
    <w:rsid w:val="53EA46D8"/>
    <w:rsid w:val="54C6C264"/>
    <w:rsid w:val="550517D7"/>
    <w:rsid w:val="56552193"/>
    <w:rsid w:val="56A0E838"/>
    <w:rsid w:val="56C7C990"/>
    <w:rsid w:val="572709DB"/>
    <w:rsid w:val="573D55CF"/>
    <w:rsid w:val="574E1875"/>
    <w:rsid w:val="57F2F109"/>
    <w:rsid w:val="58F04952"/>
    <w:rsid w:val="592C7DA2"/>
    <w:rsid w:val="59375172"/>
    <w:rsid w:val="5995AA04"/>
    <w:rsid w:val="59DF442A"/>
    <w:rsid w:val="5B0CA21C"/>
    <w:rsid w:val="5B74595B"/>
    <w:rsid w:val="5BA0138D"/>
    <w:rsid w:val="5C28F547"/>
    <w:rsid w:val="5C34B868"/>
    <w:rsid w:val="5C7D3E12"/>
    <w:rsid w:val="5CB9C488"/>
    <w:rsid w:val="5D98058C"/>
    <w:rsid w:val="5F40DC16"/>
    <w:rsid w:val="5FB8F789"/>
    <w:rsid w:val="6047CA7E"/>
    <w:rsid w:val="6064D68C"/>
    <w:rsid w:val="61532205"/>
    <w:rsid w:val="61BA3F17"/>
    <w:rsid w:val="621D58D6"/>
    <w:rsid w:val="62568FE8"/>
    <w:rsid w:val="632ADF16"/>
    <w:rsid w:val="635816E0"/>
    <w:rsid w:val="6413F73C"/>
    <w:rsid w:val="64A56BEF"/>
    <w:rsid w:val="64E5E5D3"/>
    <w:rsid w:val="650E837A"/>
    <w:rsid w:val="66041377"/>
    <w:rsid w:val="66076230"/>
    <w:rsid w:val="66931CC2"/>
    <w:rsid w:val="66F7FF71"/>
    <w:rsid w:val="673C3D83"/>
    <w:rsid w:val="69340AF6"/>
    <w:rsid w:val="693F63BF"/>
    <w:rsid w:val="69770A7A"/>
    <w:rsid w:val="6BD521DC"/>
    <w:rsid w:val="6BF9761F"/>
    <w:rsid w:val="6C3355A5"/>
    <w:rsid w:val="6C5783CA"/>
    <w:rsid w:val="6CD3DFBB"/>
    <w:rsid w:val="6D35B4BC"/>
    <w:rsid w:val="6D4330C8"/>
    <w:rsid w:val="6D65DA67"/>
    <w:rsid w:val="6DC547F8"/>
    <w:rsid w:val="6E1BD672"/>
    <w:rsid w:val="6E27ACAC"/>
    <w:rsid w:val="6E54A3A8"/>
    <w:rsid w:val="6ECA0B6D"/>
    <w:rsid w:val="6EDBF3E7"/>
    <w:rsid w:val="6F3AD6DE"/>
    <w:rsid w:val="6F6B9616"/>
    <w:rsid w:val="6F808B0C"/>
    <w:rsid w:val="6F83B26F"/>
    <w:rsid w:val="6FBCBD92"/>
    <w:rsid w:val="70564A3A"/>
    <w:rsid w:val="7087BE7D"/>
    <w:rsid w:val="70F6FF1D"/>
    <w:rsid w:val="71729150"/>
    <w:rsid w:val="71823890"/>
    <w:rsid w:val="71AB407E"/>
    <w:rsid w:val="72238EDE"/>
    <w:rsid w:val="7335B962"/>
    <w:rsid w:val="73B4B522"/>
    <w:rsid w:val="74918EAF"/>
    <w:rsid w:val="74B9167F"/>
    <w:rsid w:val="755ED20A"/>
    <w:rsid w:val="762C33AE"/>
    <w:rsid w:val="763915D4"/>
    <w:rsid w:val="768CE9BA"/>
    <w:rsid w:val="76D51D52"/>
    <w:rsid w:val="7713EA23"/>
    <w:rsid w:val="773ACC2F"/>
    <w:rsid w:val="77A1D6DE"/>
    <w:rsid w:val="79D091DB"/>
    <w:rsid w:val="79E424C6"/>
    <w:rsid w:val="79F7485D"/>
    <w:rsid w:val="7A3D32EB"/>
    <w:rsid w:val="7A936A1D"/>
    <w:rsid w:val="7AAE3284"/>
    <w:rsid w:val="7F169482"/>
    <w:rsid w:val="7F2DFA50"/>
    <w:rsid w:val="7F45D9E5"/>
    <w:rsid w:val="7FC6CF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26EDBC"/>
  <w15:docId w15:val="{704B68C3-D4D6-4126-89C1-F6ADD2D4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B803CA"/>
    <w:pPr>
      <w:outlineLvl w:val="0"/>
    </w:pPr>
    <w:rPr>
      <w:b/>
      <w:bCs/>
      <w:sz w:val="28"/>
      <w:szCs w:val="28"/>
    </w:rPr>
  </w:style>
  <w:style w:type="paragraph" w:styleId="Heading2">
    <w:name w:val="heading 2"/>
    <w:basedOn w:val="Normal"/>
    <w:next w:val="Normal"/>
    <w:link w:val="Heading2Char"/>
    <w:uiPriority w:val="9"/>
    <w:unhideWhenUsed/>
    <w:qFormat/>
    <w:rsid w:val="00B803CA"/>
    <w:pPr>
      <w:keepNext/>
      <w:keepLines/>
      <w:spacing w:before="4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B803CA"/>
    <w:pPr>
      <w:keepNext/>
      <w:keepLines/>
      <w:spacing w:before="40"/>
      <w:outlineLvl w:val="2"/>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B6F"/>
    <w:pPr>
      <w:tabs>
        <w:tab w:val="center" w:pos="4680"/>
        <w:tab w:val="right" w:pos="9360"/>
      </w:tabs>
    </w:pPr>
  </w:style>
  <w:style w:type="character" w:customStyle="1" w:styleId="HeaderChar">
    <w:name w:val="Header Char"/>
    <w:basedOn w:val="DefaultParagraphFont"/>
    <w:link w:val="Header"/>
    <w:uiPriority w:val="99"/>
    <w:rsid w:val="00ED0B6F"/>
    <w:rPr>
      <w:rFonts w:ascii="Arial" w:eastAsia="Arial" w:hAnsi="Arial" w:cs="Arial"/>
    </w:rPr>
  </w:style>
  <w:style w:type="paragraph" w:styleId="Footer">
    <w:name w:val="footer"/>
    <w:basedOn w:val="Normal"/>
    <w:link w:val="FooterChar"/>
    <w:uiPriority w:val="99"/>
    <w:unhideWhenUsed/>
    <w:rsid w:val="00ED0B6F"/>
    <w:pPr>
      <w:tabs>
        <w:tab w:val="center" w:pos="4680"/>
        <w:tab w:val="right" w:pos="9360"/>
      </w:tabs>
    </w:pPr>
  </w:style>
  <w:style w:type="character" w:customStyle="1" w:styleId="FooterChar">
    <w:name w:val="Footer Char"/>
    <w:basedOn w:val="DefaultParagraphFont"/>
    <w:link w:val="Footer"/>
    <w:uiPriority w:val="99"/>
    <w:rsid w:val="00ED0B6F"/>
    <w:rPr>
      <w:rFonts w:ascii="Arial" w:eastAsia="Arial" w:hAnsi="Arial" w:cs="Arial"/>
    </w:rPr>
  </w:style>
  <w:style w:type="character" w:styleId="CommentReference">
    <w:name w:val="annotation reference"/>
    <w:basedOn w:val="DefaultParagraphFont"/>
    <w:uiPriority w:val="99"/>
    <w:unhideWhenUsed/>
    <w:qFormat/>
    <w:rsid w:val="00ED0B6F"/>
    <w:rPr>
      <w:sz w:val="16"/>
      <w:szCs w:val="16"/>
    </w:rPr>
  </w:style>
  <w:style w:type="paragraph" w:styleId="CommentText">
    <w:name w:val="annotation text"/>
    <w:aliases w:val="Bubble Text"/>
    <w:basedOn w:val="Normal"/>
    <w:link w:val="CommentTextChar"/>
    <w:uiPriority w:val="99"/>
    <w:unhideWhenUsed/>
    <w:qFormat/>
    <w:rsid w:val="00ED0B6F"/>
    <w:rPr>
      <w:sz w:val="20"/>
      <w:szCs w:val="20"/>
    </w:rPr>
  </w:style>
  <w:style w:type="character" w:customStyle="1" w:styleId="CommentTextChar">
    <w:name w:val="Comment Text Char"/>
    <w:aliases w:val="Bubble Text Char"/>
    <w:basedOn w:val="DefaultParagraphFont"/>
    <w:link w:val="CommentText"/>
    <w:uiPriority w:val="99"/>
    <w:rsid w:val="00ED0B6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D0B6F"/>
    <w:rPr>
      <w:b/>
      <w:bCs/>
    </w:rPr>
  </w:style>
  <w:style w:type="character" w:customStyle="1" w:styleId="CommentSubjectChar">
    <w:name w:val="Comment Subject Char"/>
    <w:basedOn w:val="CommentTextChar"/>
    <w:link w:val="CommentSubject"/>
    <w:uiPriority w:val="99"/>
    <w:semiHidden/>
    <w:rsid w:val="00ED0B6F"/>
    <w:rPr>
      <w:rFonts w:ascii="Arial" w:eastAsia="Arial" w:hAnsi="Arial" w:cs="Arial"/>
      <w:b/>
      <w:bCs/>
      <w:sz w:val="20"/>
      <w:szCs w:val="20"/>
    </w:rPr>
  </w:style>
  <w:style w:type="character" w:customStyle="1" w:styleId="Heading3Char">
    <w:name w:val="Heading 3 Char"/>
    <w:basedOn w:val="DefaultParagraphFont"/>
    <w:link w:val="Heading3"/>
    <w:uiPriority w:val="9"/>
    <w:rsid w:val="00B803CA"/>
    <w:rPr>
      <w:rFonts w:ascii="Arial" w:hAnsi="Arial" w:eastAsiaTheme="majorEastAsia" w:cs="Arial"/>
      <w:b/>
      <w:bCs/>
      <w:sz w:val="24"/>
      <w:szCs w:val="24"/>
    </w:rPr>
  </w:style>
  <w:style w:type="paragraph" w:customStyle="1" w:styleId="pf0">
    <w:name w:val="pf0"/>
    <w:basedOn w:val="Normal"/>
    <w:rsid w:val="00CA6AD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6AD8"/>
    <w:rPr>
      <w:rFonts w:ascii="Segoe UI" w:hAnsi="Segoe UI" w:cs="Segoe UI" w:hint="default"/>
      <w:color w:val="FF0000"/>
      <w:sz w:val="18"/>
      <w:szCs w:val="18"/>
    </w:rPr>
  </w:style>
  <w:style w:type="character" w:customStyle="1" w:styleId="cf11">
    <w:name w:val="cf11"/>
    <w:basedOn w:val="DefaultParagraphFont"/>
    <w:rsid w:val="00CA6AD8"/>
    <w:rPr>
      <w:rFonts w:ascii="Segoe UI" w:hAnsi="Segoe UI" w:cs="Segoe UI" w:hint="default"/>
      <w:sz w:val="18"/>
      <w:szCs w:val="18"/>
    </w:rPr>
  </w:style>
  <w:style w:type="character" w:customStyle="1" w:styleId="cf21">
    <w:name w:val="cf21"/>
    <w:basedOn w:val="DefaultParagraphFont"/>
    <w:rsid w:val="00CA6AD8"/>
    <w:rPr>
      <w:rFonts w:ascii="Segoe UI" w:hAnsi="Segoe UI" w:cs="Segoe UI" w:hint="default"/>
      <w:color w:val="0070C0"/>
      <w:sz w:val="18"/>
      <w:szCs w:val="18"/>
    </w:rPr>
  </w:style>
  <w:style w:type="character" w:styleId="Mention">
    <w:name w:val="Mention"/>
    <w:basedOn w:val="DefaultParagraphFont"/>
    <w:uiPriority w:val="99"/>
    <w:unhideWhenUsed/>
    <w:rsid w:val="00206E42"/>
    <w:rPr>
      <w:color w:val="2B579A"/>
      <w:shd w:val="clear" w:color="auto" w:fill="E1DFDD"/>
    </w:rPr>
  </w:style>
  <w:style w:type="character" w:customStyle="1" w:styleId="BodyTextChar">
    <w:name w:val="Body Text Char"/>
    <w:basedOn w:val="DefaultParagraphFont"/>
    <w:link w:val="BodyText"/>
    <w:uiPriority w:val="1"/>
    <w:rsid w:val="00121B40"/>
    <w:rPr>
      <w:rFonts w:ascii="Arial" w:eastAsia="Arial" w:hAnsi="Arial" w:cs="Arial"/>
      <w:sz w:val="24"/>
      <w:szCs w:val="24"/>
    </w:rPr>
  </w:style>
  <w:style w:type="character" w:styleId="Hyperlink">
    <w:name w:val="Hyperlink"/>
    <w:basedOn w:val="DefaultParagraphFont"/>
    <w:uiPriority w:val="99"/>
    <w:unhideWhenUsed/>
    <w:rsid w:val="00A83CE5"/>
    <w:rPr>
      <w:color w:val="0000FF" w:themeColor="hyperlink"/>
      <w:u w:val="single"/>
    </w:rPr>
  </w:style>
  <w:style w:type="character" w:styleId="UnresolvedMention">
    <w:name w:val="Unresolved Mention"/>
    <w:basedOn w:val="DefaultParagraphFont"/>
    <w:uiPriority w:val="99"/>
    <w:unhideWhenUsed/>
    <w:rsid w:val="00A83CE5"/>
    <w:rPr>
      <w:color w:val="605E5C"/>
      <w:shd w:val="clear" w:color="auto" w:fill="E1DFDD"/>
    </w:rPr>
  </w:style>
  <w:style w:type="paragraph" w:styleId="Revision">
    <w:name w:val="Revision"/>
    <w:hidden/>
    <w:uiPriority w:val="99"/>
    <w:semiHidden/>
    <w:rsid w:val="00B6558E"/>
    <w:pPr>
      <w:widowControl/>
      <w:autoSpaceDE/>
      <w:autoSpaceDN/>
    </w:pPr>
    <w:rPr>
      <w:rFonts w:ascii="Arial" w:eastAsia="Arial" w:hAnsi="Arial" w:cs="Arial"/>
    </w:rPr>
  </w:style>
  <w:style w:type="paragraph" w:customStyle="1" w:styleId="LTableTextAbt">
    <w:name w:val="(L)Table Text Abt"/>
    <w:link w:val="LTableTextAbtChar"/>
    <w:uiPriority w:val="12"/>
    <w:qFormat/>
    <w:rsid w:val="007863A0"/>
    <w:pPr>
      <w:keepNext/>
      <w:keepLines/>
      <w:widowControl/>
      <w:autoSpaceDE/>
      <w:autoSpaceDN/>
      <w:spacing w:before="20" w:after="20"/>
    </w:pPr>
    <w:rPr>
      <w:rFonts w:ascii="Times New Roman" w:hAnsi="Times New Roman" w:cs="Times New Roman"/>
      <w:bCs/>
      <w:color w:val="000000"/>
      <w:sz w:val="18"/>
      <w:szCs w:val="20"/>
    </w:rPr>
  </w:style>
  <w:style w:type="character" w:customStyle="1" w:styleId="LTableTextAbtChar">
    <w:name w:val="(L)Table Text Abt Char"/>
    <w:link w:val="LTableTextAbt"/>
    <w:uiPriority w:val="12"/>
    <w:rsid w:val="007863A0"/>
    <w:rPr>
      <w:rFonts w:ascii="Times New Roman" w:hAnsi="Times New Roman" w:cs="Times New Roman"/>
      <w:bCs/>
      <w:color w:val="000000"/>
      <w:sz w:val="18"/>
      <w:szCs w:val="20"/>
    </w:rPr>
  </w:style>
  <w:style w:type="paragraph" w:customStyle="1" w:styleId="RTableTextAbt">
    <w:name w:val="(R) Table Text Abt"/>
    <w:link w:val="RTableTextAbtChar"/>
    <w:uiPriority w:val="14"/>
    <w:qFormat/>
    <w:rsid w:val="007863A0"/>
    <w:pPr>
      <w:widowControl/>
      <w:autoSpaceDE/>
      <w:autoSpaceDN/>
      <w:jc w:val="right"/>
    </w:pPr>
    <w:rPr>
      <w:rFonts w:ascii="Times New Roman" w:hAnsi="Times New Roman" w:cs="Times New Roman"/>
      <w:bCs/>
      <w:color w:val="000000"/>
      <w:sz w:val="18"/>
      <w:szCs w:val="20"/>
    </w:rPr>
  </w:style>
  <w:style w:type="character" w:customStyle="1" w:styleId="RTableTextAbtChar">
    <w:name w:val="(R) Table Text Abt Char"/>
    <w:basedOn w:val="LTableTextAbtChar"/>
    <w:link w:val="RTableTextAbt"/>
    <w:uiPriority w:val="14"/>
    <w:rsid w:val="007863A0"/>
    <w:rPr>
      <w:rFonts w:ascii="Times New Roman" w:hAnsi="Times New Roman" w:cs="Times New Roman"/>
      <w:bCs/>
      <w:color w:val="000000"/>
      <w:sz w:val="18"/>
      <w:szCs w:val="20"/>
    </w:rPr>
  </w:style>
  <w:style w:type="paragraph" w:customStyle="1" w:styleId="TableSubtitle">
    <w:name w:val="TableSubtitle"/>
    <w:basedOn w:val="Normal"/>
    <w:qFormat/>
    <w:rsid w:val="007863A0"/>
    <w:pPr>
      <w:keepNext/>
      <w:keepLines/>
      <w:widowControl/>
      <w:adjustRightInd w:val="0"/>
      <w:jc w:val="center"/>
    </w:pPr>
    <w:rPr>
      <w:rFonts w:ascii="Arial Narrow" w:eastAsia="Times New Roman" w:hAnsi="Arial Narrow"/>
      <w:b/>
      <w:bCs/>
      <w:color w:val="FFFFFF" w:themeColor="background1"/>
      <w:sz w:val="20"/>
      <w:szCs w:val="20"/>
    </w:rPr>
  </w:style>
  <w:style w:type="paragraph" w:customStyle="1" w:styleId="TableTitleA">
    <w:name w:val="TableTitleA"/>
    <w:basedOn w:val="Normal"/>
    <w:link w:val="TableTitleAChar"/>
    <w:qFormat/>
    <w:rsid w:val="007863A0"/>
    <w:pPr>
      <w:keepNext/>
      <w:widowControl/>
      <w:autoSpaceDE/>
      <w:autoSpaceDN/>
      <w:spacing w:after="20"/>
    </w:pPr>
    <w:rPr>
      <w:rFonts w:ascii="Arial Bold" w:eastAsia="Times New Roman" w:hAnsi="Arial Bold" w:cs="Times New Roman"/>
      <w:sz w:val="20"/>
      <w:szCs w:val="24"/>
    </w:rPr>
  </w:style>
  <w:style w:type="character" w:customStyle="1" w:styleId="TableTitleAChar">
    <w:name w:val="TableTitleA Char"/>
    <w:basedOn w:val="DefaultParagraphFont"/>
    <w:link w:val="TableTitleA"/>
    <w:rsid w:val="007863A0"/>
    <w:rPr>
      <w:rFonts w:ascii="Arial Bold" w:eastAsia="Times New Roman" w:hAnsi="Arial Bold" w:cs="Times New Roman"/>
      <w:sz w:val="20"/>
      <w:szCs w:val="24"/>
    </w:rPr>
  </w:style>
  <w:style w:type="paragraph" w:customStyle="1" w:styleId="CTableTextAbt">
    <w:name w:val="(C)Table Text Abt"/>
    <w:link w:val="CTableTextAbtChar"/>
    <w:uiPriority w:val="13"/>
    <w:qFormat/>
    <w:rsid w:val="00AD273C"/>
    <w:pPr>
      <w:widowControl/>
      <w:autoSpaceDE/>
      <w:autoSpaceDN/>
      <w:jc w:val="center"/>
    </w:pPr>
    <w:rPr>
      <w:rFonts w:ascii="Times New Roman" w:hAnsi="Times New Roman" w:cs="Times New Roman"/>
      <w:bCs/>
      <w:color w:val="000000"/>
      <w:sz w:val="18"/>
      <w:szCs w:val="20"/>
    </w:rPr>
  </w:style>
  <w:style w:type="character" w:customStyle="1" w:styleId="CTableTextAbtChar">
    <w:name w:val="(C)Table Text Abt Char"/>
    <w:basedOn w:val="DefaultParagraphFont"/>
    <w:link w:val="CTableTextAbt"/>
    <w:uiPriority w:val="13"/>
    <w:rsid w:val="00AD273C"/>
    <w:rPr>
      <w:rFonts w:ascii="Times New Roman" w:hAnsi="Times New Roman" w:cs="Times New Roman"/>
      <w:bCs/>
      <w:color w:val="000000"/>
      <w:sz w:val="18"/>
      <w:szCs w:val="20"/>
    </w:rPr>
  </w:style>
  <w:style w:type="paragraph" w:styleId="FootnoteText">
    <w:name w:val="footnote text"/>
    <w:basedOn w:val="Normal"/>
    <w:link w:val="FootnoteTextChar"/>
    <w:uiPriority w:val="99"/>
    <w:semiHidden/>
    <w:unhideWhenUsed/>
    <w:rsid w:val="00FF4844"/>
    <w:rPr>
      <w:sz w:val="20"/>
      <w:szCs w:val="20"/>
    </w:rPr>
  </w:style>
  <w:style w:type="character" w:customStyle="1" w:styleId="FootnoteTextChar">
    <w:name w:val="Footnote Text Char"/>
    <w:basedOn w:val="DefaultParagraphFont"/>
    <w:link w:val="FootnoteText"/>
    <w:uiPriority w:val="99"/>
    <w:semiHidden/>
    <w:rsid w:val="00FF4844"/>
    <w:rPr>
      <w:rFonts w:ascii="Arial" w:eastAsia="Arial" w:hAnsi="Arial" w:cs="Arial"/>
      <w:sz w:val="20"/>
      <w:szCs w:val="20"/>
    </w:rPr>
  </w:style>
  <w:style w:type="character" w:styleId="FootnoteReference">
    <w:name w:val="footnote reference"/>
    <w:basedOn w:val="DefaultParagraphFont"/>
    <w:uiPriority w:val="99"/>
    <w:semiHidden/>
    <w:unhideWhenUsed/>
    <w:rsid w:val="00FF4844"/>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NotesAbt">
    <w:name w:val="Table Notes Abt"/>
    <w:basedOn w:val="Normal"/>
    <w:uiPriority w:val="17"/>
    <w:qFormat/>
    <w:rsid w:val="00960415"/>
    <w:pPr>
      <w:widowControl/>
      <w:autoSpaceDE/>
      <w:autoSpaceDN/>
      <w:spacing w:before="60" w:after="60"/>
    </w:pPr>
    <w:rPr>
      <w:rFonts w:ascii="Times New Roman" w:eastAsia="Times New Roman" w:hAnsi="Times New Roman" w:cs="Times New Roman"/>
      <w:sz w:val="18"/>
      <w:szCs w:val="20"/>
    </w:rPr>
  </w:style>
  <w:style w:type="paragraph" w:styleId="NoSpacing">
    <w:name w:val="No Spacing"/>
    <w:link w:val="NoSpacingChar"/>
    <w:uiPriority w:val="1"/>
    <w:qFormat/>
    <w:rsid w:val="008835A0"/>
    <w:pPr>
      <w:widowControl/>
      <w:autoSpaceDE/>
      <w:autoSpaceDN/>
    </w:pPr>
    <w:rPr>
      <w:rFonts w:ascii="Arial" w:hAnsi="Arial"/>
      <w:sz w:val="24"/>
    </w:rPr>
  </w:style>
  <w:style w:type="character" w:customStyle="1" w:styleId="NoSpacingChar">
    <w:name w:val="No Spacing Char"/>
    <w:basedOn w:val="DefaultParagraphFont"/>
    <w:link w:val="NoSpacing"/>
    <w:uiPriority w:val="1"/>
    <w:locked/>
    <w:rsid w:val="008835A0"/>
    <w:rPr>
      <w:rFonts w:ascii="Arial" w:hAnsi="Arial"/>
      <w:sz w:val="24"/>
    </w:rPr>
  </w:style>
  <w:style w:type="character" w:customStyle="1" w:styleId="Heading2Char">
    <w:name w:val="Heading 2 Char"/>
    <w:basedOn w:val="DefaultParagraphFont"/>
    <w:link w:val="Heading2"/>
    <w:uiPriority w:val="9"/>
    <w:rsid w:val="00B803CA"/>
    <w:rPr>
      <w:rFonts w:ascii="Arial" w:hAnsi="Arial" w:eastAsiaTheme="majorEastAsia" w:cs="Arial"/>
      <w:b/>
      <w:bCs/>
      <w:sz w:val="24"/>
      <w:szCs w:val="24"/>
    </w:rPr>
  </w:style>
  <w:style w:type="paragraph" w:customStyle="1" w:styleId="paragraph">
    <w:name w:val="paragraph"/>
    <w:basedOn w:val="Normal"/>
    <w:rsid w:val="0027626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626C"/>
  </w:style>
  <w:style w:type="character" w:customStyle="1" w:styleId="eop">
    <w:name w:val="eop"/>
    <w:basedOn w:val="DefaultParagraphFont"/>
    <w:rsid w:val="0027626C"/>
  </w:style>
  <w:style w:type="character" w:styleId="SmartLink">
    <w:name w:val="Smart Link"/>
    <w:basedOn w:val="DefaultParagraphFont"/>
    <w:uiPriority w:val="99"/>
    <w:semiHidden/>
    <w:unhideWhenUsed/>
    <w:rsid w:val="0028153A"/>
    <w:rPr>
      <w:color w:val="0000FF"/>
      <w:u w:val="single"/>
      <w:shd w:val="clear" w:color="auto" w:fill="F3F2F1"/>
    </w:rPr>
  </w:style>
  <w:style w:type="paragraph" w:styleId="Title">
    <w:name w:val="Title"/>
    <w:basedOn w:val="Normal"/>
    <w:next w:val="Normal"/>
    <w:link w:val="TitleChar"/>
    <w:uiPriority w:val="10"/>
    <w:qFormat/>
    <w:rsid w:val="00B803CA"/>
    <w:pPr>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803CA"/>
    <w:rPr>
      <w:rFonts w:ascii="Arial" w:hAnsi="Arial" w:eastAsiaTheme="majorEastAsia" w:cstheme="majorBidi"/>
      <w:b/>
      <w:spacing w:val="-10"/>
      <w:kern w:val="28"/>
      <w:sz w:val="28"/>
      <w:szCs w:val="56"/>
    </w:rPr>
  </w:style>
  <w:style w:type="character" w:customStyle="1" w:styleId="findhit">
    <w:name w:val="findhit"/>
    <w:basedOn w:val="DefaultParagraphFont"/>
    <w:rsid w:val="0030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regulations.gov/document/EPA-HQ-OPPT-2021-0415-0095"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2022-12-05T17:03:34+00:00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a5d1ca4e-0a3f-4119-b619-e20b93ebd1a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SharedContentType xmlns="Microsoft.SharePoint.Taxonomy.ContentTypeSync" SourceId="29f62856-1543-49d4-a736-4569d363f533"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9" ma:contentTypeDescription="Create a new document." ma:contentTypeScope="" ma:versionID="7756b00c73e94170fc398205a02c2c8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8e6f0ec7aa603b75d3a25bd303a28df4"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2D445-5E6C-4884-A947-C2591A966AD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a5d1ca4e-0a3f-4119-b619-e20b93ebd1aa"/>
  </ds:schemaRefs>
</ds:datastoreItem>
</file>

<file path=customXml/itemProps2.xml><?xml version="1.0" encoding="utf-8"?>
<ds:datastoreItem xmlns:ds="http://schemas.openxmlformats.org/officeDocument/2006/customXml" ds:itemID="{BAAB01E4-FFB3-4C14-BF6F-CA9E1E9B134D}">
  <ds:schemaRefs>
    <ds:schemaRef ds:uri="http://schemas.microsoft.com/sharepoint/v3/contenttype/forms"/>
  </ds:schemaRefs>
</ds:datastoreItem>
</file>

<file path=customXml/itemProps3.xml><?xml version="1.0" encoding="utf-8"?>
<ds:datastoreItem xmlns:ds="http://schemas.openxmlformats.org/officeDocument/2006/customXml" ds:itemID="{DA536F16-8B56-4B99-9E0F-D070B7FB7BBA}">
  <ds:schemaRefs>
    <ds:schemaRef ds:uri="http://schemas.openxmlformats.org/officeDocument/2006/bibliography"/>
  </ds:schemaRefs>
</ds:datastoreItem>
</file>

<file path=customXml/itemProps4.xml><?xml version="1.0" encoding="utf-8"?>
<ds:datastoreItem xmlns:ds="http://schemas.openxmlformats.org/officeDocument/2006/customXml" ds:itemID="{3AA52F19-6614-454F-B028-3D3D32764992}">
  <ds:schemaRefs>
    <ds:schemaRef ds:uri="Microsoft.SharePoint.Taxonomy.ContentTypeSync"/>
  </ds:schemaRefs>
</ds:datastoreItem>
</file>

<file path=customXml/itemProps5.xml><?xml version="1.0" encoding="utf-8"?>
<ds:datastoreItem xmlns:ds="http://schemas.openxmlformats.org/officeDocument/2006/customXml" ds:itemID="{A5F8D2E1-018E-4C1F-991D-3A00544660E7}">
  <ds:schemaRefs>
    <ds:schemaRef ds:uri="Microsoft.SharePoint.Taxonomy.ContentTypeSync"/>
  </ds:schemaRefs>
</ds:datastoreItem>
</file>

<file path=customXml/itemProps6.xml><?xml version="1.0" encoding="utf-8"?>
<ds:datastoreItem xmlns:ds="http://schemas.openxmlformats.org/officeDocument/2006/customXml" ds:itemID="{CCCC94B6-8D55-4C84-A3FC-08A3D1D72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6880</Words>
  <Characters>39220</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Microsoft Word - 2707ss01_ICR 4-2022.docx</vt:lpstr>
    </vt:vector>
  </TitlesOfParts>
  <Company/>
  <LinksUpToDate>false</LinksUpToDate>
  <CharactersWithSpaces>46008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- 2707ss01_ICR 4-2022.docx</dc:title>
  <dc:creator>Pgimlin</dc:creator>
  <cp:lastModifiedBy>Johnson, Amaris</cp:lastModifiedBy>
  <cp:revision>2</cp:revision>
  <dcterms:created xsi:type="dcterms:W3CDTF">2023-10-30T18:41:00Z</dcterms:created>
  <dcterms:modified xsi:type="dcterms:W3CDTF">2023-10-30T18:41:00Z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0x0101002A7F9D9864612C4CBB33966F40C5E116</vt:lpwstr>
  </property>
  <property fmtid="{D5CDD505-2E9C-101B-9397-08002B2CF9AE}" pid="4" name="Created">
    <vt:filetime>2022-04-07T00:00:00Z</vt:filetime>
  </property>
  <property fmtid="{D5CDD505-2E9C-101B-9397-08002B2CF9AE}" pid="5" name="Creator">
    <vt:lpwstr>PScript5.dll Version 5.2.2</vt:lpwstr>
  </property>
  <property fmtid="{D5CDD505-2E9C-101B-9397-08002B2CF9AE}" pid="6" name="Document Type">
    <vt:lpwstr/>
  </property>
  <property fmtid="{D5CDD505-2E9C-101B-9397-08002B2CF9AE}" pid="7" name="EPA Subject">
    <vt:lpwstr/>
  </property>
  <property fmtid="{D5CDD505-2E9C-101B-9397-08002B2CF9AE}" pid="8" name="LastSaved">
    <vt:filetime>2022-08-29T00:00:00Z</vt:filetime>
  </property>
  <property fmtid="{D5CDD505-2E9C-101B-9397-08002B2CF9AE}" pid="9" name="MediaServiceImageTags">
    <vt:lpwstr/>
  </property>
  <property fmtid="{D5CDD505-2E9C-101B-9397-08002B2CF9AE}" pid="10" name="Order">
    <vt:r8>3691500</vt:r8>
  </property>
  <property fmtid="{D5CDD505-2E9C-101B-9397-08002B2CF9AE}" pid="11" name="Producer">
    <vt:lpwstr>Acrobat Distiller 22.0 (Windows)</vt:lpwstr>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