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8E0" w:rsidRPr="00AE03CB" w:rsidP="00DA188A" w14:paraId="504AFBC8" w14:textId="77777777">
      <w:pPr>
        <w:pStyle w:val="Heading1"/>
        <w:jc w:val="center"/>
      </w:pPr>
      <w:r w:rsidRPr="00AE03CB">
        <w:t>Department of Transportation</w:t>
      </w:r>
    </w:p>
    <w:p w:rsidR="00F278E0" w:rsidRPr="00AE03CB" w:rsidP="00F278E0" w14:paraId="67AA0491" w14:textId="2D76A1BE">
      <w:pPr>
        <w:ind w:left="1440" w:firstLine="720"/>
        <w:rPr>
          <w:b/>
        </w:rPr>
      </w:pPr>
      <w:r w:rsidRPr="00AE03CB">
        <w:rPr>
          <w:b/>
        </w:rPr>
        <w:t>Federal Motor Carrier Safety Administration</w:t>
      </w:r>
    </w:p>
    <w:p w:rsidR="00F278E0" w:rsidRPr="00AE03CB" w:rsidP="00DA188A" w14:paraId="007E1183" w14:textId="77777777">
      <w:pPr>
        <w:pStyle w:val="Heading1"/>
        <w:jc w:val="center"/>
      </w:pPr>
    </w:p>
    <w:p w:rsidR="00045935" w:rsidRPr="00AE03CB" w:rsidP="00DA188A" w14:paraId="7F72721A" w14:textId="77777777">
      <w:pPr>
        <w:pStyle w:val="Heading1"/>
        <w:jc w:val="center"/>
      </w:pPr>
      <w:r w:rsidRPr="00AE03CB">
        <w:t>SUPPORTING STATEMENT</w:t>
      </w:r>
      <w:r w:rsidRPr="00AE03CB" w:rsidR="007271F7">
        <w:t xml:space="preserve"> </w:t>
      </w:r>
    </w:p>
    <w:p w:rsidR="00861636" w:rsidRPr="00AE03CB" w:rsidP="00DA188A" w14:paraId="64905365" w14:textId="77777777">
      <w:pPr>
        <w:pStyle w:val="Heading1"/>
        <w:jc w:val="center"/>
      </w:pPr>
      <w:r w:rsidRPr="00AE03CB">
        <w:t>Inspection, Repair and Maintenance</w:t>
      </w:r>
    </w:p>
    <w:p w:rsidR="00045935" w:rsidRPr="00AE03CB" w:rsidP="00045935" w14:paraId="0FDC2A21" w14:textId="77777777">
      <w:pPr>
        <w:jc w:val="center"/>
        <w:rPr>
          <w:b/>
        </w:rPr>
      </w:pPr>
    </w:p>
    <w:p w:rsidR="00002A30" w:rsidRPr="00AE03CB" w:rsidP="00045935" w14:paraId="0C48DEB3" w14:textId="77777777">
      <w:pPr>
        <w:jc w:val="center"/>
        <w:rPr>
          <w:b/>
        </w:rPr>
      </w:pPr>
    </w:p>
    <w:p w:rsidR="008E6454" w:rsidRPr="00AE03CB" w:rsidP="008E6454" w14:paraId="042E655A" w14:textId="5B81ACF0">
      <w:pPr>
        <w:rPr>
          <w:b/>
        </w:rPr>
      </w:pPr>
      <w:r w:rsidRPr="00AE03CB">
        <w:rPr>
          <w:b/>
        </w:rPr>
        <w:t>SUMMARY</w:t>
      </w:r>
    </w:p>
    <w:p w:rsidR="009829FC" w:rsidRPr="00AE03CB" w:rsidP="008E6454" w14:paraId="18D466E1" w14:textId="77777777">
      <w:pPr>
        <w:rPr>
          <w:b/>
          <w:u w:val="single"/>
        </w:rPr>
      </w:pPr>
    </w:p>
    <w:p w:rsidR="008E6454" w:rsidRPr="00AE03CB" w:rsidP="008E6454" w14:paraId="02F2E8BE" w14:textId="436E81AE">
      <w:pPr>
        <w:numPr>
          <w:ilvl w:val="0"/>
          <w:numId w:val="9"/>
        </w:numPr>
        <w:rPr>
          <w:bCs/>
        </w:rPr>
      </w:pPr>
      <w:r w:rsidRPr="00AE03CB">
        <w:rPr>
          <w:bCs/>
        </w:rPr>
        <w:t xml:space="preserve">The Agency submits a </w:t>
      </w:r>
      <w:r w:rsidRPr="00AE03CB">
        <w:rPr>
          <w:bCs/>
        </w:rPr>
        <w:t>currently-approved</w:t>
      </w:r>
      <w:r w:rsidRPr="00AE03CB">
        <w:rPr>
          <w:bCs/>
        </w:rPr>
        <w:t xml:space="preserve"> information collection request (ICR) </w:t>
      </w:r>
      <w:r w:rsidRPr="00AE03CB" w:rsidR="00613175">
        <w:rPr>
          <w:bCs/>
        </w:rPr>
        <w:t>renewal</w:t>
      </w:r>
      <w:r w:rsidRPr="00AE03CB" w:rsidR="007D05FE">
        <w:rPr>
          <w:bCs/>
        </w:rPr>
        <w:t xml:space="preserve"> </w:t>
      </w:r>
      <w:r w:rsidRPr="00AE03CB">
        <w:rPr>
          <w:bCs/>
        </w:rPr>
        <w:t xml:space="preserve">titled, </w:t>
      </w:r>
      <w:r w:rsidRPr="00AE03CB">
        <w:rPr>
          <w:bCs/>
          <w:i/>
        </w:rPr>
        <w:t>“Inspection, Repair and Maintenance,”</w:t>
      </w:r>
      <w:r w:rsidRPr="00AE03CB">
        <w:rPr>
          <w:bCs/>
        </w:rPr>
        <w:t xml:space="preserve"> assigned OMB Control Number 2126-0003.</w:t>
      </w:r>
    </w:p>
    <w:p w:rsidR="009829FC" w:rsidRPr="00AE03CB" w:rsidP="009829FC" w14:paraId="123A9F90" w14:textId="77777777">
      <w:pPr>
        <w:ind w:left="720"/>
        <w:rPr>
          <w:bCs/>
        </w:rPr>
      </w:pPr>
    </w:p>
    <w:p w:rsidR="008E6454" w:rsidRPr="00AE03CB" w:rsidP="009829FC" w14:paraId="3FA842FB" w14:textId="14DA5801">
      <w:pPr>
        <w:pStyle w:val="ListParagraph"/>
        <w:numPr>
          <w:ilvl w:val="0"/>
          <w:numId w:val="9"/>
        </w:numPr>
      </w:pPr>
      <w:r w:rsidRPr="00AE03CB">
        <w:t>In response to E.O. 13563, on August 18, 2020, the FMCSA revised this ICR due to new program requirements in a final rule titled “</w:t>
      </w:r>
      <w:r w:rsidRPr="00AE03CB">
        <w:rPr>
          <w:i/>
          <w:iCs/>
        </w:rPr>
        <w:t>Passenger Carrier No-Defect Driver Vehicle Inspection Report</w:t>
      </w:r>
      <w:r w:rsidRPr="00AE03CB">
        <w:t>” (85 FR 50787) (Attachment P). The final rule eliminated the requirement that drivers of passenger-carrying CMVs operating in interstate commerce submit, and motor carriers retain, DVIRs when the driver has neither found nor been made aware of any vehicle defects or deficiencies (no-defect DVIRs).</w:t>
      </w:r>
    </w:p>
    <w:p w:rsidR="009829FC" w:rsidRPr="00AE03CB" w:rsidP="009829FC" w14:paraId="176EE7B9" w14:textId="77777777">
      <w:pPr>
        <w:pStyle w:val="ListParagraph"/>
      </w:pPr>
    </w:p>
    <w:p w:rsidR="008E6454" w:rsidRPr="00AE03CB" w:rsidP="009829FC" w14:paraId="3BD77998" w14:textId="02B95EE3">
      <w:pPr>
        <w:pStyle w:val="ListParagraph"/>
        <w:numPr>
          <w:ilvl w:val="0"/>
          <w:numId w:val="9"/>
        </w:numPr>
        <w:rPr>
          <w:bCs/>
        </w:rPr>
      </w:pPr>
      <w:r w:rsidRPr="00AE03CB">
        <w:rPr>
          <w:bCs/>
        </w:rPr>
        <w:t xml:space="preserve">This </w:t>
      </w:r>
      <w:r w:rsidRPr="00AE03CB" w:rsidR="00613175">
        <w:rPr>
          <w:bCs/>
        </w:rPr>
        <w:t xml:space="preserve">renewal </w:t>
      </w:r>
      <w:r w:rsidRPr="00AE03CB">
        <w:rPr>
          <w:bCs/>
        </w:rPr>
        <w:t xml:space="preserve">includes updated data regarding the number of motor carriers subject to the </w:t>
      </w:r>
      <w:r w:rsidR="00225024">
        <w:rPr>
          <w:bCs/>
        </w:rPr>
        <w:t>Federal Motor Carrier Safety Regulations {</w:t>
      </w:r>
      <w:r w:rsidRPr="00AE03CB">
        <w:rPr>
          <w:bCs/>
        </w:rPr>
        <w:t>FMCSRs</w:t>
      </w:r>
      <w:r w:rsidR="00225024">
        <w:rPr>
          <w:bCs/>
        </w:rPr>
        <w:t>)</w:t>
      </w:r>
      <w:r w:rsidRPr="00AE03CB">
        <w:rPr>
          <w:bCs/>
        </w:rPr>
        <w:t>, vehicle counts, inspections, and other underlying data used to estimate the total burden hours. As a result</w:t>
      </w:r>
      <w:r w:rsidRPr="00AE03CB" w:rsidR="009C2BE3">
        <w:rPr>
          <w:bCs/>
        </w:rPr>
        <w:t>,</w:t>
      </w:r>
      <w:r w:rsidRPr="00AE03CB">
        <w:rPr>
          <w:bCs/>
        </w:rPr>
        <w:t xml:space="preserve"> </w:t>
      </w:r>
      <w:r w:rsidRPr="00AE03CB" w:rsidR="00DC5806">
        <w:rPr>
          <w:bCs/>
        </w:rPr>
        <w:t xml:space="preserve">as </w:t>
      </w:r>
      <w:r w:rsidRPr="00AE03CB">
        <w:rPr>
          <w:bCs/>
        </w:rPr>
        <w:t xml:space="preserve">explained in section 12, the estimated annual burden hours </w:t>
      </w:r>
      <w:r w:rsidRPr="00AE03CB" w:rsidR="00B724F2">
        <w:rPr>
          <w:bCs/>
        </w:rPr>
        <w:t xml:space="preserve">have </w:t>
      </w:r>
      <w:r w:rsidRPr="00AE03CB">
        <w:rPr>
          <w:bCs/>
        </w:rPr>
        <w:t xml:space="preserve">increased from </w:t>
      </w:r>
      <w:r w:rsidRPr="00AE03CB" w:rsidR="00613175">
        <w:rPr>
          <w:bCs/>
        </w:rPr>
        <w:t>11,389,254</w:t>
      </w:r>
      <w:r w:rsidRPr="00AE03CB" w:rsidR="00B0068B">
        <w:rPr>
          <w:bCs/>
        </w:rPr>
        <w:t xml:space="preserve"> </w:t>
      </w:r>
      <w:r w:rsidRPr="00AE03CB">
        <w:rPr>
          <w:bCs/>
        </w:rPr>
        <w:t xml:space="preserve">to 19,103,153 and the number of responses </w:t>
      </w:r>
      <w:r w:rsidRPr="00AE03CB" w:rsidR="00B724F2">
        <w:rPr>
          <w:bCs/>
        </w:rPr>
        <w:t xml:space="preserve">has </w:t>
      </w:r>
      <w:r w:rsidRPr="00AE03CB">
        <w:rPr>
          <w:bCs/>
        </w:rPr>
        <w:t xml:space="preserve">increased from </w:t>
      </w:r>
      <w:r w:rsidRPr="00AE03CB" w:rsidR="00324158">
        <w:rPr>
          <w:bCs/>
        </w:rPr>
        <w:t xml:space="preserve">290,365,605 </w:t>
      </w:r>
      <w:r w:rsidRPr="00AE03CB">
        <w:rPr>
          <w:bCs/>
        </w:rPr>
        <w:t xml:space="preserve">to </w:t>
      </w:r>
      <w:r w:rsidRPr="00AE03CB">
        <w:t>512,200,507</w:t>
      </w:r>
      <w:r w:rsidRPr="00AE03CB">
        <w:rPr>
          <w:bCs/>
        </w:rPr>
        <w:t>.</w:t>
      </w:r>
    </w:p>
    <w:p w:rsidR="008E6454" w:rsidRPr="00AE03CB" w14:paraId="2EBFE840" w14:textId="77777777">
      <w:pPr>
        <w:rPr>
          <w:b/>
        </w:rPr>
      </w:pPr>
    </w:p>
    <w:p w:rsidR="00861636" w:rsidRPr="00AE03CB" w14:paraId="62944108" w14:textId="34154334">
      <w:pPr>
        <w:rPr>
          <w:b/>
        </w:rPr>
      </w:pPr>
      <w:r w:rsidRPr="00AE03CB">
        <w:rPr>
          <w:b/>
        </w:rPr>
        <w:t>INTRODUCTION</w:t>
      </w:r>
    </w:p>
    <w:p w:rsidR="00F278E0" w:rsidRPr="00AE03CB" w14:paraId="6C8FBF19" w14:textId="77777777"/>
    <w:p w:rsidR="00AB0680" w:rsidRPr="00AE03CB" w:rsidP="002D1284" w14:paraId="61A31133" w14:textId="11D6E7D3">
      <w:r w:rsidRPr="00AE03CB">
        <w:t>The Federal Motor Carrier Safety Administration (FMCSA) submits t</w:t>
      </w:r>
      <w:r w:rsidRPr="00AE03CB" w:rsidR="00861636">
        <w:t xml:space="preserve">his </w:t>
      </w:r>
      <w:r w:rsidRPr="00AE03CB" w:rsidR="00045935">
        <w:t xml:space="preserve">supporting statement </w:t>
      </w:r>
      <w:r w:rsidRPr="00AE03CB">
        <w:t xml:space="preserve">to the Office of Management and Budget (OMB) </w:t>
      </w:r>
      <w:r w:rsidRPr="00AE03CB" w:rsidR="00754551">
        <w:t xml:space="preserve">because </w:t>
      </w:r>
      <w:bookmarkStart w:id="0" w:name="_Hlk151993819"/>
      <w:r w:rsidRPr="00AE03CB" w:rsidR="00754551">
        <w:t xml:space="preserve">the Agency </w:t>
      </w:r>
      <w:r w:rsidRPr="00AE03CB" w:rsidR="00324158">
        <w:t xml:space="preserve">updates </w:t>
      </w:r>
      <w:r w:rsidRPr="00AE03CB">
        <w:t xml:space="preserve">a </w:t>
      </w:r>
      <w:r w:rsidRPr="00AE03CB" w:rsidR="00045935">
        <w:t>current</w:t>
      </w:r>
      <w:r w:rsidRPr="00AE03CB" w:rsidR="00C271CA">
        <w:t>ly-approved</w:t>
      </w:r>
      <w:r w:rsidRPr="00AE03CB" w:rsidR="00045935">
        <w:t xml:space="preserve"> </w:t>
      </w:r>
      <w:r w:rsidRPr="00AE03CB" w:rsidR="00861636">
        <w:t>information collection</w:t>
      </w:r>
      <w:r w:rsidRPr="00AE03CB" w:rsidR="00C271CA">
        <w:t xml:space="preserve"> request</w:t>
      </w:r>
      <w:r w:rsidRPr="00AE03CB" w:rsidR="00861636">
        <w:t xml:space="preserve"> </w:t>
      </w:r>
      <w:r w:rsidRPr="00AE03CB" w:rsidR="00C51887">
        <w:t>(IC</w:t>
      </w:r>
      <w:r w:rsidRPr="00AE03CB" w:rsidR="00C271CA">
        <w:t>R</w:t>
      </w:r>
      <w:r w:rsidRPr="00AE03CB" w:rsidR="00C51887">
        <w:t xml:space="preserve">) </w:t>
      </w:r>
      <w:r w:rsidRPr="00AE03CB" w:rsidR="00861636">
        <w:t>titled</w:t>
      </w:r>
      <w:r w:rsidRPr="00AE03CB" w:rsidR="00743681">
        <w:t xml:space="preserve">, </w:t>
      </w:r>
      <w:r w:rsidRPr="00AE03CB" w:rsidR="00743681">
        <w:rPr>
          <w:i/>
        </w:rPr>
        <w:t>“</w:t>
      </w:r>
      <w:r w:rsidRPr="00AE03CB" w:rsidR="00861636">
        <w:rPr>
          <w:i/>
        </w:rPr>
        <w:t>Inspection, Repair and Maintenance</w:t>
      </w:r>
      <w:r w:rsidRPr="00AE03CB" w:rsidR="00045935">
        <w:rPr>
          <w:i/>
        </w:rPr>
        <w:t>,</w:t>
      </w:r>
      <w:r w:rsidRPr="00AE03CB" w:rsidR="006638BD">
        <w:rPr>
          <w:i/>
        </w:rPr>
        <w:t>”</w:t>
      </w:r>
      <w:r w:rsidRPr="00AE03CB" w:rsidR="00861636">
        <w:t xml:space="preserve"> </w:t>
      </w:r>
      <w:r w:rsidRPr="00AE03CB" w:rsidR="00045935">
        <w:t xml:space="preserve">assigned </w:t>
      </w:r>
      <w:r w:rsidRPr="00AE03CB" w:rsidR="00861636">
        <w:t xml:space="preserve">OMB </w:t>
      </w:r>
      <w:r w:rsidRPr="00AE03CB" w:rsidR="004608D9">
        <w:t xml:space="preserve">Control </w:t>
      </w:r>
      <w:r w:rsidRPr="00AE03CB" w:rsidR="00861636">
        <w:t xml:space="preserve">Number </w:t>
      </w:r>
      <w:r w:rsidRPr="00AE03CB" w:rsidR="00121C83">
        <w:t>2126</w:t>
      </w:r>
      <w:r w:rsidRPr="00AE03CB" w:rsidR="00861636">
        <w:t>-</w:t>
      </w:r>
      <w:r w:rsidRPr="00AE03CB" w:rsidR="00121C83">
        <w:t>0003</w:t>
      </w:r>
      <w:r w:rsidRPr="00AE03CB">
        <w:t>.</w:t>
      </w:r>
      <w:r w:rsidRPr="00AE03CB" w:rsidR="00055C11">
        <w:t xml:space="preserve"> </w:t>
      </w:r>
      <w:bookmarkEnd w:id="0"/>
      <w:r w:rsidRPr="00AE03CB">
        <w:t xml:space="preserve">This ICR is currently scheduled to expire on </w:t>
      </w:r>
      <w:r w:rsidRPr="00AE03CB" w:rsidR="00121C83">
        <w:t>December 31</w:t>
      </w:r>
      <w:r w:rsidRPr="00AE03CB">
        <w:t>, 20</w:t>
      </w:r>
      <w:r w:rsidRPr="00AE03CB" w:rsidR="001324D6">
        <w:t>23</w:t>
      </w:r>
      <w:r w:rsidRPr="00AE03CB">
        <w:t>.</w:t>
      </w:r>
    </w:p>
    <w:p w:rsidR="00490E40" w:rsidRPr="00AE03CB" w14:paraId="47D7B9C1" w14:textId="77777777"/>
    <w:p w:rsidR="00F278E0" w:rsidRPr="00AE03CB" w14:paraId="39FDEDFE" w14:textId="77777777">
      <w:pPr>
        <w:rPr>
          <w:b/>
        </w:rPr>
      </w:pPr>
      <w:r w:rsidRPr="00AE03CB">
        <w:rPr>
          <w:b/>
          <w:u w:val="single"/>
        </w:rPr>
        <w:t>Part A.   Justification</w:t>
      </w:r>
      <w:r w:rsidRPr="00AE03CB">
        <w:rPr>
          <w:b/>
        </w:rPr>
        <w:t>.</w:t>
      </w:r>
    </w:p>
    <w:p w:rsidR="00F278E0" w:rsidRPr="00AE03CB" w14:paraId="5D9FEAAF" w14:textId="77777777">
      <w:pPr>
        <w:rPr>
          <w:b/>
        </w:rPr>
      </w:pPr>
    </w:p>
    <w:p w:rsidR="00861636" w:rsidRPr="00AE03CB" w14:paraId="5AFB2B5E" w14:textId="77777777">
      <w:pPr>
        <w:rPr>
          <w:b/>
          <w:bCs/>
        </w:rPr>
      </w:pPr>
      <w:r w:rsidRPr="00AE03CB">
        <w:rPr>
          <w:b/>
          <w:bCs/>
        </w:rPr>
        <w:t xml:space="preserve">1. </w:t>
      </w:r>
      <w:r w:rsidRPr="00AE03CB" w:rsidR="00BA3DB8">
        <w:rPr>
          <w:b/>
          <w:bCs/>
        </w:rPr>
        <w:t xml:space="preserve"> </w:t>
      </w:r>
      <w:r w:rsidRPr="00AE03CB">
        <w:rPr>
          <w:b/>
          <w:bCs/>
        </w:rPr>
        <w:t>Circumstances that make collection of information necessary:</w:t>
      </w:r>
    </w:p>
    <w:p w:rsidR="000D1DA6" w:rsidRPr="00AE03CB" w14:paraId="75B39030" w14:textId="77777777"/>
    <w:p w:rsidR="000D1DA6" w:rsidRPr="00AE03CB" w:rsidP="000D1DA6" w14:paraId="04AF7C06" w14:textId="25CF151E">
      <w:r w:rsidRPr="00AE03CB">
        <w:t>This information collection supports DOT</w:t>
      </w:r>
      <w:r w:rsidRPr="00AE03CB" w:rsidR="00393994">
        <w:t>’s</w:t>
      </w:r>
      <w:r w:rsidRPr="00AE03CB" w:rsidR="00D836EA">
        <w:t xml:space="preserve"> </w:t>
      </w:r>
      <w:r w:rsidRPr="00AE03CB">
        <w:t xml:space="preserve">strategic goal of safety. The information collection ensures that motor carriers have adequate records to document the inspection, repair, and maintenance of their CMVs, and to ensure that adequate measures are taken to </w:t>
      </w:r>
      <w:r w:rsidRPr="00AE03CB">
        <w:t>keep their CMVs in safe and proper operating condition at all times</w:t>
      </w:r>
      <w:r w:rsidRPr="00AE03CB">
        <w:t>. Compliance with the inspection, repair, and maintenance regulations helps to reduce the likelihood of accidents attributable, in whole or in part, to the mechanical condition of the CMV.</w:t>
      </w:r>
    </w:p>
    <w:p w:rsidR="000D1DA6" w:rsidRPr="00AE03CB" w:rsidP="000D1DA6" w14:paraId="5B35ABF3" w14:textId="77777777"/>
    <w:p w:rsidR="00861636" w:rsidRPr="00AE03CB" w14:paraId="351264D7" w14:textId="77777777">
      <w:pPr>
        <w:rPr>
          <w:b/>
          <w:bCs/>
        </w:rPr>
      </w:pPr>
      <w:r w:rsidRPr="00AE03CB">
        <w:rPr>
          <w:b/>
          <w:bCs/>
        </w:rPr>
        <w:t xml:space="preserve">2. </w:t>
      </w:r>
      <w:r w:rsidRPr="00AE03CB" w:rsidR="00BA3DB8">
        <w:rPr>
          <w:b/>
          <w:bCs/>
        </w:rPr>
        <w:t xml:space="preserve"> </w:t>
      </w:r>
      <w:r w:rsidRPr="00AE03CB">
        <w:rPr>
          <w:b/>
          <w:bCs/>
        </w:rPr>
        <w:t>How, by whom, and for what purpose is the information used:</w:t>
      </w:r>
    </w:p>
    <w:p w:rsidR="00861636" w:rsidRPr="00AE03CB" w14:paraId="1DB36499" w14:textId="77777777"/>
    <w:p w:rsidR="00861636" w:rsidRPr="00AE03CB" w14:paraId="062708EB" w14:textId="5E7C51B2">
      <w:r w:rsidRPr="00AE03CB">
        <w:t xml:space="preserve">The information is used by the FMCSA and State officials during compliance and enforcement activities to verify that a motor carrier (and, </w:t>
      </w:r>
      <w:r w:rsidRPr="00AE03CB" w:rsidR="00D00578">
        <w:t xml:space="preserve">for </w:t>
      </w:r>
      <w:r w:rsidR="007B28CE">
        <w:t>intermodal equipment {</w:t>
      </w:r>
      <w:r w:rsidRPr="00AE03CB" w:rsidR="009534BA">
        <w:t>IME</w:t>
      </w:r>
      <w:r w:rsidR="007B28CE">
        <w:t>}</w:t>
      </w:r>
      <w:r w:rsidRPr="00AE03CB">
        <w:t xml:space="preserve">, an </w:t>
      </w:r>
      <w:r w:rsidR="007B28CE">
        <w:t>intermodal equipment provider (</w:t>
      </w:r>
      <w:r w:rsidRPr="00AE03CB" w:rsidR="00BA2B62">
        <w:t>IEP</w:t>
      </w:r>
      <w:r w:rsidR="007B28CE">
        <w:t>)</w:t>
      </w:r>
      <w:r w:rsidRPr="00AE03CB">
        <w:t>) has established an inspection, repair, and maintenance program for its equipment which meets the standards in part 396. During these activities, FMCSA and State officials and representatives examine the information to determine whether the motor carrier systematically inspects, repairs, and maintains</w:t>
      </w:r>
      <w:r w:rsidRPr="00AE03CB" w:rsidR="00BB5B79">
        <w:t xml:space="preserve"> </w:t>
      </w:r>
      <w:r w:rsidRPr="00AE03CB">
        <w:t>all CMVs subject to its control. The systematic program must include routine inspections and maintenance</w:t>
      </w:r>
      <w:r w:rsidRPr="00AE03CB" w:rsidR="008F3274">
        <w:t xml:space="preserve">. The program must also include </w:t>
      </w:r>
      <w:r w:rsidRPr="00AE03CB">
        <w:t>report</w:t>
      </w:r>
      <w:r w:rsidRPr="00AE03CB" w:rsidR="008F3274">
        <w:t xml:space="preserve">s </w:t>
      </w:r>
      <w:r w:rsidRPr="00AE03CB">
        <w:t>of vehicle defects by drivers, thorough inspections at least once per year by qualified individuals, and performance of work on brakes by qualified employees.</w:t>
      </w:r>
    </w:p>
    <w:p w:rsidR="00861636" w:rsidRPr="00AE03CB" w14:paraId="228DCFDA" w14:textId="77777777"/>
    <w:p w:rsidR="00861636" w:rsidRPr="00AE03CB" w14:paraId="356BA5AE" w14:textId="60EDD308">
      <w:r w:rsidRPr="00AE03CB">
        <w:t xml:space="preserve">It is generally recognized that there is a relationship between inspection, repair, and maintenance practices for CMVs and </w:t>
      </w:r>
      <w:r w:rsidRPr="00AE03CB">
        <w:t>defect-related</w:t>
      </w:r>
      <w:r w:rsidRPr="00AE03CB">
        <w:t xml:space="preserve"> CMV accidents. CMVs are frequently operated </w:t>
      </w:r>
      <w:r w:rsidRPr="00AE03CB">
        <w:t>in excess of</w:t>
      </w:r>
      <w:r w:rsidRPr="00AE03CB">
        <w:t xml:space="preserve"> 100,000 miles annually. Safety professionals, enforcement officials</w:t>
      </w:r>
      <w:r w:rsidRPr="00AE03CB" w:rsidR="00042272">
        <w:t xml:space="preserve"> and personnel</w:t>
      </w:r>
      <w:r w:rsidRPr="00AE03CB">
        <w:t xml:space="preserve">, and employees in the trucking and motorcoach industries recognize </w:t>
      </w:r>
      <w:r w:rsidRPr="00AE03CB" w:rsidR="00042272">
        <w:t xml:space="preserve">that </w:t>
      </w:r>
      <w:r w:rsidRPr="00AE03CB">
        <w:t>document</w:t>
      </w:r>
      <w:r w:rsidRPr="00AE03CB" w:rsidR="00042272">
        <w:t xml:space="preserve">ing </w:t>
      </w:r>
      <w:r w:rsidRPr="00AE03CB">
        <w:t xml:space="preserve">CMV inspection, repair, and maintenance </w:t>
      </w:r>
      <w:r w:rsidRPr="00AE03CB" w:rsidR="00042272">
        <w:t xml:space="preserve">is </w:t>
      </w:r>
      <w:r w:rsidRPr="00AE03CB">
        <w:t>an important activity to the furtherance of highway safety. These records are also critically important in determining if a motor carrier's maintenance practices were causal factors in an accident.</w:t>
      </w:r>
    </w:p>
    <w:p w:rsidR="00C90FAD" w:rsidRPr="00AE03CB" w14:paraId="7DBFC29F" w14:textId="77777777">
      <w:pPr>
        <w:rPr>
          <w:b/>
          <w:bCs/>
        </w:rPr>
      </w:pPr>
    </w:p>
    <w:p w:rsidR="00861636" w:rsidRPr="00AE03CB" w14:paraId="409A59BA" w14:textId="77777777">
      <w:pPr>
        <w:rPr>
          <w:b/>
          <w:bCs/>
        </w:rPr>
      </w:pPr>
      <w:r w:rsidRPr="00AE03CB">
        <w:rPr>
          <w:b/>
          <w:bCs/>
        </w:rPr>
        <w:t xml:space="preserve">3. </w:t>
      </w:r>
      <w:r w:rsidRPr="00AE03CB" w:rsidR="00BA3DB8">
        <w:rPr>
          <w:b/>
          <w:bCs/>
        </w:rPr>
        <w:t xml:space="preserve"> </w:t>
      </w:r>
      <w:r w:rsidRPr="00AE03CB">
        <w:rPr>
          <w:b/>
          <w:bCs/>
        </w:rPr>
        <w:t>Extent of automated information collection:</w:t>
      </w:r>
    </w:p>
    <w:p w:rsidR="00861636" w:rsidRPr="00AE03CB" w14:paraId="7C711A18" w14:textId="77777777"/>
    <w:p w:rsidR="00861636" w:rsidRPr="00AE03CB" w14:paraId="1A030FA5" w14:textId="7A5E921E">
      <w:r w:rsidRPr="00AE03CB">
        <w:t>FMCSA does not require inspection, repair</w:t>
      </w:r>
      <w:r w:rsidRPr="00AE03CB" w:rsidR="0011770A">
        <w:t>,</w:t>
      </w:r>
      <w:r w:rsidRPr="00AE03CB">
        <w:t xml:space="preserve"> and maintenance information to be submitted to the agency. Motor carriers and</w:t>
      </w:r>
      <w:r w:rsidRPr="00AE03CB" w:rsidR="00393677">
        <w:t xml:space="preserve"> </w:t>
      </w:r>
      <w:r w:rsidRPr="00AE03CB" w:rsidR="00BA2B62">
        <w:t>IEPs</w:t>
      </w:r>
      <w:r w:rsidRPr="00AE03CB">
        <w:t xml:space="preserve"> are required to maintain the </w:t>
      </w:r>
      <w:r w:rsidRPr="00AE03CB" w:rsidR="00042272">
        <w:t xml:space="preserve">equipment </w:t>
      </w:r>
      <w:r w:rsidRPr="00AE03CB">
        <w:t xml:space="preserve">information at their facilities and to make the information available if requested during a compliance review or investigation. All records and documents required to be maintained may be </w:t>
      </w:r>
      <w:r w:rsidRPr="00AE03CB" w:rsidR="000900C4">
        <w:t xml:space="preserve">electronically imaged and those records </w:t>
      </w:r>
      <w:r w:rsidRPr="00AE03CB">
        <w:t xml:space="preserve">retained in lieu of the original record for the required retention period. Also, </w:t>
      </w:r>
      <w:r w:rsidRPr="00AE03CB" w:rsidR="000900C4">
        <w:t xml:space="preserve">other </w:t>
      </w:r>
      <w:r w:rsidRPr="00AE03CB">
        <w:t>records may be maintained in an electronic format provided the motor carrier can produce the information required by the regulations</w:t>
      </w:r>
      <w:r w:rsidRPr="00AE03CB" w:rsidR="000D1DA6">
        <w:t xml:space="preserve"> (January 4, 2011; 76 FR 411)</w:t>
      </w:r>
      <w:r w:rsidRPr="00AE03CB">
        <w:t xml:space="preserve">. Although 100% of the information could theoretically be collected electronically, FMCSA believes that only 5% is </w:t>
      </w:r>
      <w:r w:rsidRPr="00AE03CB" w:rsidR="0011770A">
        <w:t>collected</w:t>
      </w:r>
      <w:r w:rsidRPr="00AE03CB">
        <w:t xml:space="preserve"> electronically. </w:t>
      </w:r>
      <w:r w:rsidRPr="00AE03CB" w:rsidR="00042272">
        <w:t>Zero percent (</w:t>
      </w:r>
      <w:r w:rsidRPr="00AE03CB">
        <w:t>0%</w:t>
      </w:r>
      <w:r w:rsidRPr="00AE03CB" w:rsidR="00042272">
        <w:t>)</w:t>
      </w:r>
      <w:r w:rsidRPr="00AE03CB">
        <w:t xml:space="preserve"> of the information is submitted to the </w:t>
      </w:r>
      <w:r w:rsidRPr="00AE03CB" w:rsidR="006917C4">
        <w:t>FMCSA</w:t>
      </w:r>
      <w:r w:rsidRPr="00AE03CB">
        <w:t>.</w:t>
      </w:r>
    </w:p>
    <w:p w:rsidR="000D1DA6" w:rsidRPr="00AE03CB" w14:paraId="027BE96A" w14:textId="77777777">
      <w:pPr>
        <w:rPr>
          <w:b/>
          <w:bCs/>
        </w:rPr>
      </w:pPr>
    </w:p>
    <w:p w:rsidR="00861636" w:rsidRPr="00AE03CB" w14:paraId="66B62B06" w14:textId="77777777">
      <w:pPr>
        <w:rPr>
          <w:b/>
          <w:bCs/>
        </w:rPr>
      </w:pPr>
      <w:r w:rsidRPr="00AE03CB">
        <w:rPr>
          <w:b/>
          <w:bCs/>
        </w:rPr>
        <w:t xml:space="preserve">4. </w:t>
      </w:r>
      <w:r w:rsidRPr="00AE03CB" w:rsidR="00BA3DB8">
        <w:rPr>
          <w:b/>
          <w:bCs/>
        </w:rPr>
        <w:t xml:space="preserve"> </w:t>
      </w:r>
      <w:r w:rsidRPr="00AE03CB">
        <w:rPr>
          <w:b/>
          <w:bCs/>
        </w:rPr>
        <w:t>Efforts to identify duplication:</w:t>
      </w:r>
    </w:p>
    <w:p w:rsidR="00861636" w:rsidRPr="00AE03CB" w14:paraId="759D62C4" w14:textId="77777777"/>
    <w:p w:rsidR="00861636" w:rsidRPr="00AE03CB" w14:paraId="31E2E507" w14:textId="5C6D6655">
      <w:r w:rsidRPr="00AE03CB">
        <w:t xml:space="preserve">FMCSA has identified periodic inspection requirements promulgated by other agencies. </w:t>
      </w:r>
      <w:r w:rsidRPr="00AE03CB" w:rsidR="009A0132">
        <w:t xml:space="preserve">As of </w:t>
      </w:r>
      <w:r w:rsidRPr="00AE03CB" w:rsidR="00510578">
        <w:t>June</w:t>
      </w:r>
      <w:r w:rsidRPr="00AE03CB" w:rsidR="003A4F23">
        <w:t xml:space="preserve"> </w:t>
      </w:r>
      <w:r w:rsidRPr="00AE03CB" w:rsidR="00F062B0">
        <w:t>20</w:t>
      </w:r>
      <w:r w:rsidRPr="00AE03CB" w:rsidR="00510578">
        <w:t>23</w:t>
      </w:r>
      <w:r w:rsidRPr="00AE03CB" w:rsidR="009A0132">
        <w:t>, p</w:t>
      </w:r>
      <w:r w:rsidRPr="00AE03CB">
        <w:t>eriodic inspection programs of</w:t>
      </w:r>
      <w:r w:rsidRPr="00AE03CB" w:rsidR="003A4F23">
        <w:t xml:space="preserve"> 22 States, the District of Columbia, the Alabama Liquefied Petroleum Gas Board, 10 Canadian Provinces, one Canadian Territory, and </w:t>
      </w:r>
      <w:r w:rsidRPr="00AE03CB" w:rsidR="009D1D43">
        <w:t>Mexic</w:t>
      </w:r>
      <w:r w:rsidRPr="00AE03CB" w:rsidR="003A4F23">
        <w:t>o</w:t>
      </w:r>
      <w:r w:rsidRPr="00AE03CB">
        <w:t xml:space="preserve"> were identified as comparable to, or as effective as, the Federal periodic inspection requirements. </w:t>
      </w:r>
      <w:r w:rsidRPr="00AE03CB">
        <w:t xml:space="preserve">Because they are comparable to the Federal requirements, </w:t>
      </w:r>
      <w:r w:rsidRPr="00AE03CB" w:rsidR="00333559">
        <w:t xml:space="preserve">as explained in section 12 below, </w:t>
      </w:r>
      <w:r w:rsidRPr="00AE03CB">
        <w:t xml:space="preserve">the FMCSA’s </w:t>
      </w:r>
      <w:r w:rsidRPr="00AE03CB">
        <w:t xml:space="preserve">periodic inspection and the related recordkeeping are not required for motor carriers that comply with these </w:t>
      </w:r>
      <w:r w:rsidRPr="00AE03CB">
        <w:t>equivalent periodic inspection programs. FMCSA is not aware of any other duplicative standards or recordkeeping requirements that apply to motor carriers.</w:t>
      </w:r>
    </w:p>
    <w:p w:rsidR="00861636" w:rsidRPr="00AE03CB" w14:paraId="04F68525" w14:textId="0A408D53">
      <w:r w:rsidRPr="00AE03CB">
        <w:t xml:space="preserve">Concerning the </w:t>
      </w:r>
      <w:r w:rsidRPr="00AE03CB" w:rsidR="00FD6A93">
        <w:t xml:space="preserve">agency </w:t>
      </w:r>
      <w:r w:rsidRPr="00AE03CB">
        <w:t xml:space="preserve">regulations for </w:t>
      </w:r>
      <w:r w:rsidRPr="00AE03CB" w:rsidR="00BA2B62">
        <w:t>IEP</w:t>
      </w:r>
      <w:r w:rsidR="00423496">
        <w:t>s</w:t>
      </w:r>
      <w:r w:rsidRPr="00AE03CB">
        <w:t>, FMCSA is aware of one State</w:t>
      </w:r>
      <w:r w:rsidRPr="00AE03CB" w:rsidR="00FD6A93">
        <w:t xml:space="preserve"> only</w:t>
      </w:r>
      <w:r w:rsidRPr="00AE03CB">
        <w:t xml:space="preserve"> – California – that actively regulates </w:t>
      </w:r>
      <w:r w:rsidRPr="00AE03CB" w:rsidR="00042272">
        <w:t xml:space="preserve">the </w:t>
      </w:r>
      <w:r w:rsidRPr="00AE03CB">
        <w:t xml:space="preserve">inspection, repair, and maintenance of </w:t>
      </w:r>
      <w:r w:rsidRPr="00AE03CB" w:rsidR="009534BA">
        <w:t>IME</w:t>
      </w:r>
      <w:r w:rsidRPr="00AE03CB">
        <w:t>, although four other States</w:t>
      </w:r>
      <w:r w:rsidRPr="00AE03CB" w:rsidR="00192AD2">
        <w:t xml:space="preserve"> </w:t>
      </w:r>
      <w:r w:rsidRPr="00AE03CB" w:rsidR="0091000D">
        <w:t xml:space="preserve">— </w:t>
      </w:r>
      <w:r w:rsidRPr="00AE03CB" w:rsidR="009B016C">
        <w:t xml:space="preserve">Illinois, Louisiana, </w:t>
      </w:r>
      <w:r w:rsidRPr="00AE03CB" w:rsidR="00192AD2">
        <w:t xml:space="preserve">New Jersey, </w:t>
      </w:r>
      <w:r w:rsidRPr="00AE03CB" w:rsidR="009B016C">
        <w:t xml:space="preserve">and </w:t>
      </w:r>
      <w:r w:rsidRPr="00AE03CB" w:rsidR="00192AD2">
        <w:t>South Carolina</w:t>
      </w:r>
      <w:r w:rsidRPr="00AE03CB" w:rsidR="0091000D">
        <w:t xml:space="preserve"> — </w:t>
      </w:r>
      <w:r w:rsidRPr="00AE03CB">
        <w:t xml:space="preserve">have regulations on the subject.  </w:t>
      </w:r>
    </w:p>
    <w:p w:rsidR="00766749" w:rsidRPr="00AE03CB" w14:paraId="005E8D60" w14:textId="77777777"/>
    <w:p w:rsidR="00861636" w:rsidRPr="00AE03CB" w14:paraId="46624071" w14:textId="77777777">
      <w:r w:rsidRPr="00AE03CB">
        <w:rPr>
          <w:b/>
          <w:bCs/>
        </w:rPr>
        <w:t xml:space="preserve">5. </w:t>
      </w:r>
      <w:r w:rsidRPr="00AE03CB" w:rsidR="00BA3DB8">
        <w:rPr>
          <w:b/>
          <w:bCs/>
        </w:rPr>
        <w:t xml:space="preserve"> </w:t>
      </w:r>
      <w:r w:rsidRPr="00AE03CB">
        <w:rPr>
          <w:b/>
          <w:bCs/>
        </w:rPr>
        <w:t>Efforts to minimize the burden on small businesses</w:t>
      </w:r>
      <w:r w:rsidRPr="00AE03CB">
        <w:t>:</w:t>
      </w:r>
    </w:p>
    <w:p w:rsidR="00861636" w:rsidRPr="00AE03CB" w14:paraId="424EFB1B" w14:textId="77777777"/>
    <w:p w:rsidR="00DF3254" w:rsidRPr="00AE03CB" w14:paraId="6B040AAE" w14:textId="11233CDA">
      <w:r w:rsidRPr="00AE03CB">
        <w:t>Currently, t</w:t>
      </w:r>
      <w:r w:rsidRPr="00AE03CB" w:rsidR="00861636">
        <w:t xml:space="preserve">he recordkeeping requirements in 49 CFR part 396 are applicable only to motor carriers </w:t>
      </w:r>
      <w:r w:rsidRPr="00AE03CB" w:rsidR="00417B63">
        <w:t>subject to the FMCSRs (49 CFR 390.3)</w:t>
      </w:r>
      <w:r w:rsidRPr="00AE03CB" w:rsidR="00971014">
        <w:t xml:space="preserve"> </w:t>
      </w:r>
      <w:r w:rsidRPr="00AE03CB" w:rsidR="00417B63">
        <w:t xml:space="preserve">(Attachment </w:t>
      </w:r>
      <w:r w:rsidRPr="00AE03CB" w:rsidR="008D3EF2">
        <w:t>Q</w:t>
      </w:r>
      <w:r w:rsidRPr="00AE03CB" w:rsidR="00417B63">
        <w:t xml:space="preserve">) and </w:t>
      </w:r>
      <w:r w:rsidRPr="00AE03CB" w:rsidR="00861636">
        <w:t xml:space="preserve">operating CMVs (as defined in 49 CFR </w:t>
      </w:r>
      <w:r w:rsidRPr="00AE03CB" w:rsidR="00E553FD">
        <w:t xml:space="preserve">§ </w:t>
      </w:r>
      <w:r w:rsidRPr="00AE03CB" w:rsidR="00861636">
        <w:t>390.5)</w:t>
      </w:r>
      <w:r w:rsidRPr="00AE03CB" w:rsidR="009721FB">
        <w:t xml:space="preserve"> </w:t>
      </w:r>
      <w:r w:rsidRPr="00AE03CB" w:rsidR="008C6F0B">
        <w:t xml:space="preserve">(Attachment </w:t>
      </w:r>
      <w:r w:rsidRPr="00AE03CB" w:rsidR="008D3EF2">
        <w:t>R</w:t>
      </w:r>
      <w:r w:rsidRPr="00AE03CB" w:rsidR="008C6F0B">
        <w:t>)</w:t>
      </w:r>
      <w:r w:rsidRPr="00AE03CB" w:rsidR="00861636">
        <w:t xml:space="preserve">. The </w:t>
      </w:r>
      <w:r w:rsidRPr="00AE03CB" w:rsidR="00213535">
        <w:t xml:space="preserve">Agency </w:t>
      </w:r>
      <w:r w:rsidRPr="00AE03CB" w:rsidR="00861636">
        <w:t xml:space="preserve">estimates that there are </w:t>
      </w:r>
      <w:r w:rsidRPr="00AE03CB" w:rsidR="0025753E">
        <w:t>757,652</w:t>
      </w:r>
      <w:r w:rsidRPr="00AE03CB" w:rsidR="00296D05">
        <w:t xml:space="preserve"> </w:t>
      </w:r>
      <w:r w:rsidRPr="00AE03CB" w:rsidR="00861636">
        <w:t>motor carriers subject to the FMCSRs</w:t>
      </w:r>
      <w:r w:rsidRPr="00AE03CB" w:rsidR="009D1D43">
        <w:t xml:space="preserve">, including </w:t>
      </w:r>
      <w:r w:rsidRPr="00AE03CB" w:rsidR="0025753E">
        <w:t>708</w:t>
      </w:r>
      <w:r w:rsidRPr="00AE03CB" w:rsidR="009D1D43">
        <w:t>,</w:t>
      </w:r>
      <w:r w:rsidRPr="00AE03CB" w:rsidR="0025753E">
        <w:t>941</w:t>
      </w:r>
      <w:r w:rsidRPr="00AE03CB" w:rsidR="009D1D43">
        <w:t xml:space="preserve"> interstate freight carriers, 1</w:t>
      </w:r>
      <w:r w:rsidRPr="00AE03CB" w:rsidR="0025753E">
        <w:t>0</w:t>
      </w:r>
      <w:r w:rsidRPr="00AE03CB" w:rsidR="009D1D43">
        <w:t>,</w:t>
      </w:r>
      <w:r w:rsidRPr="00AE03CB" w:rsidR="0025753E">
        <w:t>268</w:t>
      </w:r>
      <w:r w:rsidRPr="00AE03CB" w:rsidR="009D1D43">
        <w:t xml:space="preserve"> interstate passenger carriers, and </w:t>
      </w:r>
      <w:r w:rsidRPr="00AE03CB" w:rsidR="0025753E">
        <w:t>3</w:t>
      </w:r>
      <w:r w:rsidRPr="00AE03CB" w:rsidR="009D1D43">
        <w:t>8,</w:t>
      </w:r>
      <w:r w:rsidRPr="00AE03CB" w:rsidR="0025753E">
        <w:t>443</w:t>
      </w:r>
      <w:r w:rsidRPr="00AE03CB" w:rsidR="009D1D43">
        <w:t xml:space="preserve"> intrastate hazardous materials</w:t>
      </w:r>
      <w:r w:rsidRPr="00AE03CB" w:rsidR="00E56566">
        <w:t xml:space="preserve"> (HM)</w:t>
      </w:r>
      <w:r w:rsidRPr="00AE03CB" w:rsidR="009D1D43">
        <w:t xml:space="preserve"> carriers</w:t>
      </w:r>
      <w:r w:rsidRPr="00AE03CB" w:rsidR="00861636">
        <w:t>.</w:t>
      </w:r>
      <w:r>
        <w:rPr>
          <w:rStyle w:val="FootnoteReference"/>
        </w:rPr>
        <w:footnoteReference w:id="2"/>
      </w:r>
      <w:r w:rsidRPr="00AE03CB" w:rsidR="00296D05">
        <w:rPr>
          <w:rStyle w:val="FootnoteReference"/>
        </w:rPr>
        <w:t xml:space="preserve"> </w:t>
      </w:r>
      <w:r w:rsidRPr="00AE03CB" w:rsidR="00861636">
        <w:t>Each of these motor carriers operate vehicles that</w:t>
      </w:r>
      <w:r w:rsidRPr="00AE03CB">
        <w:t>:</w:t>
      </w:r>
      <w:r w:rsidRPr="00AE03CB" w:rsidR="00861636">
        <w:t xml:space="preserve"> (1) have a gross vehicle weight rating or gross weight of 10,001 pounds or more, or </w:t>
      </w:r>
      <w:r w:rsidRPr="00AE03CB" w:rsidR="004F6F1F">
        <w:t xml:space="preserve">(2) are designed or used to transport more than 8 passengers (including the driver) for compensation, or </w:t>
      </w:r>
      <w:r w:rsidRPr="00AE03CB" w:rsidR="00861636">
        <w:t>(</w:t>
      </w:r>
      <w:r w:rsidRPr="00AE03CB" w:rsidR="004F6F1F">
        <w:t>3</w:t>
      </w:r>
      <w:r w:rsidRPr="00AE03CB" w:rsidR="00861636">
        <w:t xml:space="preserve">) are designed or used to transport </w:t>
      </w:r>
      <w:r w:rsidRPr="00AE03CB" w:rsidR="009721FB">
        <w:t>more than 15</w:t>
      </w:r>
      <w:r w:rsidRPr="00AE03CB" w:rsidR="00861636">
        <w:t xml:space="preserve"> passengers (including the driver)</w:t>
      </w:r>
      <w:r w:rsidRPr="00AE03CB" w:rsidR="009721FB">
        <w:t>, and is not used to transport passengers for compensation</w:t>
      </w:r>
      <w:r w:rsidRPr="00AE03CB" w:rsidR="00861636">
        <w:t>, or (</w:t>
      </w:r>
      <w:r w:rsidRPr="00AE03CB" w:rsidR="004F6F1F">
        <w:t>4</w:t>
      </w:r>
      <w:r w:rsidRPr="00AE03CB" w:rsidR="00861636">
        <w:t>) are used to transport hazardous materials in a quantity requiring placarding of the vehicle. Inspection, repair, and maintenance records, therefore, are not required for vehicles with a gross vehicle weight rating or gross vehicle weight of 10,000 pounds or less (except trailers used in vehicle combinations with gross combination weight ratings of 10,001 or more pounds)</w:t>
      </w:r>
      <w:r w:rsidRPr="00AE03CB" w:rsidR="001A07BB">
        <w:t>;</w:t>
      </w:r>
      <w:r w:rsidRPr="00AE03CB" w:rsidR="00861636">
        <w:t xml:space="preserve"> vehicles designed </w:t>
      </w:r>
      <w:r w:rsidRPr="00AE03CB" w:rsidR="001A07BB">
        <w:t xml:space="preserve">or used </w:t>
      </w:r>
      <w:r w:rsidRPr="00AE03CB" w:rsidR="00861636">
        <w:t xml:space="preserve">to transport </w:t>
      </w:r>
      <w:r w:rsidRPr="00AE03CB" w:rsidR="001A07BB">
        <w:t>between 9 and 15 passengers (including the driver) not for direct compensation;</w:t>
      </w:r>
      <w:r w:rsidRPr="00AE03CB" w:rsidR="00861636">
        <w:t xml:space="preserve"> and vehicles transporting non-placarded quantities of hazardous materials.</w:t>
      </w:r>
    </w:p>
    <w:p w:rsidR="00DF3254" w:rsidRPr="00AE03CB" w14:paraId="151AA72E" w14:textId="77777777"/>
    <w:p w:rsidR="00861636" w:rsidRPr="00AE03CB" w14:paraId="3A8C4DD4" w14:textId="77777777">
      <w:r w:rsidRPr="00AE03CB">
        <w:t xml:space="preserve">FMCSA estimates that 99.1 percent of regulated motor carriers are small businesses according to the Small Business </w:t>
      </w:r>
      <w:r w:rsidRPr="00AE03CB" w:rsidR="00C955A3">
        <w:t xml:space="preserve">Administration </w:t>
      </w:r>
      <w:r w:rsidRPr="00AE03CB">
        <w:t>size standards.</w:t>
      </w:r>
      <w:r>
        <w:rPr>
          <w:rStyle w:val="FootnoteReference"/>
        </w:rPr>
        <w:footnoteReference w:id="3"/>
      </w:r>
      <w:r w:rsidRPr="00AE03CB">
        <w:t xml:space="preserve">  </w:t>
      </w:r>
    </w:p>
    <w:p w:rsidR="00861636" w:rsidRPr="00AE03CB" w14:paraId="339287BF" w14:textId="77777777"/>
    <w:p w:rsidR="00FD4CCC" w14:paraId="176E7A0A" w14:textId="19663727">
      <w:r w:rsidRPr="00AE03CB">
        <w:t xml:space="preserve">There are no recordkeeping requirements for CMVs leased by motor carriers for less than 30 days. Finally, </w:t>
      </w:r>
      <w:r w:rsidRPr="00AE03CB" w:rsidR="009D0D67">
        <w:t xml:space="preserve">private motor carriers of passengers (nonbusiness), driveaway-towaway operations, and </w:t>
      </w:r>
      <w:r w:rsidRPr="00AE03CB">
        <w:t>motor carrier</w:t>
      </w:r>
      <w:r w:rsidRPr="00AE03CB" w:rsidR="001A07BB">
        <w:t>s</w:t>
      </w:r>
      <w:r w:rsidRPr="00AE03CB">
        <w:t xml:space="preserve"> operating only one CM</w:t>
      </w:r>
      <w:r w:rsidRPr="00AE03CB" w:rsidR="000B49F5">
        <w:t>V</w:t>
      </w:r>
      <w:r w:rsidRPr="00AE03CB" w:rsidR="001A07BB">
        <w:t xml:space="preserve"> are </w:t>
      </w:r>
      <w:r w:rsidRPr="00AE03CB">
        <w:t xml:space="preserve">exempt from the </w:t>
      </w:r>
      <w:r w:rsidRPr="00AE03CB" w:rsidR="009D0D67">
        <w:t>DVIR</w:t>
      </w:r>
      <w:r w:rsidRPr="00AE03CB">
        <w:t xml:space="preserve"> </w:t>
      </w:r>
      <w:r w:rsidRPr="00AE03CB">
        <w:t xml:space="preserve">requirements in 49 CFR </w:t>
      </w:r>
      <w:r w:rsidRPr="00AE03CB" w:rsidR="00E553FD">
        <w:t xml:space="preserve">§ </w:t>
      </w:r>
      <w:r w:rsidRPr="00AE03CB">
        <w:t>396.11</w:t>
      </w:r>
      <w:r w:rsidRPr="00AE03CB" w:rsidR="009C7B0A">
        <w:t>.</w:t>
      </w:r>
      <w:r w:rsidRPr="00AE03CB">
        <w:t xml:space="preserve"> </w:t>
      </w:r>
      <w:r w:rsidRPr="00AE03CB" w:rsidR="00F42302">
        <w:t xml:space="preserve">As of </w:t>
      </w:r>
      <w:r w:rsidRPr="00AE03CB" w:rsidR="00870A28">
        <w:t xml:space="preserve">December </w:t>
      </w:r>
      <w:r w:rsidRPr="00AE03CB" w:rsidR="0025753E">
        <w:t>31</w:t>
      </w:r>
      <w:r w:rsidRPr="00AE03CB" w:rsidR="00870A28">
        <w:t>, 20</w:t>
      </w:r>
      <w:r w:rsidRPr="00AE03CB" w:rsidR="0025753E">
        <w:t>21</w:t>
      </w:r>
      <w:r w:rsidRPr="00AE03CB" w:rsidR="00F42302">
        <w:t xml:space="preserve">, </w:t>
      </w:r>
      <w:r w:rsidRPr="00AE03CB">
        <w:t xml:space="preserve">MCMIS </w:t>
      </w:r>
      <w:r w:rsidRPr="00AE03CB" w:rsidR="00D77A8C">
        <w:t xml:space="preserve">lists </w:t>
      </w:r>
      <w:r w:rsidRPr="00AE03CB" w:rsidR="0025753E">
        <w:t>407</w:t>
      </w:r>
      <w:r w:rsidRPr="00AE03CB" w:rsidR="00870A28">
        <w:t>,</w:t>
      </w:r>
      <w:r w:rsidRPr="00AE03CB" w:rsidR="0025753E">
        <w:t>872</w:t>
      </w:r>
      <w:r w:rsidRPr="00AE03CB">
        <w:t xml:space="preserve"> active motor carriers that operate only one CMV.</w:t>
      </w:r>
    </w:p>
    <w:p w:rsidR="0024675A" w:rsidRPr="00AE03CB" w14:paraId="015E99AE" w14:textId="77777777"/>
    <w:p w:rsidR="00861636" w:rsidRPr="00AE03CB" w14:paraId="0716EF49" w14:textId="77777777">
      <w:r w:rsidRPr="00AE03CB">
        <w:rPr>
          <w:b/>
          <w:bCs/>
        </w:rPr>
        <w:t>6.</w:t>
      </w:r>
      <w:r w:rsidRPr="00AE03CB" w:rsidR="00BA3DB8">
        <w:rPr>
          <w:b/>
          <w:bCs/>
        </w:rPr>
        <w:t xml:space="preserve"> </w:t>
      </w:r>
      <w:r w:rsidRPr="00AE03CB">
        <w:rPr>
          <w:b/>
          <w:bCs/>
        </w:rPr>
        <w:t xml:space="preserve"> Impact of less frequent collection of information</w:t>
      </w:r>
      <w:r w:rsidRPr="00AE03CB">
        <w:t>:</w:t>
      </w:r>
    </w:p>
    <w:p w:rsidR="00861636" w:rsidRPr="00AE03CB" w14:paraId="15E68529" w14:textId="77777777"/>
    <w:p w:rsidR="00B86D8C" w:rsidRPr="00AE03CB" w14:paraId="478F2DDE" w14:textId="3C26DB44">
      <w:r w:rsidRPr="00AE03CB">
        <w:t xml:space="preserve">If the recordkeeping </w:t>
      </w:r>
      <w:r w:rsidRPr="00AE03CB" w:rsidR="00F54951">
        <w:t xml:space="preserve">activities </w:t>
      </w:r>
      <w:r w:rsidRPr="00AE03CB">
        <w:t xml:space="preserve">were required to be completed less frequently, it would greatly hinder the ability of FMCSA and State </w:t>
      </w:r>
      <w:r w:rsidRPr="00AE03CB" w:rsidR="00F54951">
        <w:t xml:space="preserve">enforcement personnel </w:t>
      </w:r>
      <w:r w:rsidRPr="00AE03CB">
        <w:t>to ascertain that CMVs are satisfactorily maintained. The timely documentation of CM</w:t>
      </w:r>
      <w:r w:rsidRPr="00AE03CB" w:rsidR="007F7670">
        <w:t>V</w:t>
      </w:r>
      <w:r w:rsidRPr="00AE03CB">
        <w:t xml:space="preserve"> inspection, repair, and maintenance enables FMCSA and State </w:t>
      </w:r>
      <w:r w:rsidRPr="00AE03CB" w:rsidR="00F54951">
        <w:t xml:space="preserve">enforcement personnel </w:t>
      </w:r>
      <w:r w:rsidRPr="00AE03CB">
        <w:t>to evaluate a motor carrier's CMV maintenance program</w:t>
      </w:r>
      <w:r w:rsidRPr="00AE03CB" w:rsidR="00F54951">
        <w:t xml:space="preserve">. FMCSA will also be able </w:t>
      </w:r>
      <w:r w:rsidRPr="00AE03CB">
        <w:t xml:space="preserve">to check the current level of regulatory compliance </w:t>
      </w:r>
      <w:r w:rsidRPr="00AE03CB" w:rsidR="00F54951">
        <w:t xml:space="preserve">of the carrier </w:t>
      </w:r>
      <w:r w:rsidRPr="00AE03CB">
        <w:t xml:space="preserve">at any point in </w:t>
      </w:r>
      <w:r w:rsidRPr="00AE03CB" w:rsidR="00F54951">
        <w:t xml:space="preserve">its </w:t>
      </w:r>
      <w:r w:rsidRPr="00AE03CB">
        <w:t xml:space="preserve">maintenance schedule or program.  </w:t>
      </w:r>
    </w:p>
    <w:p w:rsidR="00B86D8C" w:rsidRPr="00AE03CB" w14:paraId="5ADF6B6C" w14:textId="77777777"/>
    <w:p w:rsidR="00861636" w:rsidRPr="00AE03CB" w14:paraId="4828FCE7" w14:textId="77777777">
      <w:r w:rsidRPr="00AE03CB">
        <w:rPr>
          <w:b/>
          <w:bCs/>
        </w:rPr>
        <w:t xml:space="preserve">7. </w:t>
      </w:r>
      <w:r w:rsidRPr="00AE03CB" w:rsidR="00BA3DB8">
        <w:rPr>
          <w:b/>
          <w:bCs/>
        </w:rPr>
        <w:t xml:space="preserve"> </w:t>
      </w:r>
      <w:r w:rsidRPr="00AE03CB">
        <w:rPr>
          <w:b/>
          <w:bCs/>
        </w:rPr>
        <w:t>Special circumstances</w:t>
      </w:r>
      <w:r w:rsidRPr="00AE03CB">
        <w:t>:</w:t>
      </w:r>
    </w:p>
    <w:p w:rsidR="00861636" w:rsidRPr="00AE03CB" w14:paraId="76ECC865" w14:textId="77777777">
      <w:r w:rsidRPr="00AE03CB">
        <w:t>There are no special circumstances.</w:t>
      </w:r>
    </w:p>
    <w:p w:rsidR="00861636" w:rsidRPr="00AE03CB" w14:paraId="74D0B456" w14:textId="77777777"/>
    <w:p w:rsidR="00861636" w:rsidRPr="00AE03CB" w14:paraId="7E11574C" w14:textId="4917E589">
      <w:pPr>
        <w:rPr>
          <w:b/>
          <w:bCs/>
        </w:rPr>
      </w:pPr>
      <w:r w:rsidRPr="00AE03CB">
        <w:rPr>
          <w:b/>
          <w:bCs/>
        </w:rPr>
        <w:t xml:space="preserve">8. </w:t>
      </w:r>
      <w:r w:rsidRPr="00AE03CB" w:rsidR="00BA3DB8">
        <w:rPr>
          <w:b/>
          <w:bCs/>
        </w:rPr>
        <w:t xml:space="preserve"> </w:t>
      </w:r>
      <w:r w:rsidRPr="00AE03CB">
        <w:rPr>
          <w:b/>
          <w:bCs/>
        </w:rPr>
        <w:t>Compliance with 5 CFR 1320.8:</w:t>
      </w:r>
    </w:p>
    <w:p w:rsidR="00056244" w:rsidRPr="00AE03CB" w14:paraId="34CD89FE" w14:textId="77777777">
      <w:pPr>
        <w:rPr>
          <w:b/>
          <w:bCs/>
        </w:rPr>
      </w:pPr>
    </w:p>
    <w:p w:rsidR="002E713D" w:rsidRPr="00AE03CB" w:rsidP="002E713D" w14:paraId="505602EC" w14:textId="051DF856">
      <w:pPr>
        <w:pStyle w:val="BodyText"/>
      </w:pPr>
      <w:bookmarkStart w:id="1" w:name="_Hlk508202271"/>
      <w:r w:rsidRPr="00AE03CB">
        <w:t xml:space="preserve">On September 25, 2023, FMCSA published a notice in the Federal Register with a 60-day public comment period to announce this request to </w:t>
      </w:r>
      <w:r w:rsidRPr="00AE03CB" w:rsidR="00324158">
        <w:t xml:space="preserve">update </w:t>
      </w:r>
      <w:r w:rsidRPr="00AE03CB">
        <w:t xml:space="preserve">the information collection (88 FR 65764). The Agency received one comment from Whip Around in response to the notice. Whip Around </w:t>
      </w:r>
      <w:r w:rsidRPr="00AE03CB" w:rsidR="006A5C22">
        <w:t xml:space="preserve">provided </w:t>
      </w:r>
      <w:r w:rsidRPr="00AE03CB">
        <w:t xml:space="preserve">general support for the </w:t>
      </w:r>
      <w:r w:rsidRPr="00AE03CB" w:rsidR="000D795D">
        <w:t>ICR</w:t>
      </w:r>
      <w:r w:rsidRPr="00AE03CB">
        <w:t xml:space="preserve">. However, Whip Around suggested the use of electronic recordkeeping to reduce the need for frequent inspection, </w:t>
      </w:r>
      <w:r w:rsidRPr="00AE03CB" w:rsidR="00A75E58">
        <w:t>repair,</w:t>
      </w:r>
      <w:r w:rsidRPr="00AE03CB">
        <w:t xml:space="preserve"> and maintenance. </w:t>
      </w:r>
    </w:p>
    <w:p w:rsidR="002E713D" w:rsidRPr="00AE03CB" w:rsidP="002E713D" w14:paraId="23A5A992" w14:textId="77777777">
      <w:pPr>
        <w:pStyle w:val="BodyText"/>
      </w:pPr>
    </w:p>
    <w:p w:rsidR="002E713D" w:rsidRPr="00AE03CB" w:rsidP="002E713D" w14:paraId="0EBAF95F" w14:textId="1A77587E">
      <w:pPr>
        <w:pStyle w:val="BodyText"/>
      </w:pPr>
      <w:r w:rsidRPr="00AE03CB">
        <w:t xml:space="preserve">While this comment does not impact the information collection, FMCSA agrees with Whip Around's assessment that the process of creating, obtaining, and retaining documents can be improved by digitizing and automating vehicle inspection, repairs, and maintenance recordkeeping. The Agency has actively pursued this objective, evident by the amendment on December 16, 2015 (80 FR 78292). This amendment established minimum performance and design standards for electronic logging devices (ELDs) related to hours-of-service (HOS), mandating their use for drivers preparing HOS records of duty status. The amendment aims to enhance CMV safety, reduce paperwork burdens for motor carriers and drivers, and improve compliance with applicable HOS rules by promoting the use of ELDs.  </w:t>
      </w:r>
    </w:p>
    <w:p w:rsidR="00002E3F" w:rsidRPr="00AE03CB" w:rsidP="002E713D" w14:paraId="6F8A9603" w14:textId="77777777">
      <w:pPr>
        <w:pStyle w:val="BodyText"/>
      </w:pPr>
    </w:p>
    <w:p w:rsidR="002E713D" w:rsidRPr="00AE03CB" w:rsidP="002E713D" w14:paraId="35FD58A0" w14:textId="73A28974">
      <w:pPr>
        <w:pStyle w:val="BodyText"/>
      </w:pPr>
      <w:r w:rsidRPr="00AE03CB">
        <w:t xml:space="preserve">Additionally, on April 16, 2018 (83 FR 16210), FMCSA introduced amendments permitting the use of electronic records and signatures. This aligned, in part, with the Government Paperwork Elimination Act (GPEA) and the Electronic Signatures in Global and National Commerce Act (E–SIGN), as it only applies to those documents that FMCSA's regulations obligate entities or individuals to retain. The amendment also updated references to outdated recordkeeping and reporting methods throughout chapter III of subtitle B of title 49, Code of Federal Regulations (49 CFR parts 300–399) to make them technologically neutral.  </w:t>
      </w:r>
    </w:p>
    <w:p w:rsidR="002E713D" w:rsidRPr="00AE03CB" w:rsidP="002E713D" w14:paraId="3D801091" w14:textId="77777777">
      <w:pPr>
        <w:pStyle w:val="BodyText"/>
      </w:pPr>
    </w:p>
    <w:p w:rsidR="002E713D" w:rsidRPr="00AE03CB" w:rsidP="002E713D" w14:paraId="533DC4EB" w14:textId="6FE14F50">
      <w:pPr>
        <w:pStyle w:val="BodyText"/>
      </w:pPr>
      <w:r w:rsidRPr="00AE03CB">
        <w:t xml:space="preserve">FMCSA ongoing efforts include projects related to providing data electronically during </w:t>
      </w:r>
      <w:r w:rsidRPr="00AE03CB">
        <w:t xml:space="preserve">roadside inspections. One notable effort is the Operational Test of In-Motion CMV Inspections (Level VIII Inspections) in collaboration with </w:t>
      </w:r>
      <w:r w:rsidR="00225024">
        <w:t>the Commercial Vehicle Safety Alliance</w:t>
      </w:r>
      <w:r w:rsidRPr="00AE03CB">
        <w:t xml:space="preserve">, as described by Whip Around. The project’s goal is to transmit data through the vehicle’s telematics to roadside inspectors while the vehicle is in motion. </w:t>
      </w:r>
      <w:r w:rsidRPr="00AE03CB" w:rsidR="000D795D">
        <w:t>In addition to these efforts</w:t>
      </w:r>
      <w:r w:rsidRPr="00AE03CB">
        <w:t>, the Agency will continue to pursue opportunities to increase safety and reduce the burden to motor carriers and CMV drivers.</w:t>
      </w:r>
    </w:p>
    <w:p w:rsidR="002E713D" w:rsidRPr="00AE03CB" w:rsidP="002E713D" w14:paraId="1B50A5E5" w14:textId="77777777">
      <w:pPr>
        <w:pStyle w:val="BodyText"/>
        <w:rPr>
          <w:b/>
          <w:bCs/>
        </w:rPr>
      </w:pPr>
    </w:p>
    <w:p w:rsidR="00861636" w:rsidRPr="00AE03CB" w:rsidP="00056244" w14:paraId="471A6D50" w14:textId="78BBD462">
      <w:pPr>
        <w:pStyle w:val="BodyText"/>
        <w:rPr>
          <w:b/>
          <w:bCs/>
        </w:rPr>
      </w:pPr>
      <w:r w:rsidRPr="00AE03CB">
        <w:t xml:space="preserve">  </w:t>
      </w:r>
      <w:bookmarkEnd w:id="1"/>
      <w:r w:rsidRPr="00AE03CB">
        <w:rPr>
          <w:b/>
          <w:bCs/>
        </w:rPr>
        <w:t xml:space="preserve">9. </w:t>
      </w:r>
      <w:r w:rsidRPr="00AE03CB" w:rsidR="00B8062C">
        <w:rPr>
          <w:b/>
          <w:bCs/>
        </w:rPr>
        <w:t xml:space="preserve"> </w:t>
      </w:r>
      <w:r w:rsidRPr="00AE03CB">
        <w:rPr>
          <w:b/>
          <w:bCs/>
        </w:rPr>
        <w:t>Payments or gifts to respondents:</w:t>
      </w:r>
    </w:p>
    <w:p w:rsidR="00861636" w:rsidRPr="00AE03CB" w14:paraId="5BE081BC" w14:textId="77777777"/>
    <w:p w:rsidR="00861636" w:rsidRPr="00AE03CB" w14:paraId="4EDDE3CF" w14:textId="77777777">
      <w:r w:rsidRPr="00AE03CB">
        <w:t>Respondents are not provided with any payment or gift</w:t>
      </w:r>
      <w:r w:rsidRPr="00AE03CB" w:rsidR="00393994">
        <w:t>s</w:t>
      </w:r>
      <w:r w:rsidRPr="00AE03CB">
        <w:t xml:space="preserve"> for this information collection.</w:t>
      </w:r>
    </w:p>
    <w:p w:rsidR="000D1DA6" w:rsidRPr="00AE03CB" w14:paraId="31796639" w14:textId="77777777">
      <w:pPr>
        <w:rPr>
          <w:b/>
          <w:bCs/>
        </w:rPr>
      </w:pPr>
    </w:p>
    <w:p w:rsidR="00861636" w:rsidRPr="00AE03CB" w14:paraId="1953735F" w14:textId="77777777">
      <w:pPr>
        <w:rPr>
          <w:b/>
          <w:bCs/>
        </w:rPr>
      </w:pPr>
      <w:r w:rsidRPr="00AE03CB">
        <w:rPr>
          <w:b/>
          <w:bCs/>
        </w:rPr>
        <w:t xml:space="preserve">10. </w:t>
      </w:r>
      <w:r w:rsidRPr="00AE03CB" w:rsidR="00B8062C">
        <w:rPr>
          <w:b/>
          <w:bCs/>
        </w:rPr>
        <w:t xml:space="preserve"> </w:t>
      </w:r>
      <w:r w:rsidRPr="00AE03CB">
        <w:rPr>
          <w:b/>
          <w:bCs/>
        </w:rPr>
        <w:t>Assurance of confidentiality:</w:t>
      </w:r>
    </w:p>
    <w:p w:rsidR="00861636" w:rsidRPr="00AE03CB" w14:paraId="317DD51C" w14:textId="77777777"/>
    <w:p w:rsidR="00861636" w:rsidRPr="00AE03CB" w14:paraId="23F74A91" w14:textId="42B3731A">
      <w:bookmarkStart w:id="2" w:name="_Hlk141277419"/>
      <w:r w:rsidRPr="00AE03CB">
        <w:t xml:space="preserve">Most aspects of this information collection primarily involve recordkeeping requirements. The confidentiality concern does not apply to recordkeeping requirements since the motor carrier retains ownership of its records. </w:t>
      </w:r>
      <w:bookmarkEnd w:id="2"/>
    </w:p>
    <w:p w:rsidR="00D31012" w:rsidRPr="00AE03CB" w14:paraId="2CA47F17" w14:textId="77777777"/>
    <w:p w:rsidR="00861636" w:rsidRPr="00AE03CB" w14:paraId="60F4680D" w14:textId="77777777">
      <w:pPr>
        <w:rPr>
          <w:b/>
          <w:bCs/>
        </w:rPr>
      </w:pPr>
      <w:r w:rsidRPr="00AE03CB">
        <w:rPr>
          <w:b/>
          <w:bCs/>
        </w:rPr>
        <w:t xml:space="preserve">11. </w:t>
      </w:r>
      <w:r w:rsidRPr="00AE03CB" w:rsidR="00B8062C">
        <w:rPr>
          <w:b/>
          <w:bCs/>
        </w:rPr>
        <w:t xml:space="preserve"> </w:t>
      </w:r>
      <w:r w:rsidRPr="00AE03CB">
        <w:rPr>
          <w:b/>
          <w:bCs/>
        </w:rPr>
        <w:t>Justification for collection of sensitive information:</w:t>
      </w:r>
    </w:p>
    <w:p w:rsidR="00861636" w:rsidRPr="00AE03CB" w14:paraId="1B48B096" w14:textId="77777777"/>
    <w:p w:rsidR="00861636" w:rsidRPr="00AE03CB" w14:paraId="4EAB399E" w14:textId="77777777">
      <w:r w:rsidRPr="00AE03CB">
        <w:t>There are no questions of a sensitive nature.</w:t>
      </w:r>
    </w:p>
    <w:p w:rsidR="00861636" w:rsidRPr="00AE03CB" w14:paraId="19CE350C" w14:textId="77777777"/>
    <w:p w:rsidR="00861636" w:rsidRPr="00AE03CB" w14:paraId="16D5CE40" w14:textId="77777777">
      <w:pPr>
        <w:rPr>
          <w:b/>
          <w:bCs/>
        </w:rPr>
      </w:pPr>
      <w:r w:rsidRPr="00AE03CB">
        <w:rPr>
          <w:b/>
          <w:bCs/>
        </w:rPr>
        <w:t xml:space="preserve">12. </w:t>
      </w:r>
      <w:r w:rsidRPr="00AE03CB" w:rsidR="00B8062C">
        <w:rPr>
          <w:b/>
          <w:bCs/>
        </w:rPr>
        <w:t xml:space="preserve"> </w:t>
      </w:r>
      <w:r w:rsidRPr="00AE03CB">
        <w:rPr>
          <w:b/>
          <w:bCs/>
        </w:rPr>
        <w:t>Estimate of burden hours for information requested:</w:t>
      </w:r>
    </w:p>
    <w:p w:rsidR="00861636" w:rsidRPr="00AE03CB" w14:paraId="23562C44" w14:textId="77777777"/>
    <w:p w:rsidR="00861636" w:rsidRPr="00AE03CB" w14:paraId="3BECFD54" w14:textId="68705233">
      <w:r w:rsidRPr="00AE03CB">
        <w:t xml:space="preserve">The current </w:t>
      </w:r>
      <w:r w:rsidRPr="00AE03CB">
        <w:t xml:space="preserve">FMCSA estimate </w:t>
      </w:r>
      <w:r w:rsidRPr="00AE03CB">
        <w:t xml:space="preserve">of the </w:t>
      </w:r>
      <w:r w:rsidRPr="00AE03CB">
        <w:t>total annual hour burden of th</w:t>
      </w:r>
      <w:r w:rsidRPr="00AE03CB" w:rsidR="00A41032">
        <w:t xml:space="preserve">is </w:t>
      </w:r>
      <w:r w:rsidRPr="00AE03CB">
        <w:t xml:space="preserve">information collection associated with </w:t>
      </w:r>
      <w:r w:rsidRPr="00AE03CB" w:rsidR="00C67A96">
        <w:t xml:space="preserve">systematic </w:t>
      </w:r>
      <w:r w:rsidRPr="00AE03CB">
        <w:t>inspection, repair, and maintenance</w:t>
      </w:r>
      <w:r w:rsidRPr="00AE03CB" w:rsidR="00C67A96">
        <w:t xml:space="preserve"> </w:t>
      </w:r>
      <w:r w:rsidRPr="00AE03CB">
        <w:t xml:space="preserve">is </w:t>
      </w:r>
      <w:r w:rsidRPr="00AE03CB" w:rsidR="00613175">
        <w:t xml:space="preserve">11,389,254 </w:t>
      </w:r>
      <w:r w:rsidRPr="00AE03CB">
        <w:t xml:space="preserve">hours. The </w:t>
      </w:r>
      <w:r w:rsidRPr="00AE03CB" w:rsidR="0075118D">
        <w:t xml:space="preserve">Agency </w:t>
      </w:r>
      <w:r w:rsidRPr="00AE03CB">
        <w:t>estimate</w:t>
      </w:r>
      <w:r w:rsidRPr="00AE03CB" w:rsidR="00132589">
        <w:t>s</w:t>
      </w:r>
      <w:r w:rsidRPr="00AE03CB">
        <w:t xml:space="preserve"> </w:t>
      </w:r>
      <w:r w:rsidRPr="00AE03CB" w:rsidR="00C67A96">
        <w:t xml:space="preserve">that the </w:t>
      </w:r>
      <w:r w:rsidRPr="00AE03CB" w:rsidR="00613175">
        <w:t>updates</w:t>
      </w:r>
      <w:r w:rsidRPr="00AE03CB">
        <w:t xml:space="preserve"> </w:t>
      </w:r>
      <w:r w:rsidRPr="00AE03CB" w:rsidR="00F42302">
        <w:t>made in this renewal</w:t>
      </w:r>
      <w:r w:rsidRPr="00AE03CB" w:rsidR="00132589">
        <w:t xml:space="preserve"> will </w:t>
      </w:r>
      <w:r w:rsidRPr="00AE03CB" w:rsidR="00E94E93">
        <w:t xml:space="preserve">increase </w:t>
      </w:r>
      <w:r w:rsidRPr="00AE03CB" w:rsidR="006A47D4">
        <w:t xml:space="preserve">this by </w:t>
      </w:r>
      <w:r w:rsidRPr="00AE03CB" w:rsidR="00A95C5A">
        <w:t>approximately</w:t>
      </w:r>
      <w:r w:rsidRPr="00AE03CB" w:rsidR="00A94463">
        <w:t xml:space="preserve"> </w:t>
      </w:r>
      <w:r w:rsidRPr="00AE03CB" w:rsidR="001E71A9">
        <w:t>7,</w:t>
      </w:r>
      <w:r w:rsidRPr="00AE03CB" w:rsidR="00002E3F">
        <w:t>713</w:t>
      </w:r>
      <w:r w:rsidRPr="00AE03CB" w:rsidR="001E71A9">
        <w:t>,</w:t>
      </w:r>
      <w:r w:rsidRPr="00AE03CB" w:rsidR="00002E3F">
        <w:t xml:space="preserve">899 </w:t>
      </w:r>
      <w:r w:rsidRPr="00AE03CB">
        <w:t>hours</w:t>
      </w:r>
      <w:r w:rsidRPr="00AE03CB" w:rsidR="00040F5B">
        <w:t>, for a</w:t>
      </w:r>
      <w:r w:rsidR="00225024">
        <w:t>n</w:t>
      </w:r>
      <w:r w:rsidRPr="00AE03CB" w:rsidR="00040F5B">
        <w:t xml:space="preserve"> </w:t>
      </w:r>
      <w:r w:rsidRPr="00AE03CB" w:rsidR="00324158">
        <w:t xml:space="preserve">updated </w:t>
      </w:r>
      <w:r w:rsidRPr="00AE03CB" w:rsidR="00040F5B">
        <w:t xml:space="preserve">estimated burden of </w:t>
      </w:r>
      <w:r w:rsidRPr="00AE03CB" w:rsidR="00E94E93">
        <w:rPr>
          <w:b/>
          <w:bCs/>
        </w:rPr>
        <w:t>1</w:t>
      </w:r>
      <w:r w:rsidRPr="00AE03CB" w:rsidR="00B31BD0">
        <w:rPr>
          <w:b/>
          <w:bCs/>
        </w:rPr>
        <w:t>9</w:t>
      </w:r>
      <w:r w:rsidRPr="00AE03CB" w:rsidR="00E94E93">
        <w:rPr>
          <w:b/>
          <w:bCs/>
        </w:rPr>
        <w:t>,</w:t>
      </w:r>
      <w:r w:rsidRPr="00AE03CB" w:rsidR="00B31BD0">
        <w:rPr>
          <w:b/>
          <w:bCs/>
        </w:rPr>
        <w:t>10</w:t>
      </w:r>
      <w:r w:rsidRPr="00AE03CB" w:rsidR="00CA7550">
        <w:rPr>
          <w:b/>
          <w:bCs/>
        </w:rPr>
        <w:t>3</w:t>
      </w:r>
      <w:r w:rsidRPr="00AE03CB" w:rsidR="00E94E93">
        <w:rPr>
          <w:b/>
          <w:bCs/>
        </w:rPr>
        <w:t>,</w:t>
      </w:r>
      <w:r w:rsidRPr="00AE03CB" w:rsidR="00CA7550">
        <w:rPr>
          <w:b/>
          <w:bCs/>
        </w:rPr>
        <w:t>15</w:t>
      </w:r>
      <w:r w:rsidRPr="00AE03CB" w:rsidR="00B805EC">
        <w:rPr>
          <w:b/>
          <w:bCs/>
        </w:rPr>
        <w:t>3</w:t>
      </w:r>
      <w:r w:rsidRPr="00AE03CB" w:rsidR="009D2AB3">
        <w:rPr>
          <w:b/>
          <w:bCs/>
        </w:rPr>
        <w:t xml:space="preserve"> </w:t>
      </w:r>
      <w:r w:rsidRPr="00AE03CB" w:rsidR="00040F5B">
        <w:rPr>
          <w:b/>
          <w:bCs/>
        </w:rPr>
        <w:t>hours</w:t>
      </w:r>
      <w:r w:rsidRPr="00AE03CB">
        <w:t xml:space="preserve">. A breakdown of this </w:t>
      </w:r>
      <w:r w:rsidRPr="00AE03CB" w:rsidR="00C67A96">
        <w:t xml:space="preserve">information collection </w:t>
      </w:r>
      <w:r w:rsidRPr="00AE03CB">
        <w:t>burden follows:</w:t>
      </w:r>
    </w:p>
    <w:p w:rsidR="00861636" w:rsidRPr="00AE03CB" w14:paraId="0DBF4414" w14:textId="77777777"/>
    <w:p w:rsidR="00861636" w:rsidRPr="00AE03CB" w14:paraId="7DA36E75" w14:textId="77777777">
      <w:pPr>
        <w:pStyle w:val="Heading2"/>
        <w:rPr>
          <w:b/>
          <w:i/>
          <w:u w:val="none"/>
        </w:rPr>
      </w:pPr>
      <w:r w:rsidRPr="00AE03CB">
        <w:rPr>
          <w:b/>
          <w:i/>
        </w:rPr>
        <w:t>Routine Inspection, Repair, and Maintenance Records</w:t>
      </w:r>
    </w:p>
    <w:p w:rsidR="00861636" w:rsidRPr="00AE03CB" w14:paraId="01D16B61" w14:textId="77777777"/>
    <w:p w:rsidR="00BC6D5D" w:rsidRPr="00AE03CB" w14:paraId="5A1118DE" w14:textId="3D8B7981">
      <w:r w:rsidRPr="00AE03CB">
        <w:t xml:space="preserve">Section 396.3 </w:t>
      </w:r>
      <w:r w:rsidRPr="00AE03CB" w:rsidR="00C67A96">
        <w:t xml:space="preserve">of </w:t>
      </w:r>
      <w:r w:rsidRPr="00AE03CB" w:rsidR="000800B4">
        <w:t>the FMCSRs</w:t>
      </w:r>
      <w:r w:rsidRPr="00AE03CB" w:rsidR="00C67A96">
        <w:t xml:space="preserve"> </w:t>
      </w:r>
      <w:r w:rsidRPr="00AE03CB">
        <w:t xml:space="preserve">requires every interstate motor carrier </w:t>
      </w:r>
      <w:r w:rsidRPr="00AE03CB" w:rsidR="00792BBF">
        <w:t xml:space="preserve">(except those operating CMVs designed or used to transport between 9 and 15 passengers, including the driver, not for direct compensation) </w:t>
      </w:r>
      <w:r w:rsidRPr="00AE03CB">
        <w:t>to cause all CMVs subject to its control to be systematically inspected, repaired, and maintained.</w:t>
      </w:r>
      <w:r w:rsidRPr="00AE03CB">
        <w:t xml:space="preserve"> </w:t>
      </w:r>
      <w:r w:rsidRPr="00AE03CB" w:rsidR="00983A58">
        <w:t xml:space="preserve">All CMVs, including power units (trucks, truck tractors, and </w:t>
      </w:r>
      <w:r w:rsidRPr="00AE03CB" w:rsidR="00983A58">
        <w:t>passenger-carrying</w:t>
      </w:r>
      <w:r w:rsidRPr="00AE03CB" w:rsidR="00983A58">
        <w:t xml:space="preserve"> CMVs) and non-powered units (trailers, converter dollies, container chassis) are subject to the inspection, repair, and maintenance requirements. </w:t>
      </w:r>
      <w:r w:rsidRPr="00AE03CB">
        <w:t xml:space="preserve">Generally, systematic means a regular or scheduled program to </w:t>
      </w:r>
      <w:r w:rsidRPr="00AE03CB">
        <w:t>keep vehicles in a safe operating condition at all times</w:t>
      </w:r>
      <w:r w:rsidRPr="00AE03CB">
        <w:t xml:space="preserve">. Section 396.3 does not specify inspection, </w:t>
      </w:r>
      <w:r w:rsidRPr="00AE03CB" w:rsidR="00EE243C">
        <w:t>repair</w:t>
      </w:r>
      <w:r w:rsidRPr="00AE03CB">
        <w:t xml:space="preserve">, or </w:t>
      </w:r>
      <w:r w:rsidRPr="00AE03CB" w:rsidR="00EE243C">
        <w:t xml:space="preserve">maintenance </w:t>
      </w:r>
      <w:r w:rsidRPr="00AE03CB">
        <w:t>intervals because such intervals are fleet specific and, in some instances, vehicle specific. The inspection, repair, and maintenance intervals are to be determined by the motor carrier. The requirements of §</w:t>
      </w:r>
      <w:r w:rsidRPr="00AE03CB" w:rsidR="008D3702">
        <w:t>§</w:t>
      </w:r>
      <w:r w:rsidRPr="00AE03CB">
        <w:t>396.11, 396.13, and 396.17 are in addition to the systematic inspection, repair, and maintenance required by §396.3.</w:t>
      </w:r>
      <w:r w:rsidRPr="00AE03CB">
        <w:t xml:space="preserve">  </w:t>
      </w:r>
    </w:p>
    <w:p w:rsidR="00BC6D5D" w:rsidRPr="00AE03CB" w14:paraId="5CF3D211" w14:textId="77777777"/>
    <w:p w:rsidR="004A06F9" w:rsidRPr="00AE03CB" w14:paraId="10CEC9B8" w14:textId="7A6C331C">
      <w:r w:rsidRPr="00AE03CB">
        <w:t>FMCSA estimates there are 24 recordkeeping entries related to these activities on average per year for each CMV</w:t>
      </w:r>
      <w:r w:rsidRPr="00AE03CB" w:rsidR="00EE243C">
        <w:t xml:space="preserve"> except intermodal chassis</w:t>
      </w:r>
      <w:r w:rsidRPr="00AE03CB">
        <w:t xml:space="preserve">. Each entry would take approximately </w:t>
      </w:r>
      <w:r w:rsidRPr="00AE03CB">
        <w:t>2 minutes</w:t>
      </w:r>
      <w:r w:rsidRPr="00AE03CB" w:rsidR="00C67A96">
        <w:t xml:space="preserve"> to record</w:t>
      </w:r>
      <w:r w:rsidRPr="00AE03CB">
        <w:t xml:space="preserve">. </w:t>
      </w:r>
      <w:r w:rsidRPr="00AE03CB" w:rsidR="002255CB">
        <w:t>In addition, i</w:t>
      </w:r>
      <w:r w:rsidRPr="00AE03CB" w:rsidR="00C67A96">
        <w:t>tems such as p</w:t>
      </w:r>
      <w:r w:rsidRPr="00AE03CB">
        <w:t>ush</w:t>
      </w:r>
      <w:r w:rsidRPr="00AE03CB" w:rsidR="00C67A96">
        <w:t>-</w:t>
      </w:r>
      <w:r w:rsidRPr="00AE03CB">
        <w:t xml:space="preserve">out windows, emergency doors, and emergency door marking lights in </w:t>
      </w:r>
      <w:r w:rsidRPr="00AE03CB" w:rsidR="001C5BB9">
        <w:t xml:space="preserve">motorcoaches and school buses </w:t>
      </w:r>
      <w:r w:rsidRPr="00AE03CB">
        <w:t xml:space="preserve">must be inspected at least every 90 days, or </w:t>
      </w:r>
      <w:r w:rsidRPr="00AE03CB" w:rsidR="00C67A96">
        <w:t xml:space="preserve">at least </w:t>
      </w:r>
      <w:r w:rsidRPr="00AE03CB">
        <w:t>4 times per year. There is one recordkeeping entry for each of the emergency exit inspections</w:t>
      </w:r>
      <w:r w:rsidRPr="00AE03CB" w:rsidR="00C67A96">
        <w:t>,</w:t>
      </w:r>
      <w:r w:rsidRPr="00AE03CB">
        <w:t xml:space="preserve"> for a total of 4 entries per year for each bus. </w:t>
      </w:r>
      <w:r w:rsidRPr="00AE03CB" w:rsidR="00C67A96">
        <w:t>Also, e</w:t>
      </w:r>
      <w:r w:rsidRPr="00AE03CB">
        <w:t>ach entry concerning emergency exit inspections would take approximately 2 minutes.</w:t>
      </w:r>
      <w:r w:rsidRPr="00AE03CB" w:rsidR="002255CB">
        <w:t xml:space="preserve"> </w:t>
      </w:r>
      <w:r w:rsidRPr="00AE03CB" w:rsidR="001C5BB9">
        <w:t xml:space="preserve">Because a typical intermodal chassis travels only several thousand miles per year, </w:t>
      </w:r>
      <w:r w:rsidRPr="00AE03CB" w:rsidR="003E1809">
        <w:t xml:space="preserve">FMCSA has estimated that </w:t>
      </w:r>
      <w:r w:rsidRPr="00AE03CB" w:rsidR="00C362A7">
        <w:t xml:space="preserve">the equivalent of </w:t>
      </w:r>
      <w:r w:rsidRPr="00AE03CB" w:rsidR="001C5BB9">
        <w:t xml:space="preserve">a quarterly inspection program is sufficient to satisfy the systematic inspection, repair, and maintenance requirement. From this, FMCSA estimates that there are 4 recordkeeping entries per year, </w:t>
      </w:r>
      <w:r w:rsidRPr="00AE03CB">
        <w:t xml:space="preserve">and </w:t>
      </w:r>
      <w:r w:rsidRPr="00AE03CB" w:rsidR="002255CB">
        <w:t xml:space="preserve">that </w:t>
      </w:r>
      <w:r w:rsidRPr="00AE03CB">
        <w:t xml:space="preserve">each entry </w:t>
      </w:r>
      <w:r w:rsidRPr="00AE03CB" w:rsidR="00B44516">
        <w:t>would take approximately 3 minutes to record.</w:t>
      </w:r>
    </w:p>
    <w:p w:rsidR="004A06F9" w:rsidRPr="00AE03CB" w14:paraId="681D4EC4" w14:textId="77777777"/>
    <w:p w:rsidR="004A06F9" w:rsidRPr="00AE03CB" w14:paraId="47639483" w14:textId="77777777">
      <w:r w:rsidRPr="00AE03CB">
        <w:t>According to the FMCSA Motor Carrier Management Information System (MCMIS)</w:t>
      </w:r>
      <w:r>
        <w:rPr>
          <w:rStyle w:val="FootnoteReference"/>
        </w:rPr>
        <w:footnoteReference w:id="4"/>
      </w:r>
      <w:r w:rsidRPr="00AE03CB">
        <w:t>, the following CMVs are subject to the FMCSRs:</w:t>
      </w:r>
    </w:p>
    <w:p w:rsidR="00983A58" w:rsidRPr="00AE03CB" w14:paraId="5245413A" w14:textId="77777777"/>
    <w:p w:rsidR="00983A58" w:rsidRPr="00AE03CB" w:rsidP="00E16E11" w14:paraId="45E42D87" w14:textId="103ECCC6">
      <w:pPr>
        <w:pStyle w:val="ListParagraph"/>
        <w:numPr>
          <w:ilvl w:val="0"/>
          <w:numId w:val="8"/>
        </w:numPr>
      </w:pPr>
      <w:r w:rsidRPr="00AE03CB">
        <w:t>5</w:t>
      </w:r>
      <w:r w:rsidRPr="00AE03CB">
        <w:t>,</w:t>
      </w:r>
      <w:r w:rsidRPr="00AE03CB">
        <w:t>132</w:t>
      </w:r>
      <w:r w:rsidRPr="00AE03CB">
        <w:t>,</w:t>
      </w:r>
      <w:r w:rsidRPr="00AE03CB">
        <w:t>101</w:t>
      </w:r>
      <w:r w:rsidRPr="00AE03CB">
        <w:t xml:space="preserve"> power units</w:t>
      </w:r>
    </w:p>
    <w:p w:rsidR="00983A58" w:rsidRPr="00AE03CB" w:rsidP="00E16E11" w14:paraId="5DB37D9E" w14:textId="49B98731">
      <w:pPr>
        <w:pStyle w:val="ListParagraph"/>
        <w:numPr>
          <w:ilvl w:val="1"/>
          <w:numId w:val="8"/>
        </w:numPr>
      </w:pPr>
      <w:r w:rsidRPr="00AE03CB">
        <w:t>Includes 2,</w:t>
      </w:r>
      <w:r w:rsidRPr="00AE03CB" w:rsidR="00E662AD">
        <w:t>408</w:t>
      </w:r>
      <w:r w:rsidRPr="00AE03CB">
        <w:t>,</w:t>
      </w:r>
      <w:r w:rsidRPr="00AE03CB" w:rsidR="00E662AD">
        <w:t>662</w:t>
      </w:r>
      <w:r w:rsidRPr="00AE03CB">
        <w:t xml:space="preserve"> truck tractors</w:t>
      </w:r>
      <w:r w:rsidRPr="00AE03CB" w:rsidR="00ED0C54">
        <w:t xml:space="preserve"> for interstate freight carriers</w:t>
      </w:r>
    </w:p>
    <w:p w:rsidR="00ED0C54" w:rsidRPr="00AE03CB" w:rsidP="00E16E11" w14:paraId="49E6ED9D" w14:textId="3D4555FB">
      <w:pPr>
        <w:pStyle w:val="ListParagraph"/>
        <w:numPr>
          <w:ilvl w:val="1"/>
          <w:numId w:val="8"/>
        </w:numPr>
      </w:pPr>
      <w:r w:rsidRPr="00AE03CB">
        <w:t xml:space="preserve">Includes </w:t>
      </w:r>
      <w:r w:rsidRPr="00AE03CB" w:rsidR="00E662AD">
        <w:t>37</w:t>
      </w:r>
      <w:r w:rsidRPr="00AE03CB">
        <w:t>,</w:t>
      </w:r>
      <w:r w:rsidRPr="00AE03CB" w:rsidR="00E662AD">
        <w:t>022</w:t>
      </w:r>
      <w:r w:rsidRPr="00AE03CB">
        <w:t xml:space="preserve"> truck tractors for intrastate HM carriers</w:t>
      </w:r>
    </w:p>
    <w:p w:rsidR="00983A58" w:rsidRPr="00AE03CB" w:rsidP="00E16E11" w14:paraId="3B368A5C" w14:textId="292B9E1F">
      <w:pPr>
        <w:pStyle w:val="ListParagraph"/>
        <w:numPr>
          <w:ilvl w:val="1"/>
          <w:numId w:val="8"/>
        </w:numPr>
      </w:pPr>
      <w:r w:rsidRPr="00AE03CB">
        <w:t xml:space="preserve">Includes </w:t>
      </w:r>
      <w:r w:rsidRPr="00AE03CB" w:rsidR="00C20723">
        <w:t>3</w:t>
      </w:r>
      <w:r w:rsidRPr="00AE03CB" w:rsidR="00E16E11">
        <w:t>9,</w:t>
      </w:r>
      <w:r w:rsidRPr="00AE03CB" w:rsidR="00C20723">
        <w:t>278</w:t>
      </w:r>
      <w:r w:rsidRPr="00AE03CB" w:rsidR="00E16E11">
        <w:t xml:space="preserve"> motorcoaches</w:t>
      </w:r>
    </w:p>
    <w:p w:rsidR="004970DF" w:rsidRPr="00AE03CB" w:rsidP="00E16E11" w14:paraId="3666BB99" w14:textId="0B300B3F">
      <w:pPr>
        <w:pStyle w:val="ListParagraph"/>
        <w:numPr>
          <w:ilvl w:val="1"/>
          <w:numId w:val="8"/>
        </w:numPr>
      </w:pPr>
      <w:r w:rsidRPr="00AE03CB">
        <w:t xml:space="preserve">Includes </w:t>
      </w:r>
      <w:r w:rsidRPr="00AE03CB" w:rsidR="00C20723">
        <w:t>14</w:t>
      </w:r>
      <w:r w:rsidRPr="00AE03CB" w:rsidR="00025E81">
        <w:t>,</w:t>
      </w:r>
      <w:r w:rsidRPr="00AE03CB" w:rsidR="00C20723">
        <w:t>291</w:t>
      </w:r>
      <w:r w:rsidRPr="00AE03CB">
        <w:t xml:space="preserve"> school buses</w:t>
      </w:r>
      <w:r w:rsidRPr="00AE03CB" w:rsidR="00025E81">
        <w:t xml:space="preserve"> (</w:t>
      </w:r>
      <w:r w:rsidRPr="00AE03CB" w:rsidR="00C20723">
        <w:t>841</w:t>
      </w:r>
      <w:r w:rsidRPr="00AE03CB" w:rsidR="00025E81">
        <w:t xml:space="preserve"> 9-15 capacity school buses + 1</w:t>
      </w:r>
      <w:r w:rsidRPr="00AE03CB" w:rsidR="00C20723">
        <w:t>3</w:t>
      </w:r>
      <w:r w:rsidRPr="00AE03CB" w:rsidR="00025E81">
        <w:t>,</w:t>
      </w:r>
      <w:r w:rsidRPr="00AE03CB" w:rsidR="00C20723">
        <w:t>450</w:t>
      </w:r>
      <w:r w:rsidRPr="00AE03CB" w:rsidR="00025E81">
        <w:t xml:space="preserve"> 16+ capacity school buses)</w:t>
      </w:r>
    </w:p>
    <w:p w:rsidR="00E16E11" w:rsidRPr="00AE03CB" w:rsidP="00E16E11" w14:paraId="1E379DB2" w14:textId="7C68AD6C">
      <w:pPr>
        <w:pStyle w:val="ListParagraph"/>
        <w:numPr>
          <w:ilvl w:val="0"/>
          <w:numId w:val="8"/>
        </w:numPr>
      </w:pPr>
      <w:r w:rsidRPr="00AE03CB">
        <w:t>13</w:t>
      </w:r>
      <w:r w:rsidRPr="00AE03CB">
        <w:t>,</w:t>
      </w:r>
      <w:r w:rsidRPr="00AE03CB">
        <w:t>648</w:t>
      </w:r>
      <w:r w:rsidRPr="00AE03CB">
        <w:t>,</w:t>
      </w:r>
      <w:r w:rsidRPr="00AE03CB">
        <w:t>466</w:t>
      </w:r>
      <w:r w:rsidRPr="00AE03CB">
        <w:t xml:space="preserve"> non-power units</w:t>
      </w:r>
    </w:p>
    <w:p w:rsidR="00E16E11" w:rsidRPr="00AE03CB" w:rsidP="00E16E11" w14:paraId="56A98995" w14:textId="04B8AB43">
      <w:pPr>
        <w:pStyle w:val="ListParagraph"/>
        <w:numPr>
          <w:ilvl w:val="1"/>
          <w:numId w:val="8"/>
        </w:numPr>
      </w:pPr>
      <w:r w:rsidRPr="00AE03CB">
        <w:t xml:space="preserve">Includes </w:t>
      </w:r>
      <w:r w:rsidRPr="00AE03CB" w:rsidR="00C20723">
        <w:t>714</w:t>
      </w:r>
      <w:r w:rsidRPr="00AE03CB" w:rsidR="0088415A">
        <w:t>,</w:t>
      </w:r>
      <w:r w:rsidRPr="00AE03CB" w:rsidR="00C20723">
        <w:t>657</w:t>
      </w:r>
      <w:r w:rsidRPr="00AE03CB">
        <w:t xml:space="preserve"> intermodal chassis</w:t>
      </w:r>
      <w:r>
        <w:rPr>
          <w:rStyle w:val="FootnoteReference"/>
        </w:rPr>
        <w:footnoteReference w:id="5"/>
      </w:r>
    </w:p>
    <w:p w:rsidR="004A06F9" w:rsidRPr="00AE03CB" w14:paraId="411003C1" w14:textId="77777777"/>
    <w:p w:rsidR="004A06F9" w:rsidRPr="00AE03CB" w14:paraId="1E6CC8CD" w14:textId="77777777">
      <w:r w:rsidRPr="00AE03CB">
        <w:t xml:space="preserve">The total hour burden of </w:t>
      </w:r>
      <w:r w:rsidRPr="00AE03CB" w:rsidR="00F0771B">
        <w:t xml:space="preserve">these records is </w:t>
      </w:r>
      <w:r w:rsidRPr="00AE03CB">
        <w:t>calculated as follows:</w:t>
      </w:r>
    </w:p>
    <w:p w:rsidR="00AC3952" w:rsidRPr="00AE03CB" w14:paraId="4E60111A" w14:textId="77777777"/>
    <w:p w:rsidR="00372A28" w:rsidRPr="00AE03CB" w14:paraId="567CE7DD" w14:textId="77777777">
      <w:r w:rsidRPr="00AE03CB">
        <w:rPr>
          <w:b/>
          <w:i/>
        </w:rPr>
        <w:t>Routine Inspection, Repair, and Maintenance Records Burden</w:t>
      </w:r>
    </w:p>
    <w:p w:rsidR="00372A28" w:rsidRPr="00AE03CB" w14:paraId="10D7E5D3" w14:textId="77777777">
      <w:r w:rsidRPr="00AE03CB">
        <w:t xml:space="preserve"> </w:t>
      </w:r>
    </w:p>
    <w:p w:rsidR="00372A28" w:rsidRPr="00AE03CB" w14:paraId="45988FA4" w14:textId="77777777">
      <w:r w:rsidRPr="00AE03CB">
        <w:t xml:space="preserve">IC1 = </w:t>
      </w:r>
      <w:r w:rsidRPr="00AE03CB" w:rsidR="00F0771B">
        <w:t>B</w:t>
      </w:r>
      <w:r w:rsidRPr="00AE03CB" w:rsidR="00AC3952">
        <w:t>urden for</w:t>
      </w:r>
      <w:r w:rsidRPr="00AE03CB" w:rsidR="002255CB">
        <w:t xml:space="preserve"> </w:t>
      </w:r>
      <w:r w:rsidRPr="00AE03CB" w:rsidR="00F0771B">
        <w:t xml:space="preserve">CMVs with 24 </w:t>
      </w:r>
      <w:r w:rsidRPr="00AE03CB" w:rsidR="00766629">
        <w:t>Entries/year</w:t>
      </w:r>
    </w:p>
    <w:p w:rsidR="00372A28" w:rsidRPr="00AE03CB" w14:paraId="08CB6511" w14:textId="77777777">
      <w:r w:rsidRPr="00AE03CB">
        <w:t>IC2</w:t>
      </w:r>
      <w:r w:rsidRPr="00AE03CB" w:rsidR="00F0771B">
        <w:t xml:space="preserve"> </w:t>
      </w:r>
      <w:r w:rsidRPr="00AE03CB">
        <w:t xml:space="preserve">= </w:t>
      </w:r>
      <w:r w:rsidRPr="00AE03CB" w:rsidR="00F0771B">
        <w:t>A</w:t>
      </w:r>
      <w:r w:rsidRPr="00AE03CB" w:rsidR="00AC3952">
        <w:t xml:space="preserve">dded </w:t>
      </w:r>
      <w:r w:rsidRPr="00AE03CB" w:rsidR="00F0771B">
        <w:t>B</w:t>
      </w:r>
      <w:r w:rsidRPr="00AE03CB" w:rsidR="00AC3952">
        <w:t xml:space="preserve">urden for </w:t>
      </w:r>
      <w:r w:rsidRPr="00AE03CB" w:rsidR="00F0771B">
        <w:t>Emergency Exit T</w:t>
      </w:r>
      <w:r w:rsidRPr="00AE03CB" w:rsidR="00AC3952">
        <w:t xml:space="preserve">ests on </w:t>
      </w:r>
      <w:r w:rsidRPr="00AE03CB" w:rsidR="001C5BB9">
        <w:t>Motorcoaches and School Buses</w:t>
      </w:r>
    </w:p>
    <w:p w:rsidR="00AC3952" w:rsidRPr="00AE03CB" w14:paraId="7DF0F285" w14:textId="77777777">
      <w:r w:rsidRPr="00AE03CB">
        <w:t>IC3 =</w:t>
      </w:r>
      <w:r w:rsidRPr="00AE03CB" w:rsidR="00766629">
        <w:t xml:space="preserve"> </w:t>
      </w:r>
      <w:r w:rsidRPr="00AE03CB" w:rsidR="00F0771B">
        <w:t>B</w:t>
      </w:r>
      <w:r w:rsidRPr="00AE03CB" w:rsidR="002255CB">
        <w:t xml:space="preserve">urden for </w:t>
      </w:r>
      <w:r w:rsidRPr="00AE03CB" w:rsidR="00F0771B">
        <w:t>Intermodal C</w:t>
      </w:r>
      <w:r w:rsidRPr="00AE03CB" w:rsidR="002255CB">
        <w:t>hassis</w:t>
      </w:r>
    </w:p>
    <w:p w:rsidR="004A06F9" w:rsidRPr="00AE03CB" w14:paraId="1F94E51C" w14:textId="77777777"/>
    <w:p w:rsidR="004A2B42" w:rsidRPr="00AE03CB" w:rsidP="004A2B42" w14:paraId="704EADD4" w14:textId="1F08ABEC">
      <w:bookmarkStart w:id="3" w:name="_Hlk141346906"/>
      <w:r w:rsidRPr="00AE03CB">
        <w:t>IC1 = [((Number of Power Units) + (Number of Non-Power Units – Number of Intermodal Chassis)) x (24 entries/year) x (2 minutes/entry) x (1 hour/60 minutes)]</w:t>
      </w:r>
    </w:p>
    <w:p w:rsidR="004A2B42" w:rsidRPr="00AE03CB" w:rsidP="004A2B42" w14:paraId="2AB84FFB" w14:textId="75DB6DC5"/>
    <w:p w:rsidR="00F522A8" w:rsidRPr="00AE03CB" w:rsidP="00F522A8" w14:paraId="22BB0427" w14:textId="7B9B16F1">
      <w:r w:rsidRPr="00AE03CB">
        <w:t>Number of Respondents IC1 = (Number of Power Units) + (Number of Non-Power Units – Number of Intermodal Chassis) = (5,132,101) + (13,648,466 – 714,657) = 18,065,910</w:t>
      </w:r>
    </w:p>
    <w:p w:rsidR="00F522A8" w:rsidRPr="00AE03CB" w:rsidP="004A2B42" w14:paraId="6B7C8B90" w14:textId="77777777"/>
    <w:p w:rsidR="004A2B42" w:rsidRPr="00AE03CB" w:rsidP="004A2B42" w14:paraId="156F84F8" w14:textId="50A0A615">
      <w:r w:rsidRPr="00AE03CB">
        <w:t>Responses</w:t>
      </w:r>
      <w:r w:rsidRPr="00AE03CB" w:rsidR="00F513D8">
        <w:t xml:space="preserve"> IC1 </w:t>
      </w:r>
      <w:r w:rsidRPr="00AE03CB">
        <w:t>= (</w:t>
      </w:r>
      <w:r w:rsidRPr="00AE03CB" w:rsidR="00FE16BC">
        <w:t>Number of Respondents IC1</w:t>
      </w:r>
      <w:r w:rsidRPr="00AE03CB">
        <w:t>) x (24 entries/year) = (</w:t>
      </w:r>
      <w:r w:rsidRPr="00AE03CB" w:rsidR="00FE16BC">
        <w:t xml:space="preserve">18,065,910) </w:t>
      </w:r>
      <w:r w:rsidRPr="00AE03CB">
        <w:t>x 24 = 433,581,840</w:t>
      </w:r>
    </w:p>
    <w:p w:rsidR="004A2B42" w:rsidRPr="00AE03CB" w:rsidP="004A2B42" w14:paraId="3D904390" w14:textId="77777777"/>
    <w:p w:rsidR="004A2B42" w:rsidRPr="00AE03CB" w:rsidP="004A2B42" w14:paraId="724CE7BF" w14:textId="11FA0A20">
      <w:r w:rsidRPr="00AE03CB">
        <w:t xml:space="preserve">IC1 = [(Responses </w:t>
      </w:r>
      <w:r w:rsidRPr="00AE03CB" w:rsidR="00F513D8">
        <w:t>IC</w:t>
      </w:r>
      <w:r w:rsidRPr="00AE03CB">
        <w:t>1) x (2 minutes/entry) x (1 hour/60 minutes)]</w:t>
      </w:r>
    </w:p>
    <w:p w:rsidR="00B0068B" w:rsidRPr="00AE03CB" w:rsidP="004A2B42" w14:paraId="40633063" w14:textId="77777777"/>
    <w:p w:rsidR="004A2B42" w:rsidRPr="00AE03CB" w:rsidP="004A2B42" w14:paraId="0B63796F" w14:textId="77777777">
      <w:r w:rsidRPr="00AE03CB">
        <w:t>IC1 = [(433,581,840) x (2) x (1/60)] = 14,452,728</w:t>
      </w:r>
    </w:p>
    <w:p w:rsidR="004A2B42" w:rsidRPr="00AE03CB" w:rsidP="004A2B42" w14:paraId="0236524C" w14:textId="77777777"/>
    <w:p w:rsidR="004A2B42" w:rsidRPr="00AE03CB" w:rsidP="004A2B42" w14:paraId="78FFDF35" w14:textId="7FC8DA70">
      <w:r w:rsidRPr="00AE03CB">
        <w:t>IC2 = [(Number of Motorcoaches + Number of School Buses) x (4 emergency exit tests/vehicle/year) x (1 entry/test) x (2 minutes/entry) x (1 hour/60 minutes)]</w:t>
      </w:r>
    </w:p>
    <w:p w:rsidR="00FE16BC" w:rsidRPr="00AE03CB" w:rsidP="004A2B42" w14:paraId="5770F1D3" w14:textId="5C6CE586"/>
    <w:p w:rsidR="00FE16BC" w:rsidRPr="00AE03CB" w:rsidP="00FE16BC" w14:paraId="5C51A145" w14:textId="40903946">
      <w:r w:rsidRPr="00AE03CB">
        <w:t xml:space="preserve">Number of Respondents IC2 = (Number of Motorcoaches + Number of School Buses) = </w:t>
      </w:r>
      <w:r w:rsidRPr="00AE03CB" w:rsidR="007412E2">
        <w:t xml:space="preserve">(39,278 + 14,291) = </w:t>
      </w:r>
      <w:r w:rsidRPr="00AE03CB">
        <w:t>53,569</w:t>
      </w:r>
    </w:p>
    <w:p w:rsidR="004A2B42" w:rsidRPr="00AE03CB" w:rsidP="004A2B42" w14:paraId="120FD4EC" w14:textId="77777777"/>
    <w:p w:rsidR="004A2B42" w:rsidRPr="00AE03CB" w:rsidP="004A2B42" w14:paraId="0B22FDE7" w14:textId="11A40FD7">
      <w:r w:rsidRPr="00AE03CB">
        <w:t xml:space="preserve">Responses </w:t>
      </w:r>
      <w:r w:rsidRPr="00AE03CB" w:rsidR="00F513D8">
        <w:t>IC</w:t>
      </w:r>
      <w:r w:rsidRPr="00AE03CB">
        <w:t>2 = (</w:t>
      </w:r>
      <w:r w:rsidRPr="00AE03CB" w:rsidR="00FE16BC">
        <w:t>Number of Respondents IC2</w:t>
      </w:r>
      <w:r w:rsidRPr="00AE03CB">
        <w:t xml:space="preserve">) x (4 emergency exit tests/vehicle/year) = </w:t>
      </w:r>
      <w:r w:rsidRPr="00AE03CB" w:rsidR="00DD6FCF">
        <w:t>(</w:t>
      </w:r>
      <w:r w:rsidRPr="00AE03CB" w:rsidR="00FE16BC">
        <w:t>53,569</w:t>
      </w:r>
      <w:r w:rsidRPr="00AE03CB">
        <w:t>) x (4) = 214,276</w:t>
      </w:r>
    </w:p>
    <w:p w:rsidR="00FE16BC" w:rsidRPr="00AE03CB" w:rsidP="004A2B42" w14:paraId="2E85E831" w14:textId="7F59E1AD"/>
    <w:p w:rsidR="004A2B42" w:rsidRPr="00AE03CB" w:rsidP="004A2B42" w14:paraId="587344E2" w14:textId="622FA795">
      <w:r w:rsidRPr="00AE03CB">
        <w:t xml:space="preserve">IC2 = [(Responses </w:t>
      </w:r>
      <w:r w:rsidRPr="00AE03CB" w:rsidR="00F513D8">
        <w:t>IC</w:t>
      </w:r>
      <w:r w:rsidRPr="00AE03CB">
        <w:t>2) x (1 entry/test) x (2 minutes/entry) x (1 hour/60 minutes)]</w:t>
      </w:r>
    </w:p>
    <w:p w:rsidR="00B0068B" w:rsidRPr="00AE03CB" w:rsidP="004A2B42" w14:paraId="593CF118" w14:textId="77777777"/>
    <w:p w:rsidR="004A2B42" w:rsidRPr="00AE03CB" w:rsidP="004A2B42" w14:paraId="3346DFDE" w14:textId="2E8F10DC">
      <w:r w:rsidRPr="00AE03CB">
        <w:t>IC2 = [(214,276) x (1) x (2) x (1/60)] = 7,143</w:t>
      </w:r>
    </w:p>
    <w:p w:rsidR="00B0068B" w:rsidRPr="00AE03CB" w:rsidP="004A2B42" w14:paraId="41868F2E" w14:textId="77777777"/>
    <w:p w:rsidR="004A2B42" w:rsidRPr="00AE03CB" w:rsidP="004A2B42" w14:paraId="410723F6" w14:textId="2798C5C2">
      <w:r w:rsidRPr="00AE03CB">
        <w:t xml:space="preserve">IC3 = [(Number of Intermodal Chassis) x (4 entries/year) x (3 minutes/entry) x (1 hour/60 minutes)] </w:t>
      </w:r>
    </w:p>
    <w:p w:rsidR="00E723CD" w:rsidRPr="00AE03CB" w:rsidP="004A2B42" w14:paraId="2AE7729A" w14:textId="58BDBF11"/>
    <w:p w:rsidR="00E723CD" w:rsidRPr="00AE03CB" w:rsidP="004A2B42" w14:paraId="0257E784" w14:textId="3F05F9B1">
      <w:r w:rsidRPr="00AE03CB">
        <w:t>Number of Respondents IC3 = Number of Intermodal Chassis = 714,657</w:t>
      </w:r>
    </w:p>
    <w:p w:rsidR="004A2B42" w:rsidRPr="00AE03CB" w:rsidP="004A2B42" w14:paraId="100F59DA" w14:textId="77777777"/>
    <w:p w:rsidR="004A2B42" w:rsidRPr="00AE03CB" w:rsidP="004A2B42" w14:paraId="49FB65D0" w14:textId="4EDD4FF0">
      <w:r w:rsidRPr="00AE03CB">
        <w:t xml:space="preserve">Responses </w:t>
      </w:r>
      <w:r w:rsidRPr="00AE03CB" w:rsidR="00F513D8">
        <w:t>IC</w:t>
      </w:r>
      <w:r w:rsidRPr="00AE03CB">
        <w:t>3 = (</w:t>
      </w:r>
      <w:r w:rsidRPr="00AE03CB" w:rsidR="00E723CD">
        <w:t>Number of Respondents IC3</w:t>
      </w:r>
      <w:r w:rsidRPr="00AE03CB">
        <w:t>) x (4 entries/year) = (714,657) x (4) = 2,858,628</w:t>
      </w:r>
    </w:p>
    <w:p w:rsidR="004A2B42" w:rsidRPr="00AE03CB" w:rsidP="004A2B42" w14:paraId="22180AC7" w14:textId="77777777"/>
    <w:p w:rsidR="004A2B42" w:rsidRPr="00AE03CB" w:rsidP="004A2B42" w14:paraId="4C7DC769" w14:textId="60F48A6B">
      <w:r w:rsidRPr="00AE03CB">
        <w:t xml:space="preserve">IC3 = [(Responses </w:t>
      </w:r>
      <w:r w:rsidRPr="00AE03CB" w:rsidR="00F513D8">
        <w:t>IC</w:t>
      </w:r>
      <w:r w:rsidRPr="00AE03CB">
        <w:t>3) x (3 minutes/entry) x (1 hour/60 minutes)]</w:t>
      </w:r>
    </w:p>
    <w:p w:rsidR="004A2B42" w:rsidRPr="00AE03CB" w:rsidP="004A2B42" w14:paraId="4E29CE63" w14:textId="77777777"/>
    <w:p w:rsidR="004A2B42" w:rsidRPr="00AE03CB" w:rsidP="004A2B42" w14:paraId="1057E1BC" w14:textId="2C77EA61">
      <w:r w:rsidRPr="00AE03CB">
        <w:t>IC3 = [(2,858,628) x (3) x (1/60)] = 142,931</w:t>
      </w:r>
    </w:p>
    <w:bookmarkEnd w:id="3"/>
    <w:p w:rsidR="00EA4B6F" w:rsidRPr="00AE03CB" w14:paraId="78E10CEA" w14:textId="77777777"/>
    <w:p w:rsidR="00766629" w:rsidRPr="00AE03CB" w:rsidP="00766629" w14:paraId="6CB96B7C" w14:textId="70392267">
      <w:r w:rsidRPr="00AE03CB">
        <w:t>Total Routine Inspection, Repair, and Maintenance Records Burden</w:t>
      </w:r>
    </w:p>
    <w:p w:rsidR="00003920" w:rsidRPr="00AE03CB" w:rsidP="00766629" w14:paraId="5AE9B64A" w14:textId="77777777"/>
    <w:p w:rsidR="00EA4B6F" w:rsidRPr="00AE03CB" w:rsidP="00766629" w14:paraId="205D6544" w14:textId="401C34E4">
      <w:r w:rsidRPr="00AE03CB">
        <w:t xml:space="preserve"> = IC1 + IC2 + IC3 = </w:t>
      </w:r>
      <w:r w:rsidRPr="00AE03CB">
        <w:t>[</w:t>
      </w:r>
      <w:r w:rsidRPr="00AE03CB" w:rsidR="001931F8">
        <w:t>14</w:t>
      </w:r>
      <w:r w:rsidRPr="00AE03CB">
        <w:t>,</w:t>
      </w:r>
      <w:r w:rsidRPr="00AE03CB" w:rsidR="001931F8">
        <w:t>452</w:t>
      </w:r>
      <w:r w:rsidRPr="00AE03CB">
        <w:t>,</w:t>
      </w:r>
      <w:r w:rsidRPr="00AE03CB" w:rsidR="001931F8">
        <w:t>728</w:t>
      </w:r>
      <w:r w:rsidRPr="00AE03CB">
        <w:t>] + [</w:t>
      </w:r>
      <w:r w:rsidRPr="00AE03CB" w:rsidR="001931F8">
        <w:t>7</w:t>
      </w:r>
      <w:r w:rsidRPr="00AE03CB" w:rsidR="00244EC6">
        <w:t>,</w:t>
      </w:r>
      <w:r w:rsidRPr="00AE03CB" w:rsidR="001931F8">
        <w:t>143</w:t>
      </w:r>
      <w:r w:rsidRPr="00AE03CB">
        <w:t>] + [</w:t>
      </w:r>
      <w:r w:rsidRPr="00AE03CB" w:rsidR="001931F8">
        <w:t>142</w:t>
      </w:r>
      <w:r w:rsidRPr="00AE03CB">
        <w:t>,</w:t>
      </w:r>
      <w:r w:rsidRPr="00AE03CB" w:rsidR="001931F8">
        <w:t>931</w:t>
      </w:r>
      <w:r w:rsidRPr="00AE03CB">
        <w:t>] =</w:t>
      </w:r>
      <w:r w:rsidRPr="00AE03CB" w:rsidR="00244EC6">
        <w:t xml:space="preserve"> </w:t>
      </w:r>
      <w:r w:rsidRPr="00AE03CB" w:rsidR="001931F8">
        <w:rPr>
          <w:b/>
        </w:rPr>
        <w:t>14</w:t>
      </w:r>
      <w:r w:rsidRPr="00AE03CB" w:rsidR="00244EC6">
        <w:rPr>
          <w:b/>
        </w:rPr>
        <w:t>,</w:t>
      </w:r>
      <w:r w:rsidRPr="00AE03CB" w:rsidR="001931F8">
        <w:rPr>
          <w:b/>
        </w:rPr>
        <w:t>602</w:t>
      </w:r>
      <w:r w:rsidRPr="00AE03CB" w:rsidR="00244EC6">
        <w:rPr>
          <w:b/>
        </w:rPr>
        <w:t>,</w:t>
      </w:r>
      <w:r w:rsidRPr="00AE03CB" w:rsidR="001931F8">
        <w:rPr>
          <w:b/>
        </w:rPr>
        <w:t>802</w:t>
      </w:r>
      <w:r w:rsidRPr="00AE03CB" w:rsidR="00244EC6">
        <w:rPr>
          <w:b/>
        </w:rPr>
        <w:t xml:space="preserve"> hours</w:t>
      </w:r>
    </w:p>
    <w:p w:rsidR="004A06F9" w:rsidRPr="00AE03CB" w14:paraId="3A02A6DD" w14:textId="77777777"/>
    <w:p w:rsidR="00BC0D31" w:rsidRPr="00AE03CB" w14:paraId="12C838DD" w14:textId="0337EFCB">
      <w:r w:rsidRPr="00AE03CB">
        <w:t xml:space="preserve">The </w:t>
      </w:r>
      <w:r w:rsidRPr="00AE03CB" w:rsidR="007F7670">
        <w:t>current</w:t>
      </w:r>
      <w:r w:rsidRPr="00AE03CB" w:rsidR="0004386D">
        <w:t>ly approved</w:t>
      </w:r>
      <w:r w:rsidRPr="00AE03CB" w:rsidR="007F7670">
        <w:t xml:space="preserve"> </w:t>
      </w:r>
      <w:r w:rsidRPr="00AE03CB">
        <w:t xml:space="preserve">total burden </w:t>
      </w:r>
      <w:r w:rsidRPr="00AE03CB" w:rsidR="00C67A96">
        <w:t xml:space="preserve">for </w:t>
      </w:r>
      <w:r w:rsidRPr="00AE03CB" w:rsidR="0004386D">
        <w:t xml:space="preserve">routine inspection, repair, and maintenance records </w:t>
      </w:r>
      <w:r w:rsidRPr="00AE03CB">
        <w:t xml:space="preserve">is </w:t>
      </w:r>
      <w:r w:rsidRPr="00AE03CB" w:rsidR="00B31BD0">
        <w:t>7</w:t>
      </w:r>
      <w:r w:rsidRPr="00AE03CB" w:rsidR="009217C7">
        <w:t>,</w:t>
      </w:r>
      <w:r w:rsidRPr="00AE03CB" w:rsidR="00B31BD0">
        <w:t>558</w:t>
      </w:r>
      <w:r w:rsidRPr="00AE03CB" w:rsidR="009217C7">
        <w:t>,</w:t>
      </w:r>
      <w:r w:rsidRPr="00AE03CB" w:rsidR="00B31BD0">
        <w:t>390</w:t>
      </w:r>
      <w:r w:rsidRPr="00AE03CB" w:rsidR="009217C7">
        <w:t xml:space="preserve"> hours</w:t>
      </w:r>
      <w:r w:rsidRPr="00AE03CB" w:rsidR="00A95C5A">
        <w:t>.</w:t>
      </w:r>
      <w:r w:rsidRPr="00AE03CB" w:rsidR="00A95C5A">
        <w:rPr>
          <w:b/>
        </w:rPr>
        <w:t xml:space="preserve"> </w:t>
      </w:r>
      <w:r w:rsidRPr="00AE03CB" w:rsidR="00F10743">
        <w:t xml:space="preserve">The </w:t>
      </w:r>
      <w:r w:rsidRPr="00AE03CB" w:rsidR="0004386D">
        <w:t xml:space="preserve">new total </w:t>
      </w:r>
      <w:r w:rsidRPr="00AE03CB" w:rsidR="002F4C8D">
        <w:t xml:space="preserve">of </w:t>
      </w:r>
      <w:r w:rsidRPr="00AE03CB" w:rsidR="00B31BD0">
        <w:rPr>
          <w:b/>
        </w:rPr>
        <w:t>14</w:t>
      </w:r>
      <w:r w:rsidRPr="00AE03CB" w:rsidR="00244EC6">
        <w:rPr>
          <w:b/>
        </w:rPr>
        <w:t>,</w:t>
      </w:r>
      <w:r w:rsidRPr="00AE03CB" w:rsidR="00370FE2">
        <w:rPr>
          <w:b/>
        </w:rPr>
        <w:t>602</w:t>
      </w:r>
      <w:r w:rsidRPr="00AE03CB" w:rsidR="00244EC6">
        <w:rPr>
          <w:b/>
        </w:rPr>
        <w:t>,</w:t>
      </w:r>
      <w:r w:rsidRPr="00AE03CB" w:rsidR="00370FE2">
        <w:rPr>
          <w:b/>
        </w:rPr>
        <w:t>802</w:t>
      </w:r>
      <w:r w:rsidRPr="00AE03CB" w:rsidR="00244EC6">
        <w:rPr>
          <w:b/>
        </w:rPr>
        <w:t xml:space="preserve"> hours</w:t>
      </w:r>
      <w:r w:rsidRPr="00AE03CB" w:rsidR="00244EC6">
        <w:t xml:space="preserve"> </w:t>
      </w:r>
      <w:r w:rsidRPr="00AE03CB" w:rsidR="0004386D">
        <w:t>represents a</w:t>
      </w:r>
      <w:r w:rsidRPr="00AE03CB" w:rsidR="00244EC6">
        <w:t>n</w:t>
      </w:r>
      <w:r w:rsidRPr="00AE03CB" w:rsidR="0004386D">
        <w:t xml:space="preserve"> increase of </w:t>
      </w:r>
      <w:r w:rsidRPr="00AE03CB" w:rsidR="00370FE2">
        <w:t>7</w:t>
      </w:r>
      <w:r w:rsidRPr="00AE03CB" w:rsidR="00244EC6">
        <w:t>,</w:t>
      </w:r>
      <w:r w:rsidRPr="00AE03CB" w:rsidR="00370FE2">
        <w:t>044</w:t>
      </w:r>
      <w:r w:rsidRPr="00AE03CB" w:rsidR="00244EC6">
        <w:t>,</w:t>
      </w:r>
      <w:r w:rsidRPr="00AE03CB" w:rsidR="00370FE2">
        <w:t>412</w:t>
      </w:r>
      <w:r w:rsidRPr="00AE03CB" w:rsidR="0004386D">
        <w:t xml:space="preserve"> hours compared to the </w:t>
      </w:r>
      <w:r w:rsidRPr="00AE03CB" w:rsidR="00370FE2">
        <w:t>7</w:t>
      </w:r>
      <w:r w:rsidRPr="00AE03CB" w:rsidR="0004386D">
        <w:t>,</w:t>
      </w:r>
      <w:r w:rsidRPr="00AE03CB" w:rsidR="00370FE2">
        <w:t>558</w:t>
      </w:r>
      <w:r w:rsidRPr="00AE03CB" w:rsidR="0004386D">
        <w:t>,</w:t>
      </w:r>
      <w:r w:rsidRPr="00AE03CB" w:rsidR="00370FE2">
        <w:t>390</w:t>
      </w:r>
      <w:r w:rsidRPr="00AE03CB" w:rsidR="0004386D">
        <w:t xml:space="preserve"> hours of annual burden estimated in the currently approved ICR.</w:t>
      </w:r>
      <w:r w:rsidRPr="00AE03CB" w:rsidR="00170D4E">
        <w:t xml:space="preserve"> </w:t>
      </w:r>
      <w:r w:rsidRPr="00AE03CB" w:rsidR="007F21B4">
        <w:t xml:space="preserve">The primary reason for the burden increase is that the number of </w:t>
      </w:r>
      <w:r w:rsidRPr="00AE03CB" w:rsidR="00461A3A">
        <w:t>Non-Power</w:t>
      </w:r>
      <w:r w:rsidRPr="00AE03CB" w:rsidR="007F21B4">
        <w:t xml:space="preserve"> Units have almost double</w:t>
      </w:r>
      <w:r w:rsidRPr="00AE03CB" w:rsidR="002E239E">
        <w:t>d</w:t>
      </w:r>
      <w:r w:rsidRPr="00AE03CB" w:rsidR="007F21B4">
        <w:t xml:space="preserve"> since the last information collection report published in </w:t>
      </w:r>
      <w:r w:rsidRPr="00AE03CB" w:rsidR="00002E3F">
        <w:t>2020</w:t>
      </w:r>
      <w:r w:rsidRPr="00AE03CB" w:rsidR="007F21B4">
        <w:t>.</w:t>
      </w:r>
      <w:r w:rsidRPr="00AE03CB" w:rsidR="00F10743">
        <w:t xml:space="preserve"> </w:t>
      </w:r>
    </w:p>
    <w:p w:rsidR="00BC0D31" w:rsidRPr="00AE03CB" w14:paraId="263A4230" w14:textId="77777777"/>
    <w:p w:rsidR="00861636" w:rsidRPr="00AE03CB" w14:paraId="48D78683" w14:textId="77777777">
      <w:pPr>
        <w:pStyle w:val="Heading2"/>
        <w:rPr>
          <w:b/>
          <w:i/>
        </w:rPr>
      </w:pPr>
      <w:r w:rsidRPr="00AE03CB">
        <w:rPr>
          <w:b/>
          <w:i/>
        </w:rPr>
        <w:t>Driver Vehicle</w:t>
      </w:r>
      <w:r w:rsidRPr="00AE03CB" w:rsidR="009D2AB3">
        <w:rPr>
          <w:b/>
          <w:i/>
        </w:rPr>
        <w:t xml:space="preserve"> </w:t>
      </w:r>
      <w:r w:rsidRPr="00AE03CB">
        <w:rPr>
          <w:b/>
          <w:i/>
        </w:rPr>
        <w:t>Inspection Reports</w:t>
      </w:r>
    </w:p>
    <w:p w:rsidR="00861636" w:rsidRPr="00AE03CB" w14:paraId="0F501E31" w14:textId="77777777"/>
    <w:p w:rsidR="00F6049F" w:rsidRPr="00AE03CB" w14:paraId="0FA30609" w14:textId="3D5AFC15">
      <w:r w:rsidRPr="00AE03CB">
        <w:t>Section 396.1</w:t>
      </w:r>
      <w:r w:rsidRPr="00AE03CB" w:rsidR="000E4B2F">
        <w:t>1 of the FMCSRs requires every</w:t>
      </w:r>
      <w:r w:rsidRPr="00AE03CB" w:rsidR="00793E00">
        <w:t xml:space="preserve"> driver </w:t>
      </w:r>
      <w:r w:rsidRPr="00AE03CB" w:rsidR="000E4B2F">
        <w:t xml:space="preserve">to </w:t>
      </w:r>
      <w:r w:rsidRPr="00AE03CB" w:rsidR="00793E00">
        <w:t xml:space="preserve">prepare a written inspection report </w:t>
      </w:r>
      <w:r w:rsidRPr="00AE03CB" w:rsidR="00DC569F">
        <w:t xml:space="preserve">(DVIR) </w:t>
      </w:r>
      <w:r w:rsidRPr="00AE03CB" w:rsidR="00793E00">
        <w:t>at the completion of each day's work on each CMV operated</w:t>
      </w:r>
      <w:r w:rsidRPr="00AE03CB" w:rsidR="003C7A40">
        <w:t xml:space="preserve"> including passenger-carrying CMVs (except private motor carriers of passengers (nonbusiness))</w:t>
      </w:r>
      <w:r>
        <w:rPr>
          <w:vertAlign w:val="superscript"/>
        </w:rPr>
        <w:footnoteReference w:id="6"/>
      </w:r>
      <w:r w:rsidRPr="00AE03CB" w:rsidR="00E13E50">
        <w:t>, only</w:t>
      </w:r>
      <w:r w:rsidRPr="00AE03CB" w:rsidR="000E4B2F">
        <w:t xml:space="preserve"> if </w:t>
      </w:r>
      <w:r w:rsidRPr="00AE03CB" w:rsidR="00E13E50">
        <w:t>a defect or deficiency was discovered by or reported to the driver that would affect the safety of operation of the vehicle or result in its mechanical breakdown</w:t>
      </w:r>
      <w:r w:rsidRPr="00AE03CB" w:rsidR="00793E00">
        <w:t>, except when his or her employing motor carrier operates only one CMV</w:t>
      </w:r>
      <w:r w:rsidRPr="00AE03CB" w:rsidR="00FE5C61">
        <w:t xml:space="preserve"> and </w:t>
      </w:r>
      <w:r w:rsidRPr="00AE03CB" w:rsidR="00725116">
        <w:t xml:space="preserve">for </w:t>
      </w:r>
      <w:r w:rsidRPr="00AE03CB" w:rsidR="00FE5C61">
        <w:t xml:space="preserve">driveaway-towaway </w:t>
      </w:r>
      <w:r w:rsidRPr="00AE03CB" w:rsidR="00FE5C61">
        <w:t>operators</w:t>
      </w:r>
      <w:r>
        <w:rPr>
          <w:rStyle w:val="FootnoteReference"/>
        </w:rPr>
        <w:footnoteReference w:id="7"/>
      </w:r>
      <w:r w:rsidRPr="00AE03CB" w:rsidR="008125D7">
        <w:t xml:space="preserve"> (§ 396.11(a)(5))</w:t>
      </w:r>
      <w:r w:rsidRPr="00AE03CB" w:rsidR="00793E00">
        <w:t xml:space="preserve">. </w:t>
      </w:r>
      <w:r w:rsidRPr="00AE03CB" w:rsidR="00861636">
        <w:t xml:space="preserve">FMCSA estimates the time for a driver to prepare a </w:t>
      </w:r>
      <w:r w:rsidRPr="00AE03CB" w:rsidR="009C2C8F">
        <w:t>DVIR</w:t>
      </w:r>
      <w:r w:rsidRPr="00AE03CB" w:rsidR="00861636">
        <w:t xml:space="preserve"> and provide a copy to his/her employing motor carrier is approximately 2.5 minutes </w:t>
      </w:r>
      <w:r w:rsidRPr="00AE03CB" w:rsidR="00DE7186">
        <w:t xml:space="preserve">(150 seconds) </w:t>
      </w:r>
      <w:r w:rsidRPr="00AE03CB" w:rsidR="00861636">
        <w:t>on average.</w:t>
      </w:r>
      <w:r w:rsidRPr="00AE03CB" w:rsidR="009D2AB3">
        <w:t xml:space="preserve">  </w:t>
      </w:r>
    </w:p>
    <w:p w:rsidR="00F6049F" w:rsidRPr="00AE03CB" w14:paraId="7C2B3EA3" w14:textId="77777777"/>
    <w:p w:rsidR="00F6049F" w:rsidRPr="00AE03CB" w14:paraId="33F3324E" w14:textId="35665F00">
      <w:r w:rsidRPr="00AE03CB">
        <w:t xml:space="preserve">For each DVIR that lists any defect or deficiency, every </w:t>
      </w:r>
      <w:r w:rsidRPr="00AE03CB" w:rsidR="00E13E50">
        <w:t>motor carrier is required to certify on the original DVIR</w:t>
      </w:r>
      <w:r w:rsidRPr="00AE03CB">
        <w:t xml:space="preserve"> </w:t>
      </w:r>
      <w:r w:rsidRPr="00AE03CB" w:rsidR="00E13E50">
        <w:t>that the defect or deficiency has been repaired or that repair is unnecessary before the vehicle is operated again.</w:t>
      </w:r>
      <w:r w:rsidRPr="00AE03CB" w:rsidR="009D2AB3">
        <w:t xml:space="preserve"> FMCSA estimates that certification of corrective action takes 0.5 minutes</w:t>
      </w:r>
      <w:r w:rsidRPr="00AE03CB" w:rsidR="00DE7186">
        <w:t xml:space="preserve"> (30 seconds)</w:t>
      </w:r>
      <w:r w:rsidRPr="00AE03CB" w:rsidR="009D2AB3">
        <w:t xml:space="preserve">.  </w:t>
      </w:r>
    </w:p>
    <w:p w:rsidR="0028487D" w:rsidRPr="00AE03CB" w:rsidP="006721E6" w14:paraId="3A8EF0C6" w14:textId="77777777"/>
    <w:p w:rsidR="006721E6" w:rsidRPr="00AE03CB" w:rsidP="006721E6" w14:paraId="13DDA39E" w14:textId="392E26B0">
      <w:r w:rsidRPr="00AE03CB">
        <w:t xml:space="preserve">Section 396.13 requires a driver to review the last </w:t>
      </w:r>
      <w:r w:rsidRPr="00AE03CB" w:rsidR="00DC569F">
        <w:t>DVIR</w:t>
      </w:r>
      <w:r w:rsidRPr="00AE03CB">
        <w:t xml:space="preserve"> and sign </w:t>
      </w:r>
      <w:r w:rsidRPr="00AE03CB" w:rsidR="003C7A40">
        <w:t xml:space="preserve">if defects or deficiencies were noted by the driver who prepared it, </w:t>
      </w:r>
      <w:r w:rsidRPr="00AE03CB">
        <w:t xml:space="preserve">to acknowledge that </w:t>
      </w:r>
      <w:r w:rsidRPr="00AE03CB" w:rsidR="009C2C8F">
        <w:t xml:space="preserve">the DVIR </w:t>
      </w:r>
      <w:r w:rsidRPr="00AE03CB">
        <w:t xml:space="preserve">was reviewed </w:t>
      </w:r>
      <w:r w:rsidRPr="00AE03CB" w:rsidR="009C2C8F">
        <w:t xml:space="preserve">before the vehicle is operated again </w:t>
      </w:r>
      <w:r w:rsidRPr="00AE03CB">
        <w:t xml:space="preserve">and that there is a certification that repairs were made or were unnecessary. </w:t>
      </w:r>
      <w:r w:rsidRPr="00AE03CB" w:rsidR="00D943F3">
        <w:t xml:space="preserve">The Agency estimates that reviewing a previous DVIR takes 15 seconds, and </w:t>
      </w:r>
      <w:r w:rsidRPr="00AE03CB" w:rsidR="00725116">
        <w:t xml:space="preserve">an </w:t>
      </w:r>
      <w:r w:rsidRPr="00AE03CB" w:rsidR="00D943F3">
        <w:t xml:space="preserve">additional 5 seconds to sign it. </w:t>
      </w:r>
      <w:r w:rsidRPr="00AE03CB">
        <w:t xml:space="preserve">From the above, the total burden per </w:t>
      </w:r>
      <w:r w:rsidRPr="00AE03CB" w:rsidR="009C2C8F">
        <w:t>DVIR</w:t>
      </w:r>
      <w:r w:rsidRPr="00AE03CB">
        <w:t xml:space="preserve"> when a defect </w:t>
      </w:r>
      <w:r w:rsidRPr="00AE03CB" w:rsidR="009C2C8F">
        <w:t xml:space="preserve">or deficiency </w:t>
      </w:r>
      <w:r w:rsidRPr="00AE03CB">
        <w:t xml:space="preserve">is found is </w:t>
      </w:r>
      <w:r w:rsidRPr="00AE03CB" w:rsidR="00DE7186">
        <w:t>200 seconds</w:t>
      </w:r>
      <w:r w:rsidRPr="00AE03CB">
        <w:t xml:space="preserve"> (2.5 minutes </w:t>
      </w:r>
      <w:r w:rsidRPr="00AE03CB" w:rsidR="009C2C8F">
        <w:t>to prepare the DVIR and provide a copy to the motor carrier</w:t>
      </w:r>
      <w:r w:rsidRPr="00AE03CB">
        <w:t xml:space="preserve"> + </w:t>
      </w:r>
      <w:r w:rsidRPr="00AE03CB" w:rsidR="00DE7186">
        <w:t>30 seconds</w:t>
      </w:r>
      <w:r w:rsidRPr="00AE03CB">
        <w:t xml:space="preserve"> </w:t>
      </w:r>
      <w:r w:rsidRPr="00AE03CB" w:rsidR="009C2C8F">
        <w:t xml:space="preserve">for the motor carrier </w:t>
      </w:r>
      <w:r w:rsidRPr="00AE03CB">
        <w:t xml:space="preserve">to certify corrective action + </w:t>
      </w:r>
      <w:r w:rsidRPr="00AE03CB" w:rsidR="00273679">
        <w:t xml:space="preserve">15 seconds for a driver to review the previous DVIR + </w:t>
      </w:r>
      <w:r w:rsidRPr="00AE03CB" w:rsidR="00DE7186">
        <w:t>5 seconds</w:t>
      </w:r>
      <w:r w:rsidRPr="00AE03CB">
        <w:t xml:space="preserve"> </w:t>
      </w:r>
      <w:r w:rsidRPr="00AE03CB" w:rsidR="00273679">
        <w:t xml:space="preserve">for a driver </w:t>
      </w:r>
      <w:r w:rsidRPr="00AE03CB">
        <w:t xml:space="preserve">to review </w:t>
      </w:r>
      <w:r w:rsidRPr="00AE03CB" w:rsidR="009C2C8F">
        <w:t xml:space="preserve">and sign the </w:t>
      </w:r>
      <w:r w:rsidRPr="00AE03CB" w:rsidR="00273679">
        <w:t xml:space="preserve">previous </w:t>
      </w:r>
      <w:r w:rsidRPr="00AE03CB" w:rsidR="009C2C8F">
        <w:t>DVIR</w:t>
      </w:r>
      <w:r w:rsidRPr="00AE03CB">
        <w:t>)</w:t>
      </w:r>
      <w:r w:rsidRPr="00AE03CB" w:rsidR="009C2C8F">
        <w:t>.</w:t>
      </w:r>
    </w:p>
    <w:p w:rsidR="00F6049F" w:rsidRPr="00AE03CB" w14:paraId="38DAB09A" w14:textId="77777777"/>
    <w:p w:rsidR="00F67F6E" w:rsidRPr="00AE03CB" w14:paraId="38B5D35F" w14:textId="77777777">
      <w:r w:rsidRPr="00AE03CB">
        <w:t>FMCSA estimates that drivers discover vehicle d</w:t>
      </w:r>
      <w:r w:rsidRPr="00AE03CB" w:rsidR="00793E00">
        <w:t>efects</w:t>
      </w:r>
      <w:r w:rsidRPr="00AE03CB" w:rsidR="000018C6">
        <w:t xml:space="preserve"> or deficiencies</w:t>
      </w:r>
      <w:r w:rsidRPr="00AE03CB" w:rsidR="00793E00">
        <w:t xml:space="preserve"> in 5 percent of </w:t>
      </w:r>
      <w:r w:rsidRPr="00AE03CB">
        <w:t>inspections.</w:t>
      </w:r>
    </w:p>
    <w:p w:rsidR="00F67F6E" w:rsidRPr="00AE03CB" w14:paraId="327AABAB" w14:textId="77777777"/>
    <w:p w:rsidR="00F6049F" w:rsidRPr="00AE03CB" w14:paraId="271895E4" w14:textId="5EB4852D">
      <w:r w:rsidRPr="00AE03CB">
        <w:t xml:space="preserve">As noted above, </w:t>
      </w:r>
      <w:r w:rsidRPr="00AE03CB" w:rsidR="00060434">
        <w:t xml:space="preserve">FMCSA estimates that there are </w:t>
      </w:r>
      <w:r w:rsidRPr="00AE03CB" w:rsidR="00AD7791">
        <w:t>407</w:t>
      </w:r>
      <w:r w:rsidRPr="00AE03CB" w:rsidR="00B65EB2">
        <w:t>,</w:t>
      </w:r>
      <w:r w:rsidRPr="00AE03CB" w:rsidR="00AD7791">
        <w:t>872</w:t>
      </w:r>
      <w:r w:rsidRPr="00AE03CB" w:rsidR="00060434">
        <w:t xml:space="preserve"> interstate motor carriers operating one CMV</w:t>
      </w:r>
      <w:r w:rsidRPr="00AE03CB">
        <w:t>, and such operations are excepted from the DVIR reporting requirement</w:t>
      </w:r>
      <w:r w:rsidRPr="00AE03CB" w:rsidR="00060434">
        <w:t xml:space="preserve">. Some CMVs are not operated on any given day. Consistent with previous estimates, we estimate that there is a 65% probability that a CMV will be operated on any given day. For days </w:t>
      </w:r>
      <w:r w:rsidRPr="00AE03CB" w:rsidR="001979EF">
        <w:t>on</w:t>
      </w:r>
      <w:r w:rsidRPr="00AE03CB" w:rsidR="00060434">
        <w:t xml:space="preserve"> which a CMV is not operated, no DVIR is required.  For a tractor-trailer combination, only one DVIR is prepared.  FMCSA estimates that 25% of tractor-trailer drivers operate an average of two vehicle combinations per day.</w:t>
      </w:r>
    </w:p>
    <w:p w:rsidR="00DB230B" w:rsidRPr="00AE03CB" w14:paraId="753B0C57" w14:textId="77777777"/>
    <w:p w:rsidR="00F80B29" w:rsidRPr="00AE03CB" w:rsidP="000710EB" w14:paraId="1949D564" w14:textId="561E71D0">
      <w:r w:rsidRPr="00AE03CB">
        <w:t xml:space="preserve">As a result of the </w:t>
      </w:r>
      <w:r w:rsidRPr="00AE03CB" w:rsidR="00AF3B2C">
        <w:t xml:space="preserve">December 2014 and </w:t>
      </w:r>
      <w:r w:rsidRPr="00AE03CB" w:rsidR="00AD7791">
        <w:t>August</w:t>
      </w:r>
      <w:r w:rsidRPr="00AE03CB">
        <w:t xml:space="preserve"> </w:t>
      </w:r>
      <w:r w:rsidRPr="00AE03CB" w:rsidR="005A6714">
        <w:t>20</w:t>
      </w:r>
      <w:r w:rsidRPr="00AE03CB" w:rsidR="00AD7791">
        <w:t>20</w:t>
      </w:r>
      <w:r w:rsidRPr="00AE03CB">
        <w:t xml:space="preserve"> rule</w:t>
      </w:r>
      <w:r w:rsidRPr="00AE03CB" w:rsidR="00D943F3">
        <w:t>s</w:t>
      </w:r>
      <w:r w:rsidRPr="00AE03CB">
        <w:t>, which</w:t>
      </w:r>
      <w:r w:rsidRPr="00AE03CB">
        <w:t xml:space="preserve"> elimin</w:t>
      </w:r>
      <w:r w:rsidRPr="00AE03CB">
        <w:t>ated</w:t>
      </w:r>
      <w:r w:rsidRPr="00AE03CB">
        <w:t xml:space="preserve"> the requirement for CMV drivers </w:t>
      </w:r>
      <w:r w:rsidRPr="00AE03CB" w:rsidR="00AF3B2C">
        <w:t xml:space="preserve">operating in interstate commerce </w:t>
      </w:r>
      <w:r w:rsidRPr="00AE03CB">
        <w:t xml:space="preserve">including those </w:t>
      </w:r>
      <w:r w:rsidRPr="00AE03CB">
        <w:t>passenger-carrying CMVs, to submit – and motor carriers to retain –</w:t>
      </w:r>
      <w:r w:rsidRPr="00AE03CB" w:rsidR="00F0771B">
        <w:t xml:space="preserve"> </w:t>
      </w:r>
      <w:r w:rsidRPr="00AE03CB">
        <w:t xml:space="preserve">DVIRs when the driver has neither found nor been made aware of any </w:t>
      </w:r>
      <w:r w:rsidRPr="00AE03CB" w:rsidR="005A6714">
        <w:t>vehicle defects or deficiencies, the burden associated with DVIRs is calculated as follows:</w:t>
      </w:r>
    </w:p>
    <w:p w:rsidR="00766629" w:rsidRPr="00AE03CB" w:rsidP="000710EB" w14:paraId="0AF1AB7C" w14:textId="1C202C22">
      <w:r w:rsidRPr="00AE03CB">
        <w:rPr>
          <w:b/>
          <w:i/>
        </w:rPr>
        <w:t>DVIR Burden</w:t>
      </w:r>
      <w:r w:rsidRPr="00AE03CB">
        <w:t xml:space="preserve"> </w:t>
      </w:r>
    </w:p>
    <w:p w:rsidR="00527387" w:rsidRPr="00AE03CB" w:rsidP="000710EB" w14:paraId="744C6173" w14:textId="77777777"/>
    <w:p w:rsidR="000B7886" w:rsidRPr="00AE03CB" w:rsidP="001A4E01" w14:paraId="3E2D09B0" w14:textId="3B6A194A">
      <w:bookmarkStart w:id="4" w:name="_Hlk141350196"/>
      <w:r w:rsidRPr="00AE03CB">
        <w:t xml:space="preserve">IC4 = {[(Number of Power Units) + (Number of truck-tractors (Total of Interstate Freight Carriers + Total of Intrastate HM Carriers) x 25% truck-tractor drivers that operate 2 vehicle combinations/day) – (Number of single-CMV operations)] x (65% average daily use) x (365 days/year) x (5% DVIRs with defects) x [(150 seconds to prepare DVIR + 30 </w:t>
      </w:r>
      <w:r w:rsidRPr="00AE03CB">
        <w:t xml:space="preserve">seconds certification of corrective action + 15 seconds for driver to review DVIR + 5 seconds for driver to sign DVIR)] x (1 hour/3600 seconds)} </w:t>
      </w:r>
    </w:p>
    <w:p w:rsidR="00E723CD" w:rsidRPr="00AE03CB" w:rsidP="001A4E01" w14:paraId="705900EC" w14:textId="26598C2B"/>
    <w:p w:rsidR="00E723CD" w:rsidRPr="00AE03CB" w:rsidP="00E723CD" w14:paraId="64D36936" w14:textId="09994FDE">
      <w:r w:rsidRPr="00AE03CB">
        <w:t>Number of Respondents IC4 = (Number of Power Units) + (Number of truck-tractors (Total of Interstate Freight Carriers + Total of Intrastate HM Carriers) x 25% truck-tractor drivers that operate 2 vehicle combinations/day) – (Number of single-CMV operations) = (5,132,101) + ((2,445,684) X (0.25)) – (407,872) = 5,335,650</w:t>
      </w:r>
    </w:p>
    <w:p w:rsidR="001A4E01" w:rsidRPr="00AE03CB" w:rsidP="001A4E01" w14:paraId="6017B845" w14:textId="363F870F">
      <w:r w:rsidRPr="00AE03CB">
        <w:t xml:space="preserve"> </w:t>
      </w:r>
    </w:p>
    <w:p w:rsidR="001A4E01" w:rsidRPr="00AE03CB" w:rsidP="001A4E01" w14:paraId="20F720AC" w14:textId="0E937BD0">
      <w:r w:rsidRPr="00AE03CB">
        <w:t xml:space="preserve">Responses </w:t>
      </w:r>
      <w:r w:rsidRPr="00AE03CB" w:rsidR="00F513D8">
        <w:t>IC</w:t>
      </w:r>
      <w:r w:rsidRPr="00AE03CB">
        <w:t xml:space="preserve">4 = </w:t>
      </w:r>
      <w:r w:rsidRPr="00AE03CB" w:rsidR="00E723CD">
        <w:t>[Number of Respondents IC4]</w:t>
      </w:r>
      <w:r w:rsidRPr="00AE03CB">
        <w:t xml:space="preserve"> x (65% average daily use) x (365 days/year) x (5% DVIRs with defects)</w:t>
      </w:r>
      <w:r w:rsidRPr="00AE03CB" w:rsidR="00EB5E6D">
        <w:t xml:space="preserve"> </w:t>
      </w:r>
      <w:r w:rsidRPr="00AE03CB">
        <w:t>= [</w:t>
      </w:r>
      <w:r w:rsidRPr="00AE03CB" w:rsidR="00E723CD">
        <w:t>5,335,650</w:t>
      </w:r>
      <w:r w:rsidRPr="00AE03CB">
        <w:t>] x (0.65) x (365) x (0.05) = 63,294,148</w:t>
      </w:r>
    </w:p>
    <w:p w:rsidR="00751E31" w:rsidRPr="00AE03CB" w:rsidP="001A4E01" w14:paraId="785C7BEC" w14:textId="77777777"/>
    <w:p w:rsidR="001A4E01" w:rsidRPr="00AE03CB" w:rsidP="001A4E01" w14:paraId="43AD2354" w14:textId="29A4A8B5">
      <w:r w:rsidRPr="00AE03CB">
        <w:t xml:space="preserve">IC4 = {(Responses </w:t>
      </w:r>
      <w:r w:rsidRPr="00AE03CB" w:rsidR="00F513D8">
        <w:t>IC</w:t>
      </w:r>
      <w:r w:rsidRPr="00AE03CB">
        <w:t xml:space="preserve">4) x [(150 seconds to prepare DVIR + 30 seconds certification of corrective action + 15 seconds for driver to review DVIR + 5 seconds for driver to sign DVIR)] x (1 hour/3600 seconds)}  </w:t>
      </w:r>
    </w:p>
    <w:p w:rsidR="001A4E01" w:rsidRPr="00AE03CB" w:rsidP="001A4E01" w14:paraId="6FFA2260" w14:textId="77777777"/>
    <w:p w:rsidR="001A4E01" w:rsidRPr="00AE03CB" w:rsidP="001A4E01" w14:paraId="390814FF" w14:textId="20B19804">
      <w:r w:rsidRPr="00AE03CB">
        <w:t>IC4 = {(63,294,148) x (200) x (1/3600)} = 3,516,342</w:t>
      </w:r>
    </w:p>
    <w:bookmarkEnd w:id="4"/>
    <w:p w:rsidR="004C23F6" w:rsidRPr="00AE03CB" w:rsidP="000710EB" w14:paraId="1EEBB792" w14:textId="53EE1E0D"/>
    <w:p w:rsidR="004A4167" w:rsidRPr="00AE03CB" w:rsidP="000710EB" w14:paraId="34AA6B85" w14:textId="2932F894">
      <w:r w:rsidRPr="00AE03CB">
        <w:t xml:space="preserve">Total DVIR Burden </w:t>
      </w:r>
    </w:p>
    <w:p w:rsidR="001A4E01" w:rsidRPr="00AE03CB" w:rsidP="000710EB" w14:paraId="2377145E" w14:textId="77777777"/>
    <w:p w:rsidR="004A4167" w:rsidRPr="00AE03CB" w:rsidP="000710EB" w14:paraId="08EBAF1A" w14:textId="3F46494C">
      <w:r w:rsidRPr="00AE03CB">
        <w:t>= IC4 = 3,</w:t>
      </w:r>
      <w:r w:rsidRPr="00AE03CB" w:rsidR="00E22803">
        <w:t>516</w:t>
      </w:r>
      <w:r w:rsidRPr="00AE03CB">
        <w:t>,</w:t>
      </w:r>
      <w:r w:rsidRPr="00AE03CB" w:rsidR="00E22803">
        <w:t>342</w:t>
      </w:r>
      <w:r w:rsidRPr="00AE03CB" w:rsidR="00277073">
        <w:t xml:space="preserve"> = </w:t>
      </w:r>
      <w:r w:rsidRPr="00AE03CB" w:rsidR="00E22803">
        <w:rPr>
          <w:b/>
        </w:rPr>
        <w:t>3</w:t>
      </w:r>
      <w:r w:rsidRPr="00AE03CB" w:rsidR="00277073">
        <w:rPr>
          <w:b/>
        </w:rPr>
        <w:t>,5</w:t>
      </w:r>
      <w:r w:rsidRPr="00AE03CB" w:rsidR="00E22803">
        <w:rPr>
          <w:b/>
        </w:rPr>
        <w:t>16</w:t>
      </w:r>
      <w:r w:rsidRPr="00AE03CB" w:rsidR="00277073">
        <w:rPr>
          <w:b/>
        </w:rPr>
        <w:t>,</w:t>
      </w:r>
      <w:r w:rsidRPr="00AE03CB" w:rsidR="00E22803">
        <w:rPr>
          <w:b/>
        </w:rPr>
        <w:t>342</w:t>
      </w:r>
      <w:r w:rsidRPr="00AE03CB" w:rsidR="00277073">
        <w:rPr>
          <w:b/>
        </w:rPr>
        <w:t xml:space="preserve"> hours</w:t>
      </w:r>
    </w:p>
    <w:p w:rsidR="005A6714" w:rsidRPr="00AE03CB" w:rsidP="000710EB" w14:paraId="54A92D7E" w14:textId="77777777"/>
    <w:p w:rsidR="005A6714" w:rsidRPr="00AE03CB" w:rsidP="000710EB" w14:paraId="79432BB0" w14:textId="00C90824">
      <w:r w:rsidRPr="00AE03CB">
        <w:t xml:space="preserve">The currently approved annual burden for DVIRs is </w:t>
      </w:r>
      <w:r w:rsidRPr="00AE03CB" w:rsidR="00D02498">
        <w:rPr>
          <w:b/>
        </w:rPr>
        <w:t xml:space="preserve">3,134,875 </w:t>
      </w:r>
      <w:r w:rsidRPr="00AE03CB">
        <w:t xml:space="preserve">hours. </w:t>
      </w:r>
      <w:r w:rsidRPr="00AE03CB" w:rsidR="00272555">
        <w:t xml:space="preserve">The new total of </w:t>
      </w:r>
      <w:r w:rsidRPr="00AE03CB" w:rsidR="00E22803">
        <w:rPr>
          <w:b/>
        </w:rPr>
        <w:t>3</w:t>
      </w:r>
      <w:r w:rsidRPr="00AE03CB" w:rsidR="00272555">
        <w:rPr>
          <w:b/>
        </w:rPr>
        <w:t>,5</w:t>
      </w:r>
      <w:r w:rsidRPr="00AE03CB" w:rsidR="00E22803">
        <w:rPr>
          <w:b/>
        </w:rPr>
        <w:t>16</w:t>
      </w:r>
      <w:r w:rsidRPr="00AE03CB" w:rsidR="00272555">
        <w:rPr>
          <w:b/>
        </w:rPr>
        <w:t>,</w:t>
      </w:r>
      <w:r w:rsidRPr="00AE03CB" w:rsidR="00E22803">
        <w:rPr>
          <w:b/>
        </w:rPr>
        <w:t>34</w:t>
      </w:r>
      <w:r w:rsidRPr="00AE03CB" w:rsidR="00272555">
        <w:rPr>
          <w:b/>
        </w:rPr>
        <w:t>2 hours</w:t>
      </w:r>
      <w:r w:rsidRPr="00AE03CB" w:rsidR="00272555">
        <w:t xml:space="preserve"> represents a</w:t>
      </w:r>
      <w:r w:rsidRPr="00AE03CB" w:rsidR="002C3BD7">
        <w:t>n increase</w:t>
      </w:r>
      <w:r w:rsidRPr="00AE03CB" w:rsidR="00E22803">
        <w:t xml:space="preserve"> </w:t>
      </w:r>
      <w:r w:rsidRPr="00AE03CB" w:rsidR="00272555">
        <w:t>of hours compared to the hours of annual burden estimated in the currently approved ICR</w:t>
      </w:r>
      <w:r w:rsidRPr="00AE03CB" w:rsidR="002C3BD7">
        <w:t xml:space="preserve"> primarily driven by a significant increase in both intrastate HM carriers and single CMV operations</w:t>
      </w:r>
      <w:r w:rsidRPr="00AE03CB" w:rsidR="00272555">
        <w:t xml:space="preserve">. </w:t>
      </w:r>
    </w:p>
    <w:p w:rsidR="005978D7" w:rsidRPr="00AE03CB" w:rsidP="000710EB" w14:paraId="20EFF4E0" w14:textId="77777777"/>
    <w:p w:rsidR="00861636" w:rsidRPr="00AE03CB" w14:paraId="30920B9E" w14:textId="77777777">
      <w:pPr>
        <w:pStyle w:val="Heading2"/>
        <w:rPr>
          <w:b/>
          <w:i/>
        </w:rPr>
      </w:pPr>
      <w:r w:rsidRPr="00AE03CB">
        <w:rPr>
          <w:b/>
          <w:i/>
        </w:rPr>
        <w:t>Disposition of Roadside Inspection Reports</w:t>
      </w:r>
    </w:p>
    <w:p w:rsidR="00861636" w:rsidRPr="00AE03CB" w14:paraId="6DD488DC" w14:textId="77777777"/>
    <w:p w:rsidR="009534BA" w:rsidRPr="00AE03CB" w14:paraId="64F07604" w14:textId="6811DE95">
      <w:r w:rsidRPr="00AE03CB">
        <w:t xml:space="preserve">The driver of any CMV </w:t>
      </w:r>
      <w:r w:rsidRPr="00AE03CB" w:rsidR="00BC000B">
        <w:t xml:space="preserve">on </w:t>
      </w:r>
      <w:r w:rsidRPr="00AE03CB">
        <w:t xml:space="preserve">which a roadside inspection is performed must deliver the inspection report to his/her employing motor carrier. If the driver is not scheduled to return or arrive at the motor carrier's facility or terminal within 24 hours, the driver must </w:t>
      </w:r>
      <w:r w:rsidRPr="00AE03CB">
        <w:t xml:space="preserve">mail or otherwise </w:t>
      </w:r>
      <w:r w:rsidRPr="00AE03CB" w:rsidR="0009314D">
        <w:t xml:space="preserve">transmit </w:t>
      </w:r>
      <w:r w:rsidRPr="00AE03CB">
        <w:t xml:space="preserve">the </w:t>
      </w:r>
      <w:r w:rsidRPr="00AE03CB" w:rsidR="000506EF">
        <w:t xml:space="preserve">roadside inspection </w:t>
      </w:r>
      <w:r w:rsidRPr="00AE03CB">
        <w:t>report</w:t>
      </w:r>
      <w:r w:rsidRPr="00AE03CB" w:rsidR="00B51443">
        <w:t xml:space="preserve"> to the motor carrier</w:t>
      </w:r>
      <w:r w:rsidRPr="00AE03CB">
        <w:t xml:space="preserve">. Upon receiving the report, the motor carrier must examine it, ensure that all noted violations and defects are corrected, certify that the violations have been corrected, and return the completed report to the </w:t>
      </w:r>
      <w:r w:rsidRPr="00AE03CB" w:rsidR="00B51443">
        <w:t xml:space="preserve">agency that issued it. (Generally, this would be a </w:t>
      </w:r>
      <w:r w:rsidRPr="00AE03CB" w:rsidR="00B51443">
        <w:t>State</w:t>
      </w:r>
      <w:r w:rsidRPr="00AE03CB" w:rsidR="00B51443">
        <w:t xml:space="preserve"> agency that is an FMCSA Motor Carrier Safety Assistance Program grantee.)</w:t>
      </w:r>
      <w:r w:rsidRPr="00AE03CB" w:rsidR="007F3E31">
        <w:t xml:space="preserve"> </w:t>
      </w:r>
      <w:r w:rsidRPr="00AE03CB">
        <w:t xml:space="preserve">If the report has no noted violations or defects, no certification or return of the report is required.  </w:t>
      </w:r>
    </w:p>
    <w:p w:rsidR="009534BA" w:rsidRPr="00AE03CB" w:rsidP="009534BA" w14:paraId="77EC59C2" w14:textId="08938225">
      <w:r w:rsidRPr="00AE03CB">
        <w:t xml:space="preserve">There were </w:t>
      </w:r>
      <w:r w:rsidRPr="00AE03CB" w:rsidR="00833E45">
        <w:t>2</w:t>
      </w:r>
      <w:r w:rsidRPr="00AE03CB">
        <w:t>,</w:t>
      </w:r>
      <w:r w:rsidRPr="00AE03CB" w:rsidR="00833E45">
        <w:t>881</w:t>
      </w:r>
      <w:r w:rsidRPr="00AE03CB">
        <w:t>,</w:t>
      </w:r>
      <w:r w:rsidRPr="00AE03CB" w:rsidR="00833E45">
        <w:t>84</w:t>
      </w:r>
      <w:r w:rsidRPr="00AE03CB" w:rsidR="00CB0594">
        <w:t>6</w:t>
      </w:r>
      <w:r w:rsidRPr="00AE03CB">
        <w:t xml:space="preserve"> roadside inspections conducted in 20</w:t>
      </w:r>
      <w:r w:rsidRPr="00AE03CB" w:rsidR="00833E45">
        <w:t>21</w:t>
      </w:r>
      <w:r w:rsidRPr="00AE03CB">
        <w:t xml:space="preserve">. </w:t>
      </w:r>
      <w:r w:rsidRPr="00AE03CB">
        <w:t xml:space="preserve">According to the FMCSA's </w:t>
      </w:r>
      <w:r w:rsidRPr="00AE03CB">
        <w:t>20</w:t>
      </w:r>
      <w:r w:rsidRPr="00AE03CB" w:rsidR="00833E45">
        <w:t>21</w:t>
      </w:r>
      <w:r w:rsidRPr="00AE03CB">
        <w:t xml:space="preserve"> </w:t>
      </w:r>
      <w:r w:rsidRPr="00AE03CB">
        <w:t xml:space="preserve">roadside inspection data, </w:t>
      </w:r>
      <w:r w:rsidRPr="00AE03CB" w:rsidR="00DB5A75">
        <w:t>4</w:t>
      </w:r>
      <w:r w:rsidRPr="00AE03CB" w:rsidR="00833E45">
        <w:t>3</w:t>
      </w:r>
      <w:r w:rsidRPr="00AE03CB">
        <w:t xml:space="preserve">% of roadside inspections </w:t>
      </w:r>
      <w:r w:rsidRPr="00AE03CB" w:rsidR="005D30A0">
        <w:t xml:space="preserve">had </w:t>
      </w:r>
      <w:r w:rsidRPr="00AE03CB">
        <w:t>no noted defects or violations.</w:t>
      </w:r>
      <w:r>
        <w:rPr>
          <w:rStyle w:val="FootnoteReference"/>
        </w:rPr>
        <w:footnoteReference w:id="8"/>
      </w:r>
    </w:p>
    <w:p w:rsidR="009534BA" w:rsidRPr="00AE03CB" w:rsidP="009534BA" w14:paraId="413C4D4E" w14:textId="77777777"/>
    <w:p w:rsidR="009534BA" w:rsidRPr="00AE03CB" w:rsidP="009534BA" w14:paraId="416E7D7B" w14:textId="1DF46E5B">
      <w:r w:rsidRPr="00AE03CB">
        <w:t>The FMCSA estimates that 45% of the drivers involved in roadside inspections do not return to their motor carrier's facility or terminal within 24 hours of the inspection. The agency also estimates that it takes a driver approximately 2 minutes to mail an inspection report to his/her employing motor carrier.</w:t>
      </w:r>
    </w:p>
    <w:p w:rsidR="00357597" w:rsidRPr="00AE03CB" w:rsidP="009534BA" w14:paraId="4F1D5484" w14:textId="77777777">
      <w:r w:rsidRPr="00AE03CB">
        <w:t>The time needed for a motor carrier to examine the report depends on the amount of information within the report, but the FMCSA estimates that it takes a motor carrier approximately 5 minutes on average to examine the inspection report, certify that the noted violations have been corrected, mail the certified report, and retain and file a copy.</w:t>
      </w:r>
    </w:p>
    <w:p w:rsidR="00BC000B" w:rsidRPr="00AE03CB" w:rsidP="00DB5A75" w14:paraId="4771E9DE" w14:textId="7EF4A6FF">
      <w:pPr>
        <w:rPr>
          <w:b/>
          <w:i/>
        </w:rPr>
      </w:pPr>
      <w:r w:rsidRPr="00AE03CB">
        <w:t>The total hour burden of these records is calculated as follows:</w:t>
      </w:r>
    </w:p>
    <w:p w:rsidR="00527387" w:rsidRPr="00AE03CB" w:rsidP="00DB5A75" w14:paraId="526A5BE7" w14:textId="70A6BB72">
      <w:pPr>
        <w:rPr>
          <w:b/>
          <w:i/>
        </w:rPr>
      </w:pPr>
      <w:r w:rsidRPr="00AE03CB">
        <w:rPr>
          <w:b/>
          <w:i/>
        </w:rPr>
        <w:t>Disposition of Roadside Inspection Reports Burden</w:t>
      </w:r>
    </w:p>
    <w:p w:rsidR="0011770A" w:rsidRPr="00AE03CB" w:rsidP="00DB5A75" w14:paraId="27847869" w14:textId="77777777">
      <w:pPr>
        <w:rPr>
          <w:b/>
          <w:i/>
        </w:rPr>
      </w:pPr>
    </w:p>
    <w:p w:rsidR="00527387" w:rsidRPr="00AE03CB" w:rsidP="00DB5A75" w14:paraId="55547CF1" w14:textId="6B48A67F">
      <w:r w:rsidRPr="00AE03CB">
        <w:t>IC5</w:t>
      </w:r>
      <w:r w:rsidRPr="00AE03CB">
        <w:rPr>
          <w:b/>
          <w:i/>
        </w:rPr>
        <w:t xml:space="preserve"> </w:t>
      </w:r>
      <w:r w:rsidRPr="00AE03CB">
        <w:rPr>
          <w:bCs/>
          <w:iCs/>
        </w:rPr>
        <w:t xml:space="preserve">= </w:t>
      </w:r>
      <w:r w:rsidRPr="00AE03CB" w:rsidR="00DB5A75">
        <w:t>Burden for Driver to Mail Inspe</w:t>
      </w:r>
      <w:r w:rsidRPr="00AE03CB">
        <w:t>ction Report to Motor Carrier</w:t>
      </w:r>
      <w:r w:rsidRPr="00AE03CB" w:rsidR="00DB5A75">
        <w:t xml:space="preserve"> </w:t>
      </w:r>
    </w:p>
    <w:p w:rsidR="00DB5A75" w:rsidRPr="00AE03CB" w:rsidP="00DB5A75" w14:paraId="254A0318" w14:textId="4D0C5D7D">
      <w:r w:rsidRPr="00AE03CB">
        <w:t xml:space="preserve">IC6 </w:t>
      </w:r>
      <w:r w:rsidRPr="00AE03CB" w:rsidR="00527387">
        <w:t xml:space="preserve">= </w:t>
      </w:r>
      <w:r w:rsidRPr="00AE03CB">
        <w:t>Burden for Motor Carrier to Examine/Certify/Mail/</w:t>
      </w:r>
      <w:r w:rsidRPr="00AE03CB" w:rsidR="00527387">
        <w:t>Retain/File Inspection Report</w:t>
      </w:r>
    </w:p>
    <w:p w:rsidR="00DB5A75" w:rsidRPr="00AE03CB" w:rsidP="00DB5A75" w14:paraId="23656585" w14:textId="77777777"/>
    <w:p w:rsidR="00EB5E6D" w:rsidRPr="00AE03CB" w:rsidP="00EB5E6D" w14:paraId="3EF98046" w14:textId="52088FED">
      <w:bookmarkStart w:id="5" w:name="_Hlk141351061"/>
      <w:r w:rsidRPr="00AE03CB">
        <w:t xml:space="preserve">IC5 = [(Number of roadside inspections) x (57% of inspections with violations) x (45% of drivers that do not return to motor carrier’s terminal/facility within 24 hours) x (2 minutes to mail report) x (1 hour/60 minutes)]  </w:t>
      </w:r>
    </w:p>
    <w:p w:rsidR="00937AA3" w:rsidRPr="00AE03CB" w:rsidP="00EB5E6D" w14:paraId="2D865330" w14:textId="78D28B51"/>
    <w:p w:rsidR="00937AA3" w:rsidRPr="00AE03CB" w:rsidP="00937AA3" w14:paraId="58C0D4FA" w14:textId="78B75136">
      <w:r w:rsidRPr="00AE03CB">
        <w:t>Number of Respondents IC5 = (Number of roadside inspections) = 2,881,846</w:t>
      </w:r>
    </w:p>
    <w:p w:rsidR="00EB5E6D" w:rsidRPr="00AE03CB" w:rsidP="00EB5E6D" w14:paraId="78122E56" w14:textId="77777777"/>
    <w:p w:rsidR="00EB5E6D" w:rsidRPr="00AE03CB" w:rsidP="00EB5E6D" w14:paraId="04BAD2B4" w14:textId="0AB77D0D">
      <w:r w:rsidRPr="00AE03CB">
        <w:t xml:space="preserve">Responses </w:t>
      </w:r>
      <w:r w:rsidRPr="00AE03CB" w:rsidR="00F513D8">
        <w:t>IC</w:t>
      </w:r>
      <w:r w:rsidRPr="00AE03CB">
        <w:t>5 = (</w:t>
      </w:r>
      <w:r w:rsidRPr="00AE03CB" w:rsidR="00937AA3">
        <w:t>Number of Respondents IC5</w:t>
      </w:r>
      <w:r w:rsidRPr="00AE03CB">
        <w:t>) x (57% of inspections with violations) x (45% of drivers that do not return to motor carrier’s terminal/facility within 24 hours) = (2,881,846) x (0.57) x (0.45) = 739,193</w:t>
      </w:r>
    </w:p>
    <w:p w:rsidR="00EB5E6D" w:rsidRPr="00AE03CB" w:rsidP="00EB5E6D" w14:paraId="6BE229E7" w14:textId="77777777"/>
    <w:p w:rsidR="00EB5E6D" w:rsidRPr="00AE03CB" w:rsidP="00EB5E6D" w14:paraId="0E31EBA1" w14:textId="5B455A3D">
      <w:r w:rsidRPr="00AE03CB">
        <w:t xml:space="preserve">IC5 = [(Responses </w:t>
      </w:r>
      <w:r w:rsidRPr="00AE03CB" w:rsidR="00F513D8">
        <w:t>IC</w:t>
      </w:r>
      <w:r w:rsidRPr="00AE03CB">
        <w:t xml:space="preserve">5) x (2 minutes to mail report) x (1 hour/60 minutes)]  </w:t>
      </w:r>
    </w:p>
    <w:p w:rsidR="00EB5E6D" w:rsidRPr="00AE03CB" w:rsidP="00EB5E6D" w14:paraId="244675DD" w14:textId="77777777"/>
    <w:p w:rsidR="00EB5E6D" w:rsidRPr="00AE03CB" w:rsidP="00EB5E6D" w14:paraId="2C2947B8" w14:textId="77777777">
      <w:r w:rsidRPr="00AE03CB">
        <w:t>IC5 = [(739,193) x (2) x (1/60)] = 24,640 hours</w:t>
      </w:r>
    </w:p>
    <w:p w:rsidR="00EB5E6D" w:rsidRPr="00AE03CB" w:rsidP="00EB5E6D" w14:paraId="46B13B94" w14:textId="77777777"/>
    <w:p w:rsidR="00EB5E6D" w:rsidRPr="00AE03CB" w:rsidP="00EB5E6D" w14:paraId="18477F86" w14:textId="716B8B47">
      <w:r w:rsidRPr="00AE03CB">
        <w:t>IC6 = [(Number of roadside inspections) x (57% of inspections with violations) x (5 minutes to examine/certify/mail/retain and file report) x (1 hour/60 minutes)]</w:t>
      </w:r>
    </w:p>
    <w:p w:rsidR="00937AA3" w:rsidRPr="00AE03CB" w:rsidP="00EB5E6D" w14:paraId="45CB0DA4" w14:textId="648CA6D4"/>
    <w:p w:rsidR="00937AA3" w:rsidRPr="00AE03CB" w:rsidP="00937AA3" w14:paraId="5DD30544" w14:textId="6A811E1D">
      <w:r w:rsidRPr="00AE03CB">
        <w:t>Number of Respondents IC6 = (Number of roadside inspections) = 2,881,846</w:t>
      </w:r>
    </w:p>
    <w:p w:rsidR="00EB5E6D" w:rsidRPr="00AE03CB" w:rsidP="00EB5E6D" w14:paraId="32E95726" w14:textId="77777777"/>
    <w:p w:rsidR="00EB5E6D" w:rsidRPr="00AE03CB" w:rsidP="00EB5E6D" w14:paraId="09F3FA98" w14:textId="3C450B4D">
      <w:r w:rsidRPr="00AE03CB">
        <w:t xml:space="preserve">Responses </w:t>
      </w:r>
      <w:r w:rsidRPr="00AE03CB" w:rsidR="00F513D8">
        <w:t>IC</w:t>
      </w:r>
      <w:r w:rsidRPr="00AE03CB">
        <w:t xml:space="preserve">6 = (Number of </w:t>
      </w:r>
      <w:r w:rsidRPr="00AE03CB" w:rsidR="00937AA3">
        <w:t>Respondents IC6</w:t>
      </w:r>
      <w:r w:rsidRPr="00AE03CB">
        <w:t>) x (57% of inspections with violations) = (2,881,846) x (0.57) = 1,642,652</w:t>
      </w:r>
    </w:p>
    <w:p w:rsidR="00EB5E6D" w:rsidRPr="00AE03CB" w:rsidP="00EB5E6D" w14:paraId="75AD25ED" w14:textId="77777777"/>
    <w:p w:rsidR="00EB5E6D" w:rsidRPr="00AE03CB" w:rsidP="00EB5E6D" w14:paraId="483C3D48" w14:textId="25D75E37">
      <w:r w:rsidRPr="00AE03CB">
        <w:t>IC6 = [(Responses</w:t>
      </w:r>
      <w:r w:rsidRPr="00AE03CB" w:rsidR="00224C2C">
        <w:t xml:space="preserve"> </w:t>
      </w:r>
      <w:r w:rsidRPr="00AE03CB" w:rsidR="00F513D8">
        <w:t>IC</w:t>
      </w:r>
      <w:r w:rsidRPr="00AE03CB" w:rsidR="00224C2C">
        <w:t>6</w:t>
      </w:r>
      <w:r w:rsidRPr="00AE03CB">
        <w:t>) x (5 minutes to examine/certify/mail/retain and file report) x (1 hour/60 minutes)]</w:t>
      </w:r>
    </w:p>
    <w:p w:rsidR="00EB5E6D" w:rsidRPr="00AE03CB" w:rsidP="00EB5E6D" w14:paraId="3275ECC2" w14:textId="7C1E8C4A">
      <w:r w:rsidRPr="00AE03CB">
        <w:t>IC6</w:t>
      </w:r>
      <w:r w:rsidRPr="00AE03CB" w:rsidR="00003920">
        <w:t xml:space="preserve"> </w:t>
      </w:r>
      <w:r w:rsidRPr="00AE03CB">
        <w:t>= [(1,642,652) x (5) x (1/60)] = 136,888 hours</w:t>
      </w:r>
    </w:p>
    <w:bookmarkEnd w:id="5"/>
    <w:p w:rsidR="005D30A0" w:rsidRPr="00AE03CB" w:rsidP="005D30A0" w14:paraId="49CF9CEB" w14:textId="77777777"/>
    <w:p w:rsidR="00527387" w:rsidRPr="00AE03CB" w:rsidP="005D30A0" w14:paraId="3CC3AF20" w14:textId="12B9A913">
      <w:r w:rsidRPr="00AE03CB">
        <w:t xml:space="preserve">Total Disposition of Roadside Inspection Reports Burden </w:t>
      </w:r>
    </w:p>
    <w:p w:rsidR="00003920" w:rsidRPr="00AE03CB" w:rsidP="005D30A0" w14:paraId="77980648" w14:textId="77777777"/>
    <w:p w:rsidR="005D30A0" w:rsidRPr="00AE03CB" w:rsidP="005D30A0" w14:paraId="3A222A9A" w14:textId="57E27C1A">
      <w:r w:rsidRPr="00AE03CB">
        <w:t xml:space="preserve"> = </w:t>
      </w:r>
      <w:r w:rsidRPr="00AE03CB" w:rsidR="00384FCC">
        <w:t>IC5</w:t>
      </w:r>
      <w:r w:rsidRPr="00AE03CB" w:rsidR="00A962F7">
        <w:t xml:space="preserve"> </w:t>
      </w:r>
      <w:r w:rsidRPr="00AE03CB">
        <w:t xml:space="preserve">+ </w:t>
      </w:r>
      <w:r w:rsidRPr="00AE03CB" w:rsidR="00384FCC">
        <w:t>IC6</w:t>
      </w:r>
      <w:r w:rsidRPr="00AE03CB">
        <w:t xml:space="preserve"> = </w:t>
      </w:r>
      <w:r w:rsidRPr="00AE03CB">
        <w:t>[(2</w:t>
      </w:r>
      <w:r w:rsidRPr="00AE03CB" w:rsidR="00833E45">
        <w:t>4</w:t>
      </w:r>
      <w:r w:rsidRPr="00AE03CB">
        <w:t>,6</w:t>
      </w:r>
      <w:r w:rsidRPr="00AE03CB" w:rsidR="00833E45">
        <w:t>40</w:t>
      </w:r>
      <w:r w:rsidRPr="00AE03CB">
        <w:t>) + (1</w:t>
      </w:r>
      <w:r w:rsidRPr="00AE03CB" w:rsidR="00833E45">
        <w:t>36</w:t>
      </w:r>
      <w:r w:rsidRPr="00AE03CB">
        <w:t>,</w:t>
      </w:r>
      <w:r w:rsidRPr="00AE03CB" w:rsidR="00833E45">
        <w:t>888</w:t>
      </w:r>
      <w:r w:rsidRPr="00AE03CB">
        <w:t xml:space="preserve">)] = </w:t>
      </w:r>
      <w:r w:rsidRPr="00AE03CB">
        <w:rPr>
          <w:b/>
        </w:rPr>
        <w:t>1</w:t>
      </w:r>
      <w:r w:rsidRPr="00AE03CB" w:rsidR="00833E45">
        <w:rPr>
          <w:b/>
        </w:rPr>
        <w:t>61</w:t>
      </w:r>
      <w:r w:rsidRPr="00AE03CB">
        <w:rPr>
          <w:b/>
        </w:rPr>
        <w:t>,5</w:t>
      </w:r>
      <w:r w:rsidRPr="00AE03CB" w:rsidR="00833E45">
        <w:rPr>
          <w:b/>
        </w:rPr>
        <w:t>28</w:t>
      </w:r>
      <w:r w:rsidRPr="00AE03CB">
        <w:rPr>
          <w:b/>
        </w:rPr>
        <w:t xml:space="preserve"> hours</w:t>
      </w:r>
    </w:p>
    <w:p w:rsidR="005D30A0" w:rsidRPr="00AE03CB" w:rsidP="00DB5A75" w14:paraId="4BC936D4" w14:textId="77777777"/>
    <w:p w:rsidR="009534BA" w:rsidRPr="00AE03CB" w:rsidP="009534BA" w14:paraId="0149378A" w14:textId="453A5347">
      <w:r w:rsidRPr="00AE03CB">
        <w:t xml:space="preserve">The currently approved total burden for </w:t>
      </w:r>
      <w:r w:rsidRPr="00AE03CB" w:rsidR="00357597">
        <w:t xml:space="preserve">the disposition of roadside inspection reports is </w:t>
      </w:r>
      <w:r w:rsidRPr="00AE03CB" w:rsidR="00833E45">
        <w:t>194</w:t>
      </w:r>
      <w:r w:rsidRPr="00AE03CB" w:rsidR="00357597">
        <w:t>,</w:t>
      </w:r>
      <w:r w:rsidRPr="00AE03CB" w:rsidR="00833E45">
        <w:t>586</w:t>
      </w:r>
      <w:r w:rsidRPr="00AE03CB">
        <w:t xml:space="preserve"> hours.</w:t>
      </w:r>
      <w:r w:rsidRPr="00AE03CB">
        <w:rPr>
          <w:b/>
        </w:rPr>
        <w:t xml:space="preserve"> </w:t>
      </w:r>
      <w:r w:rsidRPr="00AE03CB" w:rsidR="005D30A0">
        <w:t xml:space="preserve">The </w:t>
      </w:r>
      <w:r w:rsidRPr="00AE03CB">
        <w:t xml:space="preserve">new total </w:t>
      </w:r>
      <w:r w:rsidRPr="00AE03CB" w:rsidR="00D80FF5">
        <w:t xml:space="preserve">of </w:t>
      </w:r>
      <w:r w:rsidRPr="00AE03CB" w:rsidR="00D80FF5">
        <w:rPr>
          <w:b/>
        </w:rPr>
        <w:t>1</w:t>
      </w:r>
      <w:r w:rsidRPr="00AE03CB" w:rsidR="00833E45">
        <w:rPr>
          <w:b/>
        </w:rPr>
        <w:t>61</w:t>
      </w:r>
      <w:r w:rsidRPr="00AE03CB" w:rsidR="00D80FF5">
        <w:rPr>
          <w:b/>
        </w:rPr>
        <w:t>,5</w:t>
      </w:r>
      <w:r w:rsidRPr="00AE03CB" w:rsidR="00833E45">
        <w:rPr>
          <w:b/>
        </w:rPr>
        <w:t>28</w:t>
      </w:r>
      <w:r w:rsidRPr="00AE03CB" w:rsidR="00D80FF5">
        <w:rPr>
          <w:b/>
        </w:rPr>
        <w:t xml:space="preserve"> hours</w:t>
      </w:r>
      <w:r w:rsidRPr="00AE03CB" w:rsidR="00D80FF5">
        <w:t xml:space="preserve"> </w:t>
      </w:r>
      <w:r w:rsidRPr="00AE03CB">
        <w:t xml:space="preserve">represents a </w:t>
      </w:r>
      <w:r w:rsidRPr="00AE03CB" w:rsidR="00C1696A">
        <w:t>reduction</w:t>
      </w:r>
      <w:r w:rsidRPr="00AE03CB">
        <w:t xml:space="preserve"> of </w:t>
      </w:r>
      <w:r w:rsidRPr="00AE03CB" w:rsidR="00833E45">
        <w:t>33</w:t>
      </w:r>
      <w:r w:rsidRPr="00AE03CB" w:rsidR="00C1696A">
        <w:t>,</w:t>
      </w:r>
      <w:r w:rsidRPr="00AE03CB" w:rsidR="00833E45">
        <w:t>058</w:t>
      </w:r>
      <w:r w:rsidRPr="00AE03CB">
        <w:t xml:space="preserve"> hours </w:t>
      </w:r>
      <w:r w:rsidRPr="00AE03CB">
        <w:t xml:space="preserve">compared to the </w:t>
      </w:r>
      <w:r w:rsidRPr="00AE03CB" w:rsidR="00833E45">
        <w:t>194,586</w:t>
      </w:r>
      <w:r w:rsidRPr="00AE03CB" w:rsidR="00C1696A">
        <w:t xml:space="preserve"> </w:t>
      </w:r>
      <w:r w:rsidRPr="00AE03CB">
        <w:t>hours of annual burden estimate</w:t>
      </w:r>
      <w:r w:rsidRPr="00AE03CB" w:rsidR="002F4C8D">
        <w:t xml:space="preserve">d in the currently approved ICR.  This reduction is due to the decrease in the </w:t>
      </w:r>
      <w:r w:rsidRPr="00AE03CB" w:rsidR="00C45DC4">
        <w:t xml:space="preserve">number </w:t>
      </w:r>
      <w:r w:rsidRPr="00AE03CB" w:rsidR="002F4C8D">
        <w:t>of roadside inspection reports.</w:t>
      </w:r>
    </w:p>
    <w:p w:rsidR="000E349A" w:rsidRPr="00AE03CB" w:rsidP="000E349A" w14:paraId="70E45869" w14:textId="77777777"/>
    <w:p w:rsidR="00861636" w:rsidRPr="00AE03CB" w14:paraId="0320A597" w14:textId="77777777">
      <w:pPr>
        <w:pStyle w:val="Heading2"/>
        <w:rPr>
          <w:b/>
          <w:i/>
        </w:rPr>
      </w:pPr>
      <w:r w:rsidRPr="00AE03CB">
        <w:rPr>
          <w:b/>
          <w:i/>
        </w:rPr>
        <w:t xml:space="preserve">Periodic </w:t>
      </w:r>
      <w:r w:rsidRPr="00AE03CB" w:rsidR="00124892">
        <w:rPr>
          <w:b/>
          <w:i/>
        </w:rPr>
        <w:t xml:space="preserve">(Annual) </w:t>
      </w:r>
      <w:r w:rsidRPr="00AE03CB">
        <w:rPr>
          <w:b/>
          <w:i/>
        </w:rPr>
        <w:t>Inspection</w:t>
      </w:r>
    </w:p>
    <w:p w:rsidR="00861636" w:rsidRPr="00AE03CB" w14:paraId="167D5106" w14:textId="77777777"/>
    <w:p w:rsidR="002F4C8D" w:rsidRPr="00AE03CB" w14:paraId="609A0B60" w14:textId="65DAF486">
      <w:r w:rsidRPr="00AE03CB">
        <w:t>In addition to the systematic inspection, repair, and maintenance requirements of § 396.3, §</w:t>
      </w:r>
      <w:r w:rsidRPr="00AE03CB" w:rsidR="007A521F">
        <w:t xml:space="preserve"> </w:t>
      </w:r>
      <w:r w:rsidRPr="00AE03CB" w:rsidR="00861636">
        <w:t>396.17</w:t>
      </w:r>
      <w:r w:rsidRPr="00AE03CB" w:rsidR="0007669C">
        <w:t xml:space="preserve"> of </w:t>
      </w:r>
      <w:r w:rsidRPr="00AE03CB">
        <w:t>the FMCSRs</w:t>
      </w:r>
      <w:r w:rsidRPr="00AE03CB" w:rsidR="00861636">
        <w:t xml:space="preserve"> prohibits </w:t>
      </w:r>
      <w:r w:rsidRPr="00AE03CB" w:rsidR="0007669C">
        <w:t xml:space="preserve">a </w:t>
      </w:r>
      <w:r w:rsidRPr="00AE03CB" w:rsidR="00861636">
        <w:t xml:space="preserve">motor carrier from using a CMV unless the CMV has passed an inspection at least once during the preceding 12 months and documentation of such inspection is </w:t>
      </w:r>
      <w:r w:rsidRPr="00AE03CB" w:rsidR="00C847C1">
        <w:t xml:space="preserve">maintained </w:t>
      </w:r>
      <w:r w:rsidRPr="00AE03CB" w:rsidR="00861636">
        <w:t xml:space="preserve">on the CMV. </w:t>
      </w:r>
      <w:r w:rsidRPr="00AE03CB">
        <w:t>The inspection must include, at a minimum, the parts and accessories set fo</w:t>
      </w:r>
      <w:r w:rsidRPr="00AE03CB" w:rsidR="00CA6A5D">
        <w:t xml:space="preserve">rth in Appendix </w:t>
      </w:r>
      <w:r w:rsidRPr="00AE03CB" w:rsidR="00370E02">
        <w:t>A</w:t>
      </w:r>
      <w:r w:rsidRPr="00AE03CB" w:rsidR="00CA6A5D">
        <w:t xml:space="preserve"> to the FMCSRs, “Minimum Periodic Inspection Standards”</w:t>
      </w:r>
      <w:r w:rsidRPr="00AE03CB" w:rsidR="00E21819">
        <w:t xml:space="preserve"> (49 CFR Chapter III, Subchapter B, App. </w:t>
      </w:r>
      <w:r w:rsidRPr="00AE03CB" w:rsidR="00C81871">
        <w:t>A</w:t>
      </w:r>
      <w:r w:rsidRPr="00AE03CB" w:rsidR="00C53767">
        <w:t>)</w:t>
      </w:r>
      <w:r w:rsidRPr="00AE03CB" w:rsidR="00E21819">
        <w:t>.</w:t>
      </w:r>
      <w:r w:rsidRPr="00AE03CB" w:rsidR="00CA6A5D">
        <w:t xml:space="preserve"> </w:t>
      </w:r>
      <w:r w:rsidRPr="00AE03CB" w:rsidR="00EC58CC">
        <w:t xml:space="preserve">The documentation may be the inspection report prepared in accordance with </w:t>
      </w:r>
      <w:r w:rsidRPr="00AE03CB" w:rsidR="00E553FD">
        <w:t xml:space="preserve">§ </w:t>
      </w:r>
      <w:r w:rsidRPr="00AE03CB" w:rsidR="00EC58CC">
        <w:t xml:space="preserve">396.21(a) or other forms of documentation, such as a sticker or decal, that contains the following information: the date of the inspection; the name and address of the motor carrier or other entity where the inspection report is maintained; information uniquely identifying the vehicle inspected if not clearly marked on the vehicle; and a certification that the vehicle has passed an inspection in accordance with § 396.17. </w:t>
      </w:r>
      <w:r w:rsidRPr="00AE03CB" w:rsidR="00861636">
        <w:t>The original or copy of an inspection report must be retained where the CMV is either housed or maintained</w:t>
      </w:r>
      <w:r w:rsidRPr="00AE03CB" w:rsidR="00C847C1">
        <w:t xml:space="preserve"> (§ 396.21(b)(1))</w:t>
      </w:r>
      <w:r w:rsidRPr="00AE03CB" w:rsidR="00861636">
        <w:t>.</w:t>
      </w:r>
    </w:p>
    <w:p w:rsidR="002F4C8D" w:rsidRPr="00AE03CB" w14:paraId="10B35B90" w14:textId="77777777"/>
    <w:p w:rsidR="001B55A9" w:rsidRPr="00AE03CB" w14:paraId="4BCC5630" w14:textId="012C5F88">
      <w:r w:rsidRPr="00AE03CB">
        <w:t xml:space="preserve">Under § 396.23, </w:t>
      </w:r>
      <w:r w:rsidRPr="00AE03CB" w:rsidR="002F4C8D">
        <w:t xml:space="preserve">CMVs passing periodic inspections performed under the auspices of a </w:t>
      </w:r>
      <w:r w:rsidRPr="00AE03CB" w:rsidR="002F4C8D">
        <w:t>State</w:t>
      </w:r>
      <w:r w:rsidRPr="00AE03CB" w:rsidR="002F4C8D">
        <w:t xml:space="preserve"> government, equivalent jurisdiction, or the FMCSA, meeting the minimum standards, are not subject to the inspection requirements in 49 CFR § 396.17.</w:t>
      </w:r>
      <w:r w:rsidRPr="00AE03CB" w:rsidR="00105D2B">
        <w:t xml:space="preserve"> </w:t>
      </w:r>
      <w:r w:rsidRPr="00AE03CB" w:rsidR="005D30A0">
        <w:t xml:space="preserve">As of </w:t>
      </w:r>
      <w:r w:rsidRPr="00AE03CB" w:rsidR="00C81871">
        <w:t>June</w:t>
      </w:r>
      <w:r w:rsidRPr="00AE03CB" w:rsidR="005D30A0">
        <w:t xml:space="preserve"> 20</w:t>
      </w:r>
      <w:r w:rsidRPr="00AE03CB" w:rsidR="00C81871">
        <w:t>23</w:t>
      </w:r>
      <w:r w:rsidRPr="00AE03CB" w:rsidR="005D30A0">
        <w:t xml:space="preserve">, periodic inspection programs of 22 States, the District of Columbia, the Alabama Liquefied Petroleum Gas Board, 10 Canadian Provinces, one Canadian Territory, and Mexico were identified as comparable to, or as effective as, the Federal periodic inspection requirements. </w:t>
      </w:r>
      <w:r w:rsidRPr="00AE03CB" w:rsidR="00105D2B">
        <w:t>Because they are comparable to the Federal requirements, the FMCSA’s periodic inspection and the related recordkeeping are not required for motor carriers that comply with these equivalent periodic</w:t>
      </w:r>
      <w:r w:rsidRPr="00AE03CB" w:rsidR="00124892">
        <w:t xml:space="preserve"> </w:t>
      </w:r>
      <w:r w:rsidRPr="00AE03CB" w:rsidR="00105D2B">
        <w:t>inspection programs.</w:t>
      </w:r>
      <w:r w:rsidRPr="00AE03CB" w:rsidR="00A863EB">
        <w:t xml:space="preserve"> FMCSA estimates that approximately </w:t>
      </w:r>
      <w:r w:rsidRPr="00AE03CB" w:rsidR="00C81871">
        <w:t>9</w:t>
      </w:r>
      <w:r w:rsidRPr="00AE03CB" w:rsidR="00707EDB">
        <w:t>,</w:t>
      </w:r>
      <w:r w:rsidRPr="00AE03CB" w:rsidR="00C81871">
        <w:t>446</w:t>
      </w:r>
      <w:r w:rsidRPr="00AE03CB" w:rsidR="00707EDB">
        <w:t>,</w:t>
      </w:r>
      <w:r w:rsidRPr="00AE03CB" w:rsidR="00C81871">
        <w:t>205</w:t>
      </w:r>
      <w:r w:rsidRPr="00AE03CB" w:rsidR="00A863EB">
        <w:t xml:space="preserve"> CMVs are subject to State-mandated periodic</w:t>
      </w:r>
      <w:r w:rsidRPr="00AE03CB" w:rsidR="00124892">
        <w:t xml:space="preserve"> </w:t>
      </w:r>
      <w:r w:rsidRPr="00AE03CB" w:rsidR="00A863EB">
        <w:t>inspection programs and are therefore not subject to the inspection requirements in 49 CFR § 396.17.</w:t>
      </w:r>
    </w:p>
    <w:p w:rsidR="003C679F" w:rsidRPr="00AE03CB" w14:paraId="79135616" w14:textId="77777777">
      <w:r w:rsidRPr="00AE03CB">
        <w:t xml:space="preserve"> </w:t>
      </w:r>
    </w:p>
    <w:p w:rsidR="00F11DE9" w:rsidRPr="00AE03CB" w:rsidP="003C679F" w14:paraId="0BA7D887" w14:textId="77777777"/>
    <w:p w:rsidR="0031698A" w:rsidRPr="00AE03CB" w:rsidP="003C679F" w14:paraId="412A5AD5" w14:textId="77777777">
      <w:r w:rsidRPr="00AE03CB">
        <w:t xml:space="preserve">FMCSA estimates that the time needed to document and retain the inspection report is approximately </w:t>
      </w:r>
      <w:r w:rsidRPr="00AE03CB" w:rsidR="00707EDB">
        <w:t xml:space="preserve">5 </w:t>
      </w:r>
      <w:r w:rsidRPr="00AE03CB">
        <w:t xml:space="preserve">minutes.  </w:t>
      </w:r>
    </w:p>
    <w:p w:rsidR="003B76B2" w:rsidRPr="00AE03CB" w:rsidP="003C679F" w14:paraId="10EB622B" w14:textId="77777777"/>
    <w:p w:rsidR="003B76B2" w:rsidRPr="00AE03CB" w:rsidP="003B76B2" w14:paraId="3121B55B" w14:textId="77777777">
      <w:r w:rsidRPr="00AE03CB">
        <w:t>In accordance with the above, t</w:t>
      </w:r>
      <w:r w:rsidRPr="00AE03CB">
        <w:t>he total hour burden of these records is calculated as follows:</w:t>
      </w:r>
    </w:p>
    <w:p w:rsidR="003B76B2" w:rsidRPr="00AE03CB" w:rsidP="003B76B2" w14:paraId="75374490" w14:textId="77777777"/>
    <w:p w:rsidR="009516D6" w:rsidRPr="00AE03CB" w:rsidP="003B76B2" w14:paraId="644E46B7" w14:textId="77777777">
      <w:r w:rsidRPr="00AE03CB">
        <w:rPr>
          <w:b/>
          <w:i/>
        </w:rPr>
        <w:t>Periodic (Annual) Inspection Burden</w:t>
      </w:r>
    </w:p>
    <w:p w:rsidR="009516D6" w:rsidRPr="00AE03CB" w:rsidP="003B76B2" w14:paraId="29FBC4CE" w14:textId="77777777"/>
    <w:p w:rsidR="00224C2C" w:rsidRPr="00AE03CB" w:rsidP="00224C2C" w14:paraId="6ABD8751" w14:textId="460524CC">
      <w:bookmarkStart w:id="6" w:name="_Hlk141351834"/>
      <w:r w:rsidRPr="00AE03CB">
        <w:t xml:space="preserve">IC7 = </w:t>
      </w:r>
      <w:r w:rsidRPr="00AE03CB" w:rsidR="00DD6FCF">
        <w:t>{</w:t>
      </w:r>
      <w:r w:rsidRPr="00AE03CB">
        <w:t>[(Burden for All CMVs) – (CMVs Subject to State-Mandated Periodic Inspection Program)]</w:t>
      </w:r>
      <w:r w:rsidRPr="00AE03CB" w:rsidR="00DD6FCF">
        <w:t>}</w:t>
      </w:r>
      <w:r w:rsidRPr="00AE03CB">
        <w:t xml:space="preserve"> </w:t>
      </w:r>
    </w:p>
    <w:p w:rsidR="00224C2C" w:rsidRPr="00AE03CB" w:rsidP="00224C2C" w14:paraId="0BCB69F1" w14:textId="1E26EB7D">
      <w:r w:rsidRPr="00AE03CB">
        <w:t xml:space="preserve">IC7 = </w:t>
      </w:r>
      <w:r w:rsidRPr="00AE03CB" w:rsidR="00DD6FCF">
        <w:t>{</w:t>
      </w:r>
      <w:r w:rsidRPr="00AE03CB">
        <w:t>[(Number of Power Units + Number of Non-Power Units) – (Number of CMVs subject to State-mandated periodic inspection program)] x (5 minutes/CMV) x (1 hour/60 minutes)</w:t>
      </w:r>
      <w:r w:rsidRPr="00AE03CB" w:rsidR="00DD6FCF">
        <w:t>}</w:t>
      </w:r>
    </w:p>
    <w:p w:rsidR="00937AA3" w:rsidRPr="00AE03CB" w:rsidP="00224C2C" w14:paraId="5624D78D" w14:textId="5D176756"/>
    <w:p w:rsidR="00937AA3" w:rsidRPr="00AE03CB" w:rsidP="00937AA3" w14:paraId="4A93DEAD" w14:textId="5D855252">
      <w:r w:rsidRPr="00AE03CB">
        <w:t xml:space="preserve">Number of Respondents IC7 = (Number of Power Units + Number of Non-Power Units) – (Number of CMVs subject to State-mandated periodic inspection program) = </w:t>
      </w:r>
      <w:r w:rsidRPr="00AE03CB" w:rsidR="00AA500A">
        <w:t xml:space="preserve">(5,132,101 +13,648,466) – 9,446,205 = </w:t>
      </w:r>
      <w:r w:rsidRPr="00AE03CB">
        <w:t>9,334,362</w:t>
      </w:r>
    </w:p>
    <w:p w:rsidR="00224C2C" w:rsidRPr="00AE03CB" w:rsidP="00224C2C" w14:paraId="234D9AA1" w14:textId="77777777"/>
    <w:p w:rsidR="00224C2C" w:rsidRPr="00AE03CB" w:rsidP="00224C2C" w14:paraId="15ABF488" w14:textId="0CE0E26E">
      <w:r w:rsidRPr="00AE03CB">
        <w:t xml:space="preserve">Responses </w:t>
      </w:r>
      <w:r w:rsidRPr="00AE03CB" w:rsidR="00F513D8">
        <w:t>IC</w:t>
      </w:r>
      <w:r w:rsidRPr="00AE03CB">
        <w:t>7 = [</w:t>
      </w:r>
      <w:r w:rsidRPr="00AE03CB" w:rsidR="00937AA3">
        <w:t>Number of Respondents IC7</w:t>
      </w:r>
      <w:r w:rsidRPr="00AE03CB">
        <w:t>] = 9,334,362</w:t>
      </w:r>
    </w:p>
    <w:p w:rsidR="00224C2C" w:rsidRPr="00AE03CB" w:rsidP="00224C2C" w14:paraId="762ED17E" w14:textId="77777777"/>
    <w:p w:rsidR="00224C2C" w:rsidRPr="00AE03CB" w:rsidP="00224C2C" w14:paraId="00D0BECE" w14:textId="35CA8586">
      <w:r w:rsidRPr="00AE03CB">
        <w:t xml:space="preserve">IC7 = </w:t>
      </w:r>
      <w:r w:rsidRPr="00AE03CB" w:rsidR="00DD6FCF">
        <w:t>{</w:t>
      </w:r>
      <w:r w:rsidRPr="00AE03CB">
        <w:t xml:space="preserve">[Responses </w:t>
      </w:r>
      <w:r w:rsidRPr="00AE03CB" w:rsidR="00F513D8">
        <w:t>IC</w:t>
      </w:r>
      <w:r w:rsidRPr="00AE03CB">
        <w:t>7] x (5 minutes/CMV) x (1 hour/60 minutes)</w:t>
      </w:r>
      <w:r w:rsidRPr="00AE03CB" w:rsidR="00DD6FCF">
        <w:t>}</w:t>
      </w:r>
    </w:p>
    <w:p w:rsidR="00224C2C" w:rsidRPr="00AE03CB" w:rsidP="00224C2C" w14:paraId="443FD27C" w14:textId="77777777"/>
    <w:p w:rsidR="00224C2C" w:rsidRPr="00AE03CB" w:rsidP="00224C2C" w14:paraId="63349D8E" w14:textId="45D8DDE3">
      <w:r w:rsidRPr="00AE03CB">
        <w:t xml:space="preserve">IC7 = </w:t>
      </w:r>
      <w:r w:rsidRPr="00AE03CB" w:rsidR="00DD6FCF">
        <w:t>{</w:t>
      </w:r>
      <w:r w:rsidRPr="00AE03CB">
        <w:t>[9,334,362] x (5) x (1/60)</w:t>
      </w:r>
      <w:r w:rsidRPr="00AE03CB" w:rsidR="00DD6FCF">
        <w:t>}</w:t>
      </w:r>
      <w:r w:rsidRPr="00AE03CB">
        <w:t xml:space="preserve"> = </w:t>
      </w:r>
      <w:r w:rsidRPr="00AE03CB">
        <w:rPr>
          <w:b/>
        </w:rPr>
        <w:t>777,864 hours</w:t>
      </w:r>
    </w:p>
    <w:bookmarkEnd w:id="6"/>
    <w:p w:rsidR="006D5F5E" w:rsidRPr="00AE03CB" w:rsidP="003C679F" w14:paraId="41D898D3" w14:textId="77777777"/>
    <w:p w:rsidR="001B55A9" w:rsidRPr="00AE03CB" w14:paraId="1459663D" w14:textId="48C16DBF">
      <w:r w:rsidRPr="00AE03CB">
        <w:t xml:space="preserve">The currently approved total burden for periodic (annual) inspection records is </w:t>
      </w:r>
      <w:r w:rsidRPr="00AE03CB" w:rsidR="001D5A09">
        <w:rPr>
          <w:bCs/>
        </w:rPr>
        <w:t>469,414</w:t>
      </w:r>
      <w:r w:rsidRPr="00AE03CB" w:rsidR="001D5A09">
        <w:rPr>
          <w:b/>
        </w:rPr>
        <w:t xml:space="preserve"> </w:t>
      </w:r>
      <w:r w:rsidRPr="00AE03CB">
        <w:t>hours.</w:t>
      </w:r>
      <w:r w:rsidRPr="00AE03CB" w:rsidR="00C76FC3">
        <w:t xml:space="preserve"> The </w:t>
      </w:r>
      <w:r w:rsidRPr="00AE03CB" w:rsidR="003C679F">
        <w:t xml:space="preserve">new total of </w:t>
      </w:r>
      <w:r w:rsidRPr="00AE03CB" w:rsidR="001D5A09">
        <w:rPr>
          <w:b/>
        </w:rPr>
        <w:t>777</w:t>
      </w:r>
      <w:r w:rsidRPr="00AE03CB" w:rsidR="00C76FC3">
        <w:rPr>
          <w:b/>
        </w:rPr>
        <w:t>,</w:t>
      </w:r>
      <w:r w:rsidRPr="00AE03CB" w:rsidR="001D5A09">
        <w:rPr>
          <w:b/>
        </w:rPr>
        <w:t>864</w:t>
      </w:r>
      <w:r w:rsidRPr="00AE03CB" w:rsidR="00C76FC3">
        <w:rPr>
          <w:b/>
        </w:rPr>
        <w:t xml:space="preserve"> hours</w:t>
      </w:r>
      <w:r w:rsidRPr="00AE03CB" w:rsidR="003C679F">
        <w:t xml:space="preserve"> represents a</w:t>
      </w:r>
      <w:r w:rsidRPr="00AE03CB" w:rsidR="003E57A9">
        <w:t>n</w:t>
      </w:r>
      <w:r w:rsidRPr="00AE03CB" w:rsidR="003C679F">
        <w:t xml:space="preserve"> </w:t>
      </w:r>
      <w:r w:rsidRPr="00AE03CB" w:rsidR="001D5A09">
        <w:t>increase</w:t>
      </w:r>
      <w:r w:rsidRPr="00AE03CB" w:rsidR="003C679F">
        <w:t xml:space="preserve"> of </w:t>
      </w:r>
      <w:r w:rsidRPr="00AE03CB" w:rsidR="001D5A09">
        <w:t>308,450</w:t>
      </w:r>
      <w:r w:rsidRPr="00AE03CB" w:rsidR="00C76FC3">
        <w:t xml:space="preserve"> </w:t>
      </w:r>
      <w:r w:rsidRPr="00AE03CB" w:rsidR="003C679F">
        <w:t>hours estimated in the currently approved ICR.</w:t>
      </w:r>
      <w:r w:rsidRPr="00AE03CB" w:rsidR="00F24999">
        <w:t xml:space="preserve"> </w:t>
      </w:r>
      <w:r w:rsidRPr="00AE03CB" w:rsidR="007F2B04">
        <w:t xml:space="preserve">This </w:t>
      </w:r>
      <w:r w:rsidRPr="00AE03CB" w:rsidR="00DC5806">
        <w:t xml:space="preserve">update </w:t>
      </w:r>
      <w:r w:rsidRPr="00AE03CB" w:rsidR="007F2B04">
        <w:t xml:space="preserve">is primarily attributed to a significant increase in the number of Non-Power Units, which has nearly doubled since the last ICR report published in </w:t>
      </w:r>
      <w:r w:rsidRPr="00AE03CB" w:rsidR="00002E3F">
        <w:t>2020</w:t>
      </w:r>
      <w:r w:rsidRPr="00AE03CB" w:rsidR="007F2B04">
        <w:t>.</w:t>
      </w:r>
    </w:p>
    <w:p w:rsidR="00F513D8" w:rsidRPr="00AE03CB" w14:paraId="5CC52296" w14:textId="77777777"/>
    <w:p w:rsidR="00861636" w:rsidRPr="00AE03CB" w14:paraId="44B3E137" w14:textId="77777777">
      <w:pPr>
        <w:pStyle w:val="Heading2"/>
        <w:rPr>
          <w:b/>
          <w:i/>
        </w:rPr>
      </w:pPr>
      <w:r w:rsidRPr="00AE03CB">
        <w:rPr>
          <w:b/>
          <w:i/>
        </w:rPr>
        <w:t>Records of Inspector Qualifications</w:t>
      </w:r>
    </w:p>
    <w:p w:rsidR="00861636" w:rsidRPr="00AE03CB" w14:paraId="43D3D784" w14:textId="77777777"/>
    <w:p w:rsidR="001E5CD4" w:rsidRPr="00AE03CB" w14:paraId="30FFC94E" w14:textId="50A2DD1B">
      <w:r w:rsidRPr="00AE03CB">
        <w:t>Section 396.19 of the FMCSRs requires m</w:t>
      </w:r>
      <w:r w:rsidRPr="00AE03CB" w:rsidR="00861636">
        <w:t xml:space="preserve">otor carriers </w:t>
      </w:r>
      <w:r w:rsidRPr="00AE03CB">
        <w:t xml:space="preserve">to </w:t>
      </w:r>
      <w:r w:rsidRPr="00AE03CB" w:rsidR="00861636">
        <w:t>retain evidence of an individual's qualifications to perform periodic inspections.</w:t>
      </w:r>
      <w:r w:rsidRPr="00AE03CB">
        <w:t xml:space="preserve"> Inspectors are required to (1) understand the inspection criteria set forth in part 393 and Appendix </w:t>
      </w:r>
      <w:r w:rsidRPr="00AE03CB" w:rsidR="007A7764">
        <w:t>A</w:t>
      </w:r>
      <w:r w:rsidRPr="00AE03CB">
        <w:t xml:space="preserve"> and be able to identify defective parts, (2) be knowledgeable of and have mastered the methods, procedures, </w:t>
      </w:r>
      <w:r w:rsidRPr="00AE03CB">
        <w:t>tools</w:t>
      </w:r>
      <w:r w:rsidRPr="00AE03CB">
        <w:t xml:space="preserve"> and equipment used when performing an inspection, and (3) be capable of performing an inspection by reason of experience, training, or both. </w:t>
      </w:r>
      <w:r w:rsidRPr="00AE03CB" w:rsidR="00861636">
        <w:t xml:space="preserve"> </w:t>
      </w:r>
    </w:p>
    <w:p w:rsidR="001E5CD4" w:rsidRPr="00AE03CB" w14:paraId="5FDA93D2" w14:textId="77777777"/>
    <w:p w:rsidR="001E5CD4" w:rsidRPr="00AE03CB" w14:paraId="5F65BB00" w14:textId="13092DC0">
      <w:r w:rsidRPr="00AE03CB">
        <w:t>M</w:t>
      </w:r>
      <w:r w:rsidRPr="00AE03CB">
        <w:t xml:space="preserve">otor carriers are not required to maintain documentation of inspector qualifications for those inspections performed as part of a State periodic inspection program. FMCSA estimates that </w:t>
      </w:r>
      <w:r w:rsidRPr="00AE03CB" w:rsidR="00742C88">
        <w:t>44</w:t>
      </w:r>
      <w:r w:rsidRPr="00AE03CB" w:rsidR="00F036C9">
        <w:t xml:space="preserve"> percent</w:t>
      </w:r>
      <w:r w:rsidRPr="00AE03CB">
        <w:t xml:space="preserve"> of motor carriers are not required to maintain any documentation of inspector qualifications because of this provision.</w:t>
      </w:r>
    </w:p>
    <w:p w:rsidR="001E5CD4" w:rsidRPr="00AE03CB" w14:paraId="5CC3D56D" w14:textId="77777777"/>
    <w:p w:rsidR="00F11DE9" w:rsidRPr="00AE03CB" w14:paraId="5FDF9C0D" w14:textId="622CE987">
      <w:r w:rsidRPr="00AE03CB">
        <w:t>There are</w:t>
      </w:r>
      <w:r w:rsidRPr="00AE03CB" w:rsidR="002F1389">
        <w:t xml:space="preserve"> an estimated</w:t>
      </w:r>
      <w:r w:rsidRPr="00AE03CB">
        <w:t xml:space="preserve"> </w:t>
      </w:r>
      <w:r w:rsidRPr="00AE03CB" w:rsidR="007A7764">
        <w:t>757</w:t>
      </w:r>
      <w:r w:rsidRPr="00AE03CB" w:rsidR="00F036C9">
        <w:t>,</w:t>
      </w:r>
      <w:r w:rsidRPr="00AE03CB" w:rsidR="007A7764">
        <w:t>652</w:t>
      </w:r>
      <w:r w:rsidRPr="00AE03CB">
        <w:t xml:space="preserve"> motor carriers subject to the periodic inspection requirements for CMVs. FMCSA </w:t>
      </w:r>
      <w:r w:rsidRPr="00AE03CB" w:rsidR="001E5CD4">
        <w:t>estimates</w:t>
      </w:r>
      <w:r w:rsidRPr="00AE03CB">
        <w:t xml:space="preserve"> that there are approximately two inspectors for every three motor carriers.</w:t>
      </w:r>
      <w:r w:rsidRPr="00AE03CB" w:rsidR="007C23F4">
        <w:t xml:space="preserve">  </w:t>
      </w:r>
    </w:p>
    <w:p w:rsidR="00F11DE9" w:rsidRPr="00AE03CB" w14:paraId="20727651" w14:textId="77777777"/>
    <w:p w:rsidR="000346DC" w:rsidRPr="00AE03CB" w14:paraId="6231C1DD" w14:textId="77777777">
      <w:r w:rsidRPr="00AE03CB">
        <w:t xml:space="preserve">The </w:t>
      </w:r>
      <w:r w:rsidRPr="00AE03CB" w:rsidR="00203774">
        <w:t>A</w:t>
      </w:r>
      <w:r w:rsidRPr="00AE03CB">
        <w:t>gency estimates that</w:t>
      </w:r>
      <w:r w:rsidRPr="00AE03CB" w:rsidR="00DB58D1">
        <w:t xml:space="preserve"> the</w:t>
      </w:r>
      <w:r w:rsidRPr="00AE03CB">
        <w:t xml:space="preserve"> time needed for a motor carrier to document an inspector's qualifications is approximately 5 minutes on average.</w:t>
      </w:r>
    </w:p>
    <w:p w:rsidR="000346DC" w:rsidRPr="00AE03CB" w14:paraId="29E71D38" w14:textId="77777777"/>
    <w:p w:rsidR="00203774" w:rsidRPr="00AE03CB" w14:paraId="2258B055" w14:textId="7007C485">
      <w:r w:rsidRPr="00AE03CB">
        <w:t>It is important to note that this is generally a non-recurring time commitment. Once the motor carrier has documented that the inspector has met the minimum requirements, the motor carrier does not have to update this information.</w:t>
      </w:r>
    </w:p>
    <w:p w:rsidR="00203774" w:rsidRPr="00AE03CB" w:rsidP="00203774" w14:paraId="3F716F31" w14:textId="77777777"/>
    <w:p w:rsidR="0077653D" w:rsidRPr="00AE03CB" w:rsidP="0077653D" w14:paraId="4F5749AC" w14:textId="361BEA19">
      <w:r w:rsidRPr="00AE03CB">
        <w:t>The total hour burden of these records is calculated as follows:</w:t>
      </w:r>
    </w:p>
    <w:p w:rsidR="0028487D" w:rsidRPr="00AE03CB" w:rsidP="0077653D" w14:paraId="0B7F167D" w14:textId="77777777">
      <w:pPr>
        <w:rPr>
          <w:b/>
          <w:i/>
        </w:rPr>
      </w:pPr>
    </w:p>
    <w:p w:rsidR="009516D6" w:rsidRPr="00AE03CB" w:rsidP="0077653D" w14:paraId="62B23D99" w14:textId="1E9D16C4">
      <w:r w:rsidRPr="00AE03CB">
        <w:rPr>
          <w:b/>
          <w:i/>
        </w:rPr>
        <w:t>Records of Inspector Qualifications Burden</w:t>
      </w:r>
      <w:r w:rsidRPr="00AE03CB">
        <w:t xml:space="preserve"> </w:t>
      </w:r>
    </w:p>
    <w:p w:rsidR="009516D6" w:rsidRPr="00AE03CB" w:rsidP="0077653D" w14:paraId="6AF208EC" w14:textId="77777777"/>
    <w:p w:rsidR="00D50FD0" w:rsidRPr="00AE03CB" w:rsidP="00D50FD0" w14:paraId="50FB2121" w14:textId="0AE5E405">
      <w:bookmarkStart w:id="7" w:name="_Hlk141352219"/>
      <w:r w:rsidRPr="00AE03CB">
        <w:t xml:space="preserve">IC8 = [(Number of Motor Carriers) x (2 inspectors / 3 carrier) x (56 % applicability rate) x (5 minutes) x (1 hour/60 minutes)] </w:t>
      </w:r>
    </w:p>
    <w:p w:rsidR="00AA500A" w:rsidRPr="00AE03CB" w:rsidP="00D50FD0" w14:paraId="306939E2" w14:textId="2E7CA162"/>
    <w:p w:rsidR="00AA500A" w:rsidRPr="00AE03CB" w:rsidP="00D50FD0" w14:paraId="7E48095C" w14:textId="5993B96C">
      <w:r w:rsidRPr="00AE03CB">
        <w:t>Number of Respondents IC8 = (Number of Motor Carriers) = 757,652</w:t>
      </w:r>
    </w:p>
    <w:p w:rsidR="00D50FD0" w:rsidRPr="00AE03CB" w:rsidP="00D50FD0" w14:paraId="724D8A79" w14:textId="77777777"/>
    <w:p w:rsidR="00D50FD0" w:rsidRPr="00AE03CB" w:rsidP="00D50FD0" w14:paraId="4D32CD19" w14:textId="368739DA">
      <w:r w:rsidRPr="00AE03CB">
        <w:t xml:space="preserve">Responses </w:t>
      </w:r>
      <w:r w:rsidRPr="00AE03CB" w:rsidR="0011770A">
        <w:t>IC</w:t>
      </w:r>
      <w:r w:rsidRPr="00AE03CB">
        <w:t>8 = (</w:t>
      </w:r>
      <w:r w:rsidRPr="00AE03CB" w:rsidR="00AA500A">
        <w:t>Number of Respondents IC8</w:t>
      </w:r>
      <w:r w:rsidRPr="00AE03CB">
        <w:t>) x (2 inspectors / 3 carrier) x (56 % applicability rate) = (757,652) x (2/3) x (0.56) = 282,857</w:t>
      </w:r>
    </w:p>
    <w:p w:rsidR="00D50FD0" w:rsidRPr="00AE03CB" w:rsidP="00D50FD0" w14:paraId="0129A8EE" w14:textId="77777777"/>
    <w:p w:rsidR="00D50FD0" w:rsidRPr="00AE03CB" w:rsidP="00D50FD0" w14:paraId="30F31751" w14:textId="41FFEAFB">
      <w:r w:rsidRPr="00AE03CB">
        <w:t xml:space="preserve">IC8 = [(Responses </w:t>
      </w:r>
      <w:r w:rsidRPr="00AE03CB" w:rsidR="00F513D8">
        <w:t>IC</w:t>
      </w:r>
      <w:r w:rsidRPr="00AE03CB">
        <w:t xml:space="preserve">8) x (5 minutes) x (1 hour/60 minutes)] </w:t>
      </w:r>
    </w:p>
    <w:p w:rsidR="00D50FD0" w:rsidRPr="00AE03CB" w:rsidP="00D50FD0" w14:paraId="3D4810AF" w14:textId="77777777"/>
    <w:p w:rsidR="00D50FD0" w:rsidRPr="00AE03CB" w:rsidP="00D50FD0" w14:paraId="78D25317" w14:textId="572D7F02">
      <w:r w:rsidRPr="00AE03CB">
        <w:t xml:space="preserve">IC8 = [(282,857) x (5) x (1/60)] = </w:t>
      </w:r>
      <w:r w:rsidRPr="00AE03CB">
        <w:rPr>
          <w:b/>
        </w:rPr>
        <w:t>23,571 hours</w:t>
      </w:r>
      <w:r w:rsidRPr="00AE03CB">
        <w:t xml:space="preserve"> [1-time, non-recurring burden]</w:t>
      </w:r>
    </w:p>
    <w:bookmarkEnd w:id="7"/>
    <w:p w:rsidR="0077653D" w:rsidRPr="00AE03CB" w:rsidP="00203774" w14:paraId="10CE8E6D" w14:textId="20DDA3FD">
      <w:r w:rsidRPr="00AE03CB">
        <w:t xml:space="preserve">The currently approved total burden for </w:t>
      </w:r>
      <w:r w:rsidRPr="00AE03CB" w:rsidR="0082018C">
        <w:t>records of inspector qualifications</w:t>
      </w:r>
      <w:r w:rsidRPr="00AE03CB">
        <w:t xml:space="preserve"> is </w:t>
      </w:r>
      <w:r w:rsidRPr="00AE03CB" w:rsidR="0082018C">
        <w:t>1</w:t>
      </w:r>
      <w:r w:rsidRPr="00AE03CB" w:rsidR="00EA0E3E">
        <w:t>6</w:t>
      </w:r>
      <w:r w:rsidRPr="00AE03CB" w:rsidR="0082018C">
        <w:t>,</w:t>
      </w:r>
      <w:r w:rsidRPr="00AE03CB" w:rsidR="00EA0E3E">
        <w:t>904</w:t>
      </w:r>
      <w:r w:rsidRPr="00AE03CB">
        <w:t xml:space="preserve"> hours.</w:t>
      </w:r>
      <w:r w:rsidRPr="00AE03CB" w:rsidR="000346DC">
        <w:t xml:space="preserve"> The </w:t>
      </w:r>
      <w:r w:rsidRPr="00AE03CB">
        <w:t xml:space="preserve">new total of </w:t>
      </w:r>
      <w:r w:rsidRPr="00AE03CB" w:rsidR="000939BC">
        <w:rPr>
          <w:b/>
        </w:rPr>
        <w:t>23</w:t>
      </w:r>
      <w:r w:rsidRPr="00AE03CB" w:rsidR="000346DC">
        <w:rPr>
          <w:b/>
        </w:rPr>
        <w:t>,</w:t>
      </w:r>
      <w:r w:rsidRPr="00AE03CB" w:rsidR="00742C88">
        <w:rPr>
          <w:b/>
        </w:rPr>
        <w:t>5</w:t>
      </w:r>
      <w:r w:rsidRPr="00AE03CB" w:rsidR="000939BC">
        <w:rPr>
          <w:b/>
        </w:rPr>
        <w:t>71</w:t>
      </w:r>
      <w:r w:rsidRPr="00AE03CB" w:rsidR="000346DC">
        <w:rPr>
          <w:b/>
        </w:rPr>
        <w:t xml:space="preserve"> hours</w:t>
      </w:r>
      <w:r w:rsidRPr="00AE03CB">
        <w:t xml:space="preserve"> represents a</w:t>
      </w:r>
      <w:r w:rsidRPr="00AE03CB" w:rsidR="00EA0E3E">
        <w:t>n increase</w:t>
      </w:r>
      <w:r w:rsidRPr="00AE03CB">
        <w:t xml:space="preserve"> of </w:t>
      </w:r>
      <w:r w:rsidRPr="00AE03CB" w:rsidR="000939BC">
        <w:t>6</w:t>
      </w:r>
      <w:r w:rsidRPr="00AE03CB" w:rsidR="000346DC">
        <w:t>,</w:t>
      </w:r>
      <w:r w:rsidRPr="00AE03CB" w:rsidR="00742C88">
        <w:t>6</w:t>
      </w:r>
      <w:r w:rsidRPr="00AE03CB" w:rsidR="000939BC">
        <w:t>67</w:t>
      </w:r>
      <w:r w:rsidRPr="00AE03CB">
        <w:t xml:space="preserve"> hours compared to the annual burden estimated in the currently approved ICR.</w:t>
      </w:r>
      <w:r w:rsidRPr="00AE03CB" w:rsidR="00265C65">
        <w:t xml:space="preserve"> This </w:t>
      </w:r>
      <w:r w:rsidRPr="00AE03CB" w:rsidR="00DC5806">
        <w:t xml:space="preserve">update </w:t>
      </w:r>
      <w:r w:rsidRPr="00AE03CB" w:rsidR="00265C65">
        <w:t xml:space="preserve">is due </w:t>
      </w:r>
      <w:r w:rsidRPr="00AE03CB" w:rsidR="002242D5">
        <w:t xml:space="preserve">primarily </w:t>
      </w:r>
      <w:r w:rsidRPr="00AE03CB" w:rsidR="00265C65">
        <w:t xml:space="preserve">to </w:t>
      </w:r>
      <w:r w:rsidRPr="00AE03CB" w:rsidR="002E239F">
        <w:t xml:space="preserve">an </w:t>
      </w:r>
      <w:r w:rsidRPr="00AE03CB" w:rsidR="00FC5F15">
        <w:t>increase</w:t>
      </w:r>
      <w:r w:rsidRPr="00AE03CB" w:rsidR="00265C65">
        <w:t xml:space="preserve"> in the number of regulated motor carriers</w:t>
      </w:r>
      <w:r w:rsidRPr="00AE03CB" w:rsidR="002E239F">
        <w:t xml:space="preserve">, which had not been updated since at least </w:t>
      </w:r>
      <w:r w:rsidRPr="00AE03CB" w:rsidR="00002E3F">
        <w:t>2020</w:t>
      </w:r>
      <w:r w:rsidRPr="00AE03CB" w:rsidR="003E57A9">
        <w:t>.</w:t>
      </w:r>
      <w:r w:rsidRPr="00AE03CB" w:rsidR="00265C65">
        <w:t xml:space="preserve">  </w:t>
      </w:r>
    </w:p>
    <w:p w:rsidR="00203774" w:rsidRPr="00AE03CB" w14:paraId="5F3A9F99" w14:textId="77777777"/>
    <w:p w:rsidR="00861636" w:rsidRPr="00AE03CB" w14:paraId="67098CAB" w14:textId="77777777">
      <w:pPr>
        <w:pStyle w:val="Heading2"/>
        <w:rPr>
          <w:b/>
          <w:i/>
        </w:rPr>
      </w:pPr>
      <w:r w:rsidRPr="00AE03CB">
        <w:rPr>
          <w:b/>
          <w:i/>
        </w:rPr>
        <w:t>Evidence of Brake Inspector Qualifications</w:t>
      </w:r>
    </w:p>
    <w:p w:rsidR="00861636" w:rsidRPr="00AE03CB" w14:paraId="74665F06" w14:textId="77777777"/>
    <w:p w:rsidR="0081690C" w:rsidRPr="00AE03CB" w14:paraId="16586065" w14:textId="77777777">
      <w:r w:rsidRPr="00AE03CB">
        <w:t xml:space="preserve">Section 396.25 of the FMCSRs </w:t>
      </w:r>
      <w:r w:rsidRPr="00AE03CB">
        <w:t xml:space="preserve">requires motor carriers to ensure that all inspections, maintenance, repairs or service to the brakes of its CMVs are performed by a qualified brake </w:t>
      </w:r>
      <w:r w:rsidRPr="00AE03CB">
        <w:t>inspector, and</w:t>
      </w:r>
      <w:r w:rsidRPr="00AE03CB">
        <w:t xml:space="preserve"> </w:t>
      </w:r>
      <w:r w:rsidRPr="00AE03CB" w:rsidR="001B064E">
        <w:t>maintain</w:t>
      </w:r>
      <w:r w:rsidRPr="00AE03CB">
        <w:t xml:space="preserve"> evidence of the inspector’s qualifications at the carrie</w:t>
      </w:r>
      <w:r w:rsidRPr="00AE03CB" w:rsidR="001B064E">
        <w:t>r’s principal place of business</w:t>
      </w:r>
      <w:r w:rsidRPr="00AE03CB">
        <w:t xml:space="preserve"> or at the location where the brake inspector is employed.  Brake inspectors are required to</w:t>
      </w:r>
      <w:r w:rsidRPr="00AE03CB" w:rsidR="001D1973">
        <w:t>:</w:t>
      </w:r>
      <w:r w:rsidRPr="00AE03CB">
        <w:t xml:space="preserve"> (1) understand the brake service or inspection task to be accomplished and can perform that task</w:t>
      </w:r>
      <w:r w:rsidRPr="00AE03CB" w:rsidR="001D1973">
        <w:t>;</w:t>
      </w:r>
      <w:r w:rsidRPr="00AE03CB">
        <w:t xml:space="preserve"> (2) be knowledgeable of and </w:t>
      </w:r>
      <w:r w:rsidRPr="00AE03CB" w:rsidR="00DB58D1">
        <w:t xml:space="preserve">have </w:t>
      </w:r>
      <w:r w:rsidRPr="00AE03CB">
        <w:t xml:space="preserve">mastered the methods, procedures, </w:t>
      </w:r>
      <w:r w:rsidRPr="00AE03CB">
        <w:t>tools</w:t>
      </w:r>
      <w:r w:rsidRPr="00AE03CB">
        <w:t xml:space="preserve"> and equipment used when performing an assigned brake service inspection or task</w:t>
      </w:r>
      <w:r w:rsidRPr="00AE03CB" w:rsidR="001D1973">
        <w:t>;</w:t>
      </w:r>
      <w:r w:rsidRPr="00AE03CB" w:rsidR="001B064E">
        <w:t xml:space="preserve"> and (</w:t>
      </w:r>
      <w:r w:rsidRPr="00AE03CB">
        <w:t>3) be capable of performing the assigned brake service or inspection by reason of experience, training, or both.</w:t>
      </w:r>
    </w:p>
    <w:p w:rsidR="0081690C" w:rsidRPr="00AE03CB" w14:paraId="5776B5DE" w14:textId="77777777"/>
    <w:p w:rsidR="001B064E" w:rsidRPr="00AE03CB" w14:paraId="002BE1D1" w14:textId="77777777">
      <w:r w:rsidRPr="00AE03CB">
        <w:t xml:space="preserve">If the person who inspects, repairs, services, or maintains the CMV brakes is not an employee of the motor carrier, then the motor carrier is not required to maintain qualification evidence for that person. </w:t>
      </w:r>
      <w:r w:rsidRPr="00AE03CB" w:rsidR="00676AF5">
        <w:t xml:space="preserve"> </w:t>
      </w:r>
    </w:p>
    <w:p w:rsidR="001B064E" w:rsidRPr="00AE03CB" w14:paraId="2E82AC13" w14:textId="77777777"/>
    <w:p w:rsidR="001B064E" w:rsidRPr="00AE03CB" w14:paraId="661021A1" w14:textId="3CE75479">
      <w:r w:rsidRPr="00AE03CB">
        <w:t xml:space="preserve">There are </w:t>
      </w:r>
      <w:r w:rsidRPr="00AE03CB" w:rsidR="004076E9">
        <w:t xml:space="preserve">an estimated </w:t>
      </w:r>
      <w:r w:rsidRPr="00AE03CB" w:rsidR="003405F7">
        <w:t>757</w:t>
      </w:r>
      <w:r w:rsidRPr="00AE03CB" w:rsidR="00265C65">
        <w:t>,</w:t>
      </w:r>
      <w:r w:rsidRPr="00AE03CB" w:rsidR="003405F7">
        <w:t>652</w:t>
      </w:r>
      <w:r w:rsidRPr="00AE03CB">
        <w:t xml:space="preserve"> motor carriers subject to the brake inspector requirements. Most large motor carriers employ several brake inspectors, and a significant portion of small motor carriers do not employ a brake inspector. FMCSA estimates that there is one brake inspector employed by every three motor carriers on average.</w:t>
      </w:r>
    </w:p>
    <w:p w:rsidR="001B064E" w:rsidRPr="00AE03CB" w14:paraId="13E705B7" w14:textId="77777777"/>
    <w:p w:rsidR="00861636" w:rsidRPr="00AE03CB" w14:paraId="20D30A5C" w14:textId="77777777">
      <w:r w:rsidRPr="00AE03CB">
        <w:t xml:space="preserve">The </w:t>
      </w:r>
      <w:r w:rsidRPr="00AE03CB" w:rsidR="00676AF5">
        <w:t>A</w:t>
      </w:r>
      <w:r w:rsidRPr="00AE03CB" w:rsidR="00AF4CEB">
        <w:t xml:space="preserve">gency </w:t>
      </w:r>
      <w:r w:rsidRPr="00AE03CB">
        <w:t xml:space="preserve">estimates that </w:t>
      </w:r>
      <w:r w:rsidRPr="00AE03CB" w:rsidR="00AF4CEB">
        <w:t xml:space="preserve">the </w:t>
      </w:r>
      <w:r w:rsidRPr="00AE03CB">
        <w:t>time needed for a motor carrier to document a brake inspector's qualifications is approximately 5 minutes on average.</w:t>
      </w:r>
    </w:p>
    <w:p w:rsidR="00265C65" w:rsidRPr="00AE03CB" w14:paraId="5B412CD5" w14:textId="77777777"/>
    <w:p w:rsidR="00265C65" w:rsidRPr="00AE03CB" w14:paraId="6E61D72B" w14:textId="11A089D7">
      <w:r w:rsidRPr="00AE03CB">
        <w:t>As is the case with inspectors that perform periodic inspections, it is important to note that this is generally a non-recurring time commitment. Once the motor carrier has documented that the brake inspector has met the minimum requirements, the motor carrier does not have to update this information.</w:t>
      </w:r>
    </w:p>
    <w:p w:rsidR="00AD7AE7" w:rsidRPr="00AE03CB" w:rsidP="00AD7AE7" w14:paraId="239ACBE2" w14:textId="77777777">
      <w:r w:rsidRPr="00AE03CB">
        <w:t>The total hour burden of these records is calculated as follows:</w:t>
      </w:r>
    </w:p>
    <w:p w:rsidR="00AD7AE7" w:rsidRPr="00AE03CB" w:rsidP="00AD7AE7" w14:paraId="048C6CFB" w14:textId="77777777"/>
    <w:p w:rsidR="009516D6" w:rsidRPr="00AE03CB" w:rsidP="00AD7AE7" w14:paraId="1A3D7E6D" w14:textId="5EC2A33B">
      <w:r w:rsidRPr="00AE03CB">
        <w:rPr>
          <w:b/>
          <w:i/>
        </w:rPr>
        <w:t>Evidence of Brake Inspector Qualifications Burden</w:t>
      </w:r>
      <w:r w:rsidRPr="00AE03CB">
        <w:t xml:space="preserve"> </w:t>
      </w:r>
    </w:p>
    <w:p w:rsidR="00003920" w:rsidRPr="00AE03CB" w:rsidP="00AD7AE7" w14:paraId="6BFCF4A2" w14:textId="77777777"/>
    <w:p w:rsidR="00003920" w:rsidRPr="00AE03CB" w:rsidP="00003920" w14:paraId="5C577468" w14:textId="595A3CFD">
      <w:bookmarkStart w:id="8" w:name="_Hlk141353324"/>
      <w:r w:rsidRPr="00AE03CB">
        <w:t>IC9 = [(Number of Motor Carriers) x (1 brake inspector/3 carriers) x (5 minutes) x (1 hour/60 minutes)]</w:t>
      </w:r>
    </w:p>
    <w:p w:rsidR="00AA500A" w:rsidRPr="00AE03CB" w:rsidP="00003920" w14:paraId="75E29E0F" w14:textId="1CF55FB7"/>
    <w:p w:rsidR="00AA500A" w:rsidRPr="00AE03CB" w:rsidP="00003920" w14:paraId="0C65C128" w14:textId="2DCFCBE4">
      <w:r w:rsidRPr="00AE03CB">
        <w:t>Number of Respondents IC9 = (Number of Motor Carriers) = 757,652</w:t>
      </w:r>
    </w:p>
    <w:p w:rsidR="00003920" w:rsidRPr="00AE03CB" w:rsidP="00003920" w14:paraId="015704F1" w14:textId="77777777"/>
    <w:p w:rsidR="00003920" w:rsidRPr="00AE03CB" w:rsidP="00003920" w14:paraId="2219AD8C" w14:textId="3C0DEB07">
      <w:r w:rsidRPr="00AE03CB">
        <w:t xml:space="preserve">Responses </w:t>
      </w:r>
      <w:r w:rsidRPr="00AE03CB" w:rsidR="0011770A">
        <w:t>IC</w:t>
      </w:r>
      <w:r w:rsidRPr="00AE03CB">
        <w:t xml:space="preserve">9 = (Number of </w:t>
      </w:r>
      <w:r w:rsidRPr="00AE03CB" w:rsidR="00AA500A">
        <w:t>Respondents IC9</w:t>
      </w:r>
      <w:r w:rsidRPr="00AE03CB">
        <w:t xml:space="preserve">) x (1 brake inspector/3 carriers) = </w:t>
      </w:r>
      <w:r w:rsidRPr="00AE03CB" w:rsidR="00F93AEF">
        <w:t>(</w:t>
      </w:r>
      <w:r w:rsidRPr="00AE03CB" w:rsidR="00751E31">
        <w:t>757,652</w:t>
      </w:r>
      <w:r w:rsidRPr="00AE03CB" w:rsidR="00F93AEF">
        <w:t>)</w:t>
      </w:r>
      <w:r w:rsidRPr="00AE03CB" w:rsidR="00751E31">
        <w:t xml:space="preserve"> x (1/3) = </w:t>
      </w:r>
      <w:r w:rsidRPr="00AE03CB">
        <w:t>252,551</w:t>
      </w:r>
    </w:p>
    <w:p w:rsidR="00003920" w:rsidRPr="00AE03CB" w:rsidP="00003920" w14:paraId="6792B72B" w14:textId="77777777"/>
    <w:p w:rsidR="00003920" w:rsidRPr="00AE03CB" w:rsidP="00003920" w14:paraId="4E239FB0" w14:textId="3F094F95">
      <w:r w:rsidRPr="00AE03CB">
        <w:t xml:space="preserve">IC9 = [(Responses </w:t>
      </w:r>
      <w:r w:rsidRPr="00AE03CB" w:rsidR="0011770A">
        <w:t>IC</w:t>
      </w:r>
      <w:r w:rsidRPr="00AE03CB">
        <w:t>9) x (5 minutes) x (1 hour/60 minutes)]</w:t>
      </w:r>
    </w:p>
    <w:p w:rsidR="00B465C9" w:rsidRPr="00AE03CB" w:rsidP="00003920" w14:paraId="633ECF0F" w14:textId="77777777"/>
    <w:p w:rsidR="00003920" w:rsidRPr="00AE03CB" w:rsidP="00003920" w14:paraId="47B1F5E2" w14:textId="011825D9">
      <w:r w:rsidRPr="00AE03CB">
        <w:t xml:space="preserve">IC9 = [(252,551) x (5) x (1/60)] = </w:t>
      </w:r>
      <w:r w:rsidRPr="00AE03CB">
        <w:rPr>
          <w:b/>
        </w:rPr>
        <w:t xml:space="preserve">21,046 hours </w:t>
      </w:r>
      <w:r w:rsidRPr="00AE03CB">
        <w:t>[1-time, non-recurring burden]</w:t>
      </w:r>
    </w:p>
    <w:p w:rsidR="00B465C9" w:rsidRPr="00AE03CB" w:rsidP="00003920" w14:paraId="1670B812" w14:textId="77777777"/>
    <w:bookmarkEnd w:id="8"/>
    <w:p w:rsidR="001B064E" w:rsidRPr="00AE03CB" w:rsidP="007B7E07" w14:paraId="266C4B90" w14:textId="5C26A472">
      <w:r w:rsidRPr="00AE03CB">
        <w:t xml:space="preserve">The currently approved total burden for records of </w:t>
      </w:r>
      <w:r w:rsidRPr="00AE03CB" w:rsidR="00116511">
        <w:t xml:space="preserve">brake </w:t>
      </w:r>
      <w:r w:rsidRPr="00AE03CB">
        <w:t>inspector qualifications is 1</w:t>
      </w:r>
      <w:r w:rsidRPr="00AE03CB" w:rsidR="003405F7">
        <w:t>5</w:t>
      </w:r>
      <w:r w:rsidRPr="00AE03CB">
        <w:t>,</w:t>
      </w:r>
      <w:r w:rsidRPr="00AE03CB" w:rsidR="003405F7">
        <w:t>085</w:t>
      </w:r>
      <w:r w:rsidRPr="00AE03CB" w:rsidR="002242D5">
        <w:t xml:space="preserve"> </w:t>
      </w:r>
      <w:r w:rsidRPr="00AE03CB">
        <w:t>hours.</w:t>
      </w:r>
      <w:r w:rsidRPr="00AE03CB" w:rsidR="002242D5">
        <w:t xml:space="preserve"> The </w:t>
      </w:r>
      <w:r w:rsidRPr="00AE03CB">
        <w:t xml:space="preserve">new total of </w:t>
      </w:r>
      <w:r w:rsidRPr="00AE03CB" w:rsidR="003405F7">
        <w:rPr>
          <w:b/>
        </w:rPr>
        <w:t>21</w:t>
      </w:r>
      <w:r w:rsidRPr="00AE03CB" w:rsidR="002242D5">
        <w:rPr>
          <w:b/>
        </w:rPr>
        <w:t>,0</w:t>
      </w:r>
      <w:r w:rsidRPr="00AE03CB" w:rsidR="003405F7">
        <w:rPr>
          <w:b/>
        </w:rPr>
        <w:t>46</w:t>
      </w:r>
      <w:r w:rsidRPr="00AE03CB" w:rsidR="002242D5">
        <w:rPr>
          <w:b/>
        </w:rPr>
        <w:t xml:space="preserve"> hours </w:t>
      </w:r>
      <w:r w:rsidRPr="00AE03CB">
        <w:t>represents a</w:t>
      </w:r>
      <w:r w:rsidRPr="00AE03CB" w:rsidR="00116511">
        <w:t>n</w:t>
      </w:r>
      <w:r w:rsidRPr="00AE03CB">
        <w:t xml:space="preserve"> </w:t>
      </w:r>
      <w:r w:rsidRPr="00AE03CB" w:rsidR="00116511">
        <w:t xml:space="preserve">increase </w:t>
      </w:r>
      <w:r w:rsidRPr="00AE03CB">
        <w:t xml:space="preserve">of </w:t>
      </w:r>
      <w:r w:rsidRPr="00AE03CB" w:rsidR="003405F7">
        <w:t>5</w:t>
      </w:r>
      <w:r w:rsidRPr="00AE03CB" w:rsidR="002242D5">
        <w:t>,</w:t>
      </w:r>
      <w:r w:rsidRPr="00AE03CB" w:rsidR="003405F7">
        <w:t>96</w:t>
      </w:r>
      <w:r w:rsidRPr="00AE03CB" w:rsidR="002242D5">
        <w:t xml:space="preserve">1 </w:t>
      </w:r>
      <w:r w:rsidRPr="00AE03CB">
        <w:t>hours compared to the 1</w:t>
      </w:r>
      <w:r w:rsidRPr="00AE03CB" w:rsidR="003405F7">
        <w:t>5</w:t>
      </w:r>
      <w:r w:rsidRPr="00AE03CB">
        <w:t>,</w:t>
      </w:r>
      <w:r w:rsidRPr="00AE03CB" w:rsidR="003405F7">
        <w:t>085</w:t>
      </w:r>
      <w:r w:rsidRPr="00AE03CB" w:rsidR="002242D5">
        <w:t xml:space="preserve"> </w:t>
      </w:r>
      <w:r w:rsidRPr="00AE03CB">
        <w:t>hours of annual burden estimated in the currently approved ICR.</w:t>
      </w:r>
      <w:r w:rsidRPr="00AE03CB" w:rsidR="00F065F6">
        <w:t xml:space="preserve"> </w:t>
      </w:r>
      <w:r w:rsidRPr="00AE03CB" w:rsidR="002E239F">
        <w:t xml:space="preserve">This </w:t>
      </w:r>
      <w:r w:rsidRPr="00AE03CB" w:rsidR="00DC5806">
        <w:t xml:space="preserve">update </w:t>
      </w:r>
      <w:r w:rsidRPr="00AE03CB" w:rsidR="002E239F">
        <w:t xml:space="preserve">is due primarily to an update in the number of regulated motor carriers, which had not been updated since at least </w:t>
      </w:r>
      <w:r w:rsidRPr="00AE03CB" w:rsidR="00002E3F">
        <w:t>2020</w:t>
      </w:r>
      <w:r w:rsidRPr="00AE03CB" w:rsidR="002E239F">
        <w:t>.</w:t>
      </w:r>
    </w:p>
    <w:p w:rsidR="007F11DB" w:rsidRPr="00AE03CB" w:rsidP="000142B1" w14:paraId="239BA13D" w14:textId="77777777"/>
    <w:p w:rsidR="00163E4D" w:rsidRPr="00AE03CB" w:rsidP="000142B1" w14:paraId="5B1A85BF" w14:textId="09C640E7">
      <w:r w:rsidRPr="00AE03CB">
        <w:t>FMCSA assumes these tasks will be carried out by individuals equivalent to a Business Operations Specialist (Occupation Code 13-100</w:t>
      </w:r>
      <w:r w:rsidRPr="00AE03CB" w:rsidR="00461A3A">
        <w:t>0</w:t>
      </w:r>
      <w:r w:rsidRPr="00AE03CB">
        <w:t>). The median hourly wage for a Business Operations Specialist in the Truck Transportation industry (NAICS 484000) is $</w:t>
      </w:r>
      <w:r w:rsidRPr="00AE03CB" w:rsidR="00B3427F">
        <w:t>27</w:t>
      </w:r>
      <w:r w:rsidRPr="00AE03CB">
        <w:t>.</w:t>
      </w:r>
      <w:r w:rsidRPr="00AE03CB" w:rsidR="00B3427F">
        <w:t>30</w:t>
      </w:r>
      <w:r w:rsidRPr="00AE03CB">
        <w:t>.</w:t>
      </w:r>
      <w:r>
        <w:rPr>
          <w:rStyle w:val="FootnoteReference"/>
        </w:rPr>
        <w:footnoteReference w:id="9"/>
      </w:r>
      <w:r w:rsidRPr="00AE03CB">
        <w:t xml:space="preserve"> To arrive at a loaded hourly wage rate, the Agency first estimated a load factor of 1.4 by dividing the total cost of compensation for private industry workers of the trade, transportation, and utilities industry ($</w:t>
      </w:r>
      <w:r w:rsidRPr="00AE03CB" w:rsidR="005C56BC">
        <w:t>31</w:t>
      </w:r>
      <w:r w:rsidRPr="00AE03CB" w:rsidR="0085478D">
        <w:t>.</w:t>
      </w:r>
      <w:r w:rsidRPr="00AE03CB" w:rsidR="005C56BC">
        <w:t>67</w:t>
      </w:r>
      <w:r w:rsidRPr="00AE03CB">
        <w:t>) by the average cost of hourly wages and salaries ($</w:t>
      </w:r>
      <w:r w:rsidRPr="00AE03CB" w:rsidR="005C56BC">
        <w:t>22</w:t>
      </w:r>
      <w:r w:rsidRPr="00AE03CB">
        <w:t>.</w:t>
      </w:r>
      <w:r w:rsidRPr="00AE03CB" w:rsidR="005C56BC">
        <w:t>57</w:t>
      </w:r>
      <w:r w:rsidRPr="00AE03CB">
        <w:t xml:space="preserve">) as reported by the Bureau of Labor Statistics in its Employer Costs for Employee Compensation for September </w:t>
      </w:r>
      <w:r w:rsidRPr="00AE03CB" w:rsidR="00931562">
        <w:t>2021</w:t>
      </w:r>
      <w:r w:rsidRPr="00AE03CB">
        <w:t>.</w:t>
      </w:r>
      <w:r>
        <w:rPr>
          <w:rStyle w:val="FootnoteReference"/>
        </w:rPr>
        <w:footnoteReference w:id="10"/>
      </w:r>
      <w:r w:rsidRPr="00AE03CB">
        <w:t xml:space="preserve"> Multiplying the me</w:t>
      </w:r>
      <w:r w:rsidRPr="00AE03CB" w:rsidR="009F2EA6">
        <w:t>dian</w:t>
      </w:r>
      <w:r w:rsidRPr="00AE03CB">
        <w:t xml:space="preserve"> hourly wage by the load factor results in a loaded hourly wage of $</w:t>
      </w:r>
      <w:r w:rsidRPr="00AE03CB" w:rsidR="00B3427F">
        <w:t>38.</w:t>
      </w:r>
      <w:r w:rsidRPr="00AE03CB" w:rsidR="00695E32">
        <w:t>31</w:t>
      </w:r>
      <w:r w:rsidRPr="00AE03CB" w:rsidR="00EE6EDA">
        <w:t>.</w:t>
      </w:r>
      <w:r w:rsidRPr="00AE03CB" w:rsidR="00591DEE">
        <w:t xml:space="preserve"> As displayed in Table 1</w:t>
      </w:r>
      <w:r w:rsidRPr="00AE03CB" w:rsidR="00AA2B8A">
        <w:t xml:space="preserve">, the total burden hour cost of this ICR is </w:t>
      </w:r>
      <w:r w:rsidRPr="00AE03CB" w:rsidR="009F6043">
        <w:t>$73</w:t>
      </w:r>
      <w:r w:rsidRPr="00AE03CB" w:rsidR="009C62FA">
        <w:t>1</w:t>
      </w:r>
      <w:r w:rsidRPr="00AE03CB" w:rsidR="009F6043">
        <w:t>,</w:t>
      </w:r>
      <w:r w:rsidRPr="00AE03CB" w:rsidR="009C62FA">
        <w:t>786</w:t>
      </w:r>
      <w:r w:rsidRPr="00AE03CB" w:rsidR="009F6043">
        <w:t>,</w:t>
      </w:r>
      <w:r w:rsidRPr="00AE03CB" w:rsidR="007C7ABC">
        <w:t>185</w:t>
      </w:r>
      <w:r w:rsidRPr="00AE03CB" w:rsidR="00FC5F15">
        <w:t>.</w:t>
      </w:r>
    </w:p>
    <w:p w:rsidR="00372A28" w:rsidRPr="00AE03CB" w:rsidP="000142B1" w14:paraId="47A257FC" w14:textId="5AEC5093"/>
    <w:p w:rsidR="001948CB" w:rsidRPr="00AE03CB" w:rsidP="000142B1" w14:paraId="36DBEB19" w14:textId="2DD6F3CD"/>
    <w:p w:rsidR="001948CB" w:rsidRPr="00AE03CB" w:rsidP="000142B1" w14:paraId="2A53D185" w14:textId="6C99B12F"/>
    <w:p w:rsidR="001948CB" w:rsidRPr="00AE03CB" w:rsidP="000142B1" w14:paraId="18028133" w14:textId="33234856"/>
    <w:p w:rsidR="001948CB" w:rsidRPr="00AE03CB" w:rsidP="000142B1" w14:paraId="6B9AD7AB" w14:textId="2E509F74"/>
    <w:p w:rsidR="00372A28" w:rsidRPr="00AE03CB" w:rsidP="004F146A" w14:paraId="131FE533" w14:textId="3FEC1EEF">
      <w:pPr>
        <w:jc w:val="center"/>
        <w:rPr>
          <w:b/>
        </w:rPr>
      </w:pPr>
      <w:r w:rsidRPr="00AE03CB">
        <w:rPr>
          <w:b/>
        </w:rPr>
        <w:t xml:space="preserve">Table 1: </w:t>
      </w:r>
      <w:r w:rsidRPr="00AE03CB" w:rsidR="004F146A">
        <w:rPr>
          <w:b/>
        </w:rPr>
        <w:t xml:space="preserve">Summary of </w:t>
      </w:r>
      <w:r w:rsidRPr="00AE03CB">
        <w:rPr>
          <w:b/>
        </w:rPr>
        <w:t xml:space="preserve">Annual Responses, Burden Hours, and Burden Hour Costs </w:t>
      </w:r>
      <w:r w:rsidRPr="00AE03CB" w:rsidR="004F146A">
        <w:rPr>
          <w:b/>
        </w:rPr>
        <w:t>Estimates for Each Information Collection</w:t>
      </w:r>
    </w:p>
    <w:p w:rsidR="00AA2B8A" w:rsidRPr="00AE03CB" w:rsidP="000142B1" w14:paraId="49A89897" w14:textId="77777777"/>
    <w:tbl>
      <w:tblPr>
        <w:tblStyle w:val="TableGrid"/>
        <w:tblW w:w="5215" w:type="pct"/>
        <w:tblLayout w:type="fixed"/>
        <w:tblLook w:val="04A0"/>
      </w:tblPr>
      <w:tblGrid>
        <w:gridCol w:w="1160"/>
        <w:gridCol w:w="2431"/>
        <w:gridCol w:w="1349"/>
        <w:gridCol w:w="1528"/>
        <w:gridCol w:w="1171"/>
        <w:gridCol w:w="1352"/>
      </w:tblGrid>
      <w:tr w14:paraId="0DDEEE01" w14:textId="77777777" w:rsidTr="00F93AEF">
        <w:tblPrEx>
          <w:tblW w:w="5215" w:type="pct"/>
          <w:tblLayout w:type="fixed"/>
          <w:tblLook w:val="04A0"/>
        </w:tblPrEx>
        <w:trPr>
          <w:trHeight w:val="620"/>
        </w:trPr>
        <w:tc>
          <w:tcPr>
            <w:tcW w:w="645" w:type="pct"/>
            <w:tcBorders>
              <w:top w:val="single" w:sz="8" w:space="0" w:color="auto"/>
              <w:left w:val="single" w:sz="8" w:space="0" w:color="auto"/>
              <w:bottom w:val="single" w:sz="8" w:space="0" w:color="auto"/>
            </w:tcBorders>
            <w:noWrap/>
            <w:vAlign w:val="center"/>
            <w:hideMark/>
          </w:tcPr>
          <w:p w:rsidR="000C2F21" w:rsidRPr="00AE03CB" w:rsidP="003566A3" w14:paraId="4BD1700E" w14:textId="77777777">
            <w:pPr>
              <w:jc w:val="center"/>
              <w:rPr>
                <w:b/>
                <w:bCs/>
                <w:sz w:val="20"/>
                <w:szCs w:val="20"/>
              </w:rPr>
            </w:pPr>
            <w:r w:rsidRPr="00AE03CB">
              <w:rPr>
                <w:b/>
                <w:bCs/>
                <w:sz w:val="20"/>
                <w:szCs w:val="20"/>
              </w:rPr>
              <w:t>IC Number</w:t>
            </w:r>
          </w:p>
        </w:tc>
        <w:tc>
          <w:tcPr>
            <w:tcW w:w="1352" w:type="pct"/>
            <w:tcBorders>
              <w:top w:val="single" w:sz="8" w:space="0" w:color="auto"/>
              <w:bottom w:val="single" w:sz="8" w:space="0" w:color="auto"/>
            </w:tcBorders>
            <w:vAlign w:val="center"/>
            <w:hideMark/>
          </w:tcPr>
          <w:p w:rsidR="000C2F21" w:rsidRPr="00AE03CB" w:rsidP="003566A3" w14:paraId="3CC49F07" w14:textId="77777777">
            <w:pPr>
              <w:jc w:val="center"/>
              <w:rPr>
                <w:b/>
                <w:bCs/>
                <w:sz w:val="20"/>
                <w:szCs w:val="20"/>
              </w:rPr>
            </w:pPr>
            <w:r w:rsidRPr="00AE03CB">
              <w:rPr>
                <w:b/>
                <w:bCs/>
                <w:sz w:val="20"/>
                <w:szCs w:val="20"/>
              </w:rPr>
              <w:t>IC Title</w:t>
            </w:r>
          </w:p>
        </w:tc>
        <w:tc>
          <w:tcPr>
            <w:tcW w:w="750" w:type="pct"/>
            <w:tcBorders>
              <w:top w:val="single" w:sz="8" w:space="0" w:color="auto"/>
              <w:bottom w:val="single" w:sz="8" w:space="0" w:color="auto"/>
            </w:tcBorders>
            <w:vAlign w:val="center"/>
          </w:tcPr>
          <w:p w:rsidR="000C2F21" w:rsidRPr="00AE03CB" w:rsidP="003566A3" w14:paraId="00EC9C9B" w14:textId="4B36C79F">
            <w:pPr>
              <w:jc w:val="center"/>
              <w:rPr>
                <w:b/>
                <w:bCs/>
                <w:sz w:val="20"/>
                <w:szCs w:val="20"/>
              </w:rPr>
            </w:pPr>
            <w:r w:rsidRPr="00AE03CB">
              <w:rPr>
                <w:b/>
                <w:bCs/>
                <w:sz w:val="20"/>
                <w:szCs w:val="20"/>
              </w:rPr>
              <w:t>Number of Respondents</w:t>
            </w:r>
          </w:p>
        </w:tc>
        <w:tc>
          <w:tcPr>
            <w:tcW w:w="850" w:type="pct"/>
            <w:tcBorders>
              <w:top w:val="single" w:sz="8" w:space="0" w:color="auto"/>
              <w:bottom w:val="single" w:sz="8" w:space="0" w:color="auto"/>
            </w:tcBorders>
            <w:vAlign w:val="center"/>
            <w:hideMark/>
          </w:tcPr>
          <w:p w:rsidR="000C2F21" w:rsidRPr="00AE03CB" w:rsidP="003566A3" w14:paraId="5E15B67E" w14:textId="1A9C8024">
            <w:pPr>
              <w:jc w:val="center"/>
              <w:rPr>
                <w:b/>
                <w:bCs/>
                <w:sz w:val="20"/>
                <w:szCs w:val="20"/>
              </w:rPr>
            </w:pPr>
            <w:r w:rsidRPr="00AE03CB">
              <w:rPr>
                <w:b/>
                <w:bCs/>
                <w:sz w:val="20"/>
                <w:szCs w:val="20"/>
              </w:rPr>
              <w:t>Responses</w:t>
            </w:r>
          </w:p>
        </w:tc>
        <w:tc>
          <w:tcPr>
            <w:tcW w:w="651" w:type="pct"/>
            <w:tcBorders>
              <w:top w:val="single" w:sz="8" w:space="0" w:color="auto"/>
              <w:bottom w:val="single" w:sz="8" w:space="0" w:color="auto"/>
            </w:tcBorders>
            <w:vAlign w:val="center"/>
            <w:hideMark/>
          </w:tcPr>
          <w:p w:rsidR="000C2F21" w:rsidRPr="00AE03CB" w:rsidP="003566A3" w14:paraId="0206EFA5" w14:textId="77777777">
            <w:pPr>
              <w:jc w:val="center"/>
              <w:rPr>
                <w:b/>
                <w:bCs/>
                <w:sz w:val="20"/>
                <w:szCs w:val="20"/>
              </w:rPr>
            </w:pPr>
            <w:r w:rsidRPr="00AE03CB">
              <w:rPr>
                <w:b/>
                <w:bCs/>
                <w:sz w:val="20"/>
                <w:szCs w:val="20"/>
              </w:rPr>
              <w:t>Burden Hours</w:t>
            </w:r>
          </w:p>
        </w:tc>
        <w:tc>
          <w:tcPr>
            <w:tcW w:w="752" w:type="pct"/>
            <w:tcBorders>
              <w:top w:val="single" w:sz="8" w:space="0" w:color="auto"/>
              <w:bottom w:val="single" w:sz="8" w:space="0" w:color="auto"/>
              <w:right w:val="single" w:sz="8" w:space="0" w:color="auto"/>
            </w:tcBorders>
            <w:vAlign w:val="center"/>
            <w:hideMark/>
          </w:tcPr>
          <w:p w:rsidR="000C2F21" w:rsidRPr="00AE03CB" w:rsidP="003566A3" w14:paraId="5F2447AF" w14:textId="77777777">
            <w:pPr>
              <w:jc w:val="center"/>
              <w:rPr>
                <w:b/>
                <w:bCs/>
                <w:sz w:val="20"/>
                <w:szCs w:val="20"/>
              </w:rPr>
            </w:pPr>
            <w:r w:rsidRPr="00AE03CB">
              <w:rPr>
                <w:b/>
                <w:bCs/>
                <w:sz w:val="20"/>
                <w:szCs w:val="20"/>
              </w:rPr>
              <w:t>Burden Hour Costs</w:t>
            </w:r>
          </w:p>
        </w:tc>
      </w:tr>
      <w:tr w14:paraId="73E2FCBD" w14:textId="77777777" w:rsidTr="00F93AEF">
        <w:tblPrEx>
          <w:tblW w:w="5215" w:type="pct"/>
          <w:tblLayout w:type="fixed"/>
          <w:tblLook w:val="04A0"/>
        </w:tblPrEx>
        <w:trPr>
          <w:trHeight w:val="260"/>
        </w:trPr>
        <w:tc>
          <w:tcPr>
            <w:tcW w:w="645" w:type="pct"/>
            <w:tcBorders>
              <w:top w:val="single" w:sz="8" w:space="0" w:color="auto"/>
              <w:left w:val="single" w:sz="8" w:space="0" w:color="auto"/>
            </w:tcBorders>
            <w:noWrap/>
            <w:vAlign w:val="center"/>
            <w:hideMark/>
          </w:tcPr>
          <w:p w:rsidR="000C2F21" w:rsidRPr="00AE03CB" w:rsidP="003566A3" w14:paraId="3C5D5649" w14:textId="77777777">
            <w:pPr>
              <w:jc w:val="center"/>
              <w:rPr>
                <w:sz w:val="20"/>
                <w:szCs w:val="20"/>
              </w:rPr>
            </w:pPr>
            <w:r w:rsidRPr="00AE03CB">
              <w:rPr>
                <w:sz w:val="20"/>
                <w:szCs w:val="20"/>
              </w:rPr>
              <w:t>IC1</w:t>
            </w:r>
          </w:p>
        </w:tc>
        <w:tc>
          <w:tcPr>
            <w:tcW w:w="1352" w:type="pct"/>
            <w:tcBorders>
              <w:top w:val="single" w:sz="8" w:space="0" w:color="auto"/>
            </w:tcBorders>
            <w:hideMark/>
          </w:tcPr>
          <w:p w:rsidR="000C2F21" w:rsidRPr="00AE03CB" w:rsidP="003566A3" w14:paraId="63C3F1A7" w14:textId="77777777">
            <w:pPr>
              <w:rPr>
                <w:sz w:val="20"/>
                <w:szCs w:val="20"/>
              </w:rPr>
            </w:pPr>
            <w:r w:rsidRPr="00AE03CB">
              <w:rPr>
                <w:sz w:val="20"/>
                <w:szCs w:val="20"/>
              </w:rPr>
              <w:t>Routine Inspection, Repair, and Maintenance Records for CMVs</w:t>
            </w:r>
          </w:p>
        </w:tc>
        <w:tc>
          <w:tcPr>
            <w:tcW w:w="750" w:type="pct"/>
            <w:tcBorders>
              <w:top w:val="single" w:sz="8" w:space="0" w:color="auto"/>
            </w:tcBorders>
            <w:vAlign w:val="center"/>
          </w:tcPr>
          <w:p w:rsidR="000C2F21" w:rsidRPr="00AE03CB" w:rsidP="000C2F21" w14:paraId="17058077" w14:textId="1AEE923C">
            <w:pPr>
              <w:rPr>
                <w:sz w:val="20"/>
                <w:szCs w:val="20"/>
              </w:rPr>
            </w:pPr>
            <w:r w:rsidRPr="00AE03CB">
              <w:rPr>
                <w:sz w:val="20"/>
                <w:szCs w:val="20"/>
              </w:rPr>
              <w:t>18,065,910</w:t>
            </w:r>
          </w:p>
        </w:tc>
        <w:tc>
          <w:tcPr>
            <w:tcW w:w="850" w:type="pct"/>
            <w:tcBorders>
              <w:top w:val="single" w:sz="8" w:space="0" w:color="auto"/>
            </w:tcBorders>
            <w:noWrap/>
            <w:vAlign w:val="center"/>
            <w:hideMark/>
          </w:tcPr>
          <w:p w:rsidR="000C2F21" w:rsidRPr="00AE03CB" w:rsidP="000C2F21" w14:paraId="6F1A8A47" w14:textId="10408A47">
            <w:pPr>
              <w:rPr>
                <w:sz w:val="20"/>
                <w:szCs w:val="20"/>
              </w:rPr>
            </w:pPr>
            <w:r w:rsidRPr="00AE03CB">
              <w:rPr>
                <w:sz w:val="20"/>
                <w:szCs w:val="20"/>
              </w:rPr>
              <w:t>433,581,840</w:t>
            </w:r>
          </w:p>
        </w:tc>
        <w:tc>
          <w:tcPr>
            <w:tcW w:w="651" w:type="pct"/>
            <w:tcBorders>
              <w:top w:val="single" w:sz="8" w:space="0" w:color="auto"/>
            </w:tcBorders>
            <w:noWrap/>
            <w:vAlign w:val="center"/>
            <w:hideMark/>
          </w:tcPr>
          <w:p w:rsidR="000C2F21" w:rsidRPr="00AE03CB" w:rsidP="000C2F21" w14:paraId="6837B43C" w14:textId="77777777">
            <w:pPr>
              <w:rPr>
                <w:sz w:val="20"/>
                <w:szCs w:val="20"/>
              </w:rPr>
            </w:pPr>
            <w:r w:rsidRPr="00AE03CB">
              <w:rPr>
                <w:sz w:val="20"/>
                <w:szCs w:val="20"/>
              </w:rPr>
              <w:t>14,452,728</w:t>
            </w:r>
          </w:p>
        </w:tc>
        <w:tc>
          <w:tcPr>
            <w:tcW w:w="752" w:type="pct"/>
            <w:tcBorders>
              <w:top w:val="single" w:sz="8" w:space="0" w:color="auto"/>
              <w:right w:val="single" w:sz="8" w:space="0" w:color="auto"/>
            </w:tcBorders>
            <w:noWrap/>
            <w:vAlign w:val="center"/>
            <w:hideMark/>
          </w:tcPr>
          <w:p w:rsidR="000C2F21" w:rsidRPr="00AE03CB" w:rsidP="000C2F21" w14:paraId="3C0A581C" w14:textId="169D6D5A">
            <w:pPr>
              <w:rPr>
                <w:sz w:val="20"/>
                <w:szCs w:val="20"/>
              </w:rPr>
            </w:pPr>
            <w:r w:rsidRPr="00AE03CB">
              <w:rPr>
                <w:sz w:val="20"/>
                <w:szCs w:val="20"/>
              </w:rPr>
              <w:t>$553,641,939</w:t>
            </w:r>
          </w:p>
        </w:tc>
      </w:tr>
      <w:tr w14:paraId="4D93E4ED" w14:textId="77777777" w:rsidTr="00F93AEF">
        <w:tblPrEx>
          <w:tblW w:w="5215" w:type="pct"/>
          <w:tblLayout w:type="fixed"/>
          <w:tblLook w:val="04A0"/>
        </w:tblPrEx>
        <w:trPr>
          <w:trHeight w:val="520"/>
        </w:trPr>
        <w:tc>
          <w:tcPr>
            <w:tcW w:w="645" w:type="pct"/>
            <w:tcBorders>
              <w:left w:val="single" w:sz="8" w:space="0" w:color="auto"/>
            </w:tcBorders>
            <w:noWrap/>
            <w:vAlign w:val="center"/>
            <w:hideMark/>
          </w:tcPr>
          <w:p w:rsidR="000C2F21" w:rsidRPr="00AE03CB" w:rsidP="003566A3" w14:paraId="6606E54E" w14:textId="77777777">
            <w:pPr>
              <w:jc w:val="center"/>
              <w:rPr>
                <w:sz w:val="20"/>
                <w:szCs w:val="20"/>
              </w:rPr>
            </w:pPr>
            <w:r w:rsidRPr="00AE03CB">
              <w:rPr>
                <w:sz w:val="20"/>
                <w:szCs w:val="20"/>
              </w:rPr>
              <w:t>IC2</w:t>
            </w:r>
          </w:p>
        </w:tc>
        <w:tc>
          <w:tcPr>
            <w:tcW w:w="1352" w:type="pct"/>
            <w:hideMark/>
          </w:tcPr>
          <w:p w:rsidR="000C2F21" w:rsidRPr="00AE03CB" w:rsidP="003566A3" w14:paraId="3197CAE9" w14:textId="77777777">
            <w:pPr>
              <w:rPr>
                <w:sz w:val="20"/>
                <w:szCs w:val="20"/>
              </w:rPr>
            </w:pPr>
            <w:r w:rsidRPr="00AE03CB">
              <w:rPr>
                <w:sz w:val="20"/>
                <w:szCs w:val="20"/>
              </w:rPr>
              <w:t>Routine Inspection, Repair, and Maintenance Records for Emergency Exit Tests on Motor Coaches and School Buses</w:t>
            </w:r>
          </w:p>
        </w:tc>
        <w:tc>
          <w:tcPr>
            <w:tcW w:w="750" w:type="pct"/>
            <w:vAlign w:val="center"/>
          </w:tcPr>
          <w:p w:rsidR="000C2F21" w:rsidRPr="00AE03CB" w:rsidP="000C2F21" w14:paraId="2344A6B4" w14:textId="0C213B02">
            <w:pPr>
              <w:rPr>
                <w:sz w:val="20"/>
                <w:szCs w:val="20"/>
              </w:rPr>
            </w:pPr>
            <w:r w:rsidRPr="00AE03CB">
              <w:rPr>
                <w:sz w:val="20"/>
                <w:szCs w:val="20"/>
              </w:rPr>
              <w:t>53,569</w:t>
            </w:r>
          </w:p>
        </w:tc>
        <w:tc>
          <w:tcPr>
            <w:tcW w:w="850" w:type="pct"/>
            <w:noWrap/>
            <w:vAlign w:val="center"/>
            <w:hideMark/>
          </w:tcPr>
          <w:p w:rsidR="000C2F21" w:rsidRPr="00AE03CB" w:rsidP="000C2F21" w14:paraId="275023DD" w14:textId="491E1CD3">
            <w:pPr>
              <w:rPr>
                <w:sz w:val="20"/>
                <w:szCs w:val="20"/>
              </w:rPr>
            </w:pPr>
            <w:r w:rsidRPr="00AE03CB">
              <w:rPr>
                <w:sz w:val="20"/>
                <w:szCs w:val="20"/>
              </w:rPr>
              <w:t>214,276</w:t>
            </w:r>
          </w:p>
        </w:tc>
        <w:tc>
          <w:tcPr>
            <w:tcW w:w="651" w:type="pct"/>
            <w:noWrap/>
            <w:vAlign w:val="center"/>
            <w:hideMark/>
          </w:tcPr>
          <w:p w:rsidR="000C2F21" w:rsidRPr="00AE03CB" w:rsidP="000C2F21" w14:paraId="487C993F" w14:textId="77777777">
            <w:pPr>
              <w:rPr>
                <w:sz w:val="20"/>
                <w:szCs w:val="20"/>
              </w:rPr>
            </w:pPr>
            <w:r w:rsidRPr="00AE03CB">
              <w:rPr>
                <w:sz w:val="20"/>
                <w:szCs w:val="20"/>
              </w:rPr>
              <w:t>7,143</w:t>
            </w:r>
          </w:p>
        </w:tc>
        <w:tc>
          <w:tcPr>
            <w:tcW w:w="752" w:type="pct"/>
            <w:tcBorders>
              <w:right w:val="single" w:sz="8" w:space="0" w:color="auto"/>
            </w:tcBorders>
            <w:noWrap/>
            <w:vAlign w:val="center"/>
            <w:hideMark/>
          </w:tcPr>
          <w:p w:rsidR="000C2F21" w:rsidRPr="00AE03CB" w:rsidP="000C2F21" w14:paraId="6F0FD60F" w14:textId="18E18FE5">
            <w:pPr>
              <w:rPr>
                <w:sz w:val="20"/>
                <w:szCs w:val="20"/>
              </w:rPr>
            </w:pPr>
            <w:r w:rsidRPr="00AE03CB">
              <w:rPr>
                <w:sz w:val="20"/>
                <w:szCs w:val="20"/>
              </w:rPr>
              <w:t>$273,628</w:t>
            </w:r>
          </w:p>
        </w:tc>
      </w:tr>
      <w:tr w14:paraId="78C80D7D" w14:textId="77777777" w:rsidTr="00F93AEF">
        <w:tblPrEx>
          <w:tblW w:w="5215" w:type="pct"/>
          <w:tblLayout w:type="fixed"/>
          <w:tblLook w:val="04A0"/>
        </w:tblPrEx>
        <w:trPr>
          <w:trHeight w:val="310"/>
        </w:trPr>
        <w:tc>
          <w:tcPr>
            <w:tcW w:w="645" w:type="pct"/>
            <w:tcBorders>
              <w:left w:val="single" w:sz="8" w:space="0" w:color="auto"/>
            </w:tcBorders>
            <w:noWrap/>
            <w:vAlign w:val="center"/>
            <w:hideMark/>
          </w:tcPr>
          <w:p w:rsidR="000C2F21" w:rsidRPr="00AE03CB" w:rsidP="003566A3" w14:paraId="3DC22C18" w14:textId="77777777">
            <w:pPr>
              <w:jc w:val="center"/>
              <w:rPr>
                <w:sz w:val="20"/>
                <w:szCs w:val="20"/>
              </w:rPr>
            </w:pPr>
            <w:r w:rsidRPr="00AE03CB">
              <w:rPr>
                <w:sz w:val="20"/>
                <w:szCs w:val="20"/>
              </w:rPr>
              <w:t>IC3</w:t>
            </w:r>
          </w:p>
        </w:tc>
        <w:tc>
          <w:tcPr>
            <w:tcW w:w="1352" w:type="pct"/>
            <w:hideMark/>
          </w:tcPr>
          <w:p w:rsidR="000C2F21" w:rsidRPr="00AE03CB" w:rsidP="003566A3" w14:paraId="5D225FF2" w14:textId="77777777">
            <w:pPr>
              <w:rPr>
                <w:sz w:val="20"/>
                <w:szCs w:val="20"/>
              </w:rPr>
            </w:pPr>
            <w:r w:rsidRPr="00AE03CB">
              <w:rPr>
                <w:sz w:val="20"/>
                <w:szCs w:val="20"/>
              </w:rPr>
              <w:t>Routine Inspection, Repair, and Maintenance for Intermodal Chassis</w:t>
            </w:r>
          </w:p>
        </w:tc>
        <w:tc>
          <w:tcPr>
            <w:tcW w:w="750" w:type="pct"/>
            <w:vAlign w:val="center"/>
          </w:tcPr>
          <w:p w:rsidR="000C2F21" w:rsidRPr="00AE03CB" w:rsidP="000C2F21" w14:paraId="194B5D84" w14:textId="0E357D6F">
            <w:pPr>
              <w:rPr>
                <w:sz w:val="20"/>
                <w:szCs w:val="20"/>
              </w:rPr>
            </w:pPr>
            <w:r w:rsidRPr="00AE03CB">
              <w:rPr>
                <w:sz w:val="20"/>
                <w:szCs w:val="20"/>
              </w:rPr>
              <w:t>714,657</w:t>
            </w:r>
          </w:p>
        </w:tc>
        <w:tc>
          <w:tcPr>
            <w:tcW w:w="850" w:type="pct"/>
            <w:noWrap/>
            <w:vAlign w:val="center"/>
            <w:hideMark/>
          </w:tcPr>
          <w:p w:rsidR="000C2F21" w:rsidRPr="00AE03CB" w:rsidP="000C2F21" w14:paraId="0AC7AED8" w14:textId="1BBC13AC">
            <w:pPr>
              <w:rPr>
                <w:sz w:val="20"/>
                <w:szCs w:val="20"/>
              </w:rPr>
            </w:pPr>
            <w:r w:rsidRPr="00AE03CB">
              <w:rPr>
                <w:sz w:val="20"/>
                <w:szCs w:val="20"/>
              </w:rPr>
              <w:t>2,858,628</w:t>
            </w:r>
          </w:p>
        </w:tc>
        <w:tc>
          <w:tcPr>
            <w:tcW w:w="651" w:type="pct"/>
            <w:noWrap/>
            <w:vAlign w:val="center"/>
            <w:hideMark/>
          </w:tcPr>
          <w:p w:rsidR="000C2F21" w:rsidRPr="00AE03CB" w:rsidP="000C2F21" w14:paraId="298B4579" w14:textId="77777777">
            <w:pPr>
              <w:rPr>
                <w:sz w:val="20"/>
                <w:szCs w:val="20"/>
              </w:rPr>
            </w:pPr>
            <w:r w:rsidRPr="00AE03CB">
              <w:rPr>
                <w:sz w:val="20"/>
                <w:szCs w:val="20"/>
              </w:rPr>
              <w:t>142,931</w:t>
            </w:r>
          </w:p>
        </w:tc>
        <w:tc>
          <w:tcPr>
            <w:tcW w:w="752" w:type="pct"/>
            <w:tcBorders>
              <w:right w:val="single" w:sz="8" w:space="0" w:color="auto"/>
            </w:tcBorders>
            <w:noWrap/>
            <w:vAlign w:val="center"/>
            <w:hideMark/>
          </w:tcPr>
          <w:p w:rsidR="000C2F21" w:rsidRPr="00AE03CB" w:rsidP="000C2F21" w14:paraId="5EF504DA" w14:textId="2059F127">
            <w:pPr>
              <w:rPr>
                <w:sz w:val="20"/>
                <w:szCs w:val="20"/>
              </w:rPr>
            </w:pPr>
            <w:r w:rsidRPr="00AE03CB">
              <w:rPr>
                <w:sz w:val="20"/>
                <w:szCs w:val="20"/>
              </w:rPr>
              <w:t>$5,475,271</w:t>
            </w:r>
          </w:p>
        </w:tc>
      </w:tr>
      <w:tr w14:paraId="6180A62A" w14:textId="77777777" w:rsidTr="00A438B3">
        <w:tblPrEx>
          <w:tblW w:w="5215" w:type="pct"/>
          <w:tblLayout w:type="fixed"/>
          <w:tblLook w:val="04A0"/>
        </w:tblPrEx>
        <w:trPr>
          <w:trHeight w:val="320"/>
        </w:trPr>
        <w:tc>
          <w:tcPr>
            <w:tcW w:w="645" w:type="pct"/>
            <w:tcBorders>
              <w:left w:val="single" w:sz="8" w:space="0" w:color="auto"/>
              <w:bottom w:val="single" w:sz="8" w:space="0" w:color="auto"/>
              <w:right w:val="single" w:sz="4" w:space="0" w:color="auto"/>
            </w:tcBorders>
            <w:vAlign w:val="center"/>
          </w:tcPr>
          <w:p w:rsidR="000C2F21" w:rsidRPr="00AE03CB" w:rsidP="003566A3" w14:paraId="2D7C450E" w14:textId="77777777">
            <w:pPr>
              <w:jc w:val="center"/>
              <w:rPr>
                <w:i/>
                <w:iCs/>
                <w:sz w:val="20"/>
                <w:szCs w:val="20"/>
              </w:rPr>
            </w:pPr>
          </w:p>
        </w:tc>
        <w:tc>
          <w:tcPr>
            <w:tcW w:w="4355" w:type="pct"/>
            <w:gridSpan w:val="5"/>
            <w:tcBorders>
              <w:left w:val="single" w:sz="4" w:space="0" w:color="auto"/>
              <w:bottom w:val="single" w:sz="8" w:space="0" w:color="auto"/>
              <w:right w:val="single" w:sz="8" w:space="0" w:color="auto"/>
            </w:tcBorders>
            <w:noWrap/>
            <w:hideMark/>
          </w:tcPr>
          <w:p w:rsidR="000C2F21" w:rsidRPr="00AE03CB" w:rsidP="003566A3" w14:paraId="2DBA5CA3" w14:textId="7B4F54FC">
            <w:pPr>
              <w:jc w:val="center"/>
              <w:rPr>
                <w:i/>
                <w:iCs/>
                <w:sz w:val="20"/>
                <w:szCs w:val="20"/>
              </w:rPr>
            </w:pPr>
            <w:r w:rsidRPr="00AE03CB">
              <w:rPr>
                <w:i/>
                <w:iCs/>
                <w:sz w:val="20"/>
                <w:szCs w:val="20"/>
              </w:rPr>
              <w:t>Total Routine Inspection, Repair, and Maintenance Records Burden: 14,602,802 hours</w:t>
            </w:r>
          </w:p>
        </w:tc>
      </w:tr>
      <w:tr w14:paraId="3F34CA0C" w14:textId="77777777" w:rsidTr="00F93AEF">
        <w:tblPrEx>
          <w:tblW w:w="5215" w:type="pct"/>
          <w:tblLayout w:type="fixed"/>
          <w:tblLook w:val="04A0"/>
        </w:tblPrEx>
        <w:trPr>
          <w:trHeight w:val="520"/>
        </w:trPr>
        <w:tc>
          <w:tcPr>
            <w:tcW w:w="645" w:type="pct"/>
            <w:tcBorders>
              <w:top w:val="single" w:sz="8" w:space="0" w:color="auto"/>
              <w:left w:val="single" w:sz="8" w:space="0" w:color="auto"/>
            </w:tcBorders>
            <w:noWrap/>
            <w:vAlign w:val="center"/>
            <w:hideMark/>
          </w:tcPr>
          <w:p w:rsidR="000C2F21" w:rsidRPr="00AE03CB" w:rsidP="003566A3" w14:paraId="1F738801" w14:textId="77777777">
            <w:pPr>
              <w:jc w:val="center"/>
              <w:rPr>
                <w:sz w:val="20"/>
                <w:szCs w:val="20"/>
              </w:rPr>
            </w:pPr>
            <w:r w:rsidRPr="00AE03CB">
              <w:rPr>
                <w:sz w:val="20"/>
                <w:szCs w:val="20"/>
              </w:rPr>
              <w:t>IC4</w:t>
            </w:r>
          </w:p>
        </w:tc>
        <w:tc>
          <w:tcPr>
            <w:tcW w:w="1352" w:type="pct"/>
            <w:tcBorders>
              <w:top w:val="single" w:sz="8" w:space="0" w:color="auto"/>
            </w:tcBorders>
            <w:hideMark/>
          </w:tcPr>
          <w:p w:rsidR="000C2F21" w:rsidRPr="00AE03CB" w:rsidP="003566A3" w14:paraId="2E3553AC" w14:textId="77777777">
            <w:pPr>
              <w:rPr>
                <w:sz w:val="20"/>
                <w:szCs w:val="20"/>
              </w:rPr>
            </w:pPr>
            <w:r w:rsidRPr="00AE03CB">
              <w:rPr>
                <w:sz w:val="20"/>
                <w:szCs w:val="20"/>
              </w:rPr>
              <w:t>Driver Vehicle Inspection Reports for Defect DVIRs for All Vehicles, Including Carrier Passenger Vehicles</w:t>
            </w:r>
          </w:p>
        </w:tc>
        <w:tc>
          <w:tcPr>
            <w:tcW w:w="750" w:type="pct"/>
            <w:tcBorders>
              <w:top w:val="single" w:sz="8" w:space="0" w:color="auto"/>
            </w:tcBorders>
            <w:vAlign w:val="center"/>
          </w:tcPr>
          <w:p w:rsidR="000C2F21" w:rsidRPr="00AE03CB" w:rsidP="003566A3" w14:paraId="13BD9E6F" w14:textId="0D810187">
            <w:pPr>
              <w:rPr>
                <w:sz w:val="20"/>
                <w:szCs w:val="20"/>
              </w:rPr>
            </w:pPr>
            <w:r w:rsidRPr="00AE03CB">
              <w:rPr>
                <w:sz w:val="20"/>
                <w:szCs w:val="20"/>
              </w:rPr>
              <w:t>5,335,650</w:t>
            </w:r>
          </w:p>
        </w:tc>
        <w:tc>
          <w:tcPr>
            <w:tcW w:w="850" w:type="pct"/>
            <w:tcBorders>
              <w:top w:val="single" w:sz="8" w:space="0" w:color="auto"/>
            </w:tcBorders>
            <w:noWrap/>
            <w:vAlign w:val="center"/>
            <w:hideMark/>
          </w:tcPr>
          <w:p w:rsidR="000C2F21" w:rsidRPr="00AE03CB" w:rsidP="003566A3" w14:paraId="4ED7C7FF" w14:textId="1371E728">
            <w:pPr>
              <w:rPr>
                <w:sz w:val="20"/>
                <w:szCs w:val="20"/>
              </w:rPr>
            </w:pPr>
            <w:r w:rsidRPr="00AE03CB">
              <w:rPr>
                <w:sz w:val="20"/>
                <w:szCs w:val="20"/>
              </w:rPr>
              <w:t>63,294,148</w:t>
            </w:r>
          </w:p>
        </w:tc>
        <w:tc>
          <w:tcPr>
            <w:tcW w:w="651" w:type="pct"/>
            <w:tcBorders>
              <w:top w:val="single" w:sz="8" w:space="0" w:color="auto"/>
            </w:tcBorders>
            <w:noWrap/>
            <w:vAlign w:val="center"/>
            <w:hideMark/>
          </w:tcPr>
          <w:p w:rsidR="000C2F21" w:rsidRPr="00AE03CB" w:rsidP="003566A3" w14:paraId="47206BA9" w14:textId="77777777">
            <w:pPr>
              <w:rPr>
                <w:sz w:val="20"/>
                <w:szCs w:val="20"/>
              </w:rPr>
            </w:pPr>
            <w:r w:rsidRPr="00AE03CB">
              <w:rPr>
                <w:sz w:val="20"/>
                <w:szCs w:val="20"/>
              </w:rPr>
              <w:t>3,516,342</w:t>
            </w:r>
          </w:p>
        </w:tc>
        <w:tc>
          <w:tcPr>
            <w:tcW w:w="752" w:type="pct"/>
            <w:tcBorders>
              <w:top w:val="single" w:sz="8" w:space="0" w:color="auto"/>
              <w:right w:val="single" w:sz="8" w:space="0" w:color="auto"/>
            </w:tcBorders>
            <w:noWrap/>
            <w:vAlign w:val="center"/>
            <w:hideMark/>
          </w:tcPr>
          <w:p w:rsidR="000C2F21" w:rsidRPr="00AE03CB" w:rsidP="003566A3" w14:paraId="41CF0D0F" w14:textId="3585180C">
            <w:pPr>
              <w:rPr>
                <w:sz w:val="20"/>
                <w:szCs w:val="20"/>
              </w:rPr>
            </w:pPr>
            <w:r w:rsidRPr="00AE03CB">
              <w:rPr>
                <w:sz w:val="20"/>
                <w:szCs w:val="20"/>
              </w:rPr>
              <w:t>$134,700,826</w:t>
            </w:r>
          </w:p>
        </w:tc>
      </w:tr>
      <w:tr w14:paraId="6A82CB00" w14:textId="77777777" w:rsidTr="00A438B3">
        <w:tblPrEx>
          <w:tblW w:w="5215" w:type="pct"/>
          <w:tblLayout w:type="fixed"/>
          <w:tblLook w:val="04A0"/>
        </w:tblPrEx>
        <w:trPr>
          <w:trHeight w:val="270"/>
        </w:trPr>
        <w:tc>
          <w:tcPr>
            <w:tcW w:w="645" w:type="pct"/>
            <w:tcBorders>
              <w:left w:val="single" w:sz="8" w:space="0" w:color="auto"/>
              <w:bottom w:val="single" w:sz="8" w:space="0" w:color="auto"/>
              <w:right w:val="single" w:sz="4" w:space="0" w:color="auto"/>
            </w:tcBorders>
            <w:vAlign w:val="center"/>
          </w:tcPr>
          <w:p w:rsidR="000C2F21" w:rsidRPr="00AE03CB" w:rsidP="003566A3" w14:paraId="3057295E" w14:textId="77777777">
            <w:pPr>
              <w:jc w:val="center"/>
              <w:rPr>
                <w:i/>
                <w:iCs/>
                <w:sz w:val="20"/>
                <w:szCs w:val="20"/>
              </w:rPr>
            </w:pPr>
          </w:p>
        </w:tc>
        <w:tc>
          <w:tcPr>
            <w:tcW w:w="4355" w:type="pct"/>
            <w:gridSpan w:val="5"/>
            <w:tcBorders>
              <w:left w:val="single" w:sz="4" w:space="0" w:color="auto"/>
              <w:bottom w:val="single" w:sz="8" w:space="0" w:color="auto"/>
              <w:right w:val="single" w:sz="8" w:space="0" w:color="auto"/>
            </w:tcBorders>
            <w:noWrap/>
            <w:hideMark/>
          </w:tcPr>
          <w:p w:rsidR="000C2F21" w:rsidRPr="00AE03CB" w:rsidP="003566A3" w14:paraId="673800C7" w14:textId="1A266230">
            <w:pPr>
              <w:jc w:val="center"/>
              <w:rPr>
                <w:i/>
                <w:iCs/>
                <w:sz w:val="20"/>
                <w:szCs w:val="20"/>
              </w:rPr>
            </w:pPr>
            <w:r w:rsidRPr="00AE03CB">
              <w:rPr>
                <w:i/>
                <w:iCs/>
                <w:sz w:val="20"/>
                <w:szCs w:val="20"/>
              </w:rPr>
              <w:t>Total DVIR Burden: 3,516,342</w:t>
            </w:r>
            <w:r w:rsidR="00A5058F">
              <w:rPr>
                <w:i/>
                <w:iCs/>
                <w:sz w:val="20"/>
                <w:szCs w:val="20"/>
              </w:rPr>
              <w:t xml:space="preserve"> hours</w:t>
            </w:r>
          </w:p>
        </w:tc>
      </w:tr>
      <w:tr w14:paraId="5BA89E5F" w14:textId="77777777" w:rsidTr="00EE645C">
        <w:tblPrEx>
          <w:tblW w:w="5215" w:type="pct"/>
          <w:tblLayout w:type="fixed"/>
          <w:tblLook w:val="04A0"/>
        </w:tblPrEx>
        <w:trPr>
          <w:trHeight w:val="520"/>
        </w:trPr>
        <w:tc>
          <w:tcPr>
            <w:tcW w:w="645" w:type="pct"/>
            <w:tcBorders>
              <w:top w:val="single" w:sz="8" w:space="0" w:color="auto"/>
              <w:left w:val="single" w:sz="8" w:space="0" w:color="auto"/>
            </w:tcBorders>
            <w:noWrap/>
            <w:vAlign w:val="center"/>
            <w:hideMark/>
          </w:tcPr>
          <w:p w:rsidR="000C2F21" w:rsidRPr="00AE03CB" w:rsidP="003566A3" w14:paraId="36B2B0BE" w14:textId="77777777">
            <w:pPr>
              <w:jc w:val="center"/>
              <w:rPr>
                <w:sz w:val="20"/>
                <w:szCs w:val="20"/>
              </w:rPr>
            </w:pPr>
            <w:r w:rsidRPr="00AE03CB">
              <w:rPr>
                <w:sz w:val="20"/>
                <w:szCs w:val="20"/>
              </w:rPr>
              <w:t>IC5</w:t>
            </w:r>
          </w:p>
        </w:tc>
        <w:tc>
          <w:tcPr>
            <w:tcW w:w="1352" w:type="pct"/>
            <w:tcBorders>
              <w:top w:val="single" w:sz="8" w:space="0" w:color="auto"/>
            </w:tcBorders>
            <w:hideMark/>
          </w:tcPr>
          <w:p w:rsidR="000C2F21" w:rsidRPr="00AE03CB" w:rsidP="003566A3" w14:paraId="00333887" w14:textId="77777777">
            <w:pPr>
              <w:rPr>
                <w:sz w:val="20"/>
                <w:szCs w:val="20"/>
              </w:rPr>
            </w:pPr>
            <w:r w:rsidRPr="00AE03CB">
              <w:rPr>
                <w:sz w:val="20"/>
                <w:szCs w:val="20"/>
              </w:rPr>
              <w:t>Disposition of Roadside Inspection Reports for Driver to Mail Inspection Report</w:t>
            </w:r>
          </w:p>
        </w:tc>
        <w:tc>
          <w:tcPr>
            <w:tcW w:w="750" w:type="pct"/>
            <w:tcBorders>
              <w:top w:val="single" w:sz="8" w:space="0" w:color="auto"/>
            </w:tcBorders>
            <w:vAlign w:val="center"/>
          </w:tcPr>
          <w:p w:rsidR="000C2F21" w:rsidRPr="00AE03CB" w:rsidP="00EE645C" w14:paraId="577D4757" w14:textId="5165B7CD">
            <w:pPr>
              <w:rPr>
                <w:sz w:val="20"/>
                <w:szCs w:val="20"/>
              </w:rPr>
            </w:pPr>
            <w:r w:rsidRPr="00AE03CB">
              <w:rPr>
                <w:sz w:val="20"/>
                <w:szCs w:val="20"/>
              </w:rPr>
              <w:t>2,881,846</w:t>
            </w:r>
          </w:p>
        </w:tc>
        <w:tc>
          <w:tcPr>
            <w:tcW w:w="850" w:type="pct"/>
            <w:tcBorders>
              <w:top w:val="single" w:sz="8" w:space="0" w:color="auto"/>
            </w:tcBorders>
            <w:noWrap/>
            <w:vAlign w:val="center"/>
            <w:hideMark/>
          </w:tcPr>
          <w:p w:rsidR="000C2F21" w:rsidRPr="00AE03CB" w:rsidP="003566A3" w14:paraId="480C3BCE" w14:textId="1ADAD07F">
            <w:pPr>
              <w:rPr>
                <w:sz w:val="20"/>
                <w:szCs w:val="20"/>
              </w:rPr>
            </w:pPr>
            <w:r w:rsidRPr="00AE03CB">
              <w:rPr>
                <w:sz w:val="20"/>
                <w:szCs w:val="20"/>
              </w:rPr>
              <w:t>739,193</w:t>
            </w:r>
          </w:p>
        </w:tc>
        <w:tc>
          <w:tcPr>
            <w:tcW w:w="651" w:type="pct"/>
            <w:tcBorders>
              <w:top w:val="single" w:sz="8" w:space="0" w:color="auto"/>
            </w:tcBorders>
            <w:vAlign w:val="center"/>
            <w:hideMark/>
          </w:tcPr>
          <w:p w:rsidR="000C2F21" w:rsidRPr="00AE03CB" w:rsidP="003566A3" w14:paraId="185F207C" w14:textId="77777777">
            <w:pPr>
              <w:rPr>
                <w:sz w:val="20"/>
                <w:szCs w:val="20"/>
              </w:rPr>
            </w:pPr>
            <w:r w:rsidRPr="00AE03CB">
              <w:rPr>
                <w:sz w:val="20"/>
                <w:szCs w:val="20"/>
              </w:rPr>
              <w:t>24,640</w:t>
            </w:r>
          </w:p>
        </w:tc>
        <w:tc>
          <w:tcPr>
            <w:tcW w:w="752" w:type="pct"/>
            <w:tcBorders>
              <w:top w:val="single" w:sz="8" w:space="0" w:color="auto"/>
              <w:right w:val="single" w:sz="8" w:space="0" w:color="auto"/>
            </w:tcBorders>
            <w:noWrap/>
            <w:vAlign w:val="center"/>
            <w:hideMark/>
          </w:tcPr>
          <w:p w:rsidR="000C2F21" w:rsidRPr="00AE03CB" w:rsidP="003566A3" w14:paraId="146E0453" w14:textId="4DF844A6">
            <w:pPr>
              <w:rPr>
                <w:sz w:val="20"/>
                <w:szCs w:val="20"/>
              </w:rPr>
            </w:pPr>
            <w:r w:rsidRPr="00AE03CB">
              <w:rPr>
                <w:sz w:val="20"/>
                <w:szCs w:val="20"/>
              </w:rPr>
              <w:t>$943,887</w:t>
            </w:r>
          </w:p>
        </w:tc>
      </w:tr>
      <w:tr w14:paraId="75B98525" w14:textId="77777777" w:rsidTr="00F93AEF">
        <w:tblPrEx>
          <w:tblW w:w="5215" w:type="pct"/>
          <w:tblLayout w:type="fixed"/>
          <w:tblLook w:val="04A0"/>
        </w:tblPrEx>
        <w:trPr>
          <w:trHeight w:val="520"/>
        </w:trPr>
        <w:tc>
          <w:tcPr>
            <w:tcW w:w="645" w:type="pct"/>
            <w:tcBorders>
              <w:left w:val="single" w:sz="8" w:space="0" w:color="auto"/>
            </w:tcBorders>
            <w:noWrap/>
            <w:vAlign w:val="center"/>
            <w:hideMark/>
          </w:tcPr>
          <w:p w:rsidR="000C2F21" w:rsidRPr="00AE03CB" w:rsidP="003566A3" w14:paraId="6ED08185" w14:textId="77777777">
            <w:pPr>
              <w:jc w:val="center"/>
              <w:rPr>
                <w:sz w:val="20"/>
                <w:szCs w:val="20"/>
              </w:rPr>
            </w:pPr>
            <w:r w:rsidRPr="00AE03CB">
              <w:rPr>
                <w:sz w:val="20"/>
                <w:szCs w:val="20"/>
              </w:rPr>
              <w:t>IC6</w:t>
            </w:r>
          </w:p>
        </w:tc>
        <w:tc>
          <w:tcPr>
            <w:tcW w:w="1352" w:type="pct"/>
            <w:hideMark/>
          </w:tcPr>
          <w:p w:rsidR="000C2F21" w:rsidRPr="00AE03CB" w:rsidP="003566A3" w14:paraId="5005B171" w14:textId="77777777">
            <w:pPr>
              <w:rPr>
                <w:sz w:val="20"/>
                <w:szCs w:val="20"/>
              </w:rPr>
            </w:pPr>
            <w:r w:rsidRPr="00AE03CB">
              <w:rPr>
                <w:sz w:val="20"/>
                <w:szCs w:val="20"/>
              </w:rPr>
              <w:t>Disposition of Roadside Inspection Reports for Motor Carrier to Examine, Certify, Mail, Retain, File Inspection Report</w:t>
            </w:r>
          </w:p>
        </w:tc>
        <w:tc>
          <w:tcPr>
            <w:tcW w:w="750" w:type="pct"/>
            <w:vAlign w:val="center"/>
          </w:tcPr>
          <w:p w:rsidR="000C2F21" w:rsidRPr="00AE03CB" w:rsidP="003566A3" w14:paraId="757D405F" w14:textId="436EF253">
            <w:pPr>
              <w:rPr>
                <w:sz w:val="20"/>
                <w:szCs w:val="20"/>
              </w:rPr>
            </w:pPr>
            <w:r w:rsidRPr="00AE03CB">
              <w:rPr>
                <w:sz w:val="20"/>
                <w:szCs w:val="20"/>
              </w:rPr>
              <w:t>2,881,846</w:t>
            </w:r>
          </w:p>
        </w:tc>
        <w:tc>
          <w:tcPr>
            <w:tcW w:w="850" w:type="pct"/>
            <w:vAlign w:val="center"/>
            <w:hideMark/>
          </w:tcPr>
          <w:p w:rsidR="000C2F21" w:rsidRPr="00AE03CB" w:rsidP="003566A3" w14:paraId="05752C13" w14:textId="7C26BF13">
            <w:pPr>
              <w:rPr>
                <w:sz w:val="20"/>
                <w:szCs w:val="20"/>
              </w:rPr>
            </w:pPr>
            <w:r w:rsidRPr="00AE03CB">
              <w:rPr>
                <w:sz w:val="20"/>
                <w:szCs w:val="20"/>
              </w:rPr>
              <w:t>1,642,652</w:t>
            </w:r>
          </w:p>
        </w:tc>
        <w:tc>
          <w:tcPr>
            <w:tcW w:w="651" w:type="pct"/>
            <w:vAlign w:val="center"/>
            <w:hideMark/>
          </w:tcPr>
          <w:p w:rsidR="000C2F21" w:rsidRPr="00AE03CB" w:rsidP="003566A3" w14:paraId="7B287737" w14:textId="77777777">
            <w:pPr>
              <w:rPr>
                <w:sz w:val="20"/>
                <w:szCs w:val="20"/>
              </w:rPr>
            </w:pPr>
            <w:r w:rsidRPr="00AE03CB">
              <w:rPr>
                <w:sz w:val="20"/>
                <w:szCs w:val="20"/>
              </w:rPr>
              <w:t>136,888</w:t>
            </w:r>
          </w:p>
        </w:tc>
        <w:tc>
          <w:tcPr>
            <w:tcW w:w="752" w:type="pct"/>
            <w:tcBorders>
              <w:right w:val="single" w:sz="8" w:space="0" w:color="auto"/>
            </w:tcBorders>
            <w:noWrap/>
            <w:vAlign w:val="center"/>
            <w:hideMark/>
          </w:tcPr>
          <w:p w:rsidR="000C2F21" w:rsidRPr="00AE03CB" w:rsidP="003566A3" w14:paraId="5A728086" w14:textId="486E684D">
            <w:pPr>
              <w:rPr>
                <w:sz w:val="20"/>
                <w:szCs w:val="20"/>
              </w:rPr>
            </w:pPr>
            <w:r w:rsidRPr="00AE03CB">
              <w:rPr>
                <w:sz w:val="20"/>
                <w:szCs w:val="20"/>
              </w:rPr>
              <w:t>$5,243,781</w:t>
            </w:r>
          </w:p>
        </w:tc>
      </w:tr>
      <w:tr w14:paraId="50506F47" w14:textId="77777777" w:rsidTr="00A438B3">
        <w:tblPrEx>
          <w:tblW w:w="5215" w:type="pct"/>
          <w:tblLayout w:type="fixed"/>
          <w:tblLook w:val="04A0"/>
        </w:tblPrEx>
        <w:trPr>
          <w:trHeight w:val="270"/>
        </w:trPr>
        <w:tc>
          <w:tcPr>
            <w:tcW w:w="645" w:type="pct"/>
            <w:tcBorders>
              <w:left w:val="single" w:sz="8" w:space="0" w:color="auto"/>
              <w:bottom w:val="single" w:sz="8" w:space="0" w:color="auto"/>
              <w:right w:val="single" w:sz="4" w:space="0" w:color="auto"/>
            </w:tcBorders>
            <w:vAlign w:val="center"/>
          </w:tcPr>
          <w:p w:rsidR="000C2F21" w:rsidRPr="00AE03CB" w:rsidP="003566A3" w14:paraId="775B40EA" w14:textId="77777777">
            <w:pPr>
              <w:jc w:val="center"/>
              <w:rPr>
                <w:i/>
                <w:iCs/>
                <w:sz w:val="20"/>
                <w:szCs w:val="20"/>
              </w:rPr>
            </w:pPr>
          </w:p>
        </w:tc>
        <w:tc>
          <w:tcPr>
            <w:tcW w:w="4355" w:type="pct"/>
            <w:gridSpan w:val="5"/>
            <w:tcBorders>
              <w:left w:val="single" w:sz="4" w:space="0" w:color="auto"/>
              <w:bottom w:val="single" w:sz="8" w:space="0" w:color="auto"/>
              <w:right w:val="single" w:sz="8" w:space="0" w:color="auto"/>
            </w:tcBorders>
            <w:noWrap/>
            <w:hideMark/>
          </w:tcPr>
          <w:p w:rsidR="000C2F21" w:rsidRPr="00AE03CB" w:rsidP="003566A3" w14:paraId="6935CEEE" w14:textId="7E33B1C5">
            <w:pPr>
              <w:jc w:val="center"/>
              <w:rPr>
                <w:i/>
                <w:iCs/>
                <w:sz w:val="20"/>
                <w:szCs w:val="20"/>
              </w:rPr>
            </w:pPr>
            <w:r w:rsidRPr="00AE03CB">
              <w:rPr>
                <w:i/>
                <w:iCs/>
                <w:sz w:val="20"/>
                <w:szCs w:val="20"/>
              </w:rPr>
              <w:t>Total Disposition of Roadside Inspection Reports Burden: 161,528</w:t>
            </w:r>
            <w:r w:rsidR="00A5058F">
              <w:rPr>
                <w:i/>
                <w:iCs/>
                <w:sz w:val="20"/>
                <w:szCs w:val="20"/>
              </w:rPr>
              <w:t xml:space="preserve"> hours</w:t>
            </w:r>
          </w:p>
        </w:tc>
      </w:tr>
      <w:tr w14:paraId="31BD952A" w14:textId="77777777" w:rsidTr="00F93AEF">
        <w:tblPrEx>
          <w:tblW w:w="5215" w:type="pct"/>
          <w:tblLayout w:type="fixed"/>
          <w:tblLook w:val="04A0"/>
        </w:tblPrEx>
        <w:trPr>
          <w:trHeight w:val="520"/>
        </w:trPr>
        <w:tc>
          <w:tcPr>
            <w:tcW w:w="645" w:type="pct"/>
            <w:tcBorders>
              <w:top w:val="single" w:sz="8" w:space="0" w:color="auto"/>
              <w:left w:val="single" w:sz="8" w:space="0" w:color="auto"/>
            </w:tcBorders>
            <w:noWrap/>
            <w:vAlign w:val="center"/>
            <w:hideMark/>
          </w:tcPr>
          <w:p w:rsidR="000C2F21" w:rsidRPr="00AE03CB" w:rsidP="003566A3" w14:paraId="38C9E96F" w14:textId="77777777">
            <w:pPr>
              <w:jc w:val="center"/>
              <w:rPr>
                <w:sz w:val="20"/>
                <w:szCs w:val="20"/>
              </w:rPr>
            </w:pPr>
            <w:r w:rsidRPr="00AE03CB">
              <w:rPr>
                <w:sz w:val="20"/>
                <w:szCs w:val="20"/>
              </w:rPr>
              <w:t>IC7</w:t>
            </w:r>
          </w:p>
        </w:tc>
        <w:tc>
          <w:tcPr>
            <w:tcW w:w="1352" w:type="pct"/>
            <w:tcBorders>
              <w:top w:val="single" w:sz="8" w:space="0" w:color="auto"/>
            </w:tcBorders>
            <w:hideMark/>
          </w:tcPr>
          <w:p w:rsidR="000C2F21" w:rsidRPr="00AE03CB" w:rsidP="003566A3" w14:paraId="350D1DB8" w14:textId="77777777">
            <w:pPr>
              <w:rPr>
                <w:sz w:val="20"/>
                <w:szCs w:val="20"/>
              </w:rPr>
            </w:pPr>
            <w:r w:rsidRPr="00AE03CB">
              <w:rPr>
                <w:sz w:val="20"/>
                <w:szCs w:val="20"/>
              </w:rPr>
              <w:t>Periodic (Annual) Inspection of All CMVs Not Subject to State-Mandated Periodic Inspection Program</w:t>
            </w:r>
          </w:p>
        </w:tc>
        <w:tc>
          <w:tcPr>
            <w:tcW w:w="750" w:type="pct"/>
            <w:tcBorders>
              <w:top w:val="single" w:sz="8" w:space="0" w:color="auto"/>
            </w:tcBorders>
            <w:vAlign w:val="center"/>
          </w:tcPr>
          <w:p w:rsidR="000C2F21" w:rsidRPr="00AE03CB" w:rsidP="003566A3" w14:paraId="6FB79BD0" w14:textId="0C2CBCFB">
            <w:pPr>
              <w:rPr>
                <w:sz w:val="20"/>
                <w:szCs w:val="20"/>
              </w:rPr>
            </w:pPr>
            <w:r w:rsidRPr="00AE03CB">
              <w:rPr>
                <w:sz w:val="20"/>
                <w:szCs w:val="20"/>
              </w:rPr>
              <w:t>9,334,362</w:t>
            </w:r>
          </w:p>
        </w:tc>
        <w:tc>
          <w:tcPr>
            <w:tcW w:w="850" w:type="pct"/>
            <w:tcBorders>
              <w:top w:val="single" w:sz="8" w:space="0" w:color="auto"/>
            </w:tcBorders>
            <w:vAlign w:val="center"/>
            <w:hideMark/>
          </w:tcPr>
          <w:p w:rsidR="000C2F21" w:rsidRPr="00AE03CB" w:rsidP="003566A3" w14:paraId="5339DFE1" w14:textId="02D63B8F">
            <w:pPr>
              <w:rPr>
                <w:sz w:val="20"/>
                <w:szCs w:val="20"/>
              </w:rPr>
            </w:pPr>
            <w:r w:rsidRPr="00AE03CB">
              <w:rPr>
                <w:sz w:val="20"/>
                <w:szCs w:val="20"/>
              </w:rPr>
              <w:t>9,334,362</w:t>
            </w:r>
          </w:p>
        </w:tc>
        <w:tc>
          <w:tcPr>
            <w:tcW w:w="651" w:type="pct"/>
            <w:tcBorders>
              <w:top w:val="single" w:sz="8" w:space="0" w:color="auto"/>
            </w:tcBorders>
            <w:vAlign w:val="center"/>
            <w:hideMark/>
          </w:tcPr>
          <w:p w:rsidR="000C2F21" w:rsidRPr="00AE03CB" w:rsidP="003566A3" w14:paraId="6E4E91E1" w14:textId="77777777">
            <w:pPr>
              <w:rPr>
                <w:sz w:val="20"/>
                <w:szCs w:val="20"/>
              </w:rPr>
            </w:pPr>
            <w:r w:rsidRPr="00AE03CB">
              <w:rPr>
                <w:sz w:val="20"/>
                <w:szCs w:val="20"/>
              </w:rPr>
              <w:t>777,864</w:t>
            </w:r>
          </w:p>
        </w:tc>
        <w:tc>
          <w:tcPr>
            <w:tcW w:w="752" w:type="pct"/>
            <w:tcBorders>
              <w:top w:val="single" w:sz="8" w:space="0" w:color="auto"/>
              <w:right w:val="single" w:sz="8" w:space="0" w:color="auto"/>
            </w:tcBorders>
            <w:noWrap/>
            <w:vAlign w:val="center"/>
            <w:hideMark/>
          </w:tcPr>
          <w:p w:rsidR="000C2F21" w:rsidRPr="00AE03CB" w:rsidP="003566A3" w14:paraId="573F4818" w14:textId="4EA41D33">
            <w:pPr>
              <w:rPr>
                <w:sz w:val="20"/>
                <w:szCs w:val="20"/>
              </w:rPr>
            </w:pPr>
            <w:r w:rsidRPr="00AE03CB">
              <w:rPr>
                <w:sz w:val="20"/>
                <w:szCs w:val="20"/>
              </w:rPr>
              <w:t>$29,797,706</w:t>
            </w:r>
          </w:p>
        </w:tc>
      </w:tr>
      <w:tr w14:paraId="37604517" w14:textId="77777777" w:rsidTr="00F93AEF">
        <w:tblPrEx>
          <w:tblW w:w="5215" w:type="pct"/>
          <w:tblLayout w:type="fixed"/>
          <w:tblLook w:val="04A0"/>
        </w:tblPrEx>
        <w:trPr>
          <w:trHeight w:val="260"/>
        </w:trPr>
        <w:tc>
          <w:tcPr>
            <w:tcW w:w="645" w:type="pct"/>
            <w:tcBorders>
              <w:left w:val="single" w:sz="8" w:space="0" w:color="auto"/>
              <w:bottom w:val="single" w:sz="4" w:space="0" w:color="auto"/>
            </w:tcBorders>
            <w:noWrap/>
            <w:vAlign w:val="center"/>
            <w:hideMark/>
          </w:tcPr>
          <w:p w:rsidR="000C2F21" w:rsidRPr="00AE03CB" w:rsidP="003566A3" w14:paraId="51103AEF" w14:textId="77777777">
            <w:pPr>
              <w:jc w:val="center"/>
              <w:rPr>
                <w:sz w:val="20"/>
                <w:szCs w:val="20"/>
              </w:rPr>
            </w:pPr>
            <w:r w:rsidRPr="00AE03CB">
              <w:rPr>
                <w:sz w:val="20"/>
                <w:szCs w:val="20"/>
              </w:rPr>
              <w:t>IC8</w:t>
            </w:r>
          </w:p>
        </w:tc>
        <w:tc>
          <w:tcPr>
            <w:tcW w:w="1352" w:type="pct"/>
            <w:tcBorders>
              <w:bottom w:val="single" w:sz="4" w:space="0" w:color="auto"/>
            </w:tcBorders>
            <w:hideMark/>
          </w:tcPr>
          <w:p w:rsidR="000C2F21" w:rsidRPr="00AE03CB" w:rsidP="003566A3" w14:paraId="76B1B205" w14:textId="77777777">
            <w:pPr>
              <w:rPr>
                <w:sz w:val="20"/>
                <w:szCs w:val="20"/>
              </w:rPr>
            </w:pPr>
            <w:r w:rsidRPr="00AE03CB">
              <w:rPr>
                <w:sz w:val="20"/>
                <w:szCs w:val="20"/>
              </w:rPr>
              <w:t>Records of Inspector Qualifications</w:t>
            </w:r>
          </w:p>
        </w:tc>
        <w:tc>
          <w:tcPr>
            <w:tcW w:w="750" w:type="pct"/>
            <w:tcBorders>
              <w:bottom w:val="single" w:sz="4" w:space="0" w:color="auto"/>
            </w:tcBorders>
            <w:vAlign w:val="center"/>
          </w:tcPr>
          <w:p w:rsidR="000C2F21" w:rsidRPr="00AE03CB" w:rsidP="003566A3" w14:paraId="6EB761E9" w14:textId="5557500B">
            <w:pPr>
              <w:rPr>
                <w:sz w:val="20"/>
                <w:szCs w:val="20"/>
              </w:rPr>
            </w:pPr>
            <w:r w:rsidRPr="00AE03CB">
              <w:rPr>
                <w:sz w:val="20"/>
                <w:szCs w:val="20"/>
              </w:rPr>
              <w:t>757,652</w:t>
            </w:r>
          </w:p>
        </w:tc>
        <w:tc>
          <w:tcPr>
            <w:tcW w:w="850" w:type="pct"/>
            <w:tcBorders>
              <w:bottom w:val="single" w:sz="4" w:space="0" w:color="auto"/>
            </w:tcBorders>
            <w:vAlign w:val="center"/>
            <w:hideMark/>
          </w:tcPr>
          <w:p w:rsidR="000C2F21" w:rsidRPr="00AE03CB" w:rsidP="003566A3" w14:paraId="1A0769CC" w14:textId="71E1639D">
            <w:pPr>
              <w:rPr>
                <w:sz w:val="20"/>
                <w:szCs w:val="20"/>
              </w:rPr>
            </w:pPr>
            <w:r w:rsidRPr="00AE03CB">
              <w:rPr>
                <w:sz w:val="20"/>
                <w:szCs w:val="20"/>
              </w:rPr>
              <w:t>282,857</w:t>
            </w:r>
          </w:p>
        </w:tc>
        <w:tc>
          <w:tcPr>
            <w:tcW w:w="651" w:type="pct"/>
            <w:tcBorders>
              <w:bottom w:val="single" w:sz="4" w:space="0" w:color="auto"/>
            </w:tcBorders>
            <w:noWrap/>
            <w:vAlign w:val="center"/>
            <w:hideMark/>
          </w:tcPr>
          <w:p w:rsidR="000C2F21" w:rsidRPr="00AE03CB" w:rsidP="003566A3" w14:paraId="297273E1" w14:textId="77777777">
            <w:pPr>
              <w:rPr>
                <w:sz w:val="20"/>
                <w:szCs w:val="20"/>
              </w:rPr>
            </w:pPr>
            <w:r w:rsidRPr="00AE03CB">
              <w:rPr>
                <w:sz w:val="20"/>
                <w:szCs w:val="20"/>
              </w:rPr>
              <w:t>23,571</w:t>
            </w:r>
          </w:p>
        </w:tc>
        <w:tc>
          <w:tcPr>
            <w:tcW w:w="752" w:type="pct"/>
            <w:tcBorders>
              <w:bottom w:val="single" w:sz="4" w:space="0" w:color="auto"/>
              <w:right w:val="single" w:sz="8" w:space="0" w:color="auto"/>
            </w:tcBorders>
            <w:noWrap/>
            <w:vAlign w:val="center"/>
            <w:hideMark/>
          </w:tcPr>
          <w:p w:rsidR="000C2F21" w:rsidRPr="00AE03CB" w:rsidP="003566A3" w14:paraId="26D43E21" w14:textId="09011575">
            <w:pPr>
              <w:rPr>
                <w:sz w:val="20"/>
                <w:szCs w:val="20"/>
              </w:rPr>
            </w:pPr>
            <w:r w:rsidRPr="00AE03CB">
              <w:rPr>
                <w:sz w:val="20"/>
                <w:szCs w:val="20"/>
              </w:rPr>
              <w:t>$902,936</w:t>
            </w:r>
          </w:p>
        </w:tc>
      </w:tr>
      <w:tr w14:paraId="4C84A820" w14:textId="77777777" w:rsidTr="00F93AEF">
        <w:tblPrEx>
          <w:tblW w:w="5215" w:type="pct"/>
          <w:tblLayout w:type="fixed"/>
          <w:tblLook w:val="04A0"/>
        </w:tblPrEx>
        <w:trPr>
          <w:trHeight w:val="260"/>
        </w:trPr>
        <w:tc>
          <w:tcPr>
            <w:tcW w:w="645" w:type="pct"/>
            <w:tcBorders>
              <w:left w:val="single" w:sz="8" w:space="0" w:color="auto"/>
              <w:bottom w:val="double" w:sz="4" w:space="0" w:color="auto"/>
            </w:tcBorders>
            <w:noWrap/>
            <w:vAlign w:val="center"/>
            <w:hideMark/>
          </w:tcPr>
          <w:p w:rsidR="000C2F21" w:rsidRPr="00AE03CB" w:rsidP="003566A3" w14:paraId="034759AD" w14:textId="77777777">
            <w:pPr>
              <w:jc w:val="center"/>
              <w:rPr>
                <w:sz w:val="20"/>
                <w:szCs w:val="20"/>
              </w:rPr>
            </w:pPr>
            <w:r w:rsidRPr="00AE03CB">
              <w:rPr>
                <w:sz w:val="20"/>
                <w:szCs w:val="20"/>
              </w:rPr>
              <w:t>IC9</w:t>
            </w:r>
          </w:p>
        </w:tc>
        <w:tc>
          <w:tcPr>
            <w:tcW w:w="1352" w:type="pct"/>
            <w:tcBorders>
              <w:bottom w:val="double" w:sz="4" w:space="0" w:color="auto"/>
            </w:tcBorders>
            <w:hideMark/>
          </w:tcPr>
          <w:p w:rsidR="000C2F21" w:rsidRPr="00AE03CB" w:rsidP="003566A3" w14:paraId="6347FEEA" w14:textId="77777777">
            <w:pPr>
              <w:rPr>
                <w:sz w:val="20"/>
                <w:szCs w:val="20"/>
              </w:rPr>
            </w:pPr>
            <w:r w:rsidRPr="00AE03CB">
              <w:rPr>
                <w:sz w:val="20"/>
                <w:szCs w:val="20"/>
              </w:rPr>
              <w:t>Evidence of Brake Inspector Qualifications</w:t>
            </w:r>
          </w:p>
        </w:tc>
        <w:tc>
          <w:tcPr>
            <w:tcW w:w="750" w:type="pct"/>
            <w:tcBorders>
              <w:bottom w:val="double" w:sz="4" w:space="0" w:color="auto"/>
            </w:tcBorders>
            <w:vAlign w:val="center"/>
          </w:tcPr>
          <w:p w:rsidR="000C2F21" w:rsidRPr="00AE03CB" w:rsidP="003566A3" w14:paraId="48A7390B" w14:textId="79BB0A6D">
            <w:pPr>
              <w:rPr>
                <w:sz w:val="20"/>
                <w:szCs w:val="20"/>
              </w:rPr>
            </w:pPr>
            <w:r w:rsidRPr="00AE03CB">
              <w:rPr>
                <w:sz w:val="20"/>
                <w:szCs w:val="20"/>
              </w:rPr>
              <w:t>757,652</w:t>
            </w:r>
          </w:p>
        </w:tc>
        <w:tc>
          <w:tcPr>
            <w:tcW w:w="850" w:type="pct"/>
            <w:tcBorders>
              <w:bottom w:val="double" w:sz="4" w:space="0" w:color="auto"/>
            </w:tcBorders>
            <w:vAlign w:val="center"/>
            <w:hideMark/>
          </w:tcPr>
          <w:p w:rsidR="000C2F21" w:rsidRPr="00AE03CB" w:rsidP="003566A3" w14:paraId="5C0B3245" w14:textId="0C342CCC">
            <w:pPr>
              <w:rPr>
                <w:sz w:val="20"/>
                <w:szCs w:val="20"/>
              </w:rPr>
            </w:pPr>
            <w:r w:rsidRPr="00AE03CB">
              <w:rPr>
                <w:sz w:val="20"/>
                <w:szCs w:val="20"/>
              </w:rPr>
              <w:t>252,551</w:t>
            </w:r>
          </w:p>
        </w:tc>
        <w:tc>
          <w:tcPr>
            <w:tcW w:w="651" w:type="pct"/>
            <w:tcBorders>
              <w:bottom w:val="double" w:sz="4" w:space="0" w:color="auto"/>
            </w:tcBorders>
            <w:vAlign w:val="center"/>
            <w:hideMark/>
          </w:tcPr>
          <w:p w:rsidR="000C2F21" w:rsidRPr="00AE03CB" w:rsidP="003566A3" w14:paraId="34947B0D" w14:textId="77777777">
            <w:pPr>
              <w:rPr>
                <w:sz w:val="20"/>
                <w:szCs w:val="20"/>
              </w:rPr>
            </w:pPr>
            <w:r w:rsidRPr="00AE03CB">
              <w:rPr>
                <w:sz w:val="20"/>
                <w:szCs w:val="20"/>
              </w:rPr>
              <w:t>21,046</w:t>
            </w:r>
          </w:p>
        </w:tc>
        <w:tc>
          <w:tcPr>
            <w:tcW w:w="752" w:type="pct"/>
            <w:tcBorders>
              <w:bottom w:val="double" w:sz="4" w:space="0" w:color="auto"/>
              <w:right w:val="single" w:sz="8" w:space="0" w:color="auto"/>
            </w:tcBorders>
            <w:noWrap/>
            <w:vAlign w:val="center"/>
            <w:hideMark/>
          </w:tcPr>
          <w:p w:rsidR="000C2F21" w:rsidRPr="00AE03CB" w:rsidP="003566A3" w14:paraId="3F417079" w14:textId="09A0DA83">
            <w:pPr>
              <w:rPr>
                <w:sz w:val="20"/>
                <w:szCs w:val="20"/>
              </w:rPr>
            </w:pPr>
            <w:r w:rsidRPr="00AE03CB">
              <w:rPr>
                <w:sz w:val="20"/>
                <w:szCs w:val="20"/>
              </w:rPr>
              <w:t>$806,211</w:t>
            </w:r>
          </w:p>
        </w:tc>
      </w:tr>
      <w:tr w14:paraId="576E0273" w14:textId="77777777" w:rsidTr="00A438B3">
        <w:tblPrEx>
          <w:tblW w:w="5215" w:type="pct"/>
          <w:tblLayout w:type="fixed"/>
          <w:tblLook w:val="04A0"/>
        </w:tblPrEx>
        <w:trPr>
          <w:trHeight w:val="300"/>
        </w:trPr>
        <w:tc>
          <w:tcPr>
            <w:tcW w:w="1997" w:type="pct"/>
            <w:gridSpan w:val="2"/>
            <w:tcBorders>
              <w:top w:val="double" w:sz="4" w:space="0" w:color="auto"/>
              <w:left w:val="single" w:sz="8" w:space="0" w:color="auto"/>
              <w:bottom w:val="single" w:sz="8" w:space="0" w:color="auto"/>
              <w:right w:val="single" w:sz="4" w:space="0" w:color="auto"/>
            </w:tcBorders>
            <w:noWrap/>
            <w:vAlign w:val="center"/>
            <w:hideMark/>
          </w:tcPr>
          <w:p w:rsidR="000C2F21" w:rsidRPr="00AE03CB" w:rsidP="00A438B3" w14:paraId="1832A91F" w14:textId="77777777">
            <w:pPr>
              <w:jc w:val="center"/>
              <w:rPr>
                <w:b/>
                <w:bCs/>
                <w:sz w:val="20"/>
                <w:szCs w:val="20"/>
              </w:rPr>
            </w:pPr>
            <w:r w:rsidRPr="00AE03CB">
              <w:rPr>
                <w:b/>
                <w:bCs/>
                <w:sz w:val="20"/>
                <w:szCs w:val="20"/>
              </w:rPr>
              <w:t>Totals for all ICs</w:t>
            </w:r>
          </w:p>
        </w:tc>
        <w:tc>
          <w:tcPr>
            <w:tcW w:w="750" w:type="pct"/>
            <w:tcBorders>
              <w:top w:val="double" w:sz="4" w:space="0" w:color="auto"/>
              <w:left w:val="single" w:sz="4" w:space="0" w:color="auto"/>
              <w:bottom w:val="single" w:sz="8" w:space="0" w:color="auto"/>
              <w:right w:val="single" w:sz="4" w:space="0" w:color="auto"/>
            </w:tcBorders>
            <w:vAlign w:val="center"/>
          </w:tcPr>
          <w:p w:rsidR="000C2F21" w:rsidRPr="00AE03CB" w:rsidP="003566A3" w14:paraId="1E21A21D" w14:textId="79413D06">
            <w:pPr>
              <w:rPr>
                <w:b/>
                <w:bCs/>
                <w:sz w:val="20"/>
                <w:szCs w:val="20"/>
              </w:rPr>
            </w:pPr>
          </w:p>
        </w:tc>
        <w:tc>
          <w:tcPr>
            <w:tcW w:w="850" w:type="pct"/>
            <w:tcBorders>
              <w:top w:val="double" w:sz="4" w:space="0" w:color="auto"/>
              <w:left w:val="single" w:sz="4" w:space="0" w:color="auto"/>
              <w:bottom w:val="single" w:sz="8" w:space="0" w:color="auto"/>
              <w:right w:val="single" w:sz="4" w:space="0" w:color="auto"/>
            </w:tcBorders>
            <w:vAlign w:val="center"/>
            <w:hideMark/>
          </w:tcPr>
          <w:p w:rsidR="000C2F21" w:rsidRPr="00AE03CB" w:rsidP="003566A3" w14:paraId="6A8EC767" w14:textId="524437E8">
            <w:pPr>
              <w:rPr>
                <w:b/>
                <w:bCs/>
                <w:sz w:val="20"/>
                <w:szCs w:val="20"/>
              </w:rPr>
            </w:pPr>
            <w:r w:rsidRPr="00AE03CB">
              <w:rPr>
                <w:b/>
                <w:bCs/>
                <w:sz w:val="20"/>
                <w:szCs w:val="20"/>
              </w:rPr>
              <w:t>512,200,507</w:t>
            </w:r>
          </w:p>
        </w:tc>
        <w:tc>
          <w:tcPr>
            <w:tcW w:w="651" w:type="pct"/>
            <w:tcBorders>
              <w:top w:val="double" w:sz="4" w:space="0" w:color="auto"/>
              <w:left w:val="single" w:sz="4" w:space="0" w:color="auto"/>
              <w:bottom w:val="single" w:sz="8" w:space="0" w:color="auto"/>
              <w:right w:val="single" w:sz="4" w:space="0" w:color="auto"/>
            </w:tcBorders>
            <w:vAlign w:val="center"/>
            <w:hideMark/>
          </w:tcPr>
          <w:p w:rsidR="000C2F21" w:rsidRPr="00AE03CB" w:rsidP="003566A3" w14:paraId="02849CA7" w14:textId="64AFB0A8">
            <w:pPr>
              <w:rPr>
                <w:b/>
                <w:bCs/>
                <w:sz w:val="20"/>
                <w:szCs w:val="20"/>
              </w:rPr>
            </w:pPr>
            <w:r w:rsidRPr="00AE03CB">
              <w:rPr>
                <w:b/>
                <w:bCs/>
                <w:sz w:val="20"/>
                <w:szCs w:val="20"/>
              </w:rPr>
              <w:t>19,103,153</w:t>
            </w:r>
          </w:p>
        </w:tc>
        <w:tc>
          <w:tcPr>
            <w:tcW w:w="752" w:type="pct"/>
            <w:tcBorders>
              <w:top w:val="double" w:sz="4" w:space="0" w:color="auto"/>
              <w:left w:val="single" w:sz="4" w:space="0" w:color="auto"/>
              <w:bottom w:val="single" w:sz="8" w:space="0" w:color="auto"/>
              <w:right w:val="single" w:sz="8" w:space="0" w:color="auto"/>
            </w:tcBorders>
            <w:vAlign w:val="center"/>
            <w:hideMark/>
          </w:tcPr>
          <w:p w:rsidR="000C2F21" w:rsidRPr="00AE03CB" w:rsidP="003566A3" w14:paraId="347A6B2A" w14:textId="7AEB7F1F">
            <w:pPr>
              <w:rPr>
                <w:b/>
                <w:bCs/>
                <w:sz w:val="20"/>
                <w:szCs w:val="20"/>
              </w:rPr>
            </w:pPr>
            <w:r w:rsidRPr="00AE03CB">
              <w:rPr>
                <w:b/>
                <w:bCs/>
                <w:sz w:val="20"/>
                <w:szCs w:val="20"/>
              </w:rPr>
              <w:t>$731,786,185</w:t>
            </w:r>
          </w:p>
        </w:tc>
      </w:tr>
    </w:tbl>
    <w:p w:rsidR="004F146A" w:rsidRPr="00AE03CB" w:rsidP="000142B1" w14:paraId="20F46EE6" w14:textId="4CE1335D"/>
    <w:p w:rsidR="000142B1" w:rsidRPr="00AE03CB" w:rsidP="000142B1" w14:paraId="66EBD0F3" w14:textId="51EF4817">
      <w:r w:rsidRPr="00AE03CB">
        <w:rPr>
          <w:b/>
        </w:rPr>
        <w:t xml:space="preserve">Estimated Number of Annual Respondents:  </w:t>
      </w:r>
      <w:bookmarkStart w:id="9" w:name="_Hlk508263226"/>
      <w:r w:rsidRPr="00AE03CB" w:rsidR="00CB243A">
        <w:t>757</w:t>
      </w:r>
      <w:r w:rsidRPr="00AE03CB">
        <w:t>,</w:t>
      </w:r>
      <w:bookmarkEnd w:id="9"/>
      <w:r w:rsidRPr="00AE03CB" w:rsidR="00CB243A">
        <w:t>652</w:t>
      </w:r>
      <w:r w:rsidRPr="00AE03CB" w:rsidR="0040274B">
        <w:t xml:space="preserve"> motor carriers and 5,</w:t>
      </w:r>
      <w:r w:rsidRPr="00AE03CB" w:rsidR="00CB243A">
        <w:t>646</w:t>
      </w:r>
      <w:r w:rsidRPr="00AE03CB" w:rsidR="0040274B">
        <w:t>,7</w:t>
      </w:r>
      <w:r w:rsidRPr="00AE03CB" w:rsidR="00CB243A">
        <w:t>22</w:t>
      </w:r>
      <w:r w:rsidRPr="00AE03CB" w:rsidR="0040274B">
        <w:t xml:space="preserve"> drivers</w:t>
      </w:r>
    </w:p>
    <w:p w:rsidR="00FC0734" w:rsidRPr="00AE03CB" w14:paraId="7FBBEB0A" w14:textId="77777777">
      <w:pPr>
        <w:rPr>
          <w:b/>
        </w:rPr>
      </w:pPr>
    </w:p>
    <w:p w:rsidR="000666A0" w:rsidRPr="00AE03CB" w14:paraId="6734ECFF" w14:textId="59A8A960">
      <w:r w:rsidRPr="00AE03CB">
        <w:rPr>
          <w:b/>
        </w:rPr>
        <w:t xml:space="preserve">Estimated Total Annual </w:t>
      </w:r>
      <w:r w:rsidRPr="00AE03CB" w:rsidR="00C51887">
        <w:rPr>
          <w:b/>
        </w:rPr>
        <w:t xml:space="preserve">ICR </w:t>
      </w:r>
      <w:r w:rsidRPr="00AE03CB">
        <w:rPr>
          <w:b/>
        </w:rPr>
        <w:t>Burden Hours</w:t>
      </w:r>
      <w:r w:rsidRPr="00AE03CB">
        <w:t xml:space="preserve">: </w:t>
      </w:r>
      <w:r w:rsidRPr="00AE03CB" w:rsidR="00244EC6">
        <w:t>1</w:t>
      </w:r>
      <w:r w:rsidRPr="00AE03CB" w:rsidR="00CB243A">
        <w:t>9</w:t>
      </w:r>
      <w:r w:rsidRPr="00AE03CB" w:rsidR="00244EC6">
        <w:t>,</w:t>
      </w:r>
      <w:r w:rsidRPr="00AE03CB" w:rsidR="00C709D8">
        <w:t>103</w:t>
      </w:r>
      <w:r w:rsidRPr="00AE03CB" w:rsidR="00244EC6">
        <w:t>,</w:t>
      </w:r>
      <w:r w:rsidRPr="00AE03CB" w:rsidR="00FC5F15">
        <w:t>1</w:t>
      </w:r>
      <w:r w:rsidRPr="00AE03CB" w:rsidR="00C709D8">
        <w:t>5</w:t>
      </w:r>
      <w:r w:rsidRPr="00AE03CB" w:rsidR="006615F8">
        <w:t>3</w:t>
      </w:r>
    </w:p>
    <w:p w:rsidR="002445C8" w:rsidRPr="00AE03CB" w14:paraId="7474D0F8" w14:textId="77777777"/>
    <w:p w:rsidR="009D4264" w:rsidRPr="00AE03CB" w14:paraId="4081AE3C" w14:textId="7846BBBF">
      <w:r w:rsidRPr="00AE03CB">
        <w:rPr>
          <w:b/>
        </w:rPr>
        <w:t xml:space="preserve">Estimated </w:t>
      </w:r>
      <w:r w:rsidRPr="00AE03CB">
        <w:rPr>
          <w:b/>
        </w:rPr>
        <w:t xml:space="preserve">Annual </w:t>
      </w:r>
      <w:r w:rsidRPr="00AE03CB">
        <w:rPr>
          <w:b/>
        </w:rPr>
        <w:t>Number of Responses:</w:t>
      </w:r>
      <w:r w:rsidRPr="00AE03CB" w:rsidR="00A85758">
        <w:rPr>
          <w:b/>
        </w:rPr>
        <w:t xml:space="preserve"> </w:t>
      </w:r>
      <w:r w:rsidRPr="00AE03CB" w:rsidR="005A5CEA">
        <w:t>512</w:t>
      </w:r>
      <w:r w:rsidRPr="00AE03CB" w:rsidR="00F15A45">
        <w:t>,</w:t>
      </w:r>
      <w:r w:rsidRPr="00AE03CB" w:rsidR="00C709D8">
        <w:t>200</w:t>
      </w:r>
      <w:r w:rsidRPr="00AE03CB" w:rsidR="00F15A45">
        <w:t>,</w:t>
      </w:r>
      <w:r w:rsidRPr="00AE03CB" w:rsidR="00001D20">
        <w:t>507</w:t>
      </w:r>
    </w:p>
    <w:p w:rsidR="00A438B3" w:rsidRPr="00AE03CB" w14:paraId="4C9D769D" w14:textId="77777777"/>
    <w:p w:rsidR="0055294F" w:rsidRPr="00AE03CB" w14:paraId="76737C0D" w14:textId="77777777"/>
    <w:p w:rsidR="00861636" w:rsidRPr="00AE03CB" w14:paraId="62AB15E3" w14:textId="77777777">
      <w:pPr>
        <w:rPr>
          <w:b/>
          <w:bCs/>
        </w:rPr>
      </w:pPr>
      <w:r w:rsidRPr="00AE03CB">
        <w:rPr>
          <w:b/>
          <w:bCs/>
        </w:rPr>
        <w:t xml:space="preserve">13. </w:t>
      </w:r>
      <w:r w:rsidRPr="00AE03CB" w:rsidR="00580746">
        <w:rPr>
          <w:b/>
          <w:bCs/>
        </w:rPr>
        <w:t xml:space="preserve"> </w:t>
      </w:r>
      <w:r w:rsidRPr="00AE03CB">
        <w:rPr>
          <w:b/>
          <w:bCs/>
        </w:rPr>
        <w:t>Estimate of total annual costs to respondents:</w:t>
      </w:r>
    </w:p>
    <w:p w:rsidR="00861636" w:rsidRPr="00AE03CB" w14:paraId="5873A238" w14:textId="77777777"/>
    <w:p w:rsidR="00A728E4" w:rsidP="00A728E4" w14:paraId="18C7ADA3" w14:textId="77777777">
      <w:r w:rsidRPr="00AE03CB">
        <w:t xml:space="preserve">The FMCSA currently estimates that the total annual cost to the respondents of the information collection, not including costs of associated salaries with the hour burden, is $1,940,058.  </w:t>
      </w:r>
    </w:p>
    <w:p w:rsidR="00A728E4" w:rsidRPr="00AE03CB" w:rsidP="00A728E4" w14:paraId="3F5D0E99" w14:textId="77777777"/>
    <w:p w:rsidR="00A728E4" w:rsidRPr="00AE03CB" w:rsidP="00A728E4" w14:paraId="7005C8E3" w14:textId="77777777">
      <w:r>
        <w:t xml:space="preserve">All roadside inspection reports need to be transmitted to the motor carrier regardless of whether violations were noted or not. Motor carriers must return the completed roadside inspection form to the issuing agency within 15 days following the date of the roadside inspection if violations were noted.  </w:t>
      </w:r>
      <w:r w:rsidRPr="00AE03CB">
        <w:t xml:space="preserve">FMCSA estimates that 45% of the drivers involved in roadside inspections do not return to their motor carrier's facility or terminal within 24 hours of the inspection.      </w:t>
      </w:r>
    </w:p>
    <w:p w:rsidR="00A728E4" w:rsidRPr="00AE03CB" w:rsidP="00A728E4" w14:paraId="28F8AD58" w14:textId="77777777"/>
    <w:p w:rsidR="00A728E4" w:rsidRPr="00AE03CB" w:rsidP="00A728E4" w14:paraId="671ECCA0" w14:textId="1B452241">
      <w:r w:rsidRPr="00AE03CB">
        <w:t>Effective August 2023</w:t>
      </w:r>
      <w:r>
        <w:t>,</w:t>
      </w:r>
      <w:r w:rsidRPr="00AE03CB">
        <w:t xml:space="preserve"> First</w:t>
      </w:r>
      <w:r>
        <w:t>-</w:t>
      </w:r>
      <w:r w:rsidRPr="00AE03CB">
        <w:t>Class postage rates increased to $0.66.</w:t>
      </w:r>
    </w:p>
    <w:p w:rsidR="00A728E4" w:rsidRPr="00AE03CB" w:rsidP="00A728E4" w14:paraId="239D1727" w14:textId="77777777"/>
    <w:p w:rsidR="00A728E4" w:rsidRPr="00AE03CB" w:rsidP="00A728E4" w14:paraId="5C8E04C3" w14:textId="77777777">
      <w:r w:rsidRPr="00AE03CB">
        <w:t xml:space="preserve">The cost burden related to the mailing of inspection reports by drivers and motor carriers </w:t>
      </w:r>
      <w:r>
        <w:t xml:space="preserve">(IC5 and IC6) </w:t>
      </w:r>
      <w:r w:rsidRPr="00AE03CB">
        <w:t>is calculated as follows:</w:t>
      </w:r>
    </w:p>
    <w:p w:rsidR="00A728E4" w:rsidRPr="00AE03CB" w:rsidP="00A728E4" w14:paraId="4F59A5A0" w14:textId="77777777"/>
    <w:p w:rsidR="00A728E4" w:rsidRPr="00AE03CB" w:rsidP="00A728E4" w14:paraId="3D33BD79" w14:textId="77777777">
      <w:r w:rsidRPr="00AE03CB">
        <w:t>[Cost for Drivers to Mail Roadside Inspection Reports to Motor Carriers] + [Cost for Motor Carriers to Mail Roadside Inspection Reports to Issuing Agency] = [(Number of Roadside Inspections) x (45% of Drivers Who Do Not Return Within 24 hours) x ($0.66)] + [(Number of Roadside Inspections) x (57% of Inspections with Violations) x ($0.66)] =</w:t>
      </w:r>
    </w:p>
    <w:p w:rsidR="00A728E4" w:rsidRPr="00AE03CB" w:rsidP="00A728E4" w14:paraId="04F89657" w14:textId="77777777"/>
    <w:p w:rsidR="00A728E4" w:rsidRPr="00AE03CB" w:rsidP="00A728E4" w14:paraId="4FAC30BE" w14:textId="77777777">
      <w:r w:rsidRPr="00AE03CB">
        <w:t xml:space="preserve">[(2,881,846) x (0.45) x ($0.66)] + [(2,881,846) x (0.57) x ($0.66)] = </w:t>
      </w:r>
    </w:p>
    <w:p w:rsidR="00A728E4" w:rsidRPr="00AE03CB" w:rsidP="00A728E4" w14:paraId="1BD6B826" w14:textId="77777777"/>
    <w:p w:rsidR="00A728E4" w:rsidRPr="00AE03CB" w:rsidP="00A728E4" w14:paraId="17635C74" w14:textId="77777777">
      <w:r w:rsidRPr="00AE03CB">
        <w:t>$855,908 + $1,084,150 = $1,940,058</w:t>
      </w:r>
    </w:p>
    <w:p w:rsidR="00A728E4" w:rsidRPr="00AE03CB" w:rsidP="00A728E4" w14:paraId="59DE8F07" w14:textId="77777777"/>
    <w:p w:rsidR="00A728E4" w:rsidRPr="00AE03CB" w:rsidP="00A728E4" w14:paraId="4A21E4EC" w14:textId="160D43FD">
      <w:pPr>
        <w:rPr>
          <w:strike/>
        </w:rPr>
      </w:pPr>
      <w:r w:rsidRPr="00AE03CB">
        <w:t>This reflects an increase of $182,986 from the previous estimate of $1,757,072. The increase is primarily attributed to a higher First-Class postage rate.</w:t>
      </w:r>
    </w:p>
    <w:p w:rsidR="006460AD" w:rsidRPr="00AE03CB" w14:paraId="26E56738" w14:textId="77777777">
      <w:pPr>
        <w:rPr>
          <w:b/>
          <w:bCs/>
        </w:rPr>
      </w:pPr>
    </w:p>
    <w:p w:rsidR="00861636" w:rsidRPr="00AE03CB" w14:paraId="49B5A1FD" w14:textId="77777777">
      <w:pPr>
        <w:rPr>
          <w:b/>
          <w:bCs/>
        </w:rPr>
      </w:pPr>
      <w:r w:rsidRPr="00AE03CB">
        <w:rPr>
          <w:b/>
          <w:bCs/>
        </w:rPr>
        <w:t xml:space="preserve">14. </w:t>
      </w:r>
      <w:r w:rsidRPr="00AE03CB" w:rsidR="00580746">
        <w:rPr>
          <w:b/>
          <w:bCs/>
        </w:rPr>
        <w:t xml:space="preserve"> </w:t>
      </w:r>
      <w:r w:rsidRPr="00AE03CB">
        <w:rPr>
          <w:b/>
          <w:bCs/>
        </w:rPr>
        <w:t>Estimate of cost to the Federal government:</w:t>
      </w:r>
    </w:p>
    <w:p w:rsidR="00861636" w:rsidRPr="00AE03CB" w14:paraId="58144E29" w14:textId="77777777"/>
    <w:p w:rsidR="007271F7" w:rsidRPr="00AE03CB" w14:paraId="1E076046" w14:textId="4425FD82">
      <w:r w:rsidRPr="00AE03CB">
        <w:t>This information collection imposes no cost to the Federal government.</w:t>
      </w:r>
      <w:r w:rsidRPr="00AE03CB" w:rsidR="00EA11B7">
        <w:t xml:space="preserve"> Motor carriers keep these reports, along with other documentation related to CMV inspection, repair, and maintenance</w:t>
      </w:r>
      <w:r w:rsidRPr="00AE03CB" w:rsidR="00635B41">
        <w:t>,</w:t>
      </w:r>
      <w:r w:rsidRPr="00AE03CB" w:rsidR="00EA11B7">
        <w:t xml:space="preserve"> at locations where they maintain their vehicles. These locations may be the principal place of business or other locations (terminals, etc.) FMCSA investigators only obtain access to </w:t>
      </w:r>
      <w:r w:rsidRPr="00AE03CB" w:rsidR="00021291">
        <w:t>the reports and associated documentation</w:t>
      </w:r>
      <w:r w:rsidRPr="00AE03CB" w:rsidR="00EA11B7">
        <w:t xml:space="preserve"> during compliance reviews</w:t>
      </w:r>
      <w:r w:rsidRPr="00AE03CB" w:rsidR="00021291">
        <w:t xml:space="preserve">, and the burden associated with these compliance reviews is </w:t>
      </w:r>
      <w:r w:rsidRPr="00AE03CB" w:rsidR="00EA11B7">
        <w:t xml:space="preserve">not subject to the PRA. </w:t>
      </w:r>
    </w:p>
    <w:p w:rsidR="003324AC" w:rsidRPr="00AE03CB" w14:paraId="1C052E0E" w14:textId="77777777"/>
    <w:p w:rsidR="00861636" w:rsidRPr="00AE03CB" w14:paraId="0DC493A6" w14:textId="77777777">
      <w:pPr>
        <w:rPr>
          <w:b/>
          <w:bCs/>
        </w:rPr>
      </w:pPr>
      <w:r w:rsidRPr="00AE03CB">
        <w:rPr>
          <w:b/>
          <w:bCs/>
        </w:rPr>
        <w:t xml:space="preserve">15. </w:t>
      </w:r>
      <w:r w:rsidRPr="00AE03CB" w:rsidR="00580746">
        <w:rPr>
          <w:b/>
          <w:bCs/>
        </w:rPr>
        <w:t xml:space="preserve"> </w:t>
      </w:r>
      <w:r w:rsidRPr="00AE03CB">
        <w:rPr>
          <w:b/>
          <w:bCs/>
        </w:rPr>
        <w:t>Explanation of program changes or adjustments:</w:t>
      </w:r>
    </w:p>
    <w:p w:rsidR="00A72E09" w:rsidRPr="00AE03CB" w14:paraId="4961027F" w14:textId="77777777">
      <w:pPr>
        <w:rPr>
          <w:b/>
          <w:bCs/>
        </w:rPr>
      </w:pPr>
    </w:p>
    <w:p w:rsidR="00861636" w:rsidRPr="00AE03CB" w14:paraId="29A9AF02" w14:textId="5400DF64">
      <w:pPr>
        <w:rPr>
          <w:bCs/>
        </w:rPr>
      </w:pPr>
      <w:bookmarkStart w:id="10" w:name="_Hlk151994335"/>
      <w:r w:rsidRPr="00AE03CB">
        <w:rPr>
          <w:bCs/>
        </w:rPr>
        <w:t xml:space="preserve">This </w:t>
      </w:r>
      <w:r w:rsidRPr="00AE03CB" w:rsidR="00613175">
        <w:rPr>
          <w:bCs/>
        </w:rPr>
        <w:t xml:space="preserve">renewal </w:t>
      </w:r>
      <w:r w:rsidRPr="00AE03CB">
        <w:rPr>
          <w:bCs/>
        </w:rPr>
        <w:t xml:space="preserve">includes updated data regarding </w:t>
      </w:r>
      <w:r w:rsidRPr="00AE03CB" w:rsidR="0033718B">
        <w:rPr>
          <w:bCs/>
        </w:rPr>
        <w:t xml:space="preserve">the number of motor carriers subject to the FMCSRs, </w:t>
      </w:r>
      <w:r w:rsidRPr="00AE03CB">
        <w:rPr>
          <w:bCs/>
        </w:rPr>
        <w:t xml:space="preserve">vehicle counts, inspections, and other </w:t>
      </w:r>
      <w:r w:rsidRPr="00AE03CB" w:rsidR="00AD0686">
        <w:rPr>
          <w:bCs/>
        </w:rPr>
        <w:t xml:space="preserve">underlying data used to estimate the total </w:t>
      </w:r>
      <w:r w:rsidRPr="00AE03CB" w:rsidR="00AD0686">
        <w:rPr>
          <w:bCs/>
        </w:rPr>
        <w:t xml:space="preserve">burden hours. </w:t>
      </w:r>
      <w:r w:rsidRPr="00AE03CB" w:rsidR="00155E17">
        <w:rPr>
          <w:bCs/>
        </w:rPr>
        <w:t xml:space="preserve">As a result of the </w:t>
      </w:r>
      <w:r w:rsidRPr="00AE03CB" w:rsidR="00DC5806">
        <w:rPr>
          <w:bCs/>
        </w:rPr>
        <w:t xml:space="preserve">updates </w:t>
      </w:r>
      <w:r w:rsidRPr="00AE03CB" w:rsidR="00155E17">
        <w:rPr>
          <w:bCs/>
        </w:rPr>
        <w:t xml:space="preserve">noted above, </w:t>
      </w:r>
      <w:r w:rsidRPr="00AE03CB" w:rsidR="007F6C4E">
        <w:rPr>
          <w:bCs/>
        </w:rPr>
        <w:t xml:space="preserve">and explained in section 12, </w:t>
      </w:r>
      <w:r w:rsidRPr="00AE03CB" w:rsidR="00155E17">
        <w:rPr>
          <w:bCs/>
        </w:rPr>
        <w:t xml:space="preserve">the estimated annual burden hours </w:t>
      </w:r>
      <w:r w:rsidRPr="00AE03CB" w:rsidR="00B724F2">
        <w:rPr>
          <w:bCs/>
        </w:rPr>
        <w:t xml:space="preserve">have </w:t>
      </w:r>
      <w:r w:rsidRPr="00AE03CB" w:rsidR="00155E17">
        <w:rPr>
          <w:bCs/>
        </w:rPr>
        <w:t xml:space="preserve">increased from </w:t>
      </w:r>
      <w:r w:rsidRPr="00AE03CB" w:rsidR="00613175">
        <w:rPr>
          <w:bCs/>
        </w:rPr>
        <w:t xml:space="preserve">11,389,254 </w:t>
      </w:r>
      <w:r w:rsidRPr="00AE03CB" w:rsidR="00155E17">
        <w:rPr>
          <w:bCs/>
        </w:rPr>
        <w:t>to 1</w:t>
      </w:r>
      <w:r w:rsidRPr="00AE03CB" w:rsidR="009871FF">
        <w:rPr>
          <w:bCs/>
        </w:rPr>
        <w:t>9</w:t>
      </w:r>
      <w:r w:rsidRPr="00AE03CB" w:rsidR="00155E17">
        <w:rPr>
          <w:bCs/>
        </w:rPr>
        <w:t>,</w:t>
      </w:r>
      <w:r w:rsidRPr="00AE03CB" w:rsidR="00C709D8">
        <w:rPr>
          <w:bCs/>
        </w:rPr>
        <w:t>103</w:t>
      </w:r>
      <w:r w:rsidRPr="00AE03CB" w:rsidR="00155E17">
        <w:rPr>
          <w:bCs/>
        </w:rPr>
        <w:t>,</w:t>
      </w:r>
      <w:r w:rsidRPr="00AE03CB" w:rsidR="00FC5F15">
        <w:rPr>
          <w:bCs/>
        </w:rPr>
        <w:t>1</w:t>
      </w:r>
      <w:r w:rsidRPr="00AE03CB" w:rsidR="00C709D8">
        <w:rPr>
          <w:bCs/>
        </w:rPr>
        <w:t>5</w:t>
      </w:r>
      <w:r w:rsidRPr="00AE03CB" w:rsidR="009C62FA">
        <w:rPr>
          <w:bCs/>
        </w:rPr>
        <w:t>3</w:t>
      </w:r>
      <w:r w:rsidRPr="00AE03CB" w:rsidR="00155E17">
        <w:rPr>
          <w:bCs/>
        </w:rPr>
        <w:t xml:space="preserve"> and the number of responses </w:t>
      </w:r>
      <w:r w:rsidRPr="00AE03CB" w:rsidR="00B724F2">
        <w:rPr>
          <w:bCs/>
        </w:rPr>
        <w:t xml:space="preserve">has </w:t>
      </w:r>
      <w:r w:rsidRPr="00AE03CB" w:rsidR="00155E17">
        <w:rPr>
          <w:bCs/>
        </w:rPr>
        <w:t xml:space="preserve">increased from </w:t>
      </w:r>
      <w:r w:rsidRPr="00AE03CB" w:rsidR="00324158">
        <w:rPr>
          <w:bCs/>
        </w:rPr>
        <w:t xml:space="preserve">290,365,605 </w:t>
      </w:r>
      <w:r w:rsidRPr="00AE03CB" w:rsidR="00155E17">
        <w:rPr>
          <w:bCs/>
        </w:rPr>
        <w:t xml:space="preserve">to </w:t>
      </w:r>
      <w:r w:rsidRPr="00AE03CB" w:rsidR="009871FF">
        <w:t>512</w:t>
      </w:r>
      <w:r w:rsidRPr="00AE03CB" w:rsidR="00607CD4">
        <w:t>,</w:t>
      </w:r>
      <w:r w:rsidRPr="00AE03CB" w:rsidR="00C709D8">
        <w:t>200</w:t>
      </w:r>
      <w:r w:rsidRPr="00AE03CB" w:rsidR="00607CD4">
        <w:t>,</w:t>
      </w:r>
      <w:r w:rsidRPr="00AE03CB" w:rsidR="00C709D8">
        <w:t>507</w:t>
      </w:r>
      <w:r w:rsidRPr="00AE03CB" w:rsidR="00155E17">
        <w:rPr>
          <w:bCs/>
        </w:rPr>
        <w:t>.</w:t>
      </w:r>
    </w:p>
    <w:bookmarkEnd w:id="10"/>
    <w:p w:rsidR="00155E17" w:rsidRPr="00AE03CB" w14:paraId="6DABB6A4" w14:textId="77777777"/>
    <w:p w:rsidR="00861636" w:rsidRPr="00AE03CB" w14:paraId="6F8AA664" w14:textId="77777777">
      <w:pPr>
        <w:rPr>
          <w:b/>
          <w:bCs/>
        </w:rPr>
      </w:pPr>
      <w:r w:rsidRPr="00AE03CB">
        <w:rPr>
          <w:b/>
          <w:bCs/>
        </w:rPr>
        <w:t xml:space="preserve">16. </w:t>
      </w:r>
      <w:r w:rsidRPr="00AE03CB" w:rsidR="00580746">
        <w:rPr>
          <w:b/>
          <w:bCs/>
        </w:rPr>
        <w:t xml:space="preserve"> </w:t>
      </w:r>
      <w:r w:rsidRPr="00AE03CB">
        <w:rPr>
          <w:b/>
          <w:bCs/>
        </w:rPr>
        <w:t>Publication of results of data collection:</w:t>
      </w:r>
    </w:p>
    <w:p w:rsidR="00861636" w:rsidRPr="00AE03CB" w14:paraId="351E2B10" w14:textId="77777777">
      <w:pPr>
        <w:rPr>
          <w:b/>
          <w:bCs/>
        </w:rPr>
      </w:pPr>
    </w:p>
    <w:p w:rsidR="00861636" w:rsidRPr="00AE03CB" w14:paraId="6166CB78" w14:textId="77777777">
      <w:r w:rsidRPr="00AE03CB">
        <w:t>There are no plans to publish this collection of information for statistical use.</w:t>
      </w:r>
      <w:r w:rsidRPr="00AE03CB" w:rsidR="00380E97">
        <w:t xml:space="preserve">  </w:t>
      </w:r>
    </w:p>
    <w:p w:rsidR="00D16FD2" w:rsidRPr="00AE03CB" w14:paraId="3F989F73" w14:textId="77777777"/>
    <w:p w:rsidR="00861636" w:rsidRPr="00AE03CB" w14:paraId="5D29C4FC" w14:textId="77777777">
      <w:r w:rsidRPr="00AE03CB">
        <w:rPr>
          <w:b/>
          <w:bCs/>
        </w:rPr>
        <w:t xml:space="preserve">17. </w:t>
      </w:r>
      <w:r w:rsidRPr="00AE03CB" w:rsidR="00580746">
        <w:rPr>
          <w:b/>
          <w:bCs/>
        </w:rPr>
        <w:t xml:space="preserve"> </w:t>
      </w:r>
      <w:r w:rsidRPr="00AE03CB">
        <w:rPr>
          <w:b/>
          <w:bCs/>
        </w:rPr>
        <w:t>Approval for not explaining the expiration date for OMB approval</w:t>
      </w:r>
      <w:r w:rsidRPr="00AE03CB">
        <w:t>:</w:t>
      </w:r>
    </w:p>
    <w:p w:rsidR="00861636" w:rsidRPr="00AE03CB" w14:paraId="2676D8F5" w14:textId="77777777"/>
    <w:p w:rsidR="00861636" w:rsidRPr="00AE03CB" w14:paraId="386DE793" w14:textId="77777777">
      <w:r w:rsidRPr="00AE03CB">
        <w:t>The FMCSA is not seeking this approval.</w:t>
      </w:r>
    </w:p>
    <w:p w:rsidR="000A4E14" w:rsidRPr="00AE03CB" w14:paraId="6B59D18F" w14:textId="77777777">
      <w:pPr>
        <w:rPr>
          <w:b/>
          <w:bCs/>
        </w:rPr>
      </w:pPr>
    </w:p>
    <w:p w:rsidR="00861636" w:rsidRPr="00AE03CB" w14:paraId="6FC94F03" w14:textId="77777777">
      <w:r w:rsidRPr="00AE03CB">
        <w:rPr>
          <w:b/>
          <w:bCs/>
        </w:rPr>
        <w:t xml:space="preserve">18. </w:t>
      </w:r>
      <w:r w:rsidRPr="00AE03CB" w:rsidR="00580746">
        <w:rPr>
          <w:b/>
          <w:bCs/>
        </w:rPr>
        <w:t xml:space="preserve"> </w:t>
      </w:r>
      <w:r w:rsidRPr="00AE03CB">
        <w:rPr>
          <w:b/>
          <w:bCs/>
        </w:rPr>
        <w:t>Exceptions to certification statement</w:t>
      </w:r>
      <w:r w:rsidRPr="00AE03CB">
        <w:t>:</w:t>
      </w:r>
    </w:p>
    <w:p w:rsidR="00861636" w:rsidRPr="00AE03CB" w14:paraId="18E90DDE" w14:textId="77777777"/>
    <w:p w:rsidR="00861636" w:rsidRPr="00AE03CB" w14:paraId="3FC5C727" w14:textId="4DBEB5C8">
      <w:r w:rsidRPr="00AE03CB">
        <w:t xml:space="preserve">The FMCSA </w:t>
      </w:r>
      <w:r w:rsidRPr="00AE03CB" w:rsidR="00A82AA7">
        <w:t xml:space="preserve">does not </w:t>
      </w:r>
      <w:r w:rsidRPr="00AE03CB">
        <w:t>claim</w:t>
      </w:r>
      <w:r w:rsidRPr="00AE03CB" w:rsidR="00A82AA7">
        <w:t xml:space="preserve"> an </w:t>
      </w:r>
      <w:r w:rsidRPr="00AE03CB">
        <w:t>exception to any element of the certification statement</w:t>
      </w:r>
      <w:r w:rsidRPr="00AE03CB" w:rsidR="007D05FE">
        <w:t>.</w:t>
      </w:r>
    </w:p>
    <w:p w:rsidR="007D05FE" w:rsidRPr="00AE03CB" w14:paraId="6EA8D178" w14:textId="67ED4767"/>
    <w:p w:rsidR="00003920" w:rsidRPr="00AE03CB" w:rsidP="00E4355F" w14:paraId="7462CA6A" w14:textId="2850A10F"/>
    <w:p w:rsidR="00E4355F" w:rsidRPr="00AE03CB" w:rsidP="00E4355F" w14:paraId="383F8967" w14:textId="7886FCCC"/>
    <w:p w:rsidR="00E4355F" w:rsidRPr="00AE03CB" w:rsidP="00E4355F" w14:paraId="6D9D09C7" w14:textId="3C8D183F"/>
    <w:p w:rsidR="00E4355F" w:rsidRPr="00AE03CB" w:rsidP="00E4355F" w14:paraId="0BE7F398" w14:textId="5C78C55D"/>
    <w:p w:rsidR="00E4355F" w:rsidRPr="00AE03CB" w:rsidP="00E4355F" w14:paraId="20387500" w14:textId="30ED5046"/>
    <w:p w:rsidR="00E4355F" w:rsidRPr="00AE03CB" w:rsidP="00E4355F" w14:paraId="1B2D6E04" w14:textId="38E2481A"/>
    <w:p w:rsidR="00E4355F" w:rsidRPr="00AE03CB" w:rsidP="00E4355F" w14:paraId="5BF4CD35" w14:textId="59715A32"/>
    <w:p w:rsidR="00E4355F" w:rsidRPr="00AE03CB" w:rsidP="00E4355F" w14:paraId="6C9E183D" w14:textId="0814C178"/>
    <w:p w:rsidR="00E4355F" w:rsidRPr="00AE03CB" w:rsidP="00E4355F" w14:paraId="1F4EBBE3" w14:textId="2A8ABC26"/>
    <w:p w:rsidR="00E4355F" w:rsidRPr="00AE03CB" w:rsidP="00E4355F" w14:paraId="2760B8A0" w14:textId="44979C27"/>
    <w:p w:rsidR="00E4355F" w:rsidRPr="00AE03CB" w:rsidP="00E4355F" w14:paraId="074E6FB2" w14:textId="671FA5E0"/>
    <w:p w:rsidR="00E4355F" w:rsidRPr="00AE03CB" w:rsidP="00E4355F" w14:paraId="442B74A4" w14:textId="5226917E"/>
    <w:p w:rsidR="00E4355F" w:rsidRPr="00AE03CB" w:rsidP="00E4355F" w14:paraId="2CA8676A" w14:textId="539422C6"/>
    <w:p w:rsidR="00E4355F" w:rsidRPr="00AE03CB" w:rsidP="00E4355F" w14:paraId="7506FAE4" w14:textId="27D3EB6D"/>
    <w:p w:rsidR="00E4355F" w:rsidRPr="00AE03CB" w:rsidP="00E4355F" w14:paraId="07FB6BF9" w14:textId="5369EBD9"/>
    <w:p w:rsidR="00E4355F" w:rsidRPr="00AE03CB" w:rsidP="00E4355F" w14:paraId="2189CD1C" w14:textId="3E8E6684"/>
    <w:p w:rsidR="00E4355F" w:rsidRPr="00AE03CB" w:rsidP="00E4355F" w14:paraId="77FFAA65" w14:textId="2638D9BB"/>
    <w:p w:rsidR="00E4355F" w:rsidRPr="00AE03CB" w:rsidP="00E4355F" w14:paraId="6E05AA48" w14:textId="6A6273B4"/>
    <w:p w:rsidR="00E4355F" w:rsidRPr="00AE03CB" w:rsidP="00E4355F" w14:paraId="5DFDC1CA" w14:textId="6B0056D2"/>
    <w:p w:rsidR="00E4355F" w:rsidRPr="00AE03CB" w:rsidP="00E4355F" w14:paraId="070F9A79" w14:textId="7CA5C1E2"/>
    <w:p w:rsidR="00E4355F" w:rsidRPr="00AE03CB" w:rsidP="00E4355F" w14:paraId="7E0C0890" w14:textId="2EB17A1E"/>
    <w:p w:rsidR="00E4355F" w:rsidP="00E4355F" w14:paraId="69A6A9D6" w14:textId="135424FC"/>
    <w:p w:rsidR="00DD0A41" w:rsidP="00E4355F" w14:paraId="1E1BA673" w14:textId="25CD4785"/>
    <w:p w:rsidR="00DD0A41" w:rsidP="00E4355F" w14:paraId="4F3D8691" w14:textId="06604CEF"/>
    <w:p w:rsidR="00DD0A41" w:rsidP="00E4355F" w14:paraId="377421A6" w14:textId="7D3BB950"/>
    <w:p w:rsidR="00DD0A41" w:rsidP="00E4355F" w14:paraId="7741345C" w14:textId="1B82A8D5"/>
    <w:p w:rsidR="00DD0A41" w:rsidP="00E4355F" w14:paraId="7E93AD25" w14:textId="0266665F"/>
    <w:p w:rsidR="00DD0A41" w:rsidRPr="00AE03CB" w:rsidP="00E4355F" w14:paraId="2D71FCCA" w14:textId="77777777"/>
    <w:p w:rsidR="000D082B" w:rsidP="00FC0734" w14:paraId="780CF5B2" w14:textId="77777777">
      <w:pPr>
        <w:rPr>
          <w:b/>
        </w:rPr>
      </w:pPr>
    </w:p>
    <w:p w:rsidR="000D082B" w:rsidP="00FC0734" w14:paraId="77FC6889" w14:textId="77777777">
      <w:pPr>
        <w:rPr>
          <w:b/>
        </w:rPr>
      </w:pPr>
    </w:p>
    <w:p w:rsidR="00BA0B2D" w:rsidRPr="00AE03CB" w:rsidP="00FC0734" w14:paraId="2407BDBE" w14:textId="243A9F42">
      <w:pPr>
        <w:rPr>
          <w:b/>
        </w:rPr>
      </w:pPr>
      <w:r w:rsidRPr="00AE03CB">
        <w:rPr>
          <w:b/>
        </w:rPr>
        <w:t>ATTACHMENTS</w:t>
      </w:r>
    </w:p>
    <w:p w:rsidR="007C1EC3" w:rsidRPr="00AE03CB" w:rsidP="00FC0734" w14:paraId="5806DB1E" w14:textId="77777777"/>
    <w:p w:rsidR="007C1EC3" w:rsidRPr="00AE03CB" w:rsidP="00FC0734" w14:paraId="1A10F77A" w14:textId="13975F3D">
      <w:r w:rsidRPr="00AE03CB">
        <w:rPr>
          <w:b/>
        </w:rPr>
        <w:t>Attachment A</w:t>
      </w:r>
      <w:r w:rsidRPr="00AE03CB">
        <w:t>: Section 204(a) of the Motor Carrier Act, 1935 (49 U.S.C. § 31502)</w:t>
      </w:r>
      <w:r w:rsidRPr="00AE03CB">
        <w:br/>
      </w:r>
      <w:r w:rsidRPr="00AE03CB">
        <w:rPr>
          <w:b/>
        </w:rPr>
        <w:t>Attachment B</w:t>
      </w:r>
      <w:r w:rsidRPr="00AE03CB">
        <w:t>: Section 206 of the Motor Carrier Safety Act of 1984 (49 U.S.C. § 31136)</w:t>
      </w:r>
    </w:p>
    <w:p w:rsidR="007C1EC3" w:rsidRPr="00AE03CB" w:rsidP="00FC0734" w14:paraId="17F2B42D" w14:textId="312D5637">
      <w:r w:rsidRPr="00AE03CB">
        <w:rPr>
          <w:b/>
        </w:rPr>
        <w:t>Attachment C</w:t>
      </w:r>
      <w:r w:rsidRPr="00AE03CB">
        <w:t>: Section 210 of the Motor Carrier Safety Act of 1984 (49 U.S.C. § 31142)</w:t>
      </w:r>
    </w:p>
    <w:p w:rsidR="007C1EC3" w:rsidRPr="00AE03CB" w:rsidP="00FC0734" w14:paraId="54F6E64F" w14:textId="33515885">
      <w:r w:rsidRPr="00AE03CB">
        <w:rPr>
          <w:b/>
        </w:rPr>
        <w:t>Attachment D</w:t>
      </w:r>
      <w:r w:rsidRPr="00AE03CB">
        <w:t>: Section 9110 of the Truck and Bus Safety and Regulatory Reform Act of 1988 (49 U.S.C. § 31137(</w:t>
      </w:r>
      <w:r w:rsidRPr="00AE03CB" w:rsidR="00AE0A74">
        <w:t>g</w:t>
      </w:r>
      <w:r w:rsidRPr="00AE03CB">
        <w:t>))</w:t>
      </w:r>
    </w:p>
    <w:p w:rsidR="007C1EC3" w:rsidRPr="00AE03CB" w:rsidP="00FC0734" w14:paraId="1EEE34E0" w14:textId="52BDA64E">
      <w:r w:rsidRPr="00AE03CB">
        <w:rPr>
          <w:b/>
        </w:rPr>
        <w:t>Attachment E</w:t>
      </w:r>
      <w:r w:rsidRPr="00AE03CB">
        <w:t>: Title 49 CFR part 396, “Inspection, Repair, and Maintenance”</w:t>
      </w:r>
    </w:p>
    <w:p w:rsidR="007C1EC3" w:rsidRPr="00AE03CB" w:rsidP="00FC0734" w14:paraId="336F367D" w14:textId="0AB43A82">
      <w:r w:rsidRPr="00AE03CB">
        <w:rPr>
          <w:b/>
        </w:rPr>
        <w:t>Attachment F</w:t>
      </w:r>
      <w:r w:rsidRPr="00AE03CB">
        <w:t>: Title 49 CFR part 393, “Parts and Accessories Necessary for Safe Operation”</w:t>
      </w:r>
      <w:r w:rsidRPr="00AE03CB">
        <w:br/>
      </w:r>
      <w:r w:rsidRPr="00AE03CB">
        <w:rPr>
          <w:b/>
        </w:rPr>
        <w:t>Attachment G</w:t>
      </w:r>
      <w:r w:rsidRPr="00AE03CB">
        <w:t>: Section 4008(a)(2) of the Transportation Equity Act of the 21st Century (TEA–21) (Pub. L. 105–178, 112 Stat. 107, June 9, 1998)</w:t>
      </w:r>
      <w:r w:rsidRPr="00AE03CB">
        <w:br/>
      </w:r>
      <w:r w:rsidRPr="00AE03CB">
        <w:rPr>
          <w:b/>
        </w:rPr>
        <w:t>Attachment H</w:t>
      </w:r>
      <w:r w:rsidRPr="00AE03CB">
        <w:t xml:space="preserve">: </w:t>
      </w:r>
      <w:r w:rsidRPr="00AE03CB" w:rsidR="00B02786">
        <w:t>January 11, 2001 final rule “Federal Motor Carrier Safety Regulations; Definition of Commercial Motor Vehicle (CMV); Requirements for Operators of Small Passenger-Carrying CMVs” (66 FR 2756)</w:t>
      </w:r>
      <w:r w:rsidRPr="00AE03CB">
        <w:br/>
      </w:r>
      <w:r w:rsidRPr="00AE03CB">
        <w:rPr>
          <w:b/>
        </w:rPr>
        <w:t>Attachment I</w:t>
      </w:r>
      <w:r w:rsidRPr="00AE03CB">
        <w:t>: Section 4118 of The Safe, Accountable, Flexible, Efficient Transportation Equity Act: A Legacy for Users (SAFETEA-LU) (Pub L</w:t>
      </w:r>
      <w:r w:rsidRPr="00AE03CB" w:rsidR="00333559">
        <w:t>.</w:t>
      </w:r>
      <w:r w:rsidRPr="00AE03CB">
        <w:t xml:space="preserve"> 109-59, 119 Stat. 1144, at 1729, August 10, 2005) </w:t>
      </w:r>
      <w:r w:rsidRPr="00AE03CB">
        <w:br/>
      </w:r>
      <w:r w:rsidRPr="00AE03CB">
        <w:rPr>
          <w:b/>
        </w:rPr>
        <w:t>Attachment J</w:t>
      </w:r>
      <w:r w:rsidRPr="00AE03CB">
        <w:t>: Section 4136 of SAFETEA-LU [Pub. L. 109-59, 119 Stat. 1144, 1745, August 10, 2005]</w:t>
      </w:r>
      <w:r w:rsidRPr="00AE03CB">
        <w:br/>
      </w:r>
      <w:r w:rsidRPr="00AE03CB">
        <w:rPr>
          <w:b/>
        </w:rPr>
        <w:t>Attachment K</w:t>
      </w:r>
      <w:r w:rsidRPr="00AE03CB">
        <w:t>: December 17, 2008, final rule “Requirements for Intermodal Equipment Providers and Motor Carriers and Drivers Operating Intermodal Equipment” (73 FR 76794)</w:t>
      </w:r>
      <w:r w:rsidRPr="00AE03CB">
        <w:br/>
      </w:r>
      <w:r w:rsidRPr="00AE03CB">
        <w:rPr>
          <w:b/>
        </w:rPr>
        <w:t>Attachment L</w:t>
      </w:r>
      <w:r w:rsidRPr="00AE03CB">
        <w:t xml:space="preserve">: June 12, 2012, final rule </w:t>
      </w:r>
      <w:r w:rsidRPr="00AE03CB" w:rsidR="00521F3C">
        <w:t>“</w:t>
      </w:r>
      <w:r w:rsidRPr="00AE03CB">
        <w:t xml:space="preserve">Inspection, Repair and Maintenance; Driver-Vehicle Inspection Report </w:t>
      </w:r>
      <w:r w:rsidRPr="00AE03CB" w:rsidR="00B910EB">
        <w:t>(DVIR)</w:t>
      </w:r>
      <w:r w:rsidRPr="00AE03CB">
        <w:t xml:space="preserve"> for Intermodal Equipment,</w:t>
      </w:r>
      <w:r w:rsidRPr="00AE03CB" w:rsidR="00521F3C">
        <w:t>”</w:t>
      </w:r>
      <w:r w:rsidRPr="00AE03CB">
        <w:t xml:space="preserve"> (77 FR 34846)</w:t>
      </w:r>
    </w:p>
    <w:p w:rsidR="004322E9" w:rsidRPr="00AE03CB" w:rsidP="00FC0734" w14:paraId="4C8A2D54" w14:textId="3F35435D">
      <w:r w:rsidRPr="00AE03CB">
        <w:rPr>
          <w:b/>
        </w:rPr>
        <w:t>Attachment M</w:t>
      </w:r>
      <w:r w:rsidRPr="00AE03CB">
        <w:t>: Presidential Executive Order (E.O.) 13563, “Improving Regulation and Regulatory Review” (January 21, 2011, at 76 FR 3821)</w:t>
      </w:r>
    </w:p>
    <w:p w:rsidR="004322E9" w:rsidRPr="00AE03CB" w:rsidP="00FC0734" w14:paraId="6BF9DA23" w14:textId="79661678">
      <w:r w:rsidRPr="00AE03CB">
        <w:rPr>
          <w:b/>
        </w:rPr>
        <w:t>Attachment N</w:t>
      </w:r>
      <w:r w:rsidRPr="00AE03CB">
        <w:t xml:space="preserve">: February 16, </w:t>
      </w:r>
      <w:r w:rsidRPr="00AE03CB">
        <w:t>2011</w:t>
      </w:r>
      <w:r w:rsidRPr="00AE03CB">
        <w:t xml:space="preserve"> Notice “Regulatory Review of Existing DOT Regulations” (76 FR 8940)</w:t>
      </w:r>
    </w:p>
    <w:p w:rsidR="00510578" w:rsidRPr="00AE03CB" w:rsidP="00FC0734" w14:paraId="6ECF0645" w14:textId="1E05FC30">
      <w:r w:rsidRPr="00AE03CB">
        <w:rPr>
          <w:b/>
        </w:rPr>
        <w:t xml:space="preserve">Attachment </w:t>
      </w:r>
      <w:r w:rsidRPr="00AE03CB" w:rsidR="00CC5DC3">
        <w:rPr>
          <w:b/>
        </w:rPr>
        <w:t>O</w:t>
      </w:r>
      <w:r w:rsidRPr="00AE03CB">
        <w:t>:</w:t>
      </w:r>
      <w:r w:rsidRPr="00AE03CB" w:rsidR="00521F3C">
        <w:t xml:space="preserve"> December 18, 2014, final rule “Inspection, Repair, and Maintenance; Driver-Vehicle Inspection Report</w:t>
      </w:r>
      <w:r w:rsidRPr="00AE03CB" w:rsidR="00B910EB">
        <w:t xml:space="preserve"> (DVIR)</w:t>
      </w:r>
      <w:r w:rsidRPr="00AE03CB" w:rsidR="00521F3C">
        <w:t xml:space="preserve">” (79 FR 75437) </w:t>
      </w:r>
    </w:p>
    <w:p w:rsidR="007C1EC3" w:rsidRPr="00AE03CB" w:rsidP="00FC0734" w14:paraId="6B325CC2" w14:textId="5C78ED48">
      <w:r w:rsidRPr="00AE03CB">
        <w:rPr>
          <w:b/>
        </w:rPr>
        <w:t xml:space="preserve">Attachment </w:t>
      </w:r>
      <w:r w:rsidRPr="00AE03CB" w:rsidR="008D3EF2">
        <w:rPr>
          <w:b/>
        </w:rPr>
        <w:t>P</w:t>
      </w:r>
      <w:r w:rsidRPr="00AE03CB">
        <w:t>:</w:t>
      </w:r>
      <w:r w:rsidRPr="00AE03CB" w:rsidR="006644DF">
        <w:t xml:space="preserve"> </w:t>
      </w:r>
      <w:r w:rsidRPr="00AE03CB">
        <w:t>August 18, 2020, final rule “Passenger Carrier No-Defect Driver</w:t>
      </w:r>
      <w:r w:rsidRPr="00AE03CB" w:rsidR="00C82627">
        <w:t>-</w:t>
      </w:r>
      <w:r w:rsidRPr="00AE03CB">
        <w:t>Vehicle Inspection Reports” (85 FR 50787)</w:t>
      </w:r>
      <w:r w:rsidRPr="00AE03CB" w:rsidR="00521F3C">
        <w:t xml:space="preserve"> </w:t>
      </w:r>
    </w:p>
    <w:p w:rsidR="007C1EC3" w:rsidP="00FC0734" w14:paraId="061D7BFC" w14:textId="2C81364E">
      <w:r w:rsidRPr="00AE03CB">
        <w:rPr>
          <w:b/>
        </w:rPr>
        <w:t xml:space="preserve">Attachment </w:t>
      </w:r>
      <w:r w:rsidRPr="00AE03CB" w:rsidR="008D3EF2">
        <w:rPr>
          <w:b/>
        </w:rPr>
        <w:t>Q</w:t>
      </w:r>
      <w:r w:rsidRPr="00AE03CB">
        <w:t>:</w:t>
      </w:r>
      <w:r w:rsidRPr="00AE03CB" w:rsidR="00521F3C">
        <w:t xml:space="preserve"> 49 CFR </w:t>
      </w:r>
      <w:r w:rsidRPr="00AE03CB" w:rsidR="00034CAC">
        <w:t xml:space="preserve">§ </w:t>
      </w:r>
      <w:r w:rsidRPr="00AE03CB" w:rsidR="00521F3C">
        <w:t>390.3</w:t>
      </w:r>
      <w:r w:rsidRPr="00AE03CB">
        <w:br/>
      </w:r>
      <w:r w:rsidRPr="00AE03CB">
        <w:rPr>
          <w:b/>
        </w:rPr>
        <w:t xml:space="preserve">Attachment </w:t>
      </w:r>
      <w:r w:rsidRPr="00AE03CB" w:rsidR="008D3EF2">
        <w:rPr>
          <w:b/>
        </w:rPr>
        <w:t>R</w:t>
      </w:r>
      <w:r w:rsidRPr="00AE03CB">
        <w:t>:</w:t>
      </w:r>
      <w:r w:rsidRPr="00AE03CB" w:rsidR="00521F3C">
        <w:t xml:space="preserve"> 49 CFR § 390.5</w:t>
      </w:r>
    </w:p>
    <w:p w:rsidR="00890E65" w:rsidRPr="001B2997" w:rsidP="00FC0734" w14:paraId="5171754C" w14:textId="1425BB8C"/>
    <w:sectPr w:rsidSect="00E400B4">
      <w:footerReference w:type="even" r:id="rId6"/>
      <w:footerReference w:type="default" r:id="rId7"/>
      <w:footerReference w:type="first" r:id="rId8"/>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7EE" w:rsidP="00E522E1" w14:paraId="3B41163C" w14:textId="2967E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02B">
      <w:rPr>
        <w:rStyle w:val="PageNumber"/>
        <w:noProof/>
      </w:rPr>
      <w:t>15</w:t>
    </w:r>
    <w:r>
      <w:rPr>
        <w:rStyle w:val="PageNumber"/>
      </w:rPr>
      <w:fldChar w:fldCharType="end"/>
    </w:r>
  </w:p>
  <w:p w:rsidR="006A77EE" w14:paraId="4AFEC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1546898"/>
      <w:docPartObj>
        <w:docPartGallery w:val="Page Numbers (Bottom of Page)"/>
        <w:docPartUnique/>
      </w:docPartObj>
    </w:sdtPr>
    <w:sdtEndPr>
      <w:rPr>
        <w:noProof/>
      </w:rPr>
    </w:sdtEndPr>
    <w:sdtContent>
      <w:p w:rsidR="006A77EE" w14:paraId="4FF89415" w14:textId="2EAD2A0E">
        <w:pPr>
          <w:pStyle w:val="Footer"/>
          <w:jc w:val="center"/>
        </w:pPr>
        <w:r>
          <w:fldChar w:fldCharType="begin"/>
        </w:r>
        <w:r>
          <w:instrText xml:space="preserve"> PAGE   \* MERGEFORMAT </w:instrText>
        </w:r>
        <w:r>
          <w:fldChar w:fldCharType="separate"/>
        </w:r>
        <w:r w:rsidR="00902187">
          <w:rPr>
            <w:noProof/>
          </w:rPr>
          <w:t>2</w:t>
        </w:r>
        <w:r>
          <w:rPr>
            <w:noProof/>
          </w:rPr>
          <w:fldChar w:fldCharType="end"/>
        </w:r>
      </w:p>
    </w:sdtContent>
  </w:sdt>
  <w:p w:rsidR="006A77EE" w14:paraId="0E55D7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842639"/>
      <w:docPartObj>
        <w:docPartGallery w:val="Page Numbers (Bottom of Page)"/>
        <w:docPartUnique/>
      </w:docPartObj>
    </w:sdtPr>
    <w:sdtEndPr>
      <w:rPr>
        <w:noProof/>
      </w:rPr>
    </w:sdtEndPr>
    <w:sdtContent>
      <w:p w:rsidR="006A77EE" w14:paraId="4F9FD13A" w14:textId="1AF16363">
        <w:pPr>
          <w:pStyle w:val="Footer"/>
          <w:jc w:val="center"/>
        </w:pPr>
        <w:r>
          <w:fldChar w:fldCharType="begin"/>
        </w:r>
        <w:r>
          <w:instrText xml:space="preserve"> PAGE   \* MERGEFORMAT </w:instrText>
        </w:r>
        <w:r>
          <w:fldChar w:fldCharType="separate"/>
        </w:r>
        <w:r w:rsidR="00902187">
          <w:rPr>
            <w:noProof/>
          </w:rPr>
          <w:t>1</w:t>
        </w:r>
        <w:r>
          <w:rPr>
            <w:noProof/>
          </w:rPr>
          <w:fldChar w:fldCharType="end"/>
        </w:r>
      </w:p>
    </w:sdtContent>
  </w:sdt>
  <w:p w:rsidR="006A77EE" w14:paraId="412A82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0A70" w14:paraId="09965C91" w14:textId="77777777">
      <w:r>
        <w:separator/>
      </w:r>
    </w:p>
  </w:footnote>
  <w:footnote w:type="continuationSeparator" w:id="1">
    <w:p w:rsidR="00D30A70" w14:paraId="41166E01" w14:textId="77777777">
      <w:r>
        <w:continuationSeparator/>
      </w:r>
    </w:p>
  </w:footnote>
  <w:footnote w:id="2">
    <w:p w:rsidR="006A77EE" w14:paraId="5BC2C7BD" w14:textId="31FF537C">
      <w:pPr>
        <w:pStyle w:val="FootnoteText"/>
      </w:pPr>
      <w:r>
        <w:rPr>
          <w:rStyle w:val="FootnoteReference"/>
        </w:rPr>
        <w:footnoteRef/>
      </w:r>
      <w:r>
        <w:t xml:space="preserve"> The number of carriers in operation at any given time is subject to change, due to enforcement actions, business turnovers, and other factors.  The number of intrastate HM carriers includes a few active intrastate non-HM carriers with HM activity that meets the Safety Measurement System (SMS) HM threshold definition. Carrier counts are estimates based on motor carriers in the Motor Carrier Management Information System (MCMIS) with recent activity, defined as those carriers that have had an inspection, a crash, an investigation, a safety audit, an FMCSA Motor Carrier Identification Report (Form MCS-150) update, a vehicle registration activity, or a Unified Carrier Registration (UCR) system payment activity in the past 3 years, or have current operating authority indicated in the FMCSA Licensing and Insurance (L&amp;I) database. Beginning on November 1, 2013, FMCSA’s Unified Registration System (URS) rule requires all regulated entities to update their registration information every 24 months. The Agency deactivates the U.S. Department of Transportation (USDOT) number of any carrier that fails to comply with the biennial update requirement. Data Source: MCMIS and SMS data snapshot as of </w:t>
      </w:r>
      <w:r w:rsidRPr="00494A32">
        <w:t xml:space="preserve">December </w:t>
      </w:r>
      <w:r w:rsidRPr="00494A32" w:rsidR="008D3EF2">
        <w:t>31</w:t>
      </w:r>
      <w:r w:rsidRPr="00494A32">
        <w:t xml:space="preserve">, </w:t>
      </w:r>
      <w:r w:rsidRPr="00494A32" w:rsidR="008D3EF2">
        <w:t>2021</w:t>
      </w:r>
      <w:r w:rsidRPr="00494A32">
        <w:t>.</w:t>
      </w:r>
      <w:r>
        <w:t xml:space="preserve"> </w:t>
      </w:r>
    </w:p>
  </w:footnote>
  <w:footnote w:id="3">
    <w:p w:rsidR="006A77EE" w14:paraId="5A7591F3" w14:textId="77777777">
      <w:pPr>
        <w:pStyle w:val="FootnoteText"/>
      </w:pPr>
      <w:r>
        <w:rPr>
          <w:rStyle w:val="FootnoteReference"/>
        </w:rPr>
        <w:footnoteRef/>
      </w:r>
      <w:r>
        <w:t xml:space="preserve"> See Table 7 – “Estimates of Numbers of Small Entities” in the final rule “Electronic Logging Devices and Hours of Service Supporting Documents” (80 FR </w:t>
      </w:r>
      <w:r>
        <w:t>78292;</w:t>
      </w:r>
      <w:r>
        <w:t xml:space="preserve"> December 16, 2015).</w:t>
      </w:r>
    </w:p>
  </w:footnote>
  <w:footnote w:id="4">
    <w:p w:rsidR="006A77EE" w:rsidRPr="00D5713E" w14:paraId="6B6CED84" w14:textId="5D9EAB83">
      <w:pPr>
        <w:pStyle w:val="FootnoteText"/>
      </w:pPr>
      <w:r>
        <w:rPr>
          <w:rStyle w:val="FootnoteReference"/>
        </w:rPr>
        <w:footnoteRef/>
      </w:r>
      <w:r>
        <w:t xml:space="preserve"> </w:t>
      </w:r>
      <w:r w:rsidRPr="00D5713E">
        <w:t xml:space="preserve">Data Source: MCMIS and SMS data snapshot as of December </w:t>
      </w:r>
      <w:r w:rsidRPr="00D5713E" w:rsidR="00D52819">
        <w:t>31</w:t>
      </w:r>
      <w:r w:rsidRPr="00D5713E">
        <w:t>, 20</w:t>
      </w:r>
      <w:r w:rsidRPr="00D5713E" w:rsidR="00D52819">
        <w:t>21</w:t>
      </w:r>
      <w:r w:rsidRPr="00D5713E">
        <w:t>.</w:t>
      </w:r>
    </w:p>
  </w:footnote>
  <w:footnote w:id="5">
    <w:p w:rsidR="006A77EE" w14:paraId="4CE0E3C7" w14:textId="7587362D">
      <w:pPr>
        <w:pStyle w:val="FootnoteText"/>
      </w:pPr>
      <w:r w:rsidRPr="00D5713E">
        <w:rPr>
          <w:rStyle w:val="FootnoteReference"/>
        </w:rPr>
        <w:footnoteRef/>
      </w:r>
      <w:r w:rsidRPr="00D5713E">
        <w:t xml:space="preserve"> </w:t>
      </w:r>
      <w:r w:rsidRPr="00D5713E" w:rsidR="00C20723">
        <w:t>Active chassis registered at year-end 2021 in IANA’s Global Intermodal Equipment Registry (GIER)</w:t>
      </w:r>
      <w:r w:rsidRPr="00D5713E">
        <w:t>.</w:t>
      </w:r>
    </w:p>
  </w:footnote>
  <w:footnote w:id="6">
    <w:p w:rsidR="003C7A40" w:rsidP="003C7A40" w14:paraId="2AD2A53D" w14:textId="6E1953D5">
      <w:pPr>
        <w:pStyle w:val="FootnoteText"/>
      </w:pPr>
      <w:r>
        <w:rPr>
          <w:rStyle w:val="FootnoteReference"/>
        </w:rPr>
        <w:footnoteRef/>
      </w:r>
      <w:r>
        <w:t xml:space="preserve"> See footnote 6 below.</w:t>
      </w:r>
    </w:p>
  </w:footnote>
  <w:footnote w:id="7">
    <w:p w:rsidR="006A77EE" w14:paraId="6A8F28D3" w14:textId="2B3285DA">
      <w:pPr>
        <w:pStyle w:val="FootnoteText"/>
      </w:pPr>
      <w:r>
        <w:rPr>
          <w:rStyle w:val="FootnoteReference"/>
        </w:rPr>
        <w:footnoteRef/>
      </w:r>
      <w:r>
        <w:t xml:space="preserve"> FMCSA does not have any way to estimate the number of interstate driveaway-towaway operations conducted per year. However, these operations constitute a very small fraction of the overall trip </w:t>
      </w:r>
      <w:r>
        <w:t>population, and</w:t>
      </w:r>
      <w:r>
        <w:t xml:space="preserve"> given that </w:t>
      </w:r>
      <w:r w:rsidRPr="00157B5C">
        <w:t>FMCSA estimates that drivers discover vehicle defects or deficiencies in 5 percent of inspections</w:t>
      </w:r>
      <w:r>
        <w:t xml:space="preserve">, the number of burden hours associated with this small segment of the industry is considered to be negligible. </w:t>
      </w:r>
    </w:p>
  </w:footnote>
  <w:footnote w:id="8">
    <w:p w:rsidR="006A77EE" w14:paraId="4A6CAC42" w14:textId="6ED6789F">
      <w:pPr>
        <w:pStyle w:val="FootnoteText"/>
      </w:pPr>
      <w:r>
        <w:rPr>
          <w:rStyle w:val="FootnoteReference"/>
        </w:rPr>
        <w:footnoteRef/>
      </w:r>
      <w:r>
        <w:t xml:space="preserve"> </w:t>
      </w:r>
      <w:r w:rsidRPr="00D80FF5">
        <w:t xml:space="preserve">Data Source: FMCSA's Motor Carrier Management Information System (MCMIS) data snapshot as of </w:t>
      </w:r>
      <w:r w:rsidRPr="00AD2D0F" w:rsidR="00C95043">
        <w:t>12</w:t>
      </w:r>
      <w:r w:rsidRPr="00AD2D0F">
        <w:t>/</w:t>
      </w:r>
      <w:r w:rsidRPr="00AD2D0F" w:rsidR="00C95043">
        <w:t>31</w:t>
      </w:r>
      <w:r w:rsidRPr="00AD2D0F">
        <w:t>/20</w:t>
      </w:r>
      <w:r w:rsidRPr="00AD2D0F" w:rsidR="00742C88">
        <w:t>2</w:t>
      </w:r>
      <w:r w:rsidRPr="00AD2D0F" w:rsidR="00C95043">
        <w:t>1</w:t>
      </w:r>
      <w:r w:rsidRPr="00AD2D0F">
        <w:t xml:space="preserve">: </w:t>
      </w:r>
      <w:r w:rsidRPr="00AD2D0F" w:rsidR="00557307">
        <w:t>2</w:t>
      </w:r>
      <w:r w:rsidRPr="00AD2D0F">
        <w:t>,</w:t>
      </w:r>
      <w:r w:rsidRPr="00AD2D0F" w:rsidR="00557307">
        <w:t>881</w:t>
      </w:r>
      <w:r w:rsidRPr="00AD2D0F">
        <w:t>,</w:t>
      </w:r>
      <w:r w:rsidRPr="00AD2D0F" w:rsidR="00557307">
        <w:t>84</w:t>
      </w:r>
      <w:r w:rsidRPr="00AD2D0F" w:rsidR="00CB0594">
        <w:t>6</w:t>
      </w:r>
      <w:r w:rsidRPr="00AD2D0F">
        <w:t xml:space="preserve"> total inspections in 20</w:t>
      </w:r>
      <w:r w:rsidRPr="00AD2D0F" w:rsidR="00557307">
        <w:t>21</w:t>
      </w:r>
      <w:r w:rsidRPr="00AD2D0F">
        <w:t>, 1,</w:t>
      </w:r>
      <w:r w:rsidRPr="00AD2D0F" w:rsidR="00557307">
        <w:t>244</w:t>
      </w:r>
      <w:r w:rsidRPr="00AD2D0F">
        <w:t>,9</w:t>
      </w:r>
      <w:r w:rsidRPr="00AD2D0F" w:rsidR="00CB0594">
        <w:t>48</w:t>
      </w:r>
      <w:r w:rsidRPr="00AD2D0F">
        <w:t xml:space="preserve"> with</w:t>
      </w:r>
      <w:r>
        <w:t xml:space="preserve"> no violations noted.</w:t>
      </w:r>
      <w:r w:rsidR="00931562">
        <w:t xml:space="preserve"> Accessed June 27, 2023.</w:t>
      </w:r>
    </w:p>
  </w:footnote>
  <w:footnote w:id="9">
    <w:p w:rsidR="006A77EE" w14:paraId="46194AAD" w14:textId="7E2EBF98">
      <w:pPr>
        <w:pStyle w:val="FootnoteText"/>
      </w:pPr>
      <w:r>
        <w:rPr>
          <w:rStyle w:val="FootnoteReference"/>
        </w:rPr>
        <w:footnoteRef/>
      </w:r>
      <w:r>
        <w:t xml:space="preserve"> </w:t>
      </w:r>
      <w:r w:rsidRPr="00C73730">
        <w:t xml:space="preserve">Bureau of Labor Statistics. </w:t>
      </w:r>
      <w:r>
        <w:t>“</w:t>
      </w:r>
      <w:r w:rsidRPr="00C73730">
        <w:t xml:space="preserve">Occupational Employment and Wages, May 2016, </w:t>
      </w:r>
      <w:r w:rsidRPr="00476897">
        <w:t>NAICS 484000 - Truck Transportation</w:t>
      </w:r>
      <w:r w:rsidRPr="00C73730">
        <w:t>.</w:t>
      </w:r>
      <w:r>
        <w:t>”</w:t>
      </w:r>
      <w:r w:rsidR="00B3427F">
        <w:t xml:space="preserve">, May 2021, </w:t>
      </w:r>
      <w:r>
        <w:t xml:space="preserve">Available at </w:t>
      </w:r>
      <w:hyperlink r:id="rId1" w:history="1">
        <w:r w:rsidRPr="00D63588" w:rsidR="00B3427F">
          <w:rPr>
            <w:rStyle w:val="Hyperlink"/>
          </w:rPr>
          <w:t>https://www.bls.gov/oes/tables.htm</w:t>
        </w:r>
      </w:hyperlink>
      <w:r w:rsidR="00B3427F">
        <w:t xml:space="preserve">, </w:t>
      </w:r>
      <w:r w:rsidR="00461A3A">
        <w:t xml:space="preserve">“All data”, line item 72314 </w:t>
      </w:r>
      <w:r w:rsidRPr="00C73730">
        <w:t xml:space="preserve">Accessed </w:t>
      </w:r>
      <w:r w:rsidR="00695E32">
        <w:t>July 20</w:t>
      </w:r>
      <w:r>
        <w:t>, 20</w:t>
      </w:r>
      <w:r w:rsidR="00A369FC">
        <w:t>23</w:t>
      </w:r>
      <w:r>
        <w:t>.</w:t>
      </w:r>
    </w:p>
  </w:footnote>
  <w:footnote w:id="10">
    <w:p w:rsidR="006A77EE" w:rsidP="00476897" w14:paraId="53529B80" w14:textId="3FE502B6">
      <w:pPr>
        <w:pStyle w:val="FootnoteText"/>
      </w:pPr>
      <w:r>
        <w:rPr>
          <w:rStyle w:val="FootnoteReference"/>
        </w:rPr>
        <w:footnoteRef/>
      </w:r>
      <w:r>
        <w:t xml:space="preserve"> Bureau of Labor Statistics. “Table </w:t>
      </w:r>
      <w:r w:rsidR="00A369FC">
        <w:t>4</w:t>
      </w:r>
      <w:r>
        <w:t xml:space="preserve">. </w:t>
      </w:r>
      <w:r w:rsidRPr="00A369FC" w:rsidR="00A369FC">
        <w:t>Employer Costs for Employee Compensation for private industry workers by occupational and industry group</w:t>
      </w:r>
      <w:r>
        <w:t xml:space="preserve">.” </w:t>
      </w:r>
      <w:r w:rsidR="0085478D">
        <w:t>Sep</w:t>
      </w:r>
      <w:r w:rsidR="00B3427F">
        <w:t xml:space="preserve"> 2021, </w:t>
      </w:r>
      <w:hyperlink r:id="rId2" w:history="1">
        <w:r w:rsidR="00695E32">
          <w:rPr>
            <w:rStyle w:val="Hyperlink"/>
          </w:rPr>
          <w:t>Employer Costs for Employee Compensation - September 2021 (bls.gov)</w:t>
        </w:r>
      </w:hyperlink>
      <w:r w:rsidR="00B3427F">
        <w:t>,</w:t>
      </w:r>
      <w:r>
        <w:t xml:space="preserve"> Accessed </w:t>
      </w:r>
      <w:r w:rsidR="00695E32">
        <w:t xml:space="preserve">July </w:t>
      </w:r>
      <w:r w:rsidR="00CB243A">
        <w:t>2</w:t>
      </w:r>
      <w:r w:rsidR="00695E32">
        <w:t>0</w:t>
      </w:r>
      <w:r>
        <w:t>, 20</w:t>
      </w:r>
      <w:r w:rsidR="00A369FC">
        <w:t>23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222A4"/>
    <w:multiLevelType w:val="hybridMultilevel"/>
    <w:tmpl w:val="36F0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D6518A"/>
    <w:multiLevelType w:val="hybridMultilevel"/>
    <w:tmpl w:val="32F69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FF73C0"/>
    <w:multiLevelType w:val="hybridMultilevel"/>
    <w:tmpl w:val="B0A077D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570D537A"/>
    <w:multiLevelType w:val="hybridMultilevel"/>
    <w:tmpl w:val="83049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7C5FBE"/>
    <w:multiLevelType w:val="hybridMultilevel"/>
    <w:tmpl w:val="9AE2495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081018C"/>
    <w:multiLevelType w:val="hybridMultilevel"/>
    <w:tmpl w:val="47B6A5C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52F119C"/>
    <w:multiLevelType w:val="hybridMultilevel"/>
    <w:tmpl w:val="3F2ABE0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90D6FA4"/>
    <w:multiLevelType w:val="hybridMultilevel"/>
    <w:tmpl w:val="17625BA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2D408C8"/>
    <w:multiLevelType w:val="hybridMultilevel"/>
    <w:tmpl w:val="1570C2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7854028">
    <w:abstractNumId w:val="9"/>
  </w:num>
  <w:num w:numId="2" w16cid:durableId="1364289350">
    <w:abstractNumId w:val="0"/>
  </w:num>
  <w:num w:numId="3" w16cid:durableId="148373863">
    <w:abstractNumId w:val="7"/>
  </w:num>
  <w:num w:numId="4" w16cid:durableId="1857766203">
    <w:abstractNumId w:val="6"/>
  </w:num>
  <w:num w:numId="5" w16cid:durableId="557589456">
    <w:abstractNumId w:val="5"/>
  </w:num>
  <w:num w:numId="6" w16cid:durableId="1683704002">
    <w:abstractNumId w:val="8"/>
  </w:num>
  <w:num w:numId="7" w16cid:durableId="561019032">
    <w:abstractNumId w:val="3"/>
  </w:num>
  <w:num w:numId="8" w16cid:durableId="1918899975">
    <w:abstractNumId w:val="4"/>
  </w:num>
  <w:num w:numId="9" w16cid:durableId="2015376584">
    <w:abstractNumId w:val="2"/>
  </w:num>
  <w:num w:numId="10" w16cid:durableId="97001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0B"/>
    <w:rsid w:val="00000B19"/>
    <w:rsid w:val="000018C6"/>
    <w:rsid w:val="00001D20"/>
    <w:rsid w:val="00002A30"/>
    <w:rsid w:val="00002E3F"/>
    <w:rsid w:val="00002FFC"/>
    <w:rsid w:val="00003920"/>
    <w:rsid w:val="000142B1"/>
    <w:rsid w:val="000150E7"/>
    <w:rsid w:val="00016B16"/>
    <w:rsid w:val="00021291"/>
    <w:rsid w:val="0002408C"/>
    <w:rsid w:val="00025931"/>
    <w:rsid w:val="00025E81"/>
    <w:rsid w:val="00026C08"/>
    <w:rsid w:val="0003338D"/>
    <w:rsid w:val="00033840"/>
    <w:rsid w:val="000346DC"/>
    <w:rsid w:val="00034CAC"/>
    <w:rsid w:val="00036910"/>
    <w:rsid w:val="000369CB"/>
    <w:rsid w:val="00040F5B"/>
    <w:rsid w:val="00042272"/>
    <w:rsid w:val="000423E5"/>
    <w:rsid w:val="0004386D"/>
    <w:rsid w:val="00043DE2"/>
    <w:rsid w:val="000453E3"/>
    <w:rsid w:val="00045935"/>
    <w:rsid w:val="000506EF"/>
    <w:rsid w:val="00055C11"/>
    <w:rsid w:val="00055CDC"/>
    <w:rsid w:val="00056244"/>
    <w:rsid w:val="00060434"/>
    <w:rsid w:val="00062974"/>
    <w:rsid w:val="00065A5D"/>
    <w:rsid w:val="000661A1"/>
    <w:rsid w:val="000666A0"/>
    <w:rsid w:val="00067726"/>
    <w:rsid w:val="00070D6C"/>
    <w:rsid w:val="000710EB"/>
    <w:rsid w:val="0007303C"/>
    <w:rsid w:val="0007337A"/>
    <w:rsid w:val="0007669C"/>
    <w:rsid w:val="000800B4"/>
    <w:rsid w:val="000800B8"/>
    <w:rsid w:val="00083832"/>
    <w:rsid w:val="00084217"/>
    <w:rsid w:val="00085432"/>
    <w:rsid w:val="000900C4"/>
    <w:rsid w:val="000904FF"/>
    <w:rsid w:val="000924CA"/>
    <w:rsid w:val="0009314D"/>
    <w:rsid w:val="000939BC"/>
    <w:rsid w:val="00093A39"/>
    <w:rsid w:val="00096BF0"/>
    <w:rsid w:val="00097685"/>
    <w:rsid w:val="000A3724"/>
    <w:rsid w:val="000A4E14"/>
    <w:rsid w:val="000A6B48"/>
    <w:rsid w:val="000A6D46"/>
    <w:rsid w:val="000B1DFE"/>
    <w:rsid w:val="000B2C86"/>
    <w:rsid w:val="000B3119"/>
    <w:rsid w:val="000B49F5"/>
    <w:rsid w:val="000B6370"/>
    <w:rsid w:val="000B6F4A"/>
    <w:rsid w:val="000B7886"/>
    <w:rsid w:val="000C13BC"/>
    <w:rsid w:val="000C22AD"/>
    <w:rsid w:val="000C2F21"/>
    <w:rsid w:val="000C3341"/>
    <w:rsid w:val="000C43D6"/>
    <w:rsid w:val="000D0454"/>
    <w:rsid w:val="000D082B"/>
    <w:rsid w:val="000D1DA6"/>
    <w:rsid w:val="000D37BA"/>
    <w:rsid w:val="000D6542"/>
    <w:rsid w:val="000D6F4D"/>
    <w:rsid w:val="000D70BC"/>
    <w:rsid w:val="000D795D"/>
    <w:rsid w:val="000E349A"/>
    <w:rsid w:val="000E4B2F"/>
    <w:rsid w:val="000E6239"/>
    <w:rsid w:val="000E7568"/>
    <w:rsid w:val="000F1C92"/>
    <w:rsid w:val="000F1CC7"/>
    <w:rsid w:val="000F283E"/>
    <w:rsid w:val="00100253"/>
    <w:rsid w:val="00100A33"/>
    <w:rsid w:val="0010205A"/>
    <w:rsid w:val="0010560A"/>
    <w:rsid w:val="00105D2B"/>
    <w:rsid w:val="00111B99"/>
    <w:rsid w:val="00116511"/>
    <w:rsid w:val="0011770A"/>
    <w:rsid w:val="00121C83"/>
    <w:rsid w:val="00122775"/>
    <w:rsid w:val="00124892"/>
    <w:rsid w:val="00127249"/>
    <w:rsid w:val="00130943"/>
    <w:rsid w:val="00130C01"/>
    <w:rsid w:val="001324D6"/>
    <w:rsid w:val="00132589"/>
    <w:rsid w:val="0013261D"/>
    <w:rsid w:val="00133731"/>
    <w:rsid w:val="00133CFC"/>
    <w:rsid w:val="00141EAE"/>
    <w:rsid w:val="00144D1B"/>
    <w:rsid w:val="00145790"/>
    <w:rsid w:val="00145C97"/>
    <w:rsid w:val="00146AE0"/>
    <w:rsid w:val="00147C41"/>
    <w:rsid w:val="0015260C"/>
    <w:rsid w:val="00155E17"/>
    <w:rsid w:val="00157B5C"/>
    <w:rsid w:val="0016032A"/>
    <w:rsid w:val="001616E6"/>
    <w:rsid w:val="00163AD4"/>
    <w:rsid w:val="00163E4D"/>
    <w:rsid w:val="001672D4"/>
    <w:rsid w:val="00170D4E"/>
    <w:rsid w:val="00177957"/>
    <w:rsid w:val="00177AEA"/>
    <w:rsid w:val="001831AD"/>
    <w:rsid w:val="001833ED"/>
    <w:rsid w:val="0018510B"/>
    <w:rsid w:val="00185F6D"/>
    <w:rsid w:val="00187317"/>
    <w:rsid w:val="00191384"/>
    <w:rsid w:val="00192AD2"/>
    <w:rsid w:val="001931F8"/>
    <w:rsid w:val="001934BF"/>
    <w:rsid w:val="001948CB"/>
    <w:rsid w:val="00196C3E"/>
    <w:rsid w:val="001979EF"/>
    <w:rsid w:val="001A07BB"/>
    <w:rsid w:val="001A4E01"/>
    <w:rsid w:val="001A6073"/>
    <w:rsid w:val="001B064E"/>
    <w:rsid w:val="001B1997"/>
    <w:rsid w:val="001B2997"/>
    <w:rsid w:val="001B2AA9"/>
    <w:rsid w:val="001B55A9"/>
    <w:rsid w:val="001B7643"/>
    <w:rsid w:val="001B7B37"/>
    <w:rsid w:val="001C3DE7"/>
    <w:rsid w:val="001C5BB9"/>
    <w:rsid w:val="001C6E04"/>
    <w:rsid w:val="001D05C9"/>
    <w:rsid w:val="001D1973"/>
    <w:rsid w:val="001D1B42"/>
    <w:rsid w:val="001D43FD"/>
    <w:rsid w:val="001D5A09"/>
    <w:rsid w:val="001D5DA4"/>
    <w:rsid w:val="001E110D"/>
    <w:rsid w:val="001E3198"/>
    <w:rsid w:val="001E5CD4"/>
    <w:rsid w:val="001E71A9"/>
    <w:rsid w:val="00203774"/>
    <w:rsid w:val="00203C80"/>
    <w:rsid w:val="0020753F"/>
    <w:rsid w:val="00211813"/>
    <w:rsid w:val="00213535"/>
    <w:rsid w:val="002159E7"/>
    <w:rsid w:val="00220D63"/>
    <w:rsid w:val="002231D9"/>
    <w:rsid w:val="002242D5"/>
    <w:rsid w:val="002242E6"/>
    <w:rsid w:val="00224C2C"/>
    <w:rsid w:val="00225024"/>
    <w:rsid w:val="002255CB"/>
    <w:rsid w:val="0023053E"/>
    <w:rsid w:val="00232CD8"/>
    <w:rsid w:val="0023425E"/>
    <w:rsid w:val="00236B44"/>
    <w:rsid w:val="002407CA"/>
    <w:rsid w:val="00242E2C"/>
    <w:rsid w:val="002445C8"/>
    <w:rsid w:val="00244EC6"/>
    <w:rsid w:val="0024675A"/>
    <w:rsid w:val="00250279"/>
    <w:rsid w:val="002506C1"/>
    <w:rsid w:val="00250E89"/>
    <w:rsid w:val="00251E1D"/>
    <w:rsid w:val="00252E2D"/>
    <w:rsid w:val="0025753E"/>
    <w:rsid w:val="00261FB1"/>
    <w:rsid w:val="0026345F"/>
    <w:rsid w:val="00265AE7"/>
    <w:rsid w:val="00265C65"/>
    <w:rsid w:val="00266C13"/>
    <w:rsid w:val="00272555"/>
    <w:rsid w:val="00272661"/>
    <w:rsid w:val="00273679"/>
    <w:rsid w:val="00275EE6"/>
    <w:rsid w:val="00277073"/>
    <w:rsid w:val="0028487D"/>
    <w:rsid w:val="00287331"/>
    <w:rsid w:val="0029102E"/>
    <w:rsid w:val="00292056"/>
    <w:rsid w:val="00294120"/>
    <w:rsid w:val="002944F4"/>
    <w:rsid w:val="00296D05"/>
    <w:rsid w:val="002A0037"/>
    <w:rsid w:val="002A6861"/>
    <w:rsid w:val="002B138E"/>
    <w:rsid w:val="002B173A"/>
    <w:rsid w:val="002B1B56"/>
    <w:rsid w:val="002C0F84"/>
    <w:rsid w:val="002C14C7"/>
    <w:rsid w:val="002C2801"/>
    <w:rsid w:val="002C3BD7"/>
    <w:rsid w:val="002C47BE"/>
    <w:rsid w:val="002D042C"/>
    <w:rsid w:val="002D1284"/>
    <w:rsid w:val="002D1EEB"/>
    <w:rsid w:val="002E239E"/>
    <w:rsid w:val="002E239F"/>
    <w:rsid w:val="002E713D"/>
    <w:rsid w:val="002F1389"/>
    <w:rsid w:val="002F1C01"/>
    <w:rsid w:val="002F4C8D"/>
    <w:rsid w:val="002F7AD1"/>
    <w:rsid w:val="003005A6"/>
    <w:rsid w:val="003030F5"/>
    <w:rsid w:val="0031131B"/>
    <w:rsid w:val="00311589"/>
    <w:rsid w:val="00314138"/>
    <w:rsid w:val="003161AD"/>
    <w:rsid w:val="0031698A"/>
    <w:rsid w:val="00321849"/>
    <w:rsid w:val="00322076"/>
    <w:rsid w:val="003229D6"/>
    <w:rsid w:val="00324158"/>
    <w:rsid w:val="00330500"/>
    <w:rsid w:val="00331B30"/>
    <w:rsid w:val="003324AC"/>
    <w:rsid w:val="00332F07"/>
    <w:rsid w:val="0033333C"/>
    <w:rsid w:val="00333559"/>
    <w:rsid w:val="00333CEB"/>
    <w:rsid w:val="0033688E"/>
    <w:rsid w:val="0033718B"/>
    <w:rsid w:val="003405F7"/>
    <w:rsid w:val="003418B5"/>
    <w:rsid w:val="00342380"/>
    <w:rsid w:val="003451E0"/>
    <w:rsid w:val="003456D7"/>
    <w:rsid w:val="00352114"/>
    <w:rsid w:val="0035305E"/>
    <w:rsid w:val="003566A3"/>
    <w:rsid w:val="00357597"/>
    <w:rsid w:val="00357F1A"/>
    <w:rsid w:val="00361405"/>
    <w:rsid w:val="003622E4"/>
    <w:rsid w:val="003644FD"/>
    <w:rsid w:val="0036701F"/>
    <w:rsid w:val="00367313"/>
    <w:rsid w:val="003673F2"/>
    <w:rsid w:val="00370E02"/>
    <w:rsid w:val="00370FE2"/>
    <w:rsid w:val="00372A28"/>
    <w:rsid w:val="003743B8"/>
    <w:rsid w:val="0037445F"/>
    <w:rsid w:val="003771F1"/>
    <w:rsid w:val="00380E97"/>
    <w:rsid w:val="00383B4D"/>
    <w:rsid w:val="00384FCC"/>
    <w:rsid w:val="00386987"/>
    <w:rsid w:val="00387591"/>
    <w:rsid w:val="00391315"/>
    <w:rsid w:val="00393677"/>
    <w:rsid w:val="0039393F"/>
    <w:rsid w:val="00393994"/>
    <w:rsid w:val="00394051"/>
    <w:rsid w:val="00395ACC"/>
    <w:rsid w:val="00395DA1"/>
    <w:rsid w:val="003A00F7"/>
    <w:rsid w:val="003A0344"/>
    <w:rsid w:val="003A4F23"/>
    <w:rsid w:val="003B20E1"/>
    <w:rsid w:val="003B392A"/>
    <w:rsid w:val="003B4526"/>
    <w:rsid w:val="003B45BE"/>
    <w:rsid w:val="003B6713"/>
    <w:rsid w:val="003B76B2"/>
    <w:rsid w:val="003C008D"/>
    <w:rsid w:val="003C0AE4"/>
    <w:rsid w:val="003C49B5"/>
    <w:rsid w:val="003C679F"/>
    <w:rsid w:val="003C732F"/>
    <w:rsid w:val="003C7601"/>
    <w:rsid w:val="003C7A40"/>
    <w:rsid w:val="003D140A"/>
    <w:rsid w:val="003D309D"/>
    <w:rsid w:val="003D5F3D"/>
    <w:rsid w:val="003D5FAB"/>
    <w:rsid w:val="003D7C13"/>
    <w:rsid w:val="003E1809"/>
    <w:rsid w:val="003E2D17"/>
    <w:rsid w:val="003E4EFB"/>
    <w:rsid w:val="003E505C"/>
    <w:rsid w:val="003E57A9"/>
    <w:rsid w:val="0040152E"/>
    <w:rsid w:val="0040274B"/>
    <w:rsid w:val="00402DC1"/>
    <w:rsid w:val="00403EC8"/>
    <w:rsid w:val="004076E9"/>
    <w:rsid w:val="004139E5"/>
    <w:rsid w:val="00414004"/>
    <w:rsid w:val="0041447D"/>
    <w:rsid w:val="0041644C"/>
    <w:rsid w:val="00417B63"/>
    <w:rsid w:val="00420A3E"/>
    <w:rsid w:val="00420BE3"/>
    <w:rsid w:val="00423496"/>
    <w:rsid w:val="00423C5C"/>
    <w:rsid w:val="004277E1"/>
    <w:rsid w:val="004322E9"/>
    <w:rsid w:val="004459FA"/>
    <w:rsid w:val="00446CA6"/>
    <w:rsid w:val="00447521"/>
    <w:rsid w:val="00447FA5"/>
    <w:rsid w:val="00451E9A"/>
    <w:rsid w:val="00453AA3"/>
    <w:rsid w:val="004608D9"/>
    <w:rsid w:val="00461A3A"/>
    <w:rsid w:val="00465C58"/>
    <w:rsid w:val="00473378"/>
    <w:rsid w:val="00473C48"/>
    <w:rsid w:val="00476897"/>
    <w:rsid w:val="00490E40"/>
    <w:rsid w:val="00494A32"/>
    <w:rsid w:val="00494EB2"/>
    <w:rsid w:val="0049691B"/>
    <w:rsid w:val="00496F31"/>
    <w:rsid w:val="004970DF"/>
    <w:rsid w:val="004A04E7"/>
    <w:rsid w:val="004A06F9"/>
    <w:rsid w:val="004A2B42"/>
    <w:rsid w:val="004A4167"/>
    <w:rsid w:val="004A449F"/>
    <w:rsid w:val="004A695A"/>
    <w:rsid w:val="004B1BA8"/>
    <w:rsid w:val="004B3379"/>
    <w:rsid w:val="004B698D"/>
    <w:rsid w:val="004C0626"/>
    <w:rsid w:val="004C1485"/>
    <w:rsid w:val="004C23F6"/>
    <w:rsid w:val="004C33B8"/>
    <w:rsid w:val="004C4572"/>
    <w:rsid w:val="004C6BC4"/>
    <w:rsid w:val="004D283C"/>
    <w:rsid w:val="004D4C52"/>
    <w:rsid w:val="004D573D"/>
    <w:rsid w:val="004D7050"/>
    <w:rsid w:val="004D7197"/>
    <w:rsid w:val="004E010B"/>
    <w:rsid w:val="004E2363"/>
    <w:rsid w:val="004F146A"/>
    <w:rsid w:val="004F417D"/>
    <w:rsid w:val="004F6587"/>
    <w:rsid w:val="004F6F1F"/>
    <w:rsid w:val="00507212"/>
    <w:rsid w:val="00510578"/>
    <w:rsid w:val="00513885"/>
    <w:rsid w:val="0052017B"/>
    <w:rsid w:val="005202A5"/>
    <w:rsid w:val="00521F3C"/>
    <w:rsid w:val="005221AC"/>
    <w:rsid w:val="005267BF"/>
    <w:rsid w:val="00527387"/>
    <w:rsid w:val="0052738E"/>
    <w:rsid w:val="00531C04"/>
    <w:rsid w:val="005421C6"/>
    <w:rsid w:val="00544B39"/>
    <w:rsid w:val="00546C98"/>
    <w:rsid w:val="00551B8C"/>
    <w:rsid w:val="0055294F"/>
    <w:rsid w:val="00552B90"/>
    <w:rsid w:val="00557307"/>
    <w:rsid w:val="00563DA5"/>
    <w:rsid w:val="00564D8A"/>
    <w:rsid w:val="00580746"/>
    <w:rsid w:val="005809EE"/>
    <w:rsid w:val="005819D9"/>
    <w:rsid w:val="00581EDE"/>
    <w:rsid w:val="00586051"/>
    <w:rsid w:val="00587369"/>
    <w:rsid w:val="00587DBB"/>
    <w:rsid w:val="00590E7E"/>
    <w:rsid w:val="00591DEE"/>
    <w:rsid w:val="00593F3F"/>
    <w:rsid w:val="0059412E"/>
    <w:rsid w:val="005978D7"/>
    <w:rsid w:val="005A1506"/>
    <w:rsid w:val="005A35B4"/>
    <w:rsid w:val="005A58AF"/>
    <w:rsid w:val="005A5CEA"/>
    <w:rsid w:val="005A6714"/>
    <w:rsid w:val="005B00DE"/>
    <w:rsid w:val="005B03F2"/>
    <w:rsid w:val="005B2979"/>
    <w:rsid w:val="005B2BC0"/>
    <w:rsid w:val="005B304C"/>
    <w:rsid w:val="005B466F"/>
    <w:rsid w:val="005B78D4"/>
    <w:rsid w:val="005C07FE"/>
    <w:rsid w:val="005C0A42"/>
    <w:rsid w:val="005C423A"/>
    <w:rsid w:val="005C56BC"/>
    <w:rsid w:val="005D1F74"/>
    <w:rsid w:val="005D30A0"/>
    <w:rsid w:val="005D487B"/>
    <w:rsid w:val="005D5355"/>
    <w:rsid w:val="005E4AE8"/>
    <w:rsid w:val="005E5CF4"/>
    <w:rsid w:val="005F5D0A"/>
    <w:rsid w:val="005F66D6"/>
    <w:rsid w:val="005F70F2"/>
    <w:rsid w:val="00606C92"/>
    <w:rsid w:val="0060706B"/>
    <w:rsid w:val="00607CD4"/>
    <w:rsid w:val="006100A5"/>
    <w:rsid w:val="00610906"/>
    <w:rsid w:val="00611AB7"/>
    <w:rsid w:val="00612165"/>
    <w:rsid w:val="00612FAE"/>
    <w:rsid w:val="00613175"/>
    <w:rsid w:val="00620EA7"/>
    <w:rsid w:val="00622570"/>
    <w:rsid w:val="006267C5"/>
    <w:rsid w:val="006300CD"/>
    <w:rsid w:val="00630FF8"/>
    <w:rsid w:val="00631F87"/>
    <w:rsid w:val="00634E22"/>
    <w:rsid w:val="00635B41"/>
    <w:rsid w:val="00636484"/>
    <w:rsid w:val="006412F7"/>
    <w:rsid w:val="00641E4D"/>
    <w:rsid w:val="006460AD"/>
    <w:rsid w:val="006540B5"/>
    <w:rsid w:val="0065614F"/>
    <w:rsid w:val="00656F06"/>
    <w:rsid w:val="006615F8"/>
    <w:rsid w:val="006638BD"/>
    <w:rsid w:val="006644DF"/>
    <w:rsid w:val="0067205A"/>
    <w:rsid w:val="006721E6"/>
    <w:rsid w:val="00674AC9"/>
    <w:rsid w:val="00676AF5"/>
    <w:rsid w:val="00682629"/>
    <w:rsid w:val="0068480D"/>
    <w:rsid w:val="0069000C"/>
    <w:rsid w:val="006917C4"/>
    <w:rsid w:val="00691CA4"/>
    <w:rsid w:val="006924B8"/>
    <w:rsid w:val="006953CD"/>
    <w:rsid w:val="00695E32"/>
    <w:rsid w:val="00696D86"/>
    <w:rsid w:val="006A0468"/>
    <w:rsid w:val="006A1D5B"/>
    <w:rsid w:val="006A4330"/>
    <w:rsid w:val="006A44A6"/>
    <w:rsid w:val="006A47D4"/>
    <w:rsid w:val="006A5C22"/>
    <w:rsid w:val="006A5E31"/>
    <w:rsid w:val="006A77EE"/>
    <w:rsid w:val="006B15E4"/>
    <w:rsid w:val="006B1E22"/>
    <w:rsid w:val="006B1FD2"/>
    <w:rsid w:val="006B2C64"/>
    <w:rsid w:val="006B5AB5"/>
    <w:rsid w:val="006B74F8"/>
    <w:rsid w:val="006C4859"/>
    <w:rsid w:val="006C6D78"/>
    <w:rsid w:val="006D06BD"/>
    <w:rsid w:val="006D3023"/>
    <w:rsid w:val="006D45C8"/>
    <w:rsid w:val="006D5811"/>
    <w:rsid w:val="006D5F5E"/>
    <w:rsid w:val="006E2999"/>
    <w:rsid w:val="006E3CF5"/>
    <w:rsid w:val="006E578D"/>
    <w:rsid w:val="006F10E1"/>
    <w:rsid w:val="006F1A64"/>
    <w:rsid w:val="006F431E"/>
    <w:rsid w:val="006F5DFE"/>
    <w:rsid w:val="006F5E96"/>
    <w:rsid w:val="006F7552"/>
    <w:rsid w:val="00700E02"/>
    <w:rsid w:val="00701A6B"/>
    <w:rsid w:val="00701E14"/>
    <w:rsid w:val="00706EF2"/>
    <w:rsid w:val="00707EDB"/>
    <w:rsid w:val="0071010C"/>
    <w:rsid w:val="00710662"/>
    <w:rsid w:val="00710B52"/>
    <w:rsid w:val="00710C8D"/>
    <w:rsid w:val="007114C2"/>
    <w:rsid w:val="00711B13"/>
    <w:rsid w:val="00713340"/>
    <w:rsid w:val="007157E1"/>
    <w:rsid w:val="00721381"/>
    <w:rsid w:val="00722B27"/>
    <w:rsid w:val="00725116"/>
    <w:rsid w:val="00725C5F"/>
    <w:rsid w:val="007271F7"/>
    <w:rsid w:val="00727B81"/>
    <w:rsid w:val="00731A71"/>
    <w:rsid w:val="00732A29"/>
    <w:rsid w:val="00732EFE"/>
    <w:rsid w:val="00740852"/>
    <w:rsid w:val="007412E2"/>
    <w:rsid w:val="00741A79"/>
    <w:rsid w:val="00742C88"/>
    <w:rsid w:val="00743681"/>
    <w:rsid w:val="00746355"/>
    <w:rsid w:val="0075118D"/>
    <w:rsid w:val="00751867"/>
    <w:rsid w:val="00751E31"/>
    <w:rsid w:val="00754551"/>
    <w:rsid w:val="007644D3"/>
    <w:rsid w:val="00766629"/>
    <w:rsid w:val="00766749"/>
    <w:rsid w:val="00770CFD"/>
    <w:rsid w:val="00774A8F"/>
    <w:rsid w:val="0077653D"/>
    <w:rsid w:val="00783E20"/>
    <w:rsid w:val="0078462F"/>
    <w:rsid w:val="00786203"/>
    <w:rsid w:val="007879A4"/>
    <w:rsid w:val="0079013B"/>
    <w:rsid w:val="0079276D"/>
    <w:rsid w:val="00792BBF"/>
    <w:rsid w:val="00793E00"/>
    <w:rsid w:val="00794EF8"/>
    <w:rsid w:val="00795EB4"/>
    <w:rsid w:val="007A119F"/>
    <w:rsid w:val="007A2CE2"/>
    <w:rsid w:val="007A521F"/>
    <w:rsid w:val="007A7764"/>
    <w:rsid w:val="007B0660"/>
    <w:rsid w:val="007B0BB8"/>
    <w:rsid w:val="007B1958"/>
    <w:rsid w:val="007B28CE"/>
    <w:rsid w:val="007B361A"/>
    <w:rsid w:val="007B4A39"/>
    <w:rsid w:val="007B7E07"/>
    <w:rsid w:val="007C1512"/>
    <w:rsid w:val="007C1EC3"/>
    <w:rsid w:val="007C23F4"/>
    <w:rsid w:val="007C4B09"/>
    <w:rsid w:val="007C7ABC"/>
    <w:rsid w:val="007D05FE"/>
    <w:rsid w:val="007D3259"/>
    <w:rsid w:val="007D3AA0"/>
    <w:rsid w:val="007E3193"/>
    <w:rsid w:val="007E5A4B"/>
    <w:rsid w:val="007E6AC3"/>
    <w:rsid w:val="007F11DB"/>
    <w:rsid w:val="007F14D9"/>
    <w:rsid w:val="007F21B4"/>
    <w:rsid w:val="007F2B04"/>
    <w:rsid w:val="007F3E31"/>
    <w:rsid w:val="007F6C4E"/>
    <w:rsid w:val="007F7670"/>
    <w:rsid w:val="0080077F"/>
    <w:rsid w:val="00801FE1"/>
    <w:rsid w:val="00806076"/>
    <w:rsid w:val="0081199C"/>
    <w:rsid w:val="008125D7"/>
    <w:rsid w:val="008139FC"/>
    <w:rsid w:val="00815440"/>
    <w:rsid w:val="0081690C"/>
    <w:rsid w:val="0082018C"/>
    <w:rsid w:val="00825F6A"/>
    <w:rsid w:val="0083291A"/>
    <w:rsid w:val="00833B62"/>
    <w:rsid w:val="00833E45"/>
    <w:rsid w:val="00834B7A"/>
    <w:rsid w:val="00834FFA"/>
    <w:rsid w:val="00836502"/>
    <w:rsid w:val="00847ADE"/>
    <w:rsid w:val="00850AD4"/>
    <w:rsid w:val="00851194"/>
    <w:rsid w:val="0085478D"/>
    <w:rsid w:val="008566C3"/>
    <w:rsid w:val="0086033F"/>
    <w:rsid w:val="00860BBD"/>
    <w:rsid w:val="00861636"/>
    <w:rsid w:val="00870A28"/>
    <w:rsid w:val="008737AC"/>
    <w:rsid w:val="0087427A"/>
    <w:rsid w:val="0087431D"/>
    <w:rsid w:val="0087528A"/>
    <w:rsid w:val="00880000"/>
    <w:rsid w:val="008800F1"/>
    <w:rsid w:val="00882943"/>
    <w:rsid w:val="0088415A"/>
    <w:rsid w:val="0088512D"/>
    <w:rsid w:val="00887AAE"/>
    <w:rsid w:val="00890E65"/>
    <w:rsid w:val="00894A11"/>
    <w:rsid w:val="00897839"/>
    <w:rsid w:val="008A0AF3"/>
    <w:rsid w:val="008A1F88"/>
    <w:rsid w:val="008A2F7A"/>
    <w:rsid w:val="008A38A5"/>
    <w:rsid w:val="008A429D"/>
    <w:rsid w:val="008A4897"/>
    <w:rsid w:val="008A77ED"/>
    <w:rsid w:val="008B3EB7"/>
    <w:rsid w:val="008B43D1"/>
    <w:rsid w:val="008C0360"/>
    <w:rsid w:val="008C17EA"/>
    <w:rsid w:val="008C30F9"/>
    <w:rsid w:val="008C31CB"/>
    <w:rsid w:val="008C6F0B"/>
    <w:rsid w:val="008D120B"/>
    <w:rsid w:val="008D3702"/>
    <w:rsid w:val="008D3A19"/>
    <w:rsid w:val="008D3EF2"/>
    <w:rsid w:val="008D4E0E"/>
    <w:rsid w:val="008D4FA4"/>
    <w:rsid w:val="008E4039"/>
    <w:rsid w:val="008E5A2E"/>
    <w:rsid w:val="008E6454"/>
    <w:rsid w:val="008E7C7D"/>
    <w:rsid w:val="008E7EA8"/>
    <w:rsid w:val="008F3274"/>
    <w:rsid w:val="008F5C4A"/>
    <w:rsid w:val="008F5C92"/>
    <w:rsid w:val="008F7421"/>
    <w:rsid w:val="00902187"/>
    <w:rsid w:val="009063CD"/>
    <w:rsid w:val="0091000D"/>
    <w:rsid w:val="00910309"/>
    <w:rsid w:val="00910A1B"/>
    <w:rsid w:val="00910F00"/>
    <w:rsid w:val="00912C76"/>
    <w:rsid w:val="0091594C"/>
    <w:rsid w:val="0091692A"/>
    <w:rsid w:val="009175D7"/>
    <w:rsid w:val="009217C7"/>
    <w:rsid w:val="00925C9B"/>
    <w:rsid w:val="0092687D"/>
    <w:rsid w:val="00930990"/>
    <w:rsid w:val="00931562"/>
    <w:rsid w:val="00933962"/>
    <w:rsid w:val="00937AA3"/>
    <w:rsid w:val="009400E5"/>
    <w:rsid w:val="009516D6"/>
    <w:rsid w:val="009534BA"/>
    <w:rsid w:val="009536BD"/>
    <w:rsid w:val="00955DF9"/>
    <w:rsid w:val="00956DA9"/>
    <w:rsid w:val="009601B3"/>
    <w:rsid w:val="00961ADD"/>
    <w:rsid w:val="009644DC"/>
    <w:rsid w:val="00971014"/>
    <w:rsid w:val="00971DA9"/>
    <w:rsid w:val="009721FB"/>
    <w:rsid w:val="00973010"/>
    <w:rsid w:val="00974352"/>
    <w:rsid w:val="00977D6D"/>
    <w:rsid w:val="009806ED"/>
    <w:rsid w:val="00980EAD"/>
    <w:rsid w:val="0098179A"/>
    <w:rsid w:val="00981B1B"/>
    <w:rsid w:val="009829FC"/>
    <w:rsid w:val="00982F37"/>
    <w:rsid w:val="00983A58"/>
    <w:rsid w:val="009871FF"/>
    <w:rsid w:val="00991910"/>
    <w:rsid w:val="00993C19"/>
    <w:rsid w:val="0099618E"/>
    <w:rsid w:val="00997184"/>
    <w:rsid w:val="009977B2"/>
    <w:rsid w:val="009A0132"/>
    <w:rsid w:val="009A52A2"/>
    <w:rsid w:val="009A5700"/>
    <w:rsid w:val="009A6BDA"/>
    <w:rsid w:val="009B016C"/>
    <w:rsid w:val="009B05F3"/>
    <w:rsid w:val="009B0F30"/>
    <w:rsid w:val="009B3294"/>
    <w:rsid w:val="009B3BC2"/>
    <w:rsid w:val="009B5036"/>
    <w:rsid w:val="009B743D"/>
    <w:rsid w:val="009B7943"/>
    <w:rsid w:val="009C2BE3"/>
    <w:rsid w:val="009C2C8F"/>
    <w:rsid w:val="009C374D"/>
    <w:rsid w:val="009C3A31"/>
    <w:rsid w:val="009C62DC"/>
    <w:rsid w:val="009C62FA"/>
    <w:rsid w:val="009C7B0A"/>
    <w:rsid w:val="009D0D67"/>
    <w:rsid w:val="009D1D43"/>
    <w:rsid w:val="009D1EED"/>
    <w:rsid w:val="009D2AB3"/>
    <w:rsid w:val="009D38E2"/>
    <w:rsid w:val="009D4264"/>
    <w:rsid w:val="009D46E9"/>
    <w:rsid w:val="009E0CBB"/>
    <w:rsid w:val="009E0EF8"/>
    <w:rsid w:val="009E2D4C"/>
    <w:rsid w:val="009E4EFA"/>
    <w:rsid w:val="009F1A70"/>
    <w:rsid w:val="009F1DC7"/>
    <w:rsid w:val="009F2EA6"/>
    <w:rsid w:val="009F6043"/>
    <w:rsid w:val="009F63D4"/>
    <w:rsid w:val="00A033E6"/>
    <w:rsid w:val="00A044F9"/>
    <w:rsid w:val="00A064A4"/>
    <w:rsid w:val="00A07908"/>
    <w:rsid w:val="00A10903"/>
    <w:rsid w:val="00A119F8"/>
    <w:rsid w:val="00A157D5"/>
    <w:rsid w:val="00A20A16"/>
    <w:rsid w:val="00A212C6"/>
    <w:rsid w:val="00A22727"/>
    <w:rsid w:val="00A24426"/>
    <w:rsid w:val="00A310D5"/>
    <w:rsid w:val="00A31AE3"/>
    <w:rsid w:val="00A368C0"/>
    <w:rsid w:val="00A369FC"/>
    <w:rsid w:val="00A36BC4"/>
    <w:rsid w:val="00A377BE"/>
    <w:rsid w:val="00A41032"/>
    <w:rsid w:val="00A438B3"/>
    <w:rsid w:val="00A44A40"/>
    <w:rsid w:val="00A46B3D"/>
    <w:rsid w:val="00A46C0E"/>
    <w:rsid w:val="00A5058F"/>
    <w:rsid w:val="00A53B8C"/>
    <w:rsid w:val="00A5718C"/>
    <w:rsid w:val="00A63DDF"/>
    <w:rsid w:val="00A7197C"/>
    <w:rsid w:val="00A7217F"/>
    <w:rsid w:val="00A728D7"/>
    <w:rsid w:val="00A728E4"/>
    <w:rsid w:val="00A72E09"/>
    <w:rsid w:val="00A756B3"/>
    <w:rsid w:val="00A75E58"/>
    <w:rsid w:val="00A80E65"/>
    <w:rsid w:val="00A82AA7"/>
    <w:rsid w:val="00A8547C"/>
    <w:rsid w:val="00A85758"/>
    <w:rsid w:val="00A863EB"/>
    <w:rsid w:val="00A9142A"/>
    <w:rsid w:val="00A91AC5"/>
    <w:rsid w:val="00A92213"/>
    <w:rsid w:val="00A92237"/>
    <w:rsid w:val="00A9412E"/>
    <w:rsid w:val="00A94463"/>
    <w:rsid w:val="00A95286"/>
    <w:rsid w:val="00A95C5A"/>
    <w:rsid w:val="00A962F7"/>
    <w:rsid w:val="00AA2B8A"/>
    <w:rsid w:val="00AA500A"/>
    <w:rsid w:val="00AB0680"/>
    <w:rsid w:val="00AB1AE5"/>
    <w:rsid w:val="00AB3E86"/>
    <w:rsid w:val="00AB584D"/>
    <w:rsid w:val="00AB6C48"/>
    <w:rsid w:val="00AC3952"/>
    <w:rsid w:val="00AC4B90"/>
    <w:rsid w:val="00AC4C71"/>
    <w:rsid w:val="00AC624A"/>
    <w:rsid w:val="00AD0686"/>
    <w:rsid w:val="00AD248C"/>
    <w:rsid w:val="00AD2D0F"/>
    <w:rsid w:val="00AD36C4"/>
    <w:rsid w:val="00AD5C70"/>
    <w:rsid w:val="00AD7791"/>
    <w:rsid w:val="00AD7AE7"/>
    <w:rsid w:val="00AE03CB"/>
    <w:rsid w:val="00AE0A74"/>
    <w:rsid w:val="00AE24C4"/>
    <w:rsid w:val="00AE2F2C"/>
    <w:rsid w:val="00AF0F57"/>
    <w:rsid w:val="00AF1843"/>
    <w:rsid w:val="00AF3B2C"/>
    <w:rsid w:val="00AF464D"/>
    <w:rsid w:val="00AF4CEB"/>
    <w:rsid w:val="00B0068B"/>
    <w:rsid w:val="00B00DF8"/>
    <w:rsid w:val="00B02786"/>
    <w:rsid w:val="00B05CB0"/>
    <w:rsid w:val="00B066A8"/>
    <w:rsid w:val="00B114BB"/>
    <w:rsid w:val="00B11B53"/>
    <w:rsid w:val="00B12C57"/>
    <w:rsid w:val="00B13160"/>
    <w:rsid w:val="00B156BE"/>
    <w:rsid w:val="00B17C67"/>
    <w:rsid w:val="00B17DF2"/>
    <w:rsid w:val="00B229A2"/>
    <w:rsid w:val="00B23F3D"/>
    <w:rsid w:val="00B302C8"/>
    <w:rsid w:val="00B31BD0"/>
    <w:rsid w:val="00B3427F"/>
    <w:rsid w:val="00B346A3"/>
    <w:rsid w:val="00B374FF"/>
    <w:rsid w:val="00B414D3"/>
    <w:rsid w:val="00B44516"/>
    <w:rsid w:val="00B465C9"/>
    <w:rsid w:val="00B47453"/>
    <w:rsid w:val="00B50569"/>
    <w:rsid w:val="00B51443"/>
    <w:rsid w:val="00B51978"/>
    <w:rsid w:val="00B51A9D"/>
    <w:rsid w:val="00B53C01"/>
    <w:rsid w:val="00B56CB5"/>
    <w:rsid w:val="00B611DE"/>
    <w:rsid w:val="00B65EB2"/>
    <w:rsid w:val="00B66532"/>
    <w:rsid w:val="00B66F54"/>
    <w:rsid w:val="00B6710C"/>
    <w:rsid w:val="00B7075A"/>
    <w:rsid w:val="00B71017"/>
    <w:rsid w:val="00B724F2"/>
    <w:rsid w:val="00B735A2"/>
    <w:rsid w:val="00B738D6"/>
    <w:rsid w:val="00B769BB"/>
    <w:rsid w:val="00B77B2D"/>
    <w:rsid w:val="00B80294"/>
    <w:rsid w:val="00B805EC"/>
    <w:rsid w:val="00B8062C"/>
    <w:rsid w:val="00B81E4D"/>
    <w:rsid w:val="00B83E21"/>
    <w:rsid w:val="00B8687F"/>
    <w:rsid w:val="00B86D8C"/>
    <w:rsid w:val="00B910EB"/>
    <w:rsid w:val="00B97546"/>
    <w:rsid w:val="00BA0B2D"/>
    <w:rsid w:val="00BA0E39"/>
    <w:rsid w:val="00BA2B62"/>
    <w:rsid w:val="00BA3DB8"/>
    <w:rsid w:val="00BA689D"/>
    <w:rsid w:val="00BB18F1"/>
    <w:rsid w:val="00BB2181"/>
    <w:rsid w:val="00BB3ECC"/>
    <w:rsid w:val="00BB5B79"/>
    <w:rsid w:val="00BB608B"/>
    <w:rsid w:val="00BC000B"/>
    <w:rsid w:val="00BC0D31"/>
    <w:rsid w:val="00BC342C"/>
    <w:rsid w:val="00BC6D5D"/>
    <w:rsid w:val="00BD1D8C"/>
    <w:rsid w:val="00BD29BA"/>
    <w:rsid w:val="00BD2CDD"/>
    <w:rsid w:val="00BD4AC4"/>
    <w:rsid w:val="00BD4FCB"/>
    <w:rsid w:val="00BD513F"/>
    <w:rsid w:val="00BD584B"/>
    <w:rsid w:val="00BD737E"/>
    <w:rsid w:val="00BE06FF"/>
    <w:rsid w:val="00BE2BD3"/>
    <w:rsid w:val="00BE445B"/>
    <w:rsid w:val="00BE6765"/>
    <w:rsid w:val="00BF1A59"/>
    <w:rsid w:val="00BF344F"/>
    <w:rsid w:val="00C016AB"/>
    <w:rsid w:val="00C033B1"/>
    <w:rsid w:val="00C03EF4"/>
    <w:rsid w:val="00C05E6C"/>
    <w:rsid w:val="00C06EB1"/>
    <w:rsid w:val="00C11831"/>
    <w:rsid w:val="00C1321A"/>
    <w:rsid w:val="00C156E2"/>
    <w:rsid w:val="00C1696A"/>
    <w:rsid w:val="00C20723"/>
    <w:rsid w:val="00C20E86"/>
    <w:rsid w:val="00C21CEE"/>
    <w:rsid w:val="00C2633E"/>
    <w:rsid w:val="00C271CA"/>
    <w:rsid w:val="00C27AE0"/>
    <w:rsid w:val="00C30260"/>
    <w:rsid w:val="00C30474"/>
    <w:rsid w:val="00C31C27"/>
    <w:rsid w:val="00C33EDB"/>
    <w:rsid w:val="00C34E15"/>
    <w:rsid w:val="00C362A7"/>
    <w:rsid w:val="00C3635C"/>
    <w:rsid w:val="00C36DBD"/>
    <w:rsid w:val="00C37E36"/>
    <w:rsid w:val="00C37E42"/>
    <w:rsid w:val="00C42091"/>
    <w:rsid w:val="00C453A4"/>
    <w:rsid w:val="00C45DC4"/>
    <w:rsid w:val="00C51887"/>
    <w:rsid w:val="00C532E2"/>
    <w:rsid w:val="00C53767"/>
    <w:rsid w:val="00C62926"/>
    <w:rsid w:val="00C67A96"/>
    <w:rsid w:val="00C70800"/>
    <w:rsid w:val="00C709D8"/>
    <w:rsid w:val="00C72090"/>
    <w:rsid w:val="00C73730"/>
    <w:rsid w:val="00C76FC3"/>
    <w:rsid w:val="00C8162D"/>
    <w:rsid w:val="00C81871"/>
    <w:rsid w:val="00C81C61"/>
    <w:rsid w:val="00C82627"/>
    <w:rsid w:val="00C84077"/>
    <w:rsid w:val="00C847C1"/>
    <w:rsid w:val="00C85C21"/>
    <w:rsid w:val="00C85FFF"/>
    <w:rsid w:val="00C905C5"/>
    <w:rsid w:val="00C90F30"/>
    <w:rsid w:val="00C90FAD"/>
    <w:rsid w:val="00C920E8"/>
    <w:rsid w:val="00C92372"/>
    <w:rsid w:val="00C92BB6"/>
    <w:rsid w:val="00C95043"/>
    <w:rsid w:val="00C950EB"/>
    <w:rsid w:val="00C955A3"/>
    <w:rsid w:val="00C965EA"/>
    <w:rsid w:val="00C9727D"/>
    <w:rsid w:val="00C97680"/>
    <w:rsid w:val="00C97D6D"/>
    <w:rsid w:val="00CA122E"/>
    <w:rsid w:val="00CA2FD1"/>
    <w:rsid w:val="00CA4A94"/>
    <w:rsid w:val="00CA6564"/>
    <w:rsid w:val="00CA6A5D"/>
    <w:rsid w:val="00CA7550"/>
    <w:rsid w:val="00CB0594"/>
    <w:rsid w:val="00CB243A"/>
    <w:rsid w:val="00CB2744"/>
    <w:rsid w:val="00CB2C79"/>
    <w:rsid w:val="00CB50D6"/>
    <w:rsid w:val="00CB6672"/>
    <w:rsid w:val="00CC4B01"/>
    <w:rsid w:val="00CC5DC3"/>
    <w:rsid w:val="00CC7B94"/>
    <w:rsid w:val="00CD3E7D"/>
    <w:rsid w:val="00CD4CB7"/>
    <w:rsid w:val="00CD56F8"/>
    <w:rsid w:val="00CD7B70"/>
    <w:rsid w:val="00CE0400"/>
    <w:rsid w:val="00CE0D8F"/>
    <w:rsid w:val="00CE1060"/>
    <w:rsid w:val="00CE228D"/>
    <w:rsid w:val="00CE54ED"/>
    <w:rsid w:val="00CE62CD"/>
    <w:rsid w:val="00CF4343"/>
    <w:rsid w:val="00CF456A"/>
    <w:rsid w:val="00CF5608"/>
    <w:rsid w:val="00D00578"/>
    <w:rsid w:val="00D00DD9"/>
    <w:rsid w:val="00D02498"/>
    <w:rsid w:val="00D04A49"/>
    <w:rsid w:val="00D05AD7"/>
    <w:rsid w:val="00D13DD1"/>
    <w:rsid w:val="00D16FD2"/>
    <w:rsid w:val="00D17DCE"/>
    <w:rsid w:val="00D238AE"/>
    <w:rsid w:val="00D24635"/>
    <w:rsid w:val="00D24F16"/>
    <w:rsid w:val="00D25BAA"/>
    <w:rsid w:val="00D260A2"/>
    <w:rsid w:val="00D30A70"/>
    <w:rsid w:val="00D31012"/>
    <w:rsid w:val="00D33893"/>
    <w:rsid w:val="00D358D8"/>
    <w:rsid w:val="00D362DA"/>
    <w:rsid w:val="00D42A99"/>
    <w:rsid w:val="00D460C3"/>
    <w:rsid w:val="00D50FD0"/>
    <w:rsid w:val="00D52819"/>
    <w:rsid w:val="00D55376"/>
    <w:rsid w:val="00D55CCD"/>
    <w:rsid w:val="00D5713E"/>
    <w:rsid w:val="00D62583"/>
    <w:rsid w:val="00D625AF"/>
    <w:rsid w:val="00D6302B"/>
    <w:rsid w:val="00D63588"/>
    <w:rsid w:val="00D6391E"/>
    <w:rsid w:val="00D7027E"/>
    <w:rsid w:val="00D71BA1"/>
    <w:rsid w:val="00D72654"/>
    <w:rsid w:val="00D73077"/>
    <w:rsid w:val="00D73842"/>
    <w:rsid w:val="00D73856"/>
    <w:rsid w:val="00D77A8C"/>
    <w:rsid w:val="00D80FF5"/>
    <w:rsid w:val="00D836EA"/>
    <w:rsid w:val="00D84340"/>
    <w:rsid w:val="00D860B3"/>
    <w:rsid w:val="00D8783F"/>
    <w:rsid w:val="00D943F3"/>
    <w:rsid w:val="00D951FB"/>
    <w:rsid w:val="00DA188A"/>
    <w:rsid w:val="00DA4DB1"/>
    <w:rsid w:val="00DA7E88"/>
    <w:rsid w:val="00DB230B"/>
    <w:rsid w:val="00DB58D1"/>
    <w:rsid w:val="00DB5A75"/>
    <w:rsid w:val="00DC569F"/>
    <w:rsid w:val="00DC5806"/>
    <w:rsid w:val="00DC7C07"/>
    <w:rsid w:val="00DD0A41"/>
    <w:rsid w:val="00DD4648"/>
    <w:rsid w:val="00DD56BC"/>
    <w:rsid w:val="00DD6FCF"/>
    <w:rsid w:val="00DD6FE1"/>
    <w:rsid w:val="00DE5404"/>
    <w:rsid w:val="00DE7186"/>
    <w:rsid w:val="00DF3254"/>
    <w:rsid w:val="00E007B5"/>
    <w:rsid w:val="00E030CC"/>
    <w:rsid w:val="00E10096"/>
    <w:rsid w:val="00E13E50"/>
    <w:rsid w:val="00E14FED"/>
    <w:rsid w:val="00E16E11"/>
    <w:rsid w:val="00E175D9"/>
    <w:rsid w:val="00E177C4"/>
    <w:rsid w:val="00E206AB"/>
    <w:rsid w:val="00E207D5"/>
    <w:rsid w:val="00E21819"/>
    <w:rsid w:val="00E22803"/>
    <w:rsid w:val="00E262B0"/>
    <w:rsid w:val="00E266D9"/>
    <w:rsid w:val="00E2795E"/>
    <w:rsid w:val="00E35D02"/>
    <w:rsid w:val="00E35DDE"/>
    <w:rsid w:val="00E400B4"/>
    <w:rsid w:val="00E40662"/>
    <w:rsid w:val="00E40CE2"/>
    <w:rsid w:val="00E4355F"/>
    <w:rsid w:val="00E4423A"/>
    <w:rsid w:val="00E44B75"/>
    <w:rsid w:val="00E45697"/>
    <w:rsid w:val="00E466F0"/>
    <w:rsid w:val="00E522E1"/>
    <w:rsid w:val="00E523F2"/>
    <w:rsid w:val="00E54310"/>
    <w:rsid w:val="00E553FD"/>
    <w:rsid w:val="00E56566"/>
    <w:rsid w:val="00E6157A"/>
    <w:rsid w:val="00E62036"/>
    <w:rsid w:val="00E63B33"/>
    <w:rsid w:val="00E64A63"/>
    <w:rsid w:val="00E65CE0"/>
    <w:rsid w:val="00E662AD"/>
    <w:rsid w:val="00E723CD"/>
    <w:rsid w:val="00E72C09"/>
    <w:rsid w:val="00E7403F"/>
    <w:rsid w:val="00E7514F"/>
    <w:rsid w:val="00E8006C"/>
    <w:rsid w:val="00E80299"/>
    <w:rsid w:val="00E809AA"/>
    <w:rsid w:val="00E80B99"/>
    <w:rsid w:val="00E80DB1"/>
    <w:rsid w:val="00E81E63"/>
    <w:rsid w:val="00E93A31"/>
    <w:rsid w:val="00E94E93"/>
    <w:rsid w:val="00EA0E3E"/>
    <w:rsid w:val="00EA11B7"/>
    <w:rsid w:val="00EA1A27"/>
    <w:rsid w:val="00EA21EB"/>
    <w:rsid w:val="00EA4B6F"/>
    <w:rsid w:val="00EB00CB"/>
    <w:rsid w:val="00EB1CA6"/>
    <w:rsid w:val="00EB5E6D"/>
    <w:rsid w:val="00EB7661"/>
    <w:rsid w:val="00EC0032"/>
    <w:rsid w:val="00EC14B5"/>
    <w:rsid w:val="00EC4292"/>
    <w:rsid w:val="00EC58CC"/>
    <w:rsid w:val="00EC5C16"/>
    <w:rsid w:val="00EC71FA"/>
    <w:rsid w:val="00EC7A9F"/>
    <w:rsid w:val="00ED0C54"/>
    <w:rsid w:val="00ED0F7F"/>
    <w:rsid w:val="00ED2C4C"/>
    <w:rsid w:val="00ED4024"/>
    <w:rsid w:val="00EE243C"/>
    <w:rsid w:val="00EE645C"/>
    <w:rsid w:val="00EE6EDA"/>
    <w:rsid w:val="00EE7F0F"/>
    <w:rsid w:val="00EF109D"/>
    <w:rsid w:val="00EF57C8"/>
    <w:rsid w:val="00F036C9"/>
    <w:rsid w:val="00F0405F"/>
    <w:rsid w:val="00F05DE1"/>
    <w:rsid w:val="00F062B0"/>
    <w:rsid w:val="00F065F6"/>
    <w:rsid w:val="00F06D63"/>
    <w:rsid w:val="00F070A5"/>
    <w:rsid w:val="00F0771B"/>
    <w:rsid w:val="00F10743"/>
    <w:rsid w:val="00F11AE0"/>
    <w:rsid w:val="00F11DE9"/>
    <w:rsid w:val="00F15A45"/>
    <w:rsid w:val="00F244BC"/>
    <w:rsid w:val="00F24999"/>
    <w:rsid w:val="00F25A46"/>
    <w:rsid w:val="00F25E29"/>
    <w:rsid w:val="00F262D3"/>
    <w:rsid w:val="00F272E8"/>
    <w:rsid w:val="00F278E0"/>
    <w:rsid w:val="00F30EF6"/>
    <w:rsid w:val="00F31B58"/>
    <w:rsid w:val="00F32878"/>
    <w:rsid w:val="00F337D6"/>
    <w:rsid w:val="00F42302"/>
    <w:rsid w:val="00F42BC1"/>
    <w:rsid w:val="00F513D8"/>
    <w:rsid w:val="00F522A8"/>
    <w:rsid w:val="00F52DA7"/>
    <w:rsid w:val="00F54951"/>
    <w:rsid w:val="00F54FDC"/>
    <w:rsid w:val="00F6049F"/>
    <w:rsid w:val="00F62689"/>
    <w:rsid w:val="00F62F5B"/>
    <w:rsid w:val="00F63286"/>
    <w:rsid w:val="00F63AFB"/>
    <w:rsid w:val="00F677A4"/>
    <w:rsid w:val="00F677B4"/>
    <w:rsid w:val="00F67B36"/>
    <w:rsid w:val="00F67F6E"/>
    <w:rsid w:val="00F72B67"/>
    <w:rsid w:val="00F73E7B"/>
    <w:rsid w:val="00F8009B"/>
    <w:rsid w:val="00F80B29"/>
    <w:rsid w:val="00F815D6"/>
    <w:rsid w:val="00F8298B"/>
    <w:rsid w:val="00F84BBE"/>
    <w:rsid w:val="00F85148"/>
    <w:rsid w:val="00F91370"/>
    <w:rsid w:val="00F92570"/>
    <w:rsid w:val="00F926C0"/>
    <w:rsid w:val="00F93AEF"/>
    <w:rsid w:val="00F94FB7"/>
    <w:rsid w:val="00FA17A6"/>
    <w:rsid w:val="00FA39D4"/>
    <w:rsid w:val="00FA6B32"/>
    <w:rsid w:val="00FB2610"/>
    <w:rsid w:val="00FB6C93"/>
    <w:rsid w:val="00FC0734"/>
    <w:rsid w:val="00FC5F15"/>
    <w:rsid w:val="00FD05DC"/>
    <w:rsid w:val="00FD0FA2"/>
    <w:rsid w:val="00FD4CCC"/>
    <w:rsid w:val="00FD6A93"/>
    <w:rsid w:val="00FE16BC"/>
    <w:rsid w:val="00FE19E8"/>
    <w:rsid w:val="00FE2C24"/>
    <w:rsid w:val="00FE388D"/>
    <w:rsid w:val="00FE5C61"/>
    <w:rsid w:val="00FE5EF4"/>
    <w:rsid w:val="00FF5D1A"/>
    <w:rsid w:val="00FF7F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2CE35B"/>
  <w15:docId w15:val="{BD8F3E8D-3266-456B-940A-79E4F785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738E"/>
    <w:rPr>
      <w:sz w:val="24"/>
      <w:szCs w:val="24"/>
    </w:rPr>
  </w:style>
  <w:style w:type="paragraph" w:styleId="Heading1">
    <w:name w:val="heading 1"/>
    <w:basedOn w:val="Normal"/>
    <w:next w:val="Normal"/>
    <w:qFormat/>
    <w:rsid w:val="0052738E"/>
    <w:pPr>
      <w:keepNext/>
      <w:outlineLvl w:val="0"/>
    </w:pPr>
    <w:rPr>
      <w:b/>
      <w:bCs/>
    </w:rPr>
  </w:style>
  <w:style w:type="paragraph" w:styleId="Heading2">
    <w:name w:val="heading 2"/>
    <w:basedOn w:val="Normal"/>
    <w:next w:val="Normal"/>
    <w:qFormat/>
    <w:rsid w:val="0052738E"/>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rsid w:val="0052738E"/>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FA17A6"/>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uiPriority w:val="39"/>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uiPriority w:val="99"/>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 w:type="paragraph" w:styleId="ListParagraph">
    <w:name w:val="List Paragraph"/>
    <w:basedOn w:val="Normal"/>
    <w:uiPriority w:val="34"/>
    <w:qFormat/>
    <w:rsid w:val="004A06F9"/>
    <w:pPr>
      <w:ind w:left="720"/>
      <w:contextualSpacing/>
    </w:pPr>
  </w:style>
  <w:style w:type="character" w:styleId="Hyperlink">
    <w:name w:val="Hyperlink"/>
    <w:rsid w:val="00476897"/>
    <w:rPr>
      <w:color w:val="0000FF"/>
      <w:u w:val="single"/>
    </w:rPr>
  </w:style>
  <w:style w:type="character" w:customStyle="1" w:styleId="UnresolvedMention1">
    <w:name w:val="Unresolved Mention1"/>
    <w:basedOn w:val="DefaultParagraphFont"/>
    <w:uiPriority w:val="99"/>
    <w:semiHidden/>
    <w:unhideWhenUsed/>
    <w:rsid w:val="00476897"/>
    <w:rPr>
      <w:color w:val="808080"/>
      <w:shd w:val="clear" w:color="auto" w:fill="E6E6E6"/>
    </w:rPr>
  </w:style>
  <w:style w:type="character" w:styleId="FollowedHyperlink">
    <w:name w:val="FollowedHyperlink"/>
    <w:basedOn w:val="DefaultParagraphFont"/>
    <w:semiHidden/>
    <w:unhideWhenUsed/>
    <w:rsid w:val="00476897"/>
    <w:rPr>
      <w:color w:val="800080" w:themeColor="followedHyperlink"/>
      <w:u w:val="single"/>
    </w:rPr>
  </w:style>
  <w:style w:type="character" w:styleId="UnresolvedMention">
    <w:name w:val="Unresolved Mention"/>
    <w:basedOn w:val="DefaultParagraphFont"/>
    <w:uiPriority w:val="99"/>
    <w:semiHidden/>
    <w:unhideWhenUsed/>
    <w:rsid w:val="00B3427F"/>
    <w:rPr>
      <w:color w:val="605E5C"/>
      <w:shd w:val="clear" w:color="auto" w:fill="E1DFDD"/>
    </w:rPr>
  </w:style>
  <w:style w:type="paragraph" w:styleId="Revision">
    <w:name w:val="Revision"/>
    <w:hidden/>
    <w:uiPriority w:val="99"/>
    <w:semiHidden/>
    <w:rsid w:val="00834B7A"/>
    <w:rPr>
      <w:sz w:val="24"/>
      <w:szCs w:val="24"/>
    </w:rPr>
  </w:style>
  <w:style w:type="paragraph" w:styleId="NormalWeb">
    <w:name w:val="Normal (Web)"/>
    <w:basedOn w:val="Normal"/>
    <w:uiPriority w:val="99"/>
    <w:unhideWhenUsed/>
    <w:rsid w:val="00EC14B5"/>
    <w:pPr>
      <w:spacing w:before="100" w:beforeAutospacing="1" w:after="100" w:afterAutospacing="1"/>
    </w:pPr>
    <w:rPr>
      <w:rFonts w:eastAsiaTheme="minorEastAsia"/>
    </w:rPr>
  </w:style>
  <w:style w:type="paragraph" w:customStyle="1" w:styleId="ItemNarrative">
    <w:name w:val="Item Narrative"/>
    <w:basedOn w:val="Normal"/>
    <w:qFormat/>
    <w:rsid w:val="007D05FE"/>
    <w:pPr>
      <w:widowControl w:val="0"/>
      <w:autoSpaceDE w:val="0"/>
      <w:autoSpaceDN w:val="0"/>
      <w:adjustRightInd w:val="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 Id="rId2" Type="http://schemas.openxmlformats.org/officeDocument/2006/relationships/hyperlink" Target="https://www.bls.gov/news.release/archives/ecec_1216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FDE4-FE12-4CCA-9AE9-5B994034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6084</Words>
  <Characters>34682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 Inspection, Repair, and Maintenance</vt:lpstr>
    </vt:vector>
  </TitlesOfParts>
  <Company>Clifton, Virginia</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Inspection, Repair, and Maintenance</dc:title>
  <dc:creator>DMF</dc:creator>
  <cp:lastModifiedBy>Oliver, Roxane (FMCSA)</cp:lastModifiedBy>
  <cp:revision>2</cp:revision>
  <cp:lastPrinted>2018-03-16T18:13:00Z</cp:lastPrinted>
  <dcterms:created xsi:type="dcterms:W3CDTF">2023-12-14T16:24:00Z</dcterms:created>
  <dcterms:modified xsi:type="dcterms:W3CDTF">2023-12-14T16:24:00Z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4b6a1b0149bc06073e059396b6dbb7a8ec25369833c274cde3d46fe7d079d305</vt:lpwstr>
  </property>
</Properties>
</file>