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A15A3" w:rsidRPr="004C2E21" w14:paraId="1655AE12" w14:textId="77777777">
      <w:pPr>
        <w:pStyle w:val="Title"/>
        <w:rPr>
          <w:szCs w:val="24"/>
          <w:u w:val="none"/>
        </w:rPr>
      </w:pPr>
      <w:r w:rsidRPr="004C2E21">
        <w:rPr>
          <w:szCs w:val="24"/>
          <w:u w:val="none"/>
        </w:rPr>
        <w:t>DEPARTMENT OF TRANSPORTATION</w:t>
      </w:r>
    </w:p>
    <w:p w:rsidR="00BA15A3" w:rsidRPr="004C2E21" w14:paraId="7003A959" w14:textId="77777777">
      <w:pPr>
        <w:pStyle w:val="Title"/>
        <w:rPr>
          <w:szCs w:val="24"/>
        </w:rPr>
      </w:pPr>
      <w:r w:rsidRPr="004C2E21">
        <w:rPr>
          <w:szCs w:val="24"/>
        </w:rPr>
        <w:t>FEDERAL TRANSIT ADMINISTRATION</w:t>
      </w:r>
    </w:p>
    <w:p w:rsidR="008B55CF" w:rsidRPr="004C2E21" w14:paraId="5784C01B" w14:textId="77777777">
      <w:pPr>
        <w:pStyle w:val="Title"/>
        <w:rPr>
          <w:szCs w:val="24"/>
        </w:rPr>
      </w:pPr>
    </w:p>
    <w:p w:rsidR="00BA15A3" w:rsidRPr="004C2E21" w14:paraId="1ACAA08E" w14:textId="77777777">
      <w:pPr>
        <w:pStyle w:val="Title"/>
        <w:rPr>
          <w:szCs w:val="24"/>
        </w:rPr>
      </w:pPr>
    </w:p>
    <w:p w:rsidR="002C7051" w:rsidRPr="004C2E21" w14:paraId="6A7E2BC5" w14:textId="77777777">
      <w:pPr>
        <w:pStyle w:val="Title"/>
        <w:rPr>
          <w:szCs w:val="24"/>
          <w:u w:val="none"/>
        </w:rPr>
      </w:pPr>
      <w:r w:rsidRPr="004C2E21">
        <w:rPr>
          <w:szCs w:val="24"/>
          <w:u w:val="none"/>
        </w:rPr>
        <w:t>JUSTIFICATION STATEMENT</w:t>
      </w:r>
    </w:p>
    <w:p w:rsidR="001E4CC2" w:rsidRPr="004C2E21" w:rsidP="005845D2" w14:paraId="056209A6" w14:textId="48FC41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szCs w:val="24"/>
        </w:rPr>
      </w:pPr>
      <w:r w:rsidRPr="004C2E21">
        <w:rPr>
          <w:color w:val="000000"/>
          <w:sz w:val="24"/>
          <w:szCs w:val="24"/>
        </w:rPr>
        <w:t>Public Transportation Safety Program</w:t>
      </w:r>
    </w:p>
    <w:p w:rsidR="00BA15A3" w:rsidRPr="004C2E21" w:rsidP="005845D2" w14:paraId="1D18DA0F" w14:textId="65F39D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szCs w:val="24"/>
        </w:rPr>
      </w:pPr>
      <w:r w:rsidRPr="005514F7">
        <w:rPr>
          <w:snapToGrid w:val="0"/>
          <w:color w:val="000000"/>
          <w:sz w:val="24"/>
          <w:szCs w:val="24"/>
        </w:rPr>
        <w:t>(OMB Control No. 2132-</w:t>
      </w:r>
      <w:r w:rsidR="00FC309C">
        <w:rPr>
          <w:snapToGrid w:val="0"/>
          <w:color w:val="000000"/>
          <w:sz w:val="24"/>
          <w:szCs w:val="24"/>
        </w:rPr>
        <w:t xml:space="preserve">TBD </w:t>
      </w:r>
      <w:r w:rsidR="005514F7">
        <w:rPr>
          <w:snapToGrid w:val="0"/>
          <w:color w:val="000000"/>
          <w:sz w:val="24"/>
          <w:szCs w:val="24"/>
        </w:rPr>
        <w:t>New Information Collection</w:t>
      </w:r>
      <w:r w:rsidRPr="005514F7">
        <w:rPr>
          <w:snapToGrid w:val="0"/>
          <w:color w:val="000000"/>
          <w:sz w:val="24"/>
          <w:szCs w:val="24"/>
        </w:rPr>
        <w:t>)</w:t>
      </w:r>
    </w:p>
    <w:p w:rsidR="007532FA" w:rsidRPr="004C2E21" w:rsidP="00A0321B" w14:paraId="7E47720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p>
    <w:p w:rsidR="007E1550" w:rsidRPr="004C2E21" w:rsidP="00A0321B" w14:paraId="15EF0AF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4C2E21">
        <w:rPr>
          <w:snapToGrid w:val="0"/>
          <w:color w:val="000000"/>
          <w:sz w:val="24"/>
          <w:szCs w:val="24"/>
          <w:u w:val="single"/>
        </w:rPr>
        <w:t>ABSTRACT</w:t>
      </w:r>
    </w:p>
    <w:p w:rsidR="00603B9B" w:rsidRPr="004C2E21" w:rsidP="00603B9B" w14:paraId="696180D6" w14:textId="20CF64DD">
      <w:pPr>
        <w:spacing w:before="100" w:beforeAutospacing="1" w:after="100" w:afterAutospacing="1"/>
        <w:rPr>
          <w:sz w:val="24"/>
          <w:szCs w:val="24"/>
        </w:rPr>
      </w:pPr>
      <w:r w:rsidRPr="00340EE2">
        <w:rPr>
          <w:sz w:val="24"/>
          <w:szCs w:val="24"/>
        </w:rPr>
        <w:t>This is a new information collection request entitled "Public Transportation Safety Program"</w:t>
      </w:r>
      <w:r>
        <w:rPr>
          <w:sz w:val="24"/>
          <w:szCs w:val="24"/>
        </w:rPr>
        <w:t xml:space="preserve"> and </w:t>
      </w:r>
      <w:r w:rsidRPr="004C2E21">
        <w:rPr>
          <w:sz w:val="24"/>
          <w:szCs w:val="24"/>
        </w:rPr>
        <w:t xml:space="preserve">FTA is requesting </w:t>
      </w:r>
      <w:r w:rsidRPr="004C2E21">
        <w:rPr>
          <w:bCs/>
          <w:sz w:val="24"/>
          <w:szCs w:val="24"/>
        </w:rPr>
        <w:t>OMB’s approval for up to three years of this program through the regular OMB approval process</w:t>
      </w:r>
      <w:r w:rsidRPr="00340EE2">
        <w:rPr>
          <w:sz w:val="24"/>
          <w:szCs w:val="24"/>
        </w:rPr>
        <w:t xml:space="preserve">. In 2012, the Moving Ahead for Progress in the 21st Century Act (MAP-21) gave FTA the authority to regulate public transportation systems that receive Federal financial assistance under Chapter 53. 49 U.S.C. 5329(f). It further authorizes FTA to “require </w:t>
      </w:r>
      <w:r w:rsidRPr="00340EE2">
        <w:rPr>
          <w:sz w:val="24"/>
          <w:szCs w:val="24"/>
        </w:rPr>
        <w:t xml:space="preserve">the production of documents by, and prescribe recordkeeping and reporting requirements for, a recipient or a state safety oversight agency” for the purposes of carrying out the Federal Public Transportation Safety Program.  The purpose of this information </w:t>
      </w:r>
      <w:r w:rsidRPr="00340EE2">
        <w:rPr>
          <w:sz w:val="24"/>
          <w:szCs w:val="24"/>
        </w:rPr>
        <w:t xml:space="preserve">collection is to collect safety related information from the transit industry that isn’t covered by FTA’s existing safety programs.  Currently, FTA is only able to alert the transit industry to potential safety concerns, however we lack </w:t>
      </w:r>
      <w:r>
        <w:rPr>
          <w:sz w:val="24"/>
          <w:szCs w:val="24"/>
        </w:rPr>
        <w:t xml:space="preserve">OMB approval </w:t>
      </w:r>
      <w:r w:rsidRPr="00340EE2">
        <w:rPr>
          <w:sz w:val="24"/>
          <w:szCs w:val="24"/>
        </w:rPr>
        <w:t>to col</w:t>
      </w:r>
      <w:r w:rsidRPr="00340EE2">
        <w:rPr>
          <w:sz w:val="24"/>
          <w:szCs w:val="24"/>
        </w:rPr>
        <w:t xml:space="preserve">lect information from the </w:t>
      </w:r>
      <w:r>
        <w:rPr>
          <w:sz w:val="24"/>
          <w:szCs w:val="24"/>
        </w:rPr>
        <w:t xml:space="preserve">transit </w:t>
      </w:r>
      <w:r w:rsidRPr="00340EE2">
        <w:rPr>
          <w:sz w:val="24"/>
          <w:szCs w:val="24"/>
        </w:rPr>
        <w:t xml:space="preserve">industry regarding industry response </w:t>
      </w:r>
      <w:r>
        <w:rPr>
          <w:sz w:val="24"/>
          <w:szCs w:val="24"/>
        </w:rPr>
        <w:t xml:space="preserve">to a safety incident </w:t>
      </w:r>
      <w:r w:rsidRPr="00340EE2">
        <w:rPr>
          <w:sz w:val="24"/>
          <w:szCs w:val="24"/>
        </w:rPr>
        <w:t xml:space="preserve">or other helpful information. With America’s public transportation system aging, transit assets will continue to </w:t>
      </w:r>
      <w:r w:rsidRPr="00340EE2" w:rsidR="009B1CD4">
        <w:rPr>
          <w:sz w:val="24"/>
          <w:szCs w:val="24"/>
        </w:rPr>
        <w:t>age,</w:t>
      </w:r>
      <w:r>
        <w:rPr>
          <w:sz w:val="24"/>
          <w:szCs w:val="24"/>
        </w:rPr>
        <w:t xml:space="preserve"> and </w:t>
      </w:r>
      <w:r w:rsidRPr="00340EE2">
        <w:rPr>
          <w:sz w:val="24"/>
          <w:szCs w:val="24"/>
        </w:rPr>
        <w:t xml:space="preserve">safety concerns </w:t>
      </w:r>
      <w:r>
        <w:rPr>
          <w:sz w:val="24"/>
          <w:szCs w:val="24"/>
        </w:rPr>
        <w:t xml:space="preserve">will escalate. </w:t>
      </w:r>
      <w:r w:rsidRPr="00340EE2">
        <w:rPr>
          <w:sz w:val="24"/>
          <w:szCs w:val="24"/>
        </w:rPr>
        <w:t xml:space="preserve">This </w:t>
      </w:r>
      <w:r w:rsidR="009B1CD4">
        <w:rPr>
          <w:sz w:val="24"/>
          <w:szCs w:val="24"/>
        </w:rPr>
        <w:t xml:space="preserve">IC </w:t>
      </w:r>
      <w:r w:rsidRPr="00340EE2">
        <w:rPr>
          <w:sz w:val="24"/>
          <w:szCs w:val="24"/>
        </w:rPr>
        <w:t>wil</w:t>
      </w:r>
      <w:r w:rsidRPr="00340EE2">
        <w:rPr>
          <w:sz w:val="24"/>
          <w:szCs w:val="24"/>
        </w:rPr>
        <w:t xml:space="preserve">l require FTA to issue advisories, guidance and collect relevant </w:t>
      </w:r>
      <w:r>
        <w:rPr>
          <w:sz w:val="24"/>
          <w:szCs w:val="24"/>
        </w:rPr>
        <w:t xml:space="preserve">safety </w:t>
      </w:r>
      <w:r w:rsidRPr="00340EE2">
        <w:rPr>
          <w:sz w:val="24"/>
          <w:szCs w:val="24"/>
        </w:rPr>
        <w:t>information</w:t>
      </w:r>
      <w:r w:rsidR="009B1CD4">
        <w:rPr>
          <w:sz w:val="24"/>
          <w:szCs w:val="24"/>
        </w:rPr>
        <w:t xml:space="preserve"> on occasion or as needed</w:t>
      </w:r>
      <w:r w:rsidRPr="00340EE2">
        <w:rPr>
          <w:sz w:val="24"/>
          <w:szCs w:val="24"/>
        </w:rPr>
        <w:t xml:space="preserve">. This ICR will </w:t>
      </w:r>
      <w:r w:rsidR="009B1CD4">
        <w:rPr>
          <w:sz w:val="24"/>
          <w:szCs w:val="24"/>
        </w:rPr>
        <w:t xml:space="preserve">further </w:t>
      </w:r>
      <w:r w:rsidRPr="00340EE2">
        <w:rPr>
          <w:sz w:val="24"/>
          <w:szCs w:val="24"/>
        </w:rPr>
        <w:t>allow FTA to become more proactive in addressing emerging safety concerns by collecting relevant information rather than sim</w:t>
      </w:r>
      <w:r w:rsidRPr="00340EE2">
        <w:rPr>
          <w:sz w:val="24"/>
          <w:szCs w:val="24"/>
        </w:rPr>
        <w:t xml:space="preserve">ply responding to safety events after they occur.  </w:t>
      </w:r>
      <w:r w:rsidRPr="004C2E21">
        <w:rPr>
          <w:rFonts w:eastAsia="Calibri"/>
          <w:sz w:val="24"/>
          <w:szCs w:val="24"/>
        </w:rPr>
        <w:t xml:space="preserve">FTA issued a 60-day Federal Register Notice (FRN) requesting the </w:t>
      </w:r>
      <w:r w:rsidRPr="004C2E21" w:rsidR="004B7D2A">
        <w:rPr>
          <w:rFonts w:eastAsia="Calibri"/>
          <w:sz w:val="24"/>
          <w:szCs w:val="24"/>
        </w:rPr>
        <w:t xml:space="preserve">approval </w:t>
      </w:r>
      <w:r w:rsidRPr="004C2E21">
        <w:rPr>
          <w:rFonts w:eastAsia="Calibri"/>
          <w:sz w:val="24"/>
          <w:szCs w:val="24"/>
        </w:rPr>
        <w:t xml:space="preserve">of the </w:t>
      </w:r>
      <w:r w:rsidRPr="004C2E21" w:rsidR="004B7D2A">
        <w:rPr>
          <w:rFonts w:eastAsia="Calibri"/>
          <w:sz w:val="24"/>
          <w:szCs w:val="24"/>
        </w:rPr>
        <w:t>new</w:t>
      </w:r>
      <w:r w:rsidRPr="004C2E21">
        <w:rPr>
          <w:rFonts w:eastAsia="Calibri"/>
          <w:sz w:val="24"/>
          <w:szCs w:val="24"/>
        </w:rPr>
        <w:t xml:space="preserve"> information collection (IC) under the </w:t>
      </w:r>
      <w:r w:rsidRPr="004C2E21">
        <w:rPr>
          <w:color w:val="333333"/>
          <w:sz w:val="24"/>
          <w:szCs w:val="24"/>
          <w:shd w:val="clear" w:color="auto" w:fill="FFFFFF"/>
        </w:rPr>
        <w:t>regular Paperwork Reduction Act (PRA) clearance process</w:t>
      </w:r>
      <w:r w:rsidRPr="004C2E21">
        <w:rPr>
          <w:rFonts w:eastAsia="Calibri"/>
          <w:sz w:val="24"/>
          <w:szCs w:val="24"/>
        </w:rPr>
        <w:t xml:space="preserve">.  There were </w:t>
      </w:r>
      <w:r w:rsidRPr="004C2E21" w:rsidR="00125B20">
        <w:rPr>
          <w:rFonts w:eastAsia="Calibri"/>
          <w:sz w:val="24"/>
          <w:szCs w:val="24"/>
        </w:rPr>
        <w:t>zero</w:t>
      </w:r>
      <w:r w:rsidRPr="004C2E21" w:rsidR="004B7D2A">
        <w:rPr>
          <w:rFonts w:eastAsia="Calibri"/>
          <w:sz w:val="24"/>
          <w:szCs w:val="24"/>
        </w:rPr>
        <w:t xml:space="preserve"> </w:t>
      </w:r>
      <w:r w:rsidRPr="004C2E21" w:rsidR="009B1CD4">
        <w:rPr>
          <w:rFonts w:eastAsia="Calibri"/>
          <w:sz w:val="24"/>
          <w:szCs w:val="24"/>
        </w:rPr>
        <w:t>comments</w:t>
      </w:r>
      <w:r w:rsidRPr="004C2E21">
        <w:rPr>
          <w:rFonts w:eastAsia="Calibri"/>
          <w:sz w:val="24"/>
          <w:szCs w:val="24"/>
        </w:rPr>
        <w:t xml:space="preserve"> received from that notice. </w:t>
      </w:r>
    </w:p>
    <w:p w:rsidR="00A0321B" w:rsidRPr="004C2E21" w14:paraId="7B4CD77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szCs w:val="24"/>
        </w:rPr>
      </w:pPr>
    </w:p>
    <w:p w:rsidR="00833D4B" w:rsidRPr="004C2E21" w:rsidP="00A0321B" w14:paraId="4DF1E04B" w14:textId="37A2FE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C2E21">
        <w:rPr>
          <w:snapToGrid w:val="0"/>
          <w:color w:val="000000"/>
          <w:sz w:val="24"/>
          <w:szCs w:val="24"/>
        </w:rPr>
        <w:t xml:space="preserve">A.  </w:t>
      </w:r>
      <w:r w:rsidRPr="004C2E21">
        <w:rPr>
          <w:snapToGrid w:val="0"/>
          <w:color w:val="000000"/>
          <w:sz w:val="24"/>
          <w:szCs w:val="24"/>
          <w:u w:val="single"/>
        </w:rPr>
        <w:t>Justification</w:t>
      </w:r>
    </w:p>
    <w:p w:rsidR="007532FA" w:rsidRPr="004C2E21" w14:paraId="533679C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40226A" w:rsidRPr="004C2E21" w:rsidP="0040226A" w14:paraId="6BEAD40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aps/>
          <w:snapToGrid w:val="0"/>
          <w:color w:val="000000"/>
          <w:sz w:val="24"/>
          <w:szCs w:val="24"/>
          <w:u w:val="single"/>
        </w:rPr>
      </w:pPr>
      <w:r w:rsidRPr="004C2E21">
        <w:rPr>
          <w:snapToGrid w:val="0"/>
          <w:color w:val="000000"/>
          <w:sz w:val="24"/>
          <w:szCs w:val="24"/>
        </w:rPr>
        <w:t xml:space="preserve">1.  </w:t>
      </w:r>
      <w:r w:rsidRPr="004C2E21">
        <w:rPr>
          <w:caps/>
          <w:snapToGrid w:val="0"/>
          <w:color w:val="000000"/>
          <w:sz w:val="24"/>
          <w:szCs w:val="24"/>
          <w:u w:val="single"/>
        </w:rPr>
        <w:t>Explain the circumstances that make the collection of information necessary.  Identify any legal or administrative requirements that necessitate the collection.</w:t>
      </w:r>
    </w:p>
    <w:p w:rsidR="002C7051" w:rsidRPr="004C2E21" w14:paraId="2AD42F3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AF0E18" w:rsidP="005E4174" w14:paraId="66168AD0" w14:textId="43C09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C2E21">
        <w:rPr>
          <w:snapToGrid w:val="0"/>
          <w:color w:val="000000"/>
          <w:sz w:val="24"/>
          <w:szCs w:val="24"/>
        </w:rPr>
        <w:t xml:space="preserve">Congress directed FTA to </w:t>
      </w:r>
      <w:r w:rsidRPr="004C2E21">
        <w:rPr>
          <w:snapToGrid w:val="0"/>
          <w:color w:val="000000"/>
          <w:sz w:val="24"/>
          <w:szCs w:val="24"/>
        </w:rPr>
        <w:t>establish a comprehensive Public Transportation Safety Program in the (Pub. L. 112-141; July 6, 2012) (MAP-21), which was reauthorized by the Fixing America’s Surface Transportation Act (Pub. L. 114-94; December 4, 2015). The Bipartisan Infrastructure Law,</w:t>
      </w:r>
      <w:r w:rsidRPr="004C2E21">
        <w:rPr>
          <w:snapToGrid w:val="0"/>
          <w:color w:val="000000"/>
          <w:sz w:val="24"/>
          <w:szCs w:val="24"/>
        </w:rPr>
        <w:t xml:space="preserve"> enacted as the Infrastructure Investment and Jobs Act (Pub. L. 117-58; November 15, 2021), continues </w:t>
      </w:r>
      <w:bookmarkStart w:id="0" w:name="_Hlk152251472"/>
      <w:r w:rsidRPr="004C2E21">
        <w:rPr>
          <w:snapToGrid w:val="0"/>
          <w:color w:val="000000"/>
          <w:sz w:val="24"/>
          <w:szCs w:val="24"/>
        </w:rPr>
        <w:t xml:space="preserve">FTA’s authority to regulate public transportation systems that receive Federal financial assistance under Chapter 53. 49 U.S.C. 5329(f) authorizes FTA to </w:t>
      </w:r>
      <w:r w:rsidRPr="004C2E21">
        <w:rPr>
          <w:snapToGrid w:val="0"/>
          <w:color w:val="000000"/>
          <w:sz w:val="24"/>
          <w:szCs w:val="24"/>
        </w:rPr>
        <w:t xml:space="preserve">“require the production of documents by, and prescribe recordkeeping and reporting requirements for, a recipient or a </w:t>
      </w:r>
      <w:r w:rsidRPr="004C2E21" w:rsidR="009B1CD4">
        <w:rPr>
          <w:snapToGrid w:val="0"/>
          <w:color w:val="000000"/>
          <w:sz w:val="24"/>
          <w:szCs w:val="24"/>
        </w:rPr>
        <w:t>state</w:t>
      </w:r>
      <w:r w:rsidRPr="004C2E21">
        <w:rPr>
          <w:snapToGrid w:val="0"/>
          <w:color w:val="000000"/>
          <w:sz w:val="24"/>
          <w:szCs w:val="24"/>
        </w:rPr>
        <w:t xml:space="preserve"> safety oversight agency” for the purposes of carrying out the Federal Public Transportation Safety Program. </w:t>
      </w:r>
      <w:bookmarkEnd w:id="0"/>
    </w:p>
    <w:p w:rsidR="00544C8C" w:rsidP="005E4174" w14:paraId="65476A2E" w14:textId="7FC14E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840763" w:rsidP="00AF0E18" w14:paraId="360B0800" w14:textId="77777777">
      <w:pPr>
        <w:rPr>
          <w:snapToGrid w:val="0"/>
          <w:color w:val="000000"/>
          <w:sz w:val="24"/>
          <w:szCs w:val="24"/>
        </w:rPr>
      </w:pPr>
      <w:r>
        <w:rPr>
          <w:snapToGrid w:val="0"/>
          <w:color w:val="000000"/>
          <w:sz w:val="24"/>
          <w:szCs w:val="24"/>
        </w:rPr>
        <w:t>As FTA’s safety progra</w:t>
      </w:r>
      <w:r>
        <w:rPr>
          <w:snapToGrid w:val="0"/>
          <w:color w:val="000000"/>
          <w:sz w:val="24"/>
          <w:szCs w:val="24"/>
        </w:rPr>
        <w:t>m mature</w:t>
      </w:r>
      <w:r w:rsidR="00492472">
        <w:rPr>
          <w:snapToGrid w:val="0"/>
          <w:color w:val="000000"/>
          <w:sz w:val="24"/>
          <w:szCs w:val="24"/>
        </w:rPr>
        <w:t>s</w:t>
      </w:r>
      <w:r>
        <w:rPr>
          <w:snapToGrid w:val="0"/>
          <w:color w:val="000000"/>
          <w:sz w:val="24"/>
          <w:szCs w:val="24"/>
        </w:rPr>
        <w:t xml:space="preserve">, FTA </w:t>
      </w:r>
      <w:r w:rsidR="00BB5AD9">
        <w:rPr>
          <w:snapToGrid w:val="0"/>
          <w:color w:val="000000"/>
          <w:sz w:val="24"/>
          <w:szCs w:val="24"/>
        </w:rPr>
        <w:t>needs</w:t>
      </w:r>
      <w:r w:rsidR="00384989">
        <w:rPr>
          <w:snapToGrid w:val="0"/>
          <w:color w:val="000000"/>
          <w:sz w:val="24"/>
          <w:szCs w:val="24"/>
        </w:rPr>
        <w:t xml:space="preserve"> to be able to </w:t>
      </w:r>
      <w:bookmarkStart w:id="1" w:name="_Hlk152251543"/>
      <w:r w:rsidR="00384989">
        <w:rPr>
          <w:snapToGrid w:val="0"/>
          <w:color w:val="000000"/>
          <w:sz w:val="24"/>
          <w:szCs w:val="24"/>
        </w:rPr>
        <w:t>collect</w:t>
      </w:r>
      <w:r w:rsidR="00BB5AD9">
        <w:rPr>
          <w:snapToGrid w:val="0"/>
          <w:color w:val="000000"/>
          <w:sz w:val="24"/>
          <w:szCs w:val="24"/>
        </w:rPr>
        <w:t xml:space="preserve"> </w:t>
      </w:r>
      <w:r w:rsidR="00384989">
        <w:rPr>
          <w:snapToGrid w:val="0"/>
          <w:color w:val="000000"/>
          <w:sz w:val="24"/>
          <w:szCs w:val="24"/>
        </w:rPr>
        <w:t xml:space="preserve">safety related </w:t>
      </w:r>
      <w:r w:rsidR="00BB5AD9">
        <w:rPr>
          <w:snapToGrid w:val="0"/>
          <w:color w:val="000000"/>
          <w:sz w:val="24"/>
          <w:szCs w:val="24"/>
        </w:rPr>
        <w:t xml:space="preserve">information from the transit industry </w:t>
      </w:r>
      <w:r w:rsidR="00384989">
        <w:rPr>
          <w:snapToGrid w:val="0"/>
          <w:color w:val="000000"/>
          <w:sz w:val="24"/>
          <w:szCs w:val="24"/>
        </w:rPr>
        <w:t>that isn’t covered by FTA’s existing safety programs</w:t>
      </w:r>
      <w:bookmarkEnd w:id="1"/>
      <w:r w:rsidR="00384989">
        <w:rPr>
          <w:snapToGrid w:val="0"/>
          <w:color w:val="000000"/>
          <w:sz w:val="24"/>
          <w:szCs w:val="24"/>
        </w:rPr>
        <w:t xml:space="preserve">. </w:t>
      </w:r>
      <w:bookmarkStart w:id="2" w:name="_Hlk152251633"/>
      <w:r>
        <w:rPr>
          <w:snapToGrid w:val="0"/>
          <w:color w:val="000000"/>
          <w:sz w:val="24"/>
          <w:szCs w:val="24"/>
        </w:rPr>
        <w:t xml:space="preserve">Currently, FTA is </w:t>
      </w:r>
      <w:r>
        <w:rPr>
          <w:snapToGrid w:val="0"/>
          <w:color w:val="000000"/>
          <w:sz w:val="24"/>
          <w:szCs w:val="24"/>
        </w:rPr>
        <w:t xml:space="preserve">only able to alert the transit industry to potential safety concerns, however we lack authority to collect information from the industry regarding industry response or other helpful information. </w:t>
      </w:r>
    </w:p>
    <w:p w:rsidR="00E502FC" w:rsidRPr="00840763" w:rsidP="00AF0E18" w14:paraId="0E19E0B4" w14:textId="5D9FB169">
      <w:pPr>
        <w:rPr>
          <w:sz w:val="28"/>
          <w:szCs w:val="28"/>
        </w:rPr>
      </w:pPr>
      <w:r w:rsidRPr="00C55FE2">
        <w:rPr>
          <w:snapToGrid w:val="0"/>
          <w:color w:val="000000"/>
          <w:sz w:val="24"/>
          <w:szCs w:val="24"/>
        </w:rPr>
        <w:t xml:space="preserve">Further, as transit assets continue to age, </w:t>
      </w:r>
      <w:r w:rsidRPr="00C55FE2" w:rsidR="009372E1">
        <w:rPr>
          <w:snapToGrid w:val="0"/>
          <w:color w:val="000000"/>
          <w:sz w:val="24"/>
          <w:szCs w:val="24"/>
        </w:rPr>
        <w:t xml:space="preserve">safety events or safety concerns will arise that </w:t>
      </w:r>
      <w:r w:rsidRPr="00C55FE2">
        <w:rPr>
          <w:sz w:val="24"/>
          <w:szCs w:val="24"/>
        </w:rPr>
        <w:t xml:space="preserve">will require FTA to issue advisories/guidance and </w:t>
      </w:r>
      <w:r w:rsidRPr="00C55FE2" w:rsidR="000C5A9E">
        <w:rPr>
          <w:sz w:val="24"/>
          <w:szCs w:val="24"/>
        </w:rPr>
        <w:t>collect relevant information. FTA needs a general safety collection</w:t>
      </w:r>
      <w:r w:rsidR="00276DD9">
        <w:rPr>
          <w:sz w:val="24"/>
          <w:szCs w:val="24"/>
        </w:rPr>
        <w:t xml:space="preserve"> that can cover all of these emerging or </w:t>
      </w:r>
      <w:r w:rsidR="009B1CD4">
        <w:rPr>
          <w:sz w:val="24"/>
          <w:szCs w:val="24"/>
        </w:rPr>
        <w:t>one-off</w:t>
      </w:r>
      <w:r w:rsidR="00276DD9">
        <w:rPr>
          <w:sz w:val="24"/>
          <w:szCs w:val="24"/>
        </w:rPr>
        <w:t xml:space="preserve"> safety </w:t>
      </w:r>
      <w:r w:rsidR="009B1CD4">
        <w:rPr>
          <w:sz w:val="24"/>
          <w:szCs w:val="24"/>
        </w:rPr>
        <w:t xml:space="preserve">concerns </w:t>
      </w:r>
      <w:r w:rsidRPr="00C55FE2" w:rsidR="009B1CD4">
        <w:rPr>
          <w:sz w:val="24"/>
          <w:szCs w:val="24"/>
        </w:rPr>
        <w:t>as</w:t>
      </w:r>
      <w:r w:rsidRPr="00C55FE2" w:rsidR="000C5A9E">
        <w:rPr>
          <w:sz w:val="24"/>
          <w:szCs w:val="24"/>
        </w:rPr>
        <w:t xml:space="preserve"> we are unable to predict </w:t>
      </w:r>
      <w:r w:rsidRPr="00C55FE2">
        <w:rPr>
          <w:sz w:val="24"/>
          <w:szCs w:val="24"/>
        </w:rPr>
        <w:t xml:space="preserve">exactly what </w:t>
      </w:r>
      <w:r w:rsidRPr="00C55FE2">
        <w:rPr>
          <w:sz w:val="24"/>
          <w:szCs w:val="24"/>
        </w:rPr>
        <w:t>that information would be because these incidents are occurring on occasion and would vary.</w:t>
      </w:r>
      <w:r>
        <w:rPr>
          <w:sz w:val="28"/>
          <w:szCs w:val="28"/>
        </w:rPr>
        <w:t xml:space="preserve">  </w:t>
      </w:r>
      <w:r w:rsidR="00840763">
        <w:rPr>
          <w:snapToGrid w:val="0"/>
          <w:color w:val="000000"/>
          <w:sz w:val="24"/>
          <w:szCs w:val="24"/>
        </w:rPr>
        <w:t xml:space="preserve">In addition, FTA is aiming to become more </w:t>
      </w:r>
      <w:r w:rsidRPr="00C55FE2" w:rsidR="00840763">
        <w:rPr>
          <w:snapToGrid w:val="0"/>
          <w:color w:val="000000"/>
          <w:sz w:val="24"/>
          <w:szCs w:val="24"/>
        </w:rPr>
        <w:t xml:space="preserve">proactive in addressing </w:t>
      </w:r>
      <w:r w:rsidRPr="00C55FE2" w:rsidR="009B1CD4">
        <w:rPr>
          <w:snapToGrid w:val="0"/>
          <w:color w:val="000000"/>
          <w:sz w:val="24"/>
          <w:szCs w:val="24"/>
        </w:rPr>
        <w:t>emerging</w:t>
      </w:r>
      <w:r w:rsidRPr="00C55FE2" w:rsidR="00840763">
        <w:rPr>
          <w:snapToGrid w:val="0"/>
          <w:color w:val="000000"/>
          <w:sz w:val="24"/>
          <w:szCs w:val="24"/>
        </w:rPr>
        <w:t xml:space="preserve"> safety concerns </w:t>
      </w:r>
      <w:r w:rsidR="00840763">
        <w:rPr>
          <w:snapToGrid w:val="0"/>
          <w:color w:val="000000"/>
          <w:sz w:val="24"/>
          <w:szCs w:val="24"/>
        </w:rPr>
        <w:t xml:space="preserve">by collecting relevant information </w:t>
      </w:r>
      <w:r w:rsidRPr="00C55FE2" w:rsidR="00840763">
        <w:rPr>
          <w:snapToGrid w:val="0"/>
          <w:color w:val="000000"/>
          <w:sz w:val="24"/>
          <w:szCs w:val="24"/>
        </w:rPr>
        <w:t>rather than simply responding to safety events after they occur.</w:t>
      </w:r>
    </w:p>
    <w:bookmarkEnd w:id="2"/>
    <w:p w:rsidR="00AF0E18" w:rsidRPr="004C2E21" w:rsidP="00AF0E18" w14:paraId="7DE2CCE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2C7051" w:rsidRPr="004C2E21" w14:paraId="7D08B9D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CF5A25" w:rsidRPr="004C2E21" w:rsidP="00CF5A25" w14:paraId="52CE82E3" w14:textId="77777777">
      <w:pPr>
        <w:pStyle w:val="Heading3"/>
        <w:ind w:hanging="90"/>
        <w:rPr>
          <w:caps/>
          <w:szCs w:val="24"/>
        </w:rPr>
      </w:pPr>
      <w:r w:rsidRPr="004C2E21">
        <w:rPr>
          <w:szCs w:val="24"/>
          <w:u w:val="none"/>
        </w:rPr>
        <w:t xml:space="preserve">2. </w:t>
      </w:r>
      <w:r w:rsidRPr="004C2E21" w:rsidR="00F26AF0">
        <w:rPr>
          <w:caps/>
          <w:szCs w:val="24"/>
        </w:rPr>
        <w:t>Indicate how, by whom, and for what purpose the information is to be used.  Except for a new collection, indicate the actual use the agency has made of the information received from the current collection.</w:t>
      </w:r>
    </w:p>
    <w:p w:rsidR="00F26AF0" w:rsidRPr="004C2E21" w:rsidP="00F26AF0" w14:paraId="57801C33" w14:textId="77777777">
      <w:pPr>
        <w:rPr>
          <w:sz w:val="24"/>
          <w:szCs w:val="24"/>
        </w:rPr>
      </w:pPr>
    </w:p>
    <w:p w:rsidR="005E4174" w:rsidRPr="004C2E21" w:rsidP="00865D19" w14:paraId="2E99691D"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5E4174" w:rsidRPr="004C2E21" w:rsidP="005E4174" w14:paraId="20883011" w14:textId="4C9792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C2E21">
        <w:rPr>
          <w:snapToGrid w:val="0"/>
          <w:color w:val="000000"/>
          <w:sz w:val="24"/>
          <w:szCs w:val="24"/>
        </w:rPr>
        <w:t xml:space="preserve">The </w:t>
      </w:r>
      <w:r w:rsidRPr="004C2E21">
        <w:rPr>
          <w:snapToGrid w:val="0"/>
          <w:color w:val="000000"/>
          <w:sz w:val="24"/>
          <w:szCs w:val="24"/>
        </w:rPr>
        <w:t>information will be used to collect safety related data from transit agencies, State Safety Oversight Agencies (SSOAs), and States. FTA will use this information collection to assess how recipients of Federal financial assistance under Chapter 53 are compl</w:t>
      </w:r>
      <w:r w:rsidRPr="004C2E21">
        <w:rPr>
          <w:snapToGrid w:val="0"/>
          <w:color w:val="000000"/>
          <w:sz w:val="24"/>
          <w:szCs w:val="24"/>
        </w:rPr>
        <w:t>ying with FTA safety requirements and recommendations and ensuring safe transportation systems for the riders and patrons using each system, the workers operating each system, and the pedestrians interacting with each system. FTA may also use the informati</w:t>
      </w:r>
      <w:r w:rsidRPr="004C2E21">
        <w:rPr>
          <w:snapToGrid w:val="0"/>
          <w:color w:val="000000"/>
          <w:sz w:val="24"/>
          <w:szCs w:val="24"/>
        </w:rPr>
        <w:t>on to assist in determining whether there is a need for new or revised safety requirements.</w:t>
      </w:r>
    </w:p>
    <w:p w:rsidR="005E4174" w:rsidRPr="004C2E21" w:rsidP="00865D19" w14:paraId="29C25D76"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244BBD" w:rsidRPr="004C2E21" w:rsidP="00865D19" w14:paraId="68C6B348" w14:textId="4E623CC6">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C2E21">
        <w:rPr>
          <w:snapToGrid w:val="0"/>
          <w:color w:val="000000"/>
          <w:sz w:val="24"/>
          <w:szCs w:val="24"/>
        </w:rPr>
        <w:t xml:space="preserve">The information will be collected </w:t>
      </w:r>
      <w:bookmarkStart w:id="3" w:name="_Hlk152252690"/>
      <w:r w:rsidRPr="004C2E21" w:rsidR="00314CB7">
        <w:rPr>
          <w:snapToGrid w:val="0"/>
          <w:color w:val="000000"/>
          <w:sz w:val="24"/>
          <w:szCs w:val="24"/>
        </w:rPr>
        <w:t xml:space="preserve">via </w:t>
      </w:r>
      <w:r w:rsidRPr="004C2E21">
        <w:rPr>
          <w:snapToGrid w:val="0"/>
          <w:color w:val="000000"/>
          <w:sz w:val="24"/>
          <w:szCs w:val="24"/>
        </w:rPr>
        <w:t xml:space="preserve">the Transit Award Management System (TrAMS), FTA’s on-line fillable platform to award and manage federal grants. </w:t>
      </w:r>
      <w:bookmarkEnd w:id="3"/>
      <w:r w:rsidRPr="004C2E21">
        <w:rPr>
          <w:snapToGrid w:val="0"/>
          <w:color w:val="000000"/>
          <w:sz w:val="24"/>
          <w:szCs w:val="24"/>
        </w:rPr>
        <w:t>TrAMS was created to provide greater efficiency and improved transparency and accountability.  The initial a</w:t>
      </w:r>
      <w:r w:rsidRPr="004C2E21" w:rsidR="00883999">
        <w:rPr>
          <w:snapToGrid w:val="0"/>
          <w:color w:val="000000"/>
          <w:sz w:val="24"/>
          <w:szCs w:val="24"/>
        </w:rPr>
        <w:t xml:space="preserve">pplication and </w:t>
      </w:r>
      <w:r w:rsidRPr="004C2E21" w:rsidR="00967E62">
        <w:rPr>
          <w:snapToGrid w:val="0"/>
          <w:color w:val="000000"/>
          <w:sz w:val="24"/>
          <w:szCs w:val="24"/>
        </w:rPr>
        <w:t xml:space="preserve">follow-up </w:t>
      </w:r>
      <w:r w:rsidRPr="004C2E21" w:rsidR="002C7051">
        <w:rPr>
          <w:snapToGrid w:val="0"/>
          <w:color w:val="000000"/>
          <w:sz w:val="24"/>
          <w:szCs w:val="24"/>
        </w:rPr>
        <w:t xml:space="preserve">reports are submitted to the cognizant program office, usually within an FTA regional office, to determine the </w:t>
      </w:r>
      <w:r w:rsidRPr="004C2E21" w:rsidR="001E6AB9">
        <w:rPr>
          <w:snapToGrid w:val="0"/>
          <w:color w:val="000000"/>
          <w:sz w:val="24"/>
          <w:szCs w:val="24"/>
        </w:rPr>
        <w:t>recipient’s</w:t>
      </w:r>
      <w:r w:rsidRPr="004C2E21">
        <w:rPr>
          <w:snapToGrid w:val="0"/>
          <w:color w:val="000000"/>
          <w:sz w:val="24"/>
          <w:szCs w:val="24"/>
        </w:rPr>
        <w:t xml:space="preserve"> </w:t>
      </w:r>
      <w:r w:rsidRPr="004C2E21" w:rsidR="002C7051">
        <w:rPr>
          <w:snapToGrid w:val="0"/>
          <w:color w:val="000000"/>
          <w:sz w:val="24"/>
          <w:szCs w:val="24"/>
        </w:rPr>
        <w:t>eligibility for funding and, subsequently, the grantee's progress in implementing and completing project activities. The reports assure FTA of a level of management of risks.  Also, the information submitted ensures FTA's compliance with applicable federal laws, and the Common Grant Rule.  In addition, without these reports, significant resources and manpower would be necessary to conduct on-site inspections.</w:t>
      </w:r>
    </w:p>
    <w:p w:rsidR="006F32AA" w:rsidRPr="004C2E21" w:rsidP="00A01BDF" w14:paraId="29D8BA6F"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p>
    <w:p w:rsidR="002C7051" w:rsidRPr="004C2E21" w:rsidP="00CF5A25" w14:paraId="7A74EFAA"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4C2E21">
        <w:rPr>
          <w:snapToGrid w:val="0"/>
          <w:color w:val="000000"/>
          <w:sz w:val="24"/>
          <w:szCs w:val="24"/>
          <w:u w:val="single"/>
        </w:rPr>
        <w:t>3.CONSIDERATION OF IMPROVED INFORMATION TECHNOLOGY TO REDUCE</w:t>
      </w:r>
      <w:r w:rsidRPr="004C2E21">
        <w:rPr>
          <w:snapToGrid w:val="0"/>
          <w:color w:val="000000"/>
          <w:sz w:val="24"/>
          <w:szCs w:val="24"/>
        </w:rPr>
        <w:t xml:space="preserve"> </w:t>
      </w:r>
      <w:r w:rsidRPr="004C2E21">
        <w:rPr>
          <w:snapToGrid w:val="0"/>
          <w:color w:val="000000"/>
          <w:sz w:val="24"/>
          <w:szCs w:val="24"/>
          <w:u w:val="single"/>
        </w:rPr>
        <w:t>BURDEN AND ANY TECHNICAL OR LEGAL OBSTACLES TO REDUCING BURDEN.</w:t>
      </w:r>
    </w:p>
    <w:p w:rsidR="002C7051" w:rsidRPr="004C2E21" w14:paraId="731B479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1940C9" w:rsidRPr="004C2E21" w:rsidP="00CF5A25" w14:paraId="593DBFFC" w14:textId="47480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C2E21">
        <w:rPr>
          <w:snapToGrid w:val="0"/>
          <w:color w:val="000000"/>
          <w:sz w:val="24"/>
          <w:szCs w:val="24"/>
        </w:rPr>
        <w:t xml:space="preserve">To the extent possible, FTA </w:t>
      </w:r>
      <w:r w:rsidRPr="004C2E21" w:rsidR="009B1CD4">
        <w:rPr>
          <w:snapToGrid w:val="0"/>
          <w:color w:val="000000"/>
          <w:sz w:val="24"/>
          <w:szCs w:val="24"/>
        </w:rPr>
        <w:t>will</w:t>
      </w:r>
      <w:r w:rsidRPr="004C2E21">
        <w:rPr>
          <w:snapToGrid w:val="0"/>
          <w:color w:val="000000"/>
          <w:sz w:val="24"/>
          <w:szCs w:val="24"/>
        </w:rPr>
        <w:t xml:space="preserve"> utilize existing </w:t>
      </w:r>
      <w:r w:rsidRPr="004C2E21" w:rsidR="00056220">
        <w:rPr>
          <w:snapToGrid w:val="0"/>
          <w:color w:val="000000"/>
          <w:sz w:val="24"/>
          <w:szCs w:val="24"/>
        </w:rPr>
        <w:t>electronic platforms to collect information. For example, FTA w</w:t>
      </w:r>
      <w:r w:rsidR="00111590">
        <w:rPr>
          <w:snapToGrid w:val="0"/>
          <w:color w:val="000000"/>
          <w:sz w:val="24"/>
          <w:szCs w:val="24"/>
        </w:rPr>
        <w:t xml:space="preserve">ill use </w:t>
      </w:r>
      <w:r w:rsidRPr="004C2E21" w:rsidR="00056220">
        <w:rPr>
          <w:snapToGrid w:val="0"/>
          <w:color w:val="000000"/>
          <w:sz w:val="24"/>
          <w:szCs w:val="24"/>
        </w:rPr>
        <w:t>the Transit Award Management System (TrAMS), FTA’s on-line fillable platform</w:t>
      </w:r>
      <w:r w:rsidR="00111590">
        <w:rPr>
          <w:snapToGrid w:val="0"/>
          <w:color w:val="000000"/>
          <w:sz w:val="24"/>
          <w:szCs w:val="24"/>
        </w:rPr>
        <w:t xml:space="preserve"> </w:t>
      </w:r>
      <w:r w:rsidR="007A4449">
        <w:rPr>
          <w:snapToGrid w:val="0"/>
          <w:color w:val="000000"/>
          <w:sz w:val="24"/>
          <w:szCs w:val="24"/>
        </w:rPr>
        <w:t xml:space="preserve">used </w:t>
      </w:r>
      <w:r w:rsidRPr="004C2E21" w:rsidR="007A4449">
        <w:rPr>
          <w:snapToGrid w:val="0"/>
          <w:color w:val="000000"/>
          <w:sz w:val="24"/>
          <w:szCs w:val="24"/>
        </w:rPr>
        <w:t>to</w:t>
      </w:r>
      <w:r w:rsidRPr="004C2E21" w:rsidR="00056220">
        <w:rPr>
          <w:snapToGrid w:val="0"/>
          <w:color w:val="000000"/>
          <w:sz w:val="24"/>
          <w:szCs w:val="24"/>
        </w:rPr>
        <w:t xml:space="preserve"> award and manage federal grants</w:t>
      </w:r>
      <w:r w:rsidR="00111590">
        <w:rPr>
          <w:snapToGrid w:val="0"/>
          <w:color w:val="000000"/>
          <w:sz w:val="24"/>
          <w:szCs w:val="24"/>
        </w:rPr>
        <w:t xml:space="preserve"> and submit other monthly, quarterly and/or annual requests of information.  </w:t>
      </w:r>
      <w:r w:rsidR="00FC309C">
        <w:rPr>
          <w:snapToGrid w:val="0"/>
          <w:color w:val="000000"/>
          <w:sz w:val="24"/>
          <w:szCs w:val="24"/>
        </w:rPr>
        <w:t xml:space="preserve">FTA is also considering the use of the </w:t>
      </w:r>
      <w:r w:rsidRPr="004C2E21">
        <w:rPr>
          <w:snapToGrid w:val="0"/>
          <w:color w:val="000000"/>
          <w:sz w:val="24"/>
          <w:szCs w:val="24"/>
        </w:rPr>
        <w:t>State Safety Ove</w:t>
      </w:r>
      <w:r w:rsidRPr="004C2E21">
        <w:rPr>
          <w:snapToGrid w:val="0"/>
          <w:color w:val="000000"/>
          <w:sz w:val="24"/>
          <w:szCs w:val="24"/>
        </w:rPr>
        <w:t>rsight Reporting (SSOR) system, a web-based tool for State Safety Oversight Agencies to submit their annual report requirements to FTA</w:t>
      </w:r>
      <w:r w:rsidR="00FC309C">
        <w:rPr>
          <w:snapToGrid w:val="0"/>
          <w:color w:val="000000"/>
          <w:sz w:val="24"/>
          <w:szCs w:val="24"/>
        </w:rPr>
        <w:t xml:space="preserve">. </w:t>
      </w:r>
      <w:r w:rsidRPr="004C2E21">
        <w:rPr>
          <w:snapToGrid w:val="0"/>
          <w:color w:val="000000"/>
          <w:sz w:val="24"/>
          <w:szCs w:val="24"/>
        </w:rPr>
        <w:t xml:space="preserve"> </w:t>
      </w:r>
      <w:r w:rsidRPr="004C2E21" w:rsidR="00056220">
        <w:rPr>
          <w:snapToGrid w:val="0"/>
          <w:color w:val="000000"/>
          <w:sz w:val="24"/>
          <w:szCs w:val="24"/>
        </w:rPr>
        <w:t xml:space="preserve"> </w:t>
      </w:r>
      <w:r w:rsidRPr="004C2E21" w:rsidR="002C7051">
        <w:rPr>
          <w:snapToGrid w:val="0"/>
          <w:color w:val="000000"/>
          <w:sz w:val="24"/>
          <w:szCs w:val="24"/>
        </w:rPr>
        <w:t xml:space="preserve"> </w:t>
      </w:r>
    </w:p>
    <w:p w:rsidR="001940C9" w:rsidRPr="004C2E21" w:rsidP="00CF5A25" w14:paraId="2A0553B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2C7051" w:rsidRPr="004C2E21" w:rsidP="00CF5A25" w14:paraId="7895546C" w14:textId="08A3F4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C2E21">
        <w:rPr>
          <w:snapToGrid w:val="0"/>
          <w:color w:val="000000"/>
          <w:sz w:val="24"/>
          <w:szCs w:val="24"/>
        </w:rPr>
        <w:t xml:space="preserve">FTA anticipates that approximately 100 percent of the periodic </w:t>
      </w:r>
      <w:r w:rsidR="00FC309C">
        <w:rPr>
          <w:snapToGrid w:val="0"/>
          <w:color w:val="000000"/>
          <w:sz w:val="24"/>
          <w:szCs w:val="24"/>
        </w:rPr>
        <w:t>information collected will be</w:t>
      </w:r>
      <w:r w:rsidRPr="004C2E21" w:rsidR="001940C9">
        <w:rPr>
          <w:snapToGrid w:val="0"/>
          <w:color w:val="000000"/>
          <w:sz w:val="24"/>
          <w:szCs w:val="24"/>
        </w:rPr>
        <w:t xml:space="preserve"> provided to FTA electronically. </w:t>
      </w:r>
      <w:r w:rsidRPr="004C2E21">
        <w:rPr>
          <w:snapToGrid w:val="0"/>
          <w:color w:val="000000"/>
          <w:sz w:val="24"/>
          <w:szCs w:val="24"/>
        </w:rPr>
        <w:t xml:space="preserve"> </w:t>
      </w:r>
    </w:p>
    <w:p w:rsidR="00C66E8E" w:rsidRPr="004C2E21" w14:paraId="13D4AFD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Pr>
          <w:snapToGrid w:val="0"/>
          <w:color w:val="000000"/>
          <w:sz w:val="24"/>
          <w:szCs w:val="24"/>
        </w:rPr>
      </w:pPr>
    </w:p>
    <w:p w:rsidR="002C7051" w:rsidRPr="004C2E21" w:rsidP="00CF5A25" w14:paraId="616AA7A4"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4C2E21">
        <w:rPr>
          <w:snapToGrid w:val="0"/>
          <w:color w:val="000000"/>
          <w:sz w:val="24"/>
          <w:szCs w:val="24"/>
          <w:u w:val="single"/>
        </w:rPr>
        <w:t>4.DESCRIBE EFFORTS TO IDENTIFY DUPLICATION.  SHOW SPECIFICALLY WHY ANY SIMILAR INFORMATION ALREADY AVAILABLE CANNOT BE USED OR MODIFIED FOR USE FOR THE PURPOSES DESCRIBED IN ITEM 2</w:t>
      </w:r>
      <w:r w:rsidRPr="004C2E21">
        <w:rPr>
          <w:snapToGrid w:val="0"/>
          <w:color w:val="000000"/>
          <w:sz w:val="24"/>
          <w:szCs w:val="24"/>
        </w:rPr>
        <w:t>.</w:t>
      </w:r>
    </w:p>
    <w:p w:rsidR="002C7051" w:rsidRPr="004C2E21" w14:paraId="53AE24E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p>
    <w:p w:rsidR="002C7051" w:rsidRPr="004C2E21" w14:paraId="5050CBA0" w14:textId="1151CF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C2E21">
        <w:rPr>
          <w:sz w:val="24"/>
          <w:szCs w:val="24"/>
        </w:rPr>
        <w:t>This collection is different from the existing safety related collections associated with the Public Transportation Agency Safety Plan Program (2132-0580), the Public Transportation Safety Certification Training Program (2132-0578), and the State Safety Ov</w:t>
      </w:r>
      <w:r w:rsidRPr="004C2E21">
        <w:rPr>
          <w:sz w:val="24"/>
          <w:szCs w:val="24"/>
        </w:rPr>
        <w:t>ersight Program (2132-0558). The aforementioned collections are approved to collect information related to the requirements of those safety programs while this new collection is intended to cover other safety issues, including emerging safety concerns.</w:t>
      </w:r>
      <w:r w:rsidR="004B588E">
        <w:rPr>
          <w:sz w:val="24"/>
          <w:szCs w:val="24"/>
        </w:rPr>
        <w:t xml:space="preserve"> </w:t>
      </w:r>
    </w:p>
    <w:p w:rsidR="00B830D1" w:rsidRPr="004C2E21" w14:paraId="479DE8B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2C7051" w:rsidRPr="004C2E21" w:rsidP="00CF5A25" w14:paraId="46A09F8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C2E21">
        <w:rPr>
          <w:snapToGrid w:val="0"/>
          <w:color w:val="000000"/>
          <w:sz w:val="24"/>
          <w:szCs w:val="24"/>
        </w:rPr>
        <w:t>5</w:t>
      </w:r>
      <w:r w:rsidRPr="004C2E21">
        <w:rPr>
          <w:snapToGrid w:val="0"/>
          <w:color w:val="000000"/>
          <w:sz w:val="24"/>
          <w:szCs w:val="24"/>
        </w:rPr>
        <w:t>.</w:t>
      </w:r>
      <w:r w:rsidRPr="004C2E21">
        <w:rPr>
          <w:snapToGrid w:val="0"/>
          <w:color w:val="000000"/>
          <w:sz w:val="24"/>
          <w:szCs w:val="24"/>
          <w:u w:val="single"/>
        </w:rPr>
        <w:t>METHODS USED TO MINIMIZE BURDEN ON SMALL BUSINESSES OR OTHER</w:t>
      </w:r>
      <w:r w:rsidRPr="004C2E21">
        <w:rPr>
          <w:snapToGrid w:val="0"/>
          <w:color w:val="000000"/>
          <w:sz w:val="24"/>
          <w:szCs w:val="24"/>
        </w:rPr>
        <w:t xml:space="preserve"> </w:t>
      </w:r>
      <w:r w:rsidRPr="004C2E21">
        <w:rPr>
          <w:snapToGrid w:val="0"/>
          <w:color w:val="000000"/>
          <w:sz w:val="24"/>
          <w:szCs w:val="24"/>
          <w:u w:val="single"/>
        </w:rPr>
        <w:t>SMALL ENTITIES</w:t>
      </w:r>
      <w:r w:rsidRPr="004C2E21">
        <w:rPr>
          <w:snapToGrid w:val="0"/>
          <w:color w:val="000000"/>
          <w:sz w:val="24"/>
          <w:szCs w:val="24"/>
        </w:rPr>
        <w:t>.</w:t>
      </w:r>
    </w:p>
    <w:p w:rsidR="00F358CE" w:rsidRPr="004C2E21" w14:paraId="1B15C9A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002C7051" w:rsidRPr="004C2E21" w:rsidP="00CF5A25" w14:paraId="2DE6C97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C2E21">
        <w:rPr>
          <w:snapToGrid w:val="0"/>
          <w:color w:val="000000"/>
          <w:sz w:val="24"/>
          <w:szCs w:val="24"/>
        </w:rPr>
        <w:t>The information collected does not involve small business</w:t>
      </w:r>
      <w:r w:rsidRPr="004C2E21" w:rsidR="00F358CE">
        <w:rPr>
          <w:snapToGrid w:val="0"/>
          <w:color w:val="000000"/>
          <w:sz w:val="24"/>
          <w:szCs w:val="24"/>
        </w:rPr>
        <w:t>es</w:t>
      </w:r>
      <w:r w:rsidRPr="004C2E21">
        <w:rPr>
          <w:snapToGrid w:val="0"/>
          <w:color w:val="000000"/>
          <w:sz w:val="24"/>
          <w:szCs w:val="24"/>
        </w:rPr>
        <w:t xml:space="preserve">.  </w:t>
      </w:r>
    </w:p>
    <w:p w:rsidR="002C7051" w:rsidRPr="004C2E21" w14:paraId="09CAB47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2C7051" w:rsidRPr="004C2E21" w:rsidP="00CF5A25" w14:paraId="407B0157"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C2E21">
        <w:rPr>
          <w:snapToGrid w:val="0"/>
          <w:color w:val="000000"/>
          <w:sz w:val="24"/>
          <w:szCs w:val="24"/>
          <w:u w:val="single"/>
        </w:rPr>
        <w:t>6.CONSEQUENCES TO FEDERAL PROGRAMS OR POLICY ACTIVITIES IF</w:t>
      </w:r>
      <w:r w:rsidRPr="004C2E21">
        <w:rPr>
          <w:snapToGrid w:val="0"/>
          <w:color w:val="000000"/>
          <w:sz w:val="24"/>
          <w:szCs w:val="24"/>
        </w:rPr>
        <w:t xml:space="preserve"> </w:t>
      </w:r>
      <w:r w:rsidRPr="004C2E21">
        <w:rPr>
          <w:snapToGrid w:val="0"/>
          <w:color w:val="000000"/>
          <w:sz w:val="24"/>
          <w:szCs w:val="24"/>
          <w:u w:val="single"/>
        </w:rPr>
        <w:t>INFORMATION WAS NOT COLLECTED OR COLLECTED LESS FREQUE</w:t>
      </w:r>
      <w:r w:rsidRPr="004C2E21">
        <w:rPr>
          <w:snapToGrid w:val="0"/>
          <w:color w:val="000000"/>
          <w:sz w:val="24"/>
          <w:szCs w:val="24"/>
          <w:u w:val="single"/>
        </w:rPr>
        <w:t>NTLY, AS WELL AS ANY TECHNICAL OR LEGAL OBSTACLES TO REDUCING THE BURDEN</w:t>
      </w:r>
      <w:r w:rsidRPr="004C2E21">
        <w:rPr>
          <w:snapToGrid w:val="0"/>
          <w:color w:val="000000"/>
          <w:sz w:val="24"/>
          <w:szCs w:val="24"/>
        </w:rPr>
        <w:t>.</w:t>
      </w:r>
    </w:p>
    <w:p w:rsidR="002C7051" w:rsidRPr="004C2E21" w14:paraId="49EF4FF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2C7051" w:rsidRPr="004C2E21" w:rsidP="00CF5A25" w14:paraId="7CDB2C50" w14:textId="70F4F5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C2E21">
        <w:rPr>
          <w:snapToGrid w:val="0"/>
          <w:color w:val="000000"/>
          <w:sz w:val="24"/>
          <w:szCs w:val="24"/>
        </w:rPr>
        <w:t>The information captured will enable FTA to respond to existing safety issues and be proactive to address potential and emerging safety concerns. This information collection is esse</w:t>
      </w:r>
      <w:r w:rsidRPr="004C2E21">
        <w:rPr>
          <w:snapToGrid w:val="0"/>
          <w:color w:val="000000"/>
          <w:sz w:val="24"/>
          <w:szCs w:val="24"/>
        </w:rPr>
        <w:t>ntial to FTA’s safety oversight and grant-making roles—both critical to the Agency’s mission of improving public transportation for America's communities.</w:t>
      </w:r>
      <w:r w:rsidRPr="004C2E21" w:rsidR="005A70FB">
        <w:rPr>
          <w:snapToGrid w:val="0"/>
          <w:color w:val="000000"/>
          <w:sz w:val="24"/>
          <w:szCs w:val="24"/>
        </w:rPr>
        <w:t xml:space="preserve"> </w:t>
      </w:r>
      <w:r w:rsidRPr="004C2E21">
        <w:rPr>
          <w:snapToGrid w:val="0"/>
          <w:color w:val="000000"/>
          <w:sz w:val="24"/>
          <w:szCs w:val="24"/>
        </w:rPr>
        <w:t xml:space="preserve">If this information was not collected, additional </w:t>
      </w:r>
      <w:r w:rsidRPr="004C2E21" w:rsidR="00E418D9">
        <w:rPr>
          <w:snapToGrid w:val="0"/>
          <w:color w:val="000000"/>
          <w:sz w:val="24"/>
          <w:szCs w:val="24"/>
        </w:rPr>
        <w:t xml:space="preserve">efforts by </w:t>
      </w:r>
      <w:r w:rsidRPr="004C2E21">
        <w:rPr>
          <w:snapToGrid w:val="0"/>
          <w:color w:val="000000"/>
          <w:sz w:val="24"/>
          <w:szCs w:val="24"/>
        </w:rPr>
        <w:t xml:space="preserve">agency staff would be </w:t>
      </w:r>
      <w:r w:rsidRPr="004C2E21" w:rsidR="005A70FB">
        <w:rPr>
          <w:snapToGrid w:val="0"/>
          <w:color w:val="000000"/>
          <w:sz w:val="24"/>
          <w:szCs w:val="24"/>
        </w:rPr>
        <w:t>needed t</w:t>
      </w:r>
      <w:r w:rsidRPr="004C2E21">
        <w:rPr>
          <w:snapToGrid w:val="0"/>
          <w:color w:val="000000"/>
          <w:sz w:val="24"/>
          <w:szCs w:val="24"/>
        </w:rPr>
        <w:t>o ensure compliance with program objectives</w:t>
      </w:r>
      <w:r w:rsidRPr="004C2E21" w:rsidR="00E418D9">
        <w:rPr>
          <w:snapToGrid w:val="0"/>
          <w:color w:val="000000"/>
          <w:sz w:val="24"/>
          <w:szCs w:val="24"/>
        </w:rPr>
        <w:t xml:space="preserve"> and awareness of </w:t>
      </w:r>
      <w:r w:rsidRPr="004C2E21" w:rsidR="00BD67EA">
        <w:rPr>
          <w:snapToGrid w:val="0"/>
          <w:color w:val="000000"/>
          <w:sz w:val="24"/>
          <w:szCs w:val="24"/>
        </w:rPr>
        <w:t>public transportation safety issues.</w:t>
      </w:r>
    </w:p>
    <w:p w:rsidR="002C7051" w:rsidRPr="004C2E21" w14:paraId="7F3FEFB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p>
    <w:p w:rsidR="002C7051" w:rsidRPr="004C2E21" w:rsidP="00CF5A25" w14:paraId="52DD67CC"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C2E21">
        <w:rPr>
          <w:snapToGrid w:val="0"/>
          <w:color w:val="000000"/>
          <w:sz w:val="24"/>
          <w:szCs w:val="24"/>
          <w:u w:val="single"/>
        </w:rPr>
        <w:t>7.SPECIAL CIRCUMSTANCES THAT REQUIRE THE COLLECTION TO BE</w:t>
      </w:r>
      <w:r w:rsidRPr="004C2E21">
        <w:rPr>
          <w:snapToGrid w:val="0"/>
          <w:color w:val="000000"/>
          <w:sz w:val="24"/>
          <w:szCs w:val="24"/>
        </w:rPr>
        <w:t xml:space="preserve"> </w:t>
      </w:r>
      <w:r w:rsidRPr="004C2E21">
        <w:rPr>
          <w:snapToGrid w:val="0"/>
          <w:color w:val="000000"/>
          <w:sz w:val="24"/>
          <w:szCs w:val="24"/>
          <w:u w:val="single"/>
        </w:rPr>
        <w:t>CONDUCTED IN A MANNER INCONSISTENT WITH 5 CFR 1320.6</w:t>
      </w:r>
      <w:r w:rsidRPr="004C2E21">
        <w:rPr>
          <w:snapToGrid w:val="0"/>
          <w:color w:val="000000"/>
          <w:sz w:val="24"/>
          <w:szCs w:val="24"/>
        </w:rPr>
        <w:t xml:space="preserve">. </w:t>
      </w:r>
    </w:p>
    <w:p w:rsidR="002C7051" w:rsidRPr="004C2E21" w14:paraId="12E3EF3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2C7051" w:rsidRPr="004C2E21" w14:paraId="4D5D500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C2E21">
        <w:rPr>
          <w:snapToGrid w:val="0"/>
          <w:color w:val="000000"/>
          <w:sz w:val="24"/>
          <w:szCs w:val="24"/>
        </w:rPr>
        <w:t>The informati</w:t>
      </w:r>
      <w:r w:rsidRPr="004C2E21">
        <w:rPr>
          <w:snapToGrid w:val="0"/>
          <w:color w:val="000000"/>
          <w:sz w:val="24"/>
          <w:szCs w:val="24"/>
        </w:rPr>
        <w:t>on collected is consistent with the guidelines in 5 CFR 1320.6.</w:t>
      </w:r>
    </w:p>
    <w:p w:rsidR="00C41969" w:rsidRPr="004C2E21" w14:paraId="0FD4BD3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2C7051" w:rsidRPr="004C2E21" w14:paraId="6F6CC80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2C7051" w:rsidRPr="004C2E21" w:rsidP="00CF5A25" w14:paraId="3B4323A4"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C2E21">
        <w:rPr>
          <w:snapToGrid w:val="0"/>
          <w:color w:val="000000"/>
          <w:sz w:val="24"/>
          <w:szCs w:val="24"/>
          <w:u w:val="single"/>
        </w:rPr>
        <w:t>8.EFFORTS TO CONSULT WITH PERSONS OUTSIDE THE AGENCY TO OBTAIN</w:t>
      </w:r>
      <w:r w:rsidRPr="004C2E21">
        <w:rPr>
          <w:snapToGrid w:val="0"/>
          <w:color w:val="000000"/>
          <w:sz w:val="24"/>
          <w:szCs w:val="24"/>
        </w:rPr>
        <w:t xml:space="preserve"> </w:t>
      </w:r>
      <w:r w:rsidRPr="004C2E21">
        <w:rPr>
          <w:snapToGrid w:val="0"/>
          <w:color w:val="000000"/>
          <w:sz w:val="24"/>
          <w:szCs w:val="24"/>
          <w:u w:val="single"/>
        </w:rPr>
        <w:t>THEIR VIEWS</w:t>
      </w:r>
      <w:r w:rsidRPr="004C2E21">
        <w:rPr>
          <w:snapToGrid w:val="0"/>
          <w:color w:val="000000"/>
          <w:sz w:val="24"/>
          <w:szCs w:val="24"/>
        </w:rPr>
        <w:t>.</w:t>
      </w:r>
    </w:p>
    <w:p w:rsidR="002C7051" w:rsidRPr="004C2E21" w14:paraId="19BB15B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DE1271" w:rsidRPr="004C2E21" w:rsidP="00CF5A25" w14:paraId="10D28CCE" w14:textId="292D57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sz w:val="24"/>
          <w:szCs w:val="24"/>
        </w:rPr>
      </w:pPr>
      <w:r w:rsidRPr="004C2E21">
        <w:rPr>
          <w:snapToGrid w:val="0"/>
          <w:color w:val="000000"/>
          <w:sz w:val="24"/>
          <w:szCs w:val="24"/>
        </w:rPr>
        <w:t xml:space="preserve">A 60-day Federal Register </w:t>
      </w:r>
      <w:r w:rsidRPr="004C2E21" w:rsidR="00A03B48">
        <w:rPr>
          <w:snapToGrid w:val="0"/>
          <w:color w:val="000000"/>
          <w:sz w:val="24"/>
          <w:szCs w:val="24"/>
        </w:rPr>
        <w:t>n</w:t>
      </w:r>
      <w:r w:rsidRPr="004C2E21">
        <w:rPr>
          <w:snapToGrid w:val="0"/>
          <w:color w:val="000000"/>
          <w:sz w:val="24"/>
          <w:szCs w:val="24"/>
        </w:rPr>
        <w:t>otice was published on</w:t>
      </w:r>
      <w:r w:rsidRPr="004C2E21" w:rsidR="00F358CE">
        <w:rPr>
          <w:snapToGrid w:val="0"/>
          <w:color w:val="000000"/>
          <w:sz w:val="24"/>
          <w:szCs w:val="24"/>
        </w:rPr>
        <w:t xml:space="preserve"> </w:t>
      </w:r>
      <w:r w:rsidR="004C2E21">
        <w:rPr>
          <w:snapToGrid w:val="0"/>
          <w:color w:val="000000"/>
          <w:sz w:val="24"/>
          <w:szCs w:val="24"/>
        </w:rPr>
        <w:t>July 6, 2023 (</w:t>
      </w:r>
      <w:r w:rsidR="007A0E0C">
        <w:rPr>
          <w:snapToGrid w:val="0"/>
          <w:color w:val="000000"/>
          <w:sz w:val="24"/>
          <w:szCs w:val="24"/>
        </w:rPr>
        <w:t>88 FR 43167)</w:t>
      </w:r>
      <w:r w:rsidRPr="004C2E21" w:rsidR="00E87893">
        <w:rPr>
          <w:snapToGrid w:val="0"/>
          <w:color w:val="000000"/>
          <w:sz w:val="24"/>
          <w:szCs w:val="24"/>
        </w:rPr>
        <w:t xml:space="preserve"> </w:t>
      </w:r>
      <w:r w:rsidRPr="004C2E21">
        <w:rPr>
          <w:snapToGrid w:val="0"/>
          <w:color w:val="000000"/>
          <w:sz w:val="24"/>
          <w:szCs w:val="24"/>
        </w:rPr>
        <w:t xml:space="preserve">soliciting comments prior to submission to the Office of Management and Budget (OMB).  </w:t>
      </w:r>
      <w:r w:rsidRPr="007A0E0C">
        <w:rPr>
          <w:snapToGrid w:val="0"/>
          <w:color w:val="000000"/>
          <w:sz w:val="24"/>
          <w:szCs w:val="24"/>
        </w:rPr>
        <w:t>No comments were received</w:t>
      </w:r>
      <w:r w:rsidRPr="007A0E0C">
        <w:rPr>
          <w:b/>
          <w:bCs/>
          <w:snapToGrid w:val="0"/>
          <w:color w:val="000000"/>
          <w:sz w:val="24"/>
          <w:szCs w:val="24"/>
        </w:rPr>
        <w:t>.</w:t>
      </w:r>
      <w:r w:rsidRPr="004C2E21">
        <w:rPr>
          <w:b/>
          <w:bCs/>
          <w:snapToGrid w:val="0"/>
          <w:color w:val="000000"/>
          <w:sz w:val="24"/>
          <w:szCs w:val="24"/>
        </w:rPr>
        <w:t xml:space="preserve">  </w:t>
      </w:r>
      <w:r w:rsidRPr="0064371A" w:rsidR="00913125">
        <w:rPr>
          <w:bCs/>
          <w:snapToGrid w:val="0"/>
          <w:color w:val="000000"/>
          <w:sz w:val="24"/>
          <w:szCs w:val="24"/>
        </w:rPr>
        <w:t xml:space="preserve">A 30-day Federal Register </w:t>
      </w:r>
      <w:r w:rsidRPr="0064371A" w:rsidR="00A03B48">
        <w:rPr>
          <w:bCs/>
          <w:snapToGrid w:val="0"/>
          <w:color w:val="000000"/>
          <w:sz w:val="24"/>
          <w:szCs w:val="24"/>
        </w:rPr>
        <w:t>n</w:t>
      </w:r>
      <w:r w:rsidRPr="0064371A" w:rsidR="00913125">
        <w:rPr>
          <w:bCs/>
          <w:snapToGrid w:val="0"/>
          <w:color w:val="000000"/>
          <w:sz w:val="24"/>
          <w:szCs w:val="24"/>
        </w:rPr>
        <w:t xml:space="preserve">otice was published </w:t>
      </w:r>
      <w:r w:rsidRPr="0064371A" w:rsidR="007A4449">
        <w:rPr>
          <w:bCs/>
          <w:snapToGrid w:val="0"/>
          <w:color w:val="000000"/>
          <w:sz w:val="24"/>
          <w:szCs w:val="24"/>
        </w:rPr>
        <w:t>on</w:t>
      </w:r>
      <w:r w:rsidRPr="0064371A">
        <w:rPr>
          <w:bCs/>
          <w:snapToGrid w:val="0"/>
          <w:color w:val="000000"/>
          <w:sz w:val="24"/>
          <w:szCs w:val="24"/>
        </w:rPr>
        <w:t xml:space="preserve"> December 11, </w:t>
      </w:r>
      <w:r w:rsidRPr="0064371A">
        <w:rPr>
          <w:bCs/>
          <w:snapToGrid w:val="0"/>
          <w:color w:val="000000"/>
          <w:sz w:val="24"/>
          <w:szCs w:val="24"/>
        </w:rPr>
        <w:t>2023</w:t>
      </w:r>
      <w:r w:rsidRPr="0064371A">
        <w:rPr>
          <w:bCs/>
          <w:snapToGrid w:val="0"/>
          <w:color w:val="000000"/>
          <w:sz w:val="24"/>
          <w:szCs w:val="24"/>
        </w:rPr>
        <w:t xml:space="preserve"> Vol. 88 No. 236 Page 85969</w:t>
      </w:r>
      <w:r w:rsidRPr="0064371A" w:rsidR="007A4449">
        <w:rPr>
          <w:bCs/>
          <w:snapToGrid w:val="0"/>
          <w:color w:val="000000"/>
          <w:sz w:val="24"/>
          <w:szCs w:val="24"/>
        </w:rPr>
        <w:t>.</w:t>
      </w:r>
      <w:r w:rsidRPr="004C2E21" w:rsidR="00E85821">
        <w:rPr>
          <w:bCs/>
          <w:snapToGrid w:val="0"/>
          <w:color w:val="000000"/>
          <w:sz w:val="24"/>
          <w:szCs w:val="24"/>
        </w:rPr>
        <w:t xml:space="preserve">  </w:t>
      </w:r>
      <w:r w:rsidRPr="004C2E21" w:rsidR="001E6AB9">
        <w:rPr>
          <w:bCs/>
          <w:snapToGrid w:val="0"/>
          <w:color w:val="000000"/>
          <w:sz w:val="24"/>
          <w:szCs w:val="24"/>
        </w:rPr>
        <w:t>Both</w:t>
      </w:r>
      <w:r w:rsidRPr="004C2E21" w:rsidR="00E85821">
        <w:rPr>
          <w:bCs/>
          <w:snapToGrid w:val="0"/>
          <w:color w:val="000000"/>
          <w:sz w:val="24"/>
          <w:szCs w:val="24"/>
        </w:rPr>
        <w:t xml:space="preserve"> Federal Register notices have been included with th</w:t>
      </w:r>
      <w:r w:rsidRPr="004C2E21" w:rsidR="0040226A">
        <w:rPr>
          <w:bCs/>
          <w:snapToGrid w:val="0"/>
          <w:color w:val="000000"/>
          <w:sz w:val="24"/>
          <w:szCs w:val="24"/>
        </w:rPr>
        <w:t>is</w:t>
      </w:r>
      <w:r w:rsidRPr="004C2E21" w:rsidR="00E85821">
        <w:rPr>
          <w:bCs/>
          <w:snapToGrid w:val="0"/>
          <w:color w:val="000000"/>
          <w:sz w:val="24"/>
          <w:szCs w:val="24"/>
        </w:rPr>
        <w:t xml:space="preserve"> OMB submittal</w:t>
      </w:r>
      <w:r w:rsidRPr="004C2E21" w:rsidR="00967E62">
        <w:rPr>
          <w:bCs/>
          <w:snapToGrid w:val="0"/>
          <w:color w:val="000000"/>
          <w:sz w:val="24"/>
          <w:szCs w:val="24"/>
        </w:rPr>
        <w:t xml:space="preserve"> in ROCIS</w:t>
      </w:r>
      <w:r w:rsidRPr="004C2E21" w:rsidR="00E85821">
        <w:rPr>
          <w:bCs/>
          <w:snapToGrid w:val="0"/>
          <w:color w:val="000000"/>
          <w:sz w:val="24"/>
          <w:szCs w:val="24"/>
        </w:rPr>
        <w:t>.</w:t>
      </w:r>
      <w:r w:rsidRPr="004C2E21" w:rsidR="00E87893">
        <w:rPr>
          <w:bCs/>
          <w:snapToGrid w:val="0"/>
          <w:color w:val="000000"/>
          <w:sz w:val="24"/>
          <w:szCs w:val="24"/>
        </w:rPr>
        <w:t xml:space="preserve">  FTA frequently engages in stakeholder outreach including webinar series and site visits to projects and transit agencies by the regional staff</w:t>
      </w:r>
      <w:r w:rsidR="009B1CD4">
        <w:rPr>
          <w:bCs/>
          <w:snapToGrid w:val="0"/>
          <w:color w:val="000000"/>
          <w:sz w:val="24"/>
          <w:szCs w:val="24"/>
        </w:rPr>
        <w:t xml:space="preserve"> and this IC has been a topic during many of these events</w:t>
      </w:r>
      <w:r w:rsidRPr="004C2E21" w:rsidR="00E87893">
        <w:rPr>
          <w:bCs/>
          <w:snapToGrid w:val="0"/>
          <w:color w:val="000000"/>
          <w:sz w:val="24"/>
          <w:szCs w:val="24"/>
        </w:rPr>
        <w:t xml:space="preserve">. </w:t>
      </w:r>
      <w:r w:rsidR="009B1CD4">
        <w:rPr>
          <w:bCs/>
          <w:snapToGrid w:val="0"/>
          <w:color w:val="000000"/>
          <w:sz w:val="24"/>
          <w:szCs w:val="24"/>
        </w:rPr>
        <w:t xml:space="preserve">Transit agencies overall like the proactive approach this IC provides to mitigate future safety concerns and transit agencies </w:t>
      </w:r>
      <w:r w:rsidR="00FC309C">
        <w:rPr>
          <w:bCs/>
          <w:snapToGrid w:val="0"/>
          <w:color w:val="000000"/>
          <w:sz w:val="24"/>
          <w:szCs w:val="24"/>
        </w:rPr>
        <w:t>can now</w:t>
      </w:r>
      <w:r w:rsidR="009B1CD4">
        <w:rPr>
          <w:bCs/>
          <w:snapToGrid w:val="0"/>
          <w:color w:val="000000"/>
          <w:sz w:val="24"/>
          <w:szCs w:val="24"/>
        </w:rPr>
        <w:t xml:space="preserve"> share best practices to prevent future incidents amongst their agencies.</w:t>
      </w:r>
    </w:p>
    <w:p w:rsidR="00DE1271" w:rsidRPr="004C2E21" w:rsidP="00CF5A25" w14:paraId="0ABDD65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sz w:val="24"/>
          <w:szCs w:val="24"/>
        </w:rPr>
      </w:pPr>
    </w:p>
    <w:p w:rsidR="002C7051" w:rsidRPr="004C2E21" w:rsidP="00CF5A25" w14:paraId="393D87E4" w14:textId="7F89AA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sz w:val="24"/>
          <w:szCs w:val="24"/>
        </w:rPr>
      </w:pPr>
      <w:r w:rsidRPr="004C2E21">
        <w:rPr>
          <w:bCs/>
          <w:snapToGrid w:val="0"/>
          <w:color w:val="000000"/>
          <w:sz w:val="24"/>
          <w:szCs w:val="24"/>
        </w:rPr>
        <w:t>FTA will continue to see</w:t>
      </w:r>
      <w:r w:rsidRPr="004C2E21" w:rsidR="0040226A">
        <w:rPr>
          <w:bCs/>
          <w:snapToGrid w:val="0"/>
          <w:color w:val="000000"/>
          <w:sz w:val="24"/>
          <w:szCs w:val="24"/>
        </w:rPr>
        <w:t>k</w:t>
      </w:r>
      <w:r w:rsidRPr="004C2E21">
        <w:rPr>
          <w:bCs/>
          <w:snapToGrid w:val="0"/>
          <w:color w:val="000000"/>
          <w:sz w:val="24"/>
          <w:szCs w:val="24"/>
        </w:rPr>
        <w:t xml:space="preserve"> additional outreach opportunities </w:t>
      </w:r>
      <w:r w:rsidRPr="004C2E21" w:rsidR="006137EA">
        <w:rPr>
          <w:bCs/>
          <w:snapToGrid w:val="0"/>
          <w:color w:val="000000"/>
          <w:sz w:val="24"/>
          <w:szCs w:val="24"/>
        </w:rPr>
        <w:t>with</w:t>
      </w:r>
      <w:r w:rsidRPr="004C2E21">
        <w:rPr>
          <w:bCs/>
          <w:snapToGrid w:val="0"/>
          <w:color w:val="000000"/>
          <w:sz w:val="24"/>
          <w:szCs w:val="24"/>
        </w:rPr>
        <w:t xml:space="preserve"> our stakeholders.</w:t>
      </w:r>
    </w:p>
    <w:p w:rsidR="002C7051" w:rsidRPr="004C2E21" w:rsidP="00034B99" w14:paraId="0D0C21F4"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4C2E21">
        <w:rPr>
          <w:snapToGrid w:val="0"/>
          <w:color w:val="000000"/>
          <w:sz w:val="24"/>
          <w:szCs w:val="24"/>
          <w:u w:val="single"/>
        </w:rPr>
        <w:t>9. EXPLAIN ANY DEC</w:t>
      </w:r>
      <w:r w:rsidRPr="004C2E21">
        <w:rPr>
          <w:snapToGrid w:val="0"/>
          <w:color w:val="000000"/>
          <w:sz w:val="24"/>
          <w:szCs w:val="24"/>
          <w:u w:val="single"/>
        </w:rPr>
        <w:t xml:space="preserve">ISION TO PROVIDE ANY PAYMENT OR GIFT TO </w:t>
      </w:r>
      <w:r w:rsidRPr="004C2E21">
        <w:rPr>
          <w:sz w:val="24"/>
          <w:szCs w:val="24"/>
          <w:u w:val="single"/>
        </w:rPr>
        <w:t xml:space="preserve">RESPONDENTS, OTHER THAN REMUNERATION OF CONTRACTORS OR </w:t>
      </w:r>
      <w:r w:rsidRPr="004C2E21">
        <w:rPr>
          <w:snapToGrid w:val="0"/>
          <w:color w:val="000000"/>
          <w:sz w:val="24"/>
          <w:szCs w:val="24"/>
          <w:u w:val="single"/>
        </w:rPr>
        <w:t>GRANTEES</w:t>
      </w:r>
      <w:r w:rsidRPr="004C2E21">
        <w:rPr>
          <w:snapToGrid w:val="0"/>
          <w:color w:val="000000"/>
          <w:sz w:val="24"/>
          <w:szCs w:val="24"/>
        </w:rPr>
        <w:t>.</w:t>
      </w:r>
    </w:p>
    <w:p w:rsidR="002C7051" w:rsidRPr="004C2E21" w14:paraId="257F32B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FC0721" w:rsidRPr="004C2E21" w14:paraId="1BCA066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C2E21">
        <w:rPr>
          <w:snapToGrid w:val="0"/>
          <w:color w:val="000000"/>
          <w:sz w:val="24"/>
          <w:szCs w:val="24"/>
        </w:rPr>
        <w:t>No payment is made to respondents.</w:t>
      </w:r>
    </w:p>
    <w:p w:rsidR="00C66E8E" w:rsidRPr="004C2E21" w:rsidP="00C66E8E" w14:paraId="3064686C"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u w:val="single"/>
        </w:rPr>
      </w:pPr>
    </w:p>
    <w:p w:rsidR="002C7051" w:rsidRPr="004C2E21" w:rsidP="00034B99" w14:paraId="1706CA42"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4C2E21">
        <w:rPr>
          <w:snapToGrid w:val="0"/>
          <w:color w:val="000000"/>
          <w:sz w:val="24"/>
          <w:szCs w:val="24"/>
          <w:u w:val="single"/>
        </w:rPr>
        <w:t>10.DESCRIBE ANY ASSURANCE OF CONFIDENTIALITY PROVIDED RESPONDENTS.</w:t>
      </w:r>
    </w:p>
    <w:p w:rsidR="00034B99" w:rsidRPr="004C2E21" w:rsidP="00034B99" w14:paraId="7A8A035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p>
    <w:p w:rsidR="002C7051" w:rsidRPr="004C2E21" w:rsidP="00034B99" w14:paraId="1BAF17B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C2E21">
        <w:rPr>
          <w:snapToGrid w:val="0"/>
          <w:color w:val="000000"/>
          <w:sz w:val="24"/>
          <w:szCs w:val="24"/>
        </w:rPr>
        <w:t>There is no assurance of confidentiality regarding these submissions.</w:t>
      </w:r>
    </w:p>
    <w:p w:rsidR="00034B99" w:rsidRPr="004C2E21" w:rsidP="00034B99" w14:paraId="272EA6A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2C7051" w:rsidRPr="004C2E21" w:rsidP="00034B99" w14:paraId="43BCD55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C2E21">
        <w:rPr>
          <w:snapToGrid w:val="0"/>
          <w:color w:val="000000"/>
          <w:sz w:val="24"/>
          <w:szCs w:val="24"/>
        </w:rPr>
        <w:t>11.</w:t>
      </w:r>
      <w:r w:rsidRPr="004C2E21">
        <w:rPr>
          <w:snapToGrid w:val="0"/>
          <w:color w:val="000000"/>
          <w:sz w:val="24"/>
          <w:szCs w:val="24"/>
          <w:u w:val="single"/>
        </w:rPr>
        <w:t>ADDITIONAL JUSTIFICATION FOR QUESTIONS OF A SENSITIVE NATURE</w:t>
      </w:r>
      <w:r w:rsidRPr="004C2E21">
        <w:rPr>
          <w:snapToGrid w:val="0"/>
          <w:color w:val="000000"/>
          <w:sz w:val="24"/>
          <w:szCs w:val="24"/>
        </w:rPr>
        <w:t>.</w:t>
      </w:r>
    </w:p>
    <w:p w:rsidR="002C7051" w:rsidRPr="004C2E21" w14:paraId="3E5282E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009B1CD4" w:rsidP="00FC0721" w14:paraId="20E3418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C2E21">
        <w:rPr>
          <w:snapToGrid w:val="0"/>
          <w:color w:val="000000"/>
          <w:sz w:val="24"/>
          <w:szCs w:val="24"/>
        </w:rPr>
        <w:t>None of the information is of a sensitive nature.</w:t>
      </w:r>
    </w:p>
    <w:p w:rsidR="00FC0721" w:rsidRPr="004C2E21" w:rsidP="00FC0721" w14:paraId="0E1E1FAA" w14:textId="36B6E1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4C2E21">
        <w:rPr>
          <w:snapToGrid w:val="0"/>
          <w:color w:val="000000"/>
          <w:sz w:val="24"/>
          <w:szCs w:val="24"/>
        </w:rPr>
        <w:br/>
      </w:r>
      <w:r w:rsidRPr="004C2E21" w:rsidR="002C7051">
        <w:rPr>
          <w:snapToGrid w:val="0"/>
          <w:color w:val="000000"/>
          <w:sz w:val="24"/>
          <w:szCs w:val="24"/>
        </w:rPr>
        <w:t xml:space="preserve"> </w:t>
      </w:r>
      <w:r w:rsidRPr="004C2E21" w:rsidR="00034B99">
        <w:rPr>
          <w:snapToGrid w:val="0"/>
          <w:color w:val="000000"/>
          <w:sz w:val="24"/>
          <w:szCs w:val="24"/>
        </w:rPr>
        <w:t>12.</w:t>
      </w:r>
      <w:r w:rsidRPr="004C2E21" w:rsidR="002C7051">
        <w:rPr>
          <w:snapToGrid w:val="0"/>
          <w:color w:val="000000"/>
          <w:sz w:val="24"/>
          <w:szCs w:val="24"/>
          <w:u w:val="single"/>
        </w:rPr>
        <w:t>ESTIMATE OF THE HOUR BURDEN OF THE COLLECTION</w:t>
      </w:r>
      <w:r w:rsidRPr="004C2E21">
        <w:rPr>
          <w:snapToGrid w:val="0"/>
          <w:color w:val="000000"/>
          <w:sz w:val="24"/>
          <w:szCs w:val="24"/>
          <w:u w:val="single"/>
        </w:rPr>
        <w:t>;</w:t>
      </w:r>
      <w:r w:rsidRPr="004C2E21" w:rsidR="002C7051">
        <w:rPr>
          <w:snapToGrid w:val="0"/>
          <w:color w:val="000000"/>
          <w:sz w:val="24"/>
          <w:szCs w:val="24"/>
          <w:u w:val="single"/>
        </w:rPr>
        <w:t xml:space="preserve"> AND ANNUALIZED </w:t>
      </w:r>
    </w:p>
    <w:p w:rsidR="002C7051" w:rsidRPr="004C2E21" w:rsidP="00FC0721" w14:paraId="34B163D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C2E21">
        <w:rPr>
          <w:snapToGrid w:val="0"/>
          <w:color w:val="000000"/>
          <w:sz w:val="24"/>
          <w:szCs w:val="24"/>
        </w:rPr>
        <w:t xml:space="preserve"> </w:t>
      </w:r>
      <w:r w:rsidRPr="004C2E21">
        <w:rPr>
          <w:snapToGrid w:val="0"/>
          <w:color w:val="000000"/>
          <w:sz w:val="24"/>
          <w:szCs w:val="24"/>
        </w:rPr>
        <w:t xml:space="preserve">        </w:t>
      </w:r>
      <w:r w:rsidRPr="004C2E21" w:rsidR="00314CB7">
        <w:rPr>
          <w:snapToGrid w:val="0"/>
          <w:color w:val="000000"/>
          <w:sz w:val="24"/>
          <w:szCs w:val="24"/>
        </w:rPr>
        <w:t xml:space="preserve">  </w:t>
      </w:r>
      <w:r w:rsidRPr="004C2E21" w:rsidR="00314CB7">
        <w:rPr>
          <w:snapToGrid w:val="0"/>
          <w:color w:val="000000"/>
          <w:sz w:val="24"/>
          <w:szCs w:val="24"/>
        </w:rPr>
        <w:tab/>
      </w:r>
    </w:p>
    <w:p w:rsidR="007E1550" w:rsidRPr="004C299C" w:rsidP="004C299C" w14:paraId="145134CF" w14:textId="162488CB">
      <w:pPr>
        <w:pStyle w:val="citation-hover-present"/>
      </w:pPr>
      <w:r w:rsidRPr="004C299C">
        <w:rPr>
          <w:snapToGrid w:val="0"/>
          <w:color w:val="000000"/>
        </w:rPr>
        <w:t xml:space="preserve">TOTAL RESPONDENTS: </w:t>
      </w:r>
      <w:r w:rsidR="00775470">
        <w:rPr>
          <w:snapToGrid w:val="0"/>
          <w:color w:val="000000"/>
        </w:rPr>
        <w:t>2,477</w:t>
      </w:r>
      <w:r w:rsidRPr="004C299C" w:rsidR="004C299C">
        <w:t xml:space="preserve"> (</w:t>
      </w:r>
      <w:r w:rsidR="000D527D">
        <w:t>2,390</w:t>
      </w:r>
      <w:r w:rsidR="00691EE9">
        <w:t xml:space="preserve"> </w:t>
      </w:r>
      <w:r w:rsidRPr="004C299C" w:rsidR="004C299C">
        <w:t>transit agencies, 31 SSOAs, 56 States including the District of Columbia, Puerto Rico, the Northern Mariana Islands, Guam, American Samoa, and the Virgin Islands).</w:t>
      </w:r>
      <w:r w:rsidR="004C299C">
        <w:t xml:space="preserve"> </w:t>
      </w:r>
    </w:p>
    <w:p w:rsidR="007E1550" w:rsidRPr="004C299C" w:rsidP="00FC0721" w14:paraId="0A63B807" w14:textId="2F9BF6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C299C">
        <w:rPr>
          <w:snapToGrid w:val="0"/>
          <w:color w:val="000000"/>
          <w:sz w:val="24"/>
          <w:szCs w:val="24"/>
        </w:rPr>
        <w:t>TOTAL RESPONSES</w:t>
      </w:r>
      <w:r w:rsidRPr="004C299C" w:rsidR="00BD3F8B">
        <w:rPr>
          <w:snapToGrid w:val="0"/>
          <w:color w:val="000000"/>
          <w:sz w:val="24"/>
          <w:szCs w:val="24"/>
        </w:rPr>
        <w:t xml:space="preserve">: </w:t>
      </w:r>
      <w:r w:rsidR="005A64BD">
        <w:rPr>
          <w:snapToGrid w:val="0"/>
          <w:color w:val="000000"/>
          <w:sz w:val="24"/>
          <w:szCs w:val="24"/>
        </w:rPr>
        <w:t>4,8</w:t>
      </w:r>
      <w:r w:rsidR="001A5619">
        <w:rPr>
          <w:snapToGrid w:val="0"/>
          <w:color w:val="000000"/>
          <w:sz w:val="24"/>
          <w:szCs w:val="24"/>
        </w:rPr>
        <w:t>43</w:t>
      </w:r>
    </w:p>
    <w:p w:rsidR="00034B99" w:rsidRPr="0046144D" w:rsidP="00034B99" w14:paraId="2E979B51" w14:textId="2F9E60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6144D">
        <w:rPr>
          <w:snapToGrid w:val="0"/>
          <w:color w:val="000000"/>
          <w:sz w:val="24"/>
          <w:szCs w:val="24"/>
        </w:rPr>
        <w:t xml:space="preserve">TOTAL ANNUAL </w:t>
      </w:r>
      <w:r w:rsidRPr="0046144D">
        <w:rPr>
          <w:snapToGrid w:val="0"/>
          <w:color w:val="000000"/>
          <w:sz w:val="24"/>
          <w:szCs w:val="24"/>
        </w:rPr>
        <w:t>BURDEN HOURS</w:t>
      </w:r>
      <w:r w:rsidRPr="0046144D" w:rsidR="00BD3F8B">
        <w:rPr>
          <w:snapToGrid w:val="0"/>
          <w:color w:val="000000"/>
          <w:sz w:val="24"/>
          <w:szCs w:val="24"/>
        </w:rPr>
        <w:t xml:space="preserve">:  </w:t>
      </w:r>
      <w:bookmarkStart w:id="4" w:name="_Hlk152259975"/>
      <w:r w:rsidRPr="00722E55" w:rsidR="00722E55">
        <w:rPr>
          <w:snapToGrid w:val="0"/>
          <w:color w:val="000000"/>
          <w:sz w:val="24"/>
          <w:szCs w:val="24"/>
        </w:rPr>
        <w:t>146,940</w:t>
      </w:r>
      <w:bookmarkEnd w:id="4"/>
    </w:p>
    <w:p w:rsidR="002C7051" w:rsidRPr="0046144D" w:rsidP="00034B99" w14:paraId="092E43CD" w14:textId="1B7DE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6144D">
        <w:rPr>
          <w:snapToGrid w:val="0"/>
          <w:color w:val="000000"/>
          <w:sz w:val="24"/>
          <w:szCs w:val="24"/>
        </w:rPr>
        <w:t>COST TO RESPONDENTS:</w:t>
      </w:r>
      <w:r w:rsidRPr="0046144D" w:rsidR="00F5738F">
        <w:rPr>
          <w:snapToGrid w:val="0"/>
          <w:color w:val="000000"/>
          <w:sz w:val="24"/>
          <w:szCs w:val="24"/>
        </w:rPr>
        <w:t xml:space="preserve"> </w:t>
      </w:r>
      <w:r w:rsidRPr="00EC471B">
        <w:rPr>
          <w:color w:val="000000"/>
          <w:sz w:val="24"/>
          <w:szCs w:val="24"/>
        </w:rPr>
        <w:t>$9,364,485</w:t>
      </w:r>
    </w:p>
    <w:p w:rsidR="00933E3D" w14:paraId="4EEBCCFD" w14:textId="2C8640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szCs w:val="24"/>
        </w:rPr>
      </w:pPr>
    </w:p>
    <w:p w:rsidR="00F35121" w:rsidP="00F35121" w14:paraId="412E71C3" w14:textId="4EA5EAB2">
      <w:pPr>
        <w:ind w:firstLine="360"/>
        <w:jc w:val="both"/>
        <w:rPr>
          <w:bCs/>
          <w:color w:val="000000"/>
          <w:sz w:val="24"/>
          <w:szCs w:val="24"/>
        </w:rPr>
      </w:pPr>
      <w:r>
        <w:rPr>
          <w:bCs/>
          <w:color w:val="000000"/>
          <w:sz w:val="24"/>
          <w:szCs w:val="24"/>
        </w:rPr>
        <w:t xml:space="preserve">The </w:t>
      </w:r>
      <w:r>
        <w:rPr>
          <w:bCs/>
          <w:sz w:val="24"/>
          <w:szCs w:val="24"/>
        </w:rPr>
        <w:t>table</w:t>
      </w:r>
      <w:r>
        <w:rPr>
          <w:bCs/>
          <w:color w:val="000000"/>
          <w:sz w:val="24"/>
          <w:szCs w:val="24"/>
        </w:rPr>
        <w:t xml:space="preserve"> below presents the current estimates for information collection burden for </w:t>
      </w:r>
      <w:r w:rsidR="007A4449">
        <w:rPr>
          <w:bCs/>
          <w:color w:val="000000"/>
          <w:sz w:val="24"/>
          <w:szCs w:val="24"/>
        </w:rPr>
        <w:t>transit</w:t>
      </w:r>
      <w:r>
        <w:rPr>
          <w:bCs/>
          <w:color w:val="000000"/>
          <w:sz w:val="24"/>
          <w:szCs w:val="24"/>
        </w:rPr>
        <w:t xml:space="preserve"> agencies, SSOAs, and States. </w:t>
      </w:r>
    </w:p>
    <w:p w:rsidR="00F35121" w:rsidRPr="004C2E21" w14:paraId="355CAA8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szCs w:val="24"/>
        </w:rPr>
      </w:pPr>
    </w:p>
    <w:p w:rsidR="005D5FBA" w:rsidP="005D5FBA" w14:paraId="6D7E6EAC" w14:textId="77777777">
      <w:pPr>
        <w:jc w:val="both"/>
        <w:rPr>
          <w:b/>
          <w:sz w:val="24"/>
          <w:szCs w:val="24"/>
        </w:rPr>
      </w:pPr>
      <w:r>
        <w:rPr>
          <w:b/>
          <w:sz w:val="24"/>
          <w:szCs w:val="24"/>
        </w:rPr>
        <w:t>Periodic Requests</w:t>
      </w:r>
      <w:r>
        <w:rPr>
          <w:rStyle w:val="FootnoteReference"/>
          <w:b/>
          <w:sz w:val="24"/>
          <w:szCs w:val="24"/>
        </w:rPr>
        <w:footnoteReference w:id="2"/>
      </w:r>
    </w:p>
    <w:p w:rsidR="005D5FBA" w:rsidP="005D5FBA" w14:paraId="2668B2CC" w14:textId="77777777">
      <w:pPr>
        <w:jc w:val="both"/>
        <w:rPr>
          <w:b/>
          <w:sz w:val="24"/>
          <w:szCs w:val="24"/>
        </w:rPr>
      </w:pPr>
    </w:p>
    <w:p w:rsidR="005D5FBA" w:rsidP="005D5FBA" w14:paraId="19A00EC2" w14:textId="1BE8227F">
      <w:pPr>
        <w:ind w:firstLine="360"/>
        <w:jc w:val="both"/>
        <w:rPr>
          <w:bCs/>
          <w:sz w:val="24"/>
          <w:szCs w:val="24"/>
        </w:rPr>
      </w:pPr>
      <w:r>
        <w:rPr>
          <w:bCs/>
          <w:sz w:val="24"/>
          <w:szCs w:val="24"/>
        </w:rPr>
        <w:t>FTA issues periodic requests to</w:t>
      </w:r>
      <w:r w:rsidR="007E6FC4">
        <w:rPr>
          <w:bCs/>
          <w:sz w:val="24"/>
          <w:szCs w:val="24"/>
        </w:rPr>
        <w:t xml:space="preserve"> </w:t>
      </w:r>
      <w:r w:rsidRPr="004C2E21" w:rsidR="007E6FC4">
        <w:rPr>
          <w:snapToGrid w:val="0"/>
          <w:color w:val="000000"/>
          <w:sz w:val="24"/>
          <w:szCs w:val="24"/>
        </w:rPr>
        <w:t>transit agencies, State Safety Oversight Agencies (SSOAs), and States.</w:t>
      </w:r>
      <w:r>
        <w:rPr>
          <w:bCs/>
          <w:sz w:val="24"/>
          <w:szCs w:val="24"/>
        </w:rPr>
        <w:t xml:space="preserve"> This may include</w:t>
      </w:r>
      <w:r w:rsidR="006D222B">
        <w:rPr>
          <w:bCs/>
          <w:sz w:val="24"/>
          <w:szCs w:val="24"/>
        </w:rPr>
        <w:t>, for example,</w:t>
      </w:r>
      <w:r>
        <w:rPr>
          <w:bCs/>
          <w:sz w:val="24"/>
          <w:szCs w:val="24"/>
        </w:rPr>
        <w:t xml:space="preserve"> Safety Advisories or Safety Directives that require information collection</w:t>
      </w:r>
      <w:r w:rsidR="00631FF8">
        <w:rPr>
          <w:bCs/>
          <w:sz w:val="24"/>
          <w:szCs w:val="24"/>
        </w:rPr>
        <w:t xml:space="preserve"> transit agencies, SSOAs, or States.</w:t>
      </w:r>
      <w:r>
        <w:rPr>
          <w:bCs/>
          <w:sz w:val="24"/>
          <w:szCs w:val="24"/>
        </w:rPr>
        <w:t xml:space="preserve"> </w:t>
      </w:r>
    </w:p>
    <w:p w:rsidR="005D5FBA" w:rsidP="005D5FBA" w14:paraId="2C62E95E" w14:textId="77777777">
      <w:pPr>
        <w:jc w:val="both"/>
        <w:rPr>
          <w:b/>
          <w:sz w:val="24"/>
          <w:szCs w:val="24"/>
        </w:rPr>
      </w:pPr>
    </w:p>
    <w:tbl>
      <w:tblPr>
        <w:tblW w:w="8277" w:type="dxa"/>
        <w:tblLook w:val="04A0"/>
      </w:tblPr>
      <w:tblGrid>
        <w:gridCol w:w="2368"/>
        <w:gridCol w:w="1219"/>
        <w:gridCol w:w="969"/>
        <w:gridCol w:w="1164"/>
        <w:gridCol w:w="1131"/>
        <w:gridCol w:w="1426"/>
      </w:tblGrid>
      <w:tr w14:paraId="552E4718" w14:textId="58402DB5" w:rsidTr="003C37A6">
        <w:tblPrEx>
          <w:tblW w:w="8277" w:type="dxa"/>
          <w:tblLook w:val="04A0"/>
        </w:tblPrEx>
        <w:trPr>
          <w:trHeight w:val="318"/>
        </w:trPr>
        <w:tc>
          <w:tcPr>
            <w:tcW w:w="2368" w:type="dxa"/>
            <w:tcBorders>
              <w:top w:val="single" w:sz="8" w:space="0" w:color="auto"/>
              <w:left w:val="single" w:sz="8" w:space="0" w:color="auto"/>
              <w:bottom w:val="single" w:sz="4" w:space="0" w:color="auto"/>
              <w:right w:val="nil"/>
            </w:tcBorders>
            <w:shd w:val="clear" w:color="auto" w:fill="FFFFFF"/>
            <w:noWrap/>
            <w:vAlign w:val="bottom"/>
            <w:hideMark/>
          </w:tcPr>
          <w:p w:rsidR="00F820AC" w14:paraId="699F7A29" w14:textId="77777777">
            <w:pPr>
              <w:spacing w:line="276" w:lineRule="auto"/>
              <w:jc w:val="both"/>
              <w:rPr>
                <w:rFonts w:ascii="Calibri" w:hAnsi="Calibri" w:cs="Calibri"/>
                <w:color w:val="000000"/>
                <w:sz w:val="24"/>
                <w:szCs w:val="24"/>
              </w:rPr>
            </w:pPr>
            <w:r>
              <w:rPr>
                <w:rFonts w:ascii="Calibri" w:hAnsi="Calibri" w:cs="Calibri"/>
                <w:color w:val="000000"/>
                <w:sz w:val="24"/>
                <w:szCs w:val="24"/>
              </w:rPr>
              <w:t> </w:t>
            </w:r>
          </w:p>
        </w:tc>
        <w:tc>
          <w:tcPr>
            <w:tcW w:w="1219" w:type="dxa"/>
            <w:tcBorders>
              <w:top w:val="single" w:sz="8" w:space="0" w:color="auto"/>
              <w:left w:val="nil"/>
              <w:bottom w:val="single" w:sz="4" w:space="0" w:color="auto"/>
              <w:right w:val="nil"/>
            </w:tcBorders>
            <w:shd w:val="clear" w:color="auto" w:fill="FFFFFF"/>
            <w:noWrap/>
            <w:vAlign w:val="bottom"/>
            <w:hideMark/>
          </w:tcPr>
          <w:p w:rsidR="00F820AC" w14:paraId="261E6DE2" w14:textId="77777777">
            <w:pPr>
              <w:spacing w:line="276" w:lineRule="auto"/>
              <w:jc w:val="both"/>
              <w:rPr>
                <w:rFonts w:ascii="Calibri" w:hAnsi="Calibri" w:cs="Calibri"/>
                <w:b/>
                <w:bCs/>
                <w:color w:val="000000"/>
                <w:sz w:val="24"/>
                <w:szCs w:val="24"/>
              </w:rPr>
            </w:pPr>
            <w:r>
              <w:rPr>
                <w:rFonts w:ascii="Calibri" w:hAnsi="Calibri" w:cs="Calibri"/>
                <w:b/>
                <w:bCs/>
                <w:color w:val="000000"/>
                <w:sz w:val="24"/>
                <w:szCs w:val="24"/>
              </w:rPr>
              <w:t>Quantity</w:t>
            </w:r>
          </w:p>
        </w:tc>
        <w:tc>
          <w:tcPr>
            <w:tcW w:w="969" w:type="dxa"/>
            <w:tcBorders>
              <w:top w:val="single" w:sz="8" w:space="0" w:color="auto"/>
              <w:left w:val="nil"/>
              <w:bottom w:val="single" w:sz="4" w:space="0" w:color="auto"/>
              <w:right w:val="nil"/>
            </w:tcBorders>
            <w:shd w:val="clear" w:color="auto" w:fill="FFFFFF"/>
            <w:noWrap/>
            <w:vAlign w:val="bottom"/>
            <w:hideMark/>
          </w:tcPr>
          <w:p w:rsidR="00F820AC" w14:paraId="786A3BA8" w14:textId="77777777">
            <w:pPr>
              <w:spacing w:line="276" w:lineRule="auto"/>
              <w:jc w:val="both"/>
              <w:rPr>
                <w:rFonts w:ascii="Calibri" w:hAnsi="Calibri" w:cs="Calibri"/>
                <w:b/>
                <w:bCs/>
                <w:color w:val="000000"/>
                <w:sz w:val="24"/>
                <w:szCs w:val="24"/>
              </w:rPr>
            </w:pPr>
            <w:r>
              <w:rPr>
                <w:rFonts w:ascii="Calibri" w:hAnsi="Calibri" w:cs="Calibri"/>
                <w:b/>
                <w:bCs/>
                <w:color w:val="000000"/>
                <w:sz w:val="24"/>
                <w:szCs w:val="24"/>
              </w:rPr>
              <w:t>Hours</w:t>
            </w:r>
          </w:p>
        </w:tc>
        <w:tc>
          <w:tcPr>
            <w:tcW w:w="1164" w:type="dxa"/>
            <w:tcBorders>
              <w:top w:val="single" w:sz="8" w:space="0" w:color="auto"/>
              <w:left w:val="nil"/>
              <w:bottom w:val="single" w:sz="4" w:space="0" w:color="auto"/>
              <w:right w:val="single" w:sz="8" w:space="0" w:color="auto"/>
            </w:tcBorders>
            <w:shd w:val="clear" w:color="auto" w:fill="FFFFFF"/>
            <w:noWrap/>
            <w:vAlign w:val="bottom"/>
            <w:hideMark/>
          </w:tcPr>
          <w:p w:rsidR="00F820AC" w14:paraId="1E7FA3F4" w14:textId="72953CDF">
            <w:pPr>
              <w:spacing w:line="276" w:lineRule="auto"/>
              <w:jc w:val="both"/>
              <w:rPr>
                <w:rFonts w:ascii="Calibri" w:hAnsi="Calibri" w:cs="Calibri"/>
                <w:b/>
                <w:bCs/>
                <w:color w:val="000000"/>
                <w:sz w:val="24"/>
                <w:szCs w:val="24"/>
              </w:rPr>
            </w:pPr>
            <w:r>
              <w:rPr>
                <w:rFonts w:ascii="Calibri" w:hAnsi="Calibri" w:cs="Calibri"/>
                <w:b/>
                <w:bCs/>
                <w:color w:val="000000"/>
                <w:sz w:val="24"/>
                <w:szCs w:val="24"/>
              </w:rPr>
              <w:t xml:space="preserve">Agencies </w:t>
            </w:r>
          </w:p>
        </w:tc>
        <w:tc>
          <w:tcPr>
            <w:tcW w:w="1131" w:type="dxa"/>
            <w:tcBorders>
              <w:top w:val="single" w:sz="8" w:space="0" w:color="auto"/>
              <w:left w:val="nil"/>
              <w:bottom w:val="single" w:sz="4" w:space="0" w:color="auto"/>
              <w:right w:val="single" w:sz="8" w:space="0" w:color="auto"/>
            </w:tcBorders>
            <w:shd w:val="clear" w:color="auto" w:fill="FFFFFF"/>
            <w:noWrap/>
            <w:vAlign w:val="bottom"/>
            <w:hideMark/>
          </w:tcPr>
          <w:p w:rsidR="00F820AC" w14:paraId="666F4170" w14:textId="76D136FD">
            <w:pPr>
              <w:spacing w:line="276" w:lineRule="auto"/>
              <w:jc w:val="both"/>
              <w:rPr>
                <w:rFonts w:ascii="Calibri" w:hAnsi="Calibri" w:cs="Calibri"/>
                <w:b/>
                <w:bCs/>
                <w:color w:val="000000"/>
                <w:sz w:val="24"/>
                <w:szCs w:val="24"/>
              </w:rPr>
            </w:pPr>
            <w:r>
              <w:rPr>
                <w:rFonts w:ascii="Calibri" w:hAnsi="Calibri" w:cs="Calibri"/>
                <w:b/>
                <w:bCs/>
                <w:color w:val="000000"/>
                <w:sz w:val="24"/>
                <w:szCs w:val="24"/>
              </w:rPr>
              <w:t>Total</w:t>
            </w:r>
            <w:r w:rsidR="00876F96">
              <w:rPr>
                <w:rFonts w:ascii="Calibri" w:hAnsi="Calibri" w:cs="Calibri"/>
                <w:b/>
                <w:bCs/>
                <w:color w:val="000000"/>
                <w:sz w:val="24"/>
                <w:szCs w:val="24"/>
              </w:rPr>
              <w:t xml:space="preserve"> Hours</w:t>
            </w:r>
          </w:p>
        </w:tc>
        <w:tc>
          <w:tcPr>
            <w:tcW w:w="1426" w:type="dxa"/>
            <w:tcBorders>
              <w:top w:val="single" w:sz="8" w:space="0" w:color="auto"/>
              <w:left w:val="nil"/>
              <w:bottom w:val="single" w:sz="4" w:space="0" w:color="auto"/>
              <w:right w:val="single" w:sz="8" w:space="0" w:color="auto"/>
            </w:tcBorders>
            <w:shd w:val="clear" w:color="auto" w:fill="FFFFFF"/>
          </w:tcPr>
          <w:p w:rsidR="00F820AC" w:rsidRPr="00BE3ACF" w14:paraId="31264B07" w14:textId="7E2CB5DF">
            <w:pPr>
              <w:spacing w:line="276" w:lineRule="auto"/>
              <w:jc w:val="both"/>
              <w:rPr>
                <w:rFonts w:ascii="Calibri" w:hAnsi="Calibri" w:cs="Calibri"/>
                <w:b/>
                <w:bCs/>
                <w:sz w:val="24"/>
                <w:szCs w:val="24"/>
              </w:rPr>
            </w:pPr>
            <w:r w:rsidRPr="00BE3ACF">
              <w:rPr>
                <w:b/>
                <w:bCs/>
                <w:sz w:val="24"/>
                <w:szCs w:val="24"/>
              </w:rPr>
              <w:t>Cost</w:t>
            </w:r>
            <w:r>
              <w:rPr>
                <w:b/>
                <w:bCs/>
                <w:sz w:val="24"/>
                <w:szCs w:val="24"/>
                <w:vertAlign w:val="superscript"/>
              </w:rPr>
              <w:footnoteReference w:id="3"/>
            </w:r>
          </w:p>
        </w:tc>
      </w:tr>
      <w:tr w14:paraId="221CCFB9" w14:textId="229FF417" w:rsidTr="003C37A6">
        <w:tblPrEx>
          <w:tblW w:w="8277" w:type="dxa"/>
          <w:tblLook w:val="04A0"/>
        </w:tblPrEx>
        <w:trPr>
          <w:trHeight w:val="318"/>
        </w:trPr>
        <w:tc>
          <w:tcPr>
            <w:tcW w:w="2368" w:type="dxa"/>
            <w:tcBorders>
              <w:top w:val="single" w:sz="4" w:space="0" w:color="auto"/>
              <w:left w:val="single" w:sz="8" w:space="0" w:color="auto"/>
              <w:bottom w:val="single" w:sz="4" w:space="0" w:color="auto"/>
              <w:right w:val="nil"/>
            </w:tcBorders>
            <w:shd w:val="clear" w:color="auto" w:fill="FFFFFF"/>
            <w:noWrap/>
            <w:vAlign w:val="bottom"/>
            <w:hideMark/>
          </w:tcPr>
          <w:p w:rsidR="00F820AC" w14:paraId="6B6A42A7" w14:textId="7027450F">
            <w:pPr>
              <w:spacing w:line="276" w:lineRule="auto"/>
              <w:jc w:val="both"/>
              <w:rPr>
                <w:rFonts w:ascii="Calibri" w:hAnsi="Calibri" w:cs="Calibri"/>
                <w:color w:val="000000"/>
                <w:sz w:val="24"/>
                <w:szCs w:val="24"/>
              </w:rPr>
            </w:pPr>
            <w:r>
              <w:rPr>
                <w:rFonts w:ascii="Calibri" w:hAnsi="Calibri" w:cs="Calibri"/>
                <w:color w:val="000000"/>
                <w:sz w:val="24"/>
                <w:szCs w:val="24"/>
              </w:rPr>
              <w:t xml:space="preserve">Safety Advisories/ </w:t>
            </w:r>
            <w:r w:rsidR="007A4449">
              <w:rPr>
                <w:rFonts w:ascii="Calibri" w:hAnsi="Calibri" w:cs="Calibri"/>
                <w:color w:val="000000"/>
                <w:sz w:val="24"/>
                <w:szCs w:val="24"/>
              </w:rPr>
              <w:t>Directives: Transit</w:t>
            </w:r>
            <w:r>
              <w:rPr>
                <w:rFonts w:ascii="Calibri" w:hAnsi="Calibri" w:cs="Calibri"/>
                <w:color w:val="000000"/>
                <w:sz w:val="24"/>
                <w:szCs w:val="24"/>
              </w:rPr>
              <w:t xml:space="preserve"> Agencies</w:t>
            </w:r>
            <w:r w:rsidR="00811D2D">
              <w:rPr>
                <w:rFonts w:ascii="Calibri" w:hAnsi="Calibri" w:cs="Calibri"/>
                <w:color w:val="000000"/>
                <w:sz w:val="24"/>
                <w:szCs w:val="24"/>
              </w:rPr>
              <w:t xml:space="preserve"> </w:t>
            </w:r>
          </w:p>
        </w:tc>
        <w:tc>
          <w:tcPr>
            <w:tcW w:w="1219" w:type="dxa"/>
            <w:tcBorders>
              <w:top w:val="single" w:sz="4" w:space="0" w:color="auto"/>
              <w:left w:val="nil"/>
              <w:bottom w:val="single" w:sz="4" w:space="0" w:color="auto"/>
              <w:right w:val="nil"/>
            </w:tcBorders>
            <w:shd w:val="clear" w:color="auto" w:fill="FFFFFF"/>
            <w:noWrap/>
            <w:vAlign w:val="center"/>
            <w:hideMark/>
          </w:tcPr>
          <w:p w:rsidR="00F820AC" w14:paraId="668BDFD3" w14:textId="6A0D0180">
            <w:pPr>
              <w:spacing w:line="276" w:lineRule="auto"/>
              <w:ind w:right="121"/>
              <w:jc w:val="both"/>
              <w:rPr>
                <w:rFonts w:ascii="Calibri" w:hAnsi="Calibri" w:cs="Calibri"/>
                <w:color w:val="000000"/>
                <w:sz w:val="24"/>
                <w:szCs w:val="24"/>
              </w:rPr>
            </w:pPr>
            <w:r>
              <w:rPr>
                <w:rFonts w:ascii="Calibri" w:hAnsi="Calibri" w:cs="Calibri"/>
                <w:color w:val="000000"/>
                <w:sz w:val="24"/>
                <w:szCs w:val="24"/>
              </w:rPr>
              <w:t>2</w:t>
            </w:r>
          </w:p>
        </w:tc>
        <w:tc>
          <w:tcPr>
            <w:tcW w:w="969" w:type="dxa"/>
            <w:tcBorders>
              <w:top w:val="single" w:sz="4" w:space="0" w:color="auto"/>
              <w:left w:val="nil"/>
              <w:bottom w:val="single" w:sz="4" w:space="0" w:color="auto"/>
              <w:right w:val="nil"/>
            </w:tcBorders>
            <w:shd w:val="clear" w:color="auto" w:fill="FFFFFF"/>
            <w:noWrap/>
            <w:vAlign w:val="center"/>
            <w:hideMark/>
          </w:tcPr>
          <w:p w:rsidR="00F820AC" w14:paraId="1F1695DE" w14:textId="783FD62D">
            <w:pPr>
              <w:spacing w:line="276" w:lineRule="auto"/>
              <w:ind w:right="121"/>
              <w:jc w:val="both"/>
              <w:rPr>
                <w:rFonts w:ascii="Calibri" w:hAnsi="Calibri" w:cs="Calibri"/>
                <w:color w:val="000000"/>
                <w:sz w:val="24"/>
                <w:szCs w:val="24"/>
              </w:rPr>
            </w:pPr>
            <w:r>
              <w:rPr>
                <w:rFonts w:ascii="Calibri" w:hAnsi="Calibri" w:cs="Calibri"/>
                <w:color w:val="000000"/>
                <w:sz w:val="24"/>
                <w:szCs w:val="24"/>
              </w:rPr>
              <w:t>30</w:t>
            </w:r>
          </w:p>
        </w:tc>
        <w:tc>
          <w:tcPr>
            <w:tcW w:w="1164" w:type="dxa"/>
            <w:tcBorders>
              <w:top w:val="single" w:sz="4" w:space="0" w:color="auto"/>
              <w:left w:val="nil"/>
              <w:bottom w:val="single" w:sz="4" w:space="0" w:color="auto"/>
              <w:right w:val="single" w:sz="8" w:space="0" w:color="auto"/>
            </w:tcBorders>
            <w:shd w:val="clear" w:color="auto" w:fill="FFFFFF"/>
            <w:noWrap/>
            <w:vAlign w:val="center"/>
            <w:hideMark/>
          </w:tcPr>
          <w:p w:rsidR="00F820AC" w14:paraId="408034EC" w14:textId="6348B5E7">
            <w:pPr>
              <w:spacing w:line="276" w:lineRule="auto"/>
              <w:ind w:right="121"/>
              <w:jc w:val="both"/>
              <w:rPr>
                <w:rFonts w:ascii="Calibri" w:hAnsi="Calibri" w:cs="Calibri"/>
                <w:color w:val="000000"/>
                <w:sz w:val="24"/>
                <w:szCs w:val="24"/>
              </w:rPr>
            </w:pPr>
            <w:r>
              <w:rPr>
                <w:rFonts w:ascii="Calibri" w:hAnsi="Calibri" w:cs="Calibri"/>
                <w:color w:val="000000"/>
                <w:sz w:val="24"/>
                <w:szCs w:val="24"/>
              </w:rPr>
              <w:t>2</w:t>
            </w:r>
            <w:r w:rsidR="006513D4">
              <w:rPr>
                <w:rFonts w:ascii="Calibri" w:hAnsi="Calibri" w:cs="Calibri"/>
                <w:color w:val="000000"/>
                <w:sz w:val="24"/>
                <w:szCs w:val="24"/>
              </w:rPr>
              <w:t>,</w:t>
            </w:r>
            <w:r>
              <w:rPr>
                <w:rFonts w:ascii="Calibri" w:hAnsi="Calibri" w:cs="Calibri"/>
                <w:color w:val="000000"/>
                <w:sz w:val="24"/>
                <w:szCs w:val="24"/>
              </w:rPr>
              <w:t>390</w:t>
            </w:r>
          </w:p>
        </w:tc>
        <w:tc>
          <w:tcPr>
            <w:tcW w:w="1131" w:type="dxa"/>
            <w:tcBorders>
              <w:top w:val="single" w:sz="4" w:space="0" w:color="auto"/>
              <w:left w:val="nil"/>
              <w:bottom w:val="single" w:sz="4" w:space="0" w:color="auto"/>
              <w:right w:val="single" w:sz="8" w:space="0" w:color="auto"/>
            </w:tcBorders>
            <w:shd w:val="clear" w:color="auto" w:fill="FFFFFF"/>
            <w:noWrap/>
            <w:vAlign w:val="center"/>
            <w:hideMark/>
          </w:tcPr>
          <w:p w:rsidR="00F820AC" w14:paraId="2946F474" w14:textId="5880E11B">
            <w:pPr>
              <w:spacing w:line="276" w:lineRule="auto"/>
              <w:ind w:right="36"/>
              <w:jc w:val="both"/>
              <w:rPr>
                <w:rFonts w:ascii="Calibri" w:hAnsi="Calibri" w:cs="Calibri"/>
                <w:color w:val="000000"/>
                <w:sz w:val="24"/>
                <w:szCs w:val="24"/>
              </w:rPr>
            </w:pPr>
            <w:r>
              <w:rPr>
                <w:rFonts w:ascii="Calibri" w:hAnsi="Calibri" w:cs="Calibri"/>
                <w:color w:val="000000"/>
                <w:sz w:val="24"/>
                <w:szCs w:val="24"/>
              </w:rPr>
              <w:t>143,400</w:t>
            </w:r>
          </w:p>
        </w:tc>
        <w:tc>
          <w:tcPr>
            <w:tcW w:w="1426" w:type="dxa"/>
            <w:tcBorders>
              <w:top w:val="single" w:sz="4" w:space="0" w:color="auto"/>
              <w:left w:val="nil"/>
              <w:bottom w:val="single" w:sz="4" w:space="0" w:color="auto"/>
              <w:right w:val="single" w:sz="8" w:space="0" w:color="auto"/>
            </w:tcBorders>
            <w:shd w:val="clear" w:color="auto" w:fill="FFFFFF"/>
          </w:tcPr>
          <w:p w:rsidR="00504D32" w14:paraId="2F74AE11" w14:textId="77777777">
            <w:pPr>
              <w:spacing w:line="276" w:lineRule="auto"/>
              <w:ind w:right="36"/>
              <w:jc w:val="both"/>
              <w:rPr>
                <w:rFonts w:ascii="Calibri" w:hAnsi="Calibri" w:cs="Calibri"/>
                <w:color w:val="000000"/>
                <w:sz w:val="24"/>
                <w:szCs w:val="24"/>
              </w:rPr>
            </w:pPr>
          </w:p>
          <w:p w:rsidR="00F820AC" w14:paraId="6D63EC85" w14:textId="523AAD93">
            <w:pPr>
              <w:spacing w:line="276" w:lineRule="auto"/>
              <w:ind w:right="36"/>
              <w:jc w:val="both"/>
              <w:rPr>
                <w:rFonts w:ascii="Calibri" w:hAnsi="Calibri" w:cs="Calibri"/>
                <w:color w:val="000000"/>
                <w:sz w:val="24"/>
                <w:szCs w:val="24"/>
              </w:rPr>
            </w:pPr>
            <w:r>
              <w:rPr>
                <w:rFonts w:ascii="Calibri" w:hAnsi="Calibri" w:cs="Calibri"/>
                <w:color w:val="000000"/>
                <w:sz w:val="24"/>
                <w:szCs w:val="24"/>
              </w:rPr>
              <w:t>$9,138,882</w:t>
            </w:r>
          </w:p>
        </w:tc>
      </w:tr>
      <w:tr w14:paraId="3EE14A74" w14:textId="3C658283" w:rsidTr="003C37A6">
        <w:tblPrEx>
          <w:tblW w:w="8277" w:type="dxa"/>
          <w:tblLook w:val="04A0"/>
        </w:tblPrEx>
        <w:trPr>
          <w:trHeight w:val="318"/>
        </w:trPr>
        <w:tc>
          <w:tcPr>
            <w:tcW w:w="2368" w:type="dxa"/>
            <w:tcBorders>
              <w:top w:val="single" w:sz="4" w:space="0" w:color="auto"/>
              <w:left w:val="single" w:sz="8" w:space="0" w:color="auto"/>
              <w:bottom w:val="single" w:sz="4" w:space="0" w:color="auto"/>
              <w:right w:val="nil"/>
            </w:tcBorders>
            <w:shd w:val="clear" w:color="auto" w:fill="FFFFFF"/>
            <w:noWrap/>
            <w:vAlign w:val="bottom"/>
            <w:hideMark/>
          </w:tcPr>
          <w:p w:rsidR="00F820AC" w14:paraId="4659ADEB" w14:textId="5EACC0D0">
            <w:pPr>
              <w:spacing w:line="276" w:lineRule="auto"/>
              <w:jc w:val="both"/>
              <w:rPr>
                <w:rFonts w:ascii="Calibri" w:hAnsi="Calibri" w:cs="Calibri"/>
                <w:color w:val="000000"/>
                <w:sz w:val="24"/>
                <w:szCs w:val="24"/>
              </w:rPr>
            </w:pPr>
            <w:r>
              <w:rPr>
                <w:rFonts w:ascii="Calibri" w:hAnsi="Calibri" w:cs="Calibri"/>
                <w:color w:val="000000"/>
                <w:sz w:val="24"/>
                <w:szCs w:val="24"/>
              </w:rPr>
              <w:t>Safety Advisories/ Directives: SSOAs</w:t>
            </w:r>
          </w:p>
        </w:tc>
        <w:tc>
          <w:tcPr>
            <w:tcW w:w="1219" w:type="dxa"/>
            <w:tcBorders>
              <w:top w:val="single" w:sz="4" w:space="0" w:color="auto"/>
              <w:left w:val="nil"/>
              <w:bottom w:val="single" w:sz="4" w:space="0" w:color="auto"/>
              <w:right w:val="nil"/>
            </w:tcBorders>
            <w:shd w:val="clear" w:color="auto" w:fill="FFFFFF"/>
            <w:noWrap/>
            <w:vAlign w:val="center"/>
            <w:hideMark/>
          </w:tcPr>
          <w:p w:rsidR="00F820AC" w14:paraId="7971F5AC" w14:textId="5DD4797C">
            <w:pPr>
              <w:spacing w:line="276" w:lineRule="auto"/>
              <w:ind w:right="121"/>
              <w:jc w:val="both"/>
              <w:rPr>
                <w:rFonts w:ascii="Calibri" w:hAnsi="Calibri" w:cs="Calibri"/>
                <w:color w:val="000000"/>
                <w:sz w:val="24"/>
                <w:szCs w:val="24"/>
              </w:rPr>
            </w:pPr>
            <w:r>
              <w:rPr>
                <w:rFonts w:ascii="Calibri" w:hAnsi="Calibri" w:cs="Calibri"/>
                <w:color w:val="000000"/>
                <w:sz w:val="24"/>
                <w:szCs w:val="24"/>
              </w:rPr>
              <w:t>2</w:t>
            </w:r>
          </w:p>
        </w:tc>
        <w:tc>
          <w:tcPr>
            <w:tcW w:w="969" w:type="dxa"/>
            <w:tcBorders>
              <w:top w:val="single" w:sz="4" w:space="0" w:color="auto"/>
              <w:left w:val="nil"/>
              <w:bottom w:val="single" w:sz="4" w:space="0" w:color="auto"/>
              <w:right w:val="nil"/>
            </w:tcBorders>
            <w:shd w:val="clear" w:color="auto" w:fill="FFFFFF"/>
            <w:noWrap/>
            <w:vAlign w:val="center"/>
            <w:hideMark/>
          </w:tcPr>
          <w:p w:rsidR="00F820AC" w14:paraId="23EAB781" w14:textId="5BE7AA66">
            <w:pPr>
              <w:spacing w:line="276" w:lineRule="auto"/>
              <w:ind w:right="121"/>
              <w:jc w:val="both"/>
              <w:rPr>
                <w:rFonts w:ascii="Calibri" w:hAnsi="Calibri" w:cs="Calibri"/>
                <w:color w:val="000000"/>
                <w:sz w:val="24"/>
                <w:szCs w:val="24"/>
              </w:rPr>
            </w:pPr>
            <w:r>
              <w:rPr>
                <w:rFonts w:ascii="Calibri" w:hAnsi="Calibri" w:cs="Calibri"/>
                <w:color w:val="000000"/>
                <w:sz w:val="24"/>
                <w:szCs w:val="24"/>
              </w:rPr>
              <w:t>30</w:t>
            </w:r>
          </w:p>
        </w:tc>
        <w:tc>
          <w:tcPr>
            <w:tcW w:w="1164" w:type="dxa"/>
            <w:tcBorders>
              <w:top w:val="single" w:sz="4" w:space="0" w:color="auto"/>
              <w:left w:val="nil"/>
              <w:bottom w:val="single" w:sz="4" w:space="0" w:color="auto"/>
              <w:right w:val="single" w:sz="8" w:space="0" w:color="auto"/>
            </w:tcBorders>
            <w:shd w:val="clear" w:color="auto" w:fill="FFFFFF"/>
            <w:noWrap/>
            <w:vAlign w:val="center"/>
            <w:hideMark/>
          </w:tcPr>
          <w:p w:rsidR="00F820AC" w14:paraId="7E8E989D" w14:textId="47DD3D44">
            <w:pPr>
              <w:spacing w:line="276" w:lineRule="auto"/>
              <w:ind w:right="121"/>
              <w:jc w:val="both"/>
              <w:rPr>
                <w:rFonts w:ascii="Calibri" w:hAnsi="Calibri" w:cs="Calibri"/>
                <w:color w:val="000000"/>
                <w:sz w:val="24"/>
                <w:szCs w:val="24"/>
              </w:rPr>
            </w:pPr>
            <w:r>
              <w:rPr>
                <w:rFonts w:ascii="Calibri" w:hAnsi="Calibri" w:cs="Calibri"/>
                <w:color w:val="000000"/>
                <w:sz w:val="24"/>
                <w:szCs w:val="24"/>
              </w:rPr>
              <w:t>31</w:t>
            </w:r>
          </w:p>
        </w:tc>
        <w:tc>
          <w:tcPr>
            <w:tcW w:w="1131" w:type="dxa"/>
            <w:tcBorders>
              <w:top w:val="single" w:sz="4" w:space="0" w:color="auto"/>
              <w:left w:val="nil"/>
              <w:bottom w:val="single" w:sz="4" w:space="0" w:color="auto"/>
              <w:right w:val="single" w:sz="8" w:space="0" w:color="auto"/>
            </w:tcBorders>
            <w:shd w:val="clear" w:color="auto" w:fill="FFFFFF"/>
            <w:noWrap/>
            <w:vAlign w:val="center"/>
            <w:hideMark/>
          </w:tcPr>
          <w:p w:rsidR="00F820AC" w14:paraId="22F57DA1" w14:textId="569AA25D">
            <w:pPr>
              <w:spacing w:line="276" w:lineRule="auto"/>
              <w:ind w:right="36"/>
              <w:jc w:val="both"/>
              <w:rPr>
                <w:rFonts w:ascii="Calibri" w:hAnsi="Calibri" w:cs="Calibri"/>
                <w:color w:val="000000"/>
                <w:sz w:val="24"/>
                <w:szCs w:val="24"/>
              </w:rPr>
            </w:pPr>
            <w:r>
              <w:rPr>
                <w:rFonts w:ascii="Calibri" w:hAnsi="Calibri" w:cs="Calibri"/>
                <w:color w:val="000000"/>
                <w:sz w:val="24"/>
                <w:szCs w:val="24"/>
              </w:rPr>
              <w:t>1,860</w:t>
            </w:r>
          </w:p>
        </w:tc>
        <w:tc>
          <w:tcPr>
            <w:tcW w:w="1426" w:type="dxa"/>
            <w:tcBorders>
              <w:top w:val="single" w:sz="4" w:space="0" w:color="auto"/>
              <w:left w:val="nil"/>
              <w:bottom w:val="single" w:sz="4" w:space="0" w:color="auto"/>
              <w:right w:val="single" w:sz="8" w:space="0" w:color="auto"/>
            </w:tcBorders>
            <w:shd w:val="clear" w:color="auto" w:fill="FFFFFF"/>
          </w:tcPr>
          <w:p w:rsidR="00F820AC" w14:paraId="1D4CB655" w14:textId="19113373">
            <w:pPr>
              <w:spacing w:line="276" w:lineRule="auto"/>
              <w:ind w:right="36"/>
              <w:jc w:val="both"/>
              <w:rPr>
                <w:rFonts w:ascii="Calibri" w:hAnsi="Calibri" w:cs="Calibri"/>
                <w:color w:val="000000"/>
                <w:sz w:val="24"/>
                <w:szCs w:val="24"/>
              </w:rPr>
            </w:pPr>
            <w:r>
              <w:rPr>
                <w:rFonts w:ascii="Calibri" w:hAnsi="Calibri" w:cs="Calibri"/>
                <w:color w:val="000000"/>
                <w:sz w:val="24"/>
                <w:szCs w:val="24"/>
              </w:rPr>
              <w:t>$118,537</w:t>
            </w:r>
          </w:p>
        </w:tc>
      </w:tr>
      <w:tr w14:paraId="430C537C" w14:textId="2FA8792F" w:rsidTr="003C37A6">
        <w:tblPrEx>
          <w:tblW w:w="8277" w:type="dxa"/>
          <w:tblLook w:val="04A0"/>
        </w:tblPrEx>
        <w:trPr>
          <w:trHeight w:val="318"/>
        </w:trPr>
        <w:tc>
          <w:tcPr>
            <w:tcW w:w="2368" w:type="dxa"/>
            <w:tcBorders>
              <w:top w:val="single" w:sz="4" w:space="0" w:color="auto"/>
              <w:left w:val="single" w:sz="8" w:space="0" w:color="auto"/>
              <w:bottom w:val="single" w:sz="4" w:space="0" w:color="auto"/>
              <w:right w:val="nil"/>
            </w:tcBorders>
            <w:shd w:val="clear" w:color="auto" w:fill="FFFFFF"/>
            <w:noWrap/>
            <w:vAlign w:val="bottom"/>
            <w:hideMark/>
          </w:tcPr>
          <w:p w:rsidR="00F820AC" w14:paraId="63F20A1F" w14:textId="7EFD4DB9">
            <w:pPr>
              <w:spacing w:line="276" w:lineRule="auto"/>
              <w:jc w:val="both"/>
              <w:rPr>
                <w:rFonts w:ascii="Calibri" w:hAnsi="Calibri" w:cs="Calibri"/>
                <w:color w:val="000000"/>
                <w:sz w:val="24"/>
                <w:szCs w:val="24"/>
              </w:rPr>
            </w:pPr>
            <w:r>
              <w:rPr>
                <w:rFonts w:ascii="Calibri" w:hAnsi="Calibri" w:cs="Calibri"/>
                <w:color w:val="000000"/>
                <w:sz w:val="24"/>
                <w:szCs w:val="24"/>
              </w:rPr>
              <w:t>Safety Advisories/ Directives: States</w:t>
            </w:r>
          </w:p>
        </w:tc>
        <w:tc>
          <w:tcPr>
            <w:tcW w:w="1219" w:type="dxa"/>
            <w:tcBorders>
              <w:top w:val="single" w:sz="4" w:space="0" w:color="auto"/>
              <w:left w:val="nil"/>
              <w:bottom w:val="single" w:sz="4" w:space="0" w:color="auto"/>
              <w:right w:val="nil"/>
            </w:tcBorders>
            <w:shd w:val="clear" w:color="auto" w:fill="FFFFFF"/>
            <w:noWrap/>
            <w:vAlign w:val="center"/>
            <w:hideMark/>
          </w:tcPr>
          <w:p w:rsidR="00F820AC" w14:paraId="577B3A20" w14:textId="2CFF12E9">
            <w:pPr>
              <w:spacing w:line="276" w:lineRule="auto"/>
              <w:ind w:right="121"/>
              <w:jc w:val="both"/>
              <w:rPr>
                <w:rFonts w:ascii="Calibri" w:hAnsi="Calibri" w:cs="Calibri"/>
                <w:color w:val="000000"/>
                <w:sz w:val="24"/>
                <w:szCs w:val="24"/>
              </w:rPr>
            </w:pPr>
            <w:r>
              <w:rPr>
                <w:rFonts w:ascii="Calibri" w:hAnsi="Calibri" w:cs="Calibri"/>
                <w:color w:val="000000"/>
                <w:sz w:val="24"/>
                <w:szCs w:val="24"/>
              </w:rPr>
              <w:t>1</w:t>
            </w:r>
          </w:p>
        </w:tc>
        <w:tc>
          <w:tcPr>
            <w:tcW w:w="969" w:type="dxa"/>
            <w:tcBorders>
              <w:top w:val="single" w:sz="4" w:space="0" w:color="auto"/>
              <w:left w:val="nil"/>
              <w:bottom w:val="single" w:sz="4" w:space="0" w:color="auto"/>
              <w:right w:val="nil"/>
            </w:tcBorders>
            <w:shd w:val="clear" w:color="auto" w:fill="FFFFFF"/>
            <w:noWrap/>
            <w:vAlign w:val="center"/>
            <w:hideMark/>
          </w:tcPr>
          <w:p w:rsidR="00F820AC" w14:paraId="2D71C8EC" w14:textId="164336E5">
            <w:pPr>
              <w:spacing w:line="276" w:lineRule="auto"/>
              <w:ind w:right="121"/>
              <w:jc w:val="both"/>
              <w:rPr>
                <w:rFonts w:ascii="Calibri" w:hAnsi="Calibri" w:cs="Calibri"/>
                <w:color w:val="000000"/>
                <w:sz w:val="24"/>
                <w:szCs w:val="24"/>
              </w:rPr>
            </w:pPr>
            <w:r>
              <w:rPr>
                <w:rFonts w:ascii="Calibri" w:hAnsi="Calibri" w:cs="Calibri"/>
                <w:color w:val="000000"/>
                <w:sz w:val="24"/>
                <w:szCs w:val="24"/>
              </w:rPr>
              <w:t>30</w:t>
            </w:r>
          </w:p>
        </w:tc>
        <w:tc>
          <w:tcPr>
            <w:tcW w:w="1164" w:type="dxa"/>
            <w:tcBorders>
              <w:top w:val="single" w:sz="4" w:space="0" w:color="auto"/>
              <w:left w:val="nil"/>
              <w:bottom w:val="single" w:sz="4" w:space="0" w:color="auto"/>
              <w:right w:val="single" w:sz="8" w:space="0" w:color="auto"/>
            </w:tcBorders>
            <w:shd w:val="clear" w:color="auto" w:fill="FFFFFF"/>
            <w:noWrap/>
            <w:vAlign w:val="center"/>
            <w:hideMark/>
          </w:tcPr>
          <w:p w:rsidR="00F820AC" w14:paraId="0135E3C6" w14:textId="45B3E075">
            <w:pPr>
              <w:spacing w:line="276" w:lineRule="auto"/>
              <w:ind w:right="121"/>
              <w:jc w:val="both"/>
              <w:rPr>
                <w:rFonts w:ascii="Calibri" w:hAnsi="Calibri" w:cs="Calibri"/>
                <w:color w:val="000000"/>
                <w:sz w:val="24"/>
                <w:szCs w:val="24"/>
              </w:rPr>
            </w:pPr>
            <w:r>
              <w:rPr>
                <w:rFonts w:ascii="Calibri" w:hAnsi="Calibri" w:cs="Calibri"/>
                <w:color w:val="000000"/>
                <w:sz w:val="24"/>
                <w:szCs w:val="24"/>
              </w:rPr>
              <w:t>56</w:t>
            </w:r>
          </w:p>
        </w:tc>
        <w:tc>
          <w:tcPr>
            <w:tcW w:w="1131" w:type="dxa"/>
            <w:tcBorders>
              <w:top w:val="single" w:sz="4" w:space="0" w:color="auto"/>
              <w:left w:val="nil"/>
              <w:bottom w:val="single" w:sz="4" w:space="0" w:color="auto"/>
              <w:right w:val="single" w:sz="8" w:space="0" w:color="auto"/>
            </w:tcBorders>
            <w:shd w:val="clear" w:color="auto" w:fill="FFFFFF"/>
            <w:noWrap/>
            <w:vAlign w:val="center"/>
            <w:hideMark/>
          </w:tcPr>
          <w:p w:rsidR="00F820AC" w14:paraId="55C00854" w14:textId="1294E41D">
            <w:pPr>
              <w:spacing w:line="276" w:lineRule="auto"/>
              <w:ind w:right="36"/>
              <w:jc w:val="both"/>
              <w:rPr>
                <w:rFonts w:ascii="Calibri" w:hAnsi="Calibri" w:cs="Calibri"/>
                <w:color w:val="000000"/>
                <w:sz w:val="24"/>
                <w:szCs w:val="24"/>
              </w:rPr>
            </w:pPr>
            <w:r>
              <w:rPr>
                <w:rFonts w:ascii="Calibri" w:hAnsi="Calibri" w:cs="Calibri"/>
                <w:color w:val="000000"/>
                <w:sz w:val="24"/>
                <w:szCs w:val="24"/>
              </w:rPr>
              <w:t>1,680</w:t>
            </w:r>
          </w:p>
        </w:tc>
        <w:tc>
          <w:tcPr>
            <w:tcW w:w="1426" w:type="dxa"/>
            <w:tcBorders>
              <w:top w:val="single" w:sz="4" w:space="0" w:color="auto"/>
              <w:left w:val="nil"/>
              <w:bottom w:val="single" w:sz="4" w:space="0" w:color="auto"/>
              <w:right w:val="single" w:sz="8" w:space="0" w:color="auto"/>
            </w:tcBorders>
            <w:shd w:val="clear" w:color="auto" w:fill="FFFFFF"/>
          </w:tcPr>
          <w:p w:rsidR="00F820AC" w14:paraId="6D3DC7EE" w14:textId="3B37B277">
            <w:pPr>
              <w:spacing w:line="276" w:lineRule="auto"/>
              <w:ind w:right="36"/>
              <w:jc w:val="both"/>
              <w:rPr>
                <w:rFonts w:ascii="Calibri" w:hAnsi="Calibri" w:cs="Calibri"/>
                <w:color w:val="000000"/>
                <w:sz w:val="24"/>
                <w:szCs w:val="24"/>
              </w:rPr>
            </w:pPr>
            <w:r>
              <w:rPr>
                <w:rFonts w:ascii="Calibri" w:hAnsi="Calibri" w:cs="Calibri"/>
                <w:color w:val="000000"/>
                <w:sz w:val="24"/>
                <w:szCs w:val="24"/>
              </w:rPr>
              <w:t>$107,066</w:t>
            </w:r>
          </w:p>
        </w:tc>
      </w:tr>
      <w:tr w14:paraId="1067C4E0" w14:textId="46F9DC53" w:rsidTr="003C37A6">
        <w:tblPrEx>
          <w:tblW w:w="8277" w:type="dxa"/>
          <w:tblLook w:val="04A0"/>
        </w:tblPrEx>
        <w:trPr>
          <w:trHeight w:val="338"/>
        </w:trPr>
        <w:tc>
          <w:tcPr>
            <w:tcW w:w="2368" w:type="dxa"/>
            <w:tcBorders>
              <w:top w:val="single" w:sz="4" w:space="0" w:color="auto"/>
              <w:left w:val="nil"/>
              <w:bottom w:val="nil"/>
              <w:right w:val="nil"/>
            </w:tcBorders>
            <w:shd w:val="clear" w:color="auto" w:fill="FFFFFF"/>
            <w:noWrap/>
            <w:vAlign w:val="bottom"/>
            <w:hideMark/>
          </w:tcPr>
          <w:p w:rsidR="00F820AC" w14:paraId="4AEB9523" w14:textId="77777777">
            <w:pPr>
              <w:spacing w:line="276" w:lineRule="auto"/>
              <w:jc w:val="both"/>
              <w:rPr>
                <w:rFonts w:ascii="Calibri" w:hAnsi="Calibri" w:cs="Calibri"/>
                <w:color w:val="000000"/>
                <w:sz w:val="24"/>
                <w:szCs w:val="24"/>
              </w:rPr>
            </w:pPr>
            <w:bookmarkStart w:id="5" w:name="_Hlk148630590"/>
            <w:r>
              <w:rPr>
                <w:rFonts w:ascii="Calibri" w:hAnsi="Calibri" w:cs="Calibri"/>
                <w:color w:val="000000"/>
                <w:sz w:val="24"/>
                <w:szCs w:val="24"/>
              </w:rPr>
              <w:t> </w:t>
            </w:r>
          </w:p>
        </w:tc>
        <w:tc>
          <w:tcPr>
            <w:tcW w:w="1219" w:type="dxa"/>
            <w:tcBorders>
              <w:top w:val="single" w:sz="4" w:space="0" w:color="auto"/>
              <w:left w:val="nil"/>
              <w:bottom w:val="nil"/>
              <w:right w:val="nil"/>
            </w:tcBorders>
            <w:shd w:val="clear" w:color="auto" w:fill="FFFFFF"/>
            <w:noWrap/>
            <w:vAlign w:val="center"/>
            <w:hideMark/>
          </w:tcPr>
          <w:p w:rsidR="00F820AC" w14:paraId="4AC5386E" w14:textId="77777777">
            <w:pPr>
              <w:spacing w:line="276" w:lineRule="auto"/>
              <w:ind w:right="121"/>
              <w:jc w:val="both"/>
              <w:rPr>
                <w:rFonts w:ascii="Calibri" w:hAnsi="Calibri" w:cs="Calibri"/>
                <w:color w:val="000000"/>
                <w:sz w:val="24"/>
                <w:szCs w:val="24"/>
              </w:rPr>
            </w:pPr>
            <w:r>
              <w:rPr>
                <w:rFonts w:ascii="Calibri" w:hAnsi="Calibri" w:cs="Calibri"/>
                <w:color w:val="000000"/>
                <w:sz w:val="24"/>
                <w:szCs w:val="24"/>
              </w:rPr>
              <w:t> </w:t>
            </w:r>
          </w:p>
        </w:tc>
        <w:tc>
          <w:tcPr>
            <w:tcW w:w="969" w:type="dxa"/>
            <w:tcBorders>
              <w:top w:val="single" w:sz="4" w:space="0" w:color="auto"/>
              <w:left w:val="nil"/>
              <w:bottom w:val="nil"/>
              <w:right w:val="nil"/>
            </w:tcBorders>
            <w:shd w:val="clear" w:color="auto" w:fill="FFFFFF"/>
            <w:noWrap/>
            <w:vAlign w:val="center"/>
            <w:hideMark/>
          </w:tcPr>
          <w:p w:rsidR="00F820AC" w14:paraId="0B12B034" w14:textId="77777777">
            <w:pPr>
              <w:spacing w:line="276" w:lineRule="auto"/>
              <w:ind w:right="121"/>
              <w:jc w:val="both"/>
              <w:rPr>
                <w:rFonts w:ascii="Calibri" w:hAnsi="Calibri" w:cs="Calibri"/>
                <w:color w:val="000000"/>
                <w:sz w:val="24"/>
                <w:szCs w:val="24"/>
              </w:rPr>
            </w:pPr>
            <w:r>
              <w:rPr>
                <w:rFonts w:ascii="Calibri" w:hAnsi="Calibri" w:cs="Calibri"/>
                <w:color w:val="000000"/>
                <w:sz w:val="24"/>
                <w:szCs w:val="24"/>
              </w:rPr>
              <w:t> </w:t>
            </w:r>
          </w:p>
        </w:tc>
        <w:tc>
          <w:tcPr>
            <w:tcW w:w="1164" w:type="dxa"/>
            <w:tcBorders>
              <w:top w:val="single" w:sz="4" w:space="0" w:color="auto"/>
              <w:left w:val="nil"/>
              <w:bottom w:val="nil"/>
              <w:right w:val="single" w:sz="8" w:space="0" w:color="auto"/>
            </w:tcBorders>
            <w:shd w:val="clear" w:color="auto" w:fill="FFFFFF"/>
            <w:noWrap/>
            <w:vAlign w:val="center"/>
            <w:hideMark/>
          </w:tcPr>
          <w:p w:rsidR="00F820AC" w14:paraId="66FE5F01" w14:textId="77777777">
            <w:pPr>
              <w:spacing w:line="276" w:lineRule="auto"/>
              <w:ind w:right="121"/>
              <w:jc w:val="both"/>
              <w:rPr>
                <w:rFonts w:ascii="Calibri" w:hAnsi="Calibri" w:cs="Calibri"/>
                <w:b/>
                <w:bCs/>
                <w:color w:val="000000"/>
                <w:sz w:val="24"/>
                <w:szCs w:val="24"/>
              </w:rPr>
            </w:pPr>
            <w:r>
              <w:rPr>
                <w:rFonts w:ascii="Calibri" w:hAnsi="Calibri" w:cs="Calibri"/>
                <w:b/>
                <w:bCs/>
                <w:color w:val="000000"/>
                <w:sz w:val="24"/>
                <w:szCs w:val="24"/>
              </w:rPr>
              <w:t> </w:t>
            </w:r>
          </w:p>
        </w:tc>
        <w:tc>
          <w:tcPr>
            <w:tcW w:w="1131" w:type="dxa"/>
            <w:tcBorders>
              <w:top w:val="nil"/>
              <w:left w:val="nil"/>
              <w:bottom w:val="single" w:sz="8" w:space="0" w:color="auto"/>
              <w:right w:val="single" w:sz="8" w:space="0" w:color="auto"/>
            </w:tcBorders>
            <w:shd w:val="clear" w:color="auto" w:fill="FFFFFF"/>
            <w:noWrap/>
            <w:vAlign w:val="center"/>
            <w:hideMark/>
          </w:tcPr>
          <w:p w:rsidR="00F820AC" w14:paraId="5ABC99DE" w14:textId="0E8DB505">
            <w:pPr>
              <w:spacing w:line="276" w:lineRule="auto"/>
              <w:ind w:right="36"/>
              <w:jc w:val="both"/>
              <w:rPr>
                <w:rFonts w:ascii="Calibri" w:hAnsi="Calibri" w:cs="Calibri"/>
                <w:b/>
                <w:bCs/>
                <w:color w:val="000000"/>
                <w:sz w:val="24"/>
                <w:szCs w:val="24"/>
              </w:rPr>
            </w:pPr>
            <w:r>
              <w:rPr>
                <w:rFonts w:ascii="Calibri" w:hAnsi="Calibri" w:cs="Calibri"/>
                <w:b/>
                <w:bCs/>
                <w:color w:val="000000"/>
                <w:sz w:val="24"/>
                <w:szCs w:val="24"/>
              </w:rPr>
              <w:t>146,940</w:t>
            </w:r>
          </w:p>
        </w:tc>
        <w:tc>
          <w:tcPr>
            <w:tcW w:w="1426" w:type="dxa"/>
            <w:tcBorders>
              <w:top w:val="nil"/>
              <w:left w:val="nil"/>
              <w:bottom w:val="single" w:sz="8" w:space="0" w:color="auto"/>
              <w:right w:val="single" w:sz="8" w:space="0" w:color="auto"/>
            </w:tcBorders>
            <w:shd w:val="clear" w:color="auto" w:fill="FFFFFF"/>
          </w:tcPr>
          <w:p w:rsidR="00F820AC" w14:paraId="7A8627D4" w14:textId="6A0122CF">
            <w:pPr>
              <w:spacing w:line="276" w:lineRule="auto"/>
              <w:ind w:right="36"/>
              <w:jc w:val="both"/>
              <w:rPr>
                <w:rFonts w:ascii="Calibri" w:hAnsi="Calibri" w:cs="Calibri"/>
                <w:b/>
                <w:bCs/>
                <w:color w:val="000000"/>
                <w:sz w:val="24"/>
                <w:szCs w:val="24"/>
              </w:rPr>
            </w:pPr>
            <w:r>
              <w:rPr>
                <w:rFonts w:ascii="Calibri" w:hAnsi="Calibri" w:cs="Calibri"/>
                <w:b/>
                <w:bCs/>
                <w:color w:val="000000"/>
                <w:sz w:val="24"/>
                <w:szCs w:val="24"/>
              </w:rPr>
              <w:t>$</w:t>
            </w:r>
            <w:r w:rsidR="00722E55">
              <w:rPr>
                <w:rFonts w:ascii="Calibri" w:hAnsi="Calibri" w:cs="Calibri"/>
                <w:b/>
                <w:bCs/>
                <w:color w:val="000000"/>
                <w:sz w:val="24"/>
                <w:szCs w:val="24"/>
              </w:rPr>
              <w:t>9,</w:t>
            </w:r>
            <w:r>
              <w:rPr>
                <w:rFonts w:ascii="Calibri" w:hAnsi="Calibri" w:cs="Calibri"/>
                <w:b/>
                <w:bCs/>
                <w:color w:val="000000"/>
                <w:sz w:val="24"/>
                <w:szCs w:val="24"/>
              </w:rPr>
              <w:t>364,485</w:t>
            </w:r>
          </w:p>
        </w:tc>
      </w:tr>
      <w:bookmarkEnd w:id="5"/>
    </w:tbl>
    <w:p w:rsidR="00CB02DD" w:rsidP="00CB02DD" w14:paraId="5CDAD44A" w14:textId="75315076">
      <w:pPr>
        <w:rPr>
          <w:color w:val="4472C4"/>
          <w:sz w:val="24"/>
          <w:szCs w:val="24"/>
        </w:rPr>
      </w:pPr>
    </w:p>
    <w:p w:rsidR="002C7051" w:rsidRPr="004C2E21" w:rsidP="000F61AF" w14:paraId="57441D8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C2E21">
        <w:rPr>
          <w:snapToGrid w:val="0"/>
          <w:color w:val="000000"/>
          <w:sz w:val="24"/>
          <w:szCs w:val="24"/>
        </w:rPr>
        <w:tab/>
      </w:r>
    </w:p>
    <w:p w:rsidR="002C7051" w:rsidRPr="004C2E21" w:rsidP="002A4652" w14:paraId="6B2D3DE6" w14:textId="77777777">
      <w:pPr>
        <w:widowControl w:val="0"/>
        <w:numPr>
          <w:ilvl w:val="0"/>
          <w:numId w:val="16"/>
        </w:numPr>
        <w:tabs>
          <w:tab w:val="left" w:pos="450"/>
          <w:tab w:val="left" w:pos="720"/>
          <w:tab w:val="left" w:pos="2160"/>
          <w:tab w:val="left" w:pos="2880"/>
          <w:tab w:val="left" w:pos="3600"/>
          <w:tab w:val="left" w:pos="4320"/>
          <w:tab w:val="left" w:pos="5040"/>
          <w:tab w:val="left" w:pos="5760"/>
          <w:tab w:val="left" w:pos="6480"/>
          <w:tab w:val="left" w:pos="7200"/>
          <w:tab w:val="left" w:pos="7920"/>
          <w:tab w:val="left" w:pos="8640"/>
        </w:tabs>
        <w:ind w:left="450" w:hanging="450"/>
        <w:rPr>
          <w:snapToGrid w:val="0"/>
          <w:color w:val="000000"/>
          <w:sz w:val="24"/>
          <w:szCs w:val="24"/>
          <w:u w:val="single"/>
        </w:rPr>
      </w:pPr>
      <w:r w:rsidRPr="004C2E21">
        <w:rPr>
          <w:snapToGrid w:val="0"/>
          <w:color w:val="000000"/>
          <w:sz w:val="24"/>
          <w:szCs w:val="24"/>
          <w:u w:val="single"/>
        </w:rPr>
        <w:t>ESTIMATE OF TOTAL ANNUAL COST BURDEN TO RESPONDENTS OR</w:t>
      </w:r>
      <w:r w:rsidRPr="004C2E21" w:rsidR="00E87893">
        <w:rPr>
          <w:snapToGrid w:val="0"/>
          <w:color w:val="000000"/>
          <w:sz w:val="24"/>
          <w:szCs w:val="24"/>
        </w:rPr>
        <w:t xml:space="preserve">     </w:t>
      </w:r>
      <w:r w:rsidRPr="004C2E21">
        <w:rPr>
          <w:snapToGrid w:val="0"/>
          <w:color w:val="000000"/>
          <w:sz w:val="24"/>
          <w:szCs w:val="24"/>
          <w:u w:val="single"/>
        </w:rPr>
        <w:t xml:space="preserve">RECORDKEEPERS RESULTING FROM THE COLLECTION OF INFORMATION  </w:t>
      </w:r>
    </w:p>
    <w:p w:rsidR="002C7051" w:rsidRPr="004C2E21" w:rsidP="00BE3ACF" w14:paraId="41AC7E71" w14:textId="56E56888">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napToGrid w:val="0"/>
          <w:color w:val="000000"/>
          <w:sz w:val="24"/>
          <w:szCs w:val="24"/>
          <w:u w:val="single"/>
        </w:rPr>
      </w:pPr>
      <w:r w:rsidRPr="004C2E21">
        <w:rPr>
          <w:snapToGrid w:val="0"/>
          <w:color w:val="000000"/>
          <w:sz w:val="24"/>
          <w:szCs w:val="24"/>
          <w:u w:val="single"/>
        </w:rPr>
        <w:t>(NOT INCLUDING THE COST OF ANY HOUR BURDEN SHOWN IN ITEMS 12</w:t>
      </w:r>
      <w:r w:rsidRPr="004C2E21" w:rsidR="00CB02DD">
        <w:rPr>
          <w:snapToGrid w:val="0"/>
          <w:color w:val="000000"/>
          <w:sz w:val="24"/>
          <w:szCs w:val="24"/>
          <w:u w:val="single"/>
        </w:rPr>
        <w:t xml:space="preserve"> </w:t>
      </w:r>
      <w:r w:rsidRPr="004C2E21">
        <w:rPr>
          <w:snapToGrid w:val="0"/>
          <w:color w:val="000000"/>
          <w:sz w:val="24"/>
          <w:szCs w:val="24"/>
          <w:u w:val="single"/>
        </w:rPr>
        <w:t>AND 14.</w:t>
      </w:r>
    </w:p>
    <w:p w:rsidR="002C7051" w14:paraId="117B7F75" w14:textId="4AED91F4">
      <w:pPr>
        <w:widowControl w:val="0"/>
        <w:tabs>
          <w:tab w:val="num" w:pos="0"/>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p>
    <w:p w:rsidR="00302442" w:rsidRPr="004C2E21" w14:paraId="17050C65" w14:textId="1D510C45">
      <w:pPr>
        <w:widowControl w:val="0"/>
        <w:tabs>
          <w:tab w:val="num" w:pos="0"/>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Pr>
          <w:sz w:val="24"/>
          <w:szCs w:val="24"/>
        </w:rPr>
        <w:t xml:space="preserve">There is no additional cost beyond that shown in items 12 and </w:t>
      </w:r>
      <w:r>
        <w:rPr>
          <w:sz w:val="24"/>
          <w:szCs w:val="24"/>
        </w:rPr>
        <w:t>14.</w:t>
      </w:r>
    </w:p>
    <w:p w:rsidR="00E87893" w:rsidRPr="004C2E21" w14:paraId="1BC8DC6A"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00BE3ACF" w:rsidP="002A4652" w14:paraId="7DFE9BA1"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2C7051" w:rsidRPr="004C2E21" w:rsidP="002A4652" w14:paraId="03BC9C4A" w14:textId="0E556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4C2E21">
        <w:rPr>
          <w:snapToGrid w:val="0"/>
          <w:color w:val="000000"/>
          <w:sz w:val="24"/>
          <w:szCs w:val="24"/>
        </w:rPr>
        <w:t xml:space="preserve">14.  </w:t>
      </w:r>
      <w:r w:rsidRPr="004C2E21">
        <w:rPr>
          <w:snapToGrid w:val="0"/>
          <w:color w:val="000000"/>
          <w:sz w:val="24"/>
          <w:szCs w:val="24"/>
          <w:u w:val="single"/>
        </w:rPr>
        <w:t xml:space="preserve">ESTIMATE OF THE ANNUALIZED COST TO THE FEDERAL GOVERNMENT. </w:t>
      </w:r>
    </w:p>
    <w:p w:rsidR="002C7051" w:rsidRPr="004C2E21" w14:paraId="75C464D3"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napToGrid w:val="0"/>
          <w:color w:val="000000"/>
          <w:sz w:val="24"/>
          <w:szCs w:val="24"/>
        </w:rPr>
      </w:pPr>
      <w:r w:rsidRPr="004C2E21">
        <w:rPr>
          <w:snapToGrid w:val="0"/>
          <w:color w:val="000000"/>
          <w:sz w:val="24"/>
          <w:szCs w:val="24"/>
        </w:rPr>
        <w:tab/>
        <w:t xml:space="preserve"> </w:t>
      </w:r>
    </w:p>
    <w:p w:rsidR="00EF00F4" w:rsidRPr="00320724" w:rsidP="00EF00F4" w14:paraId="2D06642D" w14:textId="3115DED6">
      <w:pPr>
        <w:ind w:firstLine="420"/>
        <w:jc w:val="both"/>
        <w:rPr>
          <w:sz w:val="24"/>
          <w:szCs w:val="24"/>
        </w:rPr>
      </w:pPr>
      <w:r w:rsidRPr="00320724">
        <w:rPr>
          <w:color w:val="212529"/>
          <w:sz w:val="24"/>
          <w:szCs w:val="24"/>
          <w:shd w:val="clear" w:color="auto" w:fill="FFFFFF"/>
        </w:rPr>
        <w:t xml:space="preserve">FTA administers a national transit safety program and compliance oversight process to advance safe, reliable, and equitable transit service throughout the United States. As part of this </w:t>
      </w:r>
      <w:r w:rsidRPr="00320724" w:rsidR="007A4449">
        <w:rPr>
          <w:color w:val="212529"/>
          <w:sz w:val="24"/>
          <w:szCs w:val="24"/>
          <w:shd w:val="clear" w:color="auto" w:fill="FFFFFF"/>
        </w:rPr>
        <w:t>responsibility</w:t>
      </w:r>
      <w:r w:rsidRPr="00320724">
        <w:rPr>
          <w:color w:val="212529"/>
          <w:sz w:val="24"/>
          <w:szCs w:val="24"/>
          <w:shd w:val="clear" w:color="auto" w:fill="FFFFFF"/>
        </w:rPr>
        <w:t xml:space="preserve">, FTA must </w:t>
      </w:r>
      <w:r w:rsidRPr="00320724">
        <w:rPr>
          <w:sz w:val="24"/>
          <w:szCs w:val="24"/>
        </w:rPr>
        <w:t xml:space="preserve">continue to monitor the safety of </w:t>
      </w:r>
      <w:r w:rsidRPr="00320724" w:rsidR="007A4449">
        <w:rPr>
          <w:sz w:val="24"/>
          <w:szCs w:val="24"/>
        </w:rPr>
        <w:t>public</w:t>
      </w:r>
      <w:r w:rsidRPr="00320724">
        <w:rPr>
          <w:sz w:val="24"/>
          <w:szCs w:val="24"/>
        </w:rPr>
        <w:t xml:space="preserve"> tran</w:t>
      </w:r>
      <w:r w:rsidRPr="00320724">
        <w:rPr>
          <w:sz w:val="24"/>
          <w:szCs w:val="24"/>
        </w:rPr>
        <w:t xml:space="preserve">sportation systems throughout the country to </w:t>
      </w:r>
      <w:r w:rsidRPr="00320724" w:rsidR="00680289">
        <w:rPr>
          <w:sz w:val="24"/>
          <w:szCs w:val="24"/>
        </w:rPr>
        <w:t xml:space="preserve">identify and respond to emerging safety concerns. </w:t>
      </w:r>
      <w:r w:rsidRPr="00320724" w:rsidR="00320724">
        <w:rPr>
          <w:sz w:val="24"/>
          <w:szCs w:val="24"/>
        </w:rPr>
        <w:t xml:space="preserve">The </w:t>
      </w:r>
      <w:r w:rsidRPr="00320724">
        <w:rPr>
          <w:sz w:val="24"/>
          <w:szCs w:val="24"/>
        </w:rPr>
        <w:t>table below provides estimates of the labor costs to FTA</w:t>
      </w:r>
      <w:r w:rsidR="00375D7D">
        <w:rPr>
          <w:sz w:val="24"/>
          <w:szCs w:val="24"/>
        </w:rPr>
        <w:t xml:space="preserve">. </w:t>
      </w:r>
    </w:p>
    <w:p w:rsidR="00EF00F4" w:rsidP="00EF00F4" w14:paraId="693DCF90" w14:textId="77777777">
      <w:pPr>
        <w:jc w:val="both"/>
        <w:rPr>
          <w:sz w:val="24"/>
          <w:szCs w:val="24"/>
        </w:rPr>
      </w:pPr>
    </w:p>
    <w:p w:rsidR="00320724" w:rsidP="00EF00F4" w14:paraId="57D6F866" w14:textId="77777777">
      <w:pPr>
        <w:pStyle w:val="BodyText"/>
        <w:ind w:firstLine="420"/>
        <w:jc w:val="both"/>
        <w:rPr>
          <w:szCs w:val="24"/>
        </w:rPr>
      </w:pPr>
    </w:p>
    <w:p w:rsidR="00EF00F4" w:rsidRPr="00375D7D" w:rsidP="00EF00F4" w14:paraId="0350B084" w14:textId="5C0F380E">
      <w:pPr>
        <w:pStyle w:val="BodyText"/>
        <w:ind w:firstLine="420"/>
        <w:jc w:val="both"/>
        <w:rPr>
          <w:color w:val="auto"/>
          <w:szCs w:val="24"/>
          <w:u w:val="none"/>
        </w:rPr>
      </w:pPr>
      <w:r w:rsidRPr="00375D7D">
        <w:rPr>
          <w:color w:val="auto"/>
          <w:szCs w:val="24"/>
          <w:u w:val="none"/>
        </w:rPr>
        <w:t>Costs are based on GS-12 Step 5 $</w:t>
      </w:r>
      <w:r w:rsidR="003E6322">
        <w:rPr>
          <w:color w:val="auto"/>
          <w:szCs w:val="24"/>
          <w:u w:val="none"/>
        </w:rPr>
        <w:t>51</w:t>
      </w:r>
      <w:r w:rsidRPr="00375D7D">
        <w:rPr>
          <w:color w:val="auto"/>
          <w:szCs w:val="24"/>
          <w:u w:val="none"/>
        </w:rPr>
        <w:t>.</w:t>
      </w:r>
      <w:r w:rsidR="003E6322">
        <w:rPr>
          <w:color w:val="auto"/>
          <w:szCs w:val="24"/>
          <w:u w:val="none"/>
        </w:rPr>
        <w:t>15</w:t>
      </w:r>
      <w:r w:rsidRPr="00375D7D">
        <w:rPr>
          <w:color w:val="auto"/>
          <w:szCs w:val="24"/>
          <w:u w:val="none"/>
        </w:rPr>
        <w:t xml:space="preserve"> per labor hour</w:t>
      </w:r>
      <w:r w:rsidRPr="003E6322" w:rsidR="003E6322">
        <w:rPr>
          <w:snapToGrid/>
          <w:color w:val="auto"/>
          <w:sz w:val="20"/>
          <w:u w:val="none"/>
        </w:rPr>
        <w:t xml:space="preserve"> </w:t>
      </w:r>
      <w:hyperlink r:id="rId5" w:history="1">
        <w:r w:rsidRPr="003E6322" w:rsidR="003E6322">
          <w:rPr>
            <w:snapToGrid/>
            <w:sz w:val="20"/>
          </w:rPr>
          <w:t>SALARY TABLE 2023-DCB (opm.gov)</w:t>
        </w:r>
      </w:hyperlink>
      <w:r w:rsidRPr="00375D7D">
        <w:rPr>
          <w:color w:val="auto"/>
          <w:szCs w:val="24"/>
          <w:u w:val="none"/>
        </w:rPr>
        <w:t xml:space="preserve">. Using this rate, FTA estimates a total annual cost to Federal Government of </w:t>
      </w:r>
      <w:r w:rsidRPr="00375D7D">
        <w:rPr>
          <w:b/>
          <w:bCs/>
          <w:color w:val="auto"/>
          <w:szCs w:val="24"/>
          <w:u w:val="none"/>
        </w:rPr>
        <w:t>$</w:t>
      </w:r>
      <w:r w:rsidR="003E6322">
        <w:rPr>
          <w:b/>
          <w:bCs/>
          <w:color w:val="auto"/>
          <w:szCs w:val="24"/>
          <w:u w:val="none"/>
        </w:rPr>
        <w:t>102,300</w:t>
      </w:r>
    </w:p>
    <w:p w:rsidR="00EF00F4" w:rsidRPr="00375D7D" w:rsidP="00EF00F4" w14:paraId="49906C54" w14:textId="77777777">
      <w:pPr>
        <w:pStyle w:val="BodyText"/>
        <w:ind w:firstLine="420"/>
        <w:jc w:val="both"/>
        <w:rPr>
          <w:color w:val="auto"/>
          <w:szCs w:val="24"/>
          <w:u w:val="none"/>
        </w:rPr>
      </w:pPr>
    </w:p>
    <w:p w:rsidR="00EF00F4" w:rsidRPr="00375D7D" w:rsidP="00EF00F4" w14:paraId="4498AB15" w14:textId="77777777">
      <w:pPr>
        <w:pStyle w:val="BodyText"/>
        <w:ind w:firstLine="420"/>
        <w:jc w:val="both"/>
        <w:rPr>
          <w:b/>
          <w:bCs/>
          <w:color w:val="auto"/>
          <w:szCs w:val="24"/>
          <w:u w:val="none"/>
        </w:rPr>
      </w:pPr>
      <w:r w:rsidRPr="00375D7D">
        <w:rPr>
          <w:color w:val="auto"/>
          <w:szCs w:val="24"/>
          <w:u w:val="none"/>
        </w:rPr>
        <w:t>Contract and IT support</w:t>
      </w:r>
      <w:r w:rsidRPr="00375D7D">
        <w:rPr>
          <w:color w:val="auto"/>
          <w:szCs w:val="24"/>
          <w:u w:val="none"/>
        </w:rPr>
        <w:t xml:space="preserve"> is provided at an annual estimate of $</w:t>
      </w:r>
      <w:r w:rsidRPr="00375D7D">
        <w:rPr>
          <w:b/>
          <w:bCs/>
          <w:color w:val="auto"/>
          <w:szCs w:val="24"/>
          <w:u w:val="none"/>
        </w:rPr>
        <w:t>38,390.</w:t>
      </w:r>
    </w:p>
    <w:p w:rsidR="00EF00F4" w:rsidRPr="00375D7D" w:rsidP="00EF00F4" w14:paraId="2FE829EF" w14:textId="77777777">
      <w:pPr>
        <w:pStyle w:val="BodyText"/>
        <w:jc w:val="both"/>
        <w:rPr>
          <w:b/>
          <w:bCs/>
          <w:color w:val="auto"/>
          <w:szCs w:val="24"/>
          <w:u w:val="none"/>
        </w:rPr>
      </w:pPr>
    </w:p>
    <w:p w:rsidR="00EF00F4" w:rsidRPr="00375D7D" w:rsidP="00EF00F4" w14:paraId="789D7F7A" w14:textId="5A929B05">
      <w:pPr>
        <w:pStyle w:val="BodyText"/>
        <w:jc w:val="both"/>
        <w:rPr>
          <w:color w:val="auto"/>
          <w:szCs w:val="24"/>
          <w:u w:val="none"/>
        </w:rPr>
      </w:pPr>
      <w:r w:rsidRPr="00375D7D">
        <w:rPr>
          <w:b/>
          <w:bCs/>
          <w:color w:val="auto"/>
          <w:szCs w:val="24"/>
          <w:u w:val="none"/>
        </w:rPr>
        <w:t>Total annualized cost to the Federal government is $</w:t>
      </w:r>
      <w:r w:rsidRPr="00375D7D" w:rsidR="00FD4F7E">
        <w:rPr>
          <w:b/>
          <w:bCs/>
          <w:color w:val="auto"/>
          <w:szCs w:val="24"/>
          <w:u w:val="none"/>
        </w:rPr>
        <w:t>1</w:t>
      </w:r>
      <w:r w:rsidR="003E6322">
        <w:rPr>
          <w:b/>
          <w:bCs/>
          <w:color w:val="auto"/>
          <w:szCs w:val="24"/>
          <w:u w:val="none"/>
        </w:rPr>
        <w:t>40,690</w:t>
      </w:r>
      <w:r w:rsidRPr="00375D7D" w:rsidR="00FD4F7E">
        <w:rPr>
          <w:b/>
          <w:bCs/>
          <w:color w:val="auto"/>
          <w:szCs w:val="24"/>
          <w:u w:val="none"/>
        </w:rPr>
        <w:t>.</w:t>
      </w:r>
    </w:p>
    <w:p w:rsidR="00EF00F4" w:rsidP="00EF00F4" w14:paraId="4D305A5D" w14:textId="77777777">
      <w:pPr>
        <w:jc w:val="both"/>
        <w:rPr>
          <w:sz w:val="24"/>
          <w:szCs w:val="24"/>
        </w:rPr>
      </w:pPr>
    </w:p>
    <w:p w:rsidR="00EF00F4" w:rsidP="00EF00F4" w14:paraId="5307831E" w14:textId="77777777">
      <w:pPr>
        <w:jc w:val="both"/>
        <w:rPr>
          <w:b/>
          <w:sz w:val="24"/>
          <w:szCs w:val="24"/>
        </w:rPr>
      </w:pPr>
      <w:r>
        <w:rPr>
          <w:b/>
          <w:sz w:val="24"/>
          <w:szCs w:val="24"/>
        </w:rPr>
        <w:t>Federal Transit Administration</w:t>
      </w:r>
    </w:p>
    <w:p w:rsidR="00EF00F4" w:rsidP="00EF00F4" w14:paraId="623DEDDD" w14:textId="77777777">
      <w:pPr>
        <w:jc w:val="both"/>
        <w:rPr>
          <w:b/>
          <w:sz w:val="24"/>
          <w:szCs w:val="24"/>
        </w:rPr>
      </w:pPr>
    </w:p>
    <w:tbl>
      <w:tblPr>
        <w:tblW w:w="8720" w:type="dxa"/>
        <w:tblLook w:val="04A0"/>
      </w:tblPr>
      <w:tblGrid>
        <w:gridCol w:w="4480"/>
        <w:gridCol w:w="1880"/>
        <w:gridCol w:w="2360"/>
      </w:tblGrid>
      <w:tr w14:paraId="28C50ADA" w14:textId="77777777" w:rsidTr="003E6322">
        <w:tblPrEx>
          <w:tblW w:w="8720" w:type="dxa"/>
          <w:tblLook w:val="04A0"/>
        </w:tblPrEx>
        <w:trPr>
          <w:trHeight w:val="330"/>
        </w:trPr>
        <w:tc>
          <w:tcPr>
            <w:tcW w:w="4480" w:type="dxa"/>
            <w:tcBorders>
              <w:top w:val="single" w:sz="8" w:space="0" w:color="auto"/>
              <w:left w:val="single" w:sz="8" w:space="0" w:color="auto"/>
              <w:bottom w:val="nil"/>
              <w:right w:val="nil"/>
            </w:tcBorders>
            <w:noWrap/>
            <w:vAlign w:val="bottom"/>
            <w:hideMark/>
          </w:tcPr>
          <w:p w:rsidR="00EF00F4" w14:paraId="7CDB1A90" w14:textId="77777777">
            <w:pPr>
              <w:spacing w:line="276" w:lineRule="auto"/>
              <w:jc w:val="both"/>
              <w:rPr>
                <w:rFonts w:ascii="Calibri (Body)" w:hAnsi="Calibri (Body)"/>
                <w:b/>
                <w:bCs/>
                <w:color w:val="000000"/>
                <w:sz w:val="24"/>
                <w:szCs w:val="24"/>
              </w:rPr>
            </w:pPr>
            <w:r>
              <w:rPr>
                <w:rFonts w:ascii="Calibri (Body)" w:hAnsi="Calibri (Body)"/>
                <w:b/>
                <w:bCs/>
                <w:color w:val="000000"/>
                <w:sz w:val="24"/>
                <w:szCs w:val="24"/>
              </w:rPr>
              <w:t>Annual Activity for PRA Related Activities</w:t>
            </w:r>
          </w:p>
        </w:tc>
        <w:tc>
          <w:tcPr>
            <w:tcW w:w="1880" w:type="dxa"/>
            <w:tcBorders>
              <w:top w:val="single" w:sz="8" w:space="0" w:color="auto"/>
              <w:left w:val="nil"/>
              <w:right w:val="nil"/>
            </w:tcBorders>
            <w:noWrap/>
            <w:vAlign w:val="bottom"/>
            <w:hideMark/>
          </w:tcPr>
          <w:p w:rsidR="00EF00F4" w14:paraId="7C96FA00" w14:textId="77777777">
            <w:pPr>
              <w:spacing w:line="276" w:lineRule="auto"/>
              <w:jc w:val="both"/>
              <w:rPr>
                <w:rFonts w:ascii="Calibri (Body)" w:hAnsi="Calibri (Body)"/>
                <w:b/>
                <w:bCs/>
                <w:color w:val="000000"/>
                <w:sz w:val="24"/>
                <w:szCs w:val="24"/>
              </w:rPr>
            </w:pPr>
            <w:r>
              <w:rPr>
                <w:rFonts w:ascii="Calibri (Body)" w:hAnsi="Calibri (Body)"/>
                <w:b/>
                <w:bCs/>
                <w:color w:val="000000"/>
                <w:sz w:val="24"/>
                <w:szCs w:val="24"/>
              </w:rPr>
              <w:t>Labor Hours</w:t>
            </w:r>
          </w:p>
        </w:tc>
        <w:tc>
          <w:tcPr>
            <w:tcW w:w="2360" w:type="dxa"/>
            <w:tcBorders>
              <w:top w:val="single" w:sz="8" w:space="0" w:color="auto"/>
              <w:left w:val="nil"/>
              <w:right w:val="single" w:sz="8" w:space="0" w:color="auto"/>
            </w:tcBorders>
            <w:noWrap/>
            <w:vAlign w:val="bottom"/>
            <w:hideMark/>
          </w:tcPr>
          <w:p w:rsidR="00EF00F4" w14:paraId="4701BD39" w14:textId="77777777">
            <w:pPr>
              <w:spacing w:line="276" w:lineRule="auto"/>
              <w:jc w:val="both"/>
              <w:rPr>
                <w:rFonts w:ascii="Calibri (Body)" w:hAnsi="Calibri (Body)"/>
                <w:b/>
                <w:bCs/>
                <w:color w:val="000000"/>
                <w:sz w:val="24"/>
                <w:szCs w:val="24"/>
              </w:rPr>
            </w:pPr>
            <w:r>
              <w:rPr>
                <w:rFonts w:ascii="Calibri (Body)" w:hAnsi="Calibri (Body)"/>
                <w:b/>
                <w:bCs/>
                <w:color w:val="000000"/>
                <w:sz w:val="24"/>
                <w:szCs w:val="24"/>
              </w:rPr>
              <w:t>Total Cost</w:t>
            </w:r>
          </w:p>
        </w:tc>
      </w:tr>
      <w:tr w14:paraId="65F8E75F" w14:textId="77777777" w:rsidTr="003E6322">
        <w:tblPrEx>
          <w:tblW w:w="8720" w:type="dxa"/>
          <w:tblLook w:val="04A0"/>
        </w:tblPrEx>
        <w:trPr>
          <w:trHeight w:val="315"/>
        </w:trPr>
        <w:tc>
          <w:tcPr>
            <w:tcW w:w="4480" w:type="dxa"/>
            <w:tcBorders>
              <w:top w:val="nil"/>
              <w:left w:val="single" w:sz="8" w:space="0" w:color="auto"/>
              <w:bottom w:val="nil"/>
              <w:right w:val="nil"/>
            </w:tcBorders>
            <w:shd w:val="clear" w:color="auto" w:fill="FFFFFF"/>
            <w:vAlign w:val="center"/>
            <w:hideMark/>
          </w:tcPr>
          <w:p w:rsidR="00EF00F4" w14:paraId="757C50EB" w14:textId="77777777">
            <w:pPr>
              <w:spacing w:line="276" w:lineRule="auto"/>
              <w:jc w:val="both"/>
              <w:rPr>
                <w:rFonts w:ascii="Calibri" w:hAnsi="Calibri"/>
                <w:color w:val="000000"/>
                <w:sz w:val="24"/>
                <w:szCs w:val="24"/>
              </w:rPr>
            </w:pPr>
            <w:r>
              <w:rPr>
                <w:rFonts w:ascii="Calibri" w:hAnsi="Calibri"/>
                <w:color w:val="000000"/>
                <w:sz w:val="24"/>
                <w:szCs w:val="24"/>
              </w:rPr>
              <w:t>Periodic Requests</w:t>
            </w:r>
          </w:p>
        </w:tc>
        <w:tc>
          <w:tcPr>
            <w:tcW w:w="1880" w:type="dxa"/>
            <w:tcBorders>
              <w:top w:val="nil"/>
              <w:left w:val="single" w:sz="4" w:space="0" w:color="auto"/>
              <w:bottom w:val="single" w:sz="4" w:space="0" w:color="auto"/>
              <w:right w:val="single" w:sz="4" w:space="0" w:color="auto"/>
            </w:tcBorders>
            <w:shd w:val="clear" w:color="auto" w:fill="FFFFFF"/>
            <w:vAlign w:val="center"/>
            <w:hideMark/>
          </w:tcPr>
          <w:p w:rsidR="00EF00F4" w:rsidP="003E6322" w14:paraId="3D39390A" w14:textId="6CE1E486">
            <w:pPr>
              <w:spacing w:line="276" w:lineRule="auto"/>
              <w:rPr>
                <w:rFonts w:ascii="Calibri" w:hAnsi="Calibri"/>
                <w:color w:val="000000"/>
                <w:sz w:val="24"/>
                <w:szCs w:val="24"/>
              </w:rPr>
            </w:pPr>
            <w:r>
              <w:rPr>
                <w:rFonts w:ascii="Calibri" w:hAnsi="Calibri"/>
                <w:color w:val="000000"/>
                <w:sz w:val="24"/>
                <w:szCs w:val="24"/>
              </w:rPr>
              <w:t xml:space="preserve">2,000 </w:t>
            </w:r>
          </w:p>
        </w:tc>
        <w:tc>
          <w:tcPr>
            <w:tcW w:w="2360" w:type="dxa"/>
            <w:tcBorders>
              <w:top w:val="nil"/>
              <w:left w:val="nil"/>
              <w:bottom w:val="single" w:sz="4" w:space="0" w:color="auto"/>
              <w:right w:val="single" w:sz="8" w:space="0" w:color="auto"/>
            </w:tcBorders>
            <w:shd w:val="clear" w:color="auto" w:fill="FFFFFF"/>
            <w:vAlign w:val="center"/>
            <w:hideMark/>
          </w:tcPr>
          <w:p w:rsidR="00EF00F4" w:rsidP="003E6322" w14:paraId="574DFD3D" w14:textId="3108D94C">
            <w:pPr>
              <w:spacing w:line="276" w:lineRule="auto"/>
              <w:rPr>
                <w:rFonts w:ascii="Calibri" w:hAnsi="Calibri"/>
                <w:color w:val="000000"/>
                <w:sz w:val="24"/>
                <w:szCs w:val="24"/>
              </w:rPr>
            </w:pPr>
            <w:r>
              <w:rPr>
                <w:rFonts w:ascii="Calibri" w:hAnsi="Calibri"/>
                <w:color w:val="000000"/>
                <w:sz w:val="24"/>
                <w:szCs w:val="24"/>
              </w:rPr>
              <w:t xml:space="preserve"> $</w:t>
            </w:r>
            <w:r w:rsidR="003E6322">
              <w:rPr>
                <w:rFonts w:ascii="Calibri" w:hAnsi="Calibri"/>
                <w:color w:val="000000"/>
                <w:sz w:val="24"/>
                <w:szCs w:val="24"/>
              </w:rPr>
              <w:t>102,300</w:t>
            </w:r>
            <w:r>
              <w:rPr>
                <w:rFonts w:ascii="Calibri" w:hAnsi="Calibri"/>
                <w:color w:val="000000"/>
                <w:sz w:val="24"/>
                <w:szCs w:val="24"/>
              </w:rPr>
              <w:t xml:space="preserve"> </w:t>
            </w:r>
          </w:p>
        </w:tc>
      </w:tr>
      <w:tr w14:paraId="10D10E45" w14:textId="77777777" w:rsidTr="003E6322">
        <w:tblPrEx>
          <w:tblW w:w="8720" w:type="dxa"/>
          <w:tblLook w:val="04A0"/>
        </w:tblPrEx>
        <w:trPr>
          <w:trHeight w:val="330"/>
        </w:trPr>
        <w:tc>
          <w:tcPr>
            <w:tcW w:w="4480" w:type="dxa"/>
            <w:tcBorders>
              <w:top w:val="single" w:sz="4" w:space="0" w:color="auto"/>
              <w:left w:val="single" w:sz="8" w:space="0" w:color="auto"/>
              <w:bottom w:val="single" w:sz="8" w:space="0" w:color="auto"/>
              <w:right w:val="nil"/>
            </w:tcBorders>
            <w:shd w:val="clear" w:color="auto" w:fill="FFFFFF"/>
            <w:noWrap/>
            <w:vAlign w:val="bottom"/>
            <w:hideMark/>
          </w:tcPr>
          <w:p w:rsidR="00EF00F4" w14:paraId="7EA6F1FB" w14:textId="77777777">
            <w:pPr>
              <w:spacing w:line="276" w:lineRule="auto"/>
              <w:jc w:val="both"/>
              <w:rPr>
                <w:rFonts w:ascii="Calibri" w:hAnsi="Calibri"/>
                <w:b/>
                <w:bCs/>
                <w:color w:val="000000"/>
                <w:sz w:val="24"/>
                <w:szCs w:val="24"/>
              </w:rPr>
            </w:pPr>
            <w:r>
              <w:rPr>
                <w:rFonts w:ascii="Calibri" w:hAnsi="Calibri"/>
                <w:b/>
                <w:bCs/>
                <w:color w:val="000000"/>
                <w:sz w:val="24"/>
                <w:szCs w:val="24"/>
              </w:rPr>
              <w:t>Total</w:t>
            </w:r>
          </w:p>
        </w:tc>
        <w:tc>
          <w:tcPr>
            <w:tcW w:w="1880" w:type="dxa"/>
            <w:tcBorders>
              <w:top w:val="single" w:sz="4" w:space="0" w:color="auto"/>
              <w:left w:val="single" w:sz="4" w:space="0" w:color="auto"/>
              <w:bottom w:val="single" w:sz="8" w:space="0" w:color="auto"/>
              <w:right w:val="single" w:sz="4" w:space="0" w:color="auto"/>
            </w:tcBorders>
            <w:shd w:val="clear" w:color="auto" w:fill="FFFFFF"/>
            <w:noWrap/>
            <w:vAlign w:val="bottom"/>
            <w:hideMark/>
          </w:tcPr>
          <w:p w:rsidR="00EF00F4" w14:paraId="659E2703" w14:textId="01352114">
            <w:pPr>
              <w:spacing w:line="276" w:lineRule="auto"/>
              <w:jc w:val="both"/>
              <w:rPr>
                <w:rFonts w:ascii="Calibri" w:hAnsi="Calibri"/>
                <w:b/>
                <w:bCs/>
                <w:color w:val="000000"/>
                <w:sz w:val="24"/>
                <w:szCs w:val="24"/>
              </w:rPr>
            </w:pPr>
            <w:r>
              <w:rPr>
                <w:rFonts w:ascii="Calibri" w:hAnsi="Calibri"/>
                <w:b/>
                <w:bCs/>
                <w:color w:val="000000"/>
                <w:sz w:val="24"/>
                <w:szCs w:val="24"/>
              </w:rPr>
              <w:t>2,000</w:t>
            </w:r>
          </w:p>
        </w:tc>
        <w:tc>
          <w:tcPr>
            <w:tcW w:w="2360" w:type="dxa"/>
            <w:tcBorders>
              <w:top w:val="single" w:sz="4" w:space="0" w:color="auto"/>
              <w:left w:val="nil"/>
              <w:bottom w:val="single" w:sz="8" w:space="0" w:color="auto"/>
              <w:right w:val="single" w:sz="8" w:space="0" w:color="auto"/>
            </w:tcBorders>
            <w:shd w:val="clear" w:color="auto" w:fill="FFFFFF"/>
            <w:vAlign w:val="center"/>
            <w:hideMark/>
          </w:tcPr>
          <w:p w:rsidR="00EF00F4" w14:paraId="7F4B8F9A" w14:textId="736B0D15">
            <w:pPr>
              <w:spacing w:line="276" w:lineRule="auto"/>
              <w:jc w:val="both"/>
              <w:rPr>
                <w:rFonts w:ascii="Calibri" w:hAnsi="Calibri"/>
                <w:b/>
                <w:bCs/>
                <w:color w:val="000000"/>
                <w:sz w:val="24"/>
                <w:szCs w:val="24"/>
              </w:rPr>
            </w:pPr>
            <w:r>
              <w:rPr>
                <w:rFonts w:ascii="Calibri" w:hAnsi="Calibri"/>
                <w:b/>
                <w:bCs/>
                <w:color w:val="000000"/>
                <w:sz w:val="24"/>
                <w:szCs w:val="24"/>
              </w:rPr>
              <w:t xml:space="preserve"> $102,300</w:t>
            </w:r>
          </w:p>
        </w:tc>
      </w:tr>
    </w:tbl>
    <w:p w:rsidR="00CB02DD" w:rsidRPr="004C2E21" w:rsidP="00CB02DD" w14:paraId="26BE9CB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4"/>
          <w:szCs w:val="24"/>
          <w:u w:val="single"/>
        </w:rPr>
      </w:pPr>
    </w:p>
    <w:p w:rsidR="00465DE9" w:rsidRPr="004C2E21" w:rsidP="00CB02DD" w14:paraId="54C0162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2C7051" w:rsidRPr="004C2E21" w14:paraId="681FA5E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p>
    <w:p w:rsidR="00AF2C09" w:rsidRPr="004C2E21" w:rsidP="00AF2C09" w14:paraId="212D25F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C2E21">
        <w:rPr>
          <w:snapToGrid w:val="0"/>
          <w:color w:val="000000"/>
          <w:sz w:val="24"/>
          <w:szCs w:val="24"/>
        </w:rPr>
        <w:t xml:space="preserve">15. </w:t>
      </w:r>
      <w:r w:rsidRPr="004C2E21" w:rsidR="002C7051">
        <w:rPr>
          <w:snapToGrid w:val="0"/>
          <w:color w:val="000000"/>
          <w:sz w:val="24"/>
          <w:szCs w:val="24"/>
          <w:u w:val="single"/>
        </w:rPr>
        <w:t>EXPLAIN REASONS FOR CHANGES IN BURDEN, INCLUDING THE NEED FOR</w:t>
      </w:r>
      <w:r w:rsidRPr="004C2E21" w:rsidR="002C7051">
        <w:rPr>
          <w:snapToGrid w:val="0"/>
          <w:color w:val="000000"/>
          <w:sz w:val="24"/>
          <w:szCs w:val="24"/>
        </w:rPr>
        <w:t xml:space="preserve">    </w:t>
      </w:r>
      <w:r w:rsidRPr="004C2E21">
        <w:rPr>
          <w:sz w:val="24"/>
          <w:szCs w:val="24"/>
        </w:rPr>
        <w:t xml:space="preserve">  </w:t>
      </w:r>
    </w:p>
    <w:p w:rsidR="002326AA" w:rsidRPr="004C2E21" w:rsidP="002326AA" w14:paraId="5C15C59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4C2E21">
        <w:rPr>
          <w:sz w:val="24"/>
          <w:szCs w:val="24"/>
        </w:rPr>
        <w:t xml:space="preserve">       </w:t>
      </w:r>
      <w:r w:rsidRPr="004C2E21" w:rsidR="002C7051">
        <w:rPr>
          <w:snapToGrid w:val="0"/>
          <w:color w:val="000000"/>
          <w:sz w:val="24"/>
          <w:szCs w:val="24"/>
          <w:u w:val="single"/>
        </w:rPr>
        <w:t>ANY INCREASE</w:t>
      </w:r>
      <w:r w:rsidRPr="004C2E21">
        <w:rPr>
          <w:snapToGrid w:val="0"/>
          <w:color w:val="000000"/>
          <w:sz w:val="24"/>
          <w:szCs w:val="24"/>
          <w:u w:val="single"/>
        </w:rPr>
        <w:t>S</w:t>
      </w:r>
    </w:p>
    <w:p w:rsidR="002326AA" w:rsidRPr="004C2E21" w:rsidP="002326AA" w14:paraId="4A4A751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p>
    <w:p w:rsidR="001E6AB9" w:rsidRPr="004C2E21" w:rsidP="001E6AB9" w14:paraId="257BE760" w14:textId="11069AAA">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4C2E21">
        <w:rPr>
          <w:snapToGrid w:val="0"/>
          <w:color w:val="000000"/>
          <w:sz w:val="24"/>
          <w:szCs w:val="24"/>
        </w:rPr>
        <w:t>This is a</w:t>
      </w:r>
      <w:r w:rsidRPr="004C2E21" w:rsidR="00DE1271">
        <w:rPr>
          <w:snapToGrid w:val="0"/>
          <w:color w:val="000000"/>
          <w:sz w:val="24"/>
          <w:szCs w:val="24"/>
        </w:rPr>
        <w:t xml:space="preserve"> </w:t>
      </w:r>
      <w:r w:rsidRPr="004C2E21" w:rsidR="009B1CD4">
        <w:rPr>
          <w:snapToGrid w:val="0"/>
          <w:color w:val="000000"/>
          <w:sz w:val="24"/>
          <w:szCs w:val="24"/>
        </w:rPr>
        <w:t>request</w:t>
      </w:r>
      <w:r w:rsidRPr="004C2E21" w:rsidR="00DE1271">
        <w:rPr>
          <w:snapToGrid w:val="0"/>
          <w:color w:val="000000"/>
          <w:sz w:val="24"/>
          <w:szCs w:val="24"/>
        </w:rPr>
        <w:t xml:space="preserve"> for a new </w:t>
      </w:r>
      <w:r w:rsidRPr="004C2E21">
        <w:rPr>
          <w:snapToGrid w:val="0"/>
          <w:color w:val="000000"/>
          <w:sz w:val="24"/>
          <w:szCs w:val="24"/>
        </w:rPr>
        <w:t>information collection</w:t>
      </w:r>
      <w:r w:rsidR="009B1CD4">
        <w:rPr>
          <w:snapToGrid w:val="0"/>
          <w:color w:val="000000"/>
          <w:sz w:val="24"/>
          <w:szCs w:val="24"/>
        </w:rPr>
        <w:t xml:space="preserve">. </w:t>
      </w:r>
      <w:r w:rsidR="005F199E">
        <w:rPr>
          <w:snapToGrid w:val="0"/>
          <w:color w:val="000000"/>
          <w:sz w:val="24"/>
          <w:szCs w:val="24"/>
        </w:rPr>
        <w:t xml:space="preserve"> </w:t>
      </w:r>
    </w:p>
    <w:p w:rsidR="00A7544C" w:rsidRPr="004C2E21" w:rsidP="00A7544C" w14:paraId="1D6821CC" w14:textId="77777777">
      <w:pPr>
        <w:pStyle w:val="BodyTextIndent3"/>
        <w:rPr>
          <w:snapToGrid w:val="0"/>
          <w:color w:val="000000"/>
          <w:szCs w:val="24"/>
        </w:rPr>
      </w:pPr>
    </w:p>
    <w:p w:rsidR="002C7051" w:rsidRPr="004C2E21" w:rsidP="002160A1" w14:paraId="3EE5535F" w14:textId="77777777">
      <w:pPr>
        <w:pStyle w:val="BodyTextIndent3"/>
        <w:ind w:left="0"/>
        <w:rPr>
          <w:snapToGrid w:val="0"/>
          <w:color w:val="000000"/>
          <w:szCs w:val="24"/>
          <w:u w:val="single"/>
        </w:rPr>
      </w:pPr>
      <w:r w:rsidRPr="004C2E21">
        <w:rPr>
          <w:snapToGrid w:val="0"/>
          <w:color w:val="000000"/>
          <w:szCs w:val="24"/>
        </w:rPr>
        <w:t xml:space="preserve">16. </w:t>
      </w:r>
      <w:r w:rsidRPr="004C2E21">
        <w:rPr>
          <w:snapToGrid w:val="0"/>
          <w:color w:val="000000"/>
          <w:szCs w:val="24"/>
          <w:u w:val="single"/>
        </w:rPr>
        <w:t>P</w:t>
      </w:r>
      <w:r w:rsidRPr="004C2E21">
        <w:rPr>
          <w:snapToGrid w:val="0"/>
          <w:color w:val="000000"/>
          <w:szCs w:val="24"/>
          <w:u w:val="single"/>
        </w:rPr>
        <w:t xml:space="preserve">LANS FOR TABULATION AND PUBLICATION FOR COLLECTIONS OF </w:t>
      </w:r>
    </w:p>
    <w:p w:rsidR="002C7051" w:rsidRPr="004C2E21" w14:paraId="7EBC293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u w:val="single"/>
        </w:rPr>
      </w:pPr>
      <w:r w:rsidRPr="004C2E21">
        <w:rPr>
          <w:snapToGrid w:val="0"/>
          <w:color w:val="000000"/>
          <w:sz w:val="24"/>
          <w:szCs w:val="24"/>
          <w:u w:val="single"/>
        </w:rPr>
        <w:t>INFORMATION WHOSE RESULTS WILL BE PUBLISHED.</w:t>
      </w:r>
    </w:p>
    <w:p w:rsidR="002C7051" w:rsidRPr="004C2E21" w14:paraId="13853A2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u w:val="single"/>
        </w:rPr>
      </w:pPr>
    </w:p>
    <w:p w:rsidR="002C7051" w:rsidRPr="004C2E21" w:rsidP="008516FE" w14:paraId="7914E60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C2E21">
        <w:rPr>
          <w:snapToGrid w:val="0"/>
          <w:color w:val="000000"/>
          <w:sz w:val="24"/>
          <w:szCs w:val="24"/>
        </w:rPr>
        <w:t xml:space="preserve">      FTA does not plan to publish the results of the information collected for statistical use.</w:t>
      </w:r>
    </w:p>
    <w:p w:rsidR="002C7051" w:rsidRPr="004C2E21" w14:paraId="31C957B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002C7051" w:rsidRPr="004C2E21" w:rsidP="005618C6" w14:paraId="1435B6C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4C2E21">
        <w:rPr>
          <w:snapToGrid w:val="0"/>
          <w:color w:val="000000"/>
          <w:sz w:val="24"/>
          <w:szCs w:val="24"/>
        </w:rPr>
        <w:t xml:space="preserve">17. </w:t>
      </w:r>
      <w:r w:rsidRPr="004C2E21">
        <w:rPr>
          <w:snapToGrid w:val="0"/>
          <w:color w:val="000000"/>
          <w:sz w:val="24"/>
          <w:szCs w:val="24"/>
          <w:u w:val="single"/>
        </w:rPr>
        <w:t>IF SEEKING APPROVAL NOT TO DISPLAY THE EXPIRATION DATE FOR OMB</w:t>
      </w:r>
    </w:p>
    <w:p w:rsidR="002C7051" w:rsidRPr="004C2E21" w14:paraId="6BB2DBB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4C2E21">
        <w:rPr>
          <w:snapToGrid w:val="0"/>
          <w:color w:val="000000"/>
          <w:sz w:val="24"/>
          <w:szCs w:val="24"/>
          <w:u w:val="single"/>
        </w:rPr>
        <w:t>APPROVAL, EXPLAIN THE REASONS</w:t>
      </w:r>
      <w:r w:rsidRPr="004C2E21">
        <w:rPr>
          <w:snapToGrid w:val="0"/>
          <w:color w:val="000000"/>
          <w:sz w:val="24"/>
          <w:szCs w:val="24"/>
        </w:rPr>
        <w:t>.</w:t>
      </w:r>
    </w:p>
    <w:p w:rsidR="002C7051" w:rsidRPr="004C2E21" w14:paraId="47A313D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2C7051" w:rsidRPr="004C2E21" w14:paraId="563D8A74" w14:textId="77777777">
      <w:pPr>
        <w:rPr>
          <w:sz w:val="24"/>
          <w:szCs w:val="24"/>
        </w:rPr>
      </w:pPr>
      <w:r w:rsidRPr="004C2E21">
        <w:rPr>
          <w:sz w:val="24"/>
          <w:szCs w:val="24"/>
        </w:rPr>
        <w:t xml:space="preserve">       </w:t>
      </w:r>
      <w:r w:rsidRPr="004C2E21" w:rsidR="005618C6">
        <w:rPr>
          <w:sz w:val="24"/>
          <w:szCs w:val="24"/>
        </w:rPr>
        <w:t>The</w:t>
      </w:r>
      <w:r w:rsidRPr="004C2E21">
        <w:rPr>
          <w:sz w:val="24"/>
          <w:szCs w:val="24"/>
        </w:rPr>
        <w:t>re is no reason not to display the expiration date of OMB approval.</w:t>
      </w:r>
    </w:p>
    <w:p w:rsidR="00D00C55" w:rsidP="00C3040D" w14:paraId="0C9B0DF9" w14:textId="77777777">
      <w:pPr>
        <w:rPr>
          <w:sz w:val="24"/>
          <w:szCs w:val="24"/>
        </w:rPr>
      </w:pPr>
    </w:p>
    <w:p w:rsidR="002C7051" w:rsidRPr="004C2E21" w:rsidP="00C3040D" w14:paraId="1033F48D" w14:textId="59577E74">
      <w:pPr>
        <w:rPr>
          <w:sz w:val="24"/>
          <w:szCs w:val="24"/>
          <w:u w:val="single"/>
        </w:rPr>
      </w:pPr>
      <w:r w:rsidRPr="004C2E21">
        <w:rPr>
          <w:sz w:val="24"/>
          <w:szCs w:val="24"/>
        </w:rPr>
        <w:t xml:space="preserve">18. </w:t>
      </w:r>
      <w:r w:rsidRPr="004C2E21">
        <w:rPr>
          <w:sz w:val="24"/>
          <w:szCs w:val="24"/>
          <w:u w:val="single"/>
        </w:rPr>
        <w:t xml:space="preserve">EXPLAIN ANY EXCEPTIONS TO THE CERTIFICATION STATEMENT </w:t>
      </w:r>
    </w:p>
    <w:p w:rsidR="002C7051" w:rsidRPr="004C2E21" w:rsidP="00C3040D" w14:paraId="3439921A" w14:textId="77777777">
      <w:pPr>
        <w:rPr>
          <w:sz w:val="24"/>
          <w:szCs w:val="24"/>
          <w:u w:val="single"/>
        </w:rPr>
      </w:pPr>
      <w:r w:rsidRPr="004C2E21">
        <w:rPr>
          <w:sz w:val="24"/>
          <w:szCs w:val="24"/>
        </w:rPr>
        <w:t xml:space="preserve">      </w:t>
      </w:r>
      <w:r w:rsidRPr="004C2E21">
        <w:rPr>
          <w:sz w:val="24"/>
          <w:szCs w:val="24"/>
          <w:u w:val="single"/>
        </w:rPr>
        <w:t>IDENTIFIED IN ITE</w:t>
      </w:r>
      <w:r w:rsidRPr="004C2E21">
        <w:rPr>
          <w:sz w:val="24"/>
          <w:szCs w:val="24"/>
          <w:u w:val="single"/>
        </w:rPr>
        <w:t>M 19 OF OMB FORM 83-I.</w:t>
      </w:r>
    </w:p>
    <w:p w:rsidR="002C7051" w:rsidRPr="004C2E21" w14:paraId="1FA6B0DC" w14:textId="77777777">
      <w:pPr>
        <w:ind w:left="360" w:firstLine="360"/>
        <w:rPr>
          <w:sz w:val="24"/>
          <w:szCs w:val="24"/>
          <w:u w:val="single"/>
        </w:rPr>
      </w:pPr>
    </w:p>
    <w:p w:rsidR="0036651F" w:rsidRPr="004C2E21" w:rsidP="00C3040D" w14:paraId="64FE5943" w14:textId="50F14278">
      <w:pPr>
        <w:rPr>
          <w:sz w:val="24"/>
          <w:szCs w:val="24"/>
        </w:rPr>
      </w:pPr>
      <w:r w:rsidRPr="004C2E21">
        <w:rPr>
          <w:sz w:val="24"/>
          <w:szCs w:val="24"/>
        </w:rPr>
        <w:t xml:space="preserve">      </w:t>
      </w:r>
      <w:r w:rsidRPr="004C2E21" w:rsidR="002C7051">
        <w:rPr>
          <w:sz w:val="24"/>
          <w:szCs w:val="24"/>
        </w:rPr>
        <w:t>No exceptions are stated.</w:t>
      </w:r>
    </w:p>
    <w:sectPr w:rsidSect="00A938DB">
      <w:headerReference w:type="default" r:id="rId6"/>
      <w:footerReference w:type="even" r:id="rId7"/>
      <w:footerReference w:type="default" r:id="rId8"/>
      <w:pgSz w:w="12240" w:h="15840"/>
      <w:pgMar w:top="1296" w:right="1454" w:bottom="1296" w:left="1440" w:header="792" w:footer="792"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Body)">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54EC" w:rsidP="00327FD2" w14:paraId="58393EC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D54EC" w:rsidP="00A938DB" w14:paraId="272983B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54EC" w:rsidP="00327FD2" w14:paraId="7E04121A" w14:textId="77777777">
    <w:pPr>
      <w:pStyle w:val="Footer"/>
      <w:framePr w:wrap="around" w:vAnchor="text" w:hAnchor="margin" w:xAlign="right" w:y="1"/>
      <w:rPr>
        <w:rStyle w:val="PageNumber"/>
      </w:rPr>
    </w:pPr>
  </w:p>
  <w:p w:rsidR="00FD54EC" w:rsidP="00A938DB" w14:paraId="7D376E4C" w14:textId="77777777">
    <w:pPr>
      <w:pStyle w:val="Footer"/>
      <w:ind w:right="360"/>
      <w:rPr>
        <w:sz w:val="18"/>
      </w:rPr>
    </w:pPr>
    <w:r w:rsidRPr="00F90B5D">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1486D" w14:paraId="4396EFBF" w14:textId="77777777">
      <w:r>
        <w:separator/>
      </w:r>
    </w:p>
  </w:footnote>
  <w:footnote w:type="continuationSeparator" w:id="1">
    <w:p w:rsidR="0001486D" w14:paraId="744D2501" w14:textId="77777777">
      <w:r>
        <w:continuationSeparator/>
      </w:r>
    </w:p>
  </w:footnote>
  <w:footnote w:id="2">
    <w:p w:rsidR="005D5FBA" w:rsidRPr="00EC471B" w:rsidP="005D5FBA" w14:paraId="77F87613" w14:textId="1C53EFCD">
      <w:pPr>
        <w:pStyle w:val="FootnoteText"/>
        <w:rPr>
          <w:sz w:val="16"/>
          <w:szCs w:val="16"/>
        </w:rPr>
      </w:pPr>
      <w:r>
        <w:rPr>
          <w:rStyle w:val="FootnoteReference"/>
        </w:rPr>
        <w:footnoteRef/>
      </w:r>
      <w:r>
        <w:t xml:space="preserve"> </w:t>
      </w:r>
      <w:r w:rsidRPr="00EC471B" w:rsidR="007E6FC4">
        <w:rPr>
          <w:sz w:val="16"/>
          <w:szCs w:val="16"/>
        </w:rPr>
        <w:t>H</w:t>
      </w:r>
      <w:r w:rsidRPr="00EC471B">
        <w:rPr>
          <w:sz w:val="16"/>
          <w:szCs w:val="16"/>
        </w:rPr>
        <w:t xml:space="preserve">ours are projected based on an average of </w:t>
      </w:r>
      <w:r w:rsidRPr="00EC471B" w:rsidR="007E6FC4">
        <w:rPr>
          <w:sz w:val="16"/>
          <w:szCs w:val="16"/>
        </w:rPr>
        <w:t xml:space="preserve">two </w:t>
      </w:r>
      <w:r w:rsidRPr="00EC471B">
        <w:rPr>
          <w:sz w:val="16"/>
          <w:szCs w:val="16"/>
        </w:rPr>
        <w:t xml:space="preserve">requests a year to </w:t>
      </w:r>
      <w:r w:rsidRPr="00EC471B" w:rsidR="005C2DD5">
        <w:rPr>
          <w:sz w:val="16"/>
          <w:szCs w:val="16"/>
        </w:rPr>
        <w:t xml:space="preserve">transit agencies </w:t>
      </w:r>
      <w:r w:rsidRPr="00EC471B" w:rsidR="003C37A6">
        <w:rPr>
          <w:sz w:val="16"/>
          <w:szCs w:val="16"/>
        </w:rPr>
        <w:t xml:space="preserve">and </w:t>
      </w:r>
      <w:r w:rsidRPr="00EC471B" w:rsidR="005C2DD5">
        <w:rPr>
          <w:sz w:val="16"/>
          <w:szCs w:val="16"/>
        </w:rPr>
        <w:t xml:space="preserve">SSOAs and </w:t>
      </w:r>
      <w:r w:rsidRPr="00EC471B" w:rsidR="003C37A6">
        <w:rPr>
          <w:sz w:val="16"/>
          <w:szCs w:val="16"/>
        </w:rPr>
        <w:t xml:space="preserve">one request a year to </w:t>
      </w:r>
      <w:r w:rsidRPr="00EC471B" w:rsidR="005C2DD5">
        <w:rPr>
          <w:sz w:val="16"/>
          <w:szCs w:val="16"/>
        </w:rPr>
        <w:t xml:space="preserve">States. </w:t>
      </w:r>
      <w:r w:rsidRPr="00EC471B">
        <w:rPr>
          <w:sz w:val="16"/>
          <w:szCs w:val="16"/>
        </w:rPr>
        <w:t xml:space="preserve"> </w:t>
      </w:r>
    </w:p>
  </w:footnote>
  <w:footnote w:id="3">
    <w:p w:rsidR="00F820AC" w:rsidRPr="00EC471B" w:rsidP="00F820AC" w14:paraId="144A252C" w14:textId="50F8A0D7">
      <w:pPr>
        <w:pStyle w:val="FootnoteText"/>
        <w:rPr>
          <w:sz w:val="16"/>
          <w:szCs w:val="16"/>
        </w:rPr>
      </w:pPr>
      <w:r w:rsidRPr="00EC471B">
        <w:rPr>
          <w:rStyle w:val="FootnoteReference"/>
          <w:sz w:val="16"/>
          <w:szCs w:val="16"/>
        </w:rPr>
        <w:footnoteRef/>
      </w:r>
      <w:r w:rsidRPr="00EC471B">
        <w:rPr>
          <w:sz w:val="16"/>
          <w:szCs w:val="16"/>
        </w:rPr>
        <w:t xml:space="preserve"> Labor rate calculated by using 202</w:t>
      </w:r>
      <w:r w:rsidRPr="00EC471B" w:rsidR="00142D7B">
        <w:rPr>
          <w:sz w:val="16"/>
          <w:szCs w:val="16"/>
        </w:rPr>
        <w:t>2</w:t>
      </w:r>
      <w:r w:rsidRPr="00EC471B">
        <w:rPr>
          <w:sz w:val="16"/>
          <w:szCs w:val="16"/>
        </w:rPr>
        <w:t xml:space="preserve"> Bureau of Labor Statistics (BLS)</w:t>
      </w:r>
      <w:r w:rsidRPr="00EC471B" w:rsidR="00142D7B">
        <w:rPr>
          <w:sz w:val="16"/>
          <w:szCs w:val="16"/>
        </w:rPr>
        <w:t xml:space="preserve"> </w:t>
      </w:r>
      <w:hyperlink r:id="rId1" w:history="1">
        <w:r w:rsidRPr="00EC471B" w:rsidR="00142D7B">
          <w:rPr>
            <w:color w:val="0000FF"/>
            <w:sz w:val="16"/>
            <w:szCs w:val="16"/>
            <w:u w:val="single"/>
          </w:rPr>
          <w:t>Health and Safety Engineers, Except Mining Safety Engineers and Inspectors (bls.gov)</w:t>
        </w:r>
      </w:hyperlink>
      <w:r w:rsidRPr="00EC471B">
        <w:rPr>
          <w:sz w:val="16"/>
          <w:szCs w:val="16"/>
        </w:rPr>
        <w:t xml:space="preserve"> </w:t>
      </w:r>
      <w:hyperlink r:id="rId1" w:history="1"/>
      <w:r w:rsidRPr="00EC471B">
        <w:rPr>
          <w:sz w:val="16"/>
          <w:szCs w:val="16"/>
        </w:rPr>
        <w:t>category 17-2110 ($4</w:t>
      </w:r>
      <w:r w:rsidRPr="00EC471B" w:rsidR="00142D7B">
        <w:rPr>
          <w:sz w:val="16"/>
          <w:szCs w:val="16"/>
        </w:rPr>
        <w:t>9.79</w:t>
      </w:r>
      <w:r w:rsidRPr="00EC471B">
        <w:rPr>
          <w:sz w:val="16"/>
          <w:szCs w:val="16"/>
        </w:rPr>
        <w:t>) and adding 28% for fringe costs ($6</w:t>
      </w:r>
      <w:r w:rsidRPr="00EC471B" w:rsidR="00142D7B">
        <w:rPr>
          <w:sz w:val="16"/>
          <w:szCs w:val="16"/>
        </w:rPr>
        <w:t>3</w:t>
      </w:r>
      <w:r w:rsidRPr="00EC471B">
        <w:rPr>
          <w:sz w:val="16"/>
          <w:szCs w:val="16"/>
        </w:rPr>
        <w:t>.</w:t>
      </w:r>
      <w:r w:rsidRPr="00EC471B" w:rsidR="00142D7B">
        <w:rPr>
          <w:sz w:val="16"/>
          <w:szCs w:val="16"/>
        </w:rPr>
        <w:t>73</w:t>
      </w:r>
      <w:r w:rsidRPr="00EC471B">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54EC" w14:paraId="7AA3B81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
      <w:jc w:val="center"/>
      <w:rPr>
        <w:snapToGrid w:val="0"/>
        <w:color w:val="000000"/>
        <w:sz w:val="24"/>
      </w:rPr>
    </w:pP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864933"/>
    <w:multiLevelType w:val="hybridMultilevel"/>
    <w:tmpl w:val="2B6AE5B0"/>
    <w:lvl w:ilvl="0">
      <w:start w:val="8"/>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441ED6"/>
    <w:multiLevelType w:val="hybridMultilevel"/>
    <w:tmpl w:val="DBE8EBB0"/>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42A7F24"/>
    <w:multiLevelType w:val="hybridMultilevel"/>
    <w:tmpl w:val="C71037E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
    <w:nsid w:val="051076FC"/>
    <w:multiLevelType w:val="hybridMultilevel"/>
    <w:tmpl w:val="2CAAC3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51365B4"/>
    <w:multiLevelType w:val="hybridMultilevel"/>
    <w:tmpl w:val="5640697C"/>
    <w:lvl w:ilvl="0">
      <w:start w:val="6"/>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2703A9"/>
    <w:multiLevelType w:val="hybridMultilevel"/>
    <w:tmpl w:val="CBC4D34E"/>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0EC6806"/>
    <w:multiLevelType w:val="singleLevel"/>
    <w:tmpl w:val="1BB07168"/>
    <w:lvl w:ilvl="0">
      <w:start w:val="1"/>
      <w:numFmt w:val="decimal"/>
      <w:lvlText w:val="%1)"/>
      <w:lvlJc w:val="left"/>
      <w:pPr>
        <w:tabs>
          <w:tab w:val="num" w:pos="1800"/>
        </w:tabs>
        <w:ind w:left="1800" w:hanging="360"/>
      </w:pPr>
      <w:rPr>
        <w:rFonts w:hint="default"/>
      </w:rPr>
    </w:lvl>
  </w:abstractNum>
  <w:abstractNum w:abstractNumId="7">
    <w:nsid w:val="13A1328D"/>
    <w:multiLevelType w:val="hybridMultilevel"/>
    <w:tmpl w:val="AF5AAB6A"/>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45109E3"/>
    <w:multiLevelType w:val="singleLevel"/>
    <w:tmpl w:val="1B0E657E"/>
    <w:lvl w:ilvl="0">
      <w:start w:val="5"/>
      <w:numFmt w:val="lowerLetter"/>
      <w:lvlText w:val="%1."/>
      <w:lvlJc w:val="left"/>
      <w:pPr>
        <w:tabs>
          <w:tab w:val="num" w:pos="1080"/>
        </w:tabs>
        <w:ind w:left="1080" w:hanging="360"/>
      </w:pPr>
      <w:rPr>
        <w:rFonts w:hint="default"/>
      </w:rPr>
    </w:lvl>
  </w:abstractNum>
  <w:abstractNum w:abstractNumId="9">
    <w:nsid w:val="15796C6F"/>
    <w:multiLevelType w:val="hybridMultilevel"/>
    <w:tmpl w:val="0A92EF52"/>
    <w:lvl w:ilvl="0">
      <w:start w:val="13"/>
      <w:numFmt w:val="decimal"/>
      <w:lvlText w:val="%1."/>
      <w:lvlJc w:val="left"/>
      <w:pPr>
        <w:ind w:left="2070" w:hanging="360"/>
      </w:pPr>
      <w:rPr>
        <w:rFonts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10">
    <w:nsid w:val="15B029E7"/>
    <w:multiLevelType w:val="singleLevel"/>
    <w:tmpl w:val="800CCC20"/>
    <w:lvl w:ilvl="0">
      <w:start w:val="1"/>
      <w:numFmt w:val="lowerLetter"/>
      <w:lvlText w:val="%1."/>
      <w:lvlJc w:val="left"/>
      <w:pPr>
        <w:tabs>
          <w:tab w:val="num" w:pos="1080"/>
        </w:tabs>
        <w:ind w:left="1080" w:hanging="360"/>
      </w:pPr>
      <w:rPr>
        <w:rFonts w:hint="default"/>
      </w:rPr>
    </w:lvl>
  </w:abstractNum>
  <w:abstractNum w:abstractNumId="11">
    <w:nsid w:val="1D545666"/>
    <w:multiLevelType w:val="hybridMultilevel"/>
    <w:tmpl w:val="22A46B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D6D0BFA"/>
    <w:multiLevelType w:val="hybridMultilevel"/>
    <w:tmpl w:val="411A11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DAD22FC"/>
    <w:multiLevelType w:val="hybridMultilevel"/>
    <w:tmpl w:val="5498BE52"/>
    <w:lvl w:ilvl="0">
      <w:start w:val="11"/>
      <w:numFmt w:val="bullet"/>
      <w:lvlText w:val="-"/>
      <w:lvlJc w:val="left"/>
      <w:pPr>
        <w:ind w:left="420" w:hanging="360"/>
      </w:pPr>
      <w:rPr>
        <w:rFonts w:ascii="Times New Roman" w:eastAsia="Times New Roman" w:hAnsi="Times New Roman" w:cs="Times New Roman" w:hint="default"/>
        <w:u w:val="single"/>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14">
    <w:nsid w:val="1DE17FE5"/>
    <w:multiLevelType w:val="hybridMultilevel"/>
    <w:tmpl w:val="0A942414"/>
    <w:lvl w:ilvl="0">
      <w:start w:val="15"/>
      <w:numFmt w:val="decimal"/>
      <w:lvlText w:val="%1."/>
      <w:lvlJc w:val="left"/>
      <w:pPr>
        <w:tabs>
          <w:tab w:val="num" w:pos="510"/>
        </w:tabs>
        <w:ind w:left="510" w:hanging="420"/>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15">
    <w:nsid w:val="1EB3623F"/>
    <w:multiLevelType w:val="multilevel"/>
    <w:tmpl w:val="959E6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EE90E00"/>
    <w:multiLevelType w:val="hybridMultilevel"/>
    <w:tmpl w:val="86087F9E"/>
    <w:lvl w:ilvl="0">
      <w:start w:val="1"/>
      <w:numFmt w:val="bullet"/>
      <w:lvlText w:val=""/>
      <w:lvlJc w:val="left"/>
      <w:pPr>
        <w:ind w:left="2002" w:hanging="360"/>
      </w:pPr>
      <w:rPr>
        <w:rFonts w:ascii="Symbol" w:hAnsi="Symbol" w:hint="default"/>
      </w:rPr>
    </w:lvl>
    <w:lvl w:ilvl="1" w:tentative="1">
      <w:start w:val="1"/>
      <w:numFmt w:val="bullet"/>
      <w:lvlText w:val="o"/>
      <w:lvlJc w:val="left"/>
      <w:pPr>
        <w:ind w:left="2722" w:hanging="360"/>
      </w:pPr>
      <w:rPr>
        <w:rFonts w:ascii="Courier New" w:hAnsi="Courier New" w:cs="Courier New" w:hint="default"/>
      </w:rPr>
    </w:lvl>
    <w:lvl w:ilvl="2" w:tentative="1">
      <w:start w:val="1"/>
      <w:numFmt w:val="bullet"/>
      <w:lvlText w:val=""/>
      <w:lvlJc w:val="left"/>
      <w:pPr>
        <w:ind w:left="3442" w:hanging="360"/>
      </w:pPr>
      <w:rPr>
        <w:rFonts w:ascii="Wingdings" w:hAnsi="Wingdings" w:hint="default"/>
      </w:rPr>
    </w:lvl>
    <w:lvl w:ilvl="3" w:tentative="1">
      <w:start w:val="1"/>
      <w:numFmt w:val="bullet"/>
      <w:lvlText w:val=""/>
      <w:lvlJc w:val="left"/>
      <w:pPr>
        <w:ind w:left="4162" w:hanging="360"/>
      </w:pPr>
      <w:rPr>
        <w:rFonts w:ascii="Symbol" w:hAnsi="Symbol" w:hint="default"/>
      </w:rPr>
    </w:lvl>
    <w:lvl w:ilvl="4" w:tentative="1">
      <w:start w:val="1"/>
      <w:numFmt w:val="bullet"/>
      <w:lvlText w:val="o"/>
      <w:lvlJc w:val="left"/>
      <w:pPr>
        <w:ind w:left="4882" w:hanging="360"/>
      </w:pPr>
      <w:rPr>
        <w:rFonts w:ascii="Courier New" w:hAnsi="Courier New" w:cs="Courier New" w:hint="default"/>
      </w:rPr>
    </w:lvl>
    <w:lvl w:ilvl="5" w:tentative="1">
      <w:start w:val="1"/>
      <w:numFmt w:val="bullet"/>
      <w:lvlText w:val=""/>
      <w:lvlJc w:val="left"/>
      <w:pPr>
        <w:ind w:left="5602" w:hanging="360"/>
      </w:pPr>
      <w:rPr>
        <w:rFonts w:ascii="Wingdings" w:hAnsi="Wingdings" w:hint="default"/>
      </w:rPr>
    </w:lvl>
    <w:lvl w:ilvl="6" w:tentative="1">
      <w:start w:val="1"/>
      <w:numFmt w:val="bullet"/>
      <w:lvlText w:val=""/>
      <w:lvlJc w:val="left"/>
      <w:pPr>
        <w:ind w:left="6322" w:hanging="360"/>
      </w:pPr>
      <w:rPr>
        <w:rFonts w:ascii="Symbol" w:hAnsi="Symbol" w:hint="default"/>
      </w:rPr>
    </w:lvl>
    <w:lvl w:ilvl="7" w:tentative="1">
      <w:start w:val="1"/>
      <w:numFmt w:val="bullet"/>
      <w:lvlText w:val="o"/>
      <w:lvlJc w:val="left"/>
      <w:pPr>
        <w:ind w:left="7042" w:hanging="360"/>
      </w:pPr>
      <w:rPr>
        <w:rFonts w:ascii="Courier New" w:hAnsi="Courier New" w:cs="Courier New" w:hint="default"/>
      </w:rPr>
    </w:lvl>
    <w:lvl w:ilvl="8" w:tentative="1">
      <w:start w:val="1"/>
      <w:numFmt w:val="bullet"/>
      <w:lvlText w:val=""/>
      <w:lvlJc w:val="left"/>
      <w:pPr>
        <w:ind w:left="7762" w:hanging="360"/>
      </w:pPr>
      <w:rPr>
        <w:rFonts w:ascii="Wingdings" w:hAnsi="Wingdings" w:hint="default"/>
      </w:rPr>
    </w:lvl>
  </w:abstractNum>
  <w:abstractNum w:abstractNumId="17">
    <w:nsid w:val="20C02092"/>
    <w:multiLevelType w:val="hybridMultilevel"/>
    <w:tmpl w:val="2CAAC3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4EA596B"/>
    <w:multiLevelType w:val="hybridMultilevel"/>
    <w:tmpl w:val="2A80EDB0"/>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26C4612E"/>
    <w:multiLevelType w:val="hybridMultilevel"/>
    <w:tmpl w:val="FBC8CF68"/>
    <w:lvl w:ilvl="0">
      <w:start w:val="1"/>
      <w:numFmt w:val="bullet"/>
      <w:lvlText w:val=""/>
      <w:lvlJc w:val="left"/>
      <w:pPr>
        <w:ind w:left="2002" w:hanging="360"/>
      </w:pPr>
      <w:rPr>
        <w:rFonts w:ascii="Symbol" w:hAnsi="Symbol" w:hint="default"/>
      </w:rPr>
    </w:lvl>
    <w:lvl w:ilvl="1">
      <w:start w:val="1"/>
      <w:numFmt w:val="bullet"/>
      <w:lvlText w:val="o"/>
      <w:lvlJc w:val="left"/>
      <w:pPr>
        <w:ind w:left="2722" w:hanging="360"/>
      </w:pPr>
      <w:rPr>
        <w:rFonts w:ascii="Courier New" w:hAnsi="Courier New" w:cs="Courier New" w:hint="default"/>
      </w:rPr>
    </w:lvl>
    <w:lvl w:ilvl="2" w:tentative="1">
      <w:start w:val="1"/>
      <w:numFmt w:val="bullet"/>
      <w:lvlText w:val=""/>
      <w:lvlJc w:val="left"/>
      <w:pPr>
        <w:ind w:left="3442" w:hanging="360"/>
      </w:pPr>
      <w:rPr>
        <w:rFonts w:ascii="Wingdings" w:hAnsi="Wingdings" w:hint="default"/>
      </w:rPr>
    </w:lvl>
    <w:lvl w:ilvl="3" w:tentative="1">
      <w:start w:val="1"/>
      <w:numFmt w:val="bullet"/>
      <w:lvlText w:val=""/>
      <w:lvlJc w:val="left"/>
      <w:pPr>
        <w:ind w:left="4162" w:hanging="360"/>
      </w:pPr>
      <w:rPr>
        <w:rFonts w:ascii="Symbol" w:hAnsi="Symbol" w:hint="default"/>
      </w:rPr>
    </w:lvl>
    <w:lvl w:ilvl="4" w:tentative="1">
      <w:start w:val="1"/>
      <w:numFmt w:val="bullet"/>
      <w:lvlText w:val="o"/>
      <w:lvlJc w:val="left"/>
      <w:pPr>
        <w:ind w:left="4882" w:hanging="360"/>
      </w:pPr>
      <w:rPr>
        <w:rFonts w:ascii="Courier New" w:hAnsi="Courier New" w:cs="Courier New" w:hint="default"/>
      </w:rPr>
    </w:lvl>
    <w:lvl w:ilvl="5" w:tentative="1">
      <w:start w:val="1"/>
      <w:numFmt w:val="bullet"/>
      <w:lvlText w:val=""/>
      <w:lvlJc w:val="left"/>
      <w:pPr>
        <w:ind w:left="5602" w:hanging="360"/>
      </w:pPr>
      <w:rPr>
        <w:rFonts w:ascii="Wingdings" w:hAnsi="Wingdings" w:hint="default"/>
      </w:rPr>
    </w:lvl>
    <w:lvl w:ilvl="6" w:tentative="1">
      <w:start w:val="1"/>
      <w:numFmt w:val="bullet"/>
      <w:lvlText w:val=""/>
      <w:lvlJc w:val="left"/>
      <w:pPr>
        <w:ind w:left="6322" w:hanging="360"/>
      </w:pPr>
      <w:rPr>
        <w:rFonts w:ascii="Symbol" w:hAnsi="Symbol" w:hint="default"/>
      </w:rPr>
    </w:lvl>
    <w:lvl w:ilvl="7" w:tentative="1">
      <w:start w:val="1"/>
      <w:numFmt w:val="bullet"/>
      <w:lvlText w:val="o"/>
      <w:lvlJc w:val="left"/>
      <w:pPr>
        <w:ind w:left="7042" w:hanging="360"/>
      </w:pPr>
      <w:rPr>
        <w:rFonts w:ascii="Courier New" w:hAnsi="Courier New" w:cs="Courier New" w:hint="default"/>
      </w:rPr>
    </w:lvl>
    <w:lvl w:ilvl="8" w:tentative="1">
      <w:start w:val="1"/>
      <w:numFmt w:val="bullet"/>
      <w:lvlText w:val=""/>
      <w:lvlJc w:val="left"/>
      <w:pPr>
        <w:ind w:left="7762" w:hanging="360"/>
      </w:pPr>
      <w:rPr>
        <w:rFonts w:ascii="Wingdings" w:hAnsi="Wingdings" w:hint="default"/>
      </w:rPr>
    </w:lvl>
  </w:abstractNum>
  <w:abstractNum w:abstractNumId="20">
    <w:nsid w:val="26D156A2"/>
    <w:multiLevelType w:val="hybridMultilevel"/>
    <w:tmpl w:val="B3348764"/>
    <w:lvl w:ilvl="0">
      <w:start w:val="3"/>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9BF092A"/>
    <w:multiLevelType w:val="hybridMultilevel"/>
    <w:tmpl w:val="222687E0"/>
    <w:lvl w:ilvl="0">
      <w:start w:val="3"/>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829170B"/>
    <w:multiLevelType w:val="hybridMultilevel"/>
    <w:tmpl w:val="BCC67E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CCF5DEB"/>
    <w:multiLevelType w:val="hybridMultilevel"/>
    <w:tmpl w:val="A9547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37D1BDA"/>
    <w:multiLevelType w:val="hybridMultilevel"/>
    <w:tmpl w:val="A04868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C771924"/>
    <w:multiLevelType w:val="hybridMultilevel"/>
    <w:tmpl w:val="C0CAB248"/>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D392110"/>
    <w:multiLevelType w:val="hybridMultilevel"/>
    <w:tmpl w:val="0F4C5AC8"/>
    <w:lvl w:ilvl="0">
      <w:start w:val="2"/>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nsid w:val="5EDD1072"/>
    <w:multiLevelType w:val="hybridMultilevel"/>
    <w:tmpl w:val="1C043D20"/>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1484264"/>
    <w:multiLevelType w:val="hybridMultilevel"/>
    <w:tmpl w:val="B64AB7AE"/>
    <w:lvl w:ilvl="0">
      <w:start w:val="11"/>
      <w:numFmt w:val="decimal"/>
      <w:lvlText w:val="%1."/>
      <w:lvlJc w:val="left"/>
      <w:pPr>
        <w:tabs>
          <w:tab w:val="num" w:pos="720"/>
        </w:tabs>
        <w:ind w:left="720" w:hanging="480"/>
      </w:pPr>
      <w:rPr>
        <w:rFonts w:hint="default"/>
      </w:rPr>
    </w:lvl>
    <w:lvl w:ilvl="1" w:tentative="1">
      <w:start w:val="1"/>
      <w:numFmt w:val="lowerLetter"/>
      <w:lvlText w:val="%2."/>
      <w:lvlJc w:val="left"/>
      <w:pPr>
        <w:tabs>
          <w:tab w:val="num" w:pos="1320"/>
        </w:tabs>
        <w:ind w:left="1320" w:hanging="360"/>
      </w:pPr>
    </w:lvl>
    <w:lvl w:ilvl="2" w:tentative="1">
      <w:start w:val="1"/>
      <w:numFmt w:val="lowerRoman"/>
      <w:lvlText w:val="%3."/>
      <w:lvlJc w:val="right"/>
      <w:pPr>
        <w:tabs>
          <w:tab w:val="num" w:pos="2040"/>
        </w:tabs>
        <w:ind w:left="2040" w:hanging="180"/>
      </w:pPr>
    </w:lvl>
    <w:lvl w:ilvl="3" w:tentative="1">
      <w:start w:val="1"/>
      <w:numFmt w:val="decimal"/>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Roman"/>
      <w:lvlText w:val="%6."/>
      <w:lvlJc w:val="right"/>
      <w:pPr>
        <w:tabs>
          <w:tab w:val="num" w:pos="4200"/>
        </w:tabs>
        <w:ind w:left="4200" w:hanging="180"/>
      </w:pPr>
    </w:lvl>
    <w:lvl w:ilvl="6" w:tentative="1">
      <w:start w:val="1"/>
      <w:numFmt w:val="decimal"/>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Roman"/>
      <w:lvlText w:val="%9."/>
      <w:lvlJc w:val="right"/>
      <w:pPr>
        <w:tabs>
          <w:tab w:val="num" w:pos="6360"/>
        </w:tabs>
        <w:ind w:left="6360" w:hanging="180"/>
      </w:pPr>
    </w:lvl>
  </w:abstractNum>
  <w:abstractNum w:abstractNumId="29">
    <w:nsid w:val="667973F6"/>
    <w:multiLevelType w:val="hybridMultilevel"/>
    <w:tmpl w:val="F2FC6362"/>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6B01528A"/>
    <w:multiLevelType w:val="singleLevel"/>
    <w:tmpl w:val="90C201EC"/>
    <w:lvl w:ilvl="0">
      <w:start w:val="3"/>
      <w:numFmt w:val="lowerLetter"/>
      <w:lvlText w:val="%1."/>
      <w:lvlJc w:val="left"/>
      <w:pPr>
        <w:tabs>
          <w:tab w:val="num" w:pos="1080"/>
        </w:tabs>
        <w:ind w:left="1080" w:hanging="360"/>
      </w:pPr>
      <w:rPr>
        <w:rFonts w:hint="default"/>
      </w:rPr>
    </w:lvl>
  </w:abstractNum>
  <w:abstractNum w:abstractNumId="31">
    <w:nsid w:val="6D0C2A7C"/>
    <w:multiLevelType w:val="hybridMultilevel"/>
    <w:tmpl w:val="A04868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F2779E3"/>
    <w:multiLevelType w:val="hybridMultilevel"/>
    <w:tmpl w:val="CA444ECE"/>
    <w:lvl w:ilvl="0">
      <w:start w:val="12"/>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1017994"/>
    <w:multiLevelType w:val="hybridMultilevel"/>
    <w:tmpl w:val="97AACA52"/>
    <w:lvl w:ilvl="0">
      <w:start w:val="2"/>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79F6715"/>
    <w:multiLevelType w:val="hybridMultilevel"/>
    <w:tmpl w:val="721E5DD0"/>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0"/>
  </w:num>
  <w:num w:numId="2">
    <w:abstractNumId w:val="6"/>
  </w:num>
  <w:num w:numId="3">
    <w:abstractNumId w:val="8"/>
  </w:num>
  <w:num w:numId="4">
    <w:abstractNumId w:val="10"/>
  </w:num>
  <w:num w:numId="5">
    <w:abstractNumId w:val="33"/>
  </w:num>
  <w:num w:numId="6">
    <w:abstractNumId w:val="7"/>
  </w:num>
  <w:num w:numId="7">
    <w:abstractNumId w:val="27"/>
  </w:num>
  <w:num w:numId="8">
    <w:abstractNumId w:val="28"/>
  </w:num>
  <w:num w:numId="9">
    <w:abstractNumId w:val="32"/>
  </w:num>
  <w:num w:numId="10">
    <w:abstractNumId w:val="25"/>
  </w:num>
  <w:num w:numId="11">
    <w:abstractNumId w:val="5"/>
  </w:num>
  <w:num w:numId="12">
    <w:abstractNumId w:val="1"/>
  </w:num>
  <w:num w:numId="13">
    <w:abstractNumId w:val="14"/>
  </w:num>
  <w:num w:numId="14">
    <w:abstractNumId w:val="26"/>
  </w:num>
  <w:num w:numId="15">
    <w:abstractNumId w:val="34"/>
  </w:num>
  <w:num w:numId="16">
    <w:abstractNumId w:val="9"/>
  </w:num>
  <w:num w:numId="17">
    <w:abstractNumId w:val="2"/>
  </w:num>
  <w:num w:numId="18">
    <w:abstractNumId w:val="12"/>
  </w:num>
  <w:num w:numId="19">
    <w:abstractNumId w:val="16"/>
  </w:num>
  <w:num w:numId="20">
    <w:abstractNumId w:val="23"/>
  </w:num>
  <w:num w:numId="21">
    <w:abstractNumId w:val="19"/>
  </w:num>
  <w:num w:numId="22">
    <w:abstractNumId w:val="3"/>
  </w:num>
  <w:num w:numId="23">
    <w:abstractNumId w:val="22"/>
  </w:num>
  <w:num w:numId="24">
    <w:abstractNumId w:val="17"/>
  </w:num>
  <w:num w:numId="25">
    <w:abstractNumId w:val="11"/>
  </w:num>
  <w:num w:numId="26">
    <w:abstractNumId w:val="24"/>
  </w:num>
  <w:num w:numId="27">
    <w:abstractNumId w:val="31"/>
  </w:num>
  <w:num w:numId="28">
    <w:abstractNumId w:val="13"/>
  </w:num>
  <w:num w:numId="29">
    <w:abstractNumId w:val="15"/>
  </w:num>
  <w:num w:numId="30">
    <w:abstractNumId w:val="29"/>
  </w:num>
  <w:num w:numId="31">
    <w:abstractNumId w:val="18"/>
  </w:num>
  <w:num w:numId="32">
    <w:abstractNumId w:val="20"/>
  </w:num>
  <w:num w:numId="33">
    <w:abstractNumId w:val="21"/>
  </w:num>
  <w:num w:numId="34">
    <w:abstractNumId w:val="4"/>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02"/>
    <w:rsid w:val="000059C1"/>
    <w:rsid w:val="000060D6"/>
    <w:rsid w:val="000106FC"/>
    <w:rsid w:val="00013996"/>
    <w:rsid w:val="0001486D"/>
    <w:rsid w:val="000340E8"/>
    <w:rsid w:val="00034B99"/>
    <w:rsid w:val="0004050C"/>
    <w:rsid w:val="00041B94"/>
    <w:rsid w:val="00044FB6"/>
    <w:rsid w:val="00045399"/>
    <w:rsid w:val="00056220"/>
    <w:rsid w:val="000602F6"/>
    <w:rsid w:val="00062636"/>
    <w:rsid w:val="00081D7C"/>
    <w:rsid w:val="00092D05"/>
    <w:rsid w:val="000B0B21"/>
    <w:rsid w:val="000B4F63"/>
    <w:rsid w:val="000B50D0"/>
    <w:rsid w:val="000C43AE"/>
    <w:rsid w:val="000C5A9E"/>
    <w:rsid w:val="000D527D"/>
    <w:rsid w:val="000E090B"/>
    <w:rsid w:val="000E4536"/>
    <w:rsid w:val="000F43B1"/>
    <w:rsid w:val="000F5212"/>
    <w:rsid w:val="000F61AF"/>
    <w:rsid w:val="0010562D"/>
    <w:rsid w:val="00106F36"/>
    <w:rsid w:val="00110852"/>
    <w:rsid w:val="001113FA"/>
    <w:rsid w:val="00111590"/>
    <w:rsid w:val="00125B20"/>
    <w:rsid w:val="0013472A"/>
    <w:rsid w:val="00142D7B"/>
    <w:rsid w:val="00145AA9"/>
    <w:rsid w:val="00152183"/>
    <w:rsid w:val="00153DDD"/>
    <w:rsid w:val="00164871"/>
    <w:rsid w:val="001855E7"/>
    <w:rsid w:val="001940C9"/>
    <w:rsid w:val="00196A80"/>
    <w:rsid w:val="001A5619"/>
    <w:rsid w:val="001E4CC2"/>
    <w:rsid w:val="001E68A3"/>
    <w:rsid w:val="001E6AB9"/>
    <w:rsid w:val="001F40D5"/>
    <w:rsid w:val="001F4759"/>
    <w:rsid w:val="001F49A1"/>
    <w:rsid w:val="00201E7A"/>
    <w:rsid w:val="00213C73"/>
    <w:rsid w:val="0021413A"/>
    <w:rsid w:val="002160A1"/>
    <w:rsid w:val="002169B7"/>
    <w:rsid w:val="002309DD"/>
    <w:rsid w:val="002326AA"/>
    <w:rsid w:val="00237BE1"/>
    <w:rsid w:val="00244BBD"/>
    <w:rsid w:val="00245C7C"/>
    <w:rsid w:val="0024714B"/>
    <w:rsid w:val="00251F06"/>
    <w:rsid w:val="0026264A"/>
    <w:rsid w:val="00265613"/>
    <w:rsid w:val="002702BD"/>
    <w:rsid w:val="002704A7"/>
    <w:rsid w:val="002708E3"/>
    <w:rsid w:val="00276195"/>
    <w:rsid w:val="00276DD9"/>
    <w:rsid w:val="00285833"/>
    <w:rsid w:val="002A4652"/>
    <w:rsid w:val="002A5AF9"/>
    <w:rsid w:val="002B05D7"/>
    <w:rsid w:val="002B27A0"/>
    <w:rsid w:val="002C7051"/>
    <w:rsid w:val="002D0A92"/>
    <w:rsid w:val="002E4D0F"/>
    <w:rsid w:val="00302442"/>
    <w:rsid w:val="0030367A"/>
    <w:rsid w:val="00314CB7"/>
    <w:rsid w:val="00320724"/>
    <w:rsid w:val="00327FD2"/>
    <w:rsid w:val="00332FCA"/>
    <w:rsid w:val="00340EE2"/>
    <w:rsid w:val="003532E5"/>
    <w:rsid w:val="0035484F"/>
    <w:rsid w:val="00360FE5"/>
    <w:rsid w:val="00365FDA"/>
    <w:rsid w:val="0036651F"/>
    <w:rsid w:val="00367C9E"/>
    <w:rsid w:val="00371234"/>
    <w:rsid w:val="00375D7D"/>
    <w:rsid w:val="00384989"/>
    <w:rsid w:val="003866AF"/>
    <w:rsid w:val="00391991"/>
    <w:rsid w:val="00397B18"/>
    <w:rsid w:val="003A2F8B"/>
    <w:rsid w:val="003A4719"/>
    <w:rsid w:val="003B61C2"/>
    <w:rsid w:val="003C37A6"/>
    <w:rsid w:val="003D445B"/>
    <w:rsid w:val="003E1EEB"/>
    <w:rsid w:val="003E2901"/>
    <w:rsid w:val="003E3871"/>
    <w:rsid w:val="003E6322"/>
    <w:rsid w:val="00400744"/>
    <w:rsid w:val="0040226A"/>
    <w:rsid w:val="00412EAD"/>
    <w:rsid w:val="00417E49"/>
    <w:rsid w:val="00423623"/>
    <w:rsid w:val="00424D49"/>
    <w:rsid w:val="004345B6"/>
    <w:rsid w:val="0044709E"/>
    <w:rsid w:val="00450EE2"/>
    <w:rsid w:val="0045440B"/>
    <w:rsid w:val="0046144D"/>
    <w:rsid w:val="00463735"/>
    <w:rsid w:val="00465044"/>
    <w:rsid w:val="00465DE9"/>
    <w:rsid w:val="00474A0A"/>
    <w:rsid w:val="0047556F"/>
    <w:rsid w:val="00487BAD"/>
    <w:rsid w:val="00492472"/>
    <w:rsid w:val="00493985"/>
    <w:rsid w:val="004B588E"/>
    <w:rsid w:val="004B7A35"/>
    <w:rsid w:val="004B7D2A"/>
    <w:rsid w:val="004C299C"/>
    <w:rsid w:val="004C2E21"/>
    <w:rsid w:val="004C56B6"/>
    <w:rsid w:val="004D2335"/>
    <w:rsid w:val="004E56A3"/>
    <w:rsid w:val="004F4C6F"/>
    <w:rsid w:val="00504D32"/>
    <w:rsid w:val="00507A37"/>
    <w:rsid w:val="00544C8C"/>
    <w:rsid w:val="005514F7"/>
    <w:rsid w:val="005618C6"/>
    <w:rsid w:val="005845D2"/>
    <w:rsid w:val="005975B5"/>
    <w:rsid w:val="005A64BD"/>
    <w:rsid w:val="005A70FB"/>
    <w:rsid w:val="005B635C"/>
    <w:rsid w:val="005C2DD5"/>
    <w:rsid w:val="005C7076"/>
    <w:rsid w:val="005D5FBA"/>
    <w:rsid w:val="005E4174"/>
    <w:rsid w:val="005F0434"/>
    <w:rsid w:val="005F199E"/>
    <w:rsid w:val="005F4647"/>
    <w:rsid w:val="00603B9B"/>
    <w:rsid w:val="0060551E"/>
    <w:rsid w:val="006137EA"/>
    <w:rsid w:val="006174BF"/>
    <w:rsid w:val="00621A6C"/>
    <w:rsid w:val="00631FF8"/>
    <w:rsid w:val="0064371A"/>
    <w:rsid w:val="00644AC0"/>
    <w:rsid w:val="00645BE7"/>
    <w:rsid w:val="006513D4"/>
    <w:rsid w:val="00663AE3"/>
    <w:rsid w:val="0066701C"/>
    <w:rsid w:val="00670E31"/>
    <w:rsid w:val="00670EC7"/>
    <w:rsid w:val="00672688"/>
    <w:rsid w:val="00673D03"/>
    <w:rsid w:val="00676D71"/>
    <w:rsid w:val="00676DC8"/>
    <w:rsid w:val="00680289"/>
    <w:rsid w:val="006871FD"/>
    <w:rsid w:val="00691D88"/>
    <w:rsid w:val="00691EE9"/>
    <w:rsid w:val="00695C8A"/>
    <w:rsid w:val="00695D3C"/>
    <w:rsid w:val="00697D61"/>
    <w:rsid w:val="006D222B"/>
    <w:rsid w:val="006D4AF6"/>
    <w:rsid w:val="006F1115"/>
    <w:rsid w:val="006F11E7"/>
    <w:rsid w:val="006F32AA"/>
    <w:rsid w:val="007063EB"/>
    <w:rsid w:val="007123AF"/>
    <w:rsid w:val="007167AC"/>
    <w:rsid w:val="00722E55"/>
    <w:rsid w:val="007307DC"/>
    <w:rsid w:val="007349E7"/>
    <w:rsid w:val="007532FA"/>
    <w:rsid w:val="00762D56"/>
    <w:rsid w:val="00772AD4"/>
    <w:rsid w:val="00775470"/>
    <w:rsid w:val="00777021"/>
    <w:rsid w:val="0077766D"/>
    <w:rsid w:val="00777FB3"/>
    <w:rsid w:val="00782F01"/>
    <w:rsid w:val="0079279E"/>
    <w:rsid w:val="007A0E0C"/>
    <w:rsid w:val="007A3DE2"/>
    <w:rsid w:val="007A4449"/>
    <w:rsid w:val="007A623B"/>
    <w:rsid w:val="007B2102"/>
    <w:rsid w:val="007C5BD6"/>
    <w:rsid w:val="007D4421"/>
    <w:rsid w:val="007E0491"/>
    <w:rsid w:val="007E0B16"/>
    <w:rsid w:val="007E1550"/>
    <w:rsid w:val="007E6FC4"/>
    <w:rsid w:val="0081158F"/>
    <w:rsid w:val="00811D2D"/>
    <w:rsid w:val="00817C6A"/>
    <w:rsid w:val="00833D4B"/>
    <w:rsid w:val="00840763"/>
    <w:rsid w:val="008462A6"/>
    <w:rsid w:val="00846414"/>
    <w:rsid w:val="00847129"/>
    <w:rsid w:val="008516FE"/>
    <w:rsid w:val="00863BBA"/>
    <w:rsid w:val="00865317"/>
    <w:rsid w:val="00865D19"/>
    <w:rsid w:val="00872330"/>
    <w:rsid w:val="00872439"/>
    <w:rsid w:val="00873CA8"/>
    <w:rsid w:val="00875E9C"/>
    <w:rsid w:val="00876F96"/>
    <w:rsid w:val="0088065B"/>
    <w:rsid w:val="00883999"/>
    <w:rsid w:val="008A2AB3"/>
    <w:rsid w:val="008A74F2"/>
    <w:rsid w:val="008B55CF"/>
    <w:rsid w:val="008F3D6A"/>
    <w:rsid w:val="008F73E3"/>
    <w:rsid w:val="009019FB"/>
    <w:rsid w:val="00913125"/>
    <w:rsid w:val="00913B21"/>
    <w:rsid w:val="0092643A"/>
    <w:rsid w:val="00933E3D"/>
    <w:rsid w:val="009364F4"/>
    <w:rsid w:val="009365DF"/>
    <w:rsid w:val="009372E1"/>
    <w:rsid w:val="00950552"/>
    <w:rsid w:val="00952194"/>
    <w:rsid w:val="00953B79"/>
    <w:rsid w:val="00955A49"/>
    <w:rsid w:val="00955B19"/>
    <w:rsid w:val="009604C8"/>
    <w:rsid w:val="00967E62"/>
    <w:rsid w:val="009865CF"/>
    <w:rsid w:val="0099285F"/>
    <w:rsid w:val="009A29B6"/>
    <w:rsid w:val="009A7A71"/>
    <w:rsid w:val="009A7CB1"/>
    <w:rsid w:val="009B1CD4"/>
    <w:rsid w:val="009C4675"/>
    <w:rsid w:val="009C55B8"/>
    <w:rsid w:val="00A01BDF"/>
    <w:rsid w:val="00A02C24"/>
    <w:rsid w:val="00A0321B"/>
    <w:rsid w:val="00A03B48"/>
    <w:rsid w:val="00A04C9A"/>
    <w:rsid w:val="00A27A5C"/>
    <w:rsid w:val="00A4629E"/>
    <w:rsid w:val="00A54AD7"/>
    <w:rsid w:val="00A55146"/>
    <w:rsid w:val="00A7544C"/>
    <w:rsid w:val="00A852ED"/>
    <w:rsid w:val="00A879D6"/>
    <w:rsid w:val="00A911DB"/>
    <w:rsid w:val="00A91906"/>
    <w:rsid w:val="00A938DB"/>
    <w:rsid w:val="00AA6AE6"/>
    <w:rsid w:val="00AB20F4"/>
    <w:rsid w:val="00AC11CF"/>
    <w:rsid w:val="00AC4400"/>
    <w:rsid w:val="00AD5433"/>
    <w:rsid w:val="00AE0B72"/>
    <w:rsid w:val="00AF0E18"/>
    <w:rsid w:val="00AF2C09"/>
    <w:rsid w:val="00AF41EE"/>
    <w:rsid w:val="00B273EC"/>
    <w:rsid w:val="00B316F8"/>
    <w:rsid w:val="00B65B5C"/>
    <w:rsid w:val="00B673C2"/>
    <w:rsid w:val="00B830D1"/>
    <w:rsid w:val="00B83390"/>
    <w:rsid w:val="00B943B1"/>
    <w:rsid w:val="00B953EE"/>
    <w:rsid w:val="00BA15A3"/>
    <w:rsid w:val="00BA5E30"/>
    <w:rsid w:val="00BA703C"/>
    <w:rsid w:val="00BB0E0E"/>
    <w:rsid w:val="00BB1341"/>
    <w:rsid w:val="00BB1969"/>
    <w:rsid w:val="00BB3C69"/>
    <w:rsid w:val="00BB40DB"/>
    <w:rsid w:val="00BB5AD9"/>
    <w:rsid w:val="00BC3AA9"/>
    <w:rsid w:val="00BC4760"/>
    <w:rsid w:val="00BD3F8B"/>
    <w:rsid w:val="00BD67EA"/>
    <w:rsid w:val="00BE3ACF"/>
    <w:rsid w:val="00BE4050"/>
    <w:rsid w:val="00BF1EA5"/>
    <w:rsid w:val="00BF36F0"/>
    <w:rsid w:val="00BF3A8B"/>
    <w:rsid w:val="00C14EBF"/>
    <w:rsid w:val="00C221D7"/>
    <w:rsid w:val="00C23D31"/>
    <w:rsid w:val="00C3040D"/>
    <w:rsid w:val="00C35010"/>
    <w:rsid w:val="00C41969"/>
    <w:rsid w:val="00C43E37"/>
    <w:rsid w:val="00C43FDD"/>
    <w:rsid w:val="00C53922"/>
    <w:rsid w:val="00C55FE2"/>
    <w:rsid w:val="00C60599"/>
    <w:rsid w:val="00C6412F"/>
    <w:rsid w:val="00C66E8E"/>
    <w:rsid w:val="00C7519C"/>
    <w:rsid w:val="00C82EE9"/>
    <w:rsid w:val="00C9233B"/>
    <w:rsid w:val="00C954BB"/>
    <w:rsid w:val="00CB02DD"/>
    <w:rsid w:val="00CB2EE5"/>
    <w:rsid w:val="00CC4046"/>
    <w:rsid w:val="00CC7147"/>
    <w:rsid w:val="00CD69A2"/>
    <w:rsid w:val="00CD6ACC"/>
    <w:rsid w:val="00CE1EDB"/>
    <w:rsid w:val="00CE2849"/>
    <w:rsid w:val="00CE2D61"/>
    <w:rsid w:val="00CF3D55"/>
    <w:rsid w:val="00CF5A25"/>
    <w:rsid w:val="00D00C55"/>
    <w:rsid w:val="00D024A1"/>
    <w:rsid w:val="00D34649"/>
    <w:rsid w:val="00D8683F"/>
    <w:rsid w:val="00D9110C"/>
    <w:rsid w:val="00DA2E0C"/>
    <w:rsid w:val="00DB6FBB"/>
    <w:rsid w:val="00DE1271"/>
    <w:rsid w:val="00DE2DD7"/>
    <w:rsid w:val="00DE6B4A"/>
    <w:rsid w:val="00E118CF"/>
    <w:rsid w:val="00E20833"/>
    <w:rsid w:val="00E35B40"/>
    <w:rsid w:val="00E418D9"/>
    <w:rsid w:val="00E47C3B"/>
    <w:rsid w:val="00E502FC"/>
    <w:rsid w:val="00E57ADF"/>
    <w:rsid w:val="00E62804"/>
    <w:rsid w:val="00E64FF8"/>
    <w:rsid w:val="00E739C7"/>
    <w:rsid w:val="00E767CB"/>
    <w:rsid w:val="00E85821"/>
    <w:rsid w:val="00E87642"/>
    <w:rsid w:val="00E87893"/>
    <w:rsid w:val="00E92FD1"/>
    <w:rsid w:val="00E943A6"/>
    <w:rsid w:val="00EA060C"/>
    <w:rsid w:val="00EB3880"/>
    <w:rsid w:val="00EB5828"/>
    <w:rsid w:val="00EB5EA5"/>
    <w:rsid w:val="00EC471B"/>
    <w:rsid w:val="00EC7EFB"/>
    <w:rsid w:val="00ED1D1D"/>
    <w:rsid w:val="00EF00F4"/>
    <w:rsid w:val="00EF127A"/>
    <w:rsid w:val="00F02962"/>
    <w:rsid w:val="00F05DBD"/>
    <w:rsid w:val="00F0620F"/>
    <w:rsid w:val="00F11A93"/>
    <w:rsid w:val="00F26AF0"/>
    <w:rsid w:val="00F32650"/>
    <w:rsid w:val="00F34C4E"/>
    <w:rsid w:val="00F35121"/>
    <w:rsid w:val="00F358CE"/>
    <w:rsid w:val="00F5738F"/>
    <w:rsid w:val="00F820AC"/>
    <w:rsid w:val="00F84AE5"/>
    <w:rsid w:val="00F90B5D"/>
    <w:rsid w:val="00FB0E4E"/>
    <w:rsid w:val="00FC0721"/>
    <w:rsid w:val="00FC309C"/>
    <w:rsid w:val="00FD4F7E"/>
    <w:rsid w:val="00FD54EC"/>
    <w:rsid w:val="00FD77BE"/>
    <w:rsid w:val="00FE6CB4"/>
    <w:rsid w:val="00FF63E7"/>
  </w:rsids>
  <w:docVars>
    <w:docVar w:name="__Grammarly_42___1" w:val="H4sIAAAAAAAEAKtWcslP9kxRslIyNDY0MjQyM7MwNTCztDA3M7FU0lEKTi0uzszPAykwqwUAs0SSa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A85D4AB"/>
  <w15:chartTrackingRefBased/>
  <w15:docId w15:val="{783F93D4-7C8D-41F2-AB28-6DD4AFAD5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02FC"/>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0"/>
    </w:pPr>
    <w:rPr>
      <w:snapToGrid w:val="0"/>
      <w:color w:val="000000"/>
      <w:sz w:val="24"/>
    </w:rPr>
  </w:style>
  <w:style w:type="paragraph" w:styleId="Heading2">
    <w:name w:val="heading 2"/>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1"/>
    </w:pPr>
    <w:rPr>
      <w:snapToGrid w:val="0"/>
      <w:color w:val="000000"/>
      <w:sz w:val="24"/>
      <w:u w:val="single"/>
    </w:rPr>
  </w:style>
  <w:style w:type="paragraph" w:styleId="Heading3">
    <w:name w:val="heading 3"/>
    <w:basedOn w:val="Normal"/>
    <w:next w:val="Normal"/>
    <w:qFormat/>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90" w:firstLine="270"/>
      <w:outlineLvl w:val="2"/>
    </w:pPr>
    <w:rPr>
      <w:snapToGrid w:val="0"/>
      <w:color w:val="000000"/>
      <w:sz w:val="24"/>
      <w:u w:val="single"/>
    </w:rPr>
  </w:style>
  <w:style w:type="paragraph" w:styleId="Heading4">
    <w:name w:val="heading 4"/>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815"/>
        <w:tab w:val="left" w:pos="7920"/>
        <w:tab w:val="left" w:pos="8640"/>
      </w:tabs>
      <w:ind w:firstLine="360"/>
      <w:outlineLvl w:val="3"/>
    </w:pPr>
    <w:rPr>
      <w:snapToGrid w:val="0"/>
      <w:color w:val="000000"/>
      <w:sz w:val="24"/>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5"/>
    </w:pPr>
    <w:rPr>
      <w:snapToGrid w:val="0"/>
      <w:color w:val="000000"/>
      <w:sz w:val="24"/>
    </w:rPr>
  </w:style>
  <w:style w:type="paragraph" w:styleId="Heading7">
    <w:name w:val="heading 7"/>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6"/>
    </w:pPr>
    <w:rPr>
      <w:snapToGrid w:val="0"/>
      <w:color w:val="000000"/>
      <w:sz w:val="24"/>
    </w:rPr>
  </w:style>
  <w:style w:type="paragraph" w:styleId="Heading8">
    <w:name w:val="heading 8"/>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outlineLvl w:val="7"/>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Pr>
      <w:snapToGrid w:val="0"/>
      <w:color w:val="00000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pPr>
    <w:rPr>
      <w:snapToGrid w:val="0"/>
      <w:color w:val="000000"/>
      <w:sz w:val="24"/>
    </w:rPr>
  </w:style>
  <w:style w:type="paragraph" w:styleId="BodyTextIndent3">
    <w:name w:val="Body Text Indent 3"/>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 w:type="paragraph" w:styleId="BodyText">
    <w:name w:val="Body Tex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napToGrid w:val="0"/>
      <w:color w:val="0000FF"/>
      <w:sz w:val="24"/>
      <w:u w:val="single"/>
    </w:rPr>
  </w:style>
  <w:style w:type="paragraph" w:styleId="Title">
    <w:name w:val="Title"/>
    <w:basedOn w:val="Normal"/>
    <w:qForma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napToGrid w:val="0"/>
      <w:color w:val="000000"/>
      <w:sz w:val="24"/>
      <w:u w:val="single"/>
    </w:rPr>
  </w:style>
  <w:style w:type="paragraph" w:styleId="BalloonText">
    <w:name w:val="Balloon Text"/>
    <w:basedOn w:val="Normal"/>
    <w:semiHidden/>
    <w:rsid w:val="007B2102"/>
    <w:rPr>
      <w:rFonts w:ascii="Tahoma" w:hAnsi="Tahoma" w:cs="Tahoma"/>
      <w:sz w:val="16"/>
      <w:szCs w:val="16"/>
    </w:rPr>
  </w:style>
  <w:style w:type="character" w:styleId="CommentReference">
    <w:name w:val="annotation reference"/>
    <w:semiHidden/>
    <w:rsid w:val="00913125"/>
    <w:rPr>
      <w:sz w:val="16"/>
      <w:szCs w:val="16"/>
    </w:rPr>
  </w:style>
  <w:style w:type="paragraph" w:styleId="CommentText">
    <w:name w:val="annotation text"/>
    <w:basedOn w:val="Normal"/>
    <w:semiHidden/>
    <w:rsid w:val="00913125"/>
  </w:style>
  <w:style w:type="paragraph" w:styleId="CommentSubject">
    <w:name w:val="annotation subject"/>
    <w:basedOn w:val="CommentText"/>
    <w:next w:val="CommentText"/>
    <w:semiHidden/>
    <w:rsid w:val="00913125"/>
    <w:rPr>
      <w:b/>
      <w:bCs/>
    </w:rPr>
  </w:style>
  <w:style w:type="paragraph" w:styleId="PlainText">
    <w:name w:val="Plain Text"/>
    <w:basedOn w:val="Normal"/>
    <w:link w:val="PlainTextChar"/>
    <w:uiPriority w:val="99"/>
    <w:unhideWhenUsed/>
    <w:rsid w:val="007E1550"/>
    <w:rPr>
      <w:rFonts w:ascii="Calibri" w:eastAsia="Calibri" w:hAnsi="Calibri"/>
      <w:sz w:val="22"/>
      <w:szCs w:val="21"/>
    </w:rPr>
  </w:style>
  <w:style w:type="character" w:customStyle="1" w:styleId="PlainTextChar">
    <w:name w:val="Plain Text Char"/>
    <w:link w:val="PlainText"/>
    <w:uiPriority w:val="99"/>
    <w:rsid w:val="007E1550"/>
    <w:rPr>
      <w:rFonts w:ascii="Calibri" w:eastAsia="Calibri" w:hAnsi="Calibri"/>
      <w:sz w:val="22"/>
      <w:szCs w:val="21"/>
    </w:rPr>
  </w:style>
  <w:style w:type="paragraph" w:styleId="Revision">
    <w:name w:val="Revision"/>
    <w:hidden/>
    <w:uiPriority w:val="99"/>
    <w:semiHidden/>
    <w:rsid w:val="00E87893"/>
  </w:style>
  <w:style w:type="character" w:styleId="Hyperlink">
    <w:name w:val="Hyperlink"/>
    <w:rsid w:val="00E87893"/>
    <w:rPr>
      <w:color w:val="0563C1"/>
      <w:u w:val="single"/>
    </w:rPr>
  </w:style>
  <w:style w:type="character" w:styleId="Mention">
    <w:name w:val="Mention"/>
    <w:uiPriority w:val="99"/>
    <w:semiHidden/>
    <w:unhideWhenUsed/>
    <w:rsid w:val="00E87893"/>
    <w:rPr>
      <w:color w:val="2B579A"/>
      <w:shd w:val="clear" w:color="auto" w:fill="E6E6E6"/>
    </w:rPr>
  </w:style>
  <w:style w:type="character" w:styleId="UnresolvedMention">
    <w:name w:val="Unresolved Mention"/>
    <w:uiPriority w:val="99"/>
    <w:semiHidden/>
    <w:unhideWhenUsed/>
    <w:rsid w:val="005A70FB"/>
    <w:rPr>
      <w:color w:val="605E5C"/>
      <w:shd w:val="clear" w:color="auto" w:fill="E1DFDD"/>
    </w:rPr>
  </w:style>
  <w:style w:type="table" w:customStyle="1" w:styleId="TableGrid1">
    <w:name w:val="Table Grid1"/>
    <w:basedOn w:val="TableNormal"/>
    <w:next w:val="TableGrid"/>
    <w:uiPriority w:val="59"/>
    <w:rsid w:val="00FD77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D7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E6CB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tion-hover-present">
    <w:name w:val="citation-hover-present"/>
    <w:basedOn w:val="Normal"/>
    <w:rsid w:val="004C299C"/>
    <w:pPr>
      <w:spacing w:before="100" w:beforeAutospacing="1" w:after="100" w:afterAutospacing="1"/>
    </w:pPr>
    <w:rPr>
      <w:sz w:val="24"/>
      <w:szCs w:val="24"/>
    </w:rPr>
  </w:style>
  <w:style w:type="paragraph" w:styleId="FootnoteText">
    <w:name w:val="footnote text"/>
    <w:basedOn w:val="Normal"/>
    <w:link w:val="FootnoteTextChar"/>
    <w:uiPriority w:val="99"/>
    <w:unhideWhenUsed/>
    <w:rsid w:val="005D5FBA"/>
  </w:style>
  <w:style w:type="character" w:customStyle="1" w:styleId="FootnoteTextChar">
    <w:name w:val="Footnote Text Char"/>
    <w:basedOn w:val="DefaultParagraphFont"/>
    <w:link w:val="FootnoteText"/>
    <w:uiPriority w:val="99"/>
    <w:rsid w:val="005D5FBA"/>
  </w:style>
  <w:style w:type="character" w:styleId="FootnoteReference">
    <w:name w:val="footnote reference"/>
    <w:uiPriority w:val="99"/>
    <w:unhideWhenUsed/>
    <w:rsid w:val="005D5F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opm.gov/policy-data-oversight/pay-leave/salaries-wages/salary-tables/pdf/2023/DCB_h.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721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1788</Words>
  <Characters>10662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49 U</vt:lpstr>
    </vt:vector>
  </TitlesOfParts>
  <Company>Department of Transportation</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 U</dc:title>
  <dc:creator>masselinks</dc:creator>
  <cp:lastModifiedBy>Swain, Tia (FTA)</cp:lastModifiedBy>
  <cp:revision>2</cp:revision>
  <cp:lastPrinted>2019-12-05T15:52:00Z</cp:lastPrinted>
  <dcterms:created xsi:type="dcterms:W3CDTF">2023-12-12T16:01:00Z</dcterms:created>
  <dcterms:modified xsi:type="dcterms:W3CDTF">2023-12-12T16:01:00Z</dcterms:modified>
</cp:coreProperties>
</file>