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CA6" w:rsidP="00622CA6" w14:paraId="0C5B5CFB" w14:textId="77777777">
      <w:pPr>
        <w:ind w:firstLine="360"/>
        <w:jc w:val="center"/>
        <w:rPr>
          <w:b/>
          <w:bCs/>
          <w:sz w:val="24"/>
        </w:rPr>
      </w:pPr>
      <w:r w:rsidRPr="00622CA6">
        <w:rPr>
          <w:b/>
          <w:bCs/>
          <w:sz w:val="24"/>
        </w:rPr>
        <w:t>SafeMTS – Near-Miss Reporting and Analysis Program for</w:t>
      </w:r>
    </w:p>
    <w:p w:rsidR="00622CA6" w:rsidRPr="00622CA6" w:rsidP="00622CA6" w14:paraId="6A9E2A0A" w14:textId="62BD1F01">
      <w:pPr>
        <w:ind w:firstLine="360"/>
        <w:jc w:val="center"/>
        <w:rPr>
          <w:b/>
          <w:bCs/>
          <w:sz w:val="24"/>
        </w:rPr>
      </w:pPr>
      <w:r w:rsidRPr="00622CA6">
        <w:rPr>
          <w:b/>
          <w:bCs/>
          <w:sz w:val="24"/>
        </w:rPr>
        <w:t xml:space="preserve"> the Marine Transportation System </w:t>
      </w:r>
    </w:p>
    <w:p w:rsidR="00622CA6" w:rsidRPr="00622CA6" w:rsidP="00622CA6" w14:paraId="028E6B62" w14:textId="26437566">
      <w:pPr>
        <w:ind w:firstLine="360"/>
        <w:jc w:val="center"/>
        <w:rPr>
          <w:b/>
          <w:bCs/>
          <w:sz w:val="24"/>
        </w:rPr>
      </w:pPr>
      <w:r w:rsidRPr="00622CA6">
        <w:rPr>
          <w:b/>
          <w:bCs/>
          <w:sz w:val="24"/>
        </w:rPr>
        <w:t>OMB #________</w:t>
      </w:r>
    </w:p>
    <w:p w:rsidR="00EE286B" w:rsidP="00622CA6" w14:paraId="1D424123" w14:textId="73207F93">
      <w:pPr>
        <w:rPr>
          <w:b/>
          <w:bCs/>
          <w:sz w:val="26"/>
          <w:szCs w:val="26"/>
        </w:rPr>
      </w:pPr>
      <w:r>
        <w:rPr>
          <w:b/>
          <w:bCs/>
          <w:sz w:val="26"/>
          <w:szCs w:val="26"/>
        </w:rPr>
        <w:t xml:space="preserve">               </w:t>
      </w:r>
    </w:p>
    <w:p w:rsidR="004C5204" w:rsidP="004C5204" w14:paraId="2B4CA906" w14:textId="77777777">
      <w:pPr>
        <w:ind w:firstLine="2880"/>
        <w:rPr>
          <w:b/>
          <w:bCs/>
          <w:sz w:val="26"/>
          <w:szCs w:val="26"/>
        </w:rPr>
      </w:pPr>
    </w:p>
    <w:p w:rsidR="007B3A70" w:rsidRPr="00622CA6" w14:paraId="11C9AE84" w14:textId="77777777">
      <w:pPr>
        <w:ind w:firstLine="2880"/>
        <w:rPr>
          <w:sz w:val="24"/>
        </w:rPr>
      </w:pPr>
      <w:r w:rsidRPr="00622CA6">
        <w:rPr>
          <w:b/>
          <w:bCs/>
          <w:sz w:val="24"/>
        </w:rPr>
        <w:t>SUPPORTING STATEMENT</w:t>
      </w:r>
      <w:r w:rsidRPr="00622CA6">
        <w:rPr>
          <w:sz w:val="24"/>
        </w:rPr>
        <w:tab/>
      </w:r>
      <w:r w:rsidRPr="00622CA6">
        <w:rPr>
          <w:sz w:val="24"/>
        </w:rPr>
        <w:tab/>
      </w:r>
      <w:r w:rsidRPr="00622CA6">
        <w:rPr>
          <w:sz w:val="24"/>
        </w:rPr>
        <w:tab/>
      </w:r>
      <w:r w:rsidRPr="00622CA6">
        <w:rPr>
          <w:sz w:val="24"/>
        </w:rPr>
        <w:tab/>
      </w:r>
    </w:p>
    <w:p w:rsidR="007B3A70" w:rsidRPr="00622CA6" w14:paraId="0138A66B" w14:textId="77777777">
      <w:pPr>
        <w:rPr>
          <w:sz w:val="24"/>
        </w:rPr>
      </w:pPr>
    </w:p>
    <w:p w:rsidR="007B3A70" w:rsidRPr="00622CA6" w14:paraId="75550DA4" w14:textId="77777777">
      <w:pPr>
        <w:rPr>
          <w:sz w:val="24"/>
        </w:rPr>
      </w:pPr>
      <w:r w:rsidRPr="00622CA6">
        <w:rPr>
          <w:sz w:val="24"/>
        </w:rPr>
        <w:t xml:space="preserve">A. </w:t>
      </w:r>
      <w:r w:rsidRPr="00622CA6">
        <w:rPr>
          <w:sz w:val="24"/>
          <w:u w:val="single"/>
        </w:rPr>
        <w:t>Justification</w:t>
      </w:r>
    </w:p>
    <w:p w:rsidR="007B3A70" w:rsidRPr="00622CA6" w14:paraId="5AF94450" w14:textId="77777777">
      <w:pPr>
        <w:rPr>
          <w:sz w:val="24"/>
        </w:rPr>
      </w:pPr>
    </w:p>
    <w:p w:rsidR="008063D5" w:rsidRPr="00622CA6" w:rsidP="008063D5" w14:paraId="27BEA07C" w14:textId="77777777">
      <w:pPr>
        <w:rPr>
          <w:b/>
          <w:sz w:val="24"/>
        </w:rPr>
      </w:pPr>
      <w:r w:rsidRPr="00622CA6">
        <w:rPr>
          <w:b/>
          <w:sz w:val="24"/>
        </w:rPr>
        <w:t>1.  Explain the circumstances that make the collection of information necessary.  Identify any legal or administrative requirements that necessitate the collection.</w:t>
      </w:r>
    </w:p>
    <w:p w:rsidR="008063D5" w:rsidRPr="00622CA6" w:rsidP="008063D5" w14:paraId="571F6C58" w14:textId="77777777">
      <w:pPr>
        <w:rPr>
          <w:sz w:val="24"/>
        </w:rPr>
      </w:pPr>
    </w:p>
    <w:p w:rsidR="00010C4C" w:rsidRPr="00622CA6" w:rsidP="00E23E19" w14:paraId="7FA9A481" w14:textId="316CA56E">
      <w:pPr>
        <w:rPr>
          <w:i/>
          <w:sz w:val="24"/>
          <w:lang w:val="en"/>
        </w:rPr>
      </w:pPr>
      <w:r w:rsidRPr="00622CA6">
        <w:rPr>
          <w:sz w:val="24"/>
        </w:rPr>
        <w:t>Collecting transportation</w:t>
      </w:r>
      <w:r w:rsidRPr="00622CA6" w:rsidR="00E05C68">
        <w:rPr>
          <w:sz w:val="24"/>
        </w:rPr>
        <w:t xml:space="preserve"> safety data, including data on precursors </w:t>
      </w:r>
      <w:r w:rsidRPr="00622CA6" w:rsidR="00F463C2">
        <w:rPr>
          <w:sz w:val="24"/>
        </w:rPr>
        <w:t>to adverse events</w:t>
      </w:r>
      <w:r w:rsidRPr="00622CA6" w:rsidR="00113C02">
        <w:rPr>
          <w:sz w:val="24"/>
        </w:rPr>
        <w:t>, is</w:t>
      </w:r>
      <w:r w:rsidRPr="00622CA6">
        <w:rPr>
          <w:sz w:val="24"/>
        </w:rPr>
        <w:t xml:space="preserve"> an important component of Bureau of Transportation Statistics’ (</w:t>
      </w:r>
      <w:r w:rsidRPr="00622CA6" w:rsidR="00287130">
        <w:rPr>
          <w:sz w:val="24"/>
        </w:rPr>
        <w:t>BTS</w:t>
      </w:r>
      <w:r w:rsidRPr="00622CA6">
        <w:rPr>
          <w:sz w:val="24"/>
        </w:rPr>
        <w:t xml:space="preserve">) responsibility to the transportation community and is authorized in </w:t>
      </w:r>
      <w:r w:rsidRPr="00622CA6" w:rsidR="00287130">
        <w:rPr>
          <w:sz w:val="24"/>
        </w:rPr>
        <w:t>BTS’s</w:t>
      </w:r>
      <w:r w:rsidRPr="00622CA6">
        <w:rPr>
          <w:sz w:val="24"/>
        </w:rPr>
        <w:t xml:space="preserve"> </w:t>
      </w:r>
      <w:r w:rsidRPr="00622CA6" w:rsidR="0039665F">
        <w:rPr>
          <w:sz w:val="24"/>
        </w:rPr>
        <w:t>authorizing statute</w:t>
      </w:r>
      <w:r w:rsidRPr="00622CA6">
        <w:rPr>
          <w:sz w:val="24"/>
        </w:rPr>
        <w:t>.</w:t>
      </w:r>
      <w:r w:rsidRPr="00622CA6" w:rsidR="004A188E">
        <w:rPr>
          <w:sz w:val="24"/>
        </w:rPr>
        <w:t xml:space="preserve">  </w:t>
      </w:r>
      <w:r w:rsidRPr="00622CA6" w:rsidR="00855675">
        <w:rPr>
          <w:sz w:val="24"/>
        </w:rPr>
        <w:t xml:space="preserve">Title 49 U.S.C. Chapter 63 </w:t>
      </w:r>
      <w:r w:rsidRPr="00622CA6">
        <w:rPr>
          <w:sz w:val="24"/>
        </w:rPr>
        <w:t xml:space="preserve">Section </w:t>
      </w:r>
      <w:r w:rsidRPr="00622CA6" w:rsidR="00855675">
        <w:rPr>
          <w:sz w:val="24"/>
        </w:rPr>
        <w:t>6306 authorizes the BTS Director to enter a</w:t>
      </w:r>
      <w:r w:rsidRPr="00622CA6" w:rsidR="00E41C12">
        <w:rPr>
          <w:sz w:val="24"/>
        </w:rPr>
        <w:t xml:space="preserve">greements with Federal, </w:t>
      </w:r>
      <w:r w:rsidRPr="00622CA6" w:rsidR="00624BA1">
        <w:rPr>
          <w:sz w:val="24"/>
        </w:rPr>
        <w:t>S</w:t>
      </w:r>
      <w:r w:rsidRPr="00622CA6" w:rsidR="00E41C12">
        <w:rPr>
          <w:sz w:val="24"/>
        </w:rPr>
        <w:t>tate, l</w:t>
      </w:r>
      <w:r w:rsidRPr="00622CA6" w:rsidR="00855675">
        <w:rPr>
          <w:sz w:val="24"/>
        </w:rPr>
        <w:t>ocal</w:t>
      </w:r>
      <w:r w:rsidRPr="00622CA6" w:rsidR="009F367B">
        <w:rPr>
          <w:sz w:val="24"/>
        </w:rPr>
        <w:t>,</w:t>
      </w:r>
      <w:r w:rsidRPr="00622CA6" w:rsidR="00855675">
        <w:rPr>
          <w:sz w:val="24"/>
        </w:rPr>
        <w:t xml:space="preserve"> or private agencies for the purposes of transportation data col</w:t>
      </w:r>
      <w:r w:rsidRPr="00622CA6">
        <w:rPr>
          <w:sz w:val="24"/>
        </w:rPr>
        <w:t>lection and analysis.</w:t>
      </w:r>
      <w:r w:rsidRPr="00622CA6" w:rsidR="00855675">
        <w:rPr>
          <w:sz w:val="24"/>
        </w:rPr>
        <w:t xml:space="preserve">  </w:t>
      </w:r>
      <w:r w:rsidRPr="00622CA6">
        <w:rPr>
          <w:sz w:val="24"/>
        </w:rPr>
        <w:t>T</w:t>
      </w:r>
      <w:r w:rsidRPr="00622CA6" w:rsidR="00855675">
        <w:rPr>
          <w:sz w:val="24"/>
        </w:rPr>
        <w:t>o</w:t>
      </w:r>
      <w:r w:rsidRPr="00622CA6" w:rsidR="00855675">
        <w:rPr>
          <w:sz w:val="24"/>
          <w:lang w:val="en"/>
        </w:rPr>
        <w:t xml:space="preserve"> ensure that all transportation statistical collection</w:t>
      </w:r>
      <w:r w:rsidRPr="00622CA6" w:rsidR="00CD7AA0">
        <w:rPr>
          <w:sz w:val="24"/>
          <w:lang w:val="en"/>
        </w:rPr>
        <w:t>s</w:t>
      </w:r>
      <w:r w:rsidRPr="00622CA6" w:rsidR="00855675">
        <w:rPr>
          <w:sz w:val="24"/>
          <w:lang w:val="en"/>
        </w:rPr>
        <w:t>, analysis, and dissemination is carried out in a coordinat</w:t>
      </w:r>
      <w:r w:rsidRPr="00622CA6">
        <w:rPr>
          <w:sz w:val="24"/>
          <w:lang w:val="en"/>
        </w:rPr>
        <w:t>ed manner, the BTS Director may-</w:t>
      </w:r>
      <w:r w:rsidRPr="00622CA6" w:rsidR="00855675">
        <w:rPr>
          <w:sz w:val="24"/>
          <w:lang w:val="en"/>
        </w:rPr>
        <w:t xml:space="preserve"> </w:t>
      </w:r>
      <w:bookmarkStart w:id="0" w:name="1"/>
      <w:bookmarkEnd w:id="0"/>
      <w:r w:rsidRPr="00622CA6" w:rsidR="00855675">
        <w:rPr>
          <w:bCs/>
          <w:i/>
          <w:sz w:val="24"/>
          <w:lang w:val="en"/>
        </w:rPr>
        <w:t>(1)</w:t>
      </w:r>
      <w:r w:rsidRPr="00622CA6" w:rsidR="00855675">
        <w:rPr>
          <w:i/>
          <w:sz w:val="24"/>
          <w:lang w:val="en"/>
        </w:rPr>
        <w:t xml:space="preserve"> use the services, equipment, records, personnel, information, and facilities of other Federal agencies, or State, local, and private agencies and instrumentalities, subject to the conditions that the applicable agency or instrumentality consents to that use and with or without reimbursement for such use; </w:t>
      </w:r>
      <w:bookmarkStart w:id="1" w:name="2"/>
      <w:bookmarkEnd w:id="1"/>
      <w:r w:rsidRPr="00622CA6" w:rsidR="00855675">
        <w:rPr>
          <w:bCs/>
          <w:i/>
          <w:sz w:val="24"/>
          <w:lang w:val="en"/>
        </w:rPr>
        <w:t>(2)</w:t>
      </w:r>
      <w:r w:rsidRPr="00622CA6" w:rsidR="00855675">
        <w:rPr>
          <w:i/>
          <w:sz w:val="24"/>
          <w:lang w:val="en"/>
        </w:rPr>
        <w:t xml:space="preserve"> enter into agreements with the agencies and instrumentalities described in paragraph (1) for purposes of data collection and analysis</w:t>
      </w:r>
      <w:bookmarkStart w:id="2" w:name="3"/>
      <w:bookmarkEnd w:id="2"/>
      <w:r w:rsidRPr="00622CA6" w:rsidR="00855675">
        <w:rPr>
          <w:i/>
          <w:sz w:val="24"/>
          <w:lang w:val="en"/>
        </w:rPr>
        <w:t xml:space="preserve">. </w:t>
      </w:r>
    </w:p>
    <w:p w:rsidR="00617272" w:rsidP="00E23E19" w14:paraId="230E26ED" w14:textId="77777777">
      <w:pPr>
        <w:rPr>
          <w:sz w:val="24"/>
        </w:rPr>
      </w:pPr>
      <w:bookmarkStart w:id="3" w:name="4"/>
      <w:bookmarkStart w:id="4" w:name="5"/>
      <w:bookmarkStart w:id="5" w:name="6"/>
      <w:bookmarkEnd w:id="3"/>
      <w:bookmarkEnd w:id="4"/>
      <w:bookmarkEnd w:id="5"/>
    </w:p>
    <w:p w:rsidR="00C80FD0" w:rsidP="00E23E19" w14:paraId="5D7D0495" w14:textId="0EE220BA">
      <w:pPr>
        <w:rPr>
          <w:sz w:val="24"/>
        </w:rPr>
      </w:pPr>
      <w:r>
        <w:rPr>
          <w:sz w:val="24"/>
        </w:rPr>
        <w:t>Currently, no reporting regime is in place for maritime industry near-miss or other non-casualty/non-reportable safety matters. Marine casualties and other incident types are reportable under either Occupational Safety and Health Administration (OSHA) or U.S. Coast Guard (USCG) jurisdiction; however, near-miss reporting is not required under current regulations, and no comprehensive database of near-miss events exists for the maritime industry. Such a database would allow for analysis and dissemination of key findings to the industry and other stakeholders for use in advancing maritime transportation safety.</w:t>
      </w:r>
    </w:p>
    <w:p w:rsidR="00C80FD0" w:rsidP="00E23E19" w14:paraId="636C6318" w14:textId="77777777">
      <w:pPr>
        <w:rPr>
          <w:sz w:val="24"/>
        </w:rPr>
      </w:pPr>
    </w:p>
    <w:p w:rsidR="00C35766" w:rsidRPr="00117EB3" w:rsidP="00E23E19" w14:paraId="2A18F08F" w14:textId="692FF6C3">
      <w:pPr>
        <w:rPr>
          <w:sz w:val="24"/>
        </w:rPr>
      </w:pPr>
      <w:r w:rsidRPr="00117EB3">
        <w:rPr>
          <w:sz w:val="24"/>
        </w:rPr>
        <w:t>To</w:t>
      </w:r>
      <w:r w:rsidRPr="00117EB3" w:rsidR="00F00E6B">
        <w:rPr>
          <w:sz w:val="24"/>
        </w:rPr>
        <w:t>ward</w:t>
      </w:r>
      <w:r w:rsidRPr="00117EB3">
        <w:rPr>
          <w:sz w:val="24"/>
        </w:rPr>
        <w:t xml:space="preserve"> that end, in </w:t>
      </w:r>
      <w:r w:rsidRPr="00117EB3" w:rsidR="00617272">
        <w:rPr>
          <w:sz w:val="24"/>
        </w:rPr>
        <w:t>August of 2022</w:t>
      </w:r>
      <w:r w:rsidRPr="00117EB3">
        <w:rPr>
          <w:sz w:val="24"/>
        </w:rPr>
        <w:t xml:space="preserve"> BTS </w:t>
      </w:r>
      <w:r w:rsidRPr="00117EB3" w:rsidR="00EC001C">
        <w:rPr>
          <w:sz w:val="24"/>
        </w:rPr>
        <w:t xml:space="preserve">signed </w:t>
      </w:r>
      <w:r w:rsidRPr="00117EB3" w:rsidR="00092966">
        <w:rPr>
          <w:sz w:val="24"/>
        </w:rPr>
        <w:t xml:space="preserve">an interagency agreement (IAA) with </w:t>
      </w:r>
      <w:r w:rsidRPr="00117EB3" w:rsidR="0051218D">
        <w:rPr>
          <w:sz w:val="24"/>
        </w:rPr>
        <w:t xml:space="preserve">the </w:t>
      </w:r>
      <w:r w:rsidRPr="00117EB3" w:rsidR="00617272">
        <w:rPr>
          <w:sz w:val="24"/>
        </w:rPr>
        <w:t xml:space="preserve">Maritime Administration </w:t>
      </w:r>
      <w:r w:rsidR="00793CA1">
        <w:rPr>
          <w:sz w:val="24"/>
        </w:rPr>
        <w:t xml:space="preserve">(MARAD) </w:t>
      </w:r>
      <w:r w:rsidRPr="00117EB3" w:rsidR="000345E6">
        <w:rPr>
          <w:sz w:val="24"/>
        </w:rPr>
        <w:t xml:space="preserve">to </w:t>
      </w:r>
      <w:r w:rsidRPr="00117EB3" w:rsidR="007E4AF3">
        <w:rPr>
          <w:sz w:val="24"/>
        </w:rPr>
        <w:t xml:space="preserve">develop and implement </w:t>
      </w:r>
      <w:r w:rsidR="00793CA1">
        <w:rPr>
          <w:sz w:val="24"/>
        </w:rPr>
        <w:t>the Safe Maritime Transportation System (</w:t>
      </w:r>
      <w:r w:rsidRPr="00117EB3" w:rsidR="00DF3836">
        <w:rPr>
          <w:sz w:val="24"/>
        </w:rPr>
        <w:t>Safe</w:t>
      </w:r>
      <w:r w:rsidRPr="00117EB3" w:rsidR="00617272">
        <w:rPr>
          <w:sz w:val="24"/>
        </w:rPr>
        <w:t>MTS</w:t>
      </w:r>
      <w:r w:rsidR="00793CA1">
        <w:rPr>
          <w:sz w:val="24"/>
        </w:rPr>
        <w:t>) program,</w:t>
      </w:r>
      <w:r w:rsidRPr="00117EB3" w:rsidR="00DF3836">
        <w:rPr>
          <w:sz w:val="24"/>
        </w:rPr>
        <w:t xml:space="preserve"> </w:t>
      </w:r>
      <w:r w:rsidRPr="00117EB3" w:rsidR="007E4AF3">
        <w:rPr>
          <w:sz w:val="24"/>
        </w:rPr>
        <w:t>a voluntary program for confidential reporting of near</w:t>
      </w:r>
      <w:r w:rsidR="00C80FD0">
        <w:rPr>
          <w:sz w:val="24"/>
        </w:rPr>
        <w:t>-</w:t>
      </w:r>
      <w:r w:rsidRPr="00117EB3" w:rsidR="007E4AF3">
        <w:rPr>
          <w:sz w:val="24"/>
        </w:rPr>
        <w:t>miss events</w:t>
      </w:r>
      <w:r w:rsidRPr="00117EB3" w:rsidR="00900011">
        <w:rPr>
          <w:sz w:val="24"/>
        </w:rPr>
        <w:t xml:space="preserve"> occurring on vessels within the </w:t>
      </w:r>
      <w:r w:rsidR="00793CA1">
        <w:rPr>
          <w:sz w:val="24"/>
        </w:rPr>
        <w:t>m</w:t>
      </w:r>
      <w:r w:rsidRPr="00117EB3" w:rsidR="00900011">
        <w:rPr>
          <w:sz w:val="24"/>
        </w:rPr>
        <w:t xml:space="preserve">arine </w:t>
      </w:r>
      <w:r w:rsidR="00793CA1">
        <w:rPr>
          <w:sz w:val="24"/>
        </w:rPr>
        <w:t>t</w:t>
      </w:r>
      <w:r w:rsidRPr="00117EB3" w:rsidR="00900011">
        <w:rPr>
          <w:sz w:val="24"/>
        </w:rPr>
        <w:t xml:space="preserve">ransportation </w:t>
      </w:r>
      <w:r w:rsidR="00793CA1">
        <w:rPr>
          <w:sz w:val="24"/>
        </w:rPr>
        <w:t>s</w:t>
      </w:r>
      <w:r w:rsidRPr="00117EB3" w:rsidR="00900011">
        <w:rPr>
          <w:sz w:val="24"/>
        </w:rPr>
        <w:t>ystem (MTS)</w:t>
      </w:r>
      <w:r w:rsidR="00793CA1">
        <w:rPr>
          <w:sz w:val="24"/>
        </w:rPr>
        <w:t xml:space="preserve">. </w:t>
      </w:r>
      <w:r w:rsidR="00C80FD0">
        <w:rPr>
          <w:sz w:val="24"/>
        </w:rPr>
        <w:t xml:space="preserve">During the first year, BTS </w:t>
      </w:r>
      <w:r w:rsidR="00EE24EE">
        <w:rPr>
          <w:sz w:val="24"/>
        </w:rPr>
        <w:t xml:space="preserve">has </w:t>
      </w:r>
      <w:r w:rsidR="005F5177">
        <w:rPr>
          <w:sz w:val="24"/>
        </w:rPr>
        <w:t>worked closely with representatives from seven maritime companies who expressed interest in participating as early implementers</w:t>
      </w:r>
      <w:r w:rsidR="00EE24EE">
        <w:rPr>
          <w:sz w:val="24"/>
        </w:rPr>
        <w:t xml:space="preserve"> of the program. These representatives provided sample data to BTS, worked with BTS and MARAD to identify the scope of data that should be submitted to ensure that data captured as the appropriate learning value, and contributed to the development of a “data key”—a set of variables and values necessary for the collection of meaningful information about a near-miss event. BTS </w:t>
      </w:r>
      <w:r w:rsidR="00592D18">
        <w:rPr>
          <w:sz w:val="24"/>
        </w:rPr>
        <w:t>will</w:t>
      </w:r>
      <w:r w:rsidR="00EE24EE">
        <w:rPr>
          <w:sz w:val="24"/>
        </w:rPr>
        <w:t xml:space="preserve"> publish a summary report</w:t>
      </w:r>
      <w:r w:rsidR="00592D18">
        <w:rPr>
          <w:sz w:val="24"/>
        </w:rPr>
        <w:t>, expected</w:t>
      </w:r>
      <w:r w:rsidR="00EE24EE">
        <w:rPr>
          <w:sz w:val="24"/>
        </w:rPr>
        <w:t xml:space="preserve"> in </w:t>
      </w:r>
      <w:r w:rsidR="00EE24EE">
        <w:rPr>
          <w:sz w:val="24"/>
        </w:rPr>
        <w:t>early 2024</w:t>
      </w:r>
      <w:r w:rsidR="00592D18">
        <w:rPr>
          <w:sz w:val="24"/>
        </w:rPr>
        <w:t>,</w:t>
      </w:r>
      <w:r w:rsidR="00EE24EE">
        <w:rPr>
          <w:sz w:val="24"/>
        </w:rPr>
        <w:t xml:space="preserve"> on learnings from the pilot effort.</w:t>
      </w:r>
    </w:p>
    <w:p w:rsidR="00C35766" w:rsidRPr="00117EB3" w:rsidP="00E23E19" w14:paraId="19D175FE" w14:textId="77777777">
      <w:pPr>
        <w:rPr>
          <w:sz w:val="24"/>
        </w:rPr>
      </w:pPr>
    </w:p>
    <w:p w:rsidR="009F6A84" w:rsidRPr="00117EB3" w:rsidP="009F6A84" w14:paraId="431896E6" w14:textId="127E7C0A">
      <w:pPr>
        <w:rPr>
          <w:sz w:val="24"/>
        </w:rPr>
      </w:pPr>
      <w:r>
        <w:rPr>
          <w:sz w:val="24"/>
        </w:rPr>
        <w:t>BTS will protect data collected under the program</w:t>
      </w:r>
      <w:r w:rsidRPr="00117EB3">
        <w:rPr>
          <w:sz w:val="24"/>
        </w:rPr>
        <w:t xml:space="preserve"> in accordance with the Confidential Information Protection and Statistical Efficiency Act</w:t>
      </w:r>
      <w:r w:rsidRPr="00117EB3" w:rsidR="00237703">
        <w:rPr>
          <w:sz w:val="24"/>
        </w:rPr>
        <w:t xml:space="preserve"> (CIPSEA)</w:t>
      </w:r>
      <w:r w:rsidRPr="00117EB3">
        <w:rPr>
          <w:sz w:val="24"/>
        </w:rPr>
        <w:t xml:space="preserve"> of </w:t>
      </w:r>
      <w:r w:rsidRPr="00117EB3" w:rsidR="00237703">
        <w:rPr>
          <w:sz w:val="24"/>
        </w:rPr>
        <w:t>2018 (</w:t>
      </w:r>
      <w:r>
        <w:rPr>
          <w:sz w:val="24"/>
        </w:rPr>
        <w:t xml:space="preserve">title III of </w:t>
      </w:r>
      <w:r w:rsidRPr="00117EB3" w:rsidR="00237703">
        <w:rPr>
          <w:sz w:val="24"/>
        </w:rPr>
        <w:t>Pub. L</w:t>
      </w:r>
      <w:r>
        <w:rPr>
          <w:sz w:val="24"/>
        </w:rPr>
        <w:t>.</w:t>
      </w:r>
      <w:r w:rsidRPr="00117EB3" w:rsidR="00237703">
        <w:rPr>
          <w:sz w:val="24"/>
        </w:rPr>
        <w:t xml:space="preserve"> 115-435</w:t>
      </w:r>
      <w:r>
        <w:rPr>
          <w:sz w:val="24"/>
        </w:rPr>
        <w:t>,</w:t>
      </w:r>
      <w:r w:rsidRPr="00117EB3" w:rsidR="00237703">
        <w:rPr>
          <w:sz w:val="24"/>
        </w:rPr>
        <w:t xml:space="preserve"> Foundations for Evidence-Based Policymaking Act of 2018</w:t>
      </w:r>
      <w:r>
        <w:rPr>
          <w:sz w:val="24"/>
        </w:rPr>
        <w:t xml:space="preserve">, codified at </w:t>
      </w:r>
      <w:r w:rsidRPr="00117EB3">
        <w:rPr>
          <w:sz w:val="24"/>
        </w:rPr>
        <w:t>44 U.S.C. §</w:t>
      </w:r>
      <w:r w:rsidRPr="00117EB3" w:rsidR="005D678B">
        <w:rPr>
          <w:sz w:val="24"/>
        </w:rPr>
        <w:t>§</w:t>
      </w:r>
      <w:r w:rsidR="005D678B">
        <w:rPr>
          <w:sz w:val="24"/>
        </w:rPr>
        <w:t> </w:t>
      </w:r>
      <w:r w:rsidRPr="00117EB3">
        <w:rPr>
          <w:sz w:val="24"/>
        </w:rPr>
        <w:t>3501</w:t>
      </w:r>
      <w:r w:rsidR="005D678B">
        <w:rPr>
          <w:sz w:val="24"/>
        </w:rPr>
        <w:t>–3583</w:t>
      </w:r>
      <w:r w:rsidRPr="00117EB3">
        <w:rPr>
          <w:sz w:val="24"/>
        </w:rPr>
        <w:t>)</w:t>
      </w:r>
      <w:r w:rsidR="00B103C2">
        <w:rPr>
          <w:sz w:val="24"/>
        </w:rPr>
        <w:t>, which allows the program to overcome legal concerns among companies about sharing sensitive near-miss data. SafeMTS will</w:t>
      </w:r>
      <w:r w:rsidRPr="00117EB3">
        <w:rPr>
          <w:sz w:val="24"/>
        </w:rPr>
        <w:t xml:space="preserve"> provide parties in the </w:t>
      </w:r>
      <w:r w:rsidR="00EE24EE">
        <w:rPr>
          <w:sz w:val="24"/>
        </w:rPr>
        <w:t>maritime</w:t>
      </w:r>
      <w:r w:rsidRPr="00117EB3" w:rsidR="0017474B">
        <w:rPr>
          <w:sz w:val="24"/>
        </w:rPr>
        <w:t xml:space="preserve"> </w:t>
      </w:r>
      <w:r w:rsidRPr="00117EB3">
        <w:rPr>
          <w:sz w:val="24"/>
        </w:rPr>
        <w:t xml:space="preserve">industry a trusted means to report sensitive proprietary and information related to </w:t>
      </w:r>
      <w:r w:rsidRPr="00117EB3" w:rsidR="000213CF">
        <w:rPr>
          <w:sz w:val="24"/>
        </w:rPr>
        <w:t>safety performance and t</w:t>
      </w:r>
      <w:r w:rsidRPr="00117EB3">
        <w:rPr>
          <w:sz w:val="24"/>
        </w:rPr>
        <w:t xml:space="preserve">o foster trust in the confidential collection, handling, and storage of the raw data. </w:t>
      </w:r>
    </w:p>
    <w:p w:rsidR="00F15117" w14:paraId="1EBE65D2" w14:textId="62735E1F">
      <w:pPr>
        <w:rPr>
          <w:sz w:val="24"/>
        </w:rPr>
      </w:pPr>
    </w:p>
    <w:p w:rsidR="003B69B4" w:rsidRPr="00622CA6" w14:paraId="6005501F" w14:textId="77777777">
      <w:pPr>
        <w:rPr>
          <w:sz w:val="24"/>
        </w:rPr>
      </w:pPr>
    </w:p>
    <w:p w:rsidR="007B3A70" w:rsidRPr="00622CA6" w14:paraId="7608BA75" w14:textId="77777777">
      <w:pPr>
        <w:rPr>
          <w:b/>
          <w:bCs/>
          <w:sz w:val="24"/>
        </w:rPr>
      </w:pPr>
      <w:r w:rsidRPr="00622CA6">
        <w:rPr>
          <w:b/>
          <w:bCs/>
          <w:sz w:val="24"/>
        </w:rPr>
        <w:t>2.  Indicate how, by whom, and for what purpose the information is to be used.  Indicate the actual use the agency has made of the information received from the current collection.</w:t>
      </w:r>
    </w:p>
    <w:p w:rsidR="007B3A70" w:rsidRPr="00622CA6" w14:paraId="47E61E74" w14:textId="77777777">
      <w:pPr>
        <w:rPr>
          <w:sz w:val="24"/>
        </w:rPr>
      </w:pPr>
    </w:p>
    <w:p w:rsidR="00FF624D" w:rsidP="00FF624D" w14:paraId="4A5F93B8" w14:textId="77777777">
      <w:r w:rsidRPr="00D322D2">
        <w:rPr>
          <w:sz w:val="24"/>
        </w:rPr>
        <w:t>This data is voluntarily provided by the maritime industry. There is no sample selection for this data collection because no near-miss events are excluded; all near-miss events experienced by participating companies will be reported to BTS under the program. As of November 2023, there are approximately seven companies participating in SafeMTS. These companies comprise container and bulk shippers, ferry and passenger, and tug/tow operators.  All companies engaging in vessel operations are eligible to submit reports to BTS whenever they experience a qualifying event, i.e., a near miss safety event related to the potential for human injury/fatality, damage (loss) of assets, or negative environmental impact</w:t>
      </w:r>
      <w:r>
        <w:t xml:space="preserve">. </w:t>
      </w:r>
    </w:p>
    <w:p w:rsidR="00FF624D" w:rsidP="00F94720" w14:paraId="4B461406" w14:textId="77777777">
      <w:pPr>
        <w:rPr>
          <w:sz w:val="24"/>
        </w:rPr>
      </w:pPr>
    </w:p>
    <w:p w:rsidR="00726BE1" w:rsidRPr="00117EB3" w:rsidP="00F94720" w14:paraId="14E63D2B" w14:textId="2670AA68">
      <w:pPr>
        <w:rPr>
          <w:sz w:val="24"/>
        </w:rPr>
      </w:pPr>
      <w:r w:rsidRPr="00622CA6">
        <w:rPr>
          <w:sz w:val="24"/>
        </w:rPr>
        <w:t xml:space="preserve">BTS will </w:t>
      </w:r>
      <w:r w:rsidRPr="00622CA6" w:rsidR="00654BCA">
        <w:rPr>
          <w:sz w:val="24"/>
        </w:rPr>
        <w:t>collect</w:t>
      </w:r>
      <w:r w:rsidRPr="00622CA6">
        <w:rPr>
          <w:sz w:val="24"/>
        </w:rPr>
        <w:t xml:space="preserve">, store, process, and analyze </w:t>
      </w:r>
      <w:r w:rsidR="00B103C2">
        <w:rPr>
          <w:sz w:val="24"/>
        </w:rPr>
        <w:t>near-miss event</w:t>
      </w:r>
      <w:r w:rsidR="000F0E59">
        <w:rPr>
          <w:sz w:val="24"/>
        </w:rPr>
        <w:t xml:space="preserve"> </w:t>
      </w:r>
      <w:r w:rsidRPr="00622CA6" w:rsidR="008B094E">
        <w:rPr>
          <w:sz w:val="24"/>
        </w:rPr>
        <w:t>reports</w:t>
      </w:r>
      <w:r w:rsidRPr="00622CA6">
        <w:rPr>
          <w:sz w:val="24"/>
        </w:rPr>
        <w:t xml:space="preserve"> while assuring </w:t>
      </w:r>
      <w:r w:rsidRPr="00622CA6" w:rsidR="00654BCA">
        <w:rPr>
          <w:sz w:val="24"/>
        </w:rPr>
        <w:t xml:space="preserve">data </w:t>
      </w:r>
      <w:r w:rsidRPr="00622CA6">
        <w:rPr>
          <w:sz w:val="24"/>
        </w:rPr>
        <w:t xml:space="preserve">confidentiality. BTS will: </w:t>
      </w:r>
      <w:r w:rsidRPr="00622CA6" w:rsidR="0030275D">
        <w:rPr>
          <w:sz w:val="24"/>
        </w:rPr>
        <w:t xml:space="preserve">maintain the </w:t>
      </w:r>
      <w:r w:rsidRPr="00622CA6">
        <w:rPr>
          <w:sz w:val="24"/>
        </w:rPr>
        <w:t xml:space="preserve">analytical database using the reported data and other pertinent information; conduct statistical analyses and develop public reports; </w:t>
      </w:r>
      <w:r w:rsidR="00B103C2">
        <w:rPr>
          <w:sz w:val="24"/>
        </w:rPr>
        <w:t xml:space="preserve">and </w:t>
      </w:r>
      <w:r w:rsidRPr="00622CA6">
        <w:rPr>
          <w:sz w:val="24"/>
        </w:rPr>
        <w:t xml:space="preserve">protect the confidentiality of </w:t>
      </w:r>
      <w:r w:rsidR="00B103C2">
        <w:rPr>
          <w:sz w:val="24"/>
        </w:rPr>
        <w:t>data submitted under the program</w:t>
      </w:r>
      <w:r w:rsidRPr="00622CA6">
        <w:rPr>
          <w:sz w:val="24"/>
        </w:rPr>
        <w:t xml:space="preserve"> in accordance with BTS’ own statute (49 U.S.C. § 6307) and CIPSEA. In accordance with these confidentiality statutes, only statistical (</w:t>
      </w:r>
      <w:r w:rsidRPr="00117EB3">
        <w:rPr>
          <w:sz w:val="24"/>
        </w:rPr>
        <w:t>aggregated) and non-identifying data will be made publicly available by BTS through its reports. BTS will not release to</w:t>
      </w:r>
      <w:r w:rsidRPr="00117EB3" w:rsidR="000F0E59">
        <w:rPr>
          <w:sz w:val="24"/>
        </w:rPr>
        <w:t xml:space="preserve"> MARAD</w:t>
      </w:r>
      <w:r w:rsidRPr="00117EB3">
        <w:rPr>
          <w:sz w:val="24"/>
        </w:rPr>
        <w:t xml:space="preserve"> or any other public or private entity any information that might reveal the identity of </w:t>
      </w:r>
      <w:r w:rsidRPr="00117EB3" w:rsidR="000F0E59">
        <w:rPr>
          <w:sz w:val="24"/>
        </w:rPr>
        <w:t xml:space="preserve">reporter or </w:t>
      </w:r>
      <w:r w:rsidRPr="00117EB3">
        <w:rPr>
          <w:sz w:val="24"/>
        </w:rPr>
        <w:t>individuals</w:t>
      </w:r>
      <w:r w:rsidRPr="00117EB3" w:rsidR="006B3F7B">
        <w:rPr>
          <w:sz w:val="24"/>
        </w:rPr>
        <w:t xml:space="preserve"> </w:t>
      </w:r>
      <w:r w:rsidRPr="00117EB3">
        <w:rPr>
          <w:sz w:val="24"/>
        </w:rPr>
        <w:t xml:space="preserve">mentioned in </w:t>
      </w:r>
      <w:r w:rsidRPr="00117EB3" w:rsidR="000F0E59">
        <w:rPr>
          <w:sz w:val="24"/>
        </w:rPr>
        <w:t xml:space="preserve">safety </w:t>
      </w:r>
      <w:r w:rsidRPr="00117EB3">
        <w:rPr>
          <w:sz w:val="24"/>
        </w:rPr>
        <w:t>notice without explicit consent of the respondent</w:t>
      </w:r>
      <w:r w:rsidRPr="00117EB3" w:rsidR="00167ACE">
        <w:rPr>
          <w:sz w:val="24"/>
        </w:rPr>
        <w:t xml:space="preserve"> or applicable </w:t>
      </w:r>
      <w:r w:rsidRPr="00117EB3">
        <w:rPr>
          <w:sz w:val="24"/>
        </w:rPr>
        <w:t xml:space="preserve">entities.  </w:t>
      </w:r>
      <w:bookmarkStart w:id="6" w:name="OLE_LINK1"/>
    </w:p>
    <w:p w:rsidR="003B69B4" w:rsidP="00F94720" w14:paraId="7D82B4E1" w14:textId="77777777">
      <w:pPr>
        <w:rPr>
          <w:sz w:val="24"/>
        </w:rPr>
      </w:pPr>
    </w:p>
    <w:p w:rsidR="003B69B4" w:rsidRPr="00117EB3" w:rsidP="003B69B4" w14:paraId="21591DCE" w14:textId="20F818A2">
      <w:pPr>
        <w:rPr>
          <w:sz w:val="24"/>
        </w:rPr>
      </w:pPr>
      <w:r w:rsidRPr="00117EB3">
        <w:rPr>
          <w:sz w:val="24"/>
        </w:rPr>
        <w:t xml:space="preserve">BTS will </w:t>
      </w:r>
      <w:r>
        <w:rPr>
          <w:sz w:val="24"/>
        </w:rPr>
        <w:t xml:space="preserve">develop </w:t>
      </w:r>
      <w:r w:rsidRPr="00117EB3">
        <w:rPr>
          <w:sz w:val="24"/>
        </w:rPr>
        <w:t>and publish aggregate reports</w:t>
      </w:r>
      <w:r>
        <w:rPr>
          <w:sz w:val="24"/>
        </w:rPr>
        <w:t xml:space="preserve"> and data products such as dashboards</w:t>
      </w:r>
      <w:r w:rsidRPr="00117EB3">
        <w:rPr>
          <w:sz w:val="24"/>
        </w:rPr>
        <w:t xml:space="preserve"> that MARAD, the </w:t>
      </w:r>
      <w:r>
        <w:rPr>
          <w:sz w:val="24"/>
        </w:rPr>
        <w:t>maritime industry, and other</w:t>
      </w:r>
      <w:r w:rsidRPr="00117EB3">
        <w:rPr>
          <w:sz w:val="24"/>
        </w:rPr>
        <w:t xml:space="preserve"> stakeholders can use—in conjunction with </w:t>
      </w:r>
      <w:r>
        <w:rPr>
          <w:sz w:val="24"/>
        </w:rPr>
        <w:t xml:space="preserve">auxiliary data streams such as </w:t>
      </w:r>
      <w:r w:rsidRPr="00117EB3">
        <w:rPr>
          <w:sz w:val="24"/>
        </w:rPr>
        <w:t xml:space="preserve">vessel safety reports—to reduce safety risks and continue building a more robust </w:t>
      </w:r>
      <w:r>
        <w:rPr>
          <w:sz w:val="24"/>
        </w:rPr>
        <w:t>m</w:t>
      </w:r>
      <w:r w:rsidRPr="00117EB3">
        <w:rPr>
          <w:sz w:val="24"/>
        </w:rPr>
        <w:t xml:space="preserve">aritime safety culture. These reports make available only statistical aggregated and non-sensitive information and may contribute to research and development of intervention programs aimed at making vessel operation safer, reducing environmental risks, and building a more robust safety culture within the maritime industry. </w:t>
      </w:r>
    </w:p>
    <w:p w:rsidR="004729F0" w:rsidRPr="00117EB3" w:rsidP="00F94720" w14:paraId="157B7E8E" w14:textId="1A620B9C">
      <w:pPr>
        <w:rPr>
          <w:sz w:val="24"/>
        </w:rPr>
      </w:pPr>
      <w:r w:rsidRPr="00117EB3">
        <w:rPr>
          <w:sz w:val="24"/>
        </w:rPr>
        <w:t xml:space="preserve"> </w:t>
      </w:r>
    </w:p>
    <w:p w:rsidR="005312CB" w:rsidRPr="00117EB3" w:rsidP="00F94720" w14:paraId="7D26AC9F" w14:textId="07004492">
      <w:pPr>
        <w:rPr>
          <w:sz w:val="24"/>
        </w:rPr>
      </w:pPr>
      <w:r w:rsidRPr="00117EB3">
        <w:rPr>
          <w:sz w:val="24"/>
        </w:rPr>
        <w:t xml:space="preserve">BTS </w:t>
      </w:r>
      <w:r w:rsidRPr="00117EB3" w:rsidR="00325178">
        <w:rPr>
          <w:sz w:val="24"/>
        </w:rPr>
        <w:t>establishe</w:t>
      </w:r>
      <w:r w:rsidRPr="00117EB3" w:rsidR="00986DDF">
        <w:rPr>
          <w:sz w:val="24"/>
        </w:rPr>
        <w:t>s</w:t>
      </w:r>
      <w:r w:rsidRPr="00117EB3" w:rsidR="00245A8A">
        <w:rPr>
          <w:sz w:val="24"/>
        </w:rPr>
        <w:t xml:space="preserve"> SafeMTS </w:t>
      </w:r>
      <w:r w:rsidRPr="00117EB3">
        <w:rPr>
          <w:sz w:val="24"/>
        </w:rPr>
        <w:t>Data Review Team</w:t>
      </w:r>
      <w:r w:rsidRPr="00117EB3" w:rsidR="00986DDF">
        <w:rPr>
          <w:sz w:val="24"/>
        </w:rPr>
        <w:t>s</w:t>
      </w:r>
      <w:r w:rsidRPr="00117EB3" w:rsidR="00245A8A">
        <w:rPr>
          <w:sz w:val="24"/>
        </w:rPr>
        <w:t xml:space="preserve"> (DRT</w:t>
      </w:r>
      <w:r w:rsidR="00E71FB8">
        <w:rPr>
          <w:sz w:val="24"/>
        </w:rPr>
        <w:t>s</w:t>
      </w:r>
      <w:r w:rsidRPr="00117EB3" w:rsidR="00245A8A">
        <w:rPr>
          <w:sz w:val="24"/>
        </w:rPr>
        <w:t>)</w:t>
      </w:r>
      <w:r w:rsidRPr="00117EB3">
        <w:rPr>
          <w:sz w:val="24"/>
        </w:rPr>
        <w:t xml:space="preserve"> </w:t>
      </w:r>
      <w:r w:rsidRPr="00117EB3" w:rsidR="00245A8A">
        <w:rPr>
          <w:sz w:val="24"/>
        </w:rPr>
        <w:t xml:space="preserve">on an </w:t>
      </w:r>
      <w:r w:rsidRPr="00117EB3" w:rsidR="00986DDF">
        <w:rPr>
          <w:sz w:val="24"/>
        </w:rPr>
        <w:t>as needed</w:t>
      </w:r>
      <w:r w:rsidRPr="00117EB3" w:rsidR="00245A8A">
        <w:rPr>
          <w:sz w:val="24"/>
        </w:rPr>
        <w:t xml:space="preserve"> basis</w:t>
      </w:r>
      <w:r w:rsidRPr="00117EB3">
        <w:rPr>
          <w:sz w:val="24"/>
        </w:rPr>
        <w:t xml:space="preserve"> to act as subject matter experts </w:t>
      </w:r>
      <w:r w:rsidRPr="00117EB3" w:rsidR="00E551B1">
        <w:rPr>
          <w:sz w:val="24"/>
        </w:rPr>
        <w:t xml:space="preserve">(SMEs) </w:t>
      </w:r>
      <w:r w:rsidRPr="00117EB3">
        <w:rPr>
          <w:sz w:val="24"/>
        </w:rPr>
        <w:t xml:space="preserve">to evaluate, review, and analyze microdata for the purpose of identifying </w:t>
      </w:r>
      <w:r w:rsidRPr="00117EB3">
        <w:rPr>
          <w:sz w:val="24"/>
        </w:rPr>
        <w:t xml:space="preserve">and reporting trends and producing industry-wide statistics. All DRT members </w:t>
      </w:r>
      <w:r w:rsidR="003B69B4">
        <w:rPr>
          <w:sz w:val="24"/>
        </w:rPr>
        <w:t>must adhere to BTS confidentiality policy, including complete confidentiality training and sign a nondisclosure agreement</w:t>
      </w:r>
      <w:r w:rsidRPr="00117EB3">
        <w:rPr>
          <w:sz w:val="24"/>
        </w:rPr>
        <w:t xml:space="preserve">. All DRT members must have applicable subject matter expertise </w:t>
      </w:r>
      <w:r w:rsidR="003B69B4">
        <w:rPr>
          <w:sz w:val="24"/>
        </w:rPr>
        <w:t xml:space="preserve">in maritime </w:t>
      </w:r>
      <w:r w:rsidRPr="00117EB3" w:rsidR="00245A8A">
        <w:rPr>
          <w:sz w:val="24"/>
        </w:rPr>
        <w:t>operations</w:t>
      </w:r>
      <w:r w:rsidRPr="00117EB3">
        <w:rPr>
          <w:sz w:val="24"/>
        </w:rPr>
        <w:t>.</w:t>
      </w:r>
      <w:r w:rsidRPr="00117EB3" w:rsidR="006B3F7B">
        <w:rPr>
          <w:sz w:val="24"/>
        </w:rPr>
        <w:t xml:space="preserve"> </w:t>
      </w:r>
      <w:r w:rsidRPr="00117EB3">
        <w:rPr>
          <w:sz w:val="24"/>
        </w:rPr>
        <w:t>The DRT is composed o</w:t>
      </w:r>
      <w:r w:rsidRPr="00117EB3" w:rsidR="00E551B1">
        <w:rPr>
          <w:sz w:val="24"/>
        </w:rPr>
        <w:t>f core members and specialized SMEs</w:t>
      </w:r>
      <w:r w:rsidRPr="00117EB3">
        <w:rPr>
          <w:sz w:val="24"/>
        </w:rPr>
        <w:t xml:space="preserve"> to be called upon as needed based on technical content of incoming reports. </w:t>
      </w:r>
    </w:p>
    <w:p w:rsidR="005312CB" w:rsidRPr="00117EB3" w:rsidP="00F94720" w14:paraId="4FB93CDB" w14:textId="77777777">
      <w:pPr>
        <w:rPr>
          <w:sz w:val="24"/>
        </w:rPr>
      </w:pPr>
    </w:p>
    <w:p w:rsidR="005312CB" w:rsidRPr="00622CA6" w:rsidP="00F94720" w14:paraId="10608962" w14:textId="3053473E">
      <w:pPr>
        <w:rPr>
          <w:sz w:val="24"/>
        </w:rPr>
      </w:pPr>
      <w:r w:rsidRPr="00117EB3">
        <w:rPr>
          <w:sz w:val="24"/>
        </w:rPr>
        <w:t xml:space="preserve">Information collected through this program may be used to develop new or modified training programs, assess </w:t>
      </w:r>
      <w:r w:rsidRPr="00117EB3" w:rsidR="00E530B6">
        <w:rPr>
          <w:sz w:val="24"/>
        </w:rPr>
        <w:t>risk</w:t>
      </w:r>
      <w:r w:rsidRPr="00117EB3">
        <w:rPr>
          <w:sz w:val="24"/>
        </w:rPr>
        <w:t xml:space="preserve"> and allocate resources to address those risks, learn why these reported </w:t>
      </w:r>
      <w:r w:rsidRPr="00117EB3" w:rsidR="00245A8A">
        <w:rPr>
          <w:sz w:val="24"/>
        </w:rPr>
        <w:t>safety</w:t>
      </w:r>
      <w:r w:rsidRPr="00117EB3">
        <w:rPr>
          <w:sz w:val="24"/>
        </w:rPr>
        <w:t xml:space="preserve"> events are taking place, and to engage in informed discussions among </w:t>
      </w:r>
      <w:r w:rsidRPr="00117EB3" w:rsidR="00245A8A">
        <w:rPr>
          <w:sz w:val="24"/>
        </w:rPr>
        <w:t>MARAD,</w:t>
      </w:r>
      <w:r w:rsidRPr="00117EB3">
        <w:rPr>
          <w:sz w:val="24"/>
        </w:rPr>
        <w:t xml:space="preserve"> </w:t>
      </w:r>
      <w:r w:rsidRPr="00117EB3" w:rsidR="00245A8A">
        <w:rPr>
          <w:sz w:val="24"/>
        </w:rPr>
        <w:t xml:space="preserve">maritime vessel </w:t>
      </w:r>
      <w:r w:rsidRPr="00117EB3">
        <w:rPr>
          <w:sz w:val="24"/>
        </w:rPr>
        <w:t>operators, their contractors, original equipment manufacturers, and other stakeholders.</w:t>
      </w:r>
    </w:p>
    <w:p w:rsidR="00726BE1" w:rsidRPr="00622CA6" w:rsidP="00F94720" w14:paraId="628336B0" w14:textId="77777777">
      <w:pPr>
        <w:rPr>
          <w:sz w:val="24"/>
        </w:rPr>
      </w:pPr>
    </w:p>
    <w:p w:rsidR="007B3A70" w:rsidRPr="00622CA6" w14:paraId="4DF47141" w14:textId="168C1D52">
      <w:pPr>
        <w:rPr>
          <w:sz w:val="24"/>
        </w:rPr>
      </w:pPr>
      <w:r w:rsidRPr="00622CA6">
        <w:rPr>
          <w:b/>
          <w:bCs/>
          <w:sz w:val="24"/>
        </w:rPr>
        <w:t xml:space="preserve">3. Describe whether, and to what extent, the collection of information involves the use of automated, electronic, mechanical, or other technological collection techniques or other forms of information technology, </w:t>
      </w:r>
      <w:r w:rsidRPr="00622CA6" w:rsidR="00E530B6">
        <w:rPr>
          <w:b/>
          <w:bCs/>
          <w:sz w:val="24"/>
        </w:rPr>
        <w:t>e.g.,</w:t>
      </w:r>
      <w:r w:rsidRPr="00622CA6">
        <w:rPr>
          <w:b/>
          <w:bCs/>
          <w:sz w:val="24"/>
        </w:rPr>
        <w:t xml:space="preserve"> permitting electronic submissions of responses, and the basis for the decision for adopting this means of collection.  Also, describe any consideration of using information technology to reduce burden.</w:t>
      </w:r>
    </w:p>
    <w:p w:rsidR="007B3A70" w:rsidRPr="00622CA6" w14:paraId="35A9BB88" w14:textId="77777777">
      <w:pPr>
        <w:rPr>
          <w:sz w:val="24"/>
        </w:rPr>
      </w:pPr>
    </w:p>
    <w:p w:rsidR="00FC001A" w:rsidP="003B69B4" w14:paraId="21F5567A" w14:textId="152F72BC">
      <w:pPr>
        <w:rPr>
          <w:sz w:val="24"/>
        </w:rPr>
      </w:pPr>
      <w:r>
        <w:rPr>
          <w:sz w:val="24"/>
        </w:rPr>
        <w:t>BTS promotes electronic reporting and has developed tutorials and user guides to document and assist participants with submitting data files electronically via BTS’s secure online portal. In developing the reporting process, BTS has attempted to ensure that the form and format of all data collection tools are designed to minimize the burden of respondents while increasing the confidence and trust in the failure reporting system.</w:t>
      </w:r>
    </w:p>
    <w:p w:rsidR="00FC001A" w:rsidP="003B69B4" w14:paraId="0434689F" w14:textId="77777777">
      <w:pPr>
        <w:rPr>
          <w:sz w:val="24"/>
        </w:rPr>
      </w:pPr>
    </w:p>
    <w:p w:rsidR="005312CB" w:rsidRPr="002E4126" w:rsidP="00B714E8" w14:paraId="5E649051" w14:textId="48A68931">
      <w:pPr>
        <w:rPr>
          <w:sz w:val="24"/>
        </w:rPr>
      </w:pPr>
      <w:r>
        <w:rPr>
          <w:sz w:val="24"/>
        </w:rPr>
        <w:t>Reports may be submitted individually, through a batch transfer of multiple reports, or through a database transfer. Companies will work with BTS to determine a method for transfer, with the goal of allowing for submission of data in whatever format already in place at the company, to minimize incremental effort on the company’s part.</w:t>
      </w:r>
    </w:p>
    <w:p w:rsidR="008E5CC9" w14:paraId="760EE393" w14:textId="527A8D87">
      <w:pPr>
        <w:rPr>
          <w:sz w:val="24"/>
        </w:rPr>
      </w:pPr>
    </w:p>
    <w:p w:rsidR="00FF624D" w:rsidRPr="00D322D2" w:rsidP="00FF624D" w14:paraId="50541390" w14:textId="77777777">
      <w:pPr>
        <w:pStyle w:val="BodyText"/>
        <w:rPr>
          <w:sz w:val="24"/>
          <w:szCs w:val="24"/>
        </w:rPr>
      </w:pPr>
      <w:r w:rsidRPr="00D322D2">
        <w:rPr>
          <w:sz w:val="24"/>
          <w:szCs w:val="24"/>
        </w:rPr>
        <w:t xml:space="preserve">Industry participants will submit data electronically to BTS via upload to a secure online portal. Submitted data files will include information such as: </w:t>
      </w:r>
    </w:p>
    <w:p w:rsidR="00FF624D" w:rsidRPr="00D322D2" w:rsidP="00FF624D" w14:paraId="447F6363" w14:textId="77777777">
      <w:pPr>
        <w:pStyle w:val="BodyText"/>
        <w:numPr>
          <w:ilvl w:val="0"/>
          <w:numId w:val="14"/>
        </w:numPr>
        <w:rPr>
          <w:sz w:val="24"/>
          <w:szCs w:val="24"/>
        </w:rPr>
      </w:pPr>
      <w:r w:rsidRPr="00D322D2">
        <w:rPr>
          <w:sz w:val="24"/>
          <w:szCs w:val="24"/>
        </w:rPr>
        <w:t>Event Date</w:t>
      </w:r>
    </w:p>
    <w:p w:rsidR="00FF624D" w:rsidRPr="00D322D2" w:rsidP="00FF624D" w14:paraId="6614B244" w14:textId="77777777">
      <w:pPr>
        <w:pStyle w:val="BodyText"/>
        <w:numPr>
          <w:ilvl w:val="0"/>
          <w:numId w:val="14"/>
        </w:numPr>
        <w:rPr>
          <w:sz w:val="24"/>
          <w:szCs w:val="24"/>
        </w:rPr>
      </w:pPr>
      <w:r w:rsidRPr="00D322D2">
        <w:rPr>
          <w:sz w:val="24"/>
          <w:szCs w:val="24"/>
        </w:rPr>
        <w:t>Time of Event</w:t>
      </w:r>
    </w:p>
    <w:p w:rsidR="00FF624D" w:rsidRPr="00D322D2" w:rsidP="00FF624D" w14:paraId="4307CAB9" w14:textId="77777777">
      <w:pPr>
        <w:pStyle w:val="BodyText"/>
        <w:numPr>
          <w:ilvl w:val="0"/>
          <w:numId w:val="14"/>
        </w:numPr>
        <w:rPr>
          <w:sz w:val="24"/>
          <w:szCs w:val="24"/>
        </w:rPr>
      </w:pPr>
      <w:r w:rsidRPr="00D322D2">
        <w:rPr>
          <w:sz w:val="24"/>
          <w:szCs w:val="24"/>
        </w:rPr>
        <w:t>Event Description</w:t>
      </w:r>
    </w:p>
    <w:p w:rsidR="00FF624D" w:rsidRPr="00D322D2" w:rsidP="00FF624D" w14:paraId="1CF8E3E4" w14:textId="77777777">
      <w:pPr>
        <w:pStyle w:val="BodyText"/>
        <w:numPr>
          <w:ilvl w:val="0"/>
          <w:numId w:val="14"/>
        </w:numPr>
        <w:rPr>
          <w:sz w:val="24"/>
          <w:szCs w:val="24"/>
        </w:rPr>
      </w:pPr>
      <w:r w:rsidRPr="00D322D2">
        <w:rPr>
          <w:sz w:val="24"/>
          <w:szCs w:val="24"/>
        </w:rPr>
        <w:t>Incident Type/Category</w:t>
      </w:r>
    </w:p>
    <w:p w:rsidR="00FF624D" w:rsidRPr="00D322D2" w:rsidP="00FF624D" w14:paraId="134B5CA6" w14:textId="77777777">
      <w:pPr>
        <w:pStyle w:val="BodyText"/>
        <w:numPr>
          <w:ilvl w:val="0"/>
          <w:numId w:val="14"/>
        </w:numPr>
        <w:rPr>
          <w:sz w:val="24"/>
          <w:szCs w:val="24"/>
        </w:rPr>
      </w:pPr>
      <w:r w:rsidRPr="00D322D2">
        <w:rPr>
          <w:sz w:val="24"/>
          <w:szCs w:val="24"/>
        </w:rPr>
        <w:t>Near Miss Classification</w:t>
      </w:r>
    </w:p>
    <w:p w:rsidR="00FF624D" w:rsidRPr="00D322D2" w:rsidP="00FF624D" w14:paraId="4D2E1655" w14:textId="77777777">
      <w:pPr>
        <w:pStyle w:val="BodyText"/>
        <w:numPr>
          <w:ilvl w:val="0"/>
          <w:numId w:val="14"/>
        </w:numPr>
        <w:rPr>
          <w:sz w:val="24"/>
          <w:szCs w:val="24"/>
        </w:rPr>
      </w:pPr>
      <w:r w:rsidRPr="00D322D2">
        <w:rPr>
          <w:sz w:val="24"/>
          <w:szCs w:val="24"/>
        </w:rPr>
        <w:t>Geographic Location</w:t>
      </w:r>
    </w:p>
    <w:p w:rsidR="00FF624D" w:rsidRPr="00D322D2" w:rsidP="00FF624D" w14:paraId="7C1BA666" w14:textId="77777777">
      <w:pPr>
        <w:pStyle w:val="BodyText"/>
        <w:numPr>
          <w:ilvl w:val="0"/>
          <w:numId w:val="14"/>
        </w:numPr>
        <w:rPr>
          <w:sz w:val="24"/>
          <w:szCs w:val="24"/>
        </w:rPr>
      </w:pPr>
      <w:r w:rsidRPr="00D322D2">
        <w:rPr>
          <w:sz w:val="24"/>
          <w:szCs w:val="24"/>
        </w:rPr>
        <w:t>Vessel Name (1) &amp; (2)</w:t>
      </w:r>
    </w:p>
    <w:p w:rsidR="00FF624D" w:rsidRPr="00D322D2" w:rsidP="00FF624D" w14:paraId="4BCB89FF" w14:textId="77777777">
      <w:pPr>
        <w:pStyle w:val="BodyText"/>
        <w:numPr>
          <w:ilvl w:val="0"/>
          <w:numId w:val="14"/>
        </w:numPr>
        <w:rPr>
          <w:sz w:val="24"/>
          <w:szCs w:val="24"/>
        </w:rPr>
      </w:pPr>
      <w:r w:rsidRPr="00D322D2">
        <w:rPr>
          <w:sz w:val="24"/>
          <w:szCs w:val="24"/>
        </w:rPr>
        <w:t>Vessel Type (1) &amp; (2)</w:t>
      </w:r>
    </w:p>
    <w:p w:rsidR="00FF624D" w:rsidRPr="00D322D2" w:rsidP="00FF624D" w14:paraId="5A79C7B0" w14:textId="77777777">
      <w:pPr>
        <w:pStyle w:val="BodyText"/>
        <w:numPr>
          <w:ilvl w:val="0"/>
          <w:numId w:val="14"/>
        </w:numPr>
        <w:rPr>
          <w:sz w:val="24"/>
          <w:szCs w:val="24"/>
        </w:rPr>
      </w:pPr>
      <w:r w:rsidRPr="00D322D2">
        <w:rPr>
          <w:sz w:val="24"/>
          <w:szCs w:val="24"/>
        </w:rPr>
        <w:t>Business Segment</w:t>
      </w:r>
    </w:p>
    <w:p w:rsidR="00FF624D" w:rsidRPr="00D322D2" w:rsidP="00FF624D" w14:paraId="0CEE92CB" w14:textId="77777777">
      <w:pPr>
        <w:pStyle w:val="BodyText"/>
        <w:numPr>
          <w:ilvl w:val="0"/>
          <w:numId w:val="14"/>
        </w:numPr>
        <w:rPr>
          <w:sz w:val="24"/>
          <w:szCs w:val="24"/>
        </w:rPr>
      </w:pPr>
      <w:r w:rsidRPr="00D322D2">
        <w:rPr>
          <w:sz w:val="24"/>
          <w:szCs w:val="24"/>
        </w:rPr>
        <w:t>Location on Vessel</w:t>
      </w:r>
    </w:p>
    <w:p w:rsidR="00FF624D" w:rsidRPr="00D322D2" w:rsidP="00FF624D" w14:paraId="37821FC8" w14:textId="77777777">
      <w:pPr>
        <w:pStyle w:val="BodyText"/>
        <w:numPr>
          <w:ilvl w:val="0"/>
          <w:numId w:val="14"/>
        </w:numPr>
        <w:rPr>
          <w:sz w:val="24"/>
          <w:szCs w:val="24"/>
        </w:rPr>
      </w:pPr>
      <w:r w:rsidRPr="00D322D2">
        <w:rPr>
          <w:sz w:val="24"/>
          <w:szCs w:val="24"/>
        </w:rPr>
        <w:t>Location on Vessel - Detail</w:t>
      </w:r>
    </w:p>
    <w:p w:rsidR="00FF624D" w:rsidRPr="00D322D2" w:rsidP="00FF624D" w14:paraId="160A11AD" w14:textId="77777777">
      <w:pPr>
        <w:pStyle w:val="BodyText"/>
        <w:numPr>
          <w:ilvl w:val="0"/>
          <w:numId w:val="14"/>
        </w:numPr>
        <w:rPr>
          <w:sz w:val="24"/>
          <w:szCs w:val="24"/>
        </w:rPr>
      </w:pPr>
      <w:r w:rsidRPr="00D322D2">
        <w:rPr>
          <w:sz w:val="24"/>
          <w:szCs w:val="24"/>
        </w:rPr>
        <w:t>Operations/Activity Ongoing</w:t>
      </w:r>
    </w:p>
    <w:p w:rsidR="00FF624D" w:rsidRPr="00D322D2" w:rsidP="00FF624D" w14:paraId="1B54E168" w14:textId="77777777">
      <w:pPr>
        <w:pStyle w:val="BodyText"/>
        <w:numPr>
          <w:ilvl w:val="0"/>
          <w:numId w:val="14"/>
        </w:numPr>
        <w:rPr>
          <w:sz w:val="24"/>
          <w:szCs w:val="24"/>
        </w:rPr>
      </w:pPr>
      <w:r w:rsidRPr="00D322D2">
        <w:rPr>
          <w:sz w:val="24"/>
          <w:szCs w:val="24"/>
        </w:rPr>
        <w:t>System/Equipment Involved</w:t>
      </w:r>
    </w:p>
    <w:p w:rsidR="00FF624D" w:rsidRPr="00D322D2" w:rsidP="00FF624D" w14:paraId="2258182B" w14:textId="77777777">
      <w:pPr>
        <w:pStyle w:val="BodyText"/>
        <w:numPr>
          <w:ilvl w:val="0"/>
          <w:numId w:val="14"/>
        </w:numPr>
        <w:rPr>
          <w:sz w:val="24"/>
          <w:szCs w:val="24"/>
        </w:rPr>
      </w:pPr>
      <w:r w:rsidRPr="00D322D2">
        <w:rPr>
          <w:sz w:val="24"/>
          <w:szCs w:val="24"/>
        </w:rPr>
        <w:t>Observing Personnel Type</w:t>
      </w:r>
    </w:p>
    <w:p w:rsidR="00FF624D" w:rsidRPr="00D322D2" w:rsidP="00FF624D" w14:paraId="28A3E4BE" w14:textId="77777777">
      <w:pPr>
        <w:pStyle w:val="BodyText"/>
        <w:numPr>
          <w:ilvl w:val="0"/>
          <w:numId w:val="14"/>
        </w:numPr>
        <w:rPr>
          <w:sz w:val="24"/>
          <w:szCs w:val="24"/>
        </w:rPr>
      </w:pPr>
      <w:r w:rsidRPr="00D322D2">
        <w:rPr>
          <w:sz w:val="24"/>
          <w:szCs w:val="24"/>
        </w:rPr>
        <w:t>Factor Preventing Worse Incident</w:t>
      </w:r>
    </w:p>
    <w:p w:rsidR="00FF624D" w:rsidRPr="00D322D2" w:rsidP="00FF624D" w14:paraId="328B0C90" w14:textId="77777777">
      <w:pPr>
        <w:pStyle w:val="BodyText"/>
        <w:numPr>
          <w:ilvl w:val="0"/>
          <w:numId w:val="14"/>
        </w:numPr>
        <w:rPr>
          <w:sz w:val="24"/>
          <w:szCs w:val="24"/>
        </w:rPr>
      </w:pPr>
      <w:r w:rsidRPr="00D322D2">
        <w:rPr>
          <w:sz w:val="24"/>
          <w:szCs w:val="24"/>
        </w:rPr>
        <w:t>Action Taken - Narrative</w:t>
      </w:r>
    </w:p>
    <w:p w:rsidR="00FF624D" w:rsidRPr="00D322D2" w:rsidP="00FF624D" w14:paraId="1B6DCB5A" w14:textId="77777777">
      <w:pPr>
        <w:pStyle w:val="BodyText"/>
        <w:numPr>
          <w:ilvl w:val="0"/>
          <w:numId w:val="14"/>
        </w:numPr>
        <w:rPr>
          <w:sz w:val="24"/>
          <w:szCs w:val="24"/>
        </w:rPr>
      </w:pPr>
      <w:r w:rsidRPr="00D322D2">
        <w:rPr>
          <w:sz w:val="24"/>
          <w:szCs w:val="24"/>
        </w:rPr>
        <w:t>Immediate Corrective Action</w:t>
      </w:r>
    </w:p>
    <w:p w:rsidR="00FF624D" w:rsidRPr="00D322D2" w:rsidP="00FF624D" w14:paraId="5E1F09C5" w14:textId="77777777">
      <w:pPr>
        <w:pStyle w:val="BodyText"/>
        <w:numPr>
          <w:ilvl w:val="0"/>
          <w:numId w:val="14"/>
        </w:numPr>
        <w:rPr>
          <w:sz w:val="24"/>
          <w:szCs w:val="24"/>
        </w:rPr>
      </w:pPr>
      <w:r w:rsidRPr="00D322D2">
        <w:rPr>
          <w:sz w:val="24"/>
          <w:szCs w:val="24"/>
        </w:rPr>
        <w:t>Systemic Corrective Action</w:t>
      </w:r>
    </w:p>
    <w:p w:rsidR="00FF624D" w:rsidRPr="00D322D2" w:rsidP="00FF624D" w14:paraId="67C6AEBE" w14:textId="77777777">
      <w:pPr>
        <w:pStyle w:val="BodyText"/>
        <w:numPr>
          <w:ilvl w:val="0"/>
          <w:numId w:val="14"/>
        </w:numPr>
        <w:rPr>
          <w:sz w:val="24"/>
          <w:szCs w:val="24"/>
        </w:rPr>
      </w:pPr>
      <w:r w:rsidRPr="00D322D2">
        <w:rPr>
          <w:sz w:val="24"/>
          <w:szCs w:val="24"/>
        </w:rPr>
        <w:t>Potential Consequence</w:t>
      </w:r>
    </w:p>
    <w:p w:rsidR="00FF624D" w:rsidRPr="00D322D2" w:rsidP="00FF624D" w14:paraId="4C2AA99B" w14:textId="77777777">
      <w:pPr>
        <w:pStyle w:val="BodyText"/>
        <w:numPr>
          <w:ilvl w:val="0"/>
          <w:numId w:val="14"/>
        </w:numPr>
        <w:rPr>
          <w:sz w:val="24"/>
          <w:szCs w:val="24"/>
        </w:rPr>
      </w:pPr>
      <w:r w:rsidRPr="00D322D2">
        <w:rPr>
          <w:sz w:val="24"/>
          <w:szCs w:val="24"/>
        </w:rPr>
        <w:t>Actual Consequence</w:t>
      </w:r>
    </w:p>
    <w:p w:rsidR="00FF624D" w:rsidRPr="00D322D2" w:rsidP="00FF624D" w14:paraId="1BB97F72" w14:textId="77777777">
      <w:pPr>
        <w:pStyle w:val="BodyText"/>
        <w:numPr>
          <w:ilvl w:val="0"/>
          <w:numId w:val="14"/>
        </w:numPr>
        <w:rPr>
          <w:sz w:val="24"/>
          <w:szCs w:val="24"/>
        </w:rPr>
      </w:pPr>
      <w:r w:rsidRPr="00D322D2">
        <w:rPr>
          <w:sz w:val="24"/>
          <w:szCs w:val="24"/>
        </w:rPr>
        <w:t>Potential Severity Level</w:t>
      </w:r>
    </w:p>
    <w:p w:rsidR="00FF624D" w:rsidRPr="00D322D2" w:rsidP="00FF624D" w14:paraId="365AED9D" w14:textId="77777777">
      <w:pPr>
        <w:pStyle w:val="BodyText"/>
        <w:numPr>
          <w:ilvl w:val="0"/>
          <w:numId w:val="14"/>
        </w:numPr>
        <w:rPr>
          <w:sz w:val="24"/>
          <w:szCs w:val="24"/>
        </w:rPr>
      </w:pPr>
      <w:r w:rsidRPr="00D322D2">
        <w:rPr>
          <w:sz w:val="24"/>
          <w:szCs w:val="24"/>
        </w:rPr>
        <w:t>Causal/Contributing Factors</w:t>
      </w:r>
    </w:p>
    <w:p w:rsidR="00FF624D" w:rsidRPr="00D322D2" w:rsidP="00FF624D" w14:paraId="595A7886" w14:textId="77777777">
      <w:pPr>
        <w:pStyle w:val="BodyText"/>
        <w:numPr>
          <w:ilvl w:val="0"/>
          <w:numId w:val="14"/>
        </w:numPr>
        <w:rPr>
          <w:sz w:val="24"/>
          <w:szCs w:val="24"/>
        </w:rPr>
      </w:pPr>
      <w:r w:rsidRPr="00D322D2">
        <w:rPr>
          <w:sz w:val="24"/>
          <w:szCs w:val="24"/>
        </w:rPr>
        <w:t>Root Cause</w:t>
      </w:r>
    </w:p>
    <w:p w:rsidR="00FF624D" w:rsidRPr="00D322D2" w:rsidP="00FF624D" w14:paraId="7ECE9A5F" w14:textId="77777777">
      <w:pPr>
        <w:pStyle w:val="BodyText"/>
        <w:rPr>
          <w:sz w:val="24"/>
          <w:szCs w:val="24"/>
        </w:rPr>
      </w:pPr>
    </w:p>
    <w:p w:rsidR="00FF624D" w:rsidRPr="00D322D2" w:rsidP="00FF624D" w14:paraId="57052BB7" w14:textId="77777777">
      <w:pPr>
        <w:pStyle w:val="BodyText"/>
        <w:rPr>
          <w:sz w:val="24"/>
          <w:szCs w:val="24"/>
        </w:rPr>
      </w:pPr>
      <w:r w:rsidRPr="00D322D2">
        <w:rPr>
          <w:sz w:val="24"/>
          <w:szCs w:val="24"/>
        </w:rPr>
        <w:t>BTS will maintain an analytical database using the reported data and other pertinent information, conduct statistical analysis, and develop public reports and data dashboards. Additional company-specific analyses and data tools may be developed to allow participants to compare trends in near-miss incidents within their company to the industry average.</w:t>
      </w:r>
    </w:p>
    <w:p w:rsidR="00FF624D" w:rsidRPr="00D322D2" w:rsidP="00FF624D" w14:paraId="7C6AF966" w14:textId="77777777">
      <w:pPr>
        <w:pStyle w:val="BodyText"/>
        <w:rPr>
          <w:sz w:val="24"/>
          <w:szCs w:val="24"/>
        </w:rPr>
      </w:pPr>
    </w:p>
    <w:p w:rsidR="00FF624D" w:rsidRPr="00D322D2" w:rsidP="00FF624D" w14:paraId="2EEEA9CE" w14:textId="77777777">
      <w:pPr>
        <w:pStyle w:val="BodyText"/>
        <w:rPr>
          <w:sz w:val="24"/>
          <w:szCs w:val="24"/>
        </w:rPr>
      </w:pPr>
      <w:r w:rsidRPr="00D322D2">
        <w:rPr>
          <w:sz w:val="24"/>
          <w:szCs w:val="24"/>
        </w:rPr>
        <w:t>BTS will protect the confidentiality of notices and reports in accordance with BTS’ own statute (49 U.S.C. § 6307) and CIPSEA.  In accordance with these confidentiality statutes, only statistical aggregated and non-identifying data will be made publicly available by BTS through reports. BTS will not release to BSEE or any other public or private entity any information that might reveal the identity of individuals or organizations mentioned in near-miss events, or reports without explicit consent of the respondent and any other affected entities.</w:t>
      </w:r>
    </w:p>
    <w:p w:rsidR="00FF624D" w14:paraId="42945A2C" w14:textId="4DC9FC11">
      <w:pPr>
        <w:rPr>
          <w:sz w:val="24"/>
        </w:rPr>
      </w:pPr>
    </w:p>
    <w:p w:rsidR="00FF624D" w:rsidRPr="002E4126" w14:paraId="58D7FFE0" w14:textId="77777777">
      <w:pPr>
        <w:rPr>
          <w:sz w:val="24"/>
        </w:rPr>
      </w:pPr>
    </w:p>
    <w:p w:rsidR="007B3A70" w:rsidRPr="002E4126" w14:paraId="343D8726" w14:textId="77777777">
      <w:pPr>
        <w:rPr>
          <w:sz w:val="24"/>
        </w:rPr>
      </w:pPr>
      <w:r w:rsidRPr="002E4126">
        <w:rPr>
          <w:b/>
          <w:bCs/>
          <w:sz w:val="24"/>
        </w:rPr>
        <w:t>4.  Describe efforts to identify duplication.  Show specifically why similar information already available cannot be used or modified for use for the purposes described in Item 2 above</w:t>
      </w:r>
      <w:r w:rsidRPr="002E4126">
        <w:rPr>
          <w:sz w:val="24"/>
        </w:rPr>
        <w:t>.</w:t>
      </w:r>
    </w:p>
    <w:p w:rsidR="001569C0" w:rsidRPr="002E4126" w14:paraId="37768350" w14:textId="77777777">
      <w:pPr>
        <w:rPr>
          <w:sz w:val="24"/>
        </w:rPr>
      </w:pPr>
    </w:p>
    <w:p w:rsidR="002D6BCD" w:rsidP="002D6BCD" w14:paraId="24454083" w14:textId="2CD59DCE">
      <w:pPr>
        <w:rPr>
          <w:sz w:val="24"/>
        </w:rPr>
      </w:pPr>
      <w:r w:rsidRPr="002E4126">
        <w:rPr>
          <w:sz w:val="24"/>
        </w:rPr>
        <w:t xml:space="preserve">There is currently no reporting regime in place for maritime industry near-miss or safety incidents and other non-casualty/reportable safety matters. The </w:t>
      </w:r>
      <w:r w:rsidRPr="002E4126" w:rsidR="00325178">
        <w:rPr>
          <w:sz w:val="24"/>
        </w:rPr>
        <w:t xml:space="preserve">BTS </w:t>
      </w:r>
      <w:r w:rsidRPr="002E4126">
        <w:rPr>
          <w:sz w:val="24"/>
        </w:rPr>
        <w:t>near-miss reporting database will serve as a</w:t>
      </w:r>
      <w:r w:rsidRPr="002E4126" w:rsidR="003E41E5">
        <w:rPr>
          <w:sz w:val="24"/>
        </w:rPr>
        <w:t xml:space="preserve"> </w:t>
      </w:r>
      <w:r w:rsidRPr="002E4126">
        <w:rPr>
          <w:sz w:val="24"/>
        </w:rPr>
        <w:t xml:space="preserve">marine industry-wide repository for </w:t>
      </w:r>
      <w:r w:rsidR="001F2C8D">
        <w:rPr>
          <w:sz w:val="24"/>
        </w:rPr>
        <w:t>near-miss</w:t>
      </w:r>
      <w:r w:rsidRPr="002E4126">
        <w:rPr>
          <w:sz w:val="24"/>
        </w:rPr>
        <w:t xml:space="preserve"> data, allowing opportunities for identifying issues, challenges, and obstacles related to quality information sharing on </w:t>
      </w:r>
      <w:r w:rsidR="001F2C8D">
        <w:rPr>
          <w:sz w:val="24"/>
        </w:rPr>
        <w:t xml:space="preserve">maritime </w:t>
      </w:r>
      <w:r w:rsidRPr="002E4126">
        <w:rPr>
          <w:sz w:val="24"/>
        </w:rPr>
        <w:t>safety events for overall safety improvements.</w:t>
      </w:r>
      <w:r>
        <w:rPr>
          <w:sz w:val="24"/>
        </w:rPr>
        <w:t xml:space="preserve"> </w:t>
      </w:r>
      <w:r w:rsidR="001F2C8D">
        <w:rPr>
          <w:sz w:val="24"/>
        </w:rPr>
        <w:t>No similar, comprehensive source of domestic maritime near-miss data exists.</w:t>
      </w:r>
    </w:p>
    <w:p w:rsidR="0016392A" w:rsidP="002D6BCD" w14:paraId="58CC6731" w14:textId="349FAFF9">
      <w:pPr>
        <w:rPr>
          <w:sz w:val="24"/>
        </w:rPr>
      </w:pPr>
    </w:p>
    <w:bookmarkEnd w:id="6"/>
    <w:p w:rsidR="007001A5" w14:paraId="034114AB" w14:textId="77777777">
      <w:pPr>
        <w:rPr>
          <w:b/>
          <w:bCs/>
          <w:sz w:val="24"/>
        </w:rPr>
      </w:pPr>
    </w:p>
    <w:p w:rsidR="007B3A70" w:rsidRPr="00622CA6" w14:paraId="18DB2DC8" w14:textId="635D0977">
      <w:pPr>
        <w:rPr>
          <w:b/>
          <w:bCs/>
          <w:sz w:val="24"/>
        </w:rPr>
      </w:pPr>
      <w:r w:rsidRPr="00622CA6">
        <w:rPr>
          <w:b/>
          <w:bCs/>
          <w:sz w:val="24"/>
        </w:rPr>
        <w:t>5.  If the collection of information impacts small businesses or other small entities, describe efforts to minimize burden.</w:t>
      </w:r>
    </w:p>
    <w:p w:rsidR="007B3A70" w:rsidRPr="00622CA6" w14:paraId="2B78225B" w14:textId="77777777">
      <w:pPr>
        <w:rPr>
          <w:sz w:val="24"/>
        </w:rPr>
      </w:pPr>
    </w:p>
    <w:p w:rsidR="00C3769A" w:rsidRPr="002E4126" w:rsidP="00C3769A" w14:paraId="1343F4C3" w14:textId="13C47654">
      <w:pPr>
        <w:rPr>
          <w:sz w:val="24"/>
        </w:rPr>
      </w:pPr>
      <w:r w:rsidRPr="002E4126">
        <w:rPr>
          <w:sz w:val="24"/>
        </w:rPr>
        <w:t>For the purposes of this collection</w:t>
      </w:r>
      <w:r w:rsidR="007001A5">
        <w:rPr>
          <w:sz w:val="24"/>
        </w:rPr>
        <w:t>,</w:t>
      </w:r>
      <w:r w:rsidRPr="002E4126">
        <w:rPr>
          <w:sz w:val="24"/>
        </w:rPr>
        <w:t xml:space="preserve"> BTS has identified b</w:t>
      </w:r>
      <w:r w:rsidRPr="002E4126" w:rsidR="00D36EBB">
        <w:rPr>
          <w:sz w:val="24"/>
        </w:rPr>
        <w:t xml:space="preserve">usinesses in the maritime industry that involve ownership or operation of vessels </w:t>
      </w:r>
      <w:r w:rsidRPr="002E4126">
        <w:rPr>
          <w:sz w:val="24"/>
        </w:rPr>
        <w:t xml:space="preserve">as the </w:t>
      </w:r>
      <w:r w:rsidR="007001A5">
        <w:rPr>
          <w:sz w:val="24"/>
        </w:rPr>
        <w:t xml:space="preserve">sole </w:t>
      </w:r>
      <w:r w:rsidRPr="002E4126">
        <w:rPr>
          <w:sz w:val="24"/>
        </w:rPr>
        <w:t>respondent</w:t>
      </w:r>
      <w:r w:rsidR="007001A5">
        <w:rPr>
          <w:sz w:val="24"/>
        </w:rPr>
        <w:t>s</w:t>
      </w:r>
      <w:r w:rsidRPr="002E4126">
        <w:rPr>
          <w:sz w:val="24"/>
        </w:rPr>
        <w:t xml:space="preserve">.  </w:t>
      </w:r>
      <w:r w:rsidR="00E71FB8">
        <w:rPr>
          <w:sz w:val="24"/>
        </w:rPr>
        <w:t>This</w:t>
      </w:r>
      <w:r w:rsidRPr="002E4126">
        <w:rPr>
          <w:sz w:val="24"/>
        </w:rPr>
        <w:t xml:space="preserve"> data collection program </w:t>
      </w:r>
      <w:r w:rsidRPr="002E4126">
        <w:rPr>
          <w:sz w:val="24"/>
        </w:rPr>
        <w:t xml:space="preserve">is expected to have a minimal impact on small businesses because SafeMTS receives data primarily from companies that exceed the thresholds defined by the Small Business Administration. </w:t>
      </w:r>
    </w:p>
    <w:p w:rsidR="00325571" w:rsidRPr="002E4126" w14:paraId="3ACAC896" w14:textId="31119F3A">
      <w:pPr>
        <w:rPr>
          <w:sz w:val="24"/>
        </w:rPr>
      </w:pPr>
    </w:p>
    <w:p w:rsidR="00763A28" w:rsidRPr="002E4126" w14:paraId="107DFFEE" w14:textId="77777777">
      <w:pPr>
        <w:rPr>
          <w:b/>
          <w:bCs/>
          <w:sz w:val="24"/>
        </w:rPr>
      </w:pPr>
    </w:p>
    <w:p w:rsidR="007B3A70" w:rsidRPr="002E4126" w14:paraId="65A9475D" w14:textId="77777777">
      <w:pPr>
        <w:rPr>
          <w:b/>
          <w:bCs/>
          <w:sz w:val="24"/>
        </w:rPr>
      </w:pPr>
      <w:r w:rsidRPr="002E4126">
        <w:rPr>
          <w:b/>
          <w:bCs/>
          <w:sz w:val="24"/>
        </w:rPr>
        <w:t>6.  Describe the consequence to the Federal Program or policy activities if the collection were not collected or conducted less frequently.</w:t>
      </w:r>
    </w:p>
    <w:p w:rsidR="007B3A70" w:rsidRPr="002E4126" w14:paraId="2A239AFF" w14:textId="77777777">
      <w:pPr>
        <w:rPr>
          <w:b/>
          <w:bCs/>
          <w:sz w:val="24"/>
        </w:rPr>
        <w:sectPr>
          <w:headerReference w:type="default" r:id="rId7"/>
          <w:footerReference w:type="default" r:id="rId8"/>
          <w:endnotePr>
            <w:numFmt w:val="decimal"/>
          </w:endnotePr>
          <w:type w:val="continuous"/>
          <w:pgSz w:w="12240" w:h="15840"/>
          <w:pgMar w:top="1440" w:right="1440" w:bottom="1440" w:left="1440" w:header="1440" w:footer="1440" w:gutter="0"/>
          <w:cols w:space="720"/>
          <w:noEndnote/>
        </w:sectPr>
      </w:pPr>
    </w:p>
    <w:p w:rsidR="007B3A70" w:rsidRPr="002E4126" w14:paraId="32FDE4CE" w14:textId="77777777">
      <w:pPr>
        <w:rPr>
          <w:sz w:val="24"/>
        </w:rPr>
      </w:pPr>
    </w:p>
    <w:p w:rsidR="003C6E58" w:rsidRPr="00622CA6" w:rsidP="003C6E58" w14:paraId="6F9487AF" w14:textId="216D19FA">
      <w:pPr>
        <w:rPr>
          <w:sz w:val="24"/>
        </w:rPr>
      </w:pPr>
      <w:r w:rsidRPr="002E4126">
        <w:rPr>
          <w:sz w:val="24"/>
        </w:rPr>
        <w:t xml:space="preserve">Reports submitted directly to BTS under CIPSEA </w:t>
      </w:r>
      <w:r w:rsidRPr="002E4126" w:rsidR="00E24712">
        <w:rPr>
          <w:sz w:val="24"/>
        </w:rPr>
        <w:t xml:space="preserve">will </w:t>
      </w:r>
      <w:r w:rsidRPr="002E4126">
        <w:rPr>
          <w:sz w:val="24"/>
        </w:rPr>
        <w:t xml:space="preserve">use a data collection form that includes essential detail about </w:t>
      </w:r>
      <w:r w:rsidRPr="002E4126" w:rsidR="001A46C8">
        <w:rPr>
          <w:sz w:val="24"/>
        </w:rPr>
        <w:t xml:space="preserve">maritime safety </w:t>
      </w:r>
      <w:r w:rsidRPr="002E4126">
        <w:rPr>
          <w:sz w:val="24"/>
        </w:rPr>
        <w:t>event</w:t>
      </w:r>
      <w:r w:rsidRPr="002E4126" w:rsidR="001A46C8">
        <w:rPr>
          <w:sz w:val="24"/>
        </w:rPr>
        <w:t>s</w:t>
      </w:r>
      <w:r w:rsidRPr="002E4126">
        <w:rPr>
          <w:sz w:val="24"/>
        </w:rPr>
        <w:t xml:space="preserve"> such as</w:t>
      </w:r>
      <w:r w:rsidRPr="002E4126" w:rsidR="00E24712">
        <w:rPr>
          <w:sz w:val="24"/>
        </w:rPr>
        <w:t>:</w:t>
      </w:r>
      <w:r w:rsidRPr="002E4126">
        <w:rPr>
          <w:sz w:val="24"/>
        </w:rPr>
        <w:t xml:space="preserve"> </w:t>
      </w:r>
      <w:r w:rsidR="007001A5">
        <w:rPr>
          <w:sz w:val="24"/>
        </w:rPr>
        <w:t xml:space="preserve">potential </w:t>
      </w:r>
      <w:r w:rsidRPr="002E4126" w:rsidR="00E24712">
        <w:rPr>
          <w:sz w:val="24"/>
        </w:rPr>
        <w:t xml:space="preserve">injury or loss of a person aboard a vessel, loss of cargo, significant damage to a vessel, grounding, sinking, electrical accidents or machinery malfunctions. </w:t>
      </w:r>
      <w:r w:rsidRPr="002E4126">
        <w:rPr>
          <w:sz w:val="24"/>
        </w:rPr>
        <w:t xml:space="preserve">The detail included </w:t>
      </w:r>
      <w:r w:rsidR="007001A5">
        <w:rPr>
          <w:sz w:val="24"/>
        </w:rPr>
        <w:t>in near-miss event reports</w:t>
      </w:r>
      <w:r w:rsidRPr="002E4126">
        <w:rPr>
          <w:sz w:val="24"/>
        </w:rPr>
        <w:t xml:space="preserve"> is critical to comprehensively assess </w:t>
      </w:r>
      <w:r w:rsidRPr="002E4126" w:rsidR="00E24712">
        <w:rPr>
          <w:sz w:val="24"/>
        </w:rPr>
        <w:t>events</w:t>
      </w:r>
      <w:r w:rsidRPr="002E4126">
        <w:rPr>
          <w:sz w:val="24"/>
        </w:rPr>
        <w:t xml:space="preserve"> and determine appropriate</w:t>
      </w:r>
      <w:r w:rsidRPr="002E4126" w:rsidR="00E24712">
        <w:rPr>
          <w:sz w:val="24"/>
        </w:rPr>
        <w:t xml:space="preserve"> </w:t>
      </w:r>
      <w:r w:rsidRPr="002E4126" w:rsidR="00EB05B6">
        <w:rPr>
          <w:sz w:val="24"/>
        </w:rPr>
        <w:t>mechanisms</w:t>
      </w:r>
      <w:r w:rsidRPr="002E4126">
        <w:rPr>
          <w:sz w:val="24"/>
        </w:rPr>
        <w:t xml:space="preserve"> to protect safety and prevent environmental harm. If the data were not collected, it </w:t>
      </w:r>
      <w:r w:rsidR="007001A5">
        <w:rPr>
          <w:sz w:val="24"/>
        </w:rPr>
        <w:t>would</w:t>
      </w:r>
      <w:r w:rsidRPr="002E4126">
        <w:rPr>
          <w:sz w:val="24"/>
        </w:rPr>
        <w:t xml:space="preserve"> inhibit the comprehensive</w:t>
      </w:r>
      <w:r w:rsidRPr="00622CA6">
        <w:rPr>
          <w:sz w:val="24"/>
        </w:rPr>
        <w:t xml:space="preserve"> assessment of </w:t>
      </w:r>
      <w:r w:rsidR="00EB05B6">
        <w:rPr>
          <w:sz w:val="24"/>
        </w:rPr>
        <w:t>marine safety events</w:t>
      </w:r>
      <w:r w:rsidRPr="00622CA6">
        <w:rPr>
          <w:sz w:val="24"/>
        </w:rPr>
        <w:t xml:space="preserve"> and risks</w:t>
      </w:r>
      <w:r w:rsidR="007001A5">
        <w:rPr>
          <w:sz w:val="24"/>
        </w:rPr>
        <w:t>, including the potential for early identification of patterns and trends before safety is compromised.</w:t>
      </w:r>
      <w:r w:rsidR="00E71FB8">
        <w:rPr>
          <w:sz w:val="24"/>
        </w:rPr>
        <w:t xml:space="preserve"> Not collecting this data could also inhibit the government’s ability to establish or promote preventive safety programs.</w:t>
      </w:r>
      <w:r w:rsidRPr="00622CA6">
        <w:rPr>
          <w:sz w:val="24"/>
        </w:rPr>
        <w:br/>
      </w:r>
      <w:r w:rsidRPr="00622CA6" w:rsidR="004C2CE3">
        <w:rPr>
          <w:sz w:val="24"/>
        </w:rPr>
        <w:t xml:space="preserve"> </w:t>
      </w:r>
    </w:p>
    <w:p w:rsidR="007B3A70" w:rsidRPr="00622CA6" w14:paraId="47125913" w14:textId="36236DC0">
      <w:pPr>
        <w:rPr>
          <w:b/>
          <w:bCs/>
          <w:sz w:val="24"/>
        </w:rPr>
      </w:pPr>
      <w:r w:rsidRPr="00622CA6">
        <w:rPr>
          <w:sz w:val="24"/>
        </w:rPr>
        <w:t xml:space="preserve"> </w:t>
      </w:r>
      <w:r w:rsidRPr="00622CA6">
        <w:rPr>
          <w:b/>
          <w:bCs/>
          <w:sz w:val="24"/>
        </w:rPr>
        <w:t>7.  Explain any special circumstances that would cause an information collection to be conducted in a manner:</w:t>
      </w:r>
    </w:p>
    <w:p w:rsidR="007B3A70" w:rsidRPr="00622CA6" w14:paraId="25F008DE" w14:textId="77777777">
      <w:pPr>
        <w:rPr>
          <w:b/>
          <w:bCs/>
          <w:sz w:val="24"/>
        </w:rPr>
      </w:pPr>
    </w:p>
    <w:p w:rsidR="007B3A70" w:rsidRPr="00622CA6" w14:paraId="0490F3C2" w14:textId="77777777">
      <w:pPr>
        <w:pStyle w:val="Level1"/>
        <w:numPr>
          <w:ilvl w:val="0"/>
          <w:numId w:val="1"/>
        </w:numPr>
        <w:tabs>
          <w:tab w:val="left" w:pos="-1440"/>
        </w:tabs>
        <w:jc w:val="both"/>
        <w:rPr>
          <w:b/>
          <w:bCs/>
          <w:sz w:val="24"/>
        </w:rPr>
      </w:pPr>
      <w:r w:rsidRPr="00622CA6">
        <w:rPr>
          <w:b/>
          <w:bCs/>
          <w:sz w:val="24"/>
        </w:rPr>
        <w:t>requiring respondents to report information to the agency more often than quarterly;</w:t>
      </w:r>
    </w:p>
    <w:p w:rsidR="00763A28" w:rsidRPr="00622CA6" w14:paraId="47E41B6A" w14:textId="77777777">
      <w:pPr>
        <w:jc w:val="both"/>
        <w:rPr>
          <w:b/>
          <w:bCs/>
          <w:sz w:val="24"/>
        </w:rPr>
      </w:pPr>
    </w:p>
    <w:p w:rsidR="007B3A70" w:rsidRPr="00622CA6" w14:paraId="14FC855B" w14:textId="77777777">
      <w:pPr>
        <w:pStyle w:val="Level1"/>
        <w:numPr>
          <w:ilvl w:val="0"/>
          <w:numId w:val="1"/>
        </w:numPr>
        <w:tabs>
          <w:tab w:val="left" w:pos="-1440"/>
        </w:tabs>
        <w:jc w:val="both"/>
        <w:rPr>
          <w:b/>
          <w:bCs/>
          <w:sz w:val="24"/>
        </w:rPr>
      </w:pPr>
      <w:r w:rsidRPr="00622CA6">
        <w:rPr>
          <w:b/>
          <w:bCs/>
          <w:sz w:val="24"/>
        </w:rPr>
        <w:t>requiring respondents to prepare a written response to a collection of information in fewer than 30 days after receipt of it;</w:t>
      </w:r>
    </w:p>
    <w:p w:rsidR="007B3A70" w:rsidRPr="00622CA6" w14:paraId="3694B15A" w14:textId="77777777">
      <w:pPr>
        <w:jc w:val="both"/>
        <w:rPr>
          <w:b/>
          <w:bCs/>
          <w:sz w:val="24"/>
        </w:rPr>
      </w:pPr>
    </w:p>
    <w:p w:rsidR="007B3A70" w:rsidRPr="00622CA6" w14:paraId="01649381" w14:textId="77777777">
      <w:pPr>
        <w:pStyle w:val="Level1"/>
        <w:numPr>
          <w:ilvl w:val="0"/>
          <w:numId w:val="1"/>
        </w:numPr>
        <w:tabs>
          <w:tab w:val="left" w:pos="-1440"/>
        </w:tabs>
        <w:jc w:val="both"/>
        <w:rPr>
          <w:sz w:val="24"/>
        </w:rPr>
      </w:pPr>
      <w:r w:rsidRPr="00622CA6">
        <w:rPr>
          <w:b/>
          <w:bCs/>
          <w:sz w:val="24"/>
        </w:rPr>
        <w:t>requiring respondents to submit more than an original and two copies of any document;</w:t>
      </w:r>
    </w:p>
    <w:p w:rsidR="007B3A70" w:rsidRPr="00622CA6" w14:paraId="0A7B6C1F" w14:textId="77777777">
      <w:pPr>
        <w:jc w:val="both"/>
        <w:rPr>
          <w:sz w:val="24"/>
        </w:rPr>
      </w:pPr>
    </w:p>
    <w:p w:rsidR="007B3A70" w:rsidRPr="00622CA6" w14:paraId="3BEF93D7" w14:textId="77777777">
      <w:pPr>
        <w:pStyle w:val="Level1"/>
        <w:numPr>
          <w:ilvl w:val="0"/>
          <w:numId w:val="1"/>
        </w:numPr>
        <w:tabs>
          <w:tab w:val="left" w:pos="-1440"/>
        </w:tabs>
        <w:jc w:val="both"/>
        <w:rPr>
          <w:b/>
          <w:bCs/>
          <w:sz w:val="24"/>
        </w:rPr>
      </w:pPr>
      <w:r w:rsidRPr="00622CA6">
        <w:rPr>
          <w:b/>
          <w:bCs/>
          <w:sz w:val="24"/>
        </w:rPr>
        <w:t>requiring respondents to retain records, other than health, government contracts, grant-in-aid, or tax records for more than 3 years;</w:t>
      </w:r>
    </w:p>
    <w:p w:rsidR="007B3A70" w:rsidRPr="00622CA6" w14:paraId="71077562" w14:textId="77777777">
      <w:pPr>
        <w:jc w:val="both"/>
        <w:rPr>
          <w:b/>
          <w:bCs/>
          <w:sz w:val="24"/>
        </w:rPr>
      </w:pPr>
    </w:p>
    <w:p w:rsidR="007B3A70" w:rsidRPr="00622CA6" w14:paraId="462F23B1" w14:textId="77777777">
      <w:pPr>
        <w:pStyle w:val="Level1"/>
        <w:numPr>
          <w:ilvl w:val="0"/>
          <w:numId w:val="1"/>
        </w:numPr>
        <w:tabs>
          <w:tab w:val="left" w:pos="-1440"/>
        </w:tabs>
        <w:jc w:val="both"/>
        <w:rPr>
          <w:b/>
          <w:bCs/>
          <w:sz w:val="24"/>
        </w:rPr>
      </w:pPr>
      <w:r w:rsidRPr="00622CA6">
        <w:rPr>
          <w:b/>
          <w:bCs/>
          <w:sz w:val="24"/>
        </w:rPr>
        <w:t>in connection with a statistical survey, that is not designed to produce valid and reliable results that can be generalized to the universe of study;</w:t>
      </w:r>
    </w:p>
    <w:p w:rsidR="007B3A70" w:rsidRPr="00622CA6" w14:paraId="19791724" w14:textId="77777777">
      <w:pPr>
        <w:jc w:val="both"/>
        <w:rPr>
          <w:b/>
          <w:bCs/>
          <w:sz w:val="24"/>
        </w:rPr>
      </w:pPr>
    </w:p>
    <w:p w:rsidR="007B3A70" w:rsidRPr="00622CA6" w14:paraId="557991C0" w14:textId="77777777">
      <w:pPr>
        <w:pStyle w:val="Level1"/>
        <w:numPr>
          <w:ilvl w:val="0"/>
          <w:numId w:val="1"/>
        </w:numPr>
        <w:tabs>
          <w:tab w:val="left" w:pos="-1440"/>
        </w:tabs>
        <w:jc w:val="both"/>
        <w:rPr>
          <w:b/>
          <w:bCs/>
          <w:sz w:val="24"/>
        </w:rPr>
      </w:pPr>
      <w:r w:rsidRPr="00622CA6">
        <w:rPr>
          <w:b/>
          <w:bCs/>
          <w:sz w:val="24"/>
        </w:rPr>
        <w:t>requiring the use of statistical data classification that has not been reviewed and approved by OMB;</w:t>
      </w:r>
    </w:p>
    <w:p w:rsidR="007B3A70" w:rsidRPr="00622CA6" w14:paraId="33D94C24" w14:textId="77777777">
      <w:pPr>
        <w:jc w:val="both"/>
        <w:rPr>
          <w:b/>
          <w:bCs/>
          <w:sz w:val="24"/>
        </w:rPr>
      </w:pPr>
    </w:p>
    <w:p w:rsidR="007B3A70" w:rsidRPr="00622CA6" w14:paraId="324ACF4E" w14:textId="77777777">
      <w:pPr>
        <w:pStyle w:val="Level1"/>
        <w:numPr>
          <w:ilvl w:val="0"/>
          <w:numId w:val="1"/>
        </w:numPr>
        <w:tabs>
          <w:tab w:val="left" w:pos="-1440"/>
        </w:tabs>
        <w:jc w:val="both"/>
        <w:rPr>
          <w:b/>
          <w:bCs/>
          <w:sz w:val="24"/>
        </w:rPr>
      </w:pPr>
      <w:r w:rsidRPr="00622CA6">
        <w:rPr>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3A70" w:rsidRPr="00622CA6" w14:paraId="7AFFAF16" w14:textId="77777777">
      <w:pPr>
        <w:jc w:val="both"/>
        <w:rPr>
          <w:b/>
          <w:bCs/>
          <w:sz w:val="24"/>
        </w:rPr>
      </w:pPr>
    </w:p>
    <w:p w:rsidR="007B3A70" w:rsidRPr="00622CA6" w14:paraId="3DECD155" w14:textId="77777777">
      <w:pPr>
        <w:pStyle w:val="Level1"/>
        <w:numPr>
          <w:ilvl w:val="0"/>
          <w:numId w:val="1"/>
        </w:numPr>
        <w:tabs>
          <w:tab w:val="left" w:pos="-1440"/>
        </w:tabs>
        <w:jc w:val="both"/>
        <w:rPr>
          <w:sz w:val="24"/>
        </w:rPr>
      </w:pPr>
      <w:r w:rsidRPr="00622CA6">
        <w:rPr>
          <w:b/>
          <w:bCs/>
          <w:sz w:val="24"/>
        </w:rPr>
        <w:t>requiring respondents to submit proprietary trade secrets, or other confidential information unless the agency can demonstrate that it has instituted procedures to protect the information’s confidentiality to the extent permitted by law.</w:t>
      </w:r>
    </w:p>
    <w:p w:rsidR="00020DEC" w:rsidRPr="00622CA6" w:rsidP="00020DEC" w14:paraId="41278AE9" w14:textId="77777777">
      <w:pPr>
        <w:pStyle w:val="Level1"/>
        <w:tabs>
          <w:tab w:val="left" w:pos="-1440"/>
        </w:tabs>
        <w:jc w:val="both"/>
        <w:rPr>
          <w:b/>
          <w:bCs/>
          <w:sz w:val="24"/>
        </w:rPr>
      </w:pPr>
    </w:p>
    <w:p w:rsidR="00020DEC" w:rsidRPr="00622CA6" w:rsidP="00020DEC" w14:paraId="2508EF1A" w14:textId="77777777">
      <w:pPr>
        <w:rPr>
          <w:sz w:val="24"/>
        </w:rPr>
      </w:pPr>
      <w:r w:rsidRPr="00622CA6">
        <w:rPr>
          <w:sz w:val="24"/>
        </w:rPr>
        <w:t xml:space="preserve">There are no special circumstances that pertain to this </w:t>
      </w:r>
      <w:r w:rsidRPr="00622CA6" w:rsidR="006969D9">
        <w:rPr>
          <w:sz w:val="24"/>
        </w:rPr>
        <w:t>information</w:t>
      </w:r>
      <w:r w:rsidRPr="00622CA6">
        <w:rPr>
          <w:sz w:val="24"/>
        </w:rPr>
        <w:t xml:space="preserve"> collection.</w:t>
      </w:r>
    </w:p>
    <w:p w:rsidR="007001A5" w14:paraId="23D84A56" w14:textId="77777777">
      <w:pPr>
        <w:jc w:val="both"/>
        <w:rPr>
          <w:sz w:val="24"/>
        </w:rPr>
      </w:pPr>
    </w:p>
    <w:p w:rsidR="007001A5" w14:paraId="4BEF1CB3" w14:textId="77777777">
      <w:pPr>
        <w:jc w:val="both"/>
        <w:rPr>
          <w:sz w:val="24"/>
        </w:rPr>
      </w:pPr>
    </w:p>
    <w:p w:rsidR="007001A5" w:rsidRPr="00622CA6" w14:paraId="46E6A357" w14:textId="3BA88B27">
      <w:pPr>
        <w:jc w:val="both"/>
        <w:rPr>
          <w:sz w:val="24"/>
        </w:rPr>
        <w:sectPr>
          <w:endnotePr>
            <w:numFmt w:val="decimal"/>
          </w:endnotePr>
          <w:type w:val="continuous"/>
          <w:pgSz w:w="12240" w:h="15840"/>
          <w:pgMar w:top="1440" w:right="1440" w:bottom="1440" w:left="1440" w:header="1440" w:footer="1440" w:gutter="0"/>
          <w:cols w:space="720"/>
          <w:noEndnote/>
        </w:sectPr>
      </w:pPr>
    </w:p>
    <w:p w:rsidR="00E64BAC" w:rsidRPr="00622CA6" w14:paraId="19151D5F" w14:textId="41B71669">
      <w:pPr>
        <w:rPr>
          <w:sz w:val="24"/>
        </w:rPr>
      </w:pPr>
      <w:r w:rsidRPr="00622CA6">
        <w:rPr>
          <w:b/>
          <w:bCs/>
          <w:sz w:val="24"/>
        </w:rPr>
        <w:t xml:space="preserve">8.  If applicable, provide a copy and identify the date and page number of </w:t>
      </w:r>
      <w:r w:rsidRPr="00622CA6" w:rsidR="00A80D2A">
        <w:rPr>
          <w:b/>
          <w:bCs/>
          <w:sz w:val="24"/>
        </w:rPr>
        <w:t>publications</w:t>
      </w:r>
      <w:r w:rsidRPr="00622CA6">
        <w:rPr>
          <w:b/>
          <w:bCs/>
          <w:sz w:val="24"/>
        </w:rPr>
        <w:t xml:space="preserve">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sidRPr="00622CA6">
        <w:rPr>
          <w:sz w:val="24"/>
        </w:rPr>
        <w:t>.</w:t>
      </w:r>
    </w:p>
    <w:p w:rsidR="00EC001C" w:rsidRPr="00622CA6" w14:paraId="5A14740A" w14:textId="77777777">
      <w:pPr>
        <w:rPr>
          <w:sz w:val="24"/>
        </w:rPr>
      </w:pPr>
    </w:p>
    <w:p w:rsidR="007001A5" w:rsidP="00330828" w14:paraId="503FAB33" w14:textId="7AB3CA22">
      <w:pPr>
        <w:rPr>
          <w:sz w:val="24"/>
        </w:rPr>
      </w:pPr>
      <w:r>
        <w:rPr>
          <w:sz w:val="24"/>
        </w:rPr>
        <w:t xml:space="preserve">The Federal Register Notice with a 60-day comment period soliciting comments on this collection of information was published on August 8, 2023, at 88 FR 53594. </w:t>
      </w:r>
      <w:r w:rsidRPr="007001A5">
        <w:rPr>
          <w:sz w:val="24"/>
        </w:rPr>
        <w:t>One comment was received, from the National Transportation Safety Board (NTSB) expressing the agency’s support for such a program.</w:t>
      </w:r>
      <w:r>
        <w:rPr>
          <w:sz w:val="24"/>
        </w:rPr>
        <w:t xml:space="preserve"> </w:t>
      </w:r>
    </w:p>
    <w:p w:rsidR="007001A5" w:rsidP="00330828" w14:paraId="1714F2F3" w14:textId="77777777">
      <w:pPr>
        <w:rPr>
          <w:sz w:val="24"/>
        </w:rPr>
      </w:pPr>
    </w:p>
    <w:p w:rsidR="007001A5" w:rsidP="00330828" w14:paraId="22AE961C" w14:textId="1C0CB386">
      <w:pPr>
        <w:rPr>
          <w:sz w:val="24"/>
        </w:rPr>
      </w:pPr>
      <w:r>
        <w:rPr>
          <w:sz w:val="24"/>
        </w:rPr>
        <w:t xml:space="preserve">The Federal Register Notice with a 30-day comment period soliciting comments on this collection of information was published on November 6, 2023, at 88 FR 76278. </w:t>
      </w:r>
      <w:r w:rsidRPr="006C4049">
        <w:rPr>
          <w:sz w:val="24"/>
        </w:rPr>
        <w:t>The public was invited to submit comments directly to the Office of Information and Regulatory Affairs (OIRA), Office of Management and Budget (OMB).</w:t>
      </w:r>
    </w:p>
    <w:p w:rsidR="007001A5" w:rsidP="00330828" w14:paraId="7DD3550F" w14:textId="19B90E6D">
      <w:pPr>
        <w:rPr>
          <w:sz w:val="24"/>
        </w:rPr>
      </w:pPr>
    </w:p>
    <w:p w:rsidR="007001A5" w:rsidP="00330828" w14:paraId="6B6B1D46" w14:textId="77777777">
      <w:pPr>
        <w:rPr>
          <w:sz w:val="24"/>
        </w:rPr>
      </w:pPr>
    </w:p>
    <w:p w:rsidR="007B3A70" w:rsidRPr="00622CA6" w14:paraId="08615A0C" w14:textId="77777777">
      <w:pPr>
        <w:rPr>
          <w:b/>
          <w:bCs/>
          <w:sz w:val="24"/>
        </w:rPr>
      </w:pPr>
      <w:r w:rsidRPr="00622CA6">
        <w:rPr>
          <w:b/>
          <w:bCs/>
          <w:sz w:val="24"/>
        </w:rPr>
        <w:t>9. Explain any decision to provide any payment or gift to respondents, other than re-enumeration of contractors or grantees.</w:t>
      </w:r>
    </w:p>
    <w:p w:rsidR="007B3A70" w:rsidRPr="00622CA6" w14:paraId="19C84325" w14:textId="77777777">
      <w:pPr>
        <w:rPr>
          <w:sz w:val="24"/>
        </w:rPr>
      </w:pPr>
    </w:p>
    <w:p w:rsidR="007B3A70" w:rsidRPr="00622CA6" w14:paraId="32C4B28A" w14:textId="77777777">
      <w:pPr>
        <w:rPr>
          <w:sz w:val="24"/>
        </w:rPr>
      </w:pPr>
      <w:r w:rsidRPr="00622CA6">
        <w:rPr>
          <w:sz w:val="24"/>
        </w:rPr>
        <w:t>No payment or gift of any kind is being made to respondents.</w:t>
      </w:r>
    </w:p>
    <w:p w:rsidR="007B3A70" w14:paraId="3F0238A4" w14:textId="074EF0AF">
      <w:pPr>
        <w:rPr>
          <w:sz w:val="24"/>
        </w:rPr>
      </w:pPr>
    </w:p>
    <w:p w:rsidR="007001A5" w:rsidRPr="00622CA6" w14:paraId="7A740C90" w14:textId="77777777">
      <w:pPr>
        <w:rPr>
          <w:sz w:val="24"/>
        </w:rPr>
      </w:pPr>
    </w:p>
    <w:p w:rsidR="007B3A70" w:rsidRPr="00622CA6" w14:paraId="5343C39E" w14:textId="77777777">
      <w:pPr>
        <w:rPr>
          <w:b/>
          <w:bCs/>
          <w:sz w:val="24"/>
        </w:rPr>
      </w:pPr>
      <w:r w:rsidRPr="00622CA6">
        <w:rPr>
          <w:b/>
          <w:bCs/>
          <w:sz w:val="24"/>
        </w:rPr>
        <w:t>10.  Describe any assurances of confidentiality provided to respondents.</w:t>
      </w:r>
    </w:p>
    <w:p w:rsidR="00FB7D19" w:rsidRPr="00622CA6" w14:paraId="69B46EA5" w14:textId="77777777">
      <w:pPr>
        <w:rPr>
          <w:b/>
          <w:bCs/>
          <w:sz w:val="24"/>
        </w:rPr>
      </w:pPr>
    </w:p>
    <w:p w:rsidR="007001A5" w:rsidRPr="007001A5" w:rsidP="007001A5" w14:paraId="117739FF" w14:textId="57883B40">
      <w:pPr>
        <w:rPr>
          <w:bCs/>
          <w:sz w:val="24"/>
        </w:rPr>
      </w:pPr>
      <w:r w:rsidRPr="00622CA6">
        <w:rPr>
          <w:bCs/>
          <w:sz w:val="24"/>
        </w:rPr>
        <w:t xml:space="preserve">The confidentiality of </w:t>
      </w:r>
      <w:r w:rsidRPr="00117EB3" w:rsidR="00AD5255">
        <w:rPr>
          <w:bCs/>
          <w:sz w:val="24"/>
        </w:rPr>
        <w:t>SafeMTS</w:t>
      </w:r>
      <w:r w:rsidR="00AD5255">
        <w:rPr>
          <w:bCs/>
          <w:sz w:val="24"/>
        </w:rPr>
        <w:t xml:space="preserve"> </w:t>
      </w:r>
      <w:r w:rsidRPr="00622CA6">
        <w:rPr>
          <w:bCs/>
          <w:sz w:val="24"/>
        </w:rPr>
        <w:t xml:space="preserve">data is protected under the BTS confidentiality statute (49 U.S.C. </w:t>
      </w:r>
      <w:r w:rsidRPr="00622CA6" w:rsidR="00094E2F">
        <w:rPr>
          <w:bCs/>
          <w:sz w:val="24"/>
        </w:rPr>
        <w:t>6302</w:t>
      </w:r>
      <w:r w:rsidRPr="00622CA6" w:rsidR="00685C90">
        <w:rPr>
          <w:bCs/>
          <w:sz w:val="24"/>
        </w:rPr>
        <w:t xml:space="preserve">), </w:t>
      </w:r>
      <w:r w:rsidRPr="00622CA6" w:rsidR="00871D2E">
        <w:rPr>
          <w:bCs/>
          <w:sz w:val="24"/>
        </w:rPr>
        <w:t xml:space="preserve">and </w:t>
      </w:r>
      <w:r w:rsidRPr="00622CA6" w:rsidR="00685C90">
        <w:rPr>
          <w:bCs/>
          <w:sz w:val="24"/>
        </w:rPr>
        <w:t>CIPSEA</w:t>
      </w:r>
      <w:r w:rsidRPr="00622CA6" w:rsidR="00762A27">
        <w:rPr>
          <w:sz w:val="24"/>
        </w:rPr>
        <w:t xml:space="preserve">.  </w:t>
      </w:r>
      <w:r w:rsidRPr="007001A5">
        <w:rPr>
          <w:bCs/>
          <w:sz w:val="24"/>
        </w:rPr>
        <w:t>In accordance with these confidentiality statutes, only statistical and non-identifying data will be made publicly available through reports.  Further, BTS will not release to any public or private entity any information that might reveal the identity of participating companies reporting near-miss events or individuals mentioned in these reports.</w:t>
      </w:r>
    </w:p>
    <w:p w:rsidR="007001A5" w:rsidRPr="007001A5" w:rsidP="007001A5" w14:paraId="25F8B571" w14:textId="77777777">
      <w:pPr>
        <w:rPr>
          <w:bCs/>
          <w:sz w:val="24"/>
        </w:rPr>
      </w:pPr>
    </w:p>
    <w:p w:rsidR="007001A5" w:rsidRPr="007001A5" w:rsidP="007001A5" w14:paraId="515586AB" w14:textId="25AC9C7B">
      <w:pPr>
        <w:rPr>
          <w:bCs/>
          <w:sz w:val="24"/>
        </w:rPr>
      </w:pPr>
      <w:r w:rsidRPr="007001A5">
        <w:rPr>
          <w:bCs/>
          <w:sz w:val="24"/>
        </w:rPr>
        <w:t>Under CIPSEA, it is a felony, punishable by up to $250,000 in fines and up to 5 years in jail, for BTS or its agents to release identifiable data confidentially submitted in reports by individuals, companies, or other entities. BTS has very strict protocols in place for collecting and protecting such data. CIPSEA protections include, but are not limited to:</w:t>
      </w:r>
    </w:p>
    <w:p w:rsidR="007001A5" w:rsidRPr="007001A5" w:rsidP="007001A5" w14:paraId="591C270F" w14:textId="77777777">
      <w:pPr>
        <w:rPr>
          <w:bCs/>
          <w:sz w:val="24"/>
        </w:rPr>
      </w:pPr>
      <w:r w:rsidRPr="007001A5">
        <w:rPr>
          <w:bCs/>
          <w:sz w:val="24"/>
        </w:rPr>
        <w:t xml:space="preserve">    • protection from subpoenas and Freedom of Information Act disclosure</w:t>
      </w:r>
    </w:p>
    <w:p w:rsidR="007001A5" w:rsidRPr="007001A5" w:rsidP="007001A5" w14:paraId="28135B98" w14:textId="779510DD">
      <w:pPr>
        <w:rPr>
          <w:bCs/>
          <w:sz w:val="24"/>
        </w:rPr>
      </w:pPr>
      <w:r w:rsidRPr="007001A5">
        <w:rPr>
          <w:bCs/>
          <w:sz w:val="24"/>
        </w:rPr>
        <w:t xml:space="preserve">    • protection from release to the public, </w:t>
      </w:r>
      <w:r>
        <w:rPr>
          <w:bCs/>
          <w:sz w:val="24"/>
        </w:rPr>
        <w:t>MARAD</w:t>
      </w:r>
      <w:r w:rsidRPr="007001A5">
        <w:rPr>
          <w:bCs/>
          <w:sz w:val="24"/>
        </w:rPr>
        <w:t>, or any other government agency</w:t>
      </w:r>
    </w:p>
    <w:p w:rsidR="00FB7D19" w:rsidRPr="00622CA6" w:rsidP="007001A5" w14:paraId="4A059F82" w14:textId="09AD9457">
      <w:pPr>
        <w:rPr>
          <w:sz w:val="24"/>
        </w:rPr>
      </w:pPr>
      <w:r w:rsidRPr="007001A5">
        <w:rPr>
          <w:bCs/>
          <w:sz w:val="24"/>
        </w:rPr>
        <w:t xml:space="preserve">    • protection from uses other than statistical purposes</w:t>
      </w:r>
    </w:p>
    <w:p w:rsidR="007B3A70" w14:paraId="54C529D3" w14:textId="2CB4D457">
      <w:pPr>
        <w:rPr>
          <w:sz w:val="24"/>
        </w:rPr>
      </w:pPr>
    </w:p>
    <w:p w:rsidR="007001A5" w:rsidRPr="00622CA6" w14:paraId="3042D05E" w14:textId="77777777">
      <w:pPr>
        <w:rPr>
          <w:sz w:val="24"/>
        </w:rPr>
      </w:pPr>
    </w:p>
    <w:p w:rsidR="007B3A70" w:rsidRPr="00622CA6" w14:paraId="2AE25733" w14:textId="77777777">
      <w:pPr>
        <w:rPr>
          <w:b/>
          <w:bCs/>
          <w:sz w:val="24"/>
        </w:rPr>
      </w:pPr>
      <w:r w:rsidRPr="00622CA6">
        <w:rPr>
          <w:b/>
          <w:bCs/>
          <w:sz w:val="24"/>
        </w:rPr>
        <w:t>11.  Are there any questions of a sensitive nature?</w:t>
      </w:r>
    </w:p>
    <w:p w:rsidR="002C26F7" w:rsidRPr="00622CA6" w:rsidP="002C26F7" w14:paraId="4838074F" w14:textId="77777777">
      <w:pPr>
        <w:rPr>
          <w:sz w:val="24"/>
        </w:rPr>
      </w:pPr>
    </w:p>
    <w:p w:rsidR="002C26F7" w:rsidRPr="00622CA6" w:rsidP="002C26F7" w14:paraId="287D3BFD" w14:textId="77777777">
      <w:pPr>
        <w:rPr>
          <w:sz w:val="24"/>
        </w:rPr>
      </w:pPr>
      <w:r w:rsidRPr="00622CA6">
        <w:rPr>
          <w:sz w:val="24"/>
        </w:rPr>
        <w:t>T</w:t>
      </w:r>
      <w:r w:rsidRPr="00622CA6" w:rsidR="002266DB">
        <w:rPr>
          <w:sz w:val="24"/>
        </w:rPr>
        <w:t xml:space="preserve">here are no </w:t>
      </w:r>
      <w:r w:rsidRPr="00622CA6" w:rsidR="007B3A70">
        <w:rPr>
          <w:sz w:val="24"/>
        </w:rPr>
        <w:t xml:space="preserve">questions of </w:t>
      </w:r>
      <w:r w:rsidRPr="00622CA6">
        <w:rPr>
          <w:sz w:val="24"/>
        </w:rPr>
        <w:t xml:space="preserve">a </w:t>
      </w:r>
      <w:r w:rsidRPr="00622CA6" w:rsidR="007B3A70">
        <w:rPr>
          <w:sz w:val="24"/>
        </w:rPr>
        <w:t>sensitive</w:t>
      </w:r>
      <w:r w:rsidRPr="00622CA6">
        <w:rPr>
          <w:sz w:val="24"/>
        </w:rPr>
        <w:t xml:space="preserve"> or personal</w:t>
      </w:r>
      <w:r w:rsidRPr="00622CA6" w:rsidR="007B3A70">
        <w:rPr>
          <w:sz w:val="24"/>
        </w:rPr>
        <w:t xml:space="preserve"> nature</w:t>
      </w:r>
      <w:r w:rsidRPr="00622CA6" w:rsidR="00763A28">
        <w:rPr>
          <w:sz w:val="24"/>
        </w:rPr>
        <w:t>.</w:t>
      </w:r>
    </w:p>
    <w:p w:rsidR="002266DB" w14:paraId="67732E07" w14:textId="0E4079EC">
      <w:pPr>
        <w:rPr>
          <w:sz w:val="24"/>
        </w:rPr>
      </w:pPr>
    </w:p>
    <w:p w:rsidR="007001A5" w:rsidRPr="00622CA6" w14:paraId="5A92090E" w14:textId="77777777">
      <w:pPr>
        <w:rPr>
          <w:sz w:val="24"/>
        </w:rPr>
      </w:pPr>
    </w:p>
    <w:p w:rsidR="007B3A70" w:rsidRPr="00622CA6" w:rsidP="007001A5" w14:paraId="15AB1684" w14:textId="77777777">
      <w:pPr>
        <w:keepNext/>
        <w:rPr>
          <w:sz w:val="24"/>
        </w:rPr>
      </w:pPr>
      <w:r w:rsidRPr="00622CA6">
        <w:rPr>
          <w:b/>
          <w:bCs/>
          <w:sz w:val="24"/>
        </w:rPr>
        <w:t>12.  Provide estimates of reporting burden</w:t>
      </w:r>
      <w:r w:rsidRPr="00622CA6">
        <w:rPr>
          <w:sz w:val="24"/>
        </w:rPr>
        <w:t>.</w:t>
      </w:r>
    </w:p>
    <w:p w:rsidR="00DE7392" w:rsidRPr="00622CA6" w:rsidP="007001A5" w14:paraId="5F8B7C93" w14:textId="77777777">
      <w:pPr>
        <w:keepNext/>
        <w:rPr>
          <w:sz w:val="24"/>
        </w:rPr>
      </w:pPr>
    </w:p>
    <w:p w:rsidR="00B85C46" w:rsidP="00B85C46" w14:paraId="5B580AB1" w14:textId="4040ED3F">
      <w:pPr>
        <w:rPr>
          <w:sz w:val="24"/>
        </w:rPr>
      </w:pPr>
      <w:r>
        <w:rPr>
          <w:sz w:val="24"/>
        </w:rPr>
        <w:t xml:space="preserve">Approximately up to </w:t>
      </w:r>
      <w:r w:rsidR="00A11BBB">
        <w:rPr>
          <w:sz w:val="24"/>
        </w:rPr>
        <w:t>10</w:t>
      </w:r>
      <w:r>
        <w:rPr>
          <w:sz w:val="24"/>
        </w:rPr>
        <w:t>0 companies are expected to voluntarily join the SafeMTS program over the next three years. They comprise a variety of types of companies involved in the operation of maritime vessels, including container shipping companies, ferry and passenger companies, cruise ship companies, tug and tow operators, bulk cargo ship operators, commercial fishing companies, research organizations, and others.</w:t>
      </w:r>
      <w:r w:rsidR="00A11BBB">
        <w:rPr>
          <w:sz w:val="24"/>
        </w:rPr>
        <w:t xml:space="preserve"> The total burden hours are not expected to meaningfully vary between company types.</w:t>
      </w:r>
    </w:p>
    <w:p w:rsidR="00983A5E" w:rsidP="00B85C46" w14:paraId="4B4F49EF" w14:textId="3BD443F8">
      <w:pPr>
        <w:rPr>
          <w:sz w:val="24"/>
        </w:rPr>
      </w:pPr>
    </w:p>
    <w:p w:rsidR="00983A5E" w:rsidP="00B85C46" w14:paraId="59405B62" w14:textId="51A94404">
      <w:pPr>
        <w:rPr>
          <w:sz w:val="24"/>
        </w:rPr>
      </w:pPr>
      <w:r>
        <w:rPr>
          <w:sz w:val="24"/>
        </w:rPr>
        <w:t xml:space="preserve">It is anticipated that companies will submit data on a quarterly basis, with each submission requiring approximately one hour for data gathering and submission. </w:t>
      </w:r>
    </w:p>
    <w:p w:rsidR="00E35D31" w:rsidP="00B85C46" w14:paraId="06B2BA90" w14:textId="11ABE063">
      <w:pPr>
        <w:rPr>
          <w:sz w:val="24"/>
        </w:rPr>
      </w:pPr>
    </w:p>
    <w:p w:rsidR="00E35D31" w:rsidP="00E35D31" w14:paraId="6D7714DA" w14:textId="3A8F7A13">
      <w:pPr>
        <w:pStyle w:val="BodyText"/>
        <w:keepNext/>
        <w:rPr>
          <w:sz w:val="24"/>
          <w:szCs w:val="24"/>
        </w:rPr>
      </w:pPr>
      <w:r w:rsidRPr="00C01863">
        <w:rPr>
          <w:sz w:val="24"/>
          <w:szCs w:val="24"/>
        </w:rPr>
        <w:t>National Industry-Specific Occupational Employment and Wage Estimates</w:t>
      </w:r>
      <w:r>
        <w:rPr>
          <w:sz w:val="24"/>
          <w:szCs w:val="24"/>
        </w:rPr>
        <w:t>, May 202</w:t>
      </w:r>
      <w:r w:rsidR="00A57259">
        <w:rPr>
          <w:sz w:val="24"/>
          <w:szCs w:val="24"/>
        </w:rPr>
        <w:t>2</w:t>
      </w:r>
    </w:p>
    <w:p w:rsidR="0023156B" w:rsidP="00E35D31" w14:paraId="012AB13B" w14:textId="4035D8AA">
      <w:pPr>
        <w:pStyle w:val="BodyText"/>
        <w:keepNext/>
        <w:rPr>
          <w:sz w:val="24"/>
          <w:szCs w:val="24"/>
        </w:rPr>
      </w:pPr>
      <w:r>
        <w:rPr>
          <w:sz w:val="24"/>
          <w:szCs w:val="24"/>
        </w:rPr>
        <w:t>NAICS 483100 – Deep Sea, Coastal, and Great Lakes Water Transportation</w:t>
      </w:r>
    </w:p>
    <w:tbl>
      <w:tblPr>
        <w:tblStyle w:val="TableGrid"/>
        <w:tblW w:w="5000" w:type="pct"/>
        <w:tblCellMar>
          <w:left w:w="29" w:type="dxa"/>
          <w:right w:w="29" w:type="dxa"/>
        </w:tblCellMar>
        <w:tblLook w:val="04A0"/>
      </w:tblPr>
      <w:tblGrid>
        <w:gridCol w:w="833"/>
        <w:gridCol w:w="923"/>
        <w:gridCol w:w="922"/>
        <w:gridCol w:w="922"/>
        <w:gridCol w:w="572"/>
        <w:gridCol w:w="537"/>
        <w:gridCol w:w="645"/>
        <w:gridCol w:w="441"/>
        <w:gridCol w:w="913"/>
        <w:gridCol w:w="746"/>
        <w:gridCol w:w="686"/>
        <w:gridCol w:w="565"/>
        <w:gridCol w:w="645"/>
      </w:tblGrid>
      <w:tr w14:paraId="3408CE4B" w14:textId="77777777" w:rsidTr="00A11BBB">
        <w:tblPrEx>
          <w:tblW w:w="5000" w:type="pct"/>
          <w:tblCellMar>
            <w:left w:w="29" w:type="dxa"/>
            <w:right w:w="29" w:type="dxa"/>
          </w:tblCellMar>
          <w:tblLook w:val="04A0"/>
        </w:tblPrEx>
        <w:trPr>
          <w:cantSplit/>
          <w:trHeight w:val="908"/>
        </w:trPr>
        <w:tc>
          <w:tcPr>
            <w:tcW w:w="445" w:type="pct"/>
            <w:shd w:val="clear" w:color="auto" w:fill="D9D9D9" w:themeFill="background1" w:themeFillShade="D9"/>
            <w:vAlign w:val="bottom"/>
            <w:hideMark/>
          </w:tcPr>
          <w:p w:rsidR="00A11BBB" w:rsidRPr="00A11BBB" w:rsidP="0023156B" w14:paraId="07CB6B16" w14:textId="707375D7">
            <w:pPr>
              <w:pStyle w:val="BodyText"/>
              <w:keepNext/>
              <w:keepLines/>
              <w:jc w:val="center"/>
              <w:rPr>
                <w:b/>
                <w:bCs/>
                <w:sz w:val="14"/>
                <w:szCs w:val="14"/>
              </w:rPr>
            </w:pPr>
            <w:r w:rsidRPr="00A11BBB">
              <w:rPr>
                <w:b/>
                <w:bCs/>
                <w:sz w:val="14"/>
                <w:szCs w:val="14"/>
              </w:rPr>
              <w:t>Occupation code</w:t>
            </w:r>
          </w:p>
        </w:tc>
        <w:tc>
          <w:tcPr>
            <w:tcW w:w="493" w:type="pct"/>
            <w:shd w:val="clear" w:color="auto" w:fill="D9D9D9" w:themeFill="background1" w:themeFillShade="D9"/>
            <w:vAlign w:val="bottom"/>
            <w:hideMark/>
          </w:tcPr>
          <w:p w:rsidR="00A11BBB" w:rsidRPr="00A11BBB" w:rsidP="0023156B" w14:paraId="21D7ECC8" w14:textId="19EE0CE8">
            <w:pPr>
              <w:pStyle w:val="BodyText"/>
              <w:keepNext/>
              <w:keepLines/>
              <w:jc w:val="center"/>
              <w:rPr>
                <w:b/>
                <w:bCs/>
                <w:sz w:val="14"/>
                <w:szCs w:val="14"/>
              </w:rPr>
            </w:pPr>
            <w:r w:rsidRPr="00A11BBB">
              <w:rPr>
                <w:b/>
                <w:bCs/>
                <w:sz w:val="14"/>
                <w:szCs w:val="14"/>
              </w:rPr>
              <w:t>Employment</w:t>
            </w:r>
          </w:p>
        </w:tc>
        <w:tc>
          <w:tcPr>
            <w:tcW w:w="493" w:type="pct"/>
            <w:shd w:val="clear" w:color="auto" w:fill="D9D9D9" w:themeFill="background1" w:themeFillShade="D9"/>
            <w:vAlign w:val="bottom"/>
            <w:hideMark/>
          </w:tcPr>
          <w:p w:rsidR="00A11BBB" w:rsidRPr="00A11BBB" w:rsidP="0023156B" w14:paraId="73A37A90" w14:textId="39C69312">
            <w:pPr>
              <w:pStyle w:val="BodyText"/>
              <w:keepNext/>
              <w:keepLines/>
              <w:jc w:val="center"/>
              <w:rPr>
                <w:b/>
                <w:bCs/>
                <w:sz w:val="14"/>
                <w:szCs w:val="14"/>
              </w:rPr>
            </w:pPr>
            <w:r w:rsidRPr="00A11BBB">
              <w:rPr>
                <w:b/>
                <w:bCs/>
                <w:sz w:val="14"/>
                <w:szCs w:val="14"/>
              </w:rPr>
              <w:t>Employment RSE</w:t>
            </w:r>
          </w:p>
        </w:tc>
        <w:tc>
          <w:tcPr>
            <w:tcW w:w="493" w:type="pct"/>
            <w:shd w:val="clear" w:color="auto" w:fill="D9D9D9" w:themeFill="background1" w:themeFillShade="D9"/>
            <w:vAlign w:val="bottom"/>
            <w:hideMark/>
          </w:tcPr>
          <w:p w:rsidR="00A11BBB" w:rsidRPr="00A11BBB" w:rsidP="0023156B" w14:paraId="61A1D235" w14:textId="15B5A660">
            <w:pPr>
              <w:pStyle w:val="BodyText"/>
              <w:keepNext/>
              <w:keepLines/>
              <w:jc w:val="center"/>
              <w:rPr>
                <w:b/>
                <w:bCs/>
                <w:sz w:val="14"/>
                <w:szCs w:val="14"/>
              </w:rPr>
            </w:pPr>
            <w:r w:rsidRPr="00A11BBB">
              <w:rPr>
                <w:b/>
                <w:bCs/>
                <w:sz w:val="14"/>
                <w:szCs w:val="14"/>
              </w:rPr>
              <w:t>Percent of Total Employment</w:t>
            </w:r>
          </w:p>
        </w:tc>
        <w:tc>
          <w:tcPr>
            <w:tcW w:w="306" w:type="pct"/>
            <w:shd w:val="clear" w:color="auto" w:fill="A6A6A6" w:themeFill="background1" w:themeFillShade="A6"/>
            <w:vAlign w:val="bottom"/>
            <w:hideMark/>
          </w:tcPr>
          <w:p w:rsidR="00A11BBB" w:rsidRPr="00A11BBB" w:rsidP="0023156B" w14:paraId="180A2AAD" w14:textId="1BD609D0">
            <w:pPr>
              <w:pStyle w:val="BodyText"/>
              <w:keepNext/>
              <w:keepLines/>
              <w:jc w:val="center"/>
              <w:rPr>
                <w:b/>
                <w:bCs/>
                <w:sz w:val="14"/>
                <w:szCs w:val="14"/>
              </w:rPr>
            </w:pPr>
            <w:r w:rsidRPr="00A11BBB">
              <w:rPr>
                <w:b/>
                <w:bCs/>
                <w:sz w:val="14"/>
                <w:szCs w:val="14"/>
              </w:rPr>
              <w:t>Median Hourly Wage</w:t>
            </w:r>
          </w:p>
        </w:tc>
        <w:tc>
          <w:tcPr>
            <w:tcW w:w="287" w:type="pct"/>
            <w:shd w:val="clear" w:color="auto" w:fill="D9D9D9" w:themeFill="background1" w:themeFillShade="D9"/>
            <w:vAlign w:val="bottom"/>
            <w:hideMark/>
          </w:tcPr>
          <w:p w:rsidR="00A11BBB" w:rsidRPr="00A11BBB" w:rsidP="0023156B" w14:paraId="5913E625" w14:textId="2C5B2B86">
            <w:pPr>
              <w:pStyle w:val="BodyText"/>
              <w:keepNext/>
              <w:keepLines/>
              <w:jc w:val="center"/>
              <w:rPr>
                <w:b/>
                <w:bCs/>
                <w:sz w:val="14"/>
                <w:szCs w:val="14"/>
              </w:rPr>
            </w:pPr>
            <w:r w:rsidRPr="00A11BBB">
              <w:rPr>
                <w:b/>
                <w:bCs/>
                <w:sz w:val="14"/>
                <w:szCs w:val="14"/>
              </w:rPr>
              <w:t>Mean Hourly Wage</w:t>
            </w:r>
          </w:p>
        </w:tc>
        <w:tc>
          <w:tcPr>
            <w:tcW w:w="345" w:type="pct"/>
            <w:shd w:val="clear" w:color="auto" w:fill="D9D9D9" w:themeFill="background1" w:themeFillShade="D9"/>
            <w:vAlign w:val="bottom"/>
            <w:hideMark/>
          </w:tcPr>
          <w:p w:rsidR="00A11BBB" w:rsidRPr="00A11BBB" w:rsidP="0023156B" w14:paraId="6B70F53A" w14:textId="605DC2A5">
            <w:pPr>
              <w:pStyle w:val="BodyText"/>
              <w:keepNext/>
              <w:keepLines/>
              <w:jc w:val="center"/>
              <w:rPr>
                <w:b/>
                <w:bCs/>
                <w:sz w:val="14"/>
                <w:szCs w:val="14"/>
              </w:rPr>
            </w:pPr>
            <w:r w:rsidRPr="00A11BBB">
              <w:rPr>
                <w:b/>
                <w:bCs/>
                <w:sz w:val="14"/>
                <w:szCs w:val="14"/>
              </w:rPr>
              <w:t>Annual Mean Wage</w:t>
            </w:r>
          </w:p>
        </w:tc>
        <w:tc>
          <w:tcPr>
            <w:tcW w:w="236" w:type="pct"/>
            <w:shd w:val="clear" w:color="auto" w:fill="D9D9D9" w:themeFill="background1" w:themeFillShade="D9"/>
            <w:vAlign w:val="bottom"/>
            <w:hideMark/>
          </w:tcPr>
          <w:p w:rsidR="00A11BBB" w:rsidRPr="00A11BBB" w:rsidP="0023156B" w14:paraId="677C9F77" w14:textId="73CE7458">
            <w:pPr>
              <w:pStyle w:val="BodyText"/>
              <w:keepNext/>
              <w:keepLines/>
              <w:jc w:val="center"/>
              <w:rPr>
                <w:b/>
                <w:bCs/>
                <w:sz w:val="14"/>
                <w:szCs w:val="14"/>
              </w:rPr>
            </w:pPr>
            <w:r w:rsidRPr="00A11BBB">
              <w:rPr>
                <w:b/>
                <w:bCs/>
                <w:sz w:val="14"/>
                <w:szCs w:val="14"/>
              </w:rPr>
              <w:t>Mean Wage RSE</w:t>
            </w:r>
          </w:p>
        </w:tc>
        <w:tc>
          <w:tcPr>
            <w:tcW w:w="488" w:type="pct"/>
            <w:vAlign w:val="bottom"/>
          </w:tcPr>
          <w:p w:rsidR="00A11BBB" w:rsidRPr="00A11BBB" w:rsidP="0023156B" w14:paraId="32FE7990" w14:textId="77777777">
            <w:pPr>
              <w:pStyle w:val="BodyText"/>
              <w:keepNext/>
              <w:keepLines/>
              <w:jc w:val="center"/>
              <w:rPr>
                <w:b/>
                <w:bCs/>
                <w:sz w:val="14"/>
                <w:szCs w:val="14"/>
              </w:rPr>
            </w:pPr>
            <w:r w:rsidRPr="00A11BBB">
              <w:rPr>
                <w:b/>
                <w:bCs/>
                <w:sz w:val="14"/>
                <w:szCs w:val="14"/>
              </w:rPr>
              <w:t>Expected Number of Respondents</w:t>
            </w:r>
          </w:p>
        </w:tc>
        <w:tc>
          <w:tcPr>
            <w:tcW w:w="399" w:type="pct"/>
            <w:vAlign w:val="bottom"/>
          </w:tcPr>
          <w:p w:rsidR="00A11BBB" w:rsidRPr="00A11BBB" w:rsidP="00A11BBB" w14:paraId="11DC0A00" w14:textId="005AFF74">
            <w:pPr>
              <w:pStyle w:val="BodyText"/>
              <w:keepNext/>
              <w:keepLines/>
              <w:jc w:val="center"/>
              <w:rPr>
                <w:b/>
                <w:bCs/>
                <w:sz w:val="14"/>
                <w:szCs w:val="14"/>
              </w:rPr>
            </w:pPr>
            <w:r w:rsidRPr="00A11BBB">
              <w:rPr>
                <w:b/>
                <w:bCs/>
                <w:sz w:val="14"/>
                <w:szCs w:val="14"/>
              </w:rPr>
              <w:t>Expected Number of Annual Responses</w:t>
            </w:r>
          </w:p>
        </w:tc>
        <w:tc>
          <w:tcPr>
            <w:tcW w:w="367" w:type="pct"/>
            <w:vAlign w:val="bottom"/>
          </w:tcPr>
          <w:p w:rsidR="00A11BBB" w:rsidRPr="00A11BBB" w:rsidP="0023156B" w14:paraId="678A6147" w14:textId="6569407E">
            <w:pPr>
              <w:pStyle w:val="BodyText"/>
              <w:keepNext/>
              <w:keepLines/>
              <w:jc w:val="center"/>
              <w:rPr>
                <w:b/>
                <w:bCs/>
                <w:sz w:val="14"/>
                <w:szCs w:val="14"/>
              </w:rPr>
            </w:pPr>
            <w:r w:rsidRPr="00A11BBB">
              <w:rPr>
                <w:b/>
                <w:bCs/>
                <w:sz w:val="14"/>
                <w:szCs w:val="14"/>
              </w:rPr>
              <w:t>Expected Burden Hours per Response</w:t>
            </w:r>
          </w:p>
        </w:tc>
        <w:tc>
          <w:tcPr>
            <w:tcW w:w="302" w:type="pct"/>
            <w:vAlign w:val="bottom"/>
          </w:tcPr>
          <w:p w:rsidR="00A11BBB" w:rsidRPr="00A11BBB" w:rsidP="0023156B" w14:paraId="42C2C413" w14:textId="77777777">
            <w:pPr>
              <w:pStyle w:val="BodyText"/>
              <w:keepNext/>
              <w:keepLines/>
              <w:jc w:val="center"/>
              <w:rPr>
                <w:b/>
                <w:bCs/>
                <w:sz w:val="14"/>
                <w:szCs w:val="14"/>
              </w:rPr>
            </w:pPr>
            <w:r w:rsidRPr="00A11BBB">
              <w:rPr>
                <w:b/>
                <w:bCs/>
                <w:sz w:val="14"/>
                <w:szCs w:val="14"/>
              </w:rPr>
              <w:t>Total Burden Hours</w:t>
            </w:r>
          </w:p>
        </w:tc>
        <w:tc>
          <w:tcPr>
            <w:tcW w:w="345" w:type="pct"/>
            <w:vAlign w:val="bottom"/>
          </w:tcPr>
          <w:p w:rsidR="00A11BBB" w:rsidRPr="00A11BBB" w:rsidP="0023156B" w14:paraId="44E8DA3A" w14:textId="77777777">
            <w:pPr>
              <w:pStyle w:val="BodyText"/>
              <w:keepNext/>
              <w:keepLines/>
              <w:jc w:val="center"/>
              <w:rPr>
                <w:b/>
                <w:bCs/>
                <w:sz w:val="14"/>
                <w:szCs w:val="14"/>
              </w:rPr>
            </w:pPr>
            <w:r w:rsidRPr="00A11BBB">
              <w:rPr>
                <w:b/>
                <w:bCs/>
                <w:sz w:val="14"/>
                <w:szCs w:val="14"/>
              </w:rPr>
              <w:t>Total Effort Cost</w:t>
            </w:r>
          </w:p>
        </w:tc>
      </w:tr>
      <w:tr w14:paraId="75DD5D3A" w14:textId="77777777" w:rsidTr="00A11BBB">
        <w:tblPrEx>
          <w:tblW w:w="5000" w:type="pct"/>
          <w:tblCellMar>
            <w:left w:w="29" w:type="dxa"/>
            <w:right w:w="29" w:type="dxa"/>
          </w:tblCellMar>
          <w:tblLook w:val="04A0"/>
        </w:tblPrEx>
        <w:trPr>
          <w:trHeight w:val="20"/>
        </w:trPr>
        <w:tc>
          <w:tcPr>
            <w:tcW w:w="445" w:type="pct"/>
            <w:shd w:val="clear" w:color="auto" w:fill="D9D9D9" w:themeFill="background1" w:themeFillShade="D9"/>
            <w:vAlign w:val="center"/>
          </w:tcPr>
          <w:p w:rsidR="00A11BBB" w:rsidRPr="00A11BBB" w:rsidP="00E63AAB" w14:paraId="7DA1F8DD" w14:textId="492C2A08">
            <w:pPr>
              <w:pStyle w:val="BodyText"/>
              <w:keepNext/>
              <w:keepLines/>
              <w:rPr>
                <w:sz w:val="14"/>
                <w:szCs w:val="14"/>
              </w:rPr>
            </w:pPr>
            <w:r w:rsidRPr="00A11BBB">
              <w:rPr>
                <w:sz w:val="14"/>
                <w:szCs w:val="14"/>
              </w:rPr>
              <w:t xml:space="preserve">Engineers (17-2000) </w:t>
            </w:r>
          </w:p>
        </w:tc>
        <w:tc>
          <w:tcPr>
            <w:tcW w:w="493" w:type="pct"/>
            <w:shd w:val="clear" w:color="auto" w:fill="D9D9D9" w:themeFill="background1" w:themeFillShade="D9"/>
            <w:vAlign w:val="center"/>
          </w:tcPr>
          <w:p w:rsidR="00A11BBB" w:rsidRPr="00A11BBB" w:rsidP="00E63AAB" w14:paraId="49D529D3" w14:textId="35929359">
            <w:pPr>
              <w:pStyle w:val="BodyText"/>
              <w:keepNext/>
              <w:keepLines/>
              <w:jc w:val="center"/>
              <w:rPr>
                <w:sz w:val="14"/>
                <w:szCs w:val="14"/>
              </w:rPr>
            </w:pPr>
            <w:r>
              <w:rPr>
                <w:sz w:val="14"/>
                <w:szCs w:val="14"/>
              </w:rPr>
              <w:t>270</w:t>
            </w:r>
          </w:p>
        </w:tc>
        <w:tc>
          <w:tcPr>
            <w:tcW w:w="493" w:type="pct"/>
            <w:shd w:val="clear" w:color="auto" w:fill="D9D9D9" w:themeFill="background1" w:themeFillShade="D9"/>
            <w:vAlign w:val="center"/>
          </w:tcPr>
          <w:p w:rsidR="00A11BBB" w:rsidRPr="00A11BBB" w:rsidP="00E63AAB" w14:paraId="11B26117" w14:textId="532B7C92">
            <w:pPr>
              <w:pStyle w:val="BodyText"/>
              <w:keepNext/>
              <w:keepLines/>
              <w:jc w:val="center"/>
              <w:rPr>
                <w:sz w:val="14"/>
                <w:szCs w:val="14"/>
              </w:rPr>
            </w:pPr>
            <w:r>
              <w:rPr>
                <w:sz w:val="14"/>
                <w:szCs w:val="14"/>
              </w:rPr>
              <w:t>25.8</w:t>
            </w:r>
            <w:r w:rsidRPr="00A11BBB" w:rsidR="009F670B">
              <w:rPr>
                <w:sz w:val="14"/>
                <w:szCs w:val="14"/>
              </w:rPr>
              <w:t>%</w:t>
            </w:r>
          </w:p>
        </w:tc>
        <w:tc>
          <w:tcPr>
            <w:tcW w:w="493" w:type="pct"/>
            <w:shd w:val="clear" w:color="auto" w:fill="D9D9D9" w:themeFill="background1" w:themeFillShade="D9"/>
            <w:vAlign w:val="center"/>
          </w:tcPr>
          <w:p w:rsidR="00A11BBB" w:rsidRPr="00A11BBB" w:rsidP="00E63AAB" w14:paraId="0343763E" w14:textId="2CDAAC4E">
            <w:pPr>
              <w:pStyle w:val="BodyText"/>
              <w:keepNext/>
              <w:keepLines/>
              <w:jc w:val="center"/>
              <w:rPr>
                <w:sz w:val="14"/>
                <w:szCs w:val="14"/>
              </w:rPr>
            </w:pPr>
            <w:r w:rsidRPr="00A11BBB">
              <w:rPr>
                <w:sz w:val="14"/>
                <w:szCs w:val="14"/>
              </w:rPr>
              <w:t>1.35%</w:t>
            </w:r>
          </w:p>
        </w:tc>
        <w:tc>
          <w:tcPr>
            <w:tcW w:w="306" w:type="pct"/>
            <w:shd w:val="clear" w:color="auto" w:fill="A6A6A6" w:themeFill="background1" w:themeFillShade="A6"/>
            <w:vAlign w:val="center"/>
          </w:tcPr>
          <w:p w:rsidR="00A11BBB" w:rsidRPr="00A11BBB" w:rsidP="00E63AAB" w14:paraId="4E1BD58E" w14:textId="4656D291">
            <w:pPr>
              <w:pStyle w:val="BodyText"/>
              <w:keepNext/>
              <w:keepLines/>
              <w:jc w:val="center"/>
              <w:rPr>
                <w:sz w:val="14"/>
                <w:szCs w:val="14"/>
              </w:rPr>
            </w:pPr>
            <w:r w:rsidRPr="00A11BBB">
              <w:rPr>
                <w:sz w:val="14"/>
                <w:szCs w:val="14"/>
              </w:rPr>
              <w:t>$</w:t>
            </w:r>
            <w:r w:rsidR="00A57259">
              <w:rPr>
                <w:sz w:val="14"/>
                <w:szCs w:val="14"/>
              </w:rPr>
              <w:t>53.22</w:t>
            </w:r>
          </w:p>
        </w:tc>
        <w:tc>
          <w:tcPr>
            <w:tcW w:w="287" w:type="pct"/>
            <w:shd w:val="clear" w:color="auto" w:fill="D9D9D9" w:themeFill="background1" w:themeFillShade="D9"/>
            <w:vAlign w:val="center"/>
          </w:tcPr>
          <w:p w:rsidR="00A11BBB" w:rsidRPr="00A11BBB" w:rsidP="00E63AAB" w14:paraId="1CDC88CC" w14:textId="1A92577B">
            <w:pPr>
              <w:pStyle w:val="BodyText"/>
              <w:keepNext/>
              <w:keepLines/>
              <w:jc w:val="center"/>
              <w:rPr>
                <w:sz w:val="14"/>
                <w:szCs w:val="14"/>
              </w:rPr>
            </w:pPr>
            <w:r w:rsidRPr="00A11BBB">
              <w:rPr>
                <w:sz w:val="14"/>
                <w:szCs w:val="14"/>
              </w:rPr>
              <w:t>$</w:t>
            </w:r>
            <w:r w:rsidR="00A57259">
              <w:rPr>
                <w:sz w:val="14"/>
                <w:szCs w:val="14"/>
              </w:rPr>
              <w:t>60.37</w:t>
            </w:r>
          </w:p>
        </w:tc>
        <w:tc>
          <w:tcPr>
            <w:tcW w:w="345" w:type="pct"/>
            <w:shd w:val="clear" w:color="auto" w:fill="D9D9D9" w:themeFill="background1" w:themeFillShade="D9"/>
            <w:vAlign w:val="center"/>
          </w:tcPr>
          <w:p w:rsidR="00A11BBB" w:rsidRPr="00A11BBB" w:rsidP="00E63AAB" w14:paraId="5378CD47" w14:textId="7B32C59F">
            <w:pPr>
              <w:pStyle w:val="BodyText"/>
              <w:keepNext/>
              <w:keepLines/>
              <w:jc w:val="center"/>
              <w:rPr>
                <w:sz w:val="14"/>
                <w:szCs w:val="14"/>
              </w:rPr>
            </w:pPr>
            <w:r w:rsidRPr="00A11BBB">
              <w:rPr>
                <w:sz w:val="14"/>
                <w:szCs w:val="14"/>
              </w:rPr>
              <w:t>$</w:t>
            </w:r>
            <w:r w:rsidR="00A57259">
              <w:rPr>
                <w:sz w:val="14"/>
                <w:szCs w:val="14"/>
              </w:rPr>
              <w:t>125,570</w:t>
            </w:r>
          </w:p>
        </w:tc>
        <w:tc>
          <w:tcPr>
            <w:tcW w:w="236" w:type="pct"/>
            <w:shd w:val="clear" w:color="auto" w:fill="D9D9D9" w:themeFill="background1" w:themeFillShade="D9"/>
            <w:vAlign w:val="center"/>
          </w:tcPr>
          <w:p w:rsidR="00A11BBB" w:rsidRPr="00A11BBB" w:rsidP="00E63AAB" w14:paraId="5C680E75" w14:textId="65D470F3">
            <w:pPr>
              <w:pStyle w:val="BodyText"/>
              <w:keepNext/>
              <w:keepLines/>
              <w:jc w:val="center"/>
              <w:rPr>
                <w:sz w:val="14"/>
                <w:szCs w:val="14"/>
              </w:rPr>
            </w:pPr>
            <w:r>
              <w:rPr>
                <w:sz w:val="14"/>
                <w:szCs w:val="14"/>
              </w:rPr>
              <w:t>4.3%</w:t>
            </w:r>
          </w:p>
        </w:tc>
        <w:tc>
          <w:tcPr>
            <w:tcW w:w="488" w:type="pct"/>
            <w:vAlign w:val="center"/>
          </w:tcPr>
          <w:p w:rsidR="00A11BBB" w:rsidRPr="00A11BBB" w:rsidP="00E63AAB" w14:paraId="1EFF8D66" w14:textId="372EE77C">
            <w:pPr>
              <w:pStyle w:val="BodyText"/>
              <w:keepNext/>
              <w:keepLines/>
              <w:jc w:val="center"/>
              <w:rPr>
                <w:sz w:val="14"/>
                <w:szCs w:val="14"/>
              </w:rPr>
            </w:pPr>
            <w:r w:rsidRPr="00A11BBB">
              <w:rPr>
                <w:sz w:val="14"/>
                <w:szCs w:val="14"/>
              </w:rPr>
              <w:t>100</w:t>
            </w:r>
          </w:p>
        </w:tc>
        <w:tc>
          <w:tcPr>
            <w:tcW w:w="399" w:type="pct"/>
            <w:vAlign w:val="center"/>
          </w:tcPr>
          <w:p w:rsidR="00A11BBB" w:rsidRPr="00A11BBB" w:rsidP="00A11BBB" w14:paraId="44426F27" w14:textId="3E06B5FF">
            <w:pPr>
              <w:pStyle w:val="BodyText"/>
              <w:keepNext/>
              <w:keepLines/>
              <w:jc w:val="center"/>
              <w:rPr>
                <w:sz w:val="14"/>
                <w:szCs w:val="14"/>
              </w:rPr>
            </w:pPr>
            <w:r w:rsidRPr="00A11BBB">
              <w:rPr>
                <w:sz w:val="14"/>
                <w:szCs w:val="14"/>
              </w:rPr>
              <w:t>4</w:t>
            </w:r>
          </w:p>
        </w:tc>
        <w:tc>
          <w:tcPr>
            <w:tcW w:w="367" w:type="pct"/>
            <w:vAlign w:val="center"/>
          </w:tcPr>
          <w:p w:rsidR="00A11BBB" w:rsidRPr="00A11BBB" w:rsidP="00E63AAB" w14:paraId="4CE0554D" w14:textId="41786EE0">
            <w:pPr>
              <w:pStyle w:val="BodyText"/>
              <w:keepNext/>
              <w:keepLines/>
              <w:jc w:val="center"/>
              <w:rPr>
                <w:sz w:val="14"/>
                <w:szCs w:val="14"/>
              </w:rPr>
            </w:pPr>
            <w:r w:rsidRPr="00A11BBB">
              <w:rPr>
                <w:sz w:val="14"/>
                <w:szCs w:val="14"/>
              </w:rPr>
              <w:t>1</w:t>
            </w:r>
          </w:p>
        </w:tc>
        <w:tc>
          <w:tcPr>
            <w:tcW w:w="302" w:type="pct"/>
            <w:vAlign w:val="center"/>
          </w:tcPr>
          <w:p w:rsidR="00A11BBB" w:rsidRPr="00A11BBB" w:rsidP="00E63AAB" w14:paraId="55353D3E" w14:textId="3FA9BB24">
            <w:pPr>
              <w:pStyle w:val="BodyText"/>
              <w:keepNext/>
              <w:keepLines/>
              <w:jc w:val="center"/>
              <w:rPr>
                <w:sz w:val="14"/>
                <w:szCs w:val="14"/>
              </w:rPr>
            </w:pPr>
            <w:r w:rsidRPr="00A11BBB">
              <w:rPr>
                <w:sz w:val="14"/>
                <w:szCs w:val="14"/>
              </w:rPr>
              <w:t>400</w:t>
            </w:r>
          </w:p>
        </w:tc>
        <w:tc>
          <w:tcPr>
            <w:tcW w:w="345" w:type="pct"/>
            <w:vAlign w:val="center"/>
          </w:tcPr>
          <w:p w:rsidR="00A11BBB" w:rsidRPr="00A11BBB" w:rsidP="00E63AAB" w14:paraId="767B5E4B" w14:textId="21FE14CA">
            <w:pPr>
              <w:pStyle w:val="BodyText"/>
              <w:keepNext/>
              <w:keepLines/>
              <w:jc w:val="center"/>
              <w:rPr>
                <w:sz w:val="14"/>
                <w:szCs w:val="14"/>
              </w:rPr>
            </w:pPr>
            <w:r w:rsidRPr="00A11BBB">
              <w:rPr>
                <w:sz w:val="14"/>
                <w:szCs w:val="14"/>
              </w:rPr>
              <w:t>$</w:t>
            </w:r>
            <w:r w:rsidR="00A57259">
              <w:rPr>
                <w:sz w:val="14"/>
                <w:szCs w:val="14"/>
              </w:rPr>
              <w:t>21,288</w:t>
            </w:r>
          </w:p>
        </w:tc>
      </w:tr>
    </w:tbl>
    <w:p w:rsidR="00E35D31" w:rsidP="00E35D31" w14:paraId="1B100078" w14:textId="77777777">
      <w:pPr>
        <w:pStyle w:val="BodyText"/>
        <w:rPr>
          <w:sz w:val="16"/>
          <w:szCs w:val="16"/>
        </w:rPr>
      </w:pPr>
    </w:p>
    <w:p w:rsidR="00E35D31" w:rsidRPr="006B54FF" w:rsidP="00E35D31" w14:paraId="4FEEACAC" w14:textId="77777777">
      <w:pPr>
        <w:pStyle w:val="BodyText"/>
        <w:shd w:val="clear" w:color="auto" w:fill="D9D9D9" w:themeFill="background1" w:themeFillShade="D9"/>
        <w:rPr>
          <w:sz w:val="16"/>
          <w:szCs w:val="16"/>
        </w:rPr>
      </w:pPr>
      <w:r w:rsidRPr="006B54FF">
        <w:rPr>
          <w:sz w:val="16"/>
          <w:szCs w:val="16"/>
        </w:rPr>
        <w:t>Cells in gray extracted from BLS National Industry-Specific Occupational Employment and Wage Estimates, May 2021</w:t>
      </w:r>
    </w:p>
    <w:p w:rsidR="00E35D31" w:rsidRPr="00A96743" w:rsidP="00E35D31" w14:paraId="2958E3AA" w14:textId="0BC1B6C3">
      <w:pPr>
        <w:pStyle w:val="BodyText"/>
        <w:rPr>
          <w:sz w:val="16"/>
          <w:szCs w:val="16"/>
        </w:rPr>
      </w:pPr>
      <w:r>
        <w:rPr>
          <w:sz w:val="16"/>
          <w:szCs w:val="16"/>
        </w:rPr>
        <w:t>Sou</w:t>
      </w:r>
      <w:r w:rsidRPr="00A57259">
        <w:rPr>
          <w:sz w:val="16"/>
          <w:szCs w:val="16"/>
        </w:rPr>
        <w:t>rce:</w:t>
      </w:r>
      <w:r w:rsidRPr="00A57259" w:rsidR="00A57259">
        <w:rPr>
          <w:sz w:val="16"/>
          <w:szCs w:val="16"/>
        </w:rPr>
        <w:t xml:space="preserve"> </w:t>
      </w:r>
      <w:hyperlink r:id="rId9" w:anchor="17-0000" w:history="1">
        <w:r w:rsidRPr="00A57259" w:rsidR="00A57259">
          <w:rPr>
            <w:rStyle w:val="Hyperlink"/>
            <w:sz w:val="16"/>
            <w:szCs w:val="16"/>
          </w:rPr>
          <w:t>Deep Sea, Coastal, and Great Lakes Water Transportation - May 2022 OEWS Industry-Specific Occupational Employment and Wage Estimates (bls.gov)</w:t>
        </w:r>
      </w:hyperlink>
      <w:r>
        <w:rPr>
          <w:sz w:val="16"/>
          <w:szCs w:val="16"/>
        </w:rPr>
        <w:t xml:space="preserve"> </w:t>
      </w:r>
    </w:p>
    <w:p w:rsidR="00E35D31" w:rsidRPr="00A96743" w:rsidP="00E35D31" w14:paraId="5222BC0F" w14:textId="218D0898">
      <w:pPr>
        <w:pStyle w:val="BodyText"/>
        <w:rPr>
          <w:sz w:val="16"/>
          <w:szCs w:val="16"/>
        </w:rPr>
      </w:pPr>
      <w:r w:rsidRPr="00A96743">
        <w:rPr>
          <w:sz w:val="16"/>
          <w:szCs w:val="16"/>
        </w:rPr>
        <w:t>Date extracted on:</w:t>
      </w:r>
      <w:r w:rsidR="0023156B">
        <w:rPr>
          <w:sz w:val="16"/>
          <w:szCs w:val="16"/>
        </w:rPr>
        <w:t xml:space="preserve"> Nov. </w:t>
      </w:r>
      <w:r w:rsidR="00A57259">
        <w:rPr>
          <w:sz w:val="16"/>
          <w:szCs w:val="16"/>
        </w:rPr>
        <w:t>22</w:t>
      </w:r>
      <w:r w:rsidRPr="00A96743">
        <w:rPr>
          <w:sz w:val="16"/>
          <w:szCs w:val="16"/>
        </w:rPr>
        <w:t>, 202</w:t>
      </w:r>
      <w:r w:rsidR="0023156B">
        <w:rPr>
          <w:sz w:val="16"/>
          <w:szCs w:val="16"/>
        </w:rPr>
        <w:t>3</w:t>
      </w:r>
    </w:p>
    <w:p w:rsidR="00E35D31" w:rsidRPr="006C4049" w:rsidP="00B85C46" w14:paraId="09CBE0AD" w14:textId="77777777">
      <w:pPr>
        <w:rPr>
          <w:sz w:val="24"/>
        </w:rPr>
      </w:pPr>
    </w:p>
    <w:p w:rsidR="00B85C46" w:rsidRPr="006D4DE1" w:rsidP="00B85C46" w14:paraId="5AD1A730" w14:textId="77777777">
      <w:pPr>
        <w:rPr>
          <w:sz w:val="24"/>
        </w:rPr>
      </w:pPr>
      <w:r w:rsidRPr="006D4DE1">
        <w:rPr>
          <w:sz w:val="24"/>
        </w:rPr>
        <w:t>Number of Maximum Responses:  One hundred.</w:t>
      </w:r>
    </w:p>
    <w:p w:rsidR="00B85C46" w:rsidRPr="006D4DE1" w:rsidP="00B85C46" w14:paraId="1D7AD5DA" w14:textId="22FC2FB2">
      <w:pPr>
        <w:rPr>
          <w:sz w:val="24"/>
        </w:rPr>
      </w:pPr>
      <w:r w:rsidRPr="006D4DE1">
        <w:rPr>
          <w:sz w:val="24"/>
        </w:rPr>
        <w:t xml:space="preserve">Frequency: </w:t>
      </w:r>
      <w:r w:rsidR="00A11BBB">
        <w:rPr>
          <w:sz w:val="24"/>
        </w:rPr>
        <w:t>Quarterly</w:t>
      </w:r>
      <w:r w:rsidRPr="006D4DE1">
        <w:rPr>
          <w:sz w:val="24"/>
        </w:rPr>
        <w:t>.</w:t>
      </w:r>
    </w:p>
    <w:p w:rsidR="00A11BBB" w:rsidRPr="006D4DE1" w:rsidP="00A11BBB" w14:paraId="2D205788" w14:textId="365245DB">
      <w:pPr>
        <w:rPr>
          <w:sz w:val="24"/>
        </w:rPr>
      </w:pPr>
      <w:r w:rsidRPr="006D4DE1">
        <w:rPr>
          <w:sz w:val="24"/>
        </w:rPr>
        <w:t xml:space="preserve">Estimated Time per Response: </w:t>
      </w:r>
      <w:r>
        <w:rPr>
          <w:sz w:val="24"/>
        </w:rPr>
        <w:t>1 hour.</w:t>
      </w:r>
    </w:p>
    <w:p w:rsidR="00B85C46" w:rsidRPr="006D4DE1" w:rsidP="00B85C46" w14:paraId="0C6ACE96" w14:textId="77777777">
      <w:pPr>
        <w:rPr>
          <w:sz w:val="24"/>
        </w:rPr>
      </w:pPr>
      <w:r w:rsidRPr="006D4DE1">
        <w:rPr>
          <w:sz w:val="24"/>
        </w:rPr>
        <w:t>Total Annual Burden: 400 hours.</w:t>
      </w:r>
    </w:p>
    <w:tbl>
      <w:tblPr>
        <w:tblStyle w:val="TableGrid"/>
        <w:tblW w:w="0" w:type="auto"/>
        <w:jc w:val="center"/>
        <w:tblLook w:val="04A0"/>
      </w:tblPr>
      <w:tblGrid>
        <w:gridCol w:w="2563"/>
        <w:gridCol w:w="1170"/>
      </w:tblGrid>
      <w:tr w14:paraId="1517B250" w14:textId="77777777" w:rsidTr="00457379">
        <w:tblPrEx>
          <w:tblW w:w="0" w:type="auto"/>
          <w:jc w:val="center"/>
          <w:tblLook w:val="04A0"/>
        </w:tblPrEx>
        <w:trPr>
          <w:jc w:val="center"/>
        </w:trPr>
        <w:tc>
          <w:tcPr>
            <w:tcW w:w="0" w:type="auto"/>
          </w:tcPr>
          <w:p w:rsidR="00B85C46" w:rsidRPr="006D4DE1" w:rsidP="00457379" w14:paraId="7884016B" w14:textId="77777777">
            <w:pPr>
              <w:rPr>
                <w:sz w:val="24"/>
              </w:rPr>
            </w:pPr>
            <w:r w:rsidRPr="006D4DE1">
              <w:rPr>
                <w:sz w:val="24"/>
              </w:rPr>
              <w:t>Number of Responses</w:t>
            </w:r>
          </w:p>
        </w:tc>
        <w:tc>
          <w:tcPr>
            <w:tcW w:w="0" w:type="auto"/>
          </w:tcPr>
          <w:p w:rsidR="00B85C46" w:rsidRPr="006D4DE1" w:rsidP="00457379" w14:paraId="7B375729" w14:textId="77777777">
            <w:pPr>
              <w:rPr>
                <w:sz w:val="24"/>
              </w:rPr>
            </w:pPr>
            <w:r w:rsidRPr="006D4DE1">
              <w:rPr>
                <w:sz w:val="24"/>
              </w:rPr>
              <w:t>100</w:t>
            </w:r>
          </w:p>
        </w:tc>
      </w:tr>
      <w:tr w14:paraId="7FF8AB0F" w14:textId="77777777" w:rsidTr="00457379">
        <w:tblPrEx>
          <w:tblW w:w="0" w:type="auto"/>
          <w:jc w:val="center"/>
          <w:tblLook w:val="04A0"/>
        </w:tblPrEx>
        <w:trPr>
          <w:jc w:val="center"/>
        </w:trPr>
        <w:tc>
          <w:tcPr>
            <w:tcW w:w="0" w:type="auto"/>
          </w:tcPr>
          <w:p w:rsidR="00B85C46" w:rsidRPr="006D4DE1" w:rsidP="00457379" w14:paraId="0E53B67E" w14:textId="77777777">
            <w:pPr>
              <w:rPr>
                <w:sz w:val="24"/>
              </w:rPr>
            </w:pPr>
            <w:r w:rsidRPr="006D4DE1">
              <w:rPr>
                <w:sz w:val="24"/>
              </w:rPr>
              <w:t>Frequency of Responses</w:t>
            </w:r>
          </w:p>
        </w:tc>
        <w:tc>
          <w:tcPr>
            <w:tcW w:w="0" w:type="auto"/>
          </w:tcPr>
          <w:p w:rsidR="00B85C46" w:rsidRPr="006D4DE1" w:rsidP="00457379" w14:paraId="3C8CC89B" w14:textId="0D4EBDAD">
            <w:pPr>
              <w:rPr>
                <w:sz w:val="24"/>
              </w:rPr>
            </w:pPr>
            <w:r>
              <w:rPr>
                <w:sz w:val="24"/>
              </w:rPr>
              <w:t>Quarterly</w:t>
            </w:r>
          </w:p>
        </w:tc>
      </w:tr>
      <w:tr w14:paraId="1466E9DC" w14:textId="77777777" w:rsidTr="00457379">
        <w:tblPrEx>
          <w:tblW w:w="0" w:type="auto"/>
          <w:jc w:val="center"/>
          <w:tblLook w:val="04A0"/>
        </w:tblPrEx>
        <w:trPr>
          <w:jc w:val="center"/>
        </w:trPr>
        <w:tc>
          <w:tcPr>
            <w:tcW w:w="0" w:type="auto"/>
          </w:tcPr>
          <w:p w:rsidR="00B85C46" w:rsidRPr="006D4DE1" w:rsidP="00457379" w14:paraId="01C76CF8" w14:textId="77777777">
            <w:pPr>
              <w:rPr>
                <w:sz w:val="24"/>
              </w:rPr>
            </w:pPr>
            <w:r w:rsidRPr="006D4DE1">
              <w:rPr>
                <w:sz w:val="24"/>
              </w:rPr>
              <w:t>Burden per Respondent</w:t>
            </w:r>
          </w:p>
        </w:tc>
        <w:tc>
          <w:tcPr>
            <w:tcW w:w="0" w:type="auto"/>
          </w:tcPr>
          <w:p w:rsidR="00B85C46" w:rsidRPr="006D4DE1" w:rsidP="00457379" w14:paraId="5AAC05CA" w14:textId="4A84CF1A">
            <w:pPr>
              <w:rPr>
                <w:sz w:val="24"/>
              </w:rPr>
            </w:pPr>
            <w:r>
              <w:rPr>
                <w:sz w:val="24"/>
              </w:rPr>
              <w:t>1</w:t>
            </w:r>
            <w:r w:rsidR="005B1E97">
              <w:rPr>
                <w:sz w:val="24"/>
              </w:rPr>
              <w:t>-hr</w:t>
            </w:r>
          </w:p>
        </w:tc>
      </w:tr>
      <w:tr w14:paraId="78F1CFE9" w14:textId="77777777" w:rsidTr="00457379">
        <w:tblPrEx>
          <w:tblW w:w="0" w:type="auto"/>
          <w:jc w:val="center"/>
          <w:tblLook w:val="04A0"/>
        </w:tblPrEx>
        <w:trPr>
          <w:jc w:val="center"/>
        </w:trPr>
        <w:tc>
          <w:tcPr>
            <w:tcW w:w="0" w:type="auto"/>
          </w:tcPr>
          <w:p w:rsidR="00B85C46" w:rsidRPr="007761A3" w:rsidP="00457379" w14:paraId="4B264E60" w14:textId="77777777">
            <w:pPr>
              <w:rPr>
                <w:sz w:val="24"/>
              </w:rPr>
            </w:pPr>
            <w:r w:rsidRPr="007761A3">
              <w:rPr>
                <w:sz w:val="24"/>
              </w:rPr>
              <w:t xml:space="preserve">Annual burden hours        </w:t>
            </w:r>
          </w:p>
        </w:tc>
        <w:tc>
          <w:tcPr>
            <w:tcW w:w="0" w:type="auto"/>
          </w:tcPr>
          <w:p w:rsidR="00B85C46" w:rsidRPr="007761A3" w:rsidP="00457379" w14:paraId="17998E39" w14:textId="77777777">
            <w:pPr>
              <w:rPr>
                <w:sz w:val="24"/>
              </w:rPr>
            </w:pPr>
            <w:r w:rsidRPr="007761A3">
              <w:rPr>
                <w:sz w:val="24"/>
              </w:rPr>
              <w:t>400 hours</w:t>
            </w:r>
          </w:p>
        </w:tc>
      </w:tr>
    </w:tbl>
    <w:p w:rsidR="00202E91" w:rsidRPr="00622CA6" w:rsidP="00A11BBB" w14:paraId="3FCECB81" w14:textId="46F510E8">
      <w:pPr>
        <w:rPr>
          <w:sz w:val="24"/>
        </w:rPr>
      </w:pPr>
      <w:r w:rsidRPr="00622CA6">
        <w:rPr>
          <w:sz w:val="24"/>
        </w:rPr>
        <w:t xml:space="preserve">  </w:t>
      </w:r>
    </w:p>
    <w:p w:rsidR="00850AD6" w:rsidRPr="00622CA6" w:rsidP="00850AD6" w14:paraId="74708083" w14:textId="77777777">
      <w:pPr>
        <w:rPr>
          <w:sz w:val="24"/>
        </w:rPr>
      </w:pPr>
    </w:p>
    <w:p w:rsidR="007B3A70" w:rsidRPr="00622CA6" w14:paraId="1AFF1369" w14:textId="77777777">
      <w:pPr>
        <w:rPr>
          <w:sz w:val="24"/>
        </w:rPr>
      </w:pPr>
      <w:r w:rsidRPr="00622CA6">
        <w:rPr>
          <w:b/>
          <w:bCs/>
          <w:sz w:val="24"/>
        </w:rPr>
        <w:t xml:space="preserve">13.  Provide an estimate of cost to the respondents.  Do not include the cost of any hour </w:t>
      </w:r>
      <w:r w:rsidRPr="00622CA6">
        <w:rPr>
          <w:b/>
          <w:bCs/>
          <w:sz w:val="24"/>
        </w:rPr>
        <w:t>burden shown in items 12 and 14.  General estimates should not include purchase of equipment or services or portions thereof made prior to October, 1995.</w:t>
      </w:r>
    </w:p>
    <w:p w:rsidR="007B3A70" w:rsidRPr="00622CA6" w14:paraId="46985353" w14:textId="77777777">
      <w:pPr>
        <w:rPr>
          <w:sz w:val="24"/>
        </w:rPr>
      </w:pPr>
    </w:p>
    <w:p w:rsidR="00BA3F27" w14:paraId="02EABF87" w14:textId="039007A6">
      <w:pPr>
        <w:rPr>
          <w:sz w:val="24"/>
        </w:rPr>
      </w:pPr>
      <w:r w:rsidRPr="00A11BBB">
        <w:rPr>
          <w:sz w:val="24"/>
        </w:rPr>
        <w:t>There is no advance preparation of data required or expected of respondents, and there are no record keeping expectations or costs to the respondents.</w:t>
      </w:r>
    </w:p>
    <w:p w:rsidR="00A11BBB" w:rsidRPr="00622CA6" w14:paraId="327D14B4" w14:textId="77777777">
      <w:pPr>
        <w:rPr>
          <w:b/>
          <w:bCs/>
          <w:sz w:val="24"/>
        </w:rPr>
      </w:pPr>
    </w:p>
    <w:p w:rsidR="007B3A70" w:rsidRPr="00622CA6" w14:paraId="02C25BCA" w14:textId="2C48E533">
      <w:pPr>
        <w:rPr>
          <w:b/>
          <w:bCs/>
          <w:sz w:val="24"/>
        </w:rPr>
      </w:pPr>
      <w:r w:rsidRPr="00622CA6">
        <w:rPr>
          <w:b/>
          <w:bCs/>
          <w:sz w:val="24"/>
        </w:rPr>
        <w:t>14.  Provide estimates of annualized cost to the Federal Government.</w:t>
      </w:r>
    </w:p>
    <w:p w:rsidR="007B3A70" w:rsidRPr="00622CA6" w14:paraId="7547FB45" w14:textId="77777777">
      <w:pPr>
        <w:rPr>
          <w:sz w:val="24"/>
        </w:rPr>
      </w:pPr>
    </w:p>
    <w:p w:rsidR="00B50514" w:rsidP="00B50514" w14:paraId="77CE5232" w14:textId="60D1337E">
      <w:pPr>
        <w:pStyle w:val="BodyText"/>
        <w:rPr>
          <w:sz w:val="24"/>
          <w:szCs w:val="24"/>
        </w:rPr>
      </w:pPr>
      <w:r>
        <w:rPr>
          <w:sz w:val="24"/>
          <w:szCs w:val="24"/>
        </w:rPr>
        <w:t>One GS-12 employee, one GS-13 employee, and one GS-14 employees will be needed to support the program. The annual salaries per employee estimated at the step 7 level and the total fully burdened cost (estimated as 1.4 times the respectively salaries) is shown in the table below. The total annual cost estimate for these employees is $</w:t>
      </w:r>
      <w:r w:rsidR="00DF23D0">
        <w:rPr>
          <w:sz w:val="24"/>
          <w:szCs w:val="24"/>
        </w:rPr>
        <w:t>568,813.00</w:t>
      </w:r>
      <w:r>
        <w:rPr>
          <w:sz w:val="24"/>
          <w:szCs w:val="24"/>
        </w:rPr>
        <w:t>.</w:t>
      </w:r>
    </w:p>
    <w:p w:rsidR="00B50514" w:rsidP="00B50514" w14:paraId="413452A2" w14:textId="77777777">
      <w:pPr>
        <w:pStyle w:val="BodyText"/>
        <w:rPr>
          <w:sz w:val="24"/>
          <w:szCs w:val="24"/>
        </w:rPr>
      </w:pPr>
    </w:p>
    <w:tbl>
      <w:tblPr>
        <w:tblStyle w:val="TableGrid"/>
        <w:tblW w:w="0" w:type="auto"/>
        <w:tblLook w:val="04A0"/>
      </w:tblPr>
      <w:tblGrid>
        <w:gridCol w:w="1715"/>
        <w:gridCol w:w="1827"/>
        <w:gridCol w:w="1872"/>
        <w:gridCol w:w="1608"/>
        <w:gridCol w:w="1608"/>
      </w:tblGrid>
      <w:tr w14:paraId="51F1B87A" w14:textId="77777777" w:rsidTr="00B50514">
        <w:tblPrEx>
          <w:tblW w:w="0" w:type="auto"/>
          <w:tblLook w:val="04A0"/>
        </w:tblPrEx>
        <w:tc>
          <w:tcPr>
            <w:tcW w:w="1715" w:type="dxa"/>
            <w:tcBorders>
              <w:top w:val="single" w:sz="4" w:space="0" w:color="auto"/>
              <w:left w:val="single" w:sz="4" w:space="0" w:color="auto"/>
              <w:bottom w:val="single" w:sz="4" w:space="0" w:color="auto"/>
              <w:right w:val="single" w:sz="4" w:space="0" w:color="auto"/>
            </w:tcBorders>
            <w:vAlign w:val="center"/>
            <w:hideMark/>
          </w:tcPr>
          <w:p w:rsidR="00B50514" w14:paraId="0F52DE1B" w14:textId="77777777">
            <w:pPr>
              <w:rPr>
                <w:sz w:val="24"/>
                <w:lang w:eastAsia="ja-JP"/>
              </w:rPr>
            </w:pPr>
            <w:r>
              <w:rPr>
                <w:lang w:eastAsia="ja-JP"/>
              </w:rPr>
              <w:t> </w:t>
            </w:r>
          </w:p>
        </w:tc>
        <w:tc>
          <w:tcPr>
            <w:tcW w:w="1827" w:type="dxa"/>
            <w:tcBorders>
              <w:top w:val="single" w:sz="4" w:space="0" w:color="auto"/>
              <w:left w:val="single" w:sz="4" w:space="0" w:color="auto"/>
              <w:bottom w:val="single" w:sz="4" w:space="0" w:color="auto"/>
              <w:right w:val="single" w:sz="4" w:space="0" w:color="auto"/>
            </w:tcBorders>
            <w:vAlign w:val="center"/>
            <w:hideMark/>
          </w:tcPr>
          <w:p w:rsidR="00B50514" w14:paraId="791F6FB2" w14:textId="77777777">
            <w:pPr>
              <w:rPr>
                <w:lang w:eastAsia="ja-JP"/>
              </w:rPr>
            </w:pPr>
            <w:r>
              <w:rPr>
                <w:lang w:eastAsia="ja-JP"/>
              </w:rPr>
              <w:t>Annual Salary</w:t>
            </w:r>
          </w:p>
        </w:tc>
        <w:tc>
          <w:tcPr>
            <w:tcW w:w="1872" w:type="dxa"/>
            <w:tcBorders>
              <w:top w:val="single" w:sz="4" w:space="0" w:color="auto"/>
              <w:left w:val="single" w:sz="4" w:space="0" w:color="auto"/>
              <w:bottom w:val="single" w:sz="4" w:space="0" w:color="auto"/>
              <w:right w:val="single" w:sz="4" w:space="0" w:color="auto"/>
            </w:tcBorders>
            <w:vAlign w:val="center"/>
            <w:hideMark/>
          </w:tcPr>
          <w:p w:rsidR="00B50514" w14:paraId="460D0137" w14:textId="77777777">
            <w:pPr>
              <w:rPr>
                <w:lang w:eastAsia="ja-JP"/>
              </w:rPr>
            </w:pPr>
            <w:r>
              <w:rPr>
                <w:lang w:eastAsia="ja-JP"/>
              </w:rPr>
              <w:t>Fully Burdened Annual Salary Estimate</w:t>
            </w:r>
          </w:p>
        </w:tc>
        <w:tc>
          <w:tcPr>
            <w:tcW w:w="1608" w:type="dxa"/>
            <w:tcBorders>
              <w:top w:val="single" w:sz="4" w:space="0" w:color="auto"/>
              <w:left w:val="single" w:sz="4" w:space="0" w:color="auto"/>
              <w:bottom w:val="single" w:sz="4" w:space="0" w:color="auto"/>
              <w:right w:val="single" w:sz="4" w:space="0" w:color="auto"/>
            </w:tcBorders>
            <w:vAlign w:val="center"/>
            <w:hideMark/>
          </w:tcPr>
          <w:p w:rsidR="00B50514" w14:paraId="7BF47710" w14:textId="77777777">
            <w:pPr>
              <w:rPr>
                <w:lang w:eastAsia="ja-JP"/>
              </w:rPr>
            </w:pPr>
            <w:r>
              <w:rPr>
                <w:lang w:eastAsia="ja-JP"/>
              </w:rPr>
              <w:t>Number of FTEs</w:t>
            </w:r>
          </w:p>
        </w:tc>
        <w:tc>
          <w:tcPr>
            <w:tcW w:w="1608" w:type="dxa"/>
            <w:tcBorders>
              <w:top w:val="single" w:sz="4" w:space="0" w:color="auto"/>
              <w:left w:val="single" w:sz="4" w:space="0" w:color="auto"/>
              <w:bottom w:val="single" w:sz="4" w:space="0" w:color="auto"/>
              <w:right w:val="single" w:sz="4" w:space="0" w:color="auto"/>
            </w:tcBorders>
            <w:vAlign w:val="center"/>
            <w:hideMark/>
          </w:tcPr>
          <w:p w:rsidR="00B50514" w14:paraId="6C88AA14" w14:textId="77777777">
            <w:pPr>
              <w:rPr>
                <w:lang w:eastAsia="ja-JP"/>
              </w:rPr>
            </w:pPr>
            <w:r>
              <w:rPr>
                <w:lang w:eastAsia="ja-JP"/>
              </w:rPr>
              <w:t>Total Cost Estimate</w:t>
            </w:r>
          </w:p>
        </w:tc>
      </w:tr>
      <w:tr w14:paraId="53A49D56" w14:textId="77777777" w:rsidTr="00B50514">
        <w:tblPrEx>
          <w:tblW w:w="0" w:type="auto"/>
          <w:tblLook w:val="04A0"/>
        </w:tblPrEx>
        <w:tc>
          <w:tcPr>
            <w:tcW w:w="1715" w:type="dxa"/>
            <w:tcBorders>
              <w:top w:val="single" w:sz="4" w:space="0" w:color="auto"/>
              <w:left w:val="single" w:sz="4" w:space="0" w:color="auto"/>
              <w:bottom w:val="single" w:sz="4" w:space="0" w:color="auto"/>
              <w:right w:val="single" w:sz="4" w:space="0" w:color="auto"/>
            </w:tcBorders>
            <w:vAlign w:val="center"/>
            <w:hideMark/>
          </w:tcPr>
          <w:p w:rsidR="00B50514" w:rsidP="00B50514" w14:paraId="413EF9DC" w14:textId="77777777">
            <w:pPr>
              <w:rPr>
                <w:lang w:eastAsia="ja-JP"/>
              </w:rPr>
            </w:pPr>
            <w:r>
              <w:rPr>
                <w:lang w:eastAsia="ja-JP"/>
              </w:rPr>
              <w:t>GS-12</w:t>
            </w:r>
          </w:p>
        </w:tc>
        <w:tc>
          <w:tcPr>
            <w:tcW w:w="1827" w:type="dxa"/>
            <w:tcBorders>
              <w:top w:val="single" w:sz="4" w:space="0" w:color="auto"/>
              <w:left w:val="single" w:sz="4" w:space="0" w:color="auto"/>
              <w:bottom w:val="single" w:sz="4" w:space="0" w:color="auto"/>
              <w:right w:val="single" w:sz="4" w:space="0" w:color="auto"/>
            </w:tcBorders>
            <w:vAlign w:val="center"/>
            <w:hideMark/>
          </w:tcPr>
          <w:p w:rsidR="00B50514" w:rsidP="00B50514" w14:paraId="28044916" w14:textId="453EB809">
            <w:pPr>
              <w:rPr>
                <w:lang w:eastAsia="ja-JP"/>
              </w:rPr>
            </w:pPr>
            <w:r>
              <w:rPr>
                <w:lang w:eastAsia="ja-JP"/>
              </w:rPr>
              <w:t>$</w:t>
            </w:r>
            <w:r w:rsidRPr="00B50514">
              <w:rPr>
                <w:lang w:eastAsia="ja-JP"/>
              </w:rPr>
              <w:t>113</w:t>
            </w:r>
            <w:r>
              <w:rPr>
                <w:lang w:eastAsia="ja-JP"/>
              </w:rPr>
              <w:t>,</w:t>
            </w:r>
            <w:r w:rsidRPr="00B50514">
              <w:rPr>
                <w:lang w:eastAsia="ja-JP"/>
              </w:rPr>
              <w:t>039</w:t>
            </w:r>
          </w:p>
        </w:tc>
        <w:tc>
          <w:tcPr>
            <w:tcW w:w="1872" w:type="dxa"/>
            <w:tcBorders>
              <w:top w:val="single" w:sz="4" w:space="0" w:color="auto"/>
              <w:left w:val="single" w:sz="4" w:space="0" w:color="auto"/>
              <w:bottom w:val="single" w:sz="4" w:space="0" w:color="auto"/>
              <w:right w:val="single" w:sz="4" w:space="0" w:color="auto"/>
            </w:tcBorders>
            <w:vAlign w:val="center"/>
            <w:hideMark/>
          </w:tcPr>
          <w:p w:rsidR="00B50514" w:rsidP="00B50514" w14:paraId="47749481" w14:textId="458061B2">
            <w:pPr>
              <w:rPr>
                <w:lang w:eastAsia="ja-JP"/>
              </w:rPr>
            </w:pPr>
            <w:r>
              <w:rPr>
                <w:lang w:eastAsia="ja-JP"/>
              </w:rPr>
              <w:t>$158,255</w:t>
            </w:r>
          </w:p>
        </w:tc>
        <w:tc>
          <w:tcPr>
            <w:tcW w:w="1608" w:type="dxa"/>
            <w:tcBorders>
              <w:top w:val="single" w:sz="4" w:space="0" w:color="auto"/>
              <w:left w:val="single" w:sz="4" w:space="0" w:color="auto"/>
              <w:bottom w:val="single" w:sz="4" w:space="0" w:color="auto"/>
              <w:right w:val="single" w:sz="4" w:space="0" w:color="auto"/>
            </w:tcBorders>
            <w:vAlign w:val="center"/>
            <w:hideMark/>
          </w:tcPr>
          <w:p w:rsidR="00B50514" w:rsidP="00B50514" w14:paraId="5E71E597" w14:textId="346927AA">
            <w:pPr>
              <w:rPr>
                <w:lang w:eastAsia="ja-JP"/>
              </w:rPr>
            </w:pPr>
            <w:r>
              <w:rPr>
                <w:lang w:eastAsia="ja-JP"/>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B50514" w:rsidP="00B50514" w14:paraId="5281ABB2" w14:textId="4E30FB26">
            <w:pPr>
              <w:rPr>
                <w:lang w:eastAsia="ja-JP"/>
              </w:rPr>
            </w:pPr>
            <w:r>
              <w:rPr>
                <w:lang w:eastAsia="ja-JP"/>
              </w:rPr>
              <w:t>$158,255</w:t>
            </w:r>
          </w:p>
        </w:tc>
      </w:tr>
      <w:tr w14:paraId="7D8F3101" w14:textId="77777777" w:rsidTr="00B50514">
        <w:tblPrEx>
          <w:tblW w:w="0" w:type="auto"/>
          <w:tblLook w:val="04A0"/>
        </w:tblPrEx>
        <w:tc>
          <w:tcPr>
            <w:tcW w:w="1715" w:type="dxa"/>
            <w:tcBorders>
              <w:top w:val="single" w:sz="4" w:space="0" w:color="auto"/>
              <w:left w:val="single" w:sz="4" w:space="0" w:color="auto"/>
              <w:bottom w:val="single" w:sz="4" w:space="0" w:color="auto"/>
              <w:right w:val="single" w:sz="4" w:space="0" w:color="auto"/>
            </w:tcBorders>
            <w:vAlign w:val="center"/>
            <w:hideMark/>
          </w:tcPr>
          <w:p w:rsidR="00B50514" w:rsidP="00B50514" w14:paraId="6D34C5A1" w14:textId="77777777">
            <w:pPr>
              <w:rPr>
                <w:lang w:eastAsia="ja-JP"/>
              </w:rPr>
            </w:pPr>
            <w:r>
              <w:rPr>
                <w:lang w:eastAsia="ja-JP"/>
              </w:rPr>
              <w:t>GS-13</w:t>
            </w:r>
          </w:p>
        </w:tc>
        <w:tc>
          <w:tcPr>
            <w:tcW w:w="1827" w:type="dxa"/>
            <w:tcBorders>
              <w:top w:val="single" w:sz="4" w:space="0" w:color="auto"/>
              <w:left w:val="single" w:sz="4" w:space="0" w:color="auto"/>
              <w:bottom w:val="single" w:sz="4" w:space="0" w:color="auto"/>
              <w:right w:val="single" w:sz="4" w:space="0" w:color="auto"/>
            </w:tcBorders>
            <w:vAlign w:val="center"/>
            <w:hideMark/>
          </w:tcPr>
          <w:p w:rsidR="00B50514" w:rsidP="00B50514" w14:paraId="1C8EA614" w14:textId="3B67911E">
            <w:pPr>
              <w:rPr>
                <w:lang w:eastAsia="ja-JP"/>
              </w:rPr>
            </w:pPr>
            <w:r>
              <w:rPr>
                <w:lang w:eastAsia="ja-JP"/>
              </w:rPr>
              <w:t>$134,416</w:t>
            </w:r>
          </w:p>
        </w:tc>
        <w:tc>
          <w:tcPr>
            <w:tcW w:w="1872" w:type="dxa"/>
            <w:tcBorders>
              <w:top w:val="single" w:sz="4" w:space="0" w:color="auto"/>
              <w:left w:val="single" w:sz="4" w:space="0" w:color="auto"/>
              <w:bottom w:val="single" w:sz="4" w:space="0" w:color="auto"/>
              <w:right w:val="single" w:sz="4" w:space="0" w:color="auto"/>
            </w:tcBorders>
            <w:vAlign w:val="center"/>
            <w:hideMark/>
          </w:tcPr>
          <w:p w:rsidR="00B50514" w:rsidP="00B50514" w14:paraId="27861905" w14:textId="1C96C3BC">
            <w:pPr>
              <w:rPr>
                <w:lang w:eastAsia="ja-JP"/>
              </w:rPr>
            </w:pPr>
            <w:r>
              <w:rPr>
                <w:lang w:eastAsia="ja-JP"/>
              </w:rPr>
              <w:t>$188,182</w:t>
            </w:r>
          </w:p>
        </w:tc>
        <w:tc>
          <w:tcPr>
            <w:tcW w:w="1608" w:type="dxa"/>
            <w:tcBorders>
              <w:top w:val="single" w:sz="4" w:space="0" w:color="auto"/>
              <w:left w:val="single" w:sz="4" w:space="0" w:color="auto"/>
              <w:bottom w:val="single" w:sz="4" w:space="0" w:color="auto"/>
              <w:right w:val="single" w:sz="4" w:space="0" w:color="auto"/>
            </w:tcBorders>
            <w:vAlign w:val="center"/>
            <w:hideMark/>
          </w:tcPr>
          <w:p w:rsidR="00B50514" w:rsidP="00B50514" w14:paraId="5E7AA0CB" w14:textId="77777777">
            <w:pPr>
              <w:rPr>
                <w:lang w:eastAsia="ja-JP"/>
              </w:rPr>
            </w:pPr>
            <w:r>
              <w:rPr>
                <w:lang w:eastAsia="ja-JP"/>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B50514" w:rsidP="00B50514" w14:paraId="21776CA1" w14:textId="057E8FA6">
            <w:pPr>
              <w:rPr>
                <w:lang w:eastAsia="ja-JP"/>
              </w:rPr>
            </w:pPr>
            <w:r>
              <w:rPr>
                <w:lang w:eastAsia="ja-JP"/>
              </w:rPr>
              <w:t>$188,182</w:t>
            </w:r>
          </w:p>
        </w:tc>
      </w:tr>
      <w:tr w14:paraId="5BC932CB" w14:textId="77777777" w:rsidTr="00B50514">
        <w:tblPrEx>
          <w:tblW w:w="0" w:type="auto"/>
          <w:tblLook w:val="04A0"/>
        </w:tblPrEx>
        <w:tc>
          <w:tcPr>
            <w:tcW w:w="1715" w:type="dxa"/>
            <w:tcBorders>
              <w:top w:val="single" w:sz="4" w:space="0" w:color="auto"/>
              <w:left w:val="single" w:sz="4" w:space="0" w:color="auto"/>
              <w:bottom w:val="single" w:sz="4" w:space="0" w:color="auto"/>
              <w:right w:val="single" w:sz="4" w:space="0" w:color="auto"/>
            </w:tcBorders>
            <w:vAlign w:val="center"/>
            <w:hideMark/>
          </w:tcPr>
          <w:p w:rsidR="00B50514" w:rsidP="00B50514" w14:paraId="7957EF5E" w14:textId="77777777">
            <w:pPr>
              <w:rPr>
                <w:lang w:eastAsia="ja-JP"/>
              </w:rPr>
            </w:pPr>
            <w:r>
              <w:rPr>
                <w:lang w:eastAsia="ja-JP"/>
              </w:rPr>
              <w:t>GS-14</w:t>
            </w:r>
          </w:p>
        </w:tc>
        <w:tc>
          <w:tcPr>
            <w:tcW w:w="1827" w:type="dxa"/>
            <w:tcBorders>
              <w:top w:val="single" w:sz="4" w:space="0" w:color="auto"/>
              <w:left w:val="single" w:sz="4" w:space="0" w:color="auto"/>
              <w:bottom w:val="single" w:sz="4" w:space="0" w:color="auto"/>
              <w:right w:val="single" w:sz="4" w:space="0" w:color="auto"/>
            </w:tcBorders>
            <w:vAlign w:val="center"/>
            <w:hideMark/>
          </w:tcPr>
          <w:p w:rsidR="00B50514" w:rsidP="00B50514" w14:paraId="3D86DAAA" w14:textId="7593E607">
            <w:pPr>
              <w:rPr>
                <w:lang w:eastAsia="ja-JP"/>
              </w:rPr>
            </w:pPr>
            <w:r>
              <w:rPr>
                <w:lang w:eastAsia="ja-JP"/>
              </w:rPr>
              <w:t>$158,840</w:t>
            </w:r>
          </w:p>
        </w:tc>
        <w:tc>
          <w:tcPr>
            <w:tcW w:w="1872" w:type="dxa"/>
            <w:tcBorders>
              <w:top w:val="single" w:sz="4" w:space="0" w:color="auto"/>
              <w:left w:val="single" w:sz="4" w:space="0" w:color="auto"/>
              <w:bottom w:val="single" w:sz="4" w:space="0" w:color="auto"/>
              <w:right w:val="single" w:sz="4" w:space="0" w:color="auto"/>
            </w:tcBorders>
            <w:vAlign w:val="center"/>
            <w:hideMark/>
          </w:tcPr>
          <w:p w:rsidR="00B50514" w:rsidP="00B50514" w14:paraId="797F8CC9" w14:textId="18B96CFC">
            <w:pPr>
              <w:rPr>
                <w:lang w:eastAsia="ja-JP"/>
              </w:rPr>
            </w:pPr>
            <w:r>
              <w:rPr>
                <w:lang w:eastAsia="ja-JP"/>
              </w:rPr>
              <w:t>$222,376</w:t>
            </w:r>
          </w:p>
        </w:tc>
        <w:tc>
          <w:tcPr>
            <w:tcW w:w="1608" w:type="dxa"/>
            <w:tcBorders>
              <w:top w:val="single" w:sz="4" w:space="0" w:color="auto"/>
              <w:left w:val="single" w:sz="4" w:space="0" w:color="auto"/>
              <w:bottom w:val="single" w:sz="4" w:space="0" w:color="auto"/>
              <w:right w:val="single" w:sz="4" w:space="0" w:color="auto"/>
            </w:tcBorders>
            <w:vAlign w:val="center"/>
            <w:hideMark/>
          </w:tcPr>
          <w:p w:rsidR="00B50514" w:rsidP="00B50514" w14:paraId="2D4903D7" w14:textId="18228E21">
            <w:pPr>
              <w:rPr>
                <w:lang w:eastAsia="ja-JP"/>
              </w:rPr>
            </w:pPr>
            <w:r>
              <w:rPr>
                <w:lang w:eastAsia="ja-JP"/>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B50514" w:rsidP="00B50514" w14:paraId="65251CA8" w14:textId="7ECD9EB8">
            <w:pPr>
              <w:rPr>
                <w:lang w:eastAsia="ja-JP"/>
              </w:rPr>
            </w:pPr>
            <w:r>
              <w:rPr>
                <w:lang w:eastAsia="ja-JP"/>
              </w:rPr>
              <w:t>$222,376</w:t>
            </w:r>
          </w:p>
        </w:tc>
      </w:tr>
      <w:tr w14:paraId="42946FDE" w14:textId="77777777" w:rsidTr="00B50514">
        <w:tblPrEx>
          <w:tblW w:w="0" w:type="auto"/>
          <w:tblLook w:val="04A0"/>
        </w:tblPrEx>
        <w:tc>
          <w:tcPr>
            <w:tcW w:w="1715" w:type="dxa"/>
            <w:tcBorders>
              <w:top w:val="single" w:sz="4" w:space="0" w:color="auto"/>
              <w:left w:val="single" w:sz="4" w:space="0" w:color="auto"/>
              <w:bottom w:val="single" w:sz="4" w:space="0" w:color="auto"/>
              <w:right w:val="single" w:sz="4" w:space="0" w:color="auto"/>
            </w:tcBorders>
            <w:hideMark/>
          </w:tcPr>
          <w:p w:rsidR="00B50514" w14:paraId="50AE86D0" w14:textId="77777777">
            <w:pPr>
              <w:pStyle w:val="BodyText"/>
              <w:rPr>
                <w:b/>
                <w:bCs/>
                <w:sz w:val="24"/>
                <w:szCs w:val="24"/>
                <w:lang w:eastAsia="ja-JP"/>
              </w:rPr>
            </w:pPr>
            <w:r>
              <w:rPr>
                <w:b/>
                <w:bCs/>
                <w:sz w:val="24"/>
                <w:szCs w:val="24"/>
                <w:lang w:eastAsia="ja-JP"/>
              </w:rPr>
              <w:t>Total</w:t>
            </w:r>
          </w:p>
        </w:tc>
        <w:tc>
          <w:tcPr>
            <w:tcW w:w="1827" w:type="dxa"/>
            <w:tcBorders>
              <w:top w:val="single" w:sz="4" w:space="0" w:color="auto"/>
              <w:left w:val="single" w:sz="4" w:space="0" w:color="auto"/>
              <w:bottom w:val="single" w:sz="4" w:space="0" w:color="auto"/>
              <w:right w:val="single" w:sz="4" w:space="0" w:color="auto"/>
            </w:tcBorders>
          </w:tcPr>
          <w:p w:rsidR="00B50514" w14:paraId="5276B712" w14:textId="77777777">
            <w:pPr>
              <w:pStyle w:val="BodyText"/>
              <w:rPr>
                <w:b/>
                <w:bCs/>
                <w:sz w:val="24"/>
                <w:szCs w:val="24"/>
                <w:lang w:eastAsia="ja-JP"/>
              </w:rPr>
            </w:pPr>
          </w:p>
        </w:tc>
        <w:tc>
          <w:tcPr>
            <w:tcW w:w="1872" w:type="dxa"/>
            <w:tcBorders>
              <w:top w:val="single" w:sz="4" w:space="0" w:color="auto"/>
              <w:left w:val="single" w:sz="4" w:space="0" w:color="auto"/>
              <w:bottom w:val="single" w:sz="4" w:space="0" w:color="auto"/>
              <w:right w:val="single" w:sz="4" w:space="0" w:color="auto"/>
            </w:tcBorders>
          </w:tcPr>
          <w:p w:rsidR="00B50514" w14:paraId="2F5A21C1" w14:textId="77777777">
            <w:pPr>
              <w:pStyle w:val="BodyText"/>
              <w:rPr>
                <w:b/>
                <w:bCs/>
                <w:sz w:val="24"/>
                <w:szCs w:val="24"/>
                <w:lang w:eastAsia="ja-JP"/>
              </w:rPr>
            </w:pPr>
          </w:p>
        </w:tc>
        <w:tc>
          <w:tcPr>
            <w:tcW w:w="1608" w:type="dxa"/>
            <w:tcBorders>
              <w:top w:val="single" w:sz="4" w:space="0" w:color="auto"/>
              <w:left w:val="single" w:sz="4" w:space="0" w:color="auto"/>
              <w:bottom w:val="single" w:sz="4" w:space="0" w:color="auto"/>
              <w:right w:val="single" w:sz="4" w:space="0" w:color="auto"/>
            </w:tcBorders>
          </w:tcPr>
          <w:p w:rsidR="00B50514" w14:paraId="2FCDB864" w14:textId="77777777">
            <w:pPr>
              <w:rPr>
                <w:b/>
                <w:bCs/>
                <w:sz w:val="24"/>
                <w:lang w:eastAsia="ja-JP"/>
              </w:rPr>
            </w:pPr>
          </w:p>
        </w:tc>
        <w:tc>
          <w:tcPr>
            <w:tcW w:w="1608" w:type="dxa"/>
            <w:tcBorders>
              <w:top w:val="single" w:sz="4" w:space="0" w:color="auto"/>
              <w:left w:val="single" w:sz="4" w:space="0" w:color="auto"/>
              <w:bottom w:val="single" w:sz="4" w:space="0" w:color="auto"/>
              <w:right w:val="single" w:sz="4" w:space="0" w:color="auto"/>
            </w:tcBorders>
            <w:vAlign w:val="bottom"/>
            <w:hideMark/>
          </w:tcPr>
          <w:p w:rsidR="00B50514" w14:paraId="02278E8D" w14:textId="7888CA9D">
            <w:pPr>
              <w:rPr>
                <w:b/>
                <w:bCs/>
                <w:lang w:eastAsia="ja-JP"/>
              </w:rPr>
            </w:pPr>
            <w:r>
              <w:rPr>
                <w:b/>
                <w:bCs/>
                <w:lang w:eastAsia="ja-JP"/>
              </w:rPr>
              <w:t>$568,813</w:t>
            </w:r>
          </w:p>
        </w:tc>
      </w:tr>
    </w:tbl>
    <w:p w:rsidR="00B50514" w:rsidP="00B50514" w14:paraId="53947DC7" w14:textId="77777777">
      <w:pPr>
        <w:pStyle w:val="BodyText"/>
        <w:rPr>
          <w:sz w:val="24"/>
          <w:szCs w:val="24"/>
        </w:rPr>
      </w:pPr>
    </w:p>
    <w:p w:rsidR="00B50514" w:rsidP="00B50514" w14:paraId="02AA1BE1" w14:textId="337CF9DC">
      <w:pPr>
        <w:pStyle w:val="BodyText"/>
        <w:rPr>
          <w:sz w:val="24"/>
          <w:szCs w:val="24"/>
        </w:rPr>
      </w:pPr>
      <w:r>
        <w:rPr>
          <w:sz w:val="24"/>
          <w:szCs w:val="24"/>
        </w:rPr>
        <w:t>In addition, an annual cost of approximately $</w:t>
      </w:r>
      <w:r w:rsidR="00DF23D0">
        <w:rPr>
          <w:sz w:val="24"/>
          <w:szCs w:val="24"/>
        </w:rPr>
        <w:t>4</w:t>
      </w:r>
      <w:r>
        <w:rPr>
          <w:sz w:val="24"/>
          <w:szCs w:val="24"/>
        </w:rPr>
        <w:t>00,000 is estimated for interagency agreements and contract support in the following task areas:</w:t>
      </w:r>
    </w:p>
    <w:p w:rsidR="00B50514" w:rsidP="00B50514" w14:paraId="42DEEEB8" w14:textId="26CD5F7B">
      <w:pPr>
        <w:pStyle w:val="BodyText"/>
        <w:widowControl/>
        <w:numPr>
          <w:ilvl w:val="0"/>
          <w:numId w:val="13"/>
        </w:numPr>
        <w:autoSpaceDE/>
        <w:autoSpaceDN/>
        <w:adjustRightInd/>
        <w:spacing w:line="256" w:lineRule="auto"/>
        <w:rPr>
          <w:sz w:val="24"/>
          <w:szCs w:val="24"/>
        </w:rPr>
      </w:pPr>
      <w:r>
        <w:rPr>
          <w:sz w:val="24"/>
          <w:szCs w:val="24"/>
        </w:rPr>
        <w:t>Data management, protection, and security: SafeMTS will require the continuing development and maintenance of tools and processes for the management of data and protection of confidentiality.</w:t>
      </w:r>
    </w:p>
    <w:p w:rsidR="00B50514" w:rsidP="00B50514" w14:paraId="52FC3F62" w14:textId="21C31DE9">
      <w:pPr>
        <w:pStyle w:val="BodyText"/>
        <w:widowControl/>
        <w:numPr>
          <w:ilvl w:val="0"/>
          <w:numId w:val="13"/>
        </w:numPr>
        <w:autoSpaceDE/>
        <w:autoSpaceDN/>
        <w:adjustRightInd/>
        <w:spacing w:line="256" w:lineRule="auto"/>
        <w:rPr>
          <w:sz w:val="24"/>
          <w:szCs w:val="24"/>
        </w:rPr>
      </w:pPr>
      <w:r>
        <w:rPr>
          <w:sz w:val="24"/>
          <w:szCs w:val="24"/>
        </w:rPr>
        <w:t>Stakeholder engagement: SafeMTS is a voluntary program, requiring continued stakeholder engagement. BTS convenes meetings with stakeholders and participants, and these needs will grow as additional members are added. Events, including in-person event for training and recruitment to the effort, will be needed.</w:t>
      </w:r>
    </w:p>
    <w:p w:rsidR="00B50514" w:rsidP="00B50514" w14:paraId="78EE6CF6" w14:textId="77777777">
      <w:pPr>
        <w:pStyle w:val="BodyText"/>
        <w:widowControl/>
        <w:numPr>
          <w:ilvl w:val="0"/>
          <w:numId w:val="13"/>
        </w:numPr>
        <w:autoSpaceDE/>
        <w:autoSpaceDN/>
        <w:adjustRightInd/>
        <w:spacing w:line="256" w:lineRule="auto"/>
        <w:rPr>
          <w:sz w:val="24"/>
          <w:szCs w:val="24"/>
        </w:rPr>
      </w:pPr>
      <w:r>
        <w:rPr>
          <w:sz w:val="24"/>
          <w:szCs w:val="24"/>
        </w:rPr>
        <w:t>Project management: Project management resources will be targeted to ensure data quality, IT oversight, and timely delivery of results.</w:t>
      </w:r>
    </w:p>
    <w:p w:rsidR="00B50514" w:rsidP="00B50514" w14:paraId="6DD6FF7E" w14:textId="77777777">
      <w:pPr>
        <w:pStyle w:val="BodyText"/>
        <w:rPr>
          <w:sz w:val="24"/>
          <w:szCs w:val="24"/>
        </w:rPr>
      </w:pPr>
    </w:p>
    <w:p w:rsidR="00B50514" w:rsidP="00B50514" w14:paraId="6C1474CA" w14:textId="05170D29">
      <w:pPr>
        <w:pStyle w:val="BodyText"/>
        <w:rPr>
          <w:sz w:val="24"/>
          <w:szCs w:val="24"/>
        </w:rPr>
      </w:pPr>
      <w:r>
        <w:rPr>
          <w:sz w:val="24"/>
          <w:szCs w:val="24"/>
        </w:rPr>
        <w:t xml:space="preserve">The following provides a breakdown of estimated </w:t>
      </w:r>
      <w:r w:rsidR="00DF23D0">
        <w:rPr>
          <w:sz w:val="24"/>
          <w:szCs w:val="24"/>
        </w:rPr>
        <w:t>cost to the Federal Government</w:t>
      </w:r>
      <w:r>
        <w:rPr>
          <w:sz w:val="24"/>
          <w:szCs w:val="24"/>
        </w:rPr>
        <w:t>:</w:t>
      </w:r>
    </w:p>
    <w:p w:rsidR="00B50514" w:rsidP="00B50514" w14:paraId="67D15880" w14:textId="77777777">
      <w:pPr>
        <w:pStyle w:val="BodyText"/>
        <w:rPr>
          <w:sz w:val="24"/>
          <w:szCs w:val="24"/>
        </w:rPr>
      </w:pPr>
      <w:r>
        <w:rPr>
          <w:sz w:val="24"/>
          <w:szCs w:val="24"/>
        </w:rPr>
        <w:t xml:space="preserve"> </w:t>
      </w:r>
    </w:p>
    <w:tbl>
      <w:tblPr>
        <w:tblStyle w:val="TableGrid"/>
        <w:tblW w:w="0" w:type="auto"/>
        <w:tblLook w:val="04A0"/>
      </w:tblPr>
      <w:tblGrid>
        <w:gridCol w:w="3182"/>
        <w:gridCol w:w="2072"/>
      </w:tblGrid>
      <w:tr w14:paraId="04B27732" w14:textId="77777777" w:rsidTr="00B50514">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hideMark/>
          </w:tcPr>
          <w:p w:rsidR="00B50514" w14:paraId="653D0EB9" w14:textId="77777777">
            <w:pPr>
              <w:rPr>
                <w:sz w:val="24"/>
                <w:lang w:eastAsia="ja-JP"/>
              </w:rPr>
            </w:pPr>
            <w:r>
              <w:rPr>
                <w:lang w:eastAsia="ja-JP"/>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50514" w14:paraId="726AC272" w14:textId="77777777">
            <w:pPr>
              <w:rPr>
                <w:lang w:eastAsia="ja-JP"/>
              </w:rPr>
            </w:pPr>
            <w:r>
              <w:rPr>
                <w:lang w:eastAsia="ja-JP"/>
              </w:rPr>
              <w:t>Annual Estimated Cost</w:t>
            </w:r>
          </w:p>
        </w:tc>
      </w:tr>
      <w:tr w14:paraId="702FC179" w14:textId="77777777" w:rsidTr="00B50514">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hideMark/>
          </w:tcPr>
          <w:p w:rsidR="00B50514" w14:paraId="4D935C4E" w14:textId="77777777">
            <w:pPr>
              <w:rPr>
                <w:lang w:eastAsia="ja-JP"/>
              </w:rPr>
            </w:pPr>
            <w:r>
              <w:rPr>
                <w:lang w:eastAsia="ja-JP"/>
              </w:rPr>
              <w:t>Direct Labor</w:t>
            </w:r>
          </w:p>
        </w:tc>
        <w:tc>
          <w:tcPr>
            <w:tcW w:w="0" w:type="auto"/>
            <w:tcBorders>
              <w:top w:val="single" w:sz="4" w:space="0" w:color="auto"/>
              <w:left w:val="single" w:sz="4" w:space="0" w:color="auto"/>
              <w:bottom w:val="single" w:sz="4" w:space="0" w:color="auto"/>
              <w:right w:val="single" w:sz="4" w:space="0" w:color="auto"/>
            </w:tcBorders>
            <w:vAlign w:val="center"/>
            <w:hideMark/>
          </w:tcPr>
          <w:p w:rsidR="00B50514" w14:paraId="2948FD72" w14:textId="6D959513">
            <w:pPr>
              <w:rPr>
                <w:lang w:eastAsia="ja-JP"/>
              </w:rPr>
            </w:pPr>
            <w:r>
              <w:rPr>
                <w:lang w:eastAsia="ja-JP"/>
              </w:rPr>
              <w:t>$568,813</w:t>
            </w:r>
          </w:p>
        </w:tc>
      </w:tr>
      <w:tr w14:paraId="0DE2C695" w14:textId="77777777" w:rsidTr="00B50514">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hideMark/>
          </w:tcPr>
          <w:p w:rsidR="00B50514" w14:paraId="3595F63E" w14:textId="01F5275B">
            <w:pPr>
              <w:rPr>
                <w:lang w:eastAsia="ja-JP"/>
              </w:rPr>
            </w:pPr>
            <w:r>
              <w:rPr>
                <w:lang w:eastAsia="ja-JP"/>
              </w:rPr>
              <w:t>Contract Support</w:t>
            </w:r>
          </w:p>
        </w:tc>
        <w:tc>
          <w:tcPr>
            <w:tcW w:w="0" w:type="auto"/>
            <w:tcBorders>
              <w:top w:val="single" w:sz="4" w:space="0" w:color="auto"/>
              <w:left w:val="single" w:sz="4" w:space="0" w:color="auto"/>
              <w:bottom w:val="single" w:sz="4" w:space="0" w:color="auto"/>
              <w:right w:val="single" w:sz="4" w:space="0" w:color="auto"/>
            </w:tcBorders>
            <w:vAlign w:val="center"/>
            <w:hideMark/>
          </w:tcPr>
          <w:p w:rsidR="00B50514" w14:paraId="55147BEB" w14:textId="3FD21820">
            <w:pPr>
              <w:rPr>
                <w:lang w:eastAsia="ja-JP"/>
              </w:rPr>
            </w:pPr>
            <w:r>
              <w:rPr>
                <w:lang w:eastAsia="ja-JP"/>
              </w:rPr>
              <w:t>$</w:t>
            </w:r>
            <w:r w:rsidR="00DF23D0">
              <w:rPr>
                <w:lang w:eastAsia="ja-JP"/>
              </w:rPr>
              <w:t>4</w:t>
            </w:r>
            <w:r>
              <w:rPr>
                <w:lang w:eastAsia="ja-JP"/>
              </w:rPr>
              <w:t>00,000</w:t>
            </w:r>
          </w:p>
        </w:tc>
      </w:tr>
      <w:tr w14:paraId="15A60BA5" w14:textId="77777777" w:rsidTr="00B50514">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tcPr>
          <w:p w:rsidR="00DF23D0" w14:paraId="65730F14" w14:textId="728C811E">
            <w:pPr>
              <w:rPr>
                <w:lang w:eastAsia="ja-JP"/>
              </w:rPr>
            </w:pPr>
            <w:r>
              <w:rPr>
                <w:lang w:eastAsia="ja-JP"/>
              </w:rPr>
              <w:t>Working Capital Fund and Overhead</w:t>
            </w:r>
          </w:p>
        </w:tc>
        <w:tc>
          <w:tcPr>
            <w:tcW w:w="0" w:type="auto"/>
            <w:tcBorders>
              <w:top w:val="single" w:sz="4" w:space="0" w:color="auto"/>
              <w:left w:val="single" w:sz="4" w:space="0" w:color="auto"/>
              <w:bottom w:val="single" w:sz="4" w:space="0" w:color="auto"/>
              <w:right w:val="single" w:sz="4" w:space="0" w:color="auto"/>
            </w:tcBorders>
            <w:vAlign w:val="center"/>
          </w:tcPr>
          <w:p w:rsidR="00DF23D0" w14:paraId="0A165420" w14:textId="04B4DC90">
            <w:pPr>
              <w:rPr>
                <w:lang w:eastAsia="ja-JP"/>
              </w:rPr>
            </w:pPr>
            <w:r>
              <w:rPr>
                <w:lang w:eastAsia="ja-JP"/>
              </w:rPr>
              <w:t>$100,000</w:t>
            </w:r>
          </w:p>
        </w:tc>
      </w:tr>
      <w:tr w14:paraId="28D4D227" w14:textId="77777777" w:rsidTr="009B4AE1">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hideMark/>
          </w:tcPr>
          <w:p w:rsidR="00DF23D0" w:rsidP="009B4AE1" w14:paraId="01439C5B" w14:textId="77777777">
            <w:pPr>
              <w:rPr>
                <w:lang w:eastAsia="ja-JP"/>
              </w:rPr>
            </w:pPr>
            <w:r>
              <w:rPr>
                <w:lang w:eastAsia="ja-JP"/>
              </w:rPr>
              <w:t>Travel</w:t>
            </w:r>
          </w:p>
        </w:tc>
        <w:tc>
          <w:tcPr>
            <w:tcW w:w="0" w:type="auto"/>
            <w:tcBorders>
              <w:top w:val="single" w:sz="4" w:space="0" w:color="auto"/>
              <w:left w:val="single" w:sz="4" w:space="0" w:color="auto"/>
              <w:bottom w:val="single" w:sz="4" w:space="0" w:color="auto"/>
              <w:right w:val="single" w:sz="4" w:space="0" w:color="auto"/>
            </w:tcBorders>
            <w:vAlign w:val="center"/>
            <w:hideMark/>
          </w:tcPr>
          <w:p w:rsidR="00DF23D0" w:rsidP="009B4AE1" w14:paraId="19D20349" w14:textId="77777777">
            <w:pPr>
              <w:rPr>
                <w:lang w:eastAsia="ja-JP"/>
              </w:rPr>
            </w:pPr>
            <w:r>
              <w:rPr>
                <w:lang w:eastAsia="ja-JP"/>
              </w:rPr>
              <w:t>$50,000</w:t>
            </w:r>
          </w:p>
        </w:tc>
      </w:tr>
      <w:tr w14:paraId="4E9DCDE4" w14:textId="77777777" w:rsidTr="00B50514">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50514" w14:paraId="4FE8FE4C" w14:textId="77777777">
            <w:pPr>
              <w:pStyle w:val="BodyText"/>
              <w:rPr>
                <w:b/>
                <w:bCs/>
                <w:sz w:val="24"/>
                <w:szCs w:val="24"/>
                <w:lang w:eastAsia="ja-JP"/>
              </w:rPr>
            </w:pPr>
            <w:r>
              <w:rPr>
                <w:b/>
                <w:bCs/>
                <w:sz w:val="24"/>
                <w:szCs w:val="24"/>
                <w:lang w:eastAsia="ja-JP"/>
              </w:rPr>
              <w:t>Total</w:t>
            </w:r>
          </w:p>
        </w:tc>
        <w:tc>
          <w:tcPr>
            <w:tcW w:w="0" w:type="auto"/>
            <w:tcBorders>
              <w:top w:val="single" w:sz="4" w:space="0" w:color="auto"/>
              <w:left w:val="single" w:sz="4" w:space="0" w:color="auto"/>
              <w:bottom w:val="single" w:sz="4" w:space="0" w:color="auto"/>
              <w:right w:val="single" w:sz="4" w:space="0" w:color="auto"/>
            </w:tcBorders>
            <w:hideMark/>
          </w:tcPr>
          <w:p w:rsidR="00B50514" w14:paraId="38707DFB" w14:textId="43BDB3ED">
            <w:pPr>
              <w:pStyle w:val="BodyText"/>
              <w:rPr>
                <w:b/>
                <w:bCs/>
                <w:sz w:val="24"/>
                <w:szCs w:val="24"/>
                <w:lang w:eastAsia="ja-JP"/>
              </w:rPr>
            </w:pPr>
            <w:r>
              <w:rPr>
                <w:b/>
                <w:bCs/>
                <w:sz w:val="24"/>
                <w:szCs w:val="24"/>
                <w:lang w:eastAsia="ja-JP"/>
              </w:rPr>
              <w:t>$1,118,813</w:t>
            </w:r>
          </w:p>
        </w:tc>
      </w:tr>
    </w:tbl>
    <w:p w:rsidR="00681697" w:rsidRPr="00622CA6" w14:paraId="14631D62" w14:textId="77777777">
      <w:pPr>
        <w:rPr>
          <w:sz w:val="24"/>
        </w:rPr>
      </w:pPr>
    </w:p>
    <w:p w:rsidR="007B3A70" w:rsidRPr="00622CA6" w14:paraId="396AF9DD" w14:textId="77777777">
      <w:pPr>
        <w:rPr>
          <w:sz w:val="24"/>
        </w:rPr>
      </w:pPr>
      <w:r w:rsidRPr="00622CA6">
        <w:rPr>
          <w:b/>
          <w:bCs/>
          <w:sz w:val="24"/>
        </w:rPr>
        <w:t xml:space="preserve">15. Explain the reasons for any program changes or adjustments in Items 13 or 14 of OMB </w:t>
      </w:r>
      <w:r w:rsidRPr="00622CA6">
        <w:rPr>
          <w:b/>
          <w:bCs/>
          <w:sz w:val="24"/>
        </w:rPr>
        <w:t>83-I</w:t>
      </w:r>
      <w:r w:rsidRPr="00622CA6">
        <w:rPr>
          <w:sz w:val="24"/>
        </w:rPr>
        <w:t>.</w:t>
      </w:r>
    </w:p>
    <w:p w:rsidR="007B3A70" w:rsidRPr="00622CA6" w14:paraId="58007524" w14:textId="77777777">
      <w:pPr>
        <w:ind w:firstLine="6480"/>
        <w:rPr>
          <w:sz w:val="24"/>
        </w:rPr>
      </w:pPr>
    </w:p>
    <w:p w:rsidR="007B3A70" w:rsidRPr="00622CA6" w14:paraId="249AC876" w14:textId="37B9007B">
      <w:pPr>
        <w:rPr>
          <w:sz w:val="24"/>
        </w:rPr>
      </w:pPr>
      <w:r w:rsidRPr="00622CA6">
        <w:rPr>
          <w:sz w:val="24"/>
        </w:rPr>
        <w:t>The</w:t>
      </w:r>
      <w:r w:rsidRPr="00622CA6" w:rsidR="00685C90">
        <w:rPr>
          <w:sz w:val="24"/>
        </w:rPr>
        <w:t xml:space="preserve">re are no program changes or adjustments. </w:t>
      </w:r>
    </w:p>
    <w:p w:rsidR="004B4451" w:rsidRPr="00622CA6" w14:paraId="61091D4C" w14:textId="77777777">
      <w:pPr>
        <w:rPr>
          <w:b/>
          <w:bCs/>
          <w:sz w:val="24"/>
        </w:rPr>
      </w:pPr>
    </w:p>
    <w:p w:rsidR="007B3A70" w:rsidRPr="00622CA6" w14:paraId="35B5E2EC" w14:textId="77777777">
      <w:pPr>
        <w:rPr>
          <w:sz w:val="24"/>
        </w:rPr>
      </w:pPr>
      <w:r w:rsidRPr="00622CA6">
        <w:rPr>
          <w:b/>
          <w:bCs/>
          <w:sz w:val="24"/>
        </w:rPr>
        <w:t>16.  Is the information received published?</w:t>
      </w:r>
    </w:p>
    <w:p w:rsidR="007B3A70" w:rsidRPr="00622CA6" w14:paraId="1DCF4A4F" w14:textId="77777777">
      <w:pPr>
        <w:rPr>
          <w:sz w:val="24"/>
        </w:rPr>
      </w:pPr>
    </w:p>
    <w:p w:rsidR="004B4451" w14:paraId="433347CE" w14:textId="3E7120D4">
      <w:pPr>
        <w:rPr>
          <w:sz w:val="24"/>
        </w:rPr>
      </w:pPr>
      <w:r>
        <w:rPr>
          <w:sz w:val="24"/>
        </w:rPr>
        <w:t xml:space="preserve">BTS will publish aggregate statistics and reports as well as data visualizations. </w:t>
      </w:r>
      <w:r w:rsidR="00B50514">
        <w:rPr>
          <w:sz w:val="24"/>
        </w:rPr>
        <w:t>BTS</w:t>
      </w:r>
      <w:r w:rsidRPr="00B50514" w:rsidR="00B50514">
        <w:rPr>
          <w:sz w:val="24"/>
        </w:rPr>
        <w:t xml:space="preserve"> will </w:t>
      </w:r>
      <w:r>
        <w:rPr>
          <w:sz w:val="24"/>
        </w:rPr>
        <w:t xml:space="preserve">also </w:t>
      </w:r>
      <w:r w:rsidRPr="00B50514" w:rsidR="00B50514">
        <w:rPr>
          <w:sz w:val="24"/>
        </w:rPr>
        <w:t xml:space="preserve">provide </w:t>
      </w:r>
      <w:r>
        <w:rPr>
          <w:sz w:val="24"/>
        </w:rPr>
        <w:t xml:space="preserve">company-specific </w:t>
      </w:r>
      <w:r w:rsidRPr="00B50514" w:rsidR="00B50514">
        <w:rPr>
          <w:sz w:val="24"/>
        </w:rPr>
        <w:t xml:space="preserve">statistics and visualizations </w:t>
      </w:r>
      <w:r>
        <w:rPr>
          <w:sz w:val="24"/>
        </w:rPr>
        <w:t xml:space="preserve">to that company </w:t>
      </w:r>
      <w:r w:rsidRPr="00B50514" w:rsidR="00B50514">
        <w:rPr>
          <w:sz w:val="24"/>
        </w:rPr>
        <w:t xml:space="preserve">on a dashboard through a secure online portal. A public-facing website will also be developed and maintained to share information about </w:t>
      </w:r>
      <w:r>
        <w:rPr>
          <w:sz w:val="24"/>
        </w:rPr>
        <w:t>SafeMTS</w:t>
      </w:r>
      <w:r w:rsidR="00DF23D0">
        <w:rPr>
          <w:sz w:val="24"/>
        </w:rPr>
        <w:t xml:space="preserve"> and the aggregate reports</w:t>
      </w:r>
      <w:r w:rsidRPr="00B50514" w:rsidR="00B50514">
        <w:rPr>
          <w:sz w:val="24"/>
        </w:rPr>
        <w:t xml:space="preserve"> with all stakeholders including members of the public.</w:t>
      </w:r>
    </w:p>
    <w:p w:rsidR="00B50514" w:rsidRPr="00622CA6" w14:paraId="317D6AFB" w14:textId="77777777">
      <w:pPr>
        <w:rPr>
          <w:sz w:val="24"/>
        </w:rPr>
      </w:pPr>
    </w:p>
    <w:p w:rsidR="007B3A70" w:rsidRPr="00622CA6" w14:paraId="215671EB" w14:textId="77777777">
      <w:pPr>
        <w:numPr>
          <w:ilvl w:val="0"/>
          <w:numId w:val="6"/>
        </w:numPr>
        <w:rPr>
          <w:sz w:val="24"/>
        </w:rPr>
      </w:pPr>
      <w:r w:rsidRPr="00622CA6">
        <w:rPr>
          <w:b/>
          <w:sz w:val="24"/>
        </w:rPr>
        <w:t>Is the agency seeking approval not to display the e</w:t>
      </w:r>
      <w:r w:rsidRPr="00622CA6" w:rsidR="00D87D4C">
        <w:rPr>
          <w:b/>
          <w:sz w:val="24"/>
        </w:rPr>
        <w:t>xpiration date for OMB approval?</w:t>
      </w:r>
      <w:r w:rsidRPr="00622CA6" w:rsidR="000A0BF8">
        <w:rPr>
          <w:b/>
          <w:sz w:val="24"/>
        </w:rPr>
        <w:t xml:space="preserve">  </w:t>
      </w:r>
    </w:p>
    <w:p w:rsidR="00E551B1" w:rsidRPr="00622CA6" w14:paraId="0C5D142C" w14:textId="77777777">
      <w:pPr>
        <w:rPr>
          <w:sz w:val="24"/>
        </w:rPr>
      </w:pPr>
    </w:p>
    <w:p w:rsidR="007B3A70" w:rsidRPr="00622CA6" w14:paraId="69DBA09E" w14:textId="77777777">
      <w:pPr>
        <w:rPr>
          <w:sz w:val="24"/>
        </w:rPr>
      </w:pPr>
      <w:r w:rsidRPr="00622CA6">
        <w:rPr>
          <w:sz w:val="24"/>
        </w:rPr>
        <w:t>No.</w:t>
      </w:r>
    </w:p>
    <w:p w:rsidR="00521812" w:rsidRPr="00622CA6" w14:paraId="29ADB5ED" w14:textId="77777777">
      <w:pPr>
        <w:rPr>
          <w:sz w:val="24"/>
        </w:rPr>
      </w:pPr>
    </w:p>
    <w:p w:rsidR="00521812" w:rsidRPr="00622CA6" w:rsidP="00521812" w14:paraId="0829077D" w14:textId="77777777">
      <w:pPr>
        <w:pStyle w:val="ListParagraph"/>
        <w:numPr>
          <w:ilvl w:val="0"/>
          <w:numId w:val="6"/>
        </w:numPr>
        <w:rPr>
          <w:rFonts w:ascii="Times New Roman" w:hAnsi="Times New Roman"/>
          <w:b/>
          <w:sz w:val="24"/>
          <w:szCs w:val="24"/>
        </w:rPr>
      </w:pPr>
      <w:r w:rsidRPr="00622CA6">
        <w:rPr>
          <w:rFonts w:ascii="Times New Roman" w:hAnsi="Times New Roman"/>
          <w:sz w:val="24"/>
          <w:szCs w:val="24"/>
        </w:rPr>
        <w:t xml:space="preserve"> </w:t>
      </w:r>
      <w:r w:rsidRPr="00622CA6">
        <w:rPr>
          <w:rFonts w:ascii="Times New Roman" w:hAnsi="Times New Roman"/>
          <w:b/>
          <w:sz w:val="24"/>
          <w:szCs w:val="24"/>
        </w:rPr>
        <w:t xml:space="preserve">Explain each exception to the certification statement identified in Item 19, “Certification for paperwork reduction act submissions” of OMB Form </w:t>
      </w:r>
      <w:r w:rsidRPr="00622CA6" w:rsidR="00D751DD">
        <w:rPr>
          <w:rFonts w:ascii="Times New Roman" w:hAnsi="Times New Roman"/>
          <w:b/>
          <w:sz w:val="24"/>
          <w:szCs w:val="24"/>
        </w:rPr>
        <w:br/>
      </w:r>
      <w:r w:rsidRPr="00622CA6">
        <w:rPr>
          <w:rFonts w:ascii="Times New Roman" w:hAnsi="Times New Roman"/>
          <w:b/>
          <w:sz w:val="24"/>
          <w:szCs w:val="24"/>
        </w:rPr>
        <w:t>83-I.</w:t>
      </w:r>
    </w:p>
    <w:p w:rsidR="00E551B1" w:rsidRPr="00622CA6" w:rsidP="00E551B1" w14:paraId="2910F757" w14:textId="77777777">
      <w:pPr>
        <w:rPr>
          <w:sz w:val="24"/>
        </w:rPr>
      </w:pPr>
    </w:p>
    <w:p w:rsidR="00521812" w:rsidRPr="00622CA6" w:rsidP="00E551B1" w14:paraId="0AED8F8A" w14:textId="77777777">
      <w:pPr>
        <w:rPr>
          <w:sz w:val="24"/>
        </w:rPr>
      </w:pPr>
      <w:r w:rsidRPr="00622CA6">
        <w:rPr>
          <w:sz w:val="24"/>
        </w:rPr>
        <w:t>None</w:t>
      </w:r>
      <w:r w:rsidRPr="00622CA6" w:rsidR="00D751DD">
        <w:rPr>
          <w:sz w:val="24"/>
        </w:rPr>
        <w:t>.</w:t>
      </w:r>
    </w:p>
    <w:p w:rsidR="00857AB4" w:rsidRPr="00622CA6" w14:paraId="56A846D2" w14:textId="77777777">
      <w:pPr>
        <w:rPr>
          <w:sz w:val="24"/>
        </w:rPr>
      </w:pPr>
    </w:p>
    <w:p w:rsidR="00370662" w:rsidRPr="00622CA6" w14:paraId="10B1CE25" w14:textId="77777777">
      <w:pPr>
        <w:rPr>
          <w:sz w:val="24"/>
        </w:rPr>
      </w:pPr>
    </w:p>
    <w:sectPr w:rsidSect="008253F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E24" w14:paraId="171B2BEF" w14:textId="77777777">
    <w:pPr>
      <w:spacing w:line="240" w:lineRule="exact"/>
    </w:pPr>
  </w:p>
  <w:p w:rsidR="003A0E24" w14:paraId="08714000"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A478B">
      <w:rPr>
        <w:noProof/>
        <w:sz w:val="24"/>
      </w:rPr>
      <w:t>1</w:t>
    </w:r>
    <w:r>
      <w:rPr>
        <w:sz w:val="24"/>
      </w:rPr>
      <w:fldChar w:fldCharType="end"/>
    </w:r>
  </w:p>
  <w:p w:rsidR="003A0E24" w14:paraId="7BB1011C" w14:textId="77777777">
    <w:pPr>
      <w:rPr>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E22" w14:paraId="76EF75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BF03A40"/>
    <w:lvl w:ilvl="0">
      <w:start w:val="0"/>
      <w:numFmt w:val="decimal"/>
      <w:lvlText w:val="*"/>
      <w:lvlJc w:val="left"/>
    </w:lvl>
  </w:abstractNum>
  <w:abstractNum w:abstractNumId="1">
    <w:nsid w:val="0948420A"/>
    <w:multiLevelType w:val="hybridMultilevel"/>
    <w:tmpl w:val="B6CC1E78"/>
    <w:lvl w:ilvl="0">
      <w:start w:val="1"/>
      <w:numFmt w:val="upperLetter"/>
      <w:lvlText w:val="%1."/>
      <w:lvlJc w:val="left"/>
      <w:pPr>
        <w:ind w:left="720" w:hanging="360"/>
      </w:pPr>
      <w:rPr>
        <w:rFonts w:hint="default"/>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1B086B"/>
    <w:multiLevelType w:val="hybridMultilevel"/>
    <w:tmpl w:val="2402C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A1546F"/>
    <w:multiLevelType w:val="hybridMultilevel"/>
    <w:tmpl w:val="BD8AC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1497B1D"/>
    <w:multiLevelType w:val="hybridMultilevel"/>
    <w:tmpl w:val="B2DC3B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D5A169D"/>
    <w:multiLevelType w:val="hybridMultilevel"/>
    <w:tmpl w:val="9484D165"/>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6D80549"/>
    <w:multiLevelType w:val="hybridMultilevel"/>
    <w:tmpl w:val="D3563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EDC76E2"/>
    <w:multiLevelType w:val="hybridMultilevel"/>
    <w:tmpl w:val="00BC8F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21F147E"/>
    <w:multiLevelType w:val="hybridMultilevel"/>
    <w:tmpl w:val="D45429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697764"/>
    <w:multiLevelType w:val="hybridMultilevel"/>
    <w:tmpl w:val="27C078E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4235094"/>
    <w:multiLevelType w:val="hybridMultilevel"/>
    <w:tmpl w:val="DB56FD3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7347AB7"/>
    <w:multiLevelType w:val="hybridMultilevel"/>
    <w:tmpl w:val="06124C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91E66D9"/>
    <w:multiLevelType w:val="hybridMultilevel"/>
    <w:tmpl w:val="270C40A0"/>
    <w:lvl w:ilvl="0">
      <w:start w:val="17"/>
      <w:numFmt w:val="decimal"/>
      <w:lvlText w:val="%1."/>
      <w:lvlJc w:val="left"/>
      <w:pPr>
        <w:tabs>
          <w:tab w:val="num" w:pos="450"/>
        </w:tabs>
        <w:ind w:left="450" w:hanging="450"/>
      </w:pPr>
      <w:rPr>
        <w:rFonts w:hint="default"/>
        <w:b/>
      </w:rPr>
    </w:lvl>
    <w:lvl w:ilvl="1">
      <w:start w:val="2"/>
      <w:numFmt w:val="upperLetter"/>
      <w:lvlText w:val="%2."/>
      <w:lvlJc w:val="left"/>
      <w:pPr>
        <w:tabs>
          <w:tab w:val="num" w:pos="1170"/>
        </w:tabs>
        <w:ind w:left="1170" w:hanging="360"/>
      </w:pPr>
      <w:rPr>
        <w:rFonts w:hint="default"/>
        <w:u w:val="none"/>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7BB10AE9"/>
    <w:multiLevelType w:val="hybridMultilevel"/>
    <w:tmpl w:val="4BA2F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8263007">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2" w16cid:durableId="19745088">
    <w:abstractNumId w:val="7"/>
  </w:num>
  <w:num w:numId="3" w16cid:durableId="411591115">
    <w:abstractNumId w:val="3"/>
  </w:num>
  <w:num w:numId="4" w16cid:durableId="537397353">
    <w:abstractNumId w:val="4"/>
  </w:num>
  <w:num w:numId="5" w16cid:durableId="75786331">
    <w:abstractNumId w:val="11"/>
  </w:num>
  <w:num w:numId="6" w16cid:durableId="1296761440">
    <w:abstractNumId w:val="12"/>
  </w:num>
  <w:num w:numId="7" w16cid:durableId="1149131865">
    <w:abstractNumId w:val="9"/>
  </w:num>
  <w:num w:numId="8" w16cid:durableId="444427980">
    <w:abstractNumId w:val="5"/>
  </w:num>
  <w:num w:numId="9" w16cid:durableId="461390303">
    <w:abstractNumId w:val="10"/>
  </w:num>
  <w:num w:numId="10" w16cid:durableId="1963682683">
    <w:abstractNumId w:val="1"/>
  </w:num>
  <w:num w:numId="11" w16cid:durableId="1545366039">
    <w:abstractNumId w:val="8"/>
  </w:num>
  <w:num w:numId="12" w16cid:durableId="17143048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846940">
    <w:abstractNumId w:val="6"/>
  </w:num>
  <w:num w:numId="14" w16cid:durableId="74719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D1"/>
    <w:rsid w:val="00000021"/>
    <w:rsid w:val="00000A5F"/>
    <w:rsid w:val="00003EBD"/>
    <w:rsid w:val="0000463D"/>
    <w:rsid w:val="00007361"/>
    <w:rsid w:val="00010C4C"/>
    <w:rsid w:val="00012720"/>
    <w:rsid w:val="00015EDA"/>
    <w:rsid w:val="00020DEC"/>
    <w:rsid w:val="000213CF"/>
    <w:rsid w:val="0002170D"/>
    <w:rsid w:val="00024874"/>
    <w:rsid w:val="000345E6"/>
    <w:rsid w:val="00036CAF"/>
    <w:rsid w:val="00040D74"/>
    <w:rsid w:val="00053373"/>
    <w:rsid w:val="00053510"/>
    <w:rsid w:val="00054739"/>
    <w:rsid w:val="000576E5"/>
    <w:rsid w:val="00067837"/>
    <w:rsid w:val="00075CD6"/>
    <w:rsid w:val="00076B05"/>
    <w:rsid w:val="00077BA3"/>
    <w:rsid w:val="00077C29"/>
    <w:rsid w:val="0008137C"/>
    <w:rsid w:val="00084C26"/>
    <w:rsid w:val="00085C20"/>
    <w:rsid w:val="00087284"/>
    <w:rsid w:val="000873FD"/>
    <w:rsid w:val="00092966"/>
    <w:rsid w:val="00094206"/>
    <w:rsid w:val="00094E2F"/>
    <w:rsid w:val="00096826"/>
    <w:rsid w:val="00096BAF"/>
    <w:rsid w:val="00097B33"/>
    <w:rsid w:val="000A0BF8"/>
    <w:rsid w:val="000A627F"/>
    <w:rsid w:val="000B35FD"/>
    <w:rsid w:val="000C088F"/>
    <w:rsid w:val="000C4FDF"/>
    <w:rsid w:val="000C51F2"/>
    <w:rsid w:val="000D3698"/>
    <w:rsid w:val="000D39B4"/>
    <w:rsid w:val="000D55DA"/>
    <w:rsid w:val="000D5E55"/>
    <w:rsid w:val="000D66B3"/>
    <w:rsid w:val="000E4D35"/>
    <w:rsid w:val="000F0E59"/>
    <w:rsid w:val="000F3722"/>
    <w:rsid w:val="000F7E14"/>
    <w:rsid w:val="001073CC"/>
    <w:rsid w:val="00107851"/>
    <w:rsid w:val="00113C02"/>
    <w:rsid w:val="00117EB3"/>
    <w:rsid w:val="00121D05"/>
    <w:rsid w:val="001258F6"/>
    <w:rsid w:val="001265D6"/>
    <w:rsid w:val="0014349D"/>
    <w:rsid w:val="001442FC"/>
    <w:rsid w:val="00146A50"/>
    <w:rsid w:val="00152C28"/>
    <w:rsid w:val="00153641"/>
    <w:rsid w:val="001555AB"/>
    <w:rsid w:val="001569C0"/>
    <w:rsid w:val="0016392A"/>
    <w:rsid w:val="001673B3"/>
    <w:rsid w:val="00167ACE"/>
    <w:rsid w:val="00167E3C"/>
    <w:rsid w:val="00172C9D"/>
    <w:rsid w:val="0017474B"/>
    <w:rsid w:val="00180C3F"/>
    <w:rsid w:val="001810D2"/>
    <w:rsid w:val="001823D5"/>
    <w:rsid w:val="001861A7"/>
    <w:rsid w:val="00187D5C"/>
    <w:rsid w:val="00190D95"/>
    <w:rsid w:val="001971B7"/>
    <w:rsid w:val="001A0136"/>
    <w:rsid w:val="001A46C8"/>
    <w:rsid w:val="001A4DCC"/>
    <w:rsid w:val="001B1D69"/>
    <w:rsid w:val="001B27AD"/>
    <w:rsid w:val="001B4141"/>
    <w:rsid w:val="001B56F2"/>
    <w:rsid w:val="001B5C8F"/>
    <w:rsid w:val="001D1592"/>
    <w:rsid w:val="001D1A45"/>
    <w:rsid w:val="001D202A"/>
    <w:rsid w:val="001D4DF8"/>
    <w:rsid w:val="001D7A5D"/>
    <w:rsid w:val="001E30C9"/>
    <w:rsid w:val="001E495A"/>
    <w:rsid w:val="001E61EE"/>
    <w:rsid w:val="001F01D9"/>
    <w:rsid w:val="001F26A5"/>
    <w:rsid w:val="001F2C8D"/>
    <w:rsid w:val="001F4308"/>
    <w:rsid w:val="002009B5"/>
    <w:rsid w:val="00202E91"/>
    <w:rsid w:val="00207423"/>
    <w:rsid w:val="00207998"/>
    <w:rsid w:val="002134B9"/>
    <w:rsid w:val="002156F1"/>
    <w:rsid w:val="00216F90"/>
    <w:rsid w:val="002266DB"/>
    <w:rsid w:val="0023083C"/>
    <w:rsid w:val="0023156B"/>
    <w:rsid w:val="002359AB"/>
    <w:rsid w:val="00237703"/>
    <w:rsid w:val="002405CF"/>
    <w:rsid w:val="00245A8A"/>
    <w:rsid w:val="00246E27"/>
    <w:rsid w:val="00250FAB"/>
    <w:rsid w:val="002535C2"/>
    <w:rsid w:val="00260DBC"/>
    <w:rsid w:val="00266346"/>
    <w:rsid w:val="002701BA"/>
    <w:rsid w:val="002708DC"/>
    <w:rsid w:val="00271B59"/>
    <w:rsid w:val="00272F55"/>
    <w:rsid w:val="00277044"/>
    <w:rsid w:val="0027755D"/>
    <w:rsid w:val="00282926"/>
    <w:rsid w:val="0028392E"/>
    <w:rsid w:val="00284FB4"/>
    <w:rsid w:val="00287130"/>
    <w:rsid w:val="00292E53"/>
    <w:rsid w:val="00293C83"/>
    <w:rsid w:val="00296393"/>
    <w:rsid w:val="00296B08"/>
    <w:rsid w:val="00297132"/>
    <w:rsid w:val="002A2D47"/>
    <w:rsid w:val="002A4E21"/>
    <w:rsid w:val="002A5672"/>
    <w:rsid w:val="002A7701"/>
    <w:rsid w:val="002A781F"/>
    <w:rsid w:val="002B1E1B"/>
    <w:rsid w:val="002B6508"/>
    <w:rsid w:val="002C0DF1"/>
    <w:rsid w:val="002C26F7"/>
    <w:rsid w:val="002C3010"/>
    <w:rsid w:val="002C6BEB"/>
    <w:rsid w:val="002C720B"/>
    <w:rsid w:val="002D57CE"/>
    <w:rsid w:val="002D6BCD"/>
    <w:rsid w:val="002E1297"/>
    <w:rsid w:val="002E2424"/>
    <w:rsid w:val="002E4126"/>
    <w:rsid w:val="002F02AE"/>
    <w:rsid w:val="002F06DE"/>
    <w:rsid w:val="002F135D"/>
    <w:rsid w:val="002F4159"/>
    <w:rsid w:val="002F56B1"/>
    <w:rsid w:val="0030275D"/>
    <w:rsid w:val="0030365F"/>
    <w:rsid w:val="00305B79"/>
    <w:rsid w:val="00305FDA"/>
    <w:rsid w:val="003079B2"/>
    <w:rsid w:val="00310843"/>
    <w:rsid w:val="00313D04"/>
    <w:rsid w:val="00314807"/>
    <w:rsid w:val="003202F4"/>
    <w:rsid w:val="003209DD"/>
    <w:rsid w:val="00325178"/>
    <w:rsid w:val="00325571"/>
    <w:rsid w:val="003255FD"/>
    <w:rsid w:val="00327199"/>
    <w:rsid w:val="00330828"/>
    <w:rsid w:val="00340B0D"/>
    <w:rsid w:val="00342B79"/>
    <w:rsid w:val="00345AE0"/>
    <w:rsid w:val="003521CE"/>
    <w:rsid w:val="00363589"/>
    <w:rsid w:val="003659A5"/>
    <w:rsid w:val="00370662"/>
    <w:rsid w:val="00373B55"/>
    <w:rsid w:val="00373E01"/>
    <w:rsid w:val="00376DBE"/>
    <w:rsid w:val="003926B7"/>
    <w:rsid w:val="0039665F"/>
    <w:rsid w:val="003A06DB"/>
    <w:rsid w:val="003A0E24"/>
    <w:rsid w:val="003A6150"/>
    <w:rsid w:val="003A794B"/>
    <w:rsid w:val="003B1C54"/>
    <w:rsid w:val="003B2920"/>
    <w:rsid w:val="003B3174"/>
    <w:rsid w:val="003B323A"/>
    <w:rsid w:val="003B53DA"/>
    <w:rsid w:val="003B69B4"/>
    <w:rsid w:val="003C12EE"/>
    <w:rsid w:val="003C41F6"/>
    <w:rsid w:val="003C6E58"/>
    <w:rsid w:val="003D1288"/>
    <w:rsid w:val="003D197D"/>
    <w:rsid w:val="003E0C56"/>
    <w:rsid w:val="003E2161"/>
    <w:rsid w:val="003E3A72"/>
    <w:rsid w:val="003E41E5"/>
    <w:rsid w:val="003E4379"/>
    <w:rsid w:val="003E5358"/>
    <w:rsid w:val="003F1AC8"/>
    <w:rsid w:val="003F5667"/>
    <w:rsid w:val="003F6279"/>
    <w:rsid w:val="00400B67"/>
    <w:rsid w:val="004206C4"/>
    <w:rsid w:val="00432ABB"/>
    <w:rsid w:val="00436035"/>
    <w:rsid w:val="00436CF8"/>
    <w:rsid w:val="004401C0"/>
    <w:rsid w:val="00440AA7"/>
    <w:rsid w:val="00444891"/>
    <w:rsid w:val="00455E7F"/>
    <w:rsid w:val="00457379"/>
    <w:rsid w:val="00464EB3"/>
    <w:rsid w:val="00465502"/>
    <w:rsid w:val="004729F0"/>
    <w:rsid w:val="00482B8F"/>
    <w:rsid w:val="00486B29"/>
    <w:rsid w:val="00487787"/>
    <w:rsid w:val="00490C8C"/>
    <w:rsid w:val="004914D0"/>
    <w:rsid w:val="00491796"/>
    <w:rsid w:val="0049274B"/>
    <w:rsid w:val="00495220"/>
    <w:rsid w:val="00497FEA"/>
    <w:rsid w:val="004A0118"/>
    <w:rsid w:val="004A0A66"/>
    <w:rsid w:val="004A188E"/>
    <w:rsid w:val="004A350D"/>
    <w:rsid w:val="004A7A8D"/>
    <w:rsid w:val="004B14EF"/>
    <w:rsid w:val="004B4451"/>
    <w:rsid w:val="004C0DB8"/>
    <w:rsid w:val="004C2725"/>
    <w:rsid w:val="004C2CE3"/>
    <w:rsid w:val="004C31C0"/>
    <w:rsid w:val="004C5204"/>
    <w:rsid w:val="004C6BC7"/>
    <w:rsid w:val="004D5266"/>
    <w:rsid w:val="004D6E76"/>
    <w:rsid w:val="004D6FCF"/>
    <w:rsid w:val="004E05E1"/>
    <w:rsid w:val="004E35F8"/>
    <w:rsid w:val="004E5C70"/>
    <w:rsid w:val="004E7761"/>
    <w:rsid w:val="004E7C36"/>
    <w:rsid w:val="004F0F4E"/>
    <w:rsid w:val="004F1C63"/>
    <w:rsid w:val="004F422F"/>
    <w:rsid w:val="004F47D8"/>
    <w:rsid w:val="004F523B"/>
    <w:rsid w:val="00501805"/>
    <w:rsid w:val="00505B77"/>
    <w:rsid w:val="0051218D"/>
    <w:rsid w:val="0051261F"/>
    <w:rsid w:val="005147EE"/>
    <w:rsid w:val="00521812"/>
    <w:rsid w:val="00521BBF"/>
    <w:rsid w:val="00524783"/>
    <w:rsid w:val="005312CB"/>
    <w:rsid w:val="00531651"/>
    <w:rsid w:val="00532FC5"/>
    <w:rsid w:val="00542BA8"/>
    <w:rsid w:val="00542E09"/>
    <w:rsid w:val="00555FD7"/>
    <w:rsid w:val="005579FF"/>
    <w:rsid w:val="00572A30"/>
    <w:rsid w:val="005741AB"/>
    <w:rsid w:val="0058211A"/>
    <w:rsid w:val="00592D18"/>
    <w:rsid w:val="00593196"/>
    <w:rsid w:val="00594BE9"/>
    <w:rsid w:val="005973EC"/>
    <w:rsid w:val="005A0D46"/>
    <w:rsid w:val="005A76C2"/>
    <w:rsid w:val="005A7CE3"/>
    <w:rsid w:val="005B1E97"/>
    <w:rsid w:val="005B74D1"/>
    <w:rsid w:val="005C2151"/>
    <w:rsid w:val="005C2556"/>
    <w:rsid w:val="005D4CE6"/>
    <w:rsid w:val="005D678B"/>
    <w:rsid w:val="005E0E1D"/>
    <w:rsid w:val="005E0F6E"/>
    <w:rsid w:val="005E6F22"/>
    <w:rsid w:val="005F5177"/>
    <w:rsid w:val="005F740E"/>
    <w:rsid w:val="00603FE1"/>
    <w:rsid w:val="00605200"/>
    <w:rsid w:val="006135ED"/>
    <w:rsid w:val="0061587A"/>
    <w:rsid w:val="00616E53"/>
    <w:rsid w:val="00617272"/>
    <w:rsid w:val="006211C6"/>
    <w:rsid w:val="00622CA6"/>
    <w:rsid w:val="00623BE2"/>
    <w:rsid w:val="00624BA1"/>
    <w:rsid w:val="0063131E"/>
    <w:rsid w:val="00643524"/>
    <w:rsid w:val="0064543C"/>
    <w:rsid w:val="00647C79"/>
    <w:rsid w:val="00652881"/>
    <w:rsid w:val="006530EF"/>
    <w:rsid w:val="00653F79"/>
    <w:rsid w:val="00654BCA"/>
    <w:rsid w:val="00660188"/>
    <w:rsid w:val="00665E40"/>
    <w:rsid w:val="00681697"/>
    <w:rsid w:val="00685C90"/>
    <w:rsid w:val="006869D9"/>
    <w:rsid w:val="00690E90"/>
    <w:rsid w:val="006931BA"/>
    <w:rsid w:val="006933D0"/>
    <w:rsid w:val="00695D52"/>
    <w:rsid w:val="006969D9"/>
    <w:rsid w:val="006A02B8"/>
    <w:rsid w:val="006A1406"/>
    <w:rsid w:val="006A5680"/>
    <w:rsid w:val="006A6372"/>
    <w:rsid w:val="006B0FFA"/>
    <w:rsid w:val="006B1BFE"/>
    <w:rsid w:val="006B3F7B"/>
    <w:rsid w:val="006B54FF"/>
    <w:rsid w:val="006C4049"/>
    <w:rsid w:val="006C5C37"/>
    <w:rsid w:val="006D1493"/>
    <w:rsid w:val="006D1B7E"/>
    <w:rsid w:val="006D299D"/>
    <w:rsid w:val="006D4B46"/>
    <w:rsid w:val="006D4DE1"/>
    <w:rsid w:val="006E0697"/>
    <w:rsid w:val="006E7E12"/>
    <w:rsid w:val="006E7E88"/>
    <w:rsid w:val="006F0D13"/>
    <w:rsid w:val="006F0E1D"/>
    <w:rsid w:val="006F20C0"/>
    <w:rsid w:val="006F3718"/>
    <w:rsid w:val="007001A5"/>
    <w:rsid w:val="00702E5B"/>
    <w:rsid w:val="007213BF"/>
    <w:rsid w:val="00726B21"/>
    <w:rsid w:val="00726BE1"/>
    <w:rsid w:val="00737C44"/>
    <w:rsid w:val="00741547"/>
    <w:rsid w:val="007438B9"/>
    <w:rsid w:val="00743A7B"/>
    <w:rsid w:val="007457D7"/>
    <w:rsid w:val="00752982"/>
    <w:rsid w:val="007529FE"/>
    <w:rsid w:val="007554A2"/>
    <w:rsid w:val="0075585D"/>
    <w:rsid w:val="00762A27"/>
    <w:rsid w:val="00762F63"/>
    <w:rsid w:val="00763A28"/>
    <w:rsid w:val="00765D93"/>
    <w:rsid w:val="00766D25"/>
    <w:rsid w:val="00766E98"/>
    <w:rsid w:val="007761A3"/>
    <w:rsid w:val="0078100D"/>
    <w:rsid w:val="0078580A"/>
    <w:rsid w:val="0078645E"/>
    <w:rsid w:val="007865E2"/>
    <w:rsid w:val="00790226"/>
    <w:rsid w:val="007907B1"/>
    <w:rsid w:val="00793CA1"/>
    <w:rsid w:val="007944A3"/>
    <w:rsid w:val="00796EAF"/>
    <w:rsid w:val="007A04B7"/>
    <w:rsid w:val="007A05E1"/>
    <w:rsid w:val="007A53D9"/>
    <w:rsid w:val="007B1E4F"/>
    <w:rsid w:val="007B202C"/>
    <w:rsid w:val="007B3A70"/>
    <w:rsid w:val="007B6EAF"/>
    <w:rsid w:val="007C133D"/>
    <w:rsid w:val="007C138C"/>
    <w:rsid w:val="007C5D0C"/>
    <w:rsid w:val="007C7718"/>
    <w:rsid w:val="007D35EE"/>
    <w:rsid w:val="007E2659"/>
    <w:rsid w:val="007E4AF3"/>
    <w:rsid w:val="007E6948"/>
    <w:rsid w:val="007E7004"/>
    <w:rsid w:val="007E7734"/>
    <w:rsid w:val="007F09B9"/>
    <w:rsid w:val="007F6434"/>
    <w:rsid w:val="00803680"/>
    <w:rsid w:val="00803B42"/>
    <w:rsid w:val="008063D5"/>
    <w:rsid w:val="00807FBB"/>
    <w:rsid w:val="00811BC6"/>
    <w:rsid w:val="008164DB"/>
    <w:rsid w:val="008179DF"/>
    <w:rsid w:val="00821542"/>
    <w:rsid w:val="008215BD"/>
    <w:rsid w:val="008250EE"/>
    <w:rsid w:val="008253F1"/>
    <w:rsid w:val="00826CA6"/>
    <w:rsid w:val="008317A6"/>
    <w:rsid w:val="00832D2E"/>
    <w:rsid w:val="008338AD"/>
    <w:rsid w:val="00836481"/>
    <w:rsid w:val="00850191"/>
    <w:rsid w:val="00850AD6"/>
    <w:rsid w:val="00851318"/>
    <w:rsid w:val="00852218"/>
    <w:rsid w:val="00855675"/>
    <w:rsid w:val="00855B6E"/>
    <w:rsid w:val="00857AB4"/>
    <w:rsid w:val="008607F3"/>
    <w:rsid w:val="00871CF9"/>
    <w:rsid w:val="00871D2E"/>
    <w:rsid w:val="008728A2"/>
    <w:rsid w:val="008732D5"/>
    <w:rsid w:val="008762CA"/>
    <w:rsid w:val="00896965"/>
    <w:rsid w:val="008970D7"/>
    <w:rsid w:val="00897B8C"/>
    <w:rsid w:val="008A1C85"/>
    <w:rsid w:val="008A3ECD"/>
    <w:rsid w:val="008A478B"/>
    <w:rsid w:val="008A500B"/>
    <w:rsid w:val="008A6278"/>
    <w:rsid w:val="008B094E"/>
    <w:rsid w:val="008B575F"/>
    <w:rsid w:val="008B5A40"/>
    <w:rsid w:val="008B7947"/>
    <w:rsid w:val="008C2596"/>
    <w:rsid w:val="008C4919"/>
    <w:rsid w:val="008C7B0A"/>
    <w:rsid w:val="008D49CA"/>
    <w:rsid w:val="008D5242"/>
    <w:rsid w:val="008D6993"/>
    <w:rsid w:val="008E19F1"/>
    <w:rsid w:val="008E21B5"/>
    <w:rsid w:val="008E391E"/>
    <w:rsid w:val="008E3E0D"/>
    <w:rsid w:val="008E561C"/>
    <w:rsid w:val="008E5CC9"/>
    <w:rsid w:val="008F194D"/>
    <w:rsid w:val="008F19EF"/>
    <w:rsid w:val="00900011"/>
    <w:rsid w:val="009048B9"/>
    <w:rsid w:val="0090604F"/>
    <w:rsid w:val="00915B12"/>
    <w:rsid w:val="00916169"/>
    <w:rsid w:val="0092111D"/>
    <w:rsid w:val="00924239"/>
    <w:rsid w:val="009407F5"/>
    <w:rsid w:val="00942BEB"/>
    <w:rsid w:val="009444A7"/>
    <w:rsid w:val="00944DD0"/>
    <w:rsid w:val="00954B25"/>
    <w:rsid w:val="009616C9"/>
    <w:rsid w:val="00964A1A"/>
    <w:rsid w:val="00965BE6"/>
    <w:rsid w:val="00974E79"/>
    <w:rsid w:val="00983A5E"/>
    <w:rsid w:val="00986A7B"/>
    <w:rsid w:val="00986DDF"/>
    <w:rsid w:val="0098740F"/>
    <w:rsid w:val="00992FDD"/>
    <w:rsid w:val="009A0AE1"/>
    <w:rsid w:val="009A42C7"/>
    <w:rsid w:val="009B08F8"/>
    <w:rsid w:val="009B1246"/>
    <w:rsid w:val="009B1A18"/>
    <w:rsid w:val="009B2CEF"/>
    <w:rsid w:val="009B4AE1"/>
    <w:rsid w:val="009B5FBC"/>
    <w:rsid w:val="009C2FEB"/>
    <w:rsid w:val="009C497B"/>
    <w:rsid w:val="009C58FD"/>
    <w:rsid w:val="009C7314"/>
    <w:rsid w:val="009D7351"/>
    <w:rsid w:val="009E1826"/>
    <w:rsid w:val="009E588E"/>
    <w:rsid w:val="009F0720"/>
    <w:rsid w:val="009F0A94"/>
    <w:rsid w:val="009F367B"/>
    <w:rsid w:val="009F5543"/>
    <w:rsid w:val="009F670B"/>
    <w:rsid w:val="009F6A84"/>
    <w:rsid w:val="009F7962"/>
    <w:rsid w:val="00A02A71"/>
    <w:rsid w:val="00A031CE"/>
    <w:rsid w:val="00A0613E"/>
    <w:rsid w:val="00A10BF6"/>
    <w:rsid w:val="00A11BBB"/>
    <w:rsid w:val="00A15540"/>
    <w:rsid w:val="00A15EDB"/>
    <w:rsid w:val="00A24B80"/>
    <w:rsid w:val="00A26548"/>
    <w:rsid w:val="00A4113A"/>
    <w:rsid w:val="00A44494"/>
    <w:rsid w:val="00A44CC6"/>
    <w:rsid w:val="00A47D4F"/>
    <w:rsid w:val="00A539C6"/>
    <w:rsid w:val="00A57259"/>
    <w:rsid w:val="00A57341"/>
    <w:rsid w:val="00A654EA"/>
    <w:rsid w:val="00A71994"/>
    <w:rsid w:val="00A737A8"/>
    <w:rsid w:val="00A74A6B"/>
    <w:rsid w:val="00A755E3"/>
    <w:rsid w:val="00A80D2A"/>
    <w:rsid w:val="00A813DE"/>
    <w:rsid w:val="00A851D6"/>
    <w:rsid w:val="00A87ED8"/>
    <w:rsid w:val="00A9034A"/>
    <w:rsid w:val="00A9271F"/>
    <w:rsid w:val="00A958DA"/>
    <w:rsid w:val="00A96743"/>
    <w:rsid w:val="00AA035F"/>
    <w:rsid w:val="00AA2473"/>
    <w:rsid w:val="00AA436C"/>
    <w:rsid w:val="00AB3D22"/>
    <w:rsid w:val="00AB5B06"/>
    <w:rsid w:val="00AD5113"/>
    <w:rsid w:val="00AD5255"/>
    <w:rsid w:val="00AE0A81"/>
    <w:rsid w:val="00AE21C7"/>
    <w:rsid w:val="00AE35C8"/>
    <w:rsid w:val="00AF0E48"/>
    <w:rsid w:val="00AF3057"/>
    <w:rsid w:val="00AF350C"/>
    <w:rsid w:val="00AF7C5A"/>
    <w:rsid w:val="00B03EB3"/>
    <w:rsid w:val="00B103C2"/>
    <w:rsid w:val="00B10AE8"/>
    <w:rsid w:val="00B11277"/>
    <w:rsid w:val="00B12BC4"/>
    <w:rsid w:val="00B22B2E"/>
    <w:rsid w:val="00B36664"/>
    <w:rsid w:val="00B502D6"/>
    <w:rsid w:val="00B50514"/>
    <w:rsid w:val="00B54FF2"/>
    <w:rsid w:val="00B56C95"/>
    <w:rsid w:val="00B57583"/>
    <w:rsid w:val="00B714E8"/>
    <w:rsid w:val="00B71947"/>
    <w:rsid w:val="00B83E17"/>
    <w:rsid w:val="00B85C46"/>
    <w:rsid w:val="00B93F29"/>
    <w:rsid w:val="00B96243"/>
    <w:rsid w:val="00BA2AA8"/>
    <w:rsid w:val="00BA3F27"/>
    <w:rsid w:val="00BB071A"/>
    <w:rsid w:val="00BB2129"/>
    <w:rsid w:val="00BC014F"/>
    <w:rsid w:val="00BC0C86"/>
    <w:rsid w:val="00BC14D6"/>
    <w:rsid w:val="00BC222D"/>
    <w:rsid w:val="00BC264D"/>
    <w:rsid w:val="00BC4019"/>
    <w:rsid w:val="00BC4FC7"/>
    <w:rsid w:val="00BC6D69"/>
    <w:rsid w:val="00BD65AE"/>
    <w:rsid w:val="00BE272D"/>
    <w:rsid w:val="00BE3446"/>
    <w:rsid w:val="00BE7DED"/>
    <w:rsid w:val="00BF4522"/>
    <w:rsid w:val="00BF63D5"/>
    <w:rsid w:val="00BF7476"/>
    <w:rsid w:val="00C01863"/>
    <w:rsid w:val="00C04D53"/>
    <w:rsid w:val="00C12334"/>
    <w:rsid w:val="00C12443"/>
    <w:rsid w:val="00C21D3B"/>
    <w:rsid w:val="00C25E3F"/>
    <w:rsid w:val="00C2601B"/>
    <w:rsid w:val="00C27831"/>
    <w:rsid w:val="00C30E04"/>
    <w:rsid w:val="00C33898"/>
    <w:rsid w:val="00C34868"/>
    <w:rsid w:val="00C35766"/>
    <w:rsid w:val="00C3769A"/>
    <w:rsid w:val="00C4374E"/>
    <w:rsid w:val="00C44283"/>
    <w:rsid w:val="00C464AD"/>
    <w:rsid w:val="00C47ACD"/>
    <w:rsid w:val="00C51013"/>
    <w:rsid w:val="00C56E43"/>
    <w:rsid w:val="00C57D75"/>
    <w:rsid w:val="00C650EE"/>
    <w:rsid w:val="00C6572C"/>
    <w:rsid w:val="00C67A60"/>
    <w:rsid w:val="00C748D7"/>
    <w:rsid w:val="00C74CEB"/>
    <w:rsid w:val="00C7734A"/>
    <w:rsid w:val="00C80FD0"/>
    <w:rsid w:val="00C82D47"/>
    <w:rsid w:val="00C83116"/>
    <w:rsid w:val="00C91549"/>
    <w:rsid w:val="00CA4D55"/>
    <w:rsid w:val="00CA6B10"/>
    <w:rsid w:val="00CA7E7C"/>
    <w:rsid w:val="00CB4527"/>
    <w:rsid w:val="00CB497D"/>
    <w:rsid w:val="00CB4D45"/>
    <w:rsid w:val="00CC17B2"/>
    <w:rsid w:val="00CC777E"/>
    <w:rsid w:val="00CD1916"/>
    <w:rsid w:val="00CD2D63"/>
    <w:rsid w:val="00CD7AA0"/>
    <w:rsid w:val="00CE7BE6"/>
    <w:rsid w:val="00CF1E1B"/>
    <w:rsid w:val="00CF343F"/>
    <w:rsid w:val="00CF3878"/>
    <w:rsid w:val="00D244C7"/>
    <w:rsid w:val="00D322D2"/>
    <w:rsid w:val="00D325CD"/>
    <w:rsid w:val="00D34760"/>
    <w:rsid w:val="00D36EBB"/>
    <w:rsid w:val="00D40343"/>
    <w:rsid w:val="00D506D9"/>
    <w:rsid w:val="00D519D4"/>
    <w:rsid w:val="00D57C62"/>
    <w:rsid w:val="00D61797"/>
    <w:rsid w:val="00D6181F"/>
    <w:rsid w:val="00D6580B"/>
    <w:rsid w:val="00D65E36"/>
    <w:rsid w:val="00D66471"/>
    <w:rsid w:val="00D7282A"/>
    <w:rsid w:val="00D738CD"/>
    <w:rsid w:val="00D751DD"/>
    <w:rsid w:val="00D80380"/>
    <w:rsid w:val="00D81371"/>
    <w:rsid w:val="00D840F0"/>
    <w:rsid w:val="00D87D4C"/>
    <w:rsid w:val="00D90DEE"/>
    <w:rsid w:val="00D92446"/>
    <w:rsid w:val="00D92D83"/>
    <w:rsid w:val="00D94D93"/>
    <w:rsid w:val="00DA1290"/>
    <w:rsid w:val="00DA68C0"/>
    <w:rsid w:val="00DB06E0"/>
    <w:rsid w:val="00DB1689"/>
    <w:rsid w:val="00DB3A77"/>
    <w:rsid w:val="00DB5E78"/>
    <w:rsid w:val="00DD28EF"/>
    <w:rsid w:val="00DD297B"/>
    <w:rsid w:val="00DD6F38"/>
    <w:rsid w:val="00DE1301"/>
    <w:rsid w:val="00DE6F28"/>
    <w:rsid w:val="00DE7105"/>
    <w:rsid w:val="00DE7392"/>
    <w:rsid w:val="00DF23D0"/>
    <w:rsid w:val="00DF355E"/>
    <w:rsid w:val="00DF3836"/>
    <w:rsid w:val="00DF633D"/>
    <w:rsid w:val="00E0358A"/>
    <w:rsid w:val="00E05C68"/>
    <w:rsid w:val="00E06035"/>
    <w:rsid w:val="00E064B1"/>
    <w:rsid w:val="00E06588"/>
    <w:rsid w:val="00E06780"/>
    <w:rsid w:val="00E168DB"/>
    <w:rsid w:val="00E17BAE"/>
    <w:rsid w:val="00E23E19"/>
    <w:rsid w:val="00E24712"/>
    <w:rsid w:val="00E31082"/>
    <w:rsid w:val="00E32F48"/>
    <w:rsid w:val="00E330A2"/>
    <w:rsid w:val="00E35025"/>
    <w:rsid w:val="00E35D31"/>
    <w:rsid w:val="00E41C12"/>
    <w:rsid w:val="00E42AAF"/>
    <w:rsid w:val="00E446D6"/>
    <w:rsid w:val="00E4624A"/>
    <w:rsid w:val="00E4631D"/>
    <w:rsid w:val="00E46C2D"/>
    <w:rsid w:val="00E5117F"/>
    <w:rsid w:val="00E516E5"/>
    <w:rsid w:val="00E530B6"/>
    <w:rsid w:val="00E551B1"/>
    <w:rsid w:val="00E63AAB"/>
    <w:rsid w:val="00E64BAC"/>
    <w:rsid w:val="00E71722"/>
    <w:rsid w:val="00E71FB8"/>
    <w:rsid w:val="00E7430F"/>
    <w:rsid w:val="00E9670B"/>
    <w:rsid w:val="00EA2EC5"/>
    <w:rsid w:val="00EA4E22"/>
    <w:rsid w:val="00EA7D5A"/>
    <w:rsid w:val="00EB05B6"/>
    <w:rsid w:val="00EB26E1"/>
    <w:rsid w:val="00EB3B90"/>
    <w:rsid w:val="00EC001C"/>
    <w:rsid w:val="00EC0211"/>
    <w:rsid w:val="00EC059E"/>
    <w:rsid w:val="00EC1E36"/>
    <w:rsid w:val="00EC5547"/>
    <w:rsid w:val="00EC6F22"/>
    <w:rsid w:val="00EC71F5"/>
    <w:rsid w:val="00ED4F73"/>
    <w:rsid w:val="00EE2132"/>
    <w:rsid w:val="00EE24A5"/>
    <w:rsid w:val="00EE24EE"/>
    <w:rsid w:val="00EE286B"/>
    <w:rsid w:val="00EE381E"/>
    <w:rsid w:val="00EE45BD"/>
    <w:rsid w:val="00EE6AB3"/>
    <w:rsid w:val="00EE7F31"/>
    <w:rsid w:val="00EF27F1"/>
    <w:rsid w:val="00EF3B31"/>
    <w:rsid w:val="00EF5C84"/>
    <w:rsid w:val="00F00E6B"/>
    <w:rsid w:val="00F05140"/>
    <w:rsid w:val="00F05326"/>
    <w:rsid w:val="00F065F2"/>
    <w:rsid w:val="00F076D1"/>
    <w:rsid w:val="00F1096D"/>
    <w:rsid w:val="00F10E3B"/>
    <w:rsid w:val="00F13211"/>
    <w:rsid w:val="00F15117"/>
    <w:rsid w:val="00F265A9"/>
    <w:rsid w:val="00F27435"/>
    <w:rsid w:val="00F27ABC"/>
    <w:rsid w:val="00F31BC2"/>
    <w:rsid w:val="00F33595"/>
    <w:rsid w:val="00F349B2"/>
    <w:rsid w:val="00F352AF"/>
    <w:rsid w:val="00F358AE"/>
    <w:rsid w:val="00F463C2"/>
    <w:rsid w:val="00F60F6B"/>
    <w:rsid w:val="00F62B36"/>
    <w:rsid w:val="00F67582"/>
    <w:rsid w:val="00F81505"/>
    <w:rsid w:val="00F84899"/>
    <w:rsid w:val="00F90FD8"/>
    <w:rsid w:val="00F911CC"/>
    <w:rsid w:val="00F94720"/>
    <w:rsid w:val="00F95DD9"/>
    <w:rsid w:val="00F95FF2"/>
    <w:rsid w:val="00FA07E0"/>
    <w:rsid w:val="00FA5123"/>
    <w:rsid w:val="00FA6C4C"/>
    <w:rsid w:val="00FB177D"/>
    <w:rsid w:val="00FB2B49"/>
    <w:rsid w:val="00FB7D19"/>
    <w:rsid w:val="00FC001A"/>
    <w:rsid w:val="00FC585E"/>
    <w:rsid w:val="00FC5E22"/>
    <w:rsid w:val="00FC7F66"/>
    <w:rsid w:val="00FE7614"/>
    <w:rsid w:val="00FF5EB3"/>
    <w:rsid w:val="00FF616B"/>
    <w:rsid w:val="00FF624D"/>
    <w:rsid w:val="00FF78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5A4875"/>
  <w15:docId w15:val="{39750AFA-D05B-4698-B534-D2C466FE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 w:type="character" w:styleId="CommentReference">
    <w:name w:val="annotation reference"/>
    <w:basedOn w:val="DefaultParagraphFont"/>
    <w:uiPriority w:val="99"/>
    <w:semiHidden/>
    <w:unhideWhenUsed/>
    <w:rsid w:val="005A7CE3"/>
    <w:rPr>
      <w:sz w:val="16"/>
      <w:szCs w:val="16"/>
    </w:rPr>
  </w:style>
  <w:style w:type="paragraph" w:styleId="CommentText">
    <w:name w:val="annotation text"/>
    <w:basedOn w:val="Normal"/>
    <w:link w:val="CommentTextChar"/>
    <w:uiPriority w:val="99"/>
    <w:semiHidden/>
    <w:unhideWhenUsed/>
    <w:rsid w:val="005A7CE3"/>
    <w:rPr>
      <w:szCs w:val="20"/>
    </w:rPr>
  </w:style>
  <w:style w:type="character" w:customStyle="1" w:styleId="CommentTextChar">
    <w:name w:val="Comment Text Char"/>
    <w:basedOn w:val="DefaultParagraphFont"/>
    <w:link w:val="CommentText"/>
    <w:uiPriority w:val="99"/>
    <w:semiHidden/>
    <w:rsid w:val="005A7CE3"/>
  </w:style>
  <w:style w:type="paragraph" w:styleId="CommentSubject">
    <w:name w:val="annotation subject"/>
    <w:basedOn w:val="CommentText"/>
    <w:next w:val="CommentText"/>
    <w:link w:val="CommentSubjectChar"/>
    <w:uiPriority w:val="99"/>
    <w:semiHidden/>
    <w:unhideWhenUsed/>
    <w:rsid w:val="005A7CE3"/>
    <w:rPr>
      <w:b/>
      <w:bCs/>
    </w:rPr>
  </w:style>
  <w:style w:type="character" w:customStyle="1" w:styleId="CommentSubjectChar">
    <w:name w:val="Comment Subject Char"/>
    <w:basedOn w:val="CommentTextChar"/>
    <w:link w:val="CommentSubject"/>
    <w:uiPriority w:val="99"/>
    <w:semiHidden/>
    <w:rsid w:val="005A7CE3"/>
    <w:rPr>
      <w:b/>
      <w:bCs/>
    </w:rPr>
  </w:style>
  <w:style w:type="character" w:customStyle="1" w:styleId="num2">
    <w:name w:val="num2"/>
    <w:basedOn w:val="DefaultParagraphFont"/>
    <w:rsid w:val="00010C4C"/>
    <w:rPr>
      <w:b/>
      <w:bCs/>
    </w:rPr>
  </w:style>
  <w:style w:type="paragraph" w:styleId="Revision">
    <w:name w:val="Revision"/>
    <w:hidden/>
    <w:uiPriority w:val="99"/>
    <w:semiHidden/>
    <w:rsid w:val="00793CA1"/>
    <w:rPr>
      <w:szCs w:val="24"/>
    </w:rPr>
  </w:style>
  <w:style w:type="character" w:styleId="FollowedHyperlink">
    <w:name w:val="FollowedHyperlink"/>
    <w:basedOn w:val="DefaultParagraphFont"/>
    <w:uiPriority w:val="99"/>
    <w:semiHidden/>
    <w:unhideWhenUsed/>
    <w:rsid w:val="00E35D31"/>
    <w:rPr>
      <w:color w:val="800080" w:themeColor="followedHyperlink"/>
      <w:u w:val="single"/>
    </w:rPr>
  </w:style>
  <w:style w:type="character" w:styleId="UnresolvedMention">
    <w:name w:val="Unresolved Mention"/>
    <w:basedOn w:val="DefaultParagraphFont"/>
    <w:uiPriority w:val="99"/>
    <w:semiHidden/>
    <w:unhideWhenUsed/>
    <w:rsid w:val="00231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www.bls.gov/oes/current/naics4_4831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1120c4-ac13-4311-98cd-f77586ec989e">
      <Terms xmlns="http://schemas.microsoft.com/office/infopath/2007/PartnerControls"/>
    </lcf76f155ced4ddcb4097134ff3c332f>
    <TaxCatchAll xmlns="a7590d3f-064e-4611-8c4c-cf19b4a54d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11" ma:contentTypeDescription="Create a new document." ma:contentTypeScope="" ma:versionID="9f264ead94fb4b906774f8affc5afe49">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c9394ffe36cc5d3eb474d7a5e89006ec"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cc527b-7867-41d8-b75d-b5a4389f213f}" ma:internalName="TaxCatchAll" ma:showField="CatchAllData" ma:web="a7590d3f-064e-4611-8c4c-cf19b4a54d7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EA859-BFD7-4962-B3F1-E8D5F53BA786}">
  <ds:schemaRefs>
    <ds:schemaRef ds:uri="http://schemas.microsoft.com/sharepoint/v3/contenttype/forms"/>
  </ds:schemaRefs>
</ds:datastoreItem>
</file>

<file path=customXml/itemProps2.xml><?xml version="1.0" encoding="utf-8"?>
<ds:datastoreItem xmlns:ds="http://schemas.openxmlformats.org/officeDocument/2006/customXml" ds:itemID="{3E0FABF4-D928-431E-AA07-B61AEF8DF41A}">
  <ds:schemaRefs>
    <ds:schemaRef ds:uri="http://schemas.microsoft.com/office/2006/metadata/properties"/>
    <ds:schemaRef ds:uri="http://schemas.microsoft.com/office/infopath/2007/PartnerControls"/>
    <ds:schemaRef ds:uri="901120c4-ac13-4311-98cd-f77586ec989e"/>
    <ds:schemaRef ds:uri="a7590d3f-064e-4611-8c4c-cf19b4a54d7f"/>
  </ds:schemaRefs>
</ds:datastoreItem>
</file>

<file path=customXml/itemProps3.xml><?xml version="1.0" encoding="utf-8"?>
<ds:datastoreItem xmlns:ds="http://schemas.openxmlformats.org/officeDocument/2006/customXml" ds:itemID="{012E0CD4-194F-4971-BFB2-AFA31A4D6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3051</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Webb, Kimberly (OST)</cp:lastModifiedBy>
  <cp:revision>2</cp:revision>
  <cp:lastPrinted>2015-03-01T22:28:00Z</cp:lastPrinted>
  <dcterms:created xsi:type="dcterms:W3CDTF">2023-12-06T14:51:00Z</dcterms:created>
  <dcterms:modified xsi:type="dcterms:W3CDTF">2023-12-06T14:51:00Z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MediaServiceImageTags">
    <vt:lpwstr/>
  </property>
</Properties>
</file>