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4669" w:rsidRPr="00014669" w:rsidP="00014669" w14:paraId="6C380D80" w14:textId="77777777">
      <w:pPr>
        <w:spacing w:after="0"/>
        <w:jc w:val="center"/>
        <w:rPr>
          <w:b/>
          <w:sz w:val="24"/>
          <w:szCs w:val="24"/>
        </w:rPr>
      </w:pPr>
      <w:r w:rsidRPr="00014669">
        <w:rPr>
          <w:b/>
          <w:sz w:val="24"/>
          <w:szCs w:val="24"/>
        </w:rPr>
        <w:t>Supporting Statement for Paperwork Reduction Act Submissions</w:t>
      </w:r>
    </w:p>
    <w:p w:rsidR="00014669" w:rsidRPr="00014669" w:rsidP="00014669" w14:paraId="7C4E6405" w14:textId="4C90DB40">
      <w:pPr>
        <w:spacing w:after="0"/>
        <w:jc w:val="center"/>
        <w:rPr>
          <w:b/>
          <w:noProof/>
          <w:sz w:val="24"/>
          <w:szCs w:val="24"/>
        </w:rPr>
      </w:pPr>
      <w:r w:rsidRPr="00014669">
        <w:rPr>
          <w:b/>
          <w:noProof/>
          <w:sz w:val="24"/>
          <w:szCs w:val="24"/>
        </w:rPr>
        <w:t>Moving to Work,Asset Building Cohort Evaluation</w:t>
      </w:r>
    </w:p>
    <w:p w:rsidR="00014669" w:rsidRPr="00014669" w:rsidP="00014669" w14:paraId="666015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4"/>
          <w:szCs w:val="24"/>
        </w:rPr>
      </w:pPr>
      <w:r w:rsidRPr="00014669">
        <w:rPr>
          <w:b/>
          <w:sz w:val="24"/>
          <w:szCs w:val="24"/>
        </w:rPr>
        <w:t>OMB# 2528-NEW</w:t>
      </w:r>
    </w:p>
    <w:p w:rsidR="00014669" w:rsidP="00014669" w14:paraId="0F20933D" w14:textId="77777777">
      <w:pPr>
        <w:rPr>
          <w:b/>
          <w:sz w:val="24"/>
          <w:szCs w:val="24"/>
        </w:rPr>
      </w:pPr>
    </w:p>
    <w:p w:rsidR="00014669" w:rsidRPr="006A1520" w:rsidP="00014669" w14:paraId="6FBD47B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6A1520">
        <w:rPr>
          <w:b/>
          <w:sz w:val="24"/>
          <w:szCs w:val="24"/>
        </w:rPr>
        <w:t xml:space="preserve">A. </w:t>
      </w:r>
      <w:r w:rsidRPr="006A1520">
        <w:rPr>
          <w:b/>
          <w:sz w:val="24"/>
          <w:szCs w:val="24"/>
        </w:rPr>
        <w:tab/>
        <w:t>Justification</w:t>
      </w:r>
    </w:p>
    <w:p w:rsidR="00014669" w:rsidP="00014669" w14:paraId="528E1EB3" w14:textId="77777777">
      <w:pPr>
        <w:keepLines/>
        <w:tabs>
          <w:tab w:val="left" w:pos="360"/>
        </w:tabs>
        <w:spacing w:after="80"/>
        <w:ind w:left="360" w:hanging="360"/>
        <w:rPr>
          <w:b/>
          <w:bCs/>
          <w:sz w:val="24"/>
          <w:szCs w:val="24"/>
        </w:rPr>
      </w:pPr>
      <w:r w:rsidRPr="00014669">
        <w:rPr>
          <w:b/>
          <w:bCs/>
          <w:sz w:val="24"/>
          <w:szCs w:val="24"/>
        </w:rPr>
        <w:t>1.</w:t>
      </w:r>
      <w:r w:rsidRPr="00014669">
        <w:rPr>
          <w:b/>
          <w:bCs/>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07684" w:rsidRPr="00014669" w:rsidP="00014669" w14:paraId="411704D8" w14:textId="77777777">
      <w:pPr>
        <w:keepLines/>
        <w:tabs>
          <w:tab w:val="left" w:pos="360"/>
        </w:tabs>
        <w:spacing w:after="80"/>
        <w:ind w:left="360" w:hanging="360"/>
        <w:rPr>
          <w:b/>
          <w:bCs/>
          <w:sz w:val="24"/>
          <w:szCs w:val="24"/>
        </w:rPr>
      </w:pPr>
    </w:p>
    <w:p w:rsidR="00DB399E" w:rsidRPr="00DA6400" w:rsidP="00236B01" w14:paraId="37EFEFFE" w14:textId="42C14CE8">
      <w:pPr>
        <w:pStyle w:val="BodyText"/>
        <w:rPr>
          <w:sz w:val="24"/>
          <w:szCs w:val="24"/>
        </w:rPr>
      </w:pPr>
      <w:r w:rsidRPr="00AB7A6D">
        <w:t xml:space="preserve">The </w:t>
      </w:r>
      <w:r w:rsidR="00464E84">
        <w:t xml:space="preserve">Office of Policy Development and Research (PD&amp;R) </w:t>
      </w:r>
      <w:r w:rsidR="00326E5D">
        <w:t xml:space="preserve">at the </w:t>
      </w:r>
      <w:r w:rsidR="00451CCE">
        <w:t xml:space="preserve">U. S. </w:t>
      </w:r>
      <w:r w:rsidRPr="00AB7A6D">
        <w:t xml:space="preserve">Department of </w:t>
      </w:r>
      <w:r>
        <w:t xml:space="preserve">Housing and Urban </w:t>
      </w:r>
      <w:r w:rsidRPr="00DA6400">
        <w:rPr>
          <w:sz w:val="24"/>
          <w:szCs w:val="24"/>
        </w:rPr>
        <w:t>Development</w:t>
      </w:r>
      <w:r w:rsidRPr="00DA6400">
        <w:rPr>
          <w:sz w:val="24"/>
          <w:szCs w:val="24"/>
        </w:rPr>
        <w:t xml:space="preserve"> (</w:t>
      </w:r>
      <w:r w:rsidRPr="00DA6400">
        <w:rPr>
          <w:sz w:val="24"/>
          <w:szCs w:val="24"/>
        </w:rPr>
        <w:t>HUD</w:t>
      </w:r>
      <w:r w:rsidRPr="00DA6400">
        <w:rPr>
          <w:sz w:val="24"/>
          <w:szCs w:val="24"/>
        </w:rPr>
        <w:t xml:space="preserve">) contracted with </w:t>
      </w:r>
      <w:r w:rsidRPr="00DA6400" w:rsidR="00086188">
        <w:rPr>
          <w:sz w:val="24"/>
          <w:szCs w:val="24"/>
        </w:rPr>
        <w:t xml:space="preserve">MEF </w:t>
      </w:r>
      <w:r w:rsidRPr="00DA6400">
        <w:rPr>
          <w:sz w:val="24"/>
          <w:szCs w:val="24"/>
        </w:rPr>
        <w:t>Associates</w:t>
      </w:r>
      <w:r w:rsidRPr="00DA6400" w:rsidR="00086188">
        <w:rPr>
          <w:sz w:val="24"/>
          <w:szCs w:val="24"/>
        </w:rPr>
        <w:t>, with subcontractor Abt Associates</w:t>
      </w:r>
      <w:r w:rsidRPr="00DA6400" w:rsidR="006C1443">
        <w:rPr>
          <w:sz w:val="24"/>
          <w:szCs w:val="24"/>
        </w:rPr>
        <w:t>,</w:t>
      </w:r>
      <w:r w:rsidRPr="00DA6400" w:rsidR="00086188">
        <w:rPr>
          <w:sz w:val="24"/>
          <w:szCs w:val="24"/>
        </w:rPr>
        <w:t xml:space="preserve"> to develop the Research Design and Data Collection and Analysis Plan </w:t>
      </w:r>
      <w:r w:rsidRPr="00DA6400" w:rsidR="00D97D77">
        <w:rPr>
          <w:sz w:val="24"/>
          <w:szCs w:val="24"/>
        </w:rPr>
        <w:t xml:space="preserve">for </w:t>
      </w:r>
      <w:r w:rsidRPr="00DA6400">
        <w:rPr>
          <w:sz w:val="24"/>
          <w:szCs w:val="24"/>
        </w:rPr>
        <w:t xml:space="preserve">an evaluation of the </w:t>
      </w:r>
      <w:r w:rsidRPr="00DA6400">
        <w:rPr>
          <w:sz w:val="24"/>
          <w:szCs w:val="24"/>
        </w:rPr>
        <w:t>Moving to Work</w:t>
      </w:r>
      <w:r w:rsidRPr="00DA6400" w:rsidR="009B5F2E">
        <w:rPr>
          <w:sz w:val="24"/>
          <w:szCs w:val="24"/>
        </w:rPr>
        <w:t xml:space="preserve"> </w:t>
      </w:r>
      <w:r w:rsidRPr="00DA6400" w:rsidR="5F3502CA">
        <w:rPr>
          <w:sz w:val="24"/>
          <w:szCs w:val="24"/>
        </w:rPr>
        <w:t>E</w:t>
      </w:r>
      <w:r w:rsidRPr="00DA6400" w:rsidR="1BE2096E">
        <w:rPr>
          <w:sz w:val="24"/>
          <w:szCs w:val="24"/>
        </w:rPr>
        <w:t>xpansion</w:t>
      </w:r>
      <w:r w:rsidRPr="00DA6400" w:rsidR="009B5F2E">
        <w:rPr>
          <w:sz w:val="24"/>
          <w:szCs w:val="24"/>
        </w:rPr>
        <w:t xml:space="preserve"> </w:t>
      </w:r>
      <w:r w:rsidRPr="00DA6400" w:rsidR="004900A7">
        <w:rPr>
          <w:sz w:val="24"/>
          <w:szCs w:val="24"/>
        </w:rPr>
        <w:t xml:space="preserve">Asset Building </w:t>
      </w:r>
      <w:r w:rsidRPr="00DA6400" w:rsidR="006C1443">
        <w:rPr>
          <w:sz w:val="24"/>
          <w:szCs w:val="24"/>
        </w:rPr>
        <w:t>C</w:t>
      </w:r>
      <w:r w:rsidRPr="00DA6400">
        <w:rPr>
          <w:sz w:val="24"/>
          <w:szCs w:val="24"/>
        </w:rPr>
        <w:t>ohort</w:t>
      </w:r>
      <w:r w:rsidRPr="00DA6400" w:rsidR="00B9307B">
        <w:rPr>
          <w:sz w:val="24"/>
          <w:szCs w:val="24"/>
        </w:rPr>
        <w:t>. As required</w:t>
      </w:r>
      <w:r w:rsidRPr="00DA6400">
        <w:rPr>
          <w:sz w:val="24"/>
          <w:szCs w:val="24"/>
        </w:rPr>
        <w:t xml:space="preserve"> under the Paperwork Reduction Act</w:t>
      </w:r>
      <w:r w:rsidRPr="00DA6400" w:rsidR="00696796">
        <w:rPr>
          <w:sz w:val="24"/>
          <w:szCs w:val="24"/>
        </w:rPr>
        <w:t>,</w:t>
      </w:r>
      <w:r w:rsidRPr="00DA6400" w:rsidR="00B9307B">
        <w:rPr>
          <w:sz w:val="24"/>
          <w:szCs w:val="24"/>
        </w:rPr>
        <w:t xml:space="preserve"> </w:t>
      </w:r>
      <w:r w:rsidRPr="00DA6400" w:rsidR="0007789E">
        <w:rPr>
          <w:sz w:val="24"/>
          <w:szCs w:val="24"/>
        </w:rPr>
        <w:t>HUD</w:t>
      </w:r>
      <w:r w:rsidRPr="00DA6400" w:rsidR="00B9307B">
        <w:rPr>
          <w:sz w:val="24"/>
          <w:szCs w:val="24"/>
        </w:rPr>
        <w:t xml:space="preserve"> seek</w:t>
      </w:r>
      <w:r w:rsidRPr="00DA6400" w:rsidR="0007789E">
        <w:rPr>
          <w:sz w:val="24"/>
          <w:szCs w:val="24"/>
        </w:rPr>
        <w:t>s</w:t>
      </w:r>
      <w:r w:rsidRPr="00DA6400" w:rsidR="00B9307B">
        <w:rPr>
          <w:sz w:val="24"/>
          <w:szCs w:val="24"/>
        </w:rPr>
        <w:t xml:space="preserve"> approval from </w:t>
      </w:r>
      <w:r w:rsidRPr="00DA6400" w:rsidR="00451CCE">
        <w:rPr>
          <w:sz w:val="24"/>
          <w:szCs w:val="24"/>
        </w:rPr>
        <w:t>the Office of Management and Budget (</w:t>
      </w:r>
      <w:r w:rsidRPr="00DA6400" w:rsidR="00B9307B">
        <w:rPr>
          <w:sz w:val="24"/>
          <w:szCs w:val="24"/>
        </w:rPr>
        <w:t>OMB</w:t>
      </w:r>
      <w:r w:rsidRPr="00DA6400" w:rsidR="00451CCE">
        <w:rPr>
          <w:sz w:val="24"/>
          <w:szCs w:val="24"/>
        </w:rPr>
        <w:t>)</w:t>
      </w:r>
      <w:r w:rsidRPr="00DA6400">
        <w:rPr>
          <w:sz w:val="24"/>
          <w:szCs w:val="24"/>
        </w:rPr>
        <w:t xml:space="preserve"> for data collection instruments </w:t>
      </w:r>
      <w:r w:rsidRPr="00DA6400" w:rsidR="00257EC2">
        <w:rPr>
          <w:sz w:val="24"/>
          <w:szCs w:val="24"/>
        </w:rPr>
        <w:t>for</w:t>
      </w:r>
      <w:r w:rsidRPr="00DA6400">
        <w:rPr>
          <w:sz w:val="24"/>
          <w:szCs w:val="24"/>
        </w:rPr>
        <w:t xml:space="preserve"> the evaluation. </w:t>
      </w:r>
    </w:p>
    <w:p w:rsidR="005A6E77" w:rsidRPr="00DA6400" w:rsidP="005A6E77" w14:paraId="50802131" w14:textId="4F0D53E7">
      <w:pPr>
        <w:rPr>
          <w:sz w:val="24"/>
          <w:szCs w:val="24"/>
        </w:rPr>
      </w:pPr>
      <w:r w:rsidRPr="00DA6400">
        <w:rPr>
          <w:sz w:val="24"/>
          <w:szCs w:val="24"/>
        </w:rPr>
        <w:t xml:space="preserve">Moving to Work (MTW) is a HUD demonstration that encourages </w:t>
      </w:r>
      <w:r w:rsidRPr="00DA6400" w:rsidR="00257EC2">
        <w:rPr>
          <w:sz w:val="24"/>
          <w:szCs w:val="24"/>
        </w:rPr>
        <w:t xml:space="preserve">selected </w:t>
      </w:r>
      <w:r w:rsidRPr="00DA6400">
        <w:rPr>
          <w:sz w:val="24"/>
          <w:szCs w:val="24"/>
        </w:rPr>
        <w:t xml:space="preserve">PHAs to test ways to increase the cost effectiveness of federal housing programs, encourage greater self-sufficiency of households receiving housing assistance, and increase housing choice for low-income families. MTW designation gives PHAs relief from </w:t>
      </w:r>
      <w:r w:rsidRPr="00DA6400" w:rsidR="005D260C">
        <w:rPr>
          <w:sz w:val="24"/>
          <w:szCs w:val="24"/>
        </w:rPr>
        <w:t>some</w:t>
      </w:r>
      <w:r w:rsidRPr="00DA6400">
        <w:rPr>
          <w:sz w:val="24"/>
          <w:szCs w:val="24"/>
        </w:rPr>
        <w:t xml:space="preserve"> regulations and </w:t>
      </w:r>
      <w:r w:rsidRPr="00DA6400" w:rsidR="005D260C">
        <w:rPr>
          <w:sz w:val="24"/>
          <w:szCs w:val="24"/>
        </w:rPr>
        <w:t>laws</w:t>
      </w:r>
      <w:r w:rsidRPr="00DA6400">
        <w:rPr>
          <w:sz w:val="24"/>
          <w:szCs w:val="24"/>
        </w:rPr>
        <w:t xml:space="preserve"> that apply to </w:t>
      </w:r>
      <w:r w:rsidRPr="00DA6400" w:rsidR="00F966CD">
        <w:rPr>
          <w:sz w:val="24"/>
          <w:szCs w:val="24"/>
        </w:rPr>
        <w:t xml:space="preserve">Housing Choice Voucher (HCV) </w:t>
      </w:r>
      <w:r w:rsidRPr="00DA6400">
        <w:rPr>
          <w:sz w:val="24"/>
          <w:szCs w:val="24"/>
        </w:rPr>
        <w:t xml:space="preserve">and public housing programs. </w:t>
      </w:r>
      <w:r w:rsidRPr="00DA6400">
        <w:rPr>
          <w:sz w:val="24"/>
          <w:szCs w:val="24"/>
        </w:rPr>
        <w:t>The Consolidated Appropriations Act of 2016 authorized HUD to award MTW authority to 100 additional PHAs by September 202</w:t>
      </w:r>
      <w:r w:rsidRPr="00DA6400" w:rsidR="00A70F7C">
        <w:rPr>
          <w:sz w:val="24"/>
          <w:szCs w:val="24"/>
        </w:rPr>
        <w:t>3</w:t>
      </w:r>
      <w:r w:rsidRPr="00DA6400">
        <w:rPr>
          <w:sz w:val="24"/>
          <w:szCs w:val="24"/>
        </w:rPr>
        <w:t xml:space="preserve">, and required </w:t>
      </w:r>
      <w:r w:rsidRPr="00DA6400" w:rsidR="0071713E">
        <w:rPr>
          <w:sz w:val="24"/>
          <w:szCs w:val="24"/>
        </w:rPr>
        <w:t>that new MTW agencies be selected in cohorts with a specific policy focus.</w:t>
      </w:r>
      <w:r>
        <w:rPr>
          <w:rStyle w:val="FootnoteReference"/>
          <w:sz w:val="24"/>
          <w:szCs w:val="24"/>
        </w:rPr>
        <w:footnoteReference w:id="3"/>
      </w:r>
      <w:r w:rsidRPr="00DA6400" w:rsidR="008F1082">
        <w:rPr>
          <w:sz w:val="24"/>
          <w:szCs w:val="24"/>
        </w:rPr>
        <w:t xml:space="preserve"> </w:t>
      </w:r>
      <w:r w:rsidRPr="00DA6400" w:rsidR="004E430F">
        <w:rPr>
          <w:sz w:val="24"/>
          <w:szCs w:val="24"/>
        </w:rPr>
        <w:t xml:space="preserve">The Asset Building Cohort </w:t>
      </w:r>
      <w:r w:rsidRPr="00DA6400" w:rsidR="00D31B0F">
        <w:rPr>
          <w:sz w:val="24"/>
          <w:szCs w:val="24"/>
        </w:rPr>
        <w:t>will</w:t>
      </w:r>
      <w:r w:rsidRPr="00DA6400">
        <w:rPr>
          <w:sz w:val="24"/>
          <w:szCs w:val="24"/>
        </w:rPr>
        <w:t xml:space="preserve"> test </w:t>
      </w:r>
      <w:r w:rsidRPr="00DA6400" w:rsidR="00602CC5">
        <w:rPr>
          <w:sz w:val="24"/>
          <w:szCs w:val="24"/>
        </w:rPr>
        <w:t xml:space="preserve">two types of </w:t>
      </w:r>
      <w:r w:rsidRPr="00DA6400">
        <w:rPr>
          <w:sz w:val="24"/>
          <w:szCs w:val="24"/>
        </w:rPr>
        <w:t xml:space="preserve">asset building programs </w:t>
      </w:r>
      <w:r w:rsidRPr="00DA6400" w:rsidR="00E71A23">
        <w:rPr>
          <w:sz w:val="24"/>
          <w:szCs w:val="24"/>
        </w:rPr>
        <w:t xml:space="preserve">for </w:t>
      </w:r>
      <w:r w:rsidRPr="00DA6400">
        <w:rPr>
          <w:sz w:val="24"/>
          <w:szCs w:val="24"/>
        </w:rPr>
        <w:t>HUD hous</w:t>
      </w:r>
      <w:r w:rsidRPr="00DA6400" w:rsidR="00602CC5">
        <w:rPr>
          <w:sz w:val="24"/>
          <w:szCs w:val="24"/>
        </w:rPr>
        <w:t xml:space="preserve">eholds, rent reporting for credit building and an opt-out savings account program. </w:t>
      </w:r>
      <w:r w:rsidRPr="00DA6400" w:rsidR="00E06B14">
        <w:rPr>
          <w:sz w:val="24"/>
          <w:szCs w:val="24"/>
        </w:rPr>
        <w:t xml:space="preserve"> </w:t>
      </w:r>
      <w:r w:rsidRPr="00DA6400" w:rsidR="00624240">
        <w:rPr>
          <w:sz w:val="24"/>
          <w:szCs w:val="24"/>
        </w:rPr>
        <w:t>The ABC has 1</w:t>
      </w:r>
      <w:r w:rsidRPr="00DA6400" w:rsidR="5648F225">
        <w:rPr>
          <w:sz w:val="24"/>
          <w:szCs w:val="24"/>
        </w:rPr>
        <w:t>7</w:t>
      </w:r>
      <w:r w:rsidRPr="00DA6400" w:rsidR="00624240">
        <w:rPr>
          <w:sz w:val="24"/>
          <w:szCs w:val="24"/>
        </w:rPr>
        <w:t xml:space="preserve"> PHAs</w:t>
      </w:r>
      <w:r w:rsidRPr="00DA6400" w:rsidR="00DE060C">
        <w:rPr>
          <w:sz w:val="24"/>
          <w:szCs w:val="24"/>
        </w:rPr>
        <w:t>.  Of these 1</w:t>
      </w:r>
      <w:r w:rsidRPr="00DA6400" w:rsidR="7EBEA292">
        <w:rPr>
          <w:sz w:val="24"/>
          <w:szCs w:val="24"/>
        </w:rPr>
        <w:t>7</w:t>
      </w:r>
      <w:r w:rsidRPr="00DA6400" w:rsidR="00DE060C">
        <w:rPr>
          <w:sz w:val="24"/>
          <w:szCs w:val="24"/>
        </w:rPr>
        <w:t xml:space="preserve"> PHAs, </w:t>
      </w:r>
      <w:r w:rsidRPr="00DA6400" w:rsidR="049585D9">
        <w:rPr>
          <w:sz w:val="24"/>
          <w:szCs w:val="24"/>
        </w:rPr>
        <w:t>9</w:t>
      </w:r>
      <w:r w:rsidRPr="00DA6400" w:rsidR="00DE060C">
        <w:rPr>
          <w:sz w:val="24"/>
          <w:szCs w:val="24"/>
        </w:rPr>
        <w:t xml:space="preserve"> PHAs will implement </w:t>
      </w:r>
      <w:r w:rsidRPr="00DA6400" w:rsidR="007B407B">
        <w:rPr>
          <w:sz w:val="24"/>
          <w:szCs w:val="24"/>
        </w:rPr>
        <w:t xml:space="preserve">an opt-out savings program, six PHAs will implement reporting rent payments to credit agencies, and </w:t>
      </w:r>
      <w:r w:rsidRPr="00DA6400" w:rsidR="73E88F77">
        <w:rPr>
          <w:sz w:val="24"/>
          <w:szCs w:val="24"/>
        </w:rPr>
        <w:t xml:space="preserve">two </w:t>
      </w:r>
      <w:r w:rsidRPr="00DA6400" w:rsidR="00702459">
        <w:rPr>
          <w:sz w:val="24"/>
          <w:szCs w:val="24"/>
        </w:rPr>
        <w:t xml:space="preserve"> PHA</w:t>
      </w:r>
      <w:r w:rsidRPr="00DA6400" w:rsidR="62C58E5C">
        <w:rPr>
          <w:sz w:val="24"/>
          <w:szCs w:val="24"/>
        </w:rPr>
        <w:t>s</w:t>
      </w:r>
      <w:r w:rsidRPr="00DA6400" w:rsidR="00702459">
        <w:rPr>
          <w:sz w:val="24"/>
          <w:szCs w:val="24"/>
        </w:rPr>
        <w:t xml:space="preserve"> ha</w:t>
      </w:r>
      <w:r w:rsidRPr="00DA6400" w:rsidR="201AA7E2">
        <w:rPr>
          <w:sz w:val="24"/>
          <w:szCs w:val="24"/>
        </w:rPr>
        <w:t>ve</w:t>
      </w:r>
      <w:r w:rsidRPr="00DA6400" w:rsidR="00702459">
        <w:rPr>
          <w:sz w:val="24"/>
          <w:szCs w:val="24"/>
        </w:rPr>
        <w:t xml:space="preserve">  unique asset building program</w:t>
      </w:r>
      <w:r w:rsidRPr="00DA6400" w:rsidR="32A10FD9">
        <w:rPr>
          <w:sz w:val="24"/>
          <w:szCs w:val="24"/>
        </w:rPr>
        <w:t>s</w:t>
      </w:r>
      <w:r w:rsidRPr="00DA6400" w:rsidR="00702459">
        <w:rPr>
          <w:sz w:val="24"/>
          <w:szCs w:val="24"/>
        </w:rPr>
        <w:t xml:space="preserve">. </w:t>
      </w:r>
      <w:r w:rsidRPr="00DA6400" w:rsidR="00974434">
        <w:rPr>
          <w:sz w:val="24"/>
          <w:szCs w:val="24"/>
        </w:rPr>
        <w:t xml:space="preserve"> The evaluation of the ABC will include </w:t>
      </w:r>
      <w:r w:rsidRPr="00DA6400" w:rsidR="00FF23FD">
        <w:rPr>
          <w:sz w:val="24"/>
          <w:szCs w:val="24"/>
        </w:rPr>
        <w:t xml:space="preserve">these </w:t>
      </w:r>
      <w:r w:rsidRPr="00DA6400" w:rsidR="00974434">
        <w:rPr>
          <w:sz w:val="24"/>
          <w:szCs w:val="24"/>
        </w:rPr>
        <w:t>th</w:t>
      </w:r>
      <w:r w:rsidRPr="00DA6400" w:rsidR="00FF23FD">
        <w:rPr>
          <w:sz w:val="24"/>
          <w:szCs w:val="24"/>
        </w:rPr>
        <w:t>ree components</w:t>
      </w:r>
      <w:r w:rsidRPr="00DA6400" w:rsidR="00D31B0F">
        <w:rPr>
          <w:sz w:val="24"/>
          <w:szCs w:val="24"/>
        </w:rPr>
        <w:t>:</w:t>
      </w:r>
    </w:p>
    <w:p w:rsidR="00FF23FD" w:rsidRPr="00DA6400" w:rsidP="000B02B2" w14:paraId="18E1F0C0" w14:textId="37AED487">
      <w:pPr>
        <w:pStyle w:val="ListParagraph"/>
        <w:numPr>
          <w:ilvl w:val="0"/>
          <w:numId w:val="23"/>
        </w:numPr>
        <w:rPr>
          <w:rFonts w:ascii="Times New Roman" w:hAnsi="Times New Roman" w:cs="Times New Roman"/>
          <w:sz w:val="24"/>
          <w:szCs w:val="24"/>
        </w:rPr>
      </w:pPr>
      <w:r w:rsidRPr="00DA6400">
        <w:rPr>
          <w:rFonts w:ascii="Times New Roman" w:hAnsi="Times New Roman" w:cs="Times New Roman"/>
          <w:sz w:val="24"/>
          <w:szCs w:val="24"/>
        </w:rPr>
        <w:t>Program Implementation Study</w:t>
      </w:r>
    </w:p>
    <w:p w:rsidR="0013267B" w:rsidRPr="00DA6400" w:rsidP="000B02B2" w14:paraId="2EE01555" w14:textId="77777777">
      <w:pPr>
        <w:pStyle w:val="ListParagraph"/>
        <w:numPr>
          <w:ilvl w:val="0"/>
          <w:numId w:val="23"/>
        </w:numPr>
        <w:rPr>
          <w:rFonts w:ascii="Times New Roman" w:hAnsi="Times New Roman" w:cs="Times New Roman"/>
          <w:sz w:val="24"/>
          <w:szCs w:val="24"/>
        </w:rPr>
      </w:pPr>
      <w:r w:rsidRPr="00DA6400">
        <w:rPr>
          <w:rFonts w:ascii="Times New Roman" w:hAnsi="Times New Roman" w:cs="Times New Roman"/>
          <w:sz w:val="24"/>
          <w:szCs w:val="24"/>
        </w:rPr>
        <w:t>Impact Studies:</w:t>
      </w:r>
    </w:p>
    <w:p w:rsidR="00E208D4" w:rsidRPr="00DA6400" w:rsidP="000B02B2" w14:paraId="5E3C7970" w14:textId="62493E18">
      <w:pPr>
        <w:pStyle w:val="ListParagraph"/>
        <w:numPr>
          <w:ilvl w:val="1"/>
          <w:numId w:val="23"/>
        </w:numPr>
        <w:rPr>
          <w:rFonts w:ascii="Times New Roman" w:hAnsi="Times New Roman" w:cs="Times New Roman"/>
          <w:sz w:val="24"/>
          <w:szCs w:val="24"/>
        </w:rPr>
      </w:pPr>
      <w:r w:rsidRPr="00DA6400">
        <w:rPr>
          <w:rFonts w:ascii="Times New Roman" w:hAnsi="Times New Roman" w:cs="Times New Roman"/>
          <w:sz w:val="24"/>
          <w:szCs w:val="24"/>
        </w:rPr>
        <w:t>Rent Reporting for Credit Building Study</w:t>
      </w:r>
    </w:p>
    <w:p w:rsidR="007A77CD" w:rsidRPr="00DA6400" w:rsidP="000B02B2" w14:paraId="0B735A45" w14:textId="5C19F6A3">
      <w:pPr>
        <w:pStyle w:val="ListParagraph"/>
        <w:numPr>
          <w:ilvl w:val="2"/>
          <w:numId w:val="23"/>
        </w:numPr>
        <w:rPr>
          <w:rFonts w:ascii="Times New Roman" w:hAnsi="Times New Roman" w:cs="Times New Roman"/>
          <w:sz w:val="24"/>
          <w:szCs w:val="24"/>
        </w:rPr>
      </w:pPr>
      <w:r w:rsidRPr="00DA6400">
        <w:rPr>
          <w:rFonts w:ascii="Times New Roman" w:hAnsi="Times New Roman" w:cs="Times New Roman"/>
          <w:sz w:val="24"/>
          <w:szCs w:val="24"/>
        </w:rPr>
        <w:t>Quantitative study of impact on credit scores</w:t>
      </w:r>
    </w:p>
    <w:p w:rsidR="007A77CD" w:rsidRPr="00DA6400" w:rsidP="000B02B2" w14:paraId="6DF9C81F" w14:textId="7C5392A1">
      <w:pPr>
        <w:pStyle w:val="ListParagraph"/>
        <w:numPr>
          <w:ilvl w:val="2"/>
          <w:numId w:val="23"/>
        </w:numPr>
        <w:rPr>
          <w:rFonts w:ascii="Times New Roman" w:hAnsi="Times New Roman" w:cs="Times New Roman"/>
          <w:sz w:val="24"/>
          <w:szCs w:val="24"/>
        </w:rPr>
      </w:pPr>
      <w:r w:rsidRPr="00DA6400">
        <w:rPr>
          <w:rFonts w:ascii="Times New Roman" w:hAnsi="Times New Roman" w:cs="Times New Roman"/>
          <w:sz w:val="24"/>
          <w:szCs w:val="24"/>
        </w:rPr>
        <w:t>Qualitative study of family experiences with rent reporting</w:t>
      </w:r>
    </w:p>
    <w:p w:rsidR="00E208D4" w:rsidRPr="00DA6400" w:rsidP="000B02B2" w14:paraId="1A6AB756" w14:textId="19B376A6">
      <w:pPr>
        <w:pStyle w:val="ListParagraph"/>
        <w:numPr>
          <w:ilvl w:val="1"/>
          <w:numId w:val="23"/>
        </w:numPr>
        <w:rPr>
          <w:rFonts w:ascii="Times New Roman" w:hAnsi="Times New Roman" w:cs="Times New Roman"/>
          <w:sz w:val="24"/>
          <w:szCs w:val="24"/>
        </w:rPr>
      </w:pPr>
      <w:r w:rsidRPr="00DA6400">
        <w:rPr>
          <w:rFonts w:ascii="Times New Roman" w:hAnsi="Times New Roman" w:cs="Times New Roman"/>
          <w:sz w:val="24"/>
          <w:szCs w:val="24"/>
        </w:rPr>
        <w:t>Opt-Out Savings Account Study</w:t>
      </w:r>
    </w:p>
    <w:p w:rsidR="00577412" w:rsidRPr="00DA6400" w:rsidP="000B02B2" w14:paraId="17439796" w14:textId="1CE39D5A">
      <w:pPr>
        <w:pStyle w:val="ListParagraph"/>
        <w:numPr>
          <w:ilvl w:val="2"/>
          <w:numId w:val="23"/>
        </w:numPr>
        <w:rPr>
          <w:rFonts w:ascii="Times New Roman" w:hAnsi="Times New Roman" w:cs="Times New Roman"/>
          <w:sz w:val="24"/>
          <w:szCs w:val="24"/>
        </w:rPr>
      </w:pPr>
      <w:r w:rsidRPr="00DA6400">
        <w:rPr>
          <w:rFonts w:ascii="Times New Roman" w:hAnsi="Times New Roman" w:cs="Times New Roman"/>
          <w:sz w:val="24"/>
          <w:szCs w:val="24"/>
        </w:rPr>
        <w:t>Household survey</w:t>
      </w:r>
    </w:p>
    <w:p w:rsidR="00EF3F59" w:rsidRPr="00DA6400" w:rsidP="00207F4C" w14:paraId="368F8578" w14:textId="188D6299">
      <w:pPr>
        <w:rPr>
          <w:sz w:val="24"/>
          <w:szCs w:val="24"/>
        </w:rPr>
      </w:pPr>
      <w:r w:rsidRPr="00DA6400">
        <w:rPr>
          <w:sz w:val="24"/>
          <w:szCs w:val="24"/>
        </w:rPr>
        <w:t xml:space="preserve">The Information Collection Request (ICR) for the </w:t>
      </w:r>
      <w:r w:rsidRPr="00DA6400" w:rsidR="004C3603">
        <w:rPr>
          <w:sz w:val="24"/>
          <w:szCs w:val="24"/>
        </w:rPr>
        <w:t>Evaluation of the Moving to Work Expansion Asset Building Cohort</w:t>
      </w:r>
      <w:r w:rsidRPr="00DA6400" w:rsidR="00AA2F50">
        <w:rPr>
          <w:sz w:val="24"/>
          <w:szCs w:val="24"/>
        </w:rPr>
        <w:t xml:space="preserve"> is being submitted to OMB in two</w:t>
      </w:r>
      <w:r w:rsidRPr="00DA6400" w:rsidR="00AD6FF4">
        <w:rPr>
          <w:sz w:val="24"/>
          <w:szCs w:val="24"/>
        </w:rPr>
        <w:t xml:space="preserve"> </w:t>
      </w:r>
      <w:r w:rsidRPr="00DA6400" w:rsidR="008B6D26">
        <w:rPr>
          <w:sz w:val="24"/>
          <w:szCs w:val="24"/>
        </w:rPr>
        <w:t>p</w:t>
      </w:r>
      <w:r w:rsidRPr="00DA6400" w:rsidR="00265009">
        <w:rPr>
          <w:sz w:val="24"/>
          <w:szCs w:val="24"/>
        </w:rPr>
        <w:t>hases</w:t>
      </w:r>
      <w:r w:rsidRPr="00DA6400" w:rsidR="008B6D26">
        <w:rPr>
          <w:sz w:val="24"/>
          <w:szCs w:val="24"/>
        </w:rPr>
        <w:t>.  Th</w:t>
      </w:r>
      <w:r w:rsidRPr="00DA6400" w:rsidR="00265009">
        <w:rPr>
          <w:sz w:val="24"/>
          <w:szCs w:val="24"/>
        </w:rPr>
        <w:t>e first phase covers data collection during the launch</w:t>
      </w:r>
      <w:r w:rsidRPr="00DA6400" w:rsidR="008B6D26">
        <w:rPr>
          <w:sz w:val="24"/>
          <w:szCs w:val="24"/>
        </w:rPr>
        <w:t xml:space="preserve"> phase of the </w:t>
      </w:r>
      <w:r w:rsidRPr="00DA6400" w:rsidR="001461F1">
        <w:rPr>
          <w:sz w:val="24"/>
          <w:szCs w:val="24"/>
        </w:rPr>
        <w:t xml:space="preserve">program.  </w:t>
      </w:r>
      <w:r w:rsidRPr="00DA6400" w:rsidR="00265009">
        <w:rPr>
          <w:sz w:val="24"/>
          <w:szCs w:val="24"/>
        </w:rPr>
        <w:t xml:space="preserve">The second phase covers follow-up data collection. </w:t>
      </w:r>
      <w:r w:rsidRPr="00DA6400" w:rsidR="00AE7F83">
        <w:rPr>
          <w:sz w:val="24"/>
          <w:szCs w:val="24"/>
        </w:rPr>
        <w:t xml:space="preserve">The </w:t>
      </w:r>
      <w:r w:rsidRPr="00DA6400" w:rsidR="00F51B86">
        <w:rPr>
          <w:sz w:val="24"/>
          <w:szCs w:val="24"/>
        </w:rPr>
        <w:t xml:space="preserve">asset building </w:t>
      </w:r>
      <w:r w:rsidRPr="00DA6400" w:rsidR="00AE7F83">
        <w:rPr>
          <w:sz w:val="24"/>
          <w:szCs w:val="24"/>
        </w:rPr>
        <w:t xml:space="preserve">programs are planned to start in October of 2023 and to end in October of 2025.  </w:t>
      </w:r>
      <w:r w:rsidRPr="00DA6400" w:rsidR="000E0676">
        <w:rPr>
          <w:sz w:val="24"/>
          <w:szCs w:val="24"/>
        </w:rPr>
        <w:t xml:space="preserve">This Supporting Statement requests </w:t>
      </w:r>
      <w:r w:rsidRPr="00DA6400" w:rsidR="00573DDC">
        <w:rPr>
          <w:sz w:val="24"/>
          <w:szCs w:val="24"/>
        </w:rPr>
        <w:t>clearance</w:t>
      </w:r>
      <w:r w:rsidRPr="00DA6400" w:rsidR="000E0676">
        <w:rPr>
          <w:sz w:val="24"/>
          <w:szCs w:val="24"/>
        </w:rPr>
        <w:t xml:space="preserve"> for the first phase of data collection.  </w:t>
      </w:r>
      <w:r w:rsidRPr="00DA6400" w:rsidR="001461F1">
        <w:rPr>
          <w:sz w:val="24"/>
          <w:szCs w:val="24"/>
        </w:rPr>
        <w:t xml:space="preserve">A second </w:t>
      </w:r>
      <w:r w:rsidRPr="00DA6400" w:rsidR="009F42BA">
        <w:rPr>
          <w:sz w:val="24"/>
          <w:szCs w:val="24"/>
        </w:rPr>
        <w:t xml:space="preserve">ICR </w:t>
      </w:r>
      <w:r w:rsidRPr="00DA6400" w:rsidR="00AE7F83">
        <w:rPr>
          <w:sz w:val="24"/>
          <w:szCs w:val="24"/>
        </w:rPr>
        <w:t xml:space="preserve">will be submitted </w:t>
      </w:r>
      <w:r w:rsidRPr="00DA6400" w:rsidR="00945BFF">
        <w:rPr>
          <w:sz w:val="24"/>
          <w:szCs w:val="24"/>
        </w:rPr>
        <w:t xml:space="preserve">in time </w:t>
      </w:r>
      <w:r w:rsidRPr="00DA6400" w:rsidR="00AE7F83">
        <w:rPr>
          <w:sz w:val="24"/>
          <w:szCs w:val="24"/>
        </w:rPr>
        <w:t>for the follow-up data collection</w:t>
      </w:r>
      <w:r w:rsidRPr="00DA6400" w:rsidR="00945BFF">
        <w:rPr>
          <w:sz w:val="24"/>
          <w:szCs w:val="24"/>
        </w:rPr>
        <w:t xml:space="preserve"> </w:t>
      </w:r>
      <w:r w:rsidRPr="00DA6400" w:rsidR="00221FFC">
        <w:rPr>
          <w:sz w:val="24"/>
          <w:szCs w:val="24"/>
        </w:rPr>
        <w:t xml:space="preserve">anticipated to take </w:t>
      </w:r>
      <w:r w:rsidRPr="00DA6400" w:rsidR="00945BFF">
        <w:rPr>
          <w:sz w:val="24"/>
          <w:szCs w:val="24"/>
        </w:rPr>
        <w:t xml:space="preserve">place in </w:t>
      </w:r>
      <w:r w:rsidRPr="00DA6400" w:rsidR="00221FFC">
        <w:rPr>
          <w:sz w:val="24"/>
          <w:szCs w:val="24"/>
        </w:rPr>
        <w:t>late 2025 and early 2026</w:t>
      </w:r>
      <w:r w:rsidRPr="00DA6400" w:rsidR="00AA2F50">
        <w:rPr>
          <w:sz w:val="24"/>
          <w:szCs w:val="24"/>
        </w:rPr>
        <w:t xml:space="preserve">.  </w:t>
      </w:r>
      <w:r w:rsidRPr="00DA6400" w:rsidR="000E0676">
        <w:rPr>
          <w:sz w:val="24"/>
          <w:szCs w:val="24"/>
        </w:rPr>
        <w:t>Exhibit A-1</w:t>
      </w:r>
      <w:r w:rsidRPr="00DA6400" w:rsidR="00C71A63">
        <w:rPr>
          <w:sz w:val="24"/>
          <w:szCs w:val="24"/>
        </w:rPr>
        <w:t xml:space="preserve"> depicts the sequencing of data collection for the Evaluation of the MTW Expansion Asset Building Cohort.</w:t>
      </w:r>
    </w:p>
    <w:p w:rsidR="00C71A63" w:rsidRPr="00DA6400" w:rsidP="00207F4C" w14:paraId="528473E1" w14:textId="1F1378E1">
      <w:pPr>
        <w:rPr>
          <w:b/>
          <w:bCs/>
          <w:sz w:val="24"/>
          <w:szCs w:val="24"/>
        </w:rPr>
      </w:pPr>
      <w:r w:rsidRPr="00DA6400">
        <w:rPr>
          <w:b/>
          <w:bCs/>
          <w:sz w:val="24"/>
          <w:szCs w:val="24"/>
        </w:rPr>
        <w:t>Exhibit A-1</w:t>
      </w:r>
      <w:r w:rsidRPr="00DA6400" w:rsidR="00A85B30">
        <w:rPr>
          <w:b/>
          <w:bCs/>
          <w:sz w:val="24"/>
          <w:szCs w:val="24"/>
        </w:rPr>
        <w:t>. Sequencing of Data Collection for the Evaluation of the MTW Expansion Asset Building Cohort</w:t>
      </w:r>
    </w:p>
    <w:tbl>
      <w:tblPr>
        <w:tblStyle w:val="TableGrid"/>
        <w:tblW w:w="0" w:type="auto"/>
        <w:tblLook w:val="04A0"/>
      </w:tblPr>
      <w:tblGrid>
        <w:gridCol w:w="5665"/>
        <w:gridCol w:w="3685"/>
      </w:tblGrid>
      <w:tr w14:paraId="50695796" w14:textId="77777777" w:rsidTr="00014669">
        <w:tblPrEx>
          <w:tblW w:w="0" w:type="auto"/>
          <w:tblLook w:val="04A0"/>
        </w:tblPrEx>
        <w:tc>
          <w:tcPr>
            <w:tcW w:w="5665" w:type="dxa"/>
            <w:vAlign w:val="center"/>
          </w:tcPr>
          <w:p w:rsidR="00817265" w:rsidRPr="00DA6400" w:rsidP="00C72F1B" w14:paraId="4CEFAED0" w14:textId="77777777">
            <w:pPr>
              <w:spacing w:after="0"/>
              <w:rPr>
                <w:b/>
                <w:bCs/>
                <w:sz w:val="24"/>
                <w:szCs w:val="24"/>
              </w:rPr>
            </w:pPr>
            <w:r w:rsidRPr="00DA6400">
              <w:rPr>
                <w:b/>
                <w:bCs/>
                <w:sz w:val="24"/>
                <w:szCs w:val="24"/>
              </w:rPr>
              <w:t>Phase 1--Program Launch Phase Data Collection</w:t>
            </w:r>
          </w:p>
          <w:p w:rsidR="000E2DD7" w:rsidRPr="00DA6400" w:rsidP="00C72F1B" w14:paraId="050A3480" w14:textId="4629E426">
            <w:pPr>
              <w:spacing w:after="0"/>
              <w:rPr>
                <w:b/>
                <w:bCs/>
                <w:sz w:val="24"/>
                <w:szCs w:val="24"/>
              </w:rPr>
            </w:pPr>
            <w:r w:rsidRPr="00DA6400">
              <w:rPr>
                <w:b/>
                <w:bCs/>
                <w:sz w:val="24"/>
                <w:szCs w:val="24"/>
              </w:rPr>
              <w:t xml:space="preserve">Estimated Timeframe: </w:t>
            </w:r>
            <w:r w:rsidRPr="00DA6400" w:rsidR="00A933EB">
              <w:rPr>
                <w:b/>
                <w:bCs/>
                <w:sz w:val="24"/>
                <w:szCs w:val="24"/>
              </w:rPr>
              <w:t>January 2024</w:t>
            </w:r>
            <w:r w:rsidRPr="00DA6400">
              <w:rPr>
                <w:b/>
                <w:bCs/>
                <w:sz w:val="24"/>
                <w:szCs w:val="24"/>
              </w:rPr>
              <w:t>-</w:t>
            </w:r>
            <w:r w:rsidRPr="00DA6400" w:rsidR="00A933EB">
              <w:rPr>
                <w:b/>
                <w:bCs/>
                <w:sz w:val="24"/>
                <w:szCs w:val="24"/>
              </w:rPr>
              <w:t>June</w:t>
            </w:r>
            <w:r w:rsidRPr="00DA6400" w:rsidR="002B3967">
              <w:rPr>
                <w:b/>
                <w:bCs/>
                <w:sz w:val="24"/>
                <w:szCs w:val="24"/>
              </w:rPr>
              <w:t xml:space="preserve"> 2025</w:t>
            </w:r>
          </w:p>
          <w:p w:rsidR="005F556E" w:rsidRPr="00DA6400" w:rsidP="005F556E" w14:paraId="76AEE618" w14:textId="5C773929">
            <w:pPr>
              <w:spacing w:after="0"/>
              <w:rPr>
                <w:b/>
                <w:bCs/>
                <w:sz w:val="24"/>
                <w:szCs w:val="24"/>
              </w:rPr>
            </w:pPr>
            <w:r w:rsidRPr="00DA6400">
              <w:rPr>
                <w:sz w:val="24"/>
                <w:szCs w:val="24"/>
              </w:rPr>
              <w:t>Covered by Current Information Request Described in this Supporting Statement A</w:t>
            </w:r>
          </w:p>
        </w:tc>
        <w:tc>
          <w:tcPr>
            <w:tcW w:w="3685" w:type="dxa"/>
            <w:shd w:val="clear" w:color="auto" w:fill="auto"/>
            <w:vAlign w:val="center"/>
          </w:tcPr>
          <w:p w:rsidR="00817265" w:rsidRPr="00DA6400" w:rsidP="00C72F1B" w14:paraId="16519938" w14:textId="77777777">
            <w:pPr>
              <w:spacing w:after="0"/>
              <w:rPr>
                <w:sz w:val="24"/>
                <w:szCs w:val="24"/>
              </w:rPr>
            </w:pPr>
            <w:r w:rsidRPr="00DA6400">
              <w:rPr>
                <w:sz w:val="24"/>
                <w:szCs w:val="24"/>
              </w:rPr>
              <w:t>Phase 2--Follow-up Data Collection</w:t>
            </w:r>
          </w:p>
          <w:p w:rsidR="00F51B86" w:rsidRPr="00DA6400" w:rsidP="00C72F1B" w14:paraId="73346FE7" w14:textId="77777777">
            <w:pPr>
              <w:spacing w:after="0"/>
              <w:rPr>
                <w:sz w:val="24"/>
                <w:szCs w:val="24"/>
              </w:rPr>
            </w:pPr>
            <w:r w:rsidRPr="00DA6400">
              <w:rPr>
                <w:sz w:val="24"/>
                <w:szCs w:val="24"/>
              </w:rPr>
              <w:t xml:space="preserve">Estimated Time Frame: </w:t>
            </w:r>
          </w:p>
          <w:p w:rsidR="000E2DD7" w:rsidRPr="00DA6400" w:rsidP="00C72F1B" w14:paraId="26083A6F" w14:textId="258F3307">
            <w:pPr>
              <w:spacing w:after="0"/>
              <w:rPr>
                <w:sz w:val="24"/>
                <w:szCs w:val="24"/>
              </w:rPr>
            </w:pPr>
            <w:r w:rsidRPr="00DA6400">
              <w:rPr>
                <w:sz w:val="24"/>
                <w:szCs w:val="24"/>
              </w:rPr>
              <w:t xml:space="preserve">June </w:t>
            </w:r>
            <w:r w:rsidRPr="00DA6400" w:rsidR="00630881">
              <w:rPr>
                <w:sz w:val="24"/>
                <w:szCs w:val="24"/>
              </w:rPr>
              <w:t>2025-</w:t>
            </w:r>
            <w:r w:rsidRPr="00DA6400">
              <w:rPr>
                <w:sz w:val="24"/>
                <w:szCs w:val="24"/>
              </w:rPr>
              <w:t xml:space="preserve">January </w:t>
            </w:r>
            <w:r w:rsidRPr="00DA6400" w:rsidR="001213FA">
              <w:rPr>
                <w:sz w:val="24"/>
                <w:szCs w:val="24"/>
              </w:rPr>
              <w:t>202</w:t>
            </w:r>
            <w:r w:rsidRPr="00DA6400">
              <w:rPr>
                <w:sz w:val="24"/>
                <w:szCs w:val="24"/>
              </w:rPr>
              <w:t>7</w:t>
            </w:r>
          </w:p>
          <w:p w:rsidR="00A933EB" w:rsidRPr="00DA6400" w:rsidP="00A933EB" w14:paraId="659293EC" w14:textId="2F7228EC">
            <w:pPr>
              <w:spacing w:after="0"/>
              <w:rPr>
                <w:sz w:val="24"/>
                <w:szCs w:val="24"/>
              </w:rPr>
            </w:pPr>
            <w:r w:rsidRPr="00DA6400">
              <w:rPr>
                <w:sz w:val="24"/>
                <w:szCs w:val="24"/>
              </w:rPr>
              <w:t xml:space="preserve">ICR to be submitted in </w:t>
            </w:r>
            <w:r w:rsidRPr="00DA6400" w:rsidR="00051376">
              <w:rPr>
                <w:sz w:val="24"/>
                <w:szCs w:val="24"/>
              </w:rPr>
              <w:t>December</w:t>
            </w:r>
            <w:r w:rsidRPr="00DA6400">
              <w:rPr>
                <w:sz w:val="24"/>
                <w:szCs w:val="24"/>
              </w:rPr>
              <w:t xml:space="preserve"> 2024 (not included in this ICR)</w:t>
            </w:r>
          </w:p>
          <w:p w:rsidR="00A933EB" w:rsidRPr="00DA6400" w:rsidP="00C72F1B" w14:paraId="2EBE2A4B" w14:textId="48294B24">
            <w:pPr>
              <w:spacing w:after="0"/>
              <w:rPr>
                <w:b/>
                <w:bCs/>
                <w:sz w:val="24"/>
                <w:szCs w:val="24"/>
              </w:rPr>
            </w:pPr>
          </w:p>
        </w:tc>
      </w:tr>
      <w:tr w14:paraId="3B18051A" w14:textId="77777777" w:rsidTr="00014669">
        <w:tblPrEx>
          <w:tblW w:w="0" w:type="auto"/>
          <w:tblLook w:val="04A0"/>
        </w:tblPrEx>
        <w:tc>
          <w:tcPr>
            <w:tcW w:w="5665" w:type="dxa"/>
            <w:vAlign w:val="center"/>
          </w:tcPr>
          <w:p w:rsidR="00881793" w:rsidRPr="00DA6400" w:rsidP="00C72F1B" w14:paraId="03784729" w14:textId="2D960206">
            <w:pPr>
              <w:spacing w:after="0"/>
              <w:rPr>
                <w:sz w:val="24"/>
                <w:szCs w:val="24"/>
              </w:rPr>
            </w:pPr>
            <w:r w:rsidRPr="00DA6400">
              <w:rPr>
                <w:sz w:val="24"/>
                <w:szCs w:val="24"/>
              </w:rPr>
              <w:t>Program Implementation PHA staff interview guide</w:t>
            </w:r>
          </w:p>
        </w:tc>
        <w:tc>
          <w:tcPr>
            <w:tcW w:w="3685" w:type="dxa"/>
            <w:shd w:val="clear" w:color="auto" w:fill="auto"/>
            <w:vAlign w:val="center"/>
          </w:tcPr>
          <w:p w:rsidR="00881793" w:rsidRPr="00DA6400" w:rsidP="00C72F1B" w14:paraId="384E9E34" w14:textId="2A9DC35B">
            <w:pPr>
              <w:spacing w:after="0"/>
              <w:rPr>
                <w:sz w:val="24"/>
                <w:szCs w:val="24"/>
              </w:rPr>
            </w:pPr>
            <w:r w:rsidRPr="00DA6400">
              <w:rPr>
                <w:sz w:val="24"/>
                <w:szCs w:val="24"/>
              </w:rPr>
              <w:t>Program Implementation PHA staff interview guide-follow up</w:t>
            </w:r>
          </w:p>
        </w:tc>
      </w:tr>
      <w:tr w14:paraId="7109184F" w14:textId="77777777" w:rsidTr="00014669">
        <w:tblPrEx>
          <w:tblW w:w="0" w:type="auto"/>
          <w:tblLook w:val="04A0"/>
        </w:tblPrEx>
        <w:tc>
          <w:tcPr>
            <w:tcW w:w="5665" w:type="dxa"/>
            <w:vAlign w:val="center"/>
          </w:tcPr>
          <w:p w:rsidR="00881793" w:rsidRPr="00DA6400" w:rsidP="00C72F1B" w14:paraId="2388874C" w14:textId="028738E0">
            <w:pPr>
              <w:spacing w:after="0"/>
              <w:rPr>
                <w:sz w:val="24"/>
                <w:szCs w:val="24"/>
              </w:rPr>
            </w:pPr>
            <w:r w:rsidRPr="00DA6400">
              <w:rPr>
                <w:sz w:val="24"/>
                <w:szCs w:val="24"/>
              </w:rPr>
              <w:t>Program Implementation partner staff interview guide</w:t>
            </w:r>
          </w:p>
        </w:tc>
        <w:tc>
          <w:tcPr>
            <w:tcW w:w="3685" w:type="dxa"/>
            <w:shd w:val="clear" w:color="auto" w:fill="auto"/>
            <w:vAlign w:val="center"/>
          </w:tcPr>
          <w:p w:rsidR="00881793" w:rsidRPr="00DA6400" w:rsidP="00C72F1B" w14:paraId="47BB21B6" w14:textId="64C16A78">
            <w:pPr>
              <w:spacing w:after="0"/>
              <w:rPr>
                <w:sz w:val="24"/>
                <w:szCs w:val="24"/>
              </w:rPr>
            </w:pPr>
            <w:r w:rsidRPr="00DA6400">
              <w:rPr>
                <w:sz w:val="24"/>
                <w:szCs w:val="24"/>
              </w:rPr>
              <w:t>Program Implementation partner staff interview guide-follow-up</w:t>
            </w:r>
          </w:p>
        </w:tc>
      </w:tr>
      <w:tr w14:paraId="376DC7D1" w14:textId="77777777" w:rsidTr="00014669">
        <w:tblPrEx>
          <w:tblW w:w="0" w:type="auto"/>
          <w:tblLook w:val="04A0"/>
        </w:tblPrEx>
        <w:tc>
          <w:tcPr>
            <w:tcW w:w="5665" w:type="dxa"/>
            <w:vAlign w:val="center"/>
          </w:tcPr>
          <w:p w:rsidR="00881793" w:rsidRPr="00DA6400" w:rsidP="00C72F1B" w14:paraId="04F67CB3" w14:textId="616A657F">
            <w:pPr>
              <w:spacing w:after="0"/>
              <w:rPr>
                <w:sz w:val="24"/>
                <w:szCs w:val="24"/>
              </w:rPr>
            </w:pPr>
            <w:r w:rsidRPr="00DA6400">
              <w:rPr>
                <w:sz w:val="24"/>
                <w:szCs w:val="24"/>
              </w:rPr>
              <w:t>Program Implementation resident interview guide</w:t>
            </w:r>
          </w:p>
        </w:tc>
        <w:tc>
          <w:tcPr>
            <w:tcW w:w="3685" w:type="dxa"/>
            <w:shd w:val="clear" w:color="auto" w:fill="auto"/>
            <w:vAlign w:val="center"/>
          </w:tcPr>
          <w:p w:rsidR="00881793" w:rsidRPr="00DA6400" w:rsidP="00C72F1B" w14:paraId="7F1A8503" w14:textId="18260AC2">
            <w:pPr>
              <w:spacing w:after="0"/>
              <w:rPr>
                <w:sz w:val="24"/>
                <w:szCs w:val="24"/>
              </w:rPr>
            </w:pPr>
            <w:r w:rsidRPr="00DA6400">
              <w:rPr>
                <w:sz w:val="24"/>
                <w:szCs w:val="24"/>
              </w:rPr>
              <w:t>Program Implementation resident interview guide-follow-up</w:t>
            </w:r>
          </w:p>
        </w:tc>
      </w:tr>
      <w:tr w14:paraId="720D3660" w14:textId="77777777" w:rsidTr="00014669">
        <w:tblPrEx>
          <w:tblW w:w="0" w:type="auto"/>
          <w:tblLook w:val="04A0"/>
        </w:tblPrEx>
        <w:tc>
          <w:tcPr>
            <w:tcW w:w="5665" w:type="dxa"/>
            <w:vAlign w:val="center"/>
          </w:tcPr>
          <w:p w:rsidR="00881793" w:rsidRPr="00DA6400" w:rsidP="00C72F1B" w14:paraId="09975CFE" w14:textId="25A01108">
            <w:pPr>
              <w:spacing w:after="0"/>
              <w:rPr>
                <w:sz w:val="24"/>
                <w:szCs w:val="24"/>
              </w:rPr>
            </w:pPr>
            <w:r w:rsidRPr="00DA6400">
              <w:rPr>
                <w:sz w:val="24"/>
                <w:szCs w:val="24"/>
              </w:rPr>
              <w:t xml:space="preserve">Rent Reporting </w:t>
            </w:r>
            <w:r w:rsidRPr="00DA6400" w:rsidR="00C105EF">
              <w:rPr>
                <w:sz w:val="24"/>
                <w:szCs w:val="24"/>
              </w:rPr>
              <w:t>I</w:t>
            </w:r>
            <w:r w:rsidRPr="00DA6400">
              <w:rPr>
                <w:sz w:val="24"/>
                <w:szCs w:val="24"/>
              </w:rPr>
              <w:t xml:space="preserve">nformed </w:t>
            </w:r>
            <w:r w:rsidRPr="00DA6400" w:rsidR="00C105EF">
              <w:rPr>
                <w:sz w:val="24"/>
                <w:szCs w:val="24"/>
              </w:rPr>
              <w:t>C</w:t>
            </w:r>
            <w:r w:rsidRPr="00DA6400">
              <w:rPr>
                <w:sz w:val="24"/>
                <w:szCs w:val="24"/>
              </w:rPr>
              <w:t xml:space="preserve">onsent </w:t>
            </w:r>
            <w:r w:rsidRPr="00DA6400" w:rsidR="00C105EF">
              <w:rPr>
                <w:sz w:val="24"/>
                <w:szCs w:val="24"/>
              </w:rPr>
              <w:t>F</w:t>
            </w:r>
            <w:r w:rsidRPr="00DA6400">
              <w:rPr>
                <w:sz w:val="24"/>
                <w:szCs w:val="24"/>
              </w:rPr>
              <w:t>orm</w:t>
            </w:r>
          </w:p>
        </w:tc>
        <w:tc>
          <w:tcPr>
            <w:tcW w:w="3685" w:type="dxa"/>
            <w:shd w:val="clear" w:color="auto" w:fill="auto"/>
            <w:vAlign w:val="center"/>
          </w:tcPr>
          <w:p w:rsidR="00881793" w:rsidRPr="00DA6400" w:rsidP="00C72F1B" w14:paraId="0ED73B5E" w14:textId="1A2544B6">
            <w:pPr>
              <w:spacing w:after="0"/>
              <w:rPr>
                <w:sz w:val="24"/>
                <w:szCs w:val="24"/>
              </w:rPr>
            </w:pPr>
            <w:r w:rsidRPr="00DA6400">
              <w:rPr>
                <w:sz w:val="24"/>
                <w:szCs w:val="24"/>
              </w:rPr>
              <w:t xml:space="preserve">Rent Reporting qualitative interview guide </w:t>
            </w:r>
            <w:r w:rsidRPr="00DA6400" w:rsidR="000D0A61">
              <w:rPr>
                <w:sz w:val="24"/>
                <w:szCs w:val="24"/>
              </w:rPr>
              <w:t xml:space="preserve">round </w:t>
            </w:r>
            <w:r w:rsidRPr="00DA6400">
              <w:rPr>
                <w:sz w:val="24"/>
                <w:szCs w:val="24"/>
              </w:rPr>
              <w:t>3</w:t>
            </w:r>
          </w:p>
        </w:tc>
      </w:tr>
      <w:tr w14:paraId="2D9AF0B8" w14:textId="77777777" w:rsidTr="00014669">
        <w:tblPrEx>
          <w:tblW w:w="0" w:type="auto"/>
          <w:tblLook w:val="04A0"/>
        </w:tblPrEx>
        <w:tc>
          <w:tcPr>
            <w:tcW w:w="5665" w:type="dxa"/>
            <w:vAlign w:val="center"/>
          </w:tcPr>
          <w:p w:rsidR="00881793" w:rsidRPr="00DA6400" w:rsidP="00C72F1B" w14:paraId="7FEBE7AC" w14:textId="0B780C25">
            <w:pPr>
              <w:spacing w:after="0"/>
              <w:rPr>
                <w:sz w:val="24"/>
                <w:szCs w:val="24"/>
              </w:rPr>
            </w:pPr>
            <w:r w:rsidRPr="00DA6400">
              <w:rPr>
                <w:sz w:val="24"/>
                <w:szCs w:val="24"/>
              </w:rPr>
              <w:t xml:space="preserve">Rent Reporting </w:t>
            </w:r>
            <w:r w:rsidRPr="00DA6400" w:rsidR="00C105EF">
              <w:rPr>
                <w:sz w:val="24"/>
                <w:szCs w:val="24"/>
              </w:rPr>
              <w:t>B</w:t>
            </w:r>
            <w:r w:rsidRPr="00DA6400">
              <w:rPr>
                <w:sz w:val="24"/>
                <w:szCs w:val="24"/>
              </w:rPr>
              <w:t xml:space="preserve">aseline </w:t>
            </w:r>
            <w:r w:rsidRPr="00DA6400" w:rsidR="00C105EF">
              <w:rPr>
                <w:sz w:val="24"/>
                <w:szCs w:val="24"/>
              </w:rPr>
              <w:t>I</w:t>
            </w:r>
            <w:r w:rsidRPr="00DA6400">
              <w:rPr>
                <w:sz w:val="24"/>
                <w:szCs w:val="24"/>
              </w:rPr>
              <w:t xml:space="preserve">nformation </w:t>
            </w:r>
            <w:r w:rsidRPr="00DA6400" w:rsidR="00C105EF">
              <w:rPr>
                <w:sz w:val="24"/>
                <w:szCs w:val="24"/>
              </w:rPr>
              <w:t>F</w:t>
            </w:r>
            <w:r w:rsidRPr="00DA6400">
              <w:rPr>
                <w:sz w:val="24"/>
                <w:szCs w:val="24"/>
              </w:rPr>
              <w:t>orm</w:t>
            </w:r>
          </w:p>
        </w:tc>
        <w:tc>
          <w:tcPr>
            <w:tcW w:w="3685" w:type="dxa"/>
            <w:shd w:val="clear" w:color="auto" w:fill="auto"/>
            <w:vAlign w:val="center"/>
          </w:tcPr>
          <w:p w:rsidR="00881793" w:rsidRPr="00DA6400" w:rsidP="1DEBB872" w14:paraId="1823B9C8" w14:textId="38B306FA">
            <w:pPr>
              <w:spacing w:after="0"/>
              <w:rPr>
                <w:sz w:val="24"/>
                <w:szCs w:val="24"/>
              </w:rPr>
            </w:pPr>
            <w:r w:rsidRPr="00DA6400">
              <w:rPr>
                <w:sz w:val="24"/>
                <w:szCs w:val="24"/>
              </w:rPr>
              <w:t>Rent Reporting qualitative interview guide round 4</w:t>
            </w:r>
          </w:p>
        </w:tc>
      </w:tr>
      <w:tr w14:paraId="0F1D5B71" w14:textId="77777777" w:rsidTr="00014669">
        <w:tblPrEx>
          <w:tblW w:w="0" w:type="auto"/>
          <w:tblLook w:val="04A0"/>
        </w:tblPrEx>
        <w:tc>
          <w:tcPr>
            <w:tcW w:w="5665" w:type="dxa"/>
            <w:vAlign w:val="center"/>
          </w:tcPr>
          <w:p w:rsidR="00881793" w:rsidRPr="00DA6400" w:rsidP="00C72F1B" w14:paraId="2C118C20" w14:textId="2F6FB281">
            <w:pPr>
              <w:spacing w:after="0"/>
              <w:rPr>
                <w:sz w:val="24"/>
                <w:szCs w:val="24"/>
              </w:rPr>
            </w:pPr>
            <w:r w:rsidRPr="00DA6400">
              <w:rPr>
                <w:sz w:val="24"/>
                <w:szCs w:val="24"/>
              </w:rPr>
              <w:t xml:space="preserve">Rent Reporting </w:t>
            </w:r>
            <w:r w:rsidRPr="00DA6400" w:rsidR="00C105EF">
              <w:rPr>
                <w:sz w:val="24"/>
                <w:szCs w:val="24"/>
              </w:rPr>
              <w:t>Q</w:t>
            </w:r>
            <w:r w:rsidRPr="00DA6400">
              <w:rPr>
                <w:sz w:val="24"/>
                <w:szCs w:val="24"/>
              </w:rPr>
              <w:t xml:space="preserve">ualitative </w:t>
            </w:r>
            <w:r w:rsidRPr="00DA6400" w:rsidR="00C105EF">
              <w:rPr>
                <w:sz w:val="24"/>
                <w:szCs w:val="24"/>
              </w:rPr>
              <w:t>I</w:t>
            </w:r>
            <w:r w:rsidRPr="00DA6400">
              <w:rPr>
                <w:sz w:val="24"/>
                <w:szCs w:val="24"/>
              </w:rPr>
              <w:t xml:space="preserve">nterview </w:t>
            </w:r>
            <w:r w:rsidRPr="00DA6400" w:rsidR="00C105EF">
              <w:rPr>
                <w:sz w:val="24"/>
                <w:szCs w:val="24"/>
              </w:rPr>
              <w:t>G</w:t>
            </w:r>
            <w:r w:rsidRPr="00DA6400">
              <w:rPr>
                <w:sz w:val="24"/>
                <w:szCs w:val="24"/>
              </w:rPr>
              <w:t>uide</w:t>
            </w:r>
            <w:r w:rsidRPr="00DA6400" w:rsidR="00DC3242">
              <w:rPr>
                <w:sz w:val="24"/>
                <w:szCs w:val="24"/>
              </w:rPr>
              <w:t xml:space="preserve"> </w:t>
            </w:r>
            <w:r w:rsidRPr="00DA6400" w:rsidR="00C105EF">
              <w:rPr>
                <w:sz w:val="24"/>
                <w:szCs w:val="24"/>
              </w:rPr>
              <w:t>R</w:t>
            </w:r>
            <w:r w:rsidRPr="00DA6400" w:rsidR="000D0A61">
              <w:rPr>
                <w:sz w:val="24"/>
                <w:szCs w:val="24"/>
              </w:rPr>
              <w:t xml:space="preserve">ound </w:t>
            </w:r>
            <w:r w:rsidRPr="00DA6400" w:rsidR="00DC3242">
              <w:rPr>
                <w:sz w:val="24"/>
                <w:szCs w:val="24"/>
              </w:rPr>
              <w:t>1</w:t>
            </w:r>
          </w:p>
        </w:tc>
        <w:tc>
          <w:tcPr>
            <w:tcW w:w="3685" w:type="dxa"/>
            <w:shd w:val="clear" w:color="auto" w:fill="auto"/>
            <w:vAlign w:val="center"/>
          </w:tcPr>
          <w:p w:rsidR="00881793" w:rsidRPr="00DA6400" w:rsidP="00C72F1B" w14:paraId="383973D4" w14:textId="45AE5A8C">
            <w:pPr>
              <w:spacing w:after="0"/>
              <w:rPr>
                <w:sz w:val="24"/>
                <w:szCs w:val="24"/>
              </w:rPr>
            </w:pPr>
            <w:r w:rsidRPr="00DA6400">
              <w:rPr>
                <w:sz w:val="24"/>
                <w:szCs w:val="24"/>
              </w:rPr>
              <w:t>Opt-out Savings Account Household Survey</w:t>
            </w:r>
          </w:p>
        </w:tc>
      </w:tr>
      <w:tr w14:paraId="0664C4D9" w14:textId="77777777" w:rsidTr="00014669">
        <w:tblPrEx>
          <w:tblW w:w="0" w:type="auto"/>
          <w:tblLook w:val="04A0"/>
        </w:tblPrEx>
        <w:tc>
          <w:tcPr>
            <w:tcW w:w="5665" w:type="dxa"/>
            <w:vAlign w:val="center"/>
          </w:tcPr>
          <w:p w:rsidR="00881793" w:rsidRPr="00DA6400" w:rsidP="00C72F1B" w14:paraId="7449C634" w14:textId="7E7EF966">
            <w:pPr>
              <w:spacing w:after="0"/>
              <w:rPr>
                <w:sz w:val="24"/>
                <w:szCs w:val="24"/>
              </w:rPr>
            </w:pPr>
            <w:r w:rsidRPr="00DA6400">
              <w:rPr>
                <w:sz w:val="24"/>
                <w:szCs w:val="24"/>
              </w:rPr>
              <w:t xml:space="preserve">Rent Reporting </w:t>
            </w:r>
            <w:r w:rsidRPr="00DA6400" w:rsidR="00C105EF">
              <w:rPr>
                <w:sz w:val="24"/>
                <w:szCs w:val="24"/>
              </w:rPr>
              <w:t>Q</w:t>
            </w:r>
            <w:r w:rsidRPr="00DA6400">
              <w:rPr>
                <w:sz w:val="24"/>
                <w:szCs w:val="24"/>
              </w:rPr>
              <w:t xml:space="preserve">ualitative </w:t>
            </w:r>
            <w:r w:rsidRPr="00DA6400" w:rsidR="00C105EF">
              <w:rPr>
                <w:sz w:val="24"/>
                <w:szCs w:val="24"/>
              </w:rPr>
              <w:t>I</w:t>
            </w:r>
            <w:r w:rsidRPr="00DA6400">
              <w:rPr>
                <w:sz w:val="24"/>
                <w:szCs w:val="24"/>
              </w:rPr>
              <w:t xml:space="preserve">nterview </w:t>
            </w:r>
            <w:r w:rsidRPr="00DA6400" w:rsidR="00C105EF">
              <w:rPr>
                <w:sz w:val="24"/>
                <w:szCs w:val="24"/>
              </w:rPr>
              <w:t>G</w:t>
            </w:r>
            <w:r w:rsidRPr="00DA6400">
              <w:rPr>
                <w:sz w:val="24"/>
                <w:szCs w:val="24"/>
              </w:rPr>
              <w:t xml:space="preserve">uide </w:t>
            </w:r>
            <w:r w:rsidRPr="00DA6400" w:rsidR="00C105EF">
              <w:rPr>
                <w:sz w:val="24"/>
                <w:szCs w:val="24"/>
              </w:rPr>
              <w:t>R</w:t>
            </w:r>
            <w:r w:rsidRPr="00DA6400" w:rsidR="000D0A61">
              <w:rPr>
                <w:sz w:val="24"/>
                <w:szCs w:val="24"/>
              </w:rPr>
              <w:t xml:space="preserve">ound </w:t>
            </w:r>
            <w:r w:rsidRPr="00DA6400">
              <w:rPr>
                <w:sz w:val="24"/>
                <w:szCs w:val="24"/>
              </w:rPr>
              <w:t>2</w:t>
            </w:r>
          </w:p>
        </w:tc>
        <w:tc>
          <w:tcPr>
            <w:tcW w:w="3685" w:type="dxa"/>
            <w:shd w:val="clear" w:color="auto" w:fill="auto"/>
            <w:vAlign w:val="center"/>
          </w:tcPr>
          <w:p w:rsidR="00881793" w:rsidRPr="00DA6400" w:rsidP="00C72F1B" w14:paraId="4D45B605" w14:textId="66EA5038">
            <w:pPr>
              <w:spacing w:after="0"/>
              <w:rPr>
                <w:sz w:val="24"/>
                <w:szCs w:val="24"/>
              </w:rPr>
            </w:pPr>
            <w:r w:rsidRPr="00DA6400">
              <w:rPr>
                <w:sz w:val="24"/>
                <w:szCs w:val="24"/>
              </w:rPr>
              <w:t>Opt-out Savings Account Advance Letter and Contact Update</w:t>
            </w:r>
          </w:p>
        </w:tc>
      </w:tr>
    </w:tbl>
    <w:p w:rsidR="00EF3F59" w:rsidRPr="00DA6400" w:rsidP="00207F4C" w14:paraId="7D5E5A17" w14:textId="77777777">
      <w:pPr>
        <w:rPr>
          <w:sz w:val="24"/>
          <w:szCs w:val="24"/>
        </w:rPr>
      </w:pPr>
    </w:p>
    <w:p w:rsidR="00C95FF9" w:rsidRPr="00DA6400" w:rsidP="0C011153" w14:paraId="57C1A8C2" w14:textId="7CD5E65B">
      <w:pPr>
        <w:rPr>
          <w:sz w:val="24"/>
          <w:szCs w:val="24"/>
        </w:rPr>
      </w:pPr>
      <w:r w:rsidRPr="00DA6400">
        <w:rPr>
          <w:sz w:val="24"/>
          <w:szCs w:val="24"/>
        </w:rPr>
        <w:t xml:space="preserve">The </w:t>
      </w:r>
      <w:r w:rsidRPr="00DA6400" w:rsidR="0061745B">
        <w:rPr>
          <w:sz w:val="24"/>
          <w:szCs w:val="24"/>
        </w:rPr>
        <w:t>e</w:t>
      </w:r>
      <w:r w:rsidRPr="00DA6400" w:rsidR="07E5B18A">
        <w:rPr>
          <w:sz w:val="24"/>
          <w:szCs w:val="24"/>
        </w:rPr>
        <w:t>valuation of the Asset Building Cohort</w:t>
      </w:r>
      <w:r w:rsidRPr="00DA6400">
        <w:rPr>
          <w:sz w:val="24"/>
          <w:szCs w:val="24"/>
        </w:rPr>
        <w:t xml:space="preserve">—supported by this information collection request (ICR)—will help HUD determine </w:t>
      </w:r>
      <w:r w:rsidRPr="00DA6400" w:rsidR="0061745B">
        <w:rPr>
          <w:sz w:val="24"/>
          <w:szCs w:val="24"/>
        </w:rPr>
        <w:t xml:space="preserve">if </w:t>
      </w:r>
      <w:r w:rsidRPr="00DA6400" w:rsidR="07E5B18A">
        <w:rPr>
          <w:sz w:val="24"/>
          <w:szCs w:val="24"/>
        </w:rPr>
        <w:t>asset building programs of the types studied can be effectively implemented by PHAs and if the</w:t>
      </w:r>
      <w:r w:rsidRPr="00DA6400" w:rsidR="00D10FAB">
        <w:rPr>
          <w:sz w:val="24"/>
          <w:szCs w:val="24"/>
        </w:rPr>
        <w:t xml:space="preserve"> programs</w:t>
      </w:r>
      <w:r w:rsidRPr="00DA6400" w:rsidR="07E5B18A">
        <w:rPr>
          <w:sz w:val="24"/>
          <w:szCs w:val="24"/>
        </w:rPr>
        <w:t xml:space="preserve"> have the potential to </w:t>
      </w:r>
      <w:r w:rsidRPr="00DA6400" w:rsidR="00D10FAB">
        <w:rPr>
          <w:sz w:val="24"/>
          <w:szCs w:val="24"/>
        </w:rPr>
        <w:t xml:space="preserve">positively impact </w:t>
      </w:r>
      <w:r w:rsidRPr="00DA6400" w:rsidR="07E5B18A">
        <w:rPr>
          <w:sz w:val="24"/>
          <w:szCs w:val="24"/>
        </w:rPr>
        <w:t xml:space="preserve">the well-being of HUD-assisted households. </w:t>
      </w:r>
      <w:r w:rsidRPr="00DA6400">
        <w:rPr>
          <w:sz w:val="24"/>
          <w:szCs w:val="24"/>
        </w:rPr>
        <w:t>This research is conducted under the authority of the HUD Secretary to undertake programs of research, studies, testing, and demonstration related to the mission and programs of HUD (12 USC 1701z-1 et seq.).</w:t>
      </w:r>
    </w:p>
    <w:p w:rsidR="0070539E" w:rsidRPr="00DA6400" w:rsidP="00C95FF9" w14:paraId="5ACA3467" w14:textId="7234B1FD">
      <w:pPr>
        <w:rPr>
          <w:sz w:val="24"/>
          <w:szCs w:val="24"/>
        </w:rPr>
      </w:pPr>
      <w:r w:rsidRPr="00DA6400">
        <w:rPr>
          <w:sz w:val="24"/>
          <w:szCs w:val="24"/>
        </w:rPr>
        <w:t>The</w:t>
      </w:r>
      <w:r w:rsidRPr="00DA6400" w:rsidR="00013A18">
        <w:rPr>
          <w:sz w:val="24"/>
          <w:szCs w:val="24"/>
        </w:rPr>
        <w:t xml:space="preserve"> ABC PHAs will implement </w:t>
      </w:r>
      <w:r w:rsidRPr="00DA6400" w:rsidR="00FF5782">
        <w:rPr>
          <w:sz w:val="24"/>
          <w:szCs w:val="24"/>
        </w:rPr>
        <w:t>either a rent reporting for credit building program</w:t>
      </w:r>
      <w:r w:rsidRPr="00DA6400" w:rsidR="004303FD">
        <w:rPr>
          <w:sz w:val="24"/>
          <w:szCs w:val="24"/>
        </w:rPr>
        <w:t>,</w:t>
      </w:r>
      <w:r w:rsidRPr="00DA6400" w:rsidR="00FF5782">
        <w:rPr>
          <w:sz w:val="24"/>
          <w:szCs w:val="24"/>
        </w:rPr>
        <w:t xml:space="preserve"> an opt-out savings account program, or a PHA-designed credit building program.  To enable rigorous </w:t>
      </w:r>
      <w:r w:rsidRPr="00DA6400" w:rsidR="00FF5782">
        <w:rPr>
          <w:sz w:val="24"/>
          <w:szCs w:val="24"/>
        </w:rPr>
        <w:t>evaluation, households will be randomly assigned to participate in the program or to be in the control group</w:t>
      </w:r>
      <w:r w:rsidRPr="00DA6400" w:rsidR="00F66062">
        <w:rPr>
          <w:sz w:val="24"/>
          <w:szCs w:val="24"/>
        </w:rPr>
        <w:t>.</w:t>
      </w:r>
      <w:r w:rsidRPr="00DA6400">
        <w:rPr>
          <w:sz w:val="24"/>
          <w:szCs w:val="24"/>
        </w:rPr>
        <w:t xml:space="preserve"> Households assigned to the opt-out savings account program will be </w:t>
      </w:r>
      <w:r w:rsidRPr="00DA6400" w:rsidR="00227732">
        <w:rPr>
          <w:sz w:val="24"/>
          <w:szCs w:val="24"/>
        </w:rPr>
        <w:t xml:space="preserve">automatically enrolled and then informed that they have access to savings that the PHA is depositing into an escrow account for them, which will be a minimum of </w:t>
      </w:r>
      <w:r w:rsidRPr="00DA6400" w:rsidR="5C2A5B79">
        <w:rPr>
          <w:sz w:val="24"/>
          <w:szCs w:val="24"/>
        </w:rPr>
        <w:t xml:space="preserve">$10 a month </w:t>
      </w:r>
      <w:r w:rsidRPr="00DA6400" w:rsidR="10A5DFE2">
        <w:rPr>
          <w:sz w:val="24"/>
          <w:szCs w:val="24"/>
        </w:rPr>
        <w:t>for two years.</w:t>
      </w:r>
      <w:r w:rsidRPr="00DA6400" w:rsidR="00227732">
        <w:rPr>
          <w:sz w:val="24"/>
          <w:szCs w:val="24"/>
        </w:rPr>
        <w:t xml:space="preserve">  The study sample for rent reporting</w:t>
      </w:r>
      <w:r w:rsidRPr="00DA6400" w:rsidR="004303FD">
        <w:rPr>
          <w:sz w:val="24"/>
          <w:szCs w:val="24"/>
        </w:rPr>
        <w:t xml:space="preserve"> </w:t>
      </w:r>
      <w:r w:rsidRPr="00DA6400" w:rsidR="00227732">
        <w:rPr>
          <w:sz w:val="24"/>
          <w:szCs w:val="24"/>
        </w:rPr>
        <w:t xml:space="preserve">will be drawn from households who volunteer to have their rental payments reported to credit agencies </w:t>
      </w:r>
      <w:r w:rsidRPr="00DA6400" w:rsidR="004303FD">
        <w:rPr>
          <w:sz w:val="24"/>
          <w:szCs w:val="24"/>
        </w:rPr>
        <w:t>to</w:t>
      </w:r>
      <w:r w:rsidRPr="00DA6400" w:rsidR="00227732">
        <w:rPr>
          <w:sz w:val="24"/>
          <w:szCs w:val="24"/>
        </w:rPr>
        <w:t xml:space="preserve"> build credit.  To rigorously study the impact of rent reporting, volunteers will be randomly assigned to a treatment </w:t>
      </w:r>
      <w:r w:rsidRPr="00DA6400" w:rsidR="0017597E">
        <w:rPr>
          <w:sz w:val="24"/>
          <w:szCs w:val="24"/>
        </w:rPr>
        <w:t xml:space="preserve">group for whom rental payments are reported </w:t>
      </w:r>
      <w:r w:rsidRPr="00DA6400" w:rsidR="00227732">
        <w:rPr>
          <w:sz w:val="24"/>
          <w:szCs w:val="24"/>
        </w:rPr>
        <w:t xml:space="preserve">or </w:t>
      </w:r>
      <w:r w:rsidRPr="00DA6400" w:rsidR="0017597E">
        <w:rPr>
          <w:sz w:val="24"/>
          <w:szCs w:val="24"/>
        </w:rPr>
        <w:t xml:space="preserve">a </w:t>
      </w:r>
      <w:r w:rsidRPr="00DA6400" w:rsidR="00227732">
        <w:rPr>
          <w:sz w:val="24"/>
          <w:szCs w:val="24"/>
        </w:rPr>
        <w:t>control group</w:t>
      </w:r>
      <w:r w:rsidRPr="00DA6400" w:rsidR="0017597E">
        <w:rPr>
          <w:sz w:val="24"/>
          <w:szCs w:val="24"/>
        </w:rPr>
        <w:t xml:space="preserve"> for whom such reporting does not occur</w:t>
      </w:r>
      <w:r w:rsidRPr="00DA6400" w:rsidR="00227732">
        <w:rPr>
          <w:sz w:val="24"/>
          <w:szCs w:val="24"/>
        </w:rPr>
        <w:t xml:space="preserve">.  </w:t>
      </w:r>
      <w:r w:rsidRPr="00DA6400" w:rsidR="0066575F">
        <w:rPr>
          <w:sz w:val="24"/>
          <w:szCs w:val="24"/>
        </w:rPr>
        <w:t xml:space="preserve">The rent reporting </w:t>
      </w:r>
      <w:r w:rsidRPr="00DA6400" w:rsidR="00777721">
        <w:rPr>
          <w:sz w:val="24"/>
          <w:szCs w:val="24"/>
        </w:rPr>
        <w:t>study</w:t>
      </w:r>
      <w:r w:rsidRPr="00DA6400" w:rsidR="006C0A07">
        <w:rPr>
          <w:sz w:val="24"/>
          <w:szCs w:val="24"/>
        </w:rPr>
        <w:t xml:space="preserve"> will include a longitudinal panel of families </w:t>
      </w:r>
      <w:r w:rsidRPr="00DA6400" w:rsidR="00A850A5">
        <w:rPr>
          <w:sz w:val="24"/>
          <w:szCs w:val="24"/>
        </w:rPr>
        <w:t xml:space="preserve">who will participate </w:t>
      </w:r>
      <w:r w:rsidRPr="00DA6400" w:rsidR="00777721">
        <w:rPr>
          <w:sz w:val="24"/>
          <w:szCs w:val="24"/>
        </w:rPr>
        <w:t xml:space="preserve">in </w:t>
      </w:r>
      <w:r w:rsidRPr="00DA6400" w:rsidR="00A850A5">
        <w:rPr>
          <w:sz w:val="24"/>
          <w:szCs w:val="24"/>
        </w:rPr>
        <w:t>qualitative</w:t>
      </w:r>
      <w:r w:rsidRPr="00DA6400" w:rsidR="0013196E">
        <w:rPr>
          <w:sz w:val="24"/>
          <w:szCs w:val="24"/>
        </w:rPr>
        <w:t>, in-depth</w:t>
      </w:r>
      <w:r w:rsidRPr="00DA6400" w:rsidR="00A850A5">
        <w:rPr>
          <w:sz w:val="24"/>
          <w:szCs w:val="24"/>
        </w:rPr>
        <w:t xml:space="preserve"> interviews to provide </w:t>
      </w:r>
      <w:r w:rsidRPr="00DA6400" w:rsidR="002D3D62">
        <w:rPr>
          <w:sz w:val="24"/>
          <w:szCs w:val="24"/>
        </w:rPr>
        <w:t xml:space="preserve">insight into how they </w:t>
      </w:r>
      <w:r w:rsidRPr="00DA6400" w:rsidR="002D3D62">
        <w:rPr>
          <w:sz w:val="24"/>
          <w:szCs w:val="24"/>
        </w:rPr>
        <w:t>understand</w:t>
      </w:r>
      <w:r w:rsidRPr="00DA6400" w:rsidR="002D3D62">
        <w:rPr>
          <w:sz w:val="24"/>
          <w:szCs w:val="24"/>
        </w:rPr>
        <w:t xml:space="preserve"> and experience </w:t>
      </w:r>
      <w:r w:rsidRPr="00DA6400" w:rsidR="00A850A5">
        <w:rPr>
          <w:sz w:val="24"/>
          <w:szCs w:val="24"/>
        </w:rPr>
        <w:t>rent reporting</w:t>
      </w:r>
      <w:r w:rsidRPr="00DA6400" w:rsidR="002D3D62">
        <w:rPr>
          <w:sz w:val="24"/>
          <w:szCs w:val="24"/>
        </w:rPr>
        <w:t xml:space="preserve"> for credit building.</w:t>
      </w:r>
    </w:p>
    <w:p w:rsidR="00C95FF9" w:rsidRPr="00DA6400" w:rsidP="00C95FF9" w14:paraId="7D86240E" w14:textId="4201C706">
      <w:pPr>
        <w:rPr>
          <w:sz w:val="24"/>
          <w:szCs w:val="24"/>
        </w:rPr>
      </w:pPr>
      <w:r w:rsidRPr="00DA6400">
        <w:rPr>
          <w:sz w:val="24"/>
          <w:szCs w:val="24"/>
        </w:rPr>
        <w:t xml:space="preserve">Exhibit </w:t>
      </w:r>
      <w:r w:rsidRPr="00DA6400" w:rsidR="00F317E0">
        <w:rPr>
          <w:sz w:val="24"/>
          <w:szCs w:val="24"/>
        </w:rPr>
        <w:t>A-2</w:t>
      </w:r>
      <w:r w:rsidRPr="00DA6400">
        <w:rPr>
          <w:sz w:val="24"/>
          <w:szCs w:val="24"/>
        </w:rPr>
        <w:t xml:space="preserve"> displays </w:t>
      </w:r>
      <w:r w:rsidRPr="00DA6400">
        <w:rPr>
          <w:sz w:val="24"/>
          <w:szCs w:val="24"/>
        </w:rPr>
        <w:t xml:space="preserve">the </w:t>
      </w:r>
      <w:r w:rsidRPr="00DA6400" w:rsidR="005F7A6D">
        <w:rPr>
          <w:sz w:val="24"/>
          <w:szCs w:val="24"/>
        </w:rPr>
        <w:t xml:space="preserve">evaluation </w:t>
      </w:r>
      <w:r w:rsidRPr="00DA6400">
        <w:rPr>
          <w:sz w:val="24"/>
          <w:szCs w:val="24"/>
        </w:rPr>
        <w:t xml:space="preserve">study components </w:t>
      </w:r>
      <w:r w:rsidRPr="00DA6400" w:rsidR="00777721">
        <w:rPr>
          <w:sz w:val="24"/>
          <w:szCs w:val="24"/>
        </w:rPr>
        <w:t>and corresponding</w:t>
      </w:r>
      <w:r w:rsidRPr="00DA6400">
        <w:rPr>
          <w:sz w:val="24"/>
          <w:szCs w:val="24"/>
        </w:rPr>
        <w:t xml:space="preserve"> research questions.</w:t>
      </w:r>
    </w:p>
    <w:tbl>
      <w:tblPr>
        <w:tblStyle w:val="GridTableLight"/>
        <w:tblW w:w="10285" w:type="dxa"/>
        <w:tblLook w:val="04A0"/>
      </w:tblPr>
      <w:tblGrid>
        <w:gridCol w:w="4220"/>
        <w:gridCol w:w="6065"/>
      </w:tblGrid>
      <w:tr w14:paraId="2FE23B27" w14:textId="77777777" w:rsidTr="00DB59D1">
        <w:tblPrEx>
          <w:tblW w:w="10285" w:type="dxa"/>
          <w:tblLook w:val="04A0"/>
        </w:tblPrEx>
        <w:trPr>
          <w:trHeight w:val="743"/>
        </w:trPr>
        <w:tc>
          <w:tcPr>
            <w:tcW w:w="10285" w:type="dxa"/>
            <w:gridSpan w:val="2"/>
            <w:noWrap/>
            <w:vAlign w:val="center"/>
          </w:tcPr>
          <w:p w:rsidR="00047224" w:rsidRPr="00DA6400" w:rsidP="00DD1D1A" w14:paraId="79A451C7" w14:textId="3B18F152">
            <w:pPr>
              <w:spacing w:after="0"/>
              <w:rPr>
                <w:b/>
                <w:bCs/>
                <w:sz w:val="24"/>
                <w:szCs w:val="24"/>
              </w:rPr>
            </w:pPr>
            <w:r w:rsidRPr="00DA6400">
              <w:rPr>
                <w:b/>
                <w:bCs/>
                <w:sz w:val="24"/>
                <w:szCs w:val="24"/>
              </w:rPr>
              <w:t>Exhibit A-2: Study Components and Research Questions</w:t>
            </w:r>
          </w:p>
        </w:tc>
      </w:tr>
      <w:tr w14:paraId="0F47C5E7" w14:textId="77777777" w:rsidTr="0EF23BC9">
        <w:tblPrEx>
          <w:tblW w:w="10285" w:type="dxa"/>
          <w:tblLook w:val="04A0"/>
        </w:tblPrEx>
        <w:trPr>
          <w:trHeight w:val="743"/>
        </w:trPr>
        <w:tc>
          <w:tcPr>
            <w:tcW w:w="4220" w:type="dxa"/>
            <w:noWrap/>
            <w:vAlign w:val="center"/>
            <w:hideMark/>
          </w:tcPr>
          <w:p w:rsidR="00C95FF9" w:rsidRPr="00DA6400" w:rsidP="00DD1D1A" w14:paraId="214CD4E7" w14:textId="77777777">
            <w:pPr>
              <w:spacing w:after="0"/>
              <w:jc w:val="center"/>
              <w:rPr>
                <w:b/>
                <w:bCs/>
                <w:color w:val="F0F4F6" w:themeColor="background1" w:themeTint="33"/>
                <w:sz w:val="24"/>
                <w:szCs w:val="24"/>
              </w:rPr>
            </w:pPr>
            <w:r w:rsidRPr="00DA6400">
              <w:rPr>
                <w:b/>
                <w:bCs/>
                <w:sz w:val="24"/>
                <w:szCs w:val="24"/>
              </w:rPr>
              <w:t>Study Component</w:t>
            </w:r>
          </w:p>
        </w:tc>
        <w:tc>
          <w:tcPr>
            <w:tcW w:w="6065" w:type="dxa"/>
            <w:noWrap/>
            <w:vAlign w:val="center"/>
            <w:hideMark/>
          </w:tcPr>
          <w:p w:rsidR="00C95FF9" w:rsidRPr="00DA6400" w:rsidP="00DD1D1A" w14:paraId="1B9070E5" w14:textId="39072CA9">
            <w:pPr>
              <w:spacing w:after="0"/>
              <w:jc w:val="center"/>
              <w:rPr>
                <w:b/>
                <w:bCs/>
                <w:color w:val="F0F4F6" w:themeColor="background1" w:themeTint="33"/>
                <w:sz w:val="24"/>
                <w:szCs w:val="24"/>
              </w:rPr>
            </w:pPr>
            <w:r w:rsidRPr="00DA6400">
              <w:rPr>
                <w:b/>
                <w:bCs/>
                <w:sz w:val="24"/>
                <w:szCs w:val="24"/>
              </w:rPr>
              <w:t>Research Questions</w:t>
            </w:r>
          </w:p>
        </w:tc>
      </w:tr>
      <w:tr w14:paraId="448F9917" w14:textId="77777777" w:rsidTr="0EF23BC9">
        <w:tblPrEx>
          <w:tblW w:w="10285" w:type="dxa"/>
          <w:tblLook w:val="04A0"/>
        </w:tblPrEx>
        <w:trPr>
          <w:trHeight w:val="395"/>
        </w:trPr>
        <w:tc>
          <w:tcPr>
            <w:tcW w:w="4220" w:type="dxa"/>
            <w:noWrap/>
            <w:vAlign w:val="center"/>
            <w:hideMark/>
          </w:tcPr>
          <w:p w:rsidR="00C95FF9" w:rsidRPr="00DA6400" w:rsidP="00DD1D1A" w14:paraId="4F7FF80C" w14:textId="2706B4F9">
            <w:pPr>
              <w:spacing w:after="0"/>
              <w:rPr>
                <w:i/>
                <w:iCs/>
                <w:sz w:val="24"/>
                <w:szCs w:val="24"/>
              </w:rPr>
            </w:pPr>
            <w:r w:rsidRPr="00DA6400">
              <w:rPr>
                <w:b/>
                <w:bCs/>
                <w:sz w:val="24"/>
                <w:szCs w:val="24"/>
              </w:rPr>
              <w:t xml:space="preserve">Implementation </w:t>
            </w:r>
            <w:r w:rsidRPr="00DA6400" w:rsidR="00127F32">
              <w:rPr>
                <w:b/>
                <w:bCs/>
                <w:sz w:val="24"/>
                <w:szCs w:val="24"/>
              </w:rPr>
              <w:t>Study</w:t>
            </w:r>
            <w:r w:rsidRPr="00DA6400">
              <w:rPr>
                <w:sz w:val="24"/>
                <w:szCs w:val="24"/>
              </w:rPr>
              <w:t xml:space="preserve"> </w:t>
            </w:r>
          </w:p>
        </w:tc>
        <w:tc>
          <w:tcPr>
            <w:tcW w:w="6065" w:type="dxa"/>
            <w:noWrap/>
            <w:vAlign w:val="center"/>
          </w:tcPr>
          <w:p w:rsidR="00C95FF9" w:rsidRPr="00DA6400" w:rsidP="00DD1D1A" w14:paraId="63A42705" w14:textId="77777777">
            <w:pPr>
              <w:pStyle w:val="ListParagraph"/>
              <w:numPr>
                <w:ilvl w:val="0"/>
                <w:numId w:val="2"/>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What services did PHAs plan to deliver, and how were the programs implemented over time?</w:t>
            </w:r>
          </w:p>
          <w:p w:rsidR="00B43515" w:rsidRPr="00DA6400" w:rsidP="00DD1D1A" w14:paraId="4E3A0DE4" w14:textId="77777777">
            <w:pPr>
              <w:pStyle w:val="ListParagraph"/>
              <w:numPr>
                <w:ilvl w:val="0"/>
                <w:numId w:val="2"/>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To what extent did the PHAs succeed in engaging participants in services as intended?</w:t>
            </w:r>
          </w:p>
          <w:p w:rsidR="00B43515" w:rsidRPr="00DA6400" w:rsidP="00DD1D1A" w14:paraId="4513FA32" w14:textId="77777777">
            <w:pPr>
              <w:pStyle w:val="ListParagraph"/>
              <w:numPr>
                <w:ilvl w:val="0"/>
                <w:numId w:val="2"/>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What local factors may have affected the outcomes</w:t>
            </w:r>
            <w:r w:rsidRPr="00DA6400" w:rsidR="00D57E5F">
              <w:rPr>
                <w:rFonts w:ascii="Times New Roman" w:eastAsia="Times New Roman" w:hAnsi="Times New Roman" w:cs="Times New Roman"/>
                <w:color w:val="000000" w:themeColor="text1"/>
                <w:sz w:val="24"/>
                <w:szCs w:val="24"/>
              </w:rPr>
              <w:t xml:space="preserve"> of treatment and control group members?</w:t>
            </w:r>
          </w:p>
          <w:p w:rsidR="00D57E5F" w:rsidRPr="00DA6400" w:rsidP="00DD1D1A" w14:paraId="017B299D" w14:textId="77777777">
            <w:pPr>
              <w:pStyle w:val="ListParagraph"/>
              <w:numPr>
                <w:ilvl w:val="0"/>
                <w:numId w:val="2"/>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Who did and did not participate in the asset building programs?</w:t>
            </w:r>
          </w:p>
          <w:p w:rsidR="00D57E5F" w:rsidRPr="00DA6400" w:rsidP="00DD1D1A" w14:paraId="70B47714" w14:textId="77777777">
            <w:pPr>
              <w:pStyle w:val="ListParagraph"/>
              <w:numPr>
                <w:ilvl w:val="0"/>
                <w:numId w:val="2"/>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What did it cost the PHA to set up and run each asset building program?</w:t>
            </w:r>
          </w:p>
          <w:p w:rsidR="00296198" w:rsidRPr="00DA6400" w:rsidP="00DD1D1A" w14:paraId="5F2CD400" w14:textId="77777777">
            <w:pPr>
              <w:pStyle w:val="ListParagraph"/>
              <w:numPr>
                <w:ilvl w:val="0"/>
                <w:numId w:val="2"/>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What lessons did the PHAs learn?</w:t>
            </w:r>
          </w:p>
          <w:p w:rsidR="00296198" w:rsidRPr="00DA6400" w:rsidP="00DD1D1A" w14:paraId="7FC1B026" w14:textId="631A9D01">
            <w:pPr>
              <w:pStyle w:val="ListParagraph"/>
              <w:numPr>
                <w:ilvl w:val="0"/>
                <w:numId w:val="2"/>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What lessons did participants learn?</w:t>
            </w:r>
          </w:p>
        </w:tc>
      </w:tr>
      <w:tr w14:paraId="4042436C" w14:textId="77777777" w:rsidTr="0EF23BC9">
        <w:tblPrEx>
          <w:tblW w:w="10285" w:type="dxa"/>
          <w:tblLook w:val="04A0"/>
        </w:tblPrEx>
        <w:trPr>
          <w:trHeight w:val="556"/>
        </w:trPr>
        <w:tc>
          <w:tcPr>
            <w:tcW w:w="4220" w:type="dxa"/>
            <w:noWrap/>
            <w:vAlign w:val="center"/>
            <w:hideMark/>
          </w:tcPr>
          <w:p w:rsidR="00296198" w:rsidRPr="00DA6400" w:rsidP="00DD1D1A" w14:paraId="32DFCAEF" w14:textId="16D3950C">
            <w:pPr>
              <w:spacing w:after="0"/>
              <w:rPr>
                <w:b/>
                <w:bCs/>
                <w:sz w:val="24"/>
                <w:szCs w:val="24"/>
              </w:rPr>
            </w:pPr>
            <w:r w:rsidRPr="00DA6400">
              <w:rPr>
                <w:b/>
                <w:bCs/>
                <w:sz w:val="24"/>
                <w:szCs w:val="24"/>
              </w:rPr>
              <w:t>Impact Stu</w:t>
            </w:r>
            <w:r w:rsidRPr="00DA6400" w:rsidR="0054733E">
              <w:rPr>
                <w:b/>
                <w:bCs/>
                <w:sz w:val="24"/>
                <w:szCs w:val="24"/>
              </w:rPr>
              <w:t>d</w:t>
            </w:r>
            <w:r w:rsidRPr="00DA6400">
              <w:rPr>
                <w:b/>
                <w:bCs/>
                <w:sz w:val="24"/>
                <w:szCs w:val="24"/>
              </w:rPr>
              <w:t>ies</w:t>
            </w:r>
            <w:r w:rsidRPr="00DA6400">
              <w:rPr>
                <w:b/>
                <w:bCs/>
                <w:sz w:val="24"/>
                <w:szCs w:val="24"/>
              </w:rPr>
              <w:t>:</w:t>
            </w:r>
          </w:p>
          <w:p w:rsidR="00005CD6" w:rsidRPr="00DA6400" w:rsidP="00DD1D1A" w14:paraId="6595E71B" w14:textId="77777777">
            <w:pPr>
              <w:pStyle w:val="ListParagraph"/>
              <w:numPr>
                <w:ilvl w:val="0"/>
                <w:numId w:val="19"/>
              </w:numPr>
              <w:spacing w:after="0"/>
              <w:rPr>
                <w:rFonts w:ascii="Times New Roman" w:eastAsia="Times New Roman" w:hAnsi="Times New Roman" w:cs="Times New Roman"/>
                <w:b/>
                <w:bCs/>
                <w:sz w:val="24"/>
                <w:szCs w:val="24"/>
              </w:rPr>
            </w:pPr>
            <w:r w:rsidRPr="00DA6400">
              <w:rPr>
                <w:rFonts w:ascii="Times New Roman" w:eastAsia="Times New Roman" w:hAnsi="Times New Roman" w:cs="Times New Roman"/>
                <w:b/>
                <w:bCs/>
                <w:sz w:val="24"/>
                <w:szCs w:val="24"/>
              </w:rPr>
              <w:t xml:space="preserve">Rent reporting for credit </w:t>
            </w:r>
            <w:r w:rsidRPr="00DA6400">
              <w:rPr>
                <w:rFonts w:ascii="Times New Roman" w:eastAsia="Times New Roman" w:hAnsi="Times New Roman" w:cs="Times New Roman"/>
                <w:b/>
                <w:bCs/>
                <w:sz w:val="24"/>
                <w:szCs w:val="24"/>
              </w:rPr>
              <w:t>building</w:t>
            </w:r>
          </w:p>
          <w:p w:rsidR="00C95FF9" w:rsidRPr="00DA6400" w:rsidP="00DD1D1A" w14:paraId="002FBD05" w14:textId="6D2AEE03">
            <w:pPr>
              <w:pStyle w:val="ListParagraph"/>
              <w:numPr>
                <w:ilvl w:val="1"/>
                <w:numId w:val="19"/>
              </w:numPr>
              <w:spacing w:after="0"/>
              <w:rPr>
                <w:rFonts w:ascii="Times New Roman" w:eastAsia="Times New Roman" w:hAnsi="Times New Roman" w:cs="Times New Roman"/>
                <w:b/>
                <w:bCs/>
                <w:sz w:val="24"/>
                <w:szCs w:val="24"/>
              </w:rPr>
            </w:pPr>
            <w:r w:rsidRPr="00DA6400">
              <w:rPr>
                <w:rFonts w:ascii="Times New Roman" w:eastAsia="Times New Roman" w:hAnsi="Times New Roman" w:cs="Times New Roman"/>
                <w:b/>
                <w:bCs/>
                <w:sz w:val="24"/>
                <w:szCs w:val="24"/>
              </w:rPr>
              <w:t xml:space="preserve"> </w:t>
            </w:r>
            <w:r w:rsidRPr="00DA6400" w:rsidR="00110B4C">
              <w:rPr>
                <w:rFonts w:ascii="Times New Roman" w:eastAsia="Times New Roman" w:hAnsi="Times New Roman" w:cs="Times New Roman"/>
                <w:b/>
                <w:bCs/>
                <w:sz w:val="24"/>
                <w:szCs w:val="24"/>
              </w:rPr>
              <w:t>Q</w:t>
            </w:r>
            <w:r w:rsidRPr="00DA6400" w:rsidR="00EC19E3">
              <w:rPr>
                <w:rFonts w:ascii="Times New Roman" w:eastAsia="Times New Roman" w:hAnsi="Times New Roman" w:cs="Times New Roman"/>
                <w:b/>
                <w:bCs/>
                <w:sz w:val="24"/>
                <w:szCs w:val="24"/>
              </w:rPr>
              <w:t>uantitative study</w:t>
            </w:r>
            <w:r w:rsidRPr="00DA6400" w:rsidR="00F10BF8">
              <w:rPr>
                <w:rFonts w:ascii="Times New Roman" w:eastAsia="Times New Roman" w:hAnsi="Times New Roman" w:cs="Times New Roman"/>
                <w:b/>
                <w:bCs/>
                <w:sz w:val="24"/>
                <w:szCs w:val="24"/>
              </w:rPr>
              <w:t xml:space="preserve"> of impact on credit scores</w:t>
            </w:r>
          </w:p>
          <w:p w:rsidR="00110B4C" w:rsidRPr="00DA6400" w:rsidP="00DD1D1A" w14:paraId="18A33F60" w14:textId="77777777">
            <w:pPr>
              <w:pStyle w:val="ListParagraph"/>
              <w:numPr>
                <w:ilvl w:val="1"/>
                <w:numId w:val="19"/>
              </w:numPr>
              <w:spacing w:after="0"/>
              <w:rPr>
                <w:rFonts w:ascii="Times New Roman" w:eastAsia="Times New Roman" w:hAnsi="Times New Roman" w:cs="Times New Roman"/>
                <w:b/>
                <w:bCs/>
                <w:sz w:val="24"/>
                <w:szCs w:val="24"/>
              </w:rPr>
            </w:pPr>
            <w:r w:rsidRPr="00DA6400">
              <w:rPr>
                <w:rFonts w:ascii="Times New Roman" w:eastAsia="Times New Roman" w:hAnsi="Times New Roman" w:cs="Times New Roman"/>
                <w:b/>
                <w:bCs/>
                <w:sz w:val="24"/>
                <w:szCs w:val="24"/>
              </w:rPr>
              <w:t>Qualitative study of family experiences with rent reporting</w:t>
            </w:r>
          </w:p>
          <w:p w:rsidR="00005CD6" w:rsidRPr="00DA6400" w:rsidP="00DD1D1A" w14:paraId="4D2B7A60" w14:textId="165987F2">
            <w:pPr>
              <w:pStyle w:val="ListParagraph"/>
              <w:numPr>
                <w:ilvl w:val="0"/>
                <w:numId w:val="19"/>
              </w:numPr>
              <w:spacing w:after="0"/>
              <w:rPr>
                <w:rFonts w:ascii="Times New Roman" w:eastAsia="Times New Roman" w:hAnsi="Times New Roman" w:cs="Times New Roman"/>
                <w:b/>
                <w:bCs/>
                <w:sz w:val="24"/>
                <w:szCs w:val="24"/>
              </w:rPr>
            </w:pPr>
            <w:r w:rsidRPr="00DA6400">
              <w:rPr>
                <w:rFonts w:ascii="Times New Roman" w:eastAsia="Times New Roman" w:hAnsi="Times New Roman" w:cs="Times New Roman"/>
                <w:b/>
                <w:bCs/>
                <w:sz w:val="24"/>
                <w:szCs w:val="24"/>
              </w:rPr>
              <w:t xml:space="preserve">Opt-out Savings Account </w:t>
            </w:r>
            <w:r w:rsidRPr="00DA6400">
              <w:rPr>
                <w:rFonts w:ascii="Times New Roman" w:eastAsia="Times New Roman" w:hAnsi="Times New Roman" w:cs="Times New Roman"/>
                <w:b/>
                <w:bCs/>
                <w:sz w:val="24"/>
                <w:szCs w:val="24"/>
              </w:rPr>
              <w:t>program</w:t>
            </w:r>
          </w:p>
          <w:p w:rsidR="0018214C" w:rsidRPr="00DA6400" w:rsidP="00DD1D1A" w14:paraId="1A0C2C89" w14:textId="357D4700">
            <w:pPr>
              <w:pStyle w:val="ListParagraph"/>
              <w:numPr>
                <w:ilvl w:val="1"/>
                <w:numId w:val="19"/>
              </w:numPr>
              <w:spacing w:after="0"/>
              <w:rPr>
                <w:rFonts w:ascii="Times New Roman" w:eastAsia="Times New Roman" w:hAnsi="Times New Roman" w:cs="Times New Roman"/>
                <w:b/>
                <w:bCs/>
                <w:sz w:val="24"/>
                <w:szCs w:val="24"/>
              </w:rPr>
            </w:pPr>
            <w:r w:rsidRPr="00DA6400">
              <w:rPr>
                <w:rFonts w:ascii="Times New Roman" w:eastAsia="Times New Roman" w:hAnsi="Times New Roman" w:cs="Times New Roman"/>
                <w:b/>
                <w:bCs/>
                <w:sz w:val="24"/>
                <w:szCs w:val="24"/>
              </w:rPr>
              <w:t>Household survey</w:t>
            </w:r>
          </w:p>
          <w:p w:rsidR="00005CD6" w:rsidRPr="00DA6400" w:rsidP="00DD1D1A" w14:paraId="53F0E7CA" w14:textId="0B549F02">
            <w:pPr>
              <w:spacing w:after="0"/>
              <w:rPr>
                <w:b/>
                <w:bCs/>
                <w:sz w:val="24"/>
                <w:szCs w:val="24"/>
              </w:rPr>
            </w:pPr>
          </w:p>
        </w:tc>
        <w:tc>
          <w:tcPr>
            <w:tcW w:w="6065" w:type="dxa"/>
            <w:noWrap/>
            <w:vAlign w:val="center"/>
          </w:tcPr>
          <w:p w:rsidR="002C2F3A" w:rsidRPr="00DA6400" w:rsidP="00DD1D1A" w14:paraId="0454093F" w14:textId="77777777">
            <w:pPr>
              <w:pStyle w:val="ListParagraph"/>
              <w:numPr>
                <w:ilvl w:val="0"/>
                <w:numId w:val="3"/>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What is the impact of the opt-out savings program on assisted households’ ability to build and maintain an emergency savings fund that helps them avoid material hardships</w:t>
            </w:r>
            <w:r w:rsidRPr="00DA6400" w:rsidR="008D7F4F">
              <w:rPr>
                <w:rFonts w:ascii="Times New Roman" w:eastAsia="Times New Roman" w:hAnsi="Times New Roman" w:cs="Times New Roman"/>
                <w:color w:val="000000" w:themeColor="text1"/>
                <w:sz w:val="24"/>
                <w:szCs w:val="24"/>
              </w:rPr>
              <w:t xml:space="preserve">? </w:t>
            </w:r>
          </w:p>
          <w:p w:rsidR="00C95FF9" w:rsidRPr="00DA6400" w:rsidP="00DD1D1A" w14:paraId="4F23465F" w14:textId="0E0F8452">
            <w:pPr>
              <w:pStyle w:val="ListParagraph"/>
              <w:numPr>
                <w:ilvl w:val="0"/>
                <w:numId w:val="3"/>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 xml:space="preserve">What is the impact on </w:t>
            </w:r>
            <w:r w:rsidRPr="00DA6400">
              <w:rPr>
                <w:rFonts w:ascii="Times New Roman" w:eastAsia="Times New Roman" w:hAnsi="Times New Roman" w:cs="Times New Roman"/>
                <w:color w:val="000000" w:themeColor="text1"/>
                <w:sz w:val="24"/>
                <w:szCs w:val="24"/>
              </w:rPr>
              <w:t>ability</w:t>
            </w:r>
            <w:r w:rsidRPr="00DA6400">
              <w:rPr>
                <w:rFonts w:ascii="Times New Roman" w:eastAsia="Times New Roman" w:hAnsi="Times New Roman" w:cs="Times New Roman"/>
                <w:color w:val="000000" w:themeColor="text1"/>
                <w:sz w:val="24"/>
                <w:szCs w:val="24"/>
              </w:rPr>
              <w:t xml:space="preserve"> to use traditional financial products and decrease reliance on high-cost alternative financial products?</w:t>
            </w:r>
          </w:p>
          <w:p w:rsidR="002675B8" w:rsidRPr="00DA6400" w:rsidP="00DD1D1A" w14:paraId="0B1CCAFF" w14:textId="79B03C48">
            <w:pPr>
              <w:pStyle w:val="ListParagraph"/>
              <w:numPr>
                <w:ilvl w:val="0"/>
                <w:numId w:val="3"/>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 xml:space="preserve">What is the impact of the rent reporting program on the credit profiles of assisted households? </w:t>
            </w:r>
          </w:p>
          <w:p w:rsidR="002C2F3A" w:rsidRPr="00DA6400" w:rsidP="00DD1D1A" w14:paraId="629C8C46" w14:textId="77777777">
            <w:pPr>
              <w:pStyle w:val="ListParagraph"/>
              <w:numPr>
                <w:ilvl w:val="0"/>
                <w:numId w:val="3"/>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 xml:space="preserve">How </w:t>
            </w:r>
            <w:r w:rsidRPr="00DA6400" w:rsidR="00D05A6E">
              <w:rPr>
                <w:rFonts w:ascii="Times New Roman" w:eastAsia="Times New Roman" w:hAnsi="Times New Roman" w:cs="Times New Roman"/>
                <w:color w:val="000000" w:themeColor="text1"/>
                <w:sz w:val="24"/>
                <w:szCs w:val="24"/>
              </w:rPr>
              <w:t>do</w:t>
            </w:r>
            <w:r w:rsidRPr="00DA6400" w:rsidR="003E3382">
              <w:rPr>
                <w:rFonts w:ascii="Times New Roman" w:eastAsia="Times New Roman" w:hAnsi="Times New Roman" w:cs="Times New Roman"/>
                <w:color w:val="000000" w:themeColor="text1"/>
                <w:sz w:val="24"/>
                <w:szCs w:val="24"/>
              </w:rPr>
              <w:t xml:space="preserve"> families understand </w:t>
            </w:r>
            <w:r w:rsidRPr="00DA6400" w:rsidR="00D05A6E">
              <w:rPr>
                <w:rFonts w:ascii="Times New Roman" w:eastAsia="Times New Roman" w:hAnsi="Times New Roman" w:cs="Times New Roman"/>
                <w:color w:val="000000" w:themeColor="text1"/>
                <w:sz w:val="24"/>
                <w:szCs w:val="24"/>
              </w:rPr>
              <w:t>the rent reporting for credit building program</w:t>
            </w:r>
            <w:r w:rsidRPr="00DA6400" w:rsidR="003E3382">
              <w:rPr>
                <w:rFonts w:ascii="Times New Roman" w:eastAsia="Times New Roman" w:hAnsi="Times New Roman" w:cs="Times New Roman"/>
                <w:color w:val="000000" w:themeColor="text1"/>
                <w:sz w:val="24"/>
                <w:szCs w:val="24"/>
              </w:rPr>
              <w:t xml:space="preserve"> in the context of their financial situations?  </w:t>
            </w:r>
          </w:p>
          <w:p w:rsidR="00542C2A" w:rsidRPr="00DA6400" w:rsidP="00DD1D1A" w14:paraId="7AB9AD82" w14:textId="26F365FE">
            <w:pPr>
              <w:pStyle w:val="ListParagraph"/>
              <w:numPr>
                <w:ilvl w:val="0"/>
                <w:numId w:val="3"/>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How do</w:t>
            </w:r>
            <w:r w:rsidRPr="00DA6400" w:rsidR="00A137CE">
              <w:rPr>
                <w:rFonts w:ascii="Times New Roman" w:eastAsia="Times New Roman" w:hAnsi="Times New Roman" w:cs="Times New Roman"/>
                <w:color w:val="000000" w:themeColor="text1"/>
                <w:sz w:val="24"/>
                <w:szCs w:val="24"/>
              </w:rPr>
              <w:t xml:space="preserve"> their understandings of their credit reports and scores change over </w:t>
            </w:r>
            <w:r w:rsidRPr="00DA6400" w:rsidR="00A137CE">
              <w:rPr>
                <w:rFonts w:ascii="Times New Roman" w:eastAsia="Times New Roman" w:hAnsi="Times New Roman" w:cs="Times New Roman"/>
                <w:color w:val="000000" w:themeColor="text1"/>
                <w:sz w:val="24"/>
                <w:szCs w:val="24"/>
              </w:rPr>
              <w:t>time</w:t>
            </w:r>
            <w:r w:rsidRPr="00DA6400" w:rsidR="00A137CE">
              <w:rPr>
                <w:rFonts w:ascii="Times New Roman" w:eastAsia="Times New Roman" w:hAnsi="Times New Roman" w:cs="Times New Roman"/>
                <w:color w:val="000000" w:themeColor="text1"/>
                <w:sz w:val="24"/>
                <w:szCs w:val="24"/>
              </w:rPr>
              <w:t xml:space="preserve"> and do they </w:t>
            </w:r>
            <w:r w:rsidRPr="00DA6400" w:rsidR="0031152E">
              <w:rPr>
                <w:rFonts w:ascii="Times New Roman" w:eastAsia="Times New Roman" w:hAnsi="Times New Roman" w:cs="Times New Roman"/>
                <w:color w:val="000000" w:themeColor="text1"/>
                <w:sz w:val="24"/>
                <w:szCs w:val="24"/>
              </w:rPr>
              <w:t xml:space="preserve">believe that </w:t>
            </w:r>
            <w:r w:rsidRPr="00DA6400" w:rsidR="0031152E">
              <w:rPr>
                <w:rFonts w:ascii="Times New Roman" w:eastAsia="Times New Roman" w:hAnsi="Times New Roman" w:cs="Times New Roman"/>
                <w:color w:val="000000" w:themeColor="text1"/>
                <w:sz w:val="24"/>
                <w:szCs w:val="24"/>
              </w:rPr>
              <w:t xml:space="preserve">participation </w:t>
            </w:r>
            <w:r w:rsidRPr="00DA6400" w:rsidR="00D647F2">
              <w:rPr>
                <w:rFonts w:ascii="Times New Roman" w:eastAsia="Times New Roman" w:hAnsi="Times New Roman" w:cs="Times New Roman"/>
                <w:color w:val="000000" w:themeColor="text1"/>
                <w:sz w:val="24"/>
                <w:szCs w:val="24"/>
              </w:rPr>
              <w:t>in the rent reporting program</w:t>
            </w:r>
            <w:r w:rsidRPr="00DA6400" w:rsidR="0031152E">
              <w:rPr>
                <w:rFonts w:ascii="Times New Roman" w:eastAsia="Times New Roman" w:hAnsi="Times New Roman" w:cs="Times New Roman"/>
                <w:color w:val="000000" w:themeColor="text1"/>
                <w:sz w:val="24"/>
                <w:szCs w:val="24"/>
              </w:rPr>
              <w:t xml:space="preserve"> changed their financial situation or financial management</w:t>
            </w:r>
            <w:r w:rsidRPr="00DA6400" w:rsidR="00D647F2">
              <w:rPr>
                <w:rFonts w:ascii="Times New Roman" w:eastAsia="Times New Roman" w:hAnsi="Times New Roman" w:cs="Times New Roman"/>
                <w:color w:val="000000" w:themeColor="text1"/>
                <w:sz w:val="24"/>
                <w:szCs w:val="24"/>
              </w:rPr>
              <w:t>?</w:t>
            </w:r>
          </w:p>
        </w:tc>
      </w:tr>
      <w:tr w14:paraId="1C28A2F7" w14:textId="77777777" w:rsidTr="0EF23BC9">
        <w:tblPrEx>
          <w:tblW w:w="10285" w:type="dxa"/>
          <w:tblLook w:val="04A0"/>
        </w:tblPrEx>
        <w:trPr>
          <w:trHeight w:val="556"/>
        </w:trPr>
        <w:tc>
          <w:tcPr>
            <w:tcW w:w="4220" w:type="dxa"/>
            <w:noWrap/>
            <w:vAlign w:val="center"/>
          </w:tcPr>
          <w:p w:rsidR="002C5437" w:rsidRPr="00DA6400" w:rsidP="00DD1D1A" w14:paraId="03C7D0A1" w14:textId="74E66DB0">
            <w:pPr>
              <w:spacing w:after="0"/>
              <w:rPr>
                <w:b/>
                <w:bCs/>
                <w:sz w:val="24"/>
                <w:szCs w:val="24"/>
              </w:rPr>
            </w:pPr>
            <w:r w:rsidRPr="00DA6400">
              <w:rPr>
                <w:b/>
                <w:bCs/>
                <w:sz w:val="24"/>
                <w:szCs w:val="24"/>
              </w:rPr>
              <w:t>Rent Reporting Simulation (Optional Task)</w:t>
            </w:r>
          </w:p>
        </w:tc>
        <w:tc>
          <w:tcPr>
            <w:tcW w:w="6065" w:type="dxa"/>
            <w:noWrap/>
            <w:vAlign w:val="center"/>
          </w:tcPr>
          <w:p w:rsidR="002C5437" w:rsidRPr="00DA6400" w:rsidP="00DD1D1A" w14:paraId="239B6970" w14:textId="77C9C5CC">
            <w:pPr>
              <w:pStyle w:val="ListParagraph"/>
              <w:numPr>
                <w:ilvl w:val="0"/>
                <w:numId w:val="1"/>
              </w:numPr>
              <w:spacing w:after="0" w:line="240" w:lineRule="auto"/>
              <w:rPr>
                <w:rFonts w:ascii="Times New Roman" w:eastAsia="Calibri" w:hAnsi="Times New Roman" w:cs="Times New Roman"/>
                <w:color w:val="000000"/>
                <w:sz w:val="24"/>
                <w:szCs w:val="24"/>
              </w:rPr>
            </w:pPr>
            <w:r w:rsidRPr="00DA6400">
              <w:rPr>
                <w:rFonts w:ascii="Times New Roman" w:eastAsia="Times New Roman" w:hAnsi="Times New Roman" w:cs="Times New Roman"/>
                <w:color w:val="000000" w:themeColor="text1"/>
                <w:sz w:val="24"/>
                <w:szCs w:val="24"/>
              </w:rPr>
              <w:t>How would the credit scores of families who didn’t volunteer to participate in the rent reporting program have been affected if t</w:t>
            </w:r>
            <w:r w:rsidRPr="00DA6400" w:rsidR="00664AA1">
              <w:rPr>
                <w:rFonts w:ascii="Times New Roman" w:eastAsia="Times New Roman" w:hAnsi="Times New Roman" w:cs="Times New Roman"/>
                <w:color w:val="000000" w:themeColor="text1"/>
                <w:sz w:val="24"/>
                <w:szCs w:val="24"/>
              </w:rPr>
              <w:t>hey had had their rental payments reported to credit agencies?</w:t>
            </w:r>
          </w:p>
        </w:tc>
      </w:tr>
    </w:tbl>
    <w:p w:rsidR="00C95FF9" w:rsidRPr="00DA6400" w:rsidP="0012090A" w14:paraId="4F235363" w14:textId="77777777">
      <w:pPr>
        <w:spacing w:after="0"/>
        <w:rPr>
          <w:sz w:val="24"/>
          <w:szCs w:val="24"/>
        </w:rPr>
      </w:pPr>
    </w:p>
    <w:p w:rsidR="00F82DFC" w:rsidRPr="00DA6400" w:rsidP="0012090A" w14:paraId="5827C38C" w14:textId="5D7AE7A1">
      <w:pPr>
        <w:pStyle w:val="BodyText"/>
        <w:spacing w:after="0"/>
        <w:rPr>
          <w:sz w:val="24"/>
          <w:szCs w:val="24"/>
        </w:rPr>
      </w:pPr>
      <w:r w:rsidRPr="00DA6400">
        <w:rPr>
          <w:sz w:val="24"/>
          <w:szCs w:val="24"/>
        </w:rPr>
        <w:t>To answer the research questions, the evaluation will collect data from multiple sources, including:</w:t>
      </w:r>
    </w:p>
    <w:p w:rsidR="0012090A" w:rsidRPr="00DA6400" w:rsidP="000B02B2" w14:paraId="72A18096" w14:textId="44312AD2">
      <w:pPr>
        <w:pStyle w:val="BodyText"/>
        <w:numPr>
          <w:ilvl w:val="0"/>
          <w:numId w:val="20"/>
        </w:numPr>
        <w:spacing w:after="0"/>
        <w:rPr>
          <w:sz w:val="24"/>
          <w:szCs w:val="24"/>
        </w:rPr>
      </w:pPr>
      <w:r w:rsidRPr="00DA6400">
        <w:rPr>
          <w:sz w:val="24"/>
          <w:szCs w:val="24"/>
        </w:rPr>
        <w:t>Administrative Data</w:t>
      </w:r>
    </w:p>
    <w:p w:rsidR="0012090A" w:rsidRPr="00DA6400" w:rsidP="000B02B2" w14:paraId="3BD69D72" w14:textId="005C70D9">
      <w:pPr>
        <w:pStyle w:val="BodyText"/>
        <w:numPr>
          <w:ilvl w:val="1"/>
          <w:numId w:val="20"/>
        </w:numPr>
        <w:spacing w:after="0"/>
        <w:rPr>
          <w:sz w:val="24"/>
          <w:szCs w:val="24"/>
        </w:rPr>
      </w:pPr>
      <w:r w:rsidRPr="00DA6400">
        <w:rPr>
          <w:sz w:val="24"/>
          <w:szCs w:val="24"/>
        </w:rPr>
        <w:t>Credit agency data to measure credit scores</w:t>
      </w:r>
    </w:p>
    <w:p w:rsidR="00AF1FAC" w:rsidRPr="00DA6400" w:rsidP="000B02B2" w14:paraId="609B55F4" w14:textId="73F52980">
      <w:pPr>
        <w:pStyle w:val="BodyText"/>
        <w:numPr>
          <w:ilvl w:val="1"/>
          <w:numId w:val="20"/>
        </w:numPr>
        <w:spacing w:after="0"/>
        <w:rPr>
          <w:sz w:val="24"/>
          <w:szCs w:val="24"/>
        </w:rPr>
      </w:pPr>
      <w:r w:rsidRPr="00DA6400">
        <w:rPr>
          <w:sz w:val="24"/>
          <w:szCs w:val="24"/>
        </w:rPr>
        <w:t xml:space="preserve">HUD administrative data to describe household income and </w:t>
      </w:r>
      <w:r w:rsidRPr="00DA6400">
        <w:rPr>
          <w:sz w:val="24"/>
          <w:szCs w:val="24"/>
        </w:rPr>
        <w:t>demographics</w:t>
      </w:r>
    </w:p>
    <w:p w:rsidR="00AF1FAC" w:rsidRPr="00DA6400" w:rsidP="000B02B2" w14:paraId="5E26D572" w14:textId="4D2B47C5">
      <w:pPr>
        <w:pStyle w:val="BodyText"/>
        <w:numPr>
          <w:ilvl w:val="1"/>
          <w:numId w:val="20"/>
        </w:numPr>
        <w:spacing w:after="0"/>
        <w:rPr>
          <w:sz w:val="24"/>
          <w:szCs w:val="24"/>
        </w:rPr>
      </w:pPr>
      <w:r w:rsidRPr="00DA6400">
        <w:rPr>
          <w:sz w:val="24"/>
          <w:szCs w:val="24"/>
        </w:rPr>
        <w:t xml:space="preserve">PHA data to enable random selection of households for the study </w:t>
      </w:r>
      <w:r w:rsidRPr="00DA6400">
        <w:rPr>
          <w:sz w:val="24"/>
          <w:szCs w:val="24"/>
        </w:rPr>
        <w:t>samples</w:t>
      </w:r>
    </w:p>
    <w:p w:rsidR="008E377C" w:rsidRPr="00DA6400" w:rsidP="000B02B2" w14:paraId="57800762" w14:textId="37C434FF">
      <w:pPr>
        <w:pStyle w:val="BodyText"/>
        <w:numPr>
          <w:ilvl w:val="0"/>
          <w:numId w:val="20"/>
        </w:numPr>
        <w:spacing w:after="0"/>
        <w:rPr>
          <w:sz w:val="24"/>
          <w:szCs w:val="24"/>
        </w:rPr>
      </w:pPr>
      <w:r w:rsidRPr="00DA6400">
        <w:rPr>
          <w:sz w:val="24"/>
          <w:szCs w:val="24"/>
        </w:rPr>
        <w:t>Program Data</w:t>
      </w:r>
    </w:p>
    <w:p w:rsidR="005B1939" w:rsidRPr="00DA6400" w:rsidP="000B02B2" w14:paraId="46E3EABF" w14:textId="61CB837C">
      <w:pPr>
        <w:pStyle w:val="BodyText"/>
        <w:numPr>
          <w:ilvl w:val="1"/>
          <w:numId w:val="20"/>
        </w:numPr>
        <w:spacing w:after="0"/>
        <w:rPr>
          <w:sz w:val="24"/>
          <w:szCs w:val="24"/>
        </w:rPr>
      </w:pPr>
      <w:r w:rsidRPr="00DA6400">
        <w:rPr>
          <w:sz w:val="24"/>
          <w:szCs w:val="24"/>
        </w:rPr>
        <w:t xml:space="preserve">Program documents to describe program implementation and outreach to </w:t>
      </w:r>
      <w:r w:rsidRPr="00DA6400">
        <w:rPr>
          <w:sz w:val="24"/>
          <w:szCs w:val="24"/>
        </w:rPr>
        <w:t>households</w:t>
      </w:r>
    </w:p>
    <w:p w:rsidR="00756325" w:rsidRPr="00DA6400" w:rsidP="000B02B2" w14:paraId="7CC268ED" w14:textId="2F95F326">
      <w:pPr>
        <w:pStyle w:val="BodyText"/>
        <w:numPr>
          <w:ilvl w:val="1"/>
          <w:numId w:val="20"/>
        </w:numPr>
        <w:spacing w:after="0"/>
        <w:rPr>
          <w:sz w:val="24"/>
          <w:szCs w:val="24"/>
        </w:rPr>
      </w:pPr>
      <w:r w:rsidRPr="00DA6400">
        <w:rPr>
          <w:sz w:val="24"/>
          <w:szCs w:val="24"/>
        </w:rPr>
        <w:t>Program data to describe program implementation, such as how many households participated</w:t>
      </w:r>
      <w:r w:rsidRPr="00DA6400" w:rsidR="00C46355">
        <w:rPr>
          <w:sz w:val="24"/>
          <w:szCs w:val="24"/>
        </w:rPr>
        <w:t>,</w:t>
      </w:r>
      <w:r w:rsidRPr="00DA6400">
        <w:rPr>
          <w:sz w:val="24"/>
          <w:szCs w:val="24"/>
        </w:rPr>
        <w:t xml:space="preserve"> how much money was deposited by the PHA into the opt-out savings account</w:t>
      </w:r>
      <w:r w:rsidRPr="00DA6400" w:rsidR="00C46355">
        <w:rPr>
          <w:sz w:val="24"/>
          <w:szCs w:val="24"/>
        </w:rPr>
        <w:t xml:space="preserve">, and how much the PHA paid to the partner </w:t>
      </w:r>
      <w:r w:rsidRPr="00DA6400" w:rsidR="00C46355">
        <w:rPr>
          <w:sz w:val="24"/>
          <w:szCs w:val="24"/>
        </w:rPr>
        <w:t>organizations</w:t>
      </w:r>
    </w:p>
    <w:p w:rsidR="00F60AB5" w:rsidRPr="00DA6400" w:rsidP="000B02B2" w14:paraId="07704A59" w14:textId="7DAFC698">
      <w:pPr>
        <w:pStyle w:val="BodyText"/>
        <w:numPr>
          <w:ilvl w:val="0"/>
          <w:numId w:val="20"/>
        </w:numPr>
        <w:spacing w:after="0"/>
        <w:rPr>
          <w:sz w:val="24"/>
          <w:szCs w:val="24"/>
        </w:rPr>
      </w:pPr>
      <w:r w:rsidRPr="00DA6400">
        <w:rPr>
          <w:sz w:val="24"/>
          <w:szCs w:val="24"/>
        </w:rPr>
        <w:t>Primary Data</w:t>
      </w:r>
    </w:p>
    <w:p w:rsidR="0094631C" w:rsidRPr="00DA6400" w:rsidP="000B02B2" w14:paraId="24CEE7C5" w14:textId="7BDC9130">
      <w:pPr>
        <w:pStyle w:val="BodyText"/>
        <w:numPr>
          <w:ilvl w:val="1"/>
          <w:numId w:val="20"/>
        </w:numPr>
        <w:spacing w:after="0"/>
        <w:rPr>
          <w:sz w:val="24"/>
          <w:szCs w:val="24"/>
        </w:rPr>
      </w:pPr>
      <w:r w:rsidRPr="00DA6400">
        <w:rPr>
          <w:sz w:val="24"/>
          <w:szCs w:val="24"/>
        </w:rPr>
        <w:t>Program implementation i</w:t>
      </w:r>
      <w:r w:rsidRPr="00DA6400">
        <w:rPr>
          <w:sz w:val="24"/>
          <w:szCs w:val="24"/>
        </w:rPr>
        <w:t>nterviews with PHA staff</w:t>
      </w:r>
      <w:r w:rsidRPr="00DA6400" w:rsidR="005D2610">
        <w:rPr>
          <w:sz w:val="24"/>
          <w:szCs w:val="24"/>
        </w:rPr>
        <w:t xml:space="preserve"> (n=5</w:t>
      </w:r>
      <w:r w:rsidRPr="00DA6400" w:rsidR="361C0350">
        <w:rPr>
          <w:sz w:val="24"/>
          <w:szCs w:val="24"/>
        </w:rPr>
        <w:t>1</w:t>
      </w:r>
      <w:r w:rsidRPr="00DA6400" w:rsidR="00C44A8E">
        <w:rPr>
          <w:sz w:val="24"/>
          <w:szCs w:val="24"/>
        </w:rPr>
        <w:t>)</w:t>
      </w:r>
    </w:p>
    <w:p w:rsidR="0094631C" w:rsidRPr="00DA6400" w:rsidP="000B02B2" w14:paraId="309E4948" w14:textId="36FEEB1F">
      <w:pPr>
        <w:pStyle w:val="BodyText"/>
        <w:numPr>
          <w:ilvl w:val="1"/>
          <w:numId w:val="20"/>
        </w:numPr>
        <w:spacing w:after="0"/>
        <w:rPr>
          <w:sz w:val="24"/>
          <w:szCs w:val="24"/>
        </w:rPr>
      </w:pPr>
      <w:r w:rsidRPr="00DA6400">
        <w:rPr>
          <w:sz w:val="24"/>
          <w:szCs w:val="24"/>
        </w:rPr>
        <w:t>Program implementation i</w:t>
      </w:r>
      <w:r w:rsidRPr="00DA6400">
        <w:rPr>
          <w:sz w:val="24"/>
          <w:szCs w:val="24"/>
        </w:rPr>
        <w:t>nterviews with staff of partner organizations</w:t>
      </w:r>
      <w:r w:rsidRPr="00DA6400" w:rsidR="006472D2">
        <w:rPr>
          <w:sz w:val="24"/>
          <w:szCs w:val="24"/>
        </w:rPr>
        <w:t xml:space="preserve"> (n=</w:t>
      </w:r>
      <w:r w:rsidRPr="00DA6400" w:rsidR="005D2610">
        <w:rPr>
          <w:sz w:val="24"/>
          <w:szCs w:val="24"/>
        </w:rPr>
        <w:t>1</w:t>
      </w:r>
      <w:r w:rsidRPr="00DA6400" w:rsidR="3F18D858">
        <w:rPr>
          <w:sz w:val="24"/>
          <w:szCs w:val="24"/>
        </w:rPr>
        <w:t>2</w:t>
      </w:r>
      <w:r w:rsidRPr="00DA6400" w:rsidR="005D2610">
        <w:rPr>
          <w:sz w:val="24"/>
          <w:szCs w:val="24"/>
        </w:rPr>
        <w:t>)</w:t>
      </w:r>
    </w:p>
    <w:p w:rsidR="0094631C" w:rsidRPr="00DA6400" w:rsidP="000B02B2" w14:paraId="436E2B65" w14:textId="3F3C0502">
      <w:pPr>
        <w:pStyle w:val="BodyText"/>
        <w:numPr>
          <w:ilvl w:val="1"/>
          <w:numId w:val="20"/>
        </w:numPr>
        <w:spacing w:after="0"/>
        <w:rPr>
          <w:sz w:val="24"/>
          <w:szCs w:val="24"/>
        </w:rPr>
      </w:pPr>
      <w:r w:rsidRPr="00DA6400">
        <w:rPr>
          <w:sz w:val="24"/>
          <w:szCs w:val="24"/>
        </w:rPr>
        <w:t>Program implementation i</w:t>
      </w:r>
      <w:r w:rsidRPr="00DA6400">
        <w:rPr>
          <w:sz w:val="24"/>
          <w:szCs w:val="24"/>
        </w:rPr>
        <w:t xml:space="preserve">nterviews with HUD-assisted residents (n = </w:t>
      </w:r>
      <w:r w:rsidRPr="00DA6400" w:rsidR="172CF54D">
        <w:rPr>
          <w:sz w:val="24"/>
          <w:szCs w:val="24"/>
        </w:rPr>
        <w:t>10</w:t>
      </w:r>
      <w:r w:rsidRPr="00DA6400" w:rsidR="006472D2">
        <w:rPr>
          <w:sz w:val="24"/>
          <w:szCs w:val="24"/>
        </w:rPr>
        <w:t>)</w:t>
      </w:r>
    </w:p>
    <w:p w:rsidR="0094631C" w:rsidRPr="00DA6400" w:rsidP="000B02B2" w14:paraId="74838C2B" w14:textId="10BDA59D">
      <w:pPr>
        <w:pStyle w:val="BodyText"/>
        <w:numPr>
          <w:ilvl w:val="1"/>
          <w:numId w:val="20"/>
        </w:numPr>
        <w:spacing w:after="0"/>
        <w:rPr>
          <w:sz w:val="24"/>
          <w:szCs w:val="24"/>
        </w:rPr>
      </w:pPr>
      <w:r w:rsidRPr="00DA6400">
        <w:rPr>
          <w:sz w:val="24"/>
          <w:szCs w:val="24"/>
        </w:rPr>
        <w:t xml:space="preserve">Baseline information form for </w:t>
      </w:r>
      <w:r w:rsidRPr="00DA6400" w:rsidR="001C76CC">
        <w:rPr>
          <w:sz w:val="24"/>
          <w:szCs w:val="24"/>
        </w:rPr>
        <w:t>R</w:t>
      </w:r>
      <w:r w:rsidRPr="00DA6400">
        <w:rPr>
          <w:sz w:val="24"/>
          <w:szCs w:val="24"/>
        </w:rPr>
        <w:t xml:space="preserve">ent </w:t>
      </w:r>
      <w:r w:rsidRPr="00DA6400" w:rsidR="001C76CC">
        <w:rPr>
          <w:sz w:val="24"/>
          <w:szCs w:val="24"/>
        </w:rPr>
        <w:t>R</w:t>
      </w:r>
      <w:r w:rsidRPr="00DA6400">
        <w:rPr>
          <w:sz w:val="24"/>
          <w:szCs w:val="24"/>
        </w:rPr>
        <w:t>eporting study participants (n= 300)</w:t>
      </w:r>
    </w:p>
    <w:p w:rsidR="002D5084" w:rsidRPr="00DA6400" w:rsidP="000B02B2" w14:paraId="29214502" w14:textId="1B5509FD">
      <w:pPr>
        <w:pStyle w:val="BodyText"/>
        <w:numPr>
          <w:ilvl w:val="1"/>
          <w:numId w:val="20"/>
        </w:numPr>
        <w:spacing w:after="0"/>
        <w:rPr>
          <w:sz w:val="24"/>
          <w:szCs w:val="24"/>
        </w:rPr>
      </w:pPr>
      <w:r w:rsidRPr="00DA6400">
        <w:rPr>
          <w:sz w:val="24"/>
          <w:szCs w:val="24"/>
        </w:rPr>
        <w:t xml:space="preserve">Informed consent form for </w:t>
      </w:r>
      <w:r w:rsidRPr="00DA6400" w:rsidR="009517C3">
        <w:rPr>
          <w:sz w:val="24"/>
          <w:szCs w:val="24"/>
        </w:rPr>
        <w:t>R</w:t>
      </w:r>
      <w:r w:rsidRPr="00DA6400">
        <w:rPr>
          <w:sz w:val="24"/>
          <w:szCs w:val="24"/>
        </w:rPr>
        <w:t xml:space="preserve">ent </w:t>
      </w:r>
      <w:r w:rsidRPr="00DA6400" w:rsidR="009517C3">
        <w:rPr>
          <w:sz w:val="24"/>
          <w:szCs w:val="24"/>
        </w:rPr>
        <w:t>R</w:t>
      </w:r>
      <w:r w:rsidRPr="00DA6400">
        <w:rPr>
          <w:sz w:val="24"/>
          <w:szCs w:val="24"/>
        </w:rPr>
        <w:t>eporting study participants (n= 300)</w:t>
      </w:r>
    </w:p>
    <w:p w:rsidR="0094631C" w:rsidRPr="00DA6400" w:rsidP="000B02B2" w14:paraId="75A53C96" w14:textId="2C0E2B5F">
      <w:pPr>
        <w:pStyle w:val="BodyText"/>
        <w:numPr>
          <w:ilvl w:val="1"/>
          <w:numId w:val="20"/>
        </w:numPr>
        <w:spacing w:after="0"/>
        <w:rPr>
          <w:sz w:val="24"/>
          <w:szCs w:val="24"/>
        </w:rPr>
      </w:pPr>
      <w:r w:rsidRPr="00DA6400">
        <w:rPr>
          <w:sz w:val="24"/>
          <w:szCs w:val="24"/>
        </w:rPr>
        <w:t>I</w:t>
      </w:r>
      <w:r w:rsidRPr="00DA6400">
        <w:rPr>
          <w:sz w:val="24"/>
          <w:szCs w:val="24"/>
        </w:rPr>
        <w:t xml:space="preserve">nterviews for </w:t>
      </w:r>
      <w:r w:rsidRPr="00DA6400" w:rsidR="009517C3">
        <w:rPr>
          <w:sz w:val="24"/>
          <w:szCs w:val="24"/>
        </w:rPr>
        <w:t>R</w:t>
      </w:r>
      <w:r w:rsidRPr="00DA6400">
        <w:rPr>
          <w:sz w:val="24"/>
          <w:szCs w:val="24"/>
        </w:rPr>
        <w:t xml:space="preserve">ent </w:t>
      </w:r>
      <w:r w:rsidRPr="00DA6400" w:rsidR="009517C3">
        <w:rPr>
          <w:sz w:val="24"/>
          <w:szCs w:val="24"/>
        </w:rPr>
        <w:t>R</w:t>
      </w:r>
      <w:r w:rsidRPr="00DA6400">
        <w:rPr>
          <w:sz w:val="24"/>
          <w:szCs w:val="24"/>
        </w:rPr>
        <w:t xml:space="preserve">eporting </w:t>
      </w:r>
      <w:r w:rsidRPr="00DA6400" w:rsidR="009517C3">
        <w:rPr>
          <w:sz w:val="24"/>
          <w:szCs w:val="24"/>
        </w:rPr>
        <w:t>Q</w:t>
      </w:r>
      <w:r w:rsidRPr="00DA6400">
        <w:rPr>
          <w:sz w:val="24"/>
          <w:szCs w:val="24"/>
        </w:rPr>
        <w:t xml:space="preserve">ualitative study </w:t>
      </w:r>
      <w:r w:rsidRPr="00DA6400" w:rsidR="00A26EE6">
        <w:rPr>
          <w:sz w:val="24"/>
          <w:szCs w:val="24"/>
        </w:rPr>
        <w:t xml:space="preserve">round 1 </w:t>
      </w:r>
      <w:r w:rsidRPr="00DA6400">
        <w:rPr>
          <w:sz w:val="24"/>
          <w:szCs w:val="24"/>
        </w:rPr>
        <w:t xml:space="preserve">(n = </w:t>
      </w:r>
      <w:r w:rsidRPr="00DA6400" w:rsidR="00795AF9">
        <w:rPr>
          <w:sz w:val="24"/>
          <w:szCs w:val="24"/>
        </w:rPr>
        <w:t>4</w:t>
      </w:r>
      <w:r w:rsidRPr="00DA6400">
        <w:rPr>
          <w:sz w:val="24"/>
          <w:szCs w:val="24"/>
        </w:rPr>
        <w:t>0)</w:t>
      </w:r>
    </w:p>
    <w:p w:rsidR="00A26EE6" w:rsidRPr="00DA6400" w:rsidP="000B02B2" w14:paraId="42CECC6C" w14:textId="5969516F">
      <w:pPr>
        <w:pStyle w:val="BodyText"/>
        <w:numPr>
          <w:ilvl w:val="1"/>
          <w:numId w:val="20"/>
        </w:numPr>
        <w:spacing w:after="0"/>
        <w:rPr>
          <w:sz w:val="24"/>
          <w:szCs w:val="24"/>
        </w:rPr>
      </w:pPr>
      <w:r w:rsidRPr="00DA6400">
        <w:rPr>
          <w:sz w:val="24"/>
          <w:szCs w:val="24"/>
        </w:rPr>
        <w:t xml:space="preserve">Interview for </w:t>
      </w:r>
      <w:r w:rsidRPr="00DA6400" w:rsidR="009517C3">
        <w:rPr>
          <w:sz w:val="24"/>
          <w:szCs w:val="24"/>
        </w:rPr>
        <w:t>R</w:t>
      </w:r>
      <w:r w:rsidRPr="00DA6400">
        <w:rPr>
          <w:sz w:val="24"/>
          <w:szCs w:val="24"/>
        </w:rPr>
        <w:t xml:space="preserve">ent </w:t>
      </w:r>
      <w:r w:rsidRPr="00DA6400" w:rsidR="009517C3">
        <w:rPr>
          <w:sz w:val="24"/>
          <w:szCs w:val="24"/>
        </w:rPr>
        <w:t>R</w:t>
      </w:r>
      <w:r w:rsidRPr="00DA6400">
        <w:rPr>
          <w:sz w:val="24"/>
          <w:szCs w:val="24"/>
        </w:rPr>
        <w:t xml:space="preserve">eporting </w:t>
      </w:r>
      <w:r w:rsidRPr="00DA6400" w:rsidR="009517C3">
        <w:rPr>
          <w:sz w:val="24"/>
          <w:szCs w:val="24"/>
        </w:rPr>
        <w:t>Q</w:t>
      </w:r>
      <w:r w:rsidRPr="00DA6400">
        <w:rPr>
          <w:sz w:val="24"/>
          <w:szCs w:val="24"/>
        </w:rPr>
        <w:t>ualitative study round 2 (n=</w:t>
      </w:r>
      <w:r w:rsidRPr="00DA6400" w:rsidR="00795AF9">
        <w:rPr>
          <w:sz w:val="24"/>
          <w:szCs w:val="24"/>
        </w:rPr>
        <w:t>4</w:t>
      </w:r>
      <w:r w:rsidRPr="00DA6400">
        <w:rPr>
          <w:sz w:val="24"/>
          <w:szCs w:val="24"/>
        </w:rPr>
        <w:t>0)</w:t>
      </w:r>
    </w:p>
    <w:p w:rsidR="00100C25" w:rsidRPr="00DA6400" w:rsidP="00B520C2" w14:paraId="09A8626D" w14:textId="05B441EA">
      <w:pPr>
        <w:pStyle w:val="BodyText"/>
        <w:spacing w:after="0"/>
        <w:ind w:left="1440"/>
        <w:rPr>
          <w:sz w:val="24"/>
          <w:szCs w:val="24"/>
        </w:rPr>
      </w:pPr>
    </w:p>
    <w:p w:rsidR="00014669" w:rsidRPr="00DA6400" w:rsidP="00014669" w14:paraId="5968D857" w14:textId="77777777">
      <w:pPr>
        <w:pStyle w:val="BodyText"/>
        <w:spacing w:after="0"/>
        <w:rPr>
          <w:sz w:val="24"/>
          <w:szCs w:val="24"/>
        </w:rPr>
      </w:pPr>
      <w:r w:rsidRPr="00DA6400">
        <w:rPr>
          <w:sz w:val="24"/>
          <w:szCs w:val="24"/>
        </w:rPr>
        <w:t>The d</w:t>
      </w:r>
      <w:r w:rsidRPr="00DA6400" w:rsidR="647C8F17">
        <w:rPr>
          <w:sz w:val="24"/>
          <w:szCs w:val="24"/>
        </w:rPr>
        <w:t xml:space="preserve">ata collection activities </w:t>
      </w:r>
      <w:r w:rsidRPr="00DA6400">
        <w:rPr>
          <w:sz w:val="24"/>
          <w:szCs w:val="24"/>
        </w:rPr>
        <w:t xml:space="preserve">covered under this ICR </w:t>
      </w:r>
      <w:r w:rsidRPr="00DA6400" w:rsidR="647C8F17">
        <w:rPr>
          <w:sz w:val="24"/>
          <w:szCs w:val="24"/>
        </w:rPr>
        <w:t xml:space="preserve">are expected to begin in </w:t>
      </w:r>
      <w:r w:rsidRPr="00DA6400" w:rsidR="0021322F">
        <w:rPr>
          <w:sz w:val="24"/>
          <w:szCs w:val="24"/>
        </w:rPr>
        <w:t xml:space="preserve">January </w:t>
      </w:r>
      <w:r w:rsidRPr="00DA6400" w:rsidR="161D9971">
        <w:rPr>
          <w:sz w:val="24"/>
          <w:szCs w:val="24"/>
        </w:rPr>
        <w:t>202</w:t>
      </w:r>
      <w:r w:rsidRPr="00DA6400" w:rsidR="0021322F">
        <w:rPr>
          <w:sz w:val="24"/>
          <w:szCs w:val="24"/>
        </w:rPr>
        <w:t>4</w:t>
      </w:r>
      <w:r w:rsidRPr="00DA6400" w:rsidR="647C8F17">
        <w:rPr>
          <w:sz w:val="24"/>
          <w:szCs w:val="24"/>
        </w:rPr>
        <w:t xml:space="preserve"> and continue through </w:t>
      </w:r>
      <w:r w:rsidRPr="00DA6400" w:rsidR="0021322F">
        <w:rPr>
          <w:sz w:val="24"/>
          <w:szCs w:val="24"/>
        </w:rPr>
        <w:t>J</w:t>
      </w:r>
      <w:r w:rsidRPr="00DA6400">
        <w:rPr>
          <w:sz w:val="24"/>
          <w:szCs w:val="24"/>
        </w:rPr>
        <w:t>une</w:t>
      </w:r>
      <w:r w:rsidRPr="00DA6400" w:rsidR="0021322F">
        <w:rPr>
          <w:sz w:val="24"/>
          <w:szCs w:val="24"/>
        </w:rPr>
        <w:t xml:space="preserve"> </w:t>
      </w:r>
      <w:r w:rsidRPr="00DA6400" w:rsidR="1E5CFCC7">
        <w:rPr>
          <w:sz w:val="24"/>
          <w:szCs w:val="24"/>
        </w:rPr>
        <w:t xml:space="preserve"> </w:t>
      </w:r>
      <w:r w:rsidRPr="00DA6400" w:rsidR="647C8F17">
        <w:rPr>
          <w:sz w:val="24"/>
          <w:szCs w:val="24"/>
        </w:rPr>
        <w:t>202</w:t>
      </w:r>
      <w:r w:rsidRPr="00DA6400">
        <w:rPr>
          <w:sz w:val="24"/>
          <w:szCs w:val="24"/>
        </w:rPr>
        <w:t>5</w:t>
      </w:r>
      <w:r w:rsidRPr="00DA6400" w:rsidR="001470EF">
        <w:rPr>
          <w:sz w:val="24"/>
          <w:szCs w:val="24"/>
        </w:rPr>
        <w:t>; phase two of the data collection is expected to begin in June 2025 and continue through January 2027</w:t>
      </w:r>
      <w:r w:rsidRPr="00DA6400" w:rsidR="647C8F17">
        <w:rPr>
          <w:sz w:val="24"/>
          <w:szCs w:val="24"/>
        </w:rPr>
        <w:t>.</w:t>
      </w:r>
      <w:r w:rsidRPr="00DA6400" w:rsidR="5F66F2AB">
        <w:rPr>
          <w:sz w:val="24"/>
          <w:szCs w:val="24"/>
        </w:rPr>
        <w:t xml:space="preserve"> </w:t>
      </w:r>
    </w:p>
    <w:p w:rsidR="00014669" w:rsidRPr="00DA6400" w:rsidP="00014669" w14:paraId="11B86B48" w14:textId="77777777">
      <w:pPr>
        <w:pStyle w:val="BodyText"/>
        <w:spacing w:after="0"/>
        <w:rPr>
          <w:sz w:val="24"/>
          <w:szCs w:val="24"/>
        </w:rPr>
      </w:pPr>
    </w:p>
    <w:p w:rsidR="00014669" w:rsidRPr="00DA6400" w:rsidP="00014669" w14:paraId="08647CA2" w14:textId="2640743F">
      <w:pPr>
        <w:pStyle w:val="BodyText"/>
        <w:spacing w:after="0"/>
        <w:ind w:left="360" w:hanging="360"/>
        <w:rPr>
          <w:sz w:val="24"/>
          <w:szCs w:val="24"/>
        </w:rPr>
      </w:pPr>
      <w:r w:rsidRPr="00DA6400">
        <w:rPr>
          <w:b/>
          <w:bCs/>
          <w:sz w:val="24"/>
          <w:szCs w:val="24"/>
        </w:rPr>
        <w:t>2.</w:t>
      </w:r>
      <w:r w:rsidRPr="00DA6400">
        <w:rPr>
          <w:b/>
          <w:bCs/>
          <w:sz w:val="24"/>
          <w:szCs w:val="24"/>
        </w:rPr>
        <w:tab/>
        <w:t>Indicate how, by whom and for what purpose the information is to be used.  Except for a new collection, indicate the actual use the agency has made of the information received from the current collection</w:t>
      </w:r>
      <w:r w:rsidRPr="00DA6400">
        <w:rPr>
          <w:sz w:val="24"/>
          <w:szCs w:val="24"/>
        </w:rPr>
        <w:t>.</w:t>
      </w:r>
    </w:p>
    <w:p w:rsidR="00014669" w:rsidRPr="00DA6400" w:rsidP="00CA031E" w14:paraId="5781C7F1" w14:textId="77777777">
      <w:pPr>
        <w:spacing w:after="0"/>
        <w:rPr>
          <w:sz w:val="24"/>
          <w:szCs w:val="24"/>
        </w:rPr>
      </w:pPr>
    </w:p>
    <w:p w:rsidR="00087CEE" w:rsidRPr="00DA6400" w:rsidP="46F0EBDC" w14:paraId="7C93EB59" w14:textId="6AF86D30">
      <w:pPr>
        <w:rPr>
          <w:sz w:val="24"/>
          <w:szCs w:val="24"/>
        </w:rPr>
      </w:pPr>
      <w:r w:rsidRPr="00DA6400">
        <w:rPr>
          <w:sz w:val="24"/>
          <w:szCs w:val="24"/>
        </w:rPr>
        <w:t xml:space="preserve">This is a new collection. HUD will learn about the implementation of </w:t>
      </w:r>
      <w:r w:rsidRPr="00DA6400" w:rsidR="525BF712">
        <w:rPr>
          <w:sz w:val="24"/>
          <w:szCs w:val="24"/>
        </w:rPr>
        <w:t xml:space="preserve">two types of </w:t>
      </w:r>
      <w:r w:rsidRPr="00DA6400" w:rsidR="11732ACB">
        <w:rPr>
          <w:sz w:val="24"/>
          <w:szCs w:val="24"/>
        </w:rPr>
        <w:t>asset building programs</w:t>
      </w:r>
      <w:r w:rsidRPr="00DA6400" w:rsidR="001F1775">
        <w:rPr>
          <w:sz w:val="24"/>
          <w:szCs w:val="24"/>
        </w:rPr>
        <w:t>—rent reporting for credit building and opt-savings account</w:t>
      </w:r>
      <w:r w:rsidRPr="00DA6400" w:rsidR="00FE1CE4">
        <w:rPr>
          <w:sz w:val="24"/>
          <w:szCs w:val="24"/>
        </w:rPr>
        <w:t>s</w:t>
      </w:r>
      <w:r w:rsidRPr="00DA6400" w:rsidR="001F1775">
        <w:rPr>
          <w:sz w:val="24"/>
          <w:szCs w:val="24"/>
        </w:rPr>
        <w:t>--</w:t>
      </w:r>
      <w:r w:rsidRPr="00DA6400" w:rsidR="11732ACB">
        <w:rPr>
          <w:sz w:val="24"/>
          <w:szCs w:val="24"/>
        </w:rPr>
        <w:t xml:space="preserve"> and if the</w:t>
      </w:r>
      <w:r w:rsidRPr="00DA6400" w:rsidR="00ED7FAD">
        <w:rPr>
          <w:sz w:val="24"/>
          <w:szCs w:val="24"/>
        </w:rPr>
        <w:t>se programs</w:t>
      </w:r>
      <w:r w:rsidRPr="00DA6400" w:rsidR="11732ACB">
        <w:rPr>
          <w:sz w:val="24"/>
          <w:szCs w:val="24"/>
        </w:rPr>
        <w:t xml:space="preserve"> </w:t>
      </w:r>
      <w:r w:rsidRPr="00DA6400" w:rsidR="525BF712">
        <w:rPr>
          <w:sz w:val="24"/>
          <w:szCs w:val="24"/>
        </w:rPr>
        <w:t>make a meaningful difference in the lives of HUD-assisted households</w:t>
      </w:r>
      <w:r w:rsidRPr="00DA6400">
        <w:rPr>
          <w:sz w:val="24"/>
          <w:szCs w:val="24"/>
        </w:rPr>
        <w:t xml:space="preserve">. </w:t>
      </w:r>
      <w:r w:rsidRPr="00DA6400" w:rsidR="00ED7FAD">
        <w:rPr>
          <w:sz w:val="24"/>
          <w:szCs w:val="24"/>
        </w:rPr>
        <w:t xml:space="preserve">Exhibit </w:t>
      </w:r>
      <w:r w:rsidRPr="00DA6400" w:rsidR="00F317E0">
        <w:rPr>
          <w:sz w:val="24"/>
          <w:szCs w:val="24"/>
        </w:rPr>
        <w:t>A-3</w:t>
      </w:r>
      <w:r w:rsidRPr="00DA6400" w:rsidR="00ED7FAD">
        <w:rPr>
          <w:sz w:val="24"/>
          <w:szCs w:val="24"/>
        </w:rPr>
        <w:t xml:space="preserve"> describes the data collection in detail. </w:t>
      </w:r>
    </w:p>
    <w:p w:rsidR="00087CEE" w:rsidRPr="00DA6400" w:rsidP="00087CEE" w14:paraId="51B8C053" w14:textId="2DC58CC1">
      <w:pPr>
        <w:pStyle w:val="Heading3"/>
        <w:rPr>
          <w:rFonts w:ascii="Times New Roman" w:hAnsi="Times New Roman"/>
          <w:color w:val="auto"/>
          <w:sz w:val="24"/>
          <w:szCs w:val="24"/>
        </w:rPr>
      </w:pPr>
      <w:r w:rsidRPr="00DA6400">
        <w:rPr>
          <w:rFonts w:ascii="Times New Roman" w:hAnsi="Times New Roman"/>
          <w:color w:val="auto"/>
          <w:sz w:val="24"/>
          <w:szCs w:val="24"/>
        </w:rPr>
        <w:t>Interviews with PHA</w:t>
      </w:r>
      <w:r w:rsidRPr="00DA6400" w:rsidR="008A16CF">
        <w:rPr>
          <w:rFonts w:ascii="Times New Roman" w:hAnsi="Times New Roman"/>
          <w:color w:val="auto"/>
          <w:sz w:val="24"/>
          <w:szCs w:val="24"/>
        </w:rPr>
        <w:t xml:space="preserve"> </w:t>
      </w:r>
      <w:r w:rsidRPr="00DA6400" w:rsidR="0076728B">
        <w:rPr>
          <w:rFonts w:ascii="Times New Roman" w:hAnsi="Times New Roman"/>
          <w:color w:val="auto"/>
          <w:sz w:val="24"/>
          <w:szCs w:val="24"/>
        </w:rPr>
        <w:t>S</w:t>
      </w:r>
      <w:r w:rsidRPr="00DA6400" w:rsidR="008A16CF">
        <w:rPr>
          <w:rFonts w:ascii="Times New Roman" w:hAnsi="Times New Roman"/>
          <w:color w:val="auto"/>
          <w:sz w:val="24"/>
          <w:szCs w:val="24"/>
        </w:rPr>
        <w:t>taff</w:t>
      </w:r>
      <w:r w:rsidRPr="00DA6400" w:rsidR="11E2F683">
        <w:rPr>
          <w:rFonts w:ascii="Times New Roman" w:hAnsi="Times New Roman"/>
          <w:color w:val="auto"/>
          <w:sz w:val="24"/>
          <w:szCs w:val="24"/>
        </w:rPr>
        <w:t>, Partner Organization</w:t>
      </w:r>
      <w:r w:rsidRPr="00DA6400" w:rsidR="008A16CF">
        <w:rPr>
          <w:rFonts w:ascii="Times New Roman" w:hAnsi="Times New Roman"/>
          <w:color w:val="auto"/>
          <w:sz w:val="24"/>
          <w:szCs w:val="24"/>
        </w:rPr>
        <w:t xml:space="preserve"> </w:t>
      </w:r>
      <w:r w:rsidRPr="00DA6400" w:rsidR="0076728B">
        <w:rPr>
          <w:rFonts w:ascii="Times New Roman" w:hAnsi="Times New Roman"/>
          <w:color w:val="auto"/>
          <w:sz w:val="24"/>
          <w:szCs w:val="24"/>
        </w:rPr>
        <w:t>S</w:t>
      </w:r>
      <w:r w:rsidRPr="00DA6400" w:rsidR="008A16CF">
        <w:rPr>
          <w:rFonts w:ascii="Times New Roman" w:hAnsi="Times New Roman"/>
          <w:color w:val="auto"/>
          <w:sz w:val="24"/>
          <w:szCs w:val="24"/>
        </w:rPr>
        <w:t>taff</w:t>
      </w:r>
      <w:r w:rsidRPr="00DA6400" w:rsidR="11E2F683">
        <w:rPr>
          <w:rFonts w:ascii="Times New Roman" w:hAnsi="Times New Roman"/>
          <w:color w:val="auto"/>
          <w:sz w:val="24"/>
          <w:szCs w:val="24"/>
        </w:rPr>
        <w:t xml:space="preserve">, and </w:t>
      </w:r>
      <w:r w:rsidRPr="00DA6400" w:rsidR="00396685">
        <w:rPr>
          <w:rFonts w:ascii="Times New Roman" w:hAnsi="Times New Roman"/>
          <w:color w:val="auto"/>
          <w:sz w:val="24"/>
          <w:szCs w:val="24"/>
        </w:rPr>
        <w:t xml:space="preserve">HUD-Assisted </w:t>
      </w:r>
      <w:r w:rsidRPr="00DA6400" w:rsidR="008A16CF">
        <w:rPr>
          <w:rFonts w:ascii="Times New Roman" w:hAnsi="Times New Roman"/>
          <w:color w:val="auto"/>
          <w:sz w:val="24"/>
          <w:szCs w:val="24"/>
        </w:rPr>
        <w:t>Residents</w:t>
      </w:r>
    </w:p>
    <w:p w:rsidR="00087CEE" w:rsidRPr="00DA6400" w:rsidP="46F0EBDC" w14:paraId="03B6AA92" w14:textId="0D30DA19">
      <w:pPr>
        <w:rPr>
          <w:sz w:val="24"/>
          <w:szCs w:val="24"/>
        </w:rPr>
      </w:pPr>
      <w:r w:rsidRPr="00DA6400">
        <w:rPr>
          <w:sz w:val="24"/>
          <w:szCs w:val="24"/>
        </w:rPr>
        <w:t xml:space="preserve">The research team </w:t>
      </w:r>
      <w:r w:rsidRPr="00DA6400" w:rsidR="1CE5DF88">
        <w:rPr>
          <w:sz w:val="24"/>
          <w:szCs w:val="24"/>
        </w:rPr>
        <w:t xml:space="preserve">will </w:t>
      </w:r>
      <w:r w:rsidRPr="00DA6400" w:rsidR="00BB2F36">
        <w:rPr>
          <w:sz w:val="24"/>
          <w:szCs w:val="24"/>
        </w:rPr>
        <w:t>interview</w:t>
      </w:r>
      <w:r w:rsidRPr="00DA6400" w:rsidR="1CE5DF88">
        <w:rPr>
          <w:sz w:val="24"/>
          <w:szCs w:val="24"/>
        </w:rPr>
        <w:t xml:space="preserve"> </w:t>
      </w:r>
      <w:r w:rsidRPr="00DA6400" w:rsidR="2EC60683">
        <w:rPr>
          <w:sz w:val="24"/>
          <w:szCs w:val="24"/>
        </w:rPr>
        <w:t xml:space="preserve">staff </w:t>
      </w:r>
      <w:r w:rsidRPr="00DA6400" w:rsidR="0076728B">
        <w:rPr>
          <w:sz w:val="24"/>
          <w:szCs w:val="24"/>
        </w:rPr>
        <w:t xml:space="preserve">about program implementation </w:t>
      </w:r>
      <w:r w:rsidRPr="00DA6400" w:rsidR="2EC60683">
        <w:rPr>
          <w:sz w:val="24"/>
          <w:szCs w:val="24"/>
        </w:rPr>
        <w:t xml:space="preserve">at </w:t>
      </w:r>
      <w:r w:rsidRPr="00DA6400" w:rsidR="00BB2F36">
        <w:rPr>
          <w:sz w:val="24"/>
          <w:szCs w:val="24"/>
        </w:rPr>
        <w:t xml:space="preserve">all </w:t>
      </w:r>
      <w:r w:rsidRPr="00DA6400">
        <w:rPr>
          <w:sz w:val="24"/>
          <w:szCs w:val="24"/>
        </w:rPr>
        <w:t>1</w:t>
      </w:r>
      <w:r w:rsidRPr="00DA6400" w:rsidR="763CB8F8">
        <w:rPr>
          <w:sz w:val="24"/>
          <w:szCs w:val="24"/>
        </w:rPr>
        <w:t>7</w:t>
      </w:r>
      <w:r w:rsidRPr="00DA6400">
        <w:rPr>
          <w:sz w:val="24"/>
          <w:szCs w:val="24"/>
        </w:rPr>
        <w:t>ABC PHAs</w:t>
      </w:r>
      <w:r w:rsidRPr="00DA6400" w:rsidR="00B551E4">
        <w:rPr>
          <w:sz w:val="24"/>
          <w:szCs w:val="24"/>
        </w:rPr>
        <w:t>. At each PHA,</w:t>
      </w:r>
      <w:r w:rsidRPr="00DA6400" w:rsidR="00F71DCE">
        <w:rPr>
          <w:sz w:val="24"/>
          <w:szCs w:val="24"/>
        </w:rPr>
        <w:t xml:space="preserve"> researchers </w:t>
      </w:r>
      <w:r w:rsidRPr="00DA6400" w:rsidR="1CE5DF88">
        <w:rPr>
          <w:sz w:val="24"/>
          <w:szCs w:val="24"/>
        </w:rPr>
        <w:t xml:space="preserve">will interview </w:t>
      </w:r>
      <w:r w:rsidRPr="00DA6400" w:rsidR="06E3B67F">
        <w:rPr>
          <w:sz w:val="24"/>
          <w:szCs w:val="24"/>
        </w:rPr>
        <w:t>1</w:t>
      </w:r>
      <w:r w:rsidRPr="00DA6400" w:rsidR="1CE5DF88">
        <w:rPr>
          <w:sz w:val="24"/>
          <w:szCs w:val="24"/>
        </w:rPr>
        <w:t xml:space="preserve"> to </w:t>
      </w:r>
      <w:r w:rsidRPr="00DA6400" w:rsidR="409E23EE">
        <w:rPr>
          <w:sz w:val="24"/>
          <w:szCs w:val="24"/>
        </w:rPr>
        <w:t>3</w:t>
      </w:r>
      <w:r w:rsidRPr="00DA6400" w:rsidR="1CE5DF88">
        <w:rPr>
          <w:sz w:val="24"/>
          <w:szCs w:val="24"/>
        </w:rPr>
        <w:t xml:space="preserve"> </w:t>
      </w:r>
      <w:r w:rsidRPr="00DA6400" w:rsidR="00894439">
        <w:rPr>
          <w:sz w:val="24"/>
          <w:szCs w:val="24"/>
        </w:rPr>
        <w:t xml:space="preserve">PHA </w:t>
      </w:r>
      <w:r w:rsidRPr="00DA6400" w:rsidR="1CE5DF88">
        <w:rPr>
          <w:sz w:val="24"/>
          <w:szCs w:val="24"/>
        </w:rPr>
        <w:t xml:space="preserve">staff involved in the </w:t>
      </w:r>
      <w:r w:rsidRPr="00DA6400" w:rsidR="409E23EE">
        <w:rPr>
          <w:sz w:val="24"/>
          <w:szCs w:val="24"/>
        </w:rPr>
        <w:t xml:space="preserve">asset building </w:t>
      </w:r>
      <w:r w:rsidRPr="00DA6400" w:rsidR="1CE5DF88">
        <w:rPr>
          <w:sz w:val="24"/>
          <w:szCs w:val="24"/>
        </w:rPr>
        <w:t>program,</w:t>
      </w:r>
      <w:r w:rsidRPr="00DA6400" w:rsidR="409E23EE">
        <w:rPr>
          <w:sz w:val="24"/>
          <w:szCs w:val="24"/>
        </w:rPr>
        <w:t xml:space="preserve"> such as the Executive Director and the Service Coordinator</w:t>
      </w:r>
      <w:r w:rsidRPr="00DA6400" w:rsidR="1CE5DF88">
        <w:rPr>
          <w:sz w:val="24"/>
          <w:szCs w:val="24"/>
        </w:rPr>
        <w:t xml:space="preserve">. Each interview will take approximately </w:t>
      </w:r>
      <w:r w:rsidRPr="00DA6400" w:rsidR="003B7A49">
        <w:rPr>
          <w:sz w:val="24"/>
          <w:szCs w:val="24"/>
        </w:rPr>
        <w:t>1 hour</w:t>
      </w:r>
      <w:r w:rsidRPr="00DA6400" w:rsidR="0501575F">
        <w:rPr>
          <w:sz w:val="24"/>
          <w:szCs w:val="24"/>
        </w:rPr>
        <w:t>.</w:t>
      </w:r>
      <w:r w:rsidRPr="00DA6400" w:rsidR="00894439">
        <w:rPr>
          <w:sz w:val="24"/>
          <w:szCs w:val="24"/>
        </w:rPr>
        <w:t xml:space="preserve">  The research team will select </w:t>
      </w:r>
      <w:r w:rsidRPr="00DA6400" w:rsidR="5C3B84DC">
        <w:rPr>
          <w:sz w:val="24"/>
          <w:szCs w:val="24"/>
        </w:rPr>
        <w:t>4</w:t>
      </w:r>
      <w:r w:rsidRPr="00DA6400" w:rsidR="00894439">
        <w:rPr>
          <w:sz w:val="24"/>
          <w:szCs w:val="24"/>
        </w:rPr>
        <w:t xml:space="preserve"> PHAs for in-depth case studies, including </w:t>
      </w:r>
      <w:r w:rsidRPr="00DA6400" w:rsidR="2F83DAEA">
        <w:rPr>
          <w:sz w:val="24"/>
          <w:szCs w:val="24"/>
        </w:rPr>
        <w:t>2</w:t>
      </w:r>
      <w:r w:rsidRPr="00DA6400" w:rsidR="00E36E69">
        <w:rPr>
          <w:sz w:val="24"/>
          <w:szCs w:val="24"/>
        </w:rPr>
        <w:t xml:space="preserve"> </w:t>
      </w:r>
      <w:r w:rsidRPr="00DA6400" w:rsidR="00894439">
        <w:rPr>
          <w:sz w:val="24"/>
          <w:szCs w:val="24"/>
        </w:rPr>
        <w:t xml:space="preserve">that are implementing an opt-out savings account and </w:t>
      </w:r>
      <w:r w:rsidRPr="00DA6400" w:rsidR="73365B27">
        <w:rPr>
          <w:sz w:val="24"/>
          <w:szCs w:val="24"/>
        </w:rPr>
        <w:t>2</w:t>
      </w:r>
      <w:r w:rsidRPr="00DA6400" w:rsidR="00E36E69">
        <w:rPr>
          <w:sz w:val="24"/>
          <w:szCs w:val="24"/>
        </w:rPr>
        <w:t xml:space="preserve"> </w:t>
      </w:r>
      <w:r w:rsidRPr="00DA6400" w:rsidR="00894439">
        <w:rPr>
          <w:sz w:val="24"/>
          <w:szCs w:val="24"/>
        </w:rPr>
        <w:t xml:space="preserve">that are implementing rent reporting. At these </w:t>
      </w:r>
      <w:r w:rsidRPr="00DA6400" w:rsidR="674EFAD2">
        <w:rPr>
          <w:sz w:val="24"/>
          <w:szCs w:val="24"/>
        </w:rPr>
        <w:t>4</w:t>
      </w:r>
      <w:r w:rsidRPr="00DA6400" w:rsidR="00894439">
        <w:rPr>
          <w:sz w:val="24"/>
          <w:szCs w:val="24"/>
        </w:rPr>
        <w:t xml:space="preserve"> PHAs, </w:t>
      </w:r>
      <w:r w:rsidRPr="00DA6400" w:rsidR="6B35C0BF">
        <w:rPr>
          <w:sz w:val="24"/>
          <w:szCs w:val="24"/>
        </w:rPr>
        <w:t xml:space="preserve">researchers will </w:t>
      </w:r>
      <w:r w:rsidRPr="00DA6400" w:rsidR="14835568">
        <w:rPr>
          <w:sz w:val="24"/>
          <w:szCs w:val="24"/>
        </w:rPr>
        <w:t>interview</w:t>
      </w:r>
      <w:r w:rsidRPr="00DA6400" w:rsidR="00DD6EE5">
        <w:rPr>
          <w:sz w:val="24"/>
          <w:szCs w:val="24"/>
        </w:rPr>
        <w:t xml:space="preserve"> PHA staff</w:t>
      </w:r>
      <w:r w:rsidRPr="00DA6400" w:rsidR="00946F37">
        <w:rPr>
          <w:sz w:val="24"/>
          <w:szCs w:val="24"/>
        </w:rPr>
        <w:t xml:space="preserve"> (1-3)</w:t>
      </w:r>
      <w:r w:rsidRPr="00DA6400" w:rsidR="769FADBB">
        <w:rPr>
          <w:sz w:val="24"/>
          <w:szCs w:val="24"/>
        </w:rPr>
        <w:t xml:space="preserve"> and </w:t>
      </w:r>
      <w:r w:rsidRPr="00DA6400" w:rsidR="00DD6EE5">
        <w:rPr>
          <w:sz w:val="24"/>
          <w:szCs w:val="24"/>
        </w:rPr>
        <w:t xml:space="preserve">partner organization staff </w:t>
      </w:r>
      <w:r w:rsidRPr="00DA6400" w:rsidR="003B1699">
        <w:rPr>
          <w:sz w:val="24"/>
          <w:szCs w:val="24"/>
        </w:rPr>
        <w:t>(1-3)</w:t>
      </w:r>
      <w:r w:rsidRPr="00DA6400" w:rsidR="288AB0C3">
        <w:rPr>
          <w:sz w:val="24"/>
          <w:szCs w:val="24"/>
        </w:rPr>
        <w:t>. At the 2 that are implementing an opt-out savings program researchers</w:t>
      </w:r>
      <w:r w:rsidRPr="00DA6400" w:rsidR="00DD6EE5">
        <w:rPr>
          <w:sz w:val="24"/>
          <w:szCs w:val="24"/>
        </w:rPr>
        <w:t xml:space="preserve"> </w:t>
      </w:r>
      <w:r w:rsidRPr="00DA6400" w:rsidR="001775E0">
        <w:rPr>
          <w:sz w:val="24"/>
          <w:szCs w:val="24"/>
        </w:rPr>
        <w:t xml:space="preserve">will also interview </w:t>
      </w:r>
      <w:r w:rsidRPr="00DA6400" w:rsidR="00DD6EE5">
        <w:rPr>
          <w:sz w:val="24"/>
          <w:szCs w:val="24"/>
        </w:rPr>
        <w:t>residents</w:t>
      </w:r>
      <w:r w:rsidRPr="00DA6400" w:rsidR="003B1699">
        <w:rPr>
          <w:sz w:val="24"/>
          <w:szCs w:val="24"/>
        </w:rPr>
        <w:t xml:space="preserve"> (5)</w:t>
      </w:r>
      <w:r w:rsidRPr="00DA6400" w:rsidR="00946F37">
        <w:rPr>
          <w:sz w:val="24"/>
          <w:szCs w:val="24"/>
        </w:rPr>
        <w:t>.</w:t>
      </w:r>
      <w:r w:rsidRPr="00DA6400" w:rsidR="4AEB8C5C">
        <w:rPr>
          <w:sz w:val="24"/>
          <w:szCs w:val="24"/>
        </w:rPr>
        <w:t xml:space="preserve"> </w:t>
      </w:r>
      <w:r w:rsidRPr="00DA6400" w:rsidR="4CC8CB33">
        <w:rPr>
          <w:sz w:val="24"/>
          <w:szCs w:val="24"/>
        </w:rPr>
        <w:t xml:space="preserve">Interviews with partner organization staff and with HUD-assisted residents will take </w:t>
      </w:r>
      <w:r w:rsidRPr="00DA6400" w:rsidR="00536CB9">
        <w:rPr>
          <w:sz w:val="24"/>
          <w:szCs w:val="24"/>
        </w:rPr>
        <w:t>1 hour</w:t>
      </w:r>
      <w:r w:rsidRPr="00DA6400" w:rsidR="5B55FF68">
        <w:rPr>
          <w:sz w:val="24"/>
          <w:szCs w:val="24"/>
        </w:rPr>
        <w:t xml:space="preserve">. </w:t>
      </w:r>
    </w:p>
    <w:p w:rsidR="00FA4FDE" w:rsidRPr="00DA6400" w:rsidP="46F0EBDC" w14:paraId="0B0700F1" w14:textId="43254EFD">
      <w:pPr>
        <w:rPr>
          <w:sz w:val="24"/>
          <w:szCs w:val="24"/>
        </w:rPr>
      </w:pPr>
      <w:r w:rsidRPr="00DA6400">
        <w:rPr>
          <w:sz w:val="24"/>
          <w:szCs w:val="24"/>
        </w:rPr>
        <w:t xml:space="preserve">The research team will use information from the interviews to document </w:t>
      </w:r>
      <w:r w:rsidRPr="00DA6400" w:rsidR="0A9F7F55">
        <w:rPr>
          <w:sz w:val="24"/>
          <w:szCs w:val="24"/>
        </w:rPr>
        <w:t xml:space="preserve">program design and implementation. This information will </w:t>
      </w:r>
      <w:r w:rsidRPr="00DA6400" w:rsidR="610AB00A">
        <w:rPr>
          <w:sz w:val="24"/>
          <w:szCs w:val="24"/>
        </w:rPr>
        <w:t xml:space="preserve">provide answers to research questions listed in Exhibit </w:t>
      </w:r>
      <w:r w:rsidRPr="00DA6400" w:rsidR="007D4B00">
        <w:rPr>
          <w:sz w:val="24"/>
          <w:szCs w:val="24"/>
        </w:rPr>
        <w:t>A-2</w:t>
      </w:r>
      <w:r w:rsidRPr="00DA6400" w:rsidR="610AB00A">
        <w:rPr>
          <w:sz w:val="24"/>
          <w:szCs w:val="24"/>
        </w:rPr>
        <w:t>.</w:t>
      </w:r>
    </w:p>
    <w:p w:rsidR="00087CEE" w:rsidRPr="00DA6400" w:rsidP="46F0EBDC" w14:paraId="79BB3AD3" w14:textId="78F13D7D">
      <w:pPr>
        <w:rPr>
          <w:sz w:val="24"/>
          <w:szCs w:val="24"/>
        </w:rPr>
      </w:pPr>
      <w:r w:rsidRPr="00DA6400">
        <w:rPr>
          <w:sz w:val="24"/>
          <w:szCs w:val="24"/>
        </w:rPr>
        <w:t xml:space="preserve">The research team has developed </w:t>
      </w:r>
      <w:r w:rsidRPr="00DA6400" w:rsidR="7BEA18E5">
        <w:rPr>
          <w:sz w:val="24"/>
          <w:szCs w:val="24"/>
        </w:rPr>
        <w:t xml:space="preserve">three </w:t>
      </w:r>
      <w:r w:rsidRPr="00DA6400">
        <w:rPr>
          <w:sz w:val="24"/>
          <w:szCs w:val="24"/>
        </w:rPr>
        <w:t>separate data collection instruments for</w:t>
      </w:r>
      <w:r w:rsidRPr="00DA6400" w:rsidR="00681B84">
        <w:rPr>
          <w:sz w:val="24"/>
          <w:szCs w:val="24"/>
        </w:rPr>
        <w:t xml:space="preserve"> the </w:t>
      </w:r>
      <w:r w:rsidRPr="00DA6400">
        <w:rPr>
          <w:sz w:val="24"/>
          <w:szCs w:val="24"/>
        </w:rPr>
        <w:t>PHA interviews:</w:t>
      </w:r>
    </w:p>
    <w:p w:rsidR="008D1291" w:rsidRPr="00DA6400" w:rsidP="000B02B2" w14:paraId="441DEC58" w14:textId="3ED661A9">
      <w:pPr>
        <w:pStyle w:val="ListParagraph"/>
        <w:numPr>
          <w:ilvl w:val="0"/>
          <w:numId w:val="21"/>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Program Implementation PHA staff interview guide</w:t>
      </w:r>
    </w:p>
    <w:p w:rsidR="09017029" w:rsidRPr="00DA6400" w:rsidP="000B02B2" w14:paraId="2782085B" w14:textId="262BAA67">
      <w:pPr>
        <w:pStyle w:val="ListParagraph"/>
        <w:numPr>
          <w:ilvl w:val="0"/>
          <w:numId w:val="21"/>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Program Implementation</w:t>
      </w:r>
      <w:r w:rsidRPr="00DA6400" w:rsidR="3DF53DDD">
        <w:rPr>
          <w:rFonts w:ascii="Times New Roman" w:eastAsia="Times New Roman" w:hAnsi="Times New Roman" w:cs="Times New Roman"/>
          <w:sz w:val="24"/>
          <w:szCs w:val="24"/>
        </w:rPr>
        <w:t xml:space="preserve"> partner staff</w:t>
      </w:r>
      <w:r w:rsidRPr="00DA6400">
        <w:rPr>
          <w:rFonts w:ascii="Times New Roman" w:eastAsia="Times New Roman" w:hAnsi="Times New Roman" w:cs="Times New Roman"/>
          <w:sz w:val="24"/>
          <w:szCs w:val="24"/>
        </w:rPr>
        <w:t xml:space="preserve"> interview guide</w:t>
      </w:r>
    </w:p>
    <w:p w:rsidR="57D754CE" w:rsidRPr="00DA6400" w:rsidP="000B02B2" w14:paraId="66610CF7" w14:textId="2328E2B3">
      <w:pPr>
        <w:pStyle w:val="ListParagraph"/>
        <w:numPr>
          <w:ilvl w:val="0"/>
          <w:numId w:val="21"/>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Program Implementation PHA resident interview guide</w:t>
      </w:r>
    </w:p>
    <w:p w:rsidR="007413CB" w:rsidRPr="00DA6400" w:rsidP="007413CB" w14:paraId="1BF7755D" w14:textId="509ADB3B">
      <w:pPr>
        <w:rPr>
          <w:sz w:val="24"/>
          <w:szCs w:val="24"/>
        </w:rPr>
      </w:pPr>
      <w:r w:rsidRPr="00DA6400">
        <w:rPr>
          <w:sz w:val="24"/>
          <w:szCs w:val="24"/>
        </w:rPr>
        <w:t xml:space="preserve">Guides for the </w:t>
      </w:r>
      <w:r w:rsidRPr="00DA6400" w:rsidR="00CC4F0F">
        <w:rPr>
          <w:sz w:val="24"/>
          <w:szCs w:val="24"/>
        </w:rPr>
        <w:t xml:space="preserve">follow-up </w:t>
      </w:r>
      <w:r w:rsidRPr="00DA6400">
        <w:rPr>
          <w:sz w:val="24"/>
          <w:szCs w:val="24"/>
        </w:rPr>
        <w:t>interviews</w:t>
      </w:r>
      <w:r w:rsidRPr="00DA6400" w:rsidR="00437E05">
        <w:rPr>
          <w:sz w:val="24"/>
          <w:szCs w:val="24"/>
        </w:rPr>
        <w:t xml:space="preserve"> </w:t>
      </w:r>
      <w:r w:rsidRPr="00DA6400" w:rsidR="00CC4F0F">
        <w:rPr>
          <w:sz w:val="24"/>
          <w:szCs w:val="24"/>
        </w:rPr>
        <w:t xml:space="preserve">in 2025-2026 </w:t>
      </w:r>
      <w:r w:rsidRPr="00DA6400">
        <w:rPr>
          <w:sz w:val="24"/>
          <w:szCs w:val="24"/>
        </w:rPr>
        <w:t>will be included in a future PRA submission</w:t>
      </w:r>
      <w:r w:rsidRPr="00DA6400" w:rsidR="00750404">
        <w:rPr>
          <w:sz w:val="24"/>
          <w:szCs w:val="24"/>
        </w:rPr>
        <w:t xml:space="preserve"> </w:t>
      </w:r>
      <w:r w:rsidRPr="00DA6400" w:rsidR="00CC4F0F">
        <w:rPr>
          <w:sz w:val="24"/>
          <w:szCs w:val="24"/>
        </w:rPr>
        <w:t>(</w:t>
      </w:r>
      <w:r w:rsidRPr="00DA6400" w:rsidR="00750404">
        <w:rPr>
          <w:sz w:val="24"/>
          <w:szCs w:val="24"/>
        </w:rPr>
        <w:t>s</w:t>
      </w:r>
      <w:r w:rsidRPr="00DA6400" w:rsidR="00CC4F0F">
        <w:rPr>
          <w:sz w:val="24"/>
          <w:szCs w:val="24"/>
        </w:rPr>
        <w:t>ee Exhibit A</w:t>
      </w:r>
      <w:r w:rsidRPr="00DA6400" w:rsidR="003215F8">
        <w:rPr>
          <w:sz w:val="24"/>
          <w:szCs w:val="24"/>
        </w:rPr>
        <w:t>-1)</w:t>
      </w:r>
      <w:r w:rsidRPr="00DA6400" w:rsidR="00A35DCE">
        <w:rPr>
          <w:sz w:val="24"/>
          <w:szCs w:val="24"/>
        </w:rPr>
        <w:t>.</w:t>
      </w:r>
    </w:p>
    <w:p w:rsidR="00087CEE" w:rsidRPr="00DA6400" w:rsidP="00087CEE" w14:paraId="1AB4AA10" w14:textId="1F1D0B5C">
      <w:pPr>
        <w:pStyle w:val="Heading3"/>
        <w:rPr>
          <w:rFonts w:ascii="Times New Roman" w:hAnsi="Times New Roman"/>
          <w:color w:val="auto"/>
          <w:sz w:val="24"/>
          <w:szCs w:val="24"/>
        </w:rPr>
      </w:pPr>
      <w:r w:rsidRPr="00DA6400">
        <w:rPr>
          <w:rFonts w:ascii="Times New Roman" w:hAnsi="Times New Roman"/>
          <w:color w:val="auto"/>
          <w:sz w:val="24"/>
          <w:szCs w:val="24"/>
        </w:rPr>
        <w:t xml:space="preserve">Rent Reporting </w:t>
      </w:r>
      <w:r w:rsidRPr="00DA6400" w:rsidR="003411FA">
        <w:rPr>
          <w:rFonts w:ascii="Times New Roman" w:hAnsi="Times New Roman"/>
          <w:color w:val="auto"/>
          <w:sz w:val="24"/>
          <w:szCs w:val="24"/>
        </w:rPr>
        <w:t>Informed Consent Form and Baseline Information Form</w:t>
      </w:r>
    </w:p>
    <w:p w:rsidR="00087CEE" w:rsidRPr="00DA6400" w:rsidP="606787B5" w14:paraId="47330B3D" w14:textId="0D46C2DB">
      <w:pPr>
        <w:rPr>
          <w:sz w:val="24"/>
          <w:szCs w:val="24"/>
        </w:rPr>
      </w:pPr>
      <w:r w:rsidRPr="00DA6400">
        <w:rPr>
          <w:sz w:val="24"/>
          <w:szCs w:val="24"/>
        </w:rPr>
        <w:t>Households</w:t>
      </w:r>
      <w:r w:rsidRPr="00DA6400" w:rsidR="70ADF92A">
        <w:rPr>
          <w:sz w:val="24"/>
          <w:szCs w:val="24"/>
        </w:rPr>
        <w:t xml:space="preserve"> participating in the rent reporting </w:t>
      </w:r>
      <w:r w:rsidRPr="00DA6400">
        <w:rPr>
          <w:sz w:val="24"/>
          <w:szCs w:val="24"/>
        </w:rPr>
        <w:t>study</w:t>
      </w:r>
      <w:r w:rsidRPr="00DA6400" w:rsidR="70ADF92A">
        <w:rPr>
          <w:sz w:val="24"/>
          <w:szCs w:val="24"/>
        </w:rPr>
        <w:t xml:space="preserve"> will be asked to complete a</w:t>
      </w:r>
      <w:r w:rsidRPr="00DA6400" w:rsidR="29707A1A">
        <w:rPr>
          <w:sz w:val="24"/>
          <w:szCs w:val="24"/>
        </w:rPr>
        <w:t>n Informed Consent Form (ICF) and a</w:t>
      </w:r>
      <w:r w:rsidRPr="00DA6400" w:rsidR="70ADF92A">
        <w:rPr>
          <w:sz w:val="24"/>
          <w:szCs w:val="24"/>
        </w:rPr>
        <w:t xml:space="preserve"> </w:t>
      </w:r>
      <w:r w:rsidRPr="00DA6400" w:rsidR="08C2ECB3">
        <w:rPr>
          <w:sz w:val="24"/>
          <w:szCs w:val="24"/>
        </w:rPr>
        <w:t>B</w:t>
      </w:r>
      <w:r w:rsidRPr="00DA6400" w:rsidR="70ADF92A">
        <w:rPr>
          <w:sz w:val="24"/>
          <w:szCs w:val="24"/>
        </w:rPr>
        <w:t xml:space="preserve">aseline </w:t>
      </w:r>
      <w:r w:rsidRPr="00DA6400" w:rsidR="612F5FE4">
        <w:rPr>
          <w:sz w:val="24"/>
          <w:szCs w:val="24"/>
        </w:rPr>
        <w:t>I</w:t>
      </w:r>
      <w:r w:rsidRPr="00DA6400" w:rsidR="70ADF92A">
        <w:rPr>
          <w:sz w:val="24"/>
          <w:szCs w:val="24"/>
        </w:rPr>
        <w:t xml:space="preserve">nformation </w:t>
      </w:r>
      <w:r w:rsidRPr="00DA6400" w:rsidR="2301A7E1">
        <w:rPr>
          <w:sz w:val="24"/>
          <w:szCs w:val="24"/>
        </w:rPr>
        <w:t>F</w:t>
      </w:r>
      <w:r w:rsidRPr="00DA6400" w:rsidR="70ADF92A">
        <w:rPr>
          <w:sz w:val="24"/>
          <w:szCs w:val="24"/>
        </w:rPr>
        <w:t xml:space="preserve">orm (BIF) prior to </w:t>
      </w:r>
      <w:r w:rsidRPr="00DA6400">
        <w:rPr>
          <w:sz w:val="24"/>
          <w:szCs w:val="24"/>
        </w:rPr>
        <w:t>r</w:t>
      </w:r>
      <w:r w:rsidRPr="00DA6400" w:rsidR="70ADF92A">
        <w:rPr>
          <w:sz w:val="24"/>
          <w:szCs w:val="24"/>
        </w:rPr>
        <w:t xml:space="preserve">andom </w:t>
      </w:r>
      <w:r w:rsidRPr="00DA6400">
        <w:rPr>
          <w:sz w:val="24"/>
          <w:szCs w:val="24"/>
        </w:rPr>
        <w:t>a</w:t>
      </w:r>
      <w:r w:rsidRPr="00DA6400" w:rsidR="70ADF92A">
        <w:rPr>
          <w:sz w:val="24"/>
          <w:szCs w:val="24"/>
        </w:rPr>
        <w:t xml:space="preserve">ssignment </w:t>
      </w:r>
      <w:r w:rsidRPr="00DA6400">
        <w:rPr>
          <w:sz w:val="24"/>
          <w:szCs w:val="24"/>
        </w:rPr>
        <w:t>into the treatment or control group</w:t>
      </w:r>
      <w:r w:rsidRPr="00DA6400" w:rsidR="70ADF92A">
        <w:rPr>
          <w:sz w:val="24"/>
          <w:szCs w:val="24"/>
        </w:rPr>
        <w:t xml:space="preserve">. The BIF will provide important information not otherwise available from HUD's administrative data, such as </w:t>
      </w:r>
      <w:r w:rsidRPr="00DA6400" w:rsidR="00B67BA8">
        <w:rPr>
          <w:sz w:val="24"/>
          <w:szCs w:val="24"/>
        </w:rPr>
        <w:t xml:space="preserve">indicators of </w:t>
      </w:r>
      <w:r w:rsidRPr="00DA6400" w:rsidR="1A255B86">
        <w:rPr>
          <w:sz w:val="24"/>
          <w:szCs w:val="24"/>
        </w:rPr>
        <w:t>household</w:t>
      </w:r>
      <w:r w:rsidRPr="00DA6400" w:rsidR="311C2AC3">
        <w:rPr>
          <w:sz w:val="24"/>
          <w:szCs w:val="24"/>
        </w:rPr>
        <w:t xml:space="preserve"> financial</w:t>
      </w:r>
      <w:r w:rsidRPr="00DA6400" w:rsidR="6563AC48">
        <w:rPr>
          <w:sz w:val="24"/>
          <w:szCs w:val="24"/>
        </w:rPr>
        <w:t xml:space="preserve"> wellbeing</w:t>
      </w:r>
      <w:r w:rsidRPr="00DA6400" w:rsidR="469FBF53">
        <w:rPr>
          <w:sz w:val="24"/>
          <w:szCs w:val="24"/>
        </w:rPr>
        <w:t>.</w:t>
      </w:r>
      <w:r w:rsidRPr="00DA6400" w:rsidR="70ADF92A">
        <w:rPr>
          <w:sz w:val="24"/>
          <w:szCs w:val="24"/>
        </w:rPr>
        <w:t xml:space="preserve"> The </w:t>
      </w:r>
      <w:r w:rsidRPr="00DA6400" w:rsidR="6C2EA586">
        <w:rPr>
          <w:sz w:val="24"/>
          <w:szCs w:val="24"/>
        </w:rPr>
        <w:t xml:space="preserve">ICF </w:t>
      </w:r>
      <w:r w:rsidRPr="00DA6400" w:rsidR="00B67BA8">
        <w:rPr>
          <w:sz w:val="24"/>
          <w:szCs w:val="24"/>
        </w:rPr>
        <w:t>will take 15 minutes to complete.  The BIF will take 15 minutes to complete.</w:t>
      </w:r>
    </w:p>
    <w:p w:rsidR="70ADF92A" w:rsidRPr="00DA6400" w:rsidP="71FAEE06" w14:paraId="162ADA32" w14:textId="65A3A79C">
      <w:pPr>
        <w:spacing w:after="120" w:line="240" w:lineRule="auto"/>
        <w:rPr>
          <w:sz w:val="24"/>
          <w:szCs w:val="24"/>
        </w:rPr>
      </w:pPr>
      <w:r w:rsidRPr="00DA6400">
        <w:rPr>
          <w:sz w:val="24"/>
          <w:szCs w:val="24"/>
        </w:rPr>
        <w:t xml:space="preserve">The research team has developed two data collection instruments for </w:t>
      </w:r>
      <w:r w:rsidRPr="00DA6400" w:rsidR="00C6408F">
        <w:rPr>
          <w:sz w:val="24"/>
          <w:szCs w:val="24"/>
        </w:rPr>
        <w:t>resident enrolment into the rent reporting study</w:t>
      </w:r>
      <w:r w:rsidRPr="00DA6400" w:rsidR="5BCC64A5">
        <w:rPr>
          <w:sz w:val="24"/>
          <w:szCs w:val="24"/>
        </w:rPr>
        <w:t>:</w:t>
      </w:r>
    </w:p>
    <w:p w:rsidR="003FAEA6" w:rsidRPr="00DA6400" w:rsidP="000B02B2" w14:paraId="0A564E87" w14:textId="365CA989">
      <w:pPr>
        <w:pStyle w:val="ListParagraph"/>
        <w:numPr>
          <w:ilvl w:val="0"/>
          <w:numId w:val="9"/>
        </w:numPr>
        <w:spacing w:after="120" w:line="240" w:lineRule="auto"/>
        <w:jc w:val="both"/>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Rent Reporting </w:t>
      </w:r>
      <w:r w:rsidRPr="00DA6400">
        <w:rPr>
          <w:rFonts w:ascii="Times New Roman" w:eastAsia="Times New Roman" w:hAnsi="Times New Roman" w:cs="Times New Roman"/>
          <w:sz w:val="24"/>
          <w:szCs w:val="24"/>
        </w:rPr>
        <w:t>Informed Consent Form</w:t>
      </w:r>
    </w:p>
    <w:p w:rsidR="003FAEA6" w:rsidRPr="00DA6400" w:rsidP="000B02B2" w14:paraId="0BAB7EE9" w14:textId="265B63DF">
      <w:pPr>
        <w:pStyle w:val="ListParagraph"/>
        <w:numPr>
          <w:ilvl w:val="0"/>
          <w:numId w:val="9"/>
        </w:numPr>
        <w:spacing w:after="120" w:line="240" w:lineRule="auto"/>
        <w:jc w:val="both"/>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Rent Reporting </w:t>
      </w:r>
      <w:r w:rsidRPr="00DA6400" w:rsidR="3826777E">
        <w:rPr>
          <w:rFonts w:ascii="Times New Roman" w:eastAsia="Times New Roman" w:hAnsi="Times New Roman" w:cs="Times New Roman"/>
          <w:sz w:val="24"/>
          <w:szCs w:val="24"/>
        </w:rPr>
        <w:t>Baseline Information Form</w:t>
      </w:r>
    </w:p>
    <w:p w:rsidR="000E6B9E" w:rsidRPr="00DA6400" w:rsidP="00CA031E" w14:paraId="231B7446" w14:textId="019AF180">
      <w:pPr>
        <w:pStyle w:val="Heading3"/>
        <w:spacing w:before="0" w:after="0" w:line="240" w:lineRule="auto"/>
        <w:jc w:val="both"/>
        <w:rPr>
          <w:rFonts w:ascii="Times New Roman" w:hAnsi="Times New Roman"/>
          <w:sz w:val="24"/>
          <w:szCs w:val="24"/>
          <w:highlight w:val="yellow"/>
        </w:rPr>
      </w:pPr>
    </w:p>
    <w:p w:rsidR="00087CEE" w:rsidRPr="00DA6400" w:rsidP="00087CEE" w14:paraId="48A6D30C" w14:textId="331DBF37">
      <w:pPr>
        <w:pStyle w:val="Heading3"/>
        <w:rPr>
          <w:rFonts w:ascii="Times New Roman" w:hAnsi="Times New Roman"/>
          <w:color w:val="auto"/>
          <w:sz w:val="24"/>
          <w:szCs w:val="24"/>
        </w:rPr>
      </w:pPr>
      <w:r w:rsidRPr="00DA6400">
        <w:rPr>
          <w:rFonts w:ascii="Times New Roman" w:hAnsi="Times New Roman"/>
          <w:color w:val="auto"/>
          <w:sz w:val="24"/>
          <w:szCs w:val="24"/>
        </w:rPr>
        <w:t xml:space="preserve">Rent Reporting </w:t>
      </w:r>
      <w:r w:rsidRPr="00DA6400" w:rsidR="00C6408F">
        <w:rPr>
          <w:rFonts w:ascii="Times New Roman" w:hAnsi="Times New Roman"/>
          <w:color w:val="auto"/>
          <w:sz w:val="24"/>
          <w:szCs w:val="24"/>
        </w:rPr>
        <w:t>Qualitative Interview Guide</w:t>
      </w:r>
    </w:p>
    <w:p w:rsidR="002262BD" w:rsidRPr="00DA6400" w:rsidP="1A96C1C5" w14:paraId="6E882F06" w14:textId="7AF33331">
      <w:pPr>
        <w:spacing w:after="120" w:line="240" w:lineRule="auto"/>
        <w:jc w:val="both"/>
        <w:rPr>
          <w:sz w:val="24"/>
          <w:szCs w:val="24"/>
          <w:highlight w:val="yellow"/>
        </w:rPr>
      </w:pPr>
      <w:r w:rsidRPr="00DA6400">
        <w:rPr>
          <w:sz w:val="24"/>
          <w:szCs w:val="24"/>
        </w:rPr>
        <w:t xml:space="preserve">The research team will conduct four rounds of in-depth interviews </w:t>
      </w:r>
      <w:r w:rsidRPr="00DA6400" w:rsidR="07263978">
        <w:rPr>
          <w:sz w:val="24"/>
          <w:szCs w:val="24"/>
        </w:rPr>
        <w:t xml:space="preserve">of PHA residents </w:t>
      </w:r>
      <w:r w:rsidRPr="00DA6400">
        <w:rPr>
          <w:sz w:val="24"/>
          <w:szCs w:val="24"/>
        </w:rPr>
        <w:t>focused on broader experiences and interactions with banking, credit, and financial institutions. The</w:t>
      </w:r>
      <w:r w:rsidRPr="00DA6400" w:rsidR="6678AC10">
        <w:rPr>
          <w:sz w:val="24"/>
          <w:szCs w:val="24"/>
        </w:rPr>
        <w:t xml:space="preserve"> research team will </w:t>
      </w:r>
      <w:r w:rsidRPr="00DA6400" w:rsidR="609647CE">
        <w:rPr>
          <w:sz w:val="24"/>
          <w:szCs w:val="24"/>
        </w:rPr>
        <w:t xml:space="preserve">interview </w:t>
      </w:r>
      <w:r w:rsidRPr="00DA6400">
        <w:rPr>
          <w:sz w:val="24"/>
          <w:szCs w:val="24"/>
        </w:rPr>
        <w:t xml:space="preserve">20 residents each at 2 PHAs </w:t>
      </w:r>
      <w:r w:rsidRPr="00DA6400" w:rsidR="3FE8BA67">
        <w:rPr>
          <w:sz w:val="24"/>
          <w:szCs w:val="24"/>
        </w:rPr>
        <w:t xml:space="preserve">implementing </w:t>
      </w:r>
      <w:r w:rsidRPr="00DA6400" w:rsidR="6BD7B7A5">
        <w:rPr>
          <w:sz w:val="24"/>
          <w:szCs w:val="24"/>
        </w:rPr>
        <w:t>rent reporting</w:t>
      </w:r>
      <w:r w:rsidRPr="00DA6400">
        <w:rPr>
          <w:sz w:val="24"/>
          <w:szCs w:val="24"/>
        </w:rPr>
        <w:t xml:space="preserve">. The in-depth interviews will </w:t>
      </w:r>
      <w:r w:rsidRPr="00DA6400" w:rsidR="005F00DC">
        <w:rPr>
          <w:sz w:val="24"/>
          <w:szCs w:val="24"/>
        </w:rPr>
        <w:t xml:space="preserve">take 90 </w:t>
      </w:r>
      <w:r w:rsidRPr="00DA6400" w:rsidR="00154917">
        <w:rPr>
          <w:sz w:val="24"/>
          <w:szCs w:val="24"/>
        </w:rPr>
        <w:t>minutes</w:t>
      </w:r>
      <w:r w:rsidRPr="00DA6400">
        <w:rPr>
          <w:sz w:val="24"/>
          <w:szCs w:val="24"/>
        </w:rPr>
        <w:t xml:space="preserve"> each</w:t>
      </w:r>
      <w:r w:rsidRPr="00DA6400" w:rsidR="78270934">
        <w:rPr>
          <w:sz w:val="24"/>
          <w:szCs w:val="24"/>
        </w:rPr>
        <w:t xml:space="preserve"> and the same individuals will be interviewed during each round to create a panel.</w:t>
      </w:r>
    </w:p>
    <w:p w:rsidR="4314E90C" w:rsidRPr="00DA6400" w:rsidP="1A96C1C5" w14:paraId="75A6DD3D" w14:textId="427F9B64">
      <w:pPr>
        <w:spacing w:after="120" w:line="240" w:lineRule="auto"/>
        <w:jc w:val="both"/>
        <w:rPr>
          <w:sz w:val="24"/>
          <w:szCs w:val="24"/>
        </w:rPr>
      </w:pPr>
      <w:r w:rsidRPr="00DA6400">
        <w:rPr>
          <w:sz w:val="24"/>
          <w:szCs w:val="24"/>
        </w:rPr>
        <w:t xml:space="preserve">The research team has developed data collection instruments for the </w:t>
      </w:r>
      <w:r w:rsidRPr="00DA6400" w:rsidR="42ADA24D">
        <w:rPr>
          <w:sz w:val="24"/>
          <w:szCs w:val="24"/>
        </w:rPr>
        <w:t xml:space="preserve">first two rounds of the </w:t>
      </w:r>
      <w:r w:rsidRPr="00DA6400" w:rsidR="00DF1BFE">
        <w:rPr>
          <w:sz w:val="24"/>
          <w:szCs w:val="24"/>
        </w:rPr>
        <w:t>rent reporting qualitative interviews with families:</w:t>
      </w:r>
    </w:p>
    <w:p w:rsidR="1347A996" w:rsidRPr="00DA6400" w:rsidP="71FAEE06" w14:paraId="1328FD15" w14:textId="05FEDD16">
      <w:pPr>
        <w:pStyle w:val="ListParagraph"/>
        <w:numPr>
          <w:ilvl w:val="0"/>
          <w:numId w:val="4"/>
        </w:numPr>
        <w:spacing w:after="120" w:line="240" w:lineRule="auto"/>
        <w:jc w:val="both"/>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Rent Reporting </w:t>
      </w:r>
      <w:r w:rsidRPr="00DA6400" w:rsidR="00F942EF">
        <w:rPr>
          <w:rFonts w:ascii="Times New Roman" w:eastAsia="Times New Roman" w:hAnsi="Times New Roman" w:cs="Times New Roman"/>
          <w:sz w:val="24"/>
          <w:szCs w:val="24"/>
        </w:rPr>
        <w:t xml:space="preserve">Qualitative </w:t>
      </w:r>
      <w:r w:rsidRPr="00DA6400" w:rsidR="2B0AC931">
        <w:rPr>
          <w:rFonts w:ascii="Times New Roman" w:eastAsia="Times New Roman" w:hAnsi="Times New Roman" w:cs="Times New Roman"/>
          <w:sz w:val="24"/>
          <w:szCs w:val="24"/>
        </w:rPr>
        <w:t xml:space="preserve">Interview Guide </w:t>
      </w:r>
      <w:r w:rsidRPr="00DA6400" w:rsidR="00FE69D5">
        <w:rPr>
          <w:rFonts w:ascii="Times New Roman" w:eastAsia="Times New Roman" w:hAnsi="Times New Roman" w:cs="Times New Roman"/>
          <w:sz w:val="24"/>
          <w:szCs w:val="24"/>
        </w:rPr>
        <w:t xml:space="preserve">Round 1  </w:t>
      </w:r>
    </w:p>
    <w:p w:rsidR="4179084C" w:rsidRPr="00DA6400" w:rsidP="4B872FD9" w14:paraId="4864823C" w14:textId="0E977197">
      <w:pPr>
        <w:pStyle w:val="ListParagraph"/>
        <w:numPr>
          <w:ilvl w:val="0"/>
          <w:numId w:val="4"/>
        </w:numPr>
        <w:spacing w:after="120" w:line="240" w:lineRule="auto"/>
        <w:jc w:val="both"/>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Rent Reporting </w:t>
      </w:r>
      <w:r w:rsidRPr="00DA6400" w:rsidR="00F942EF">
        <w:rPr>
          <w:rFonts w:ascii="Times New Roman" w:eastAsia="Times New Roman" w:hAnsi="Times New Roman" w:cs="Times New Roman"/>
          <w:sz w:val="24"/>
          <w:szCs w:val="24"/>
        </w:rPr>
        <w:t>Qualitative</w:t>
      </w:r>
      <w:r w:rsidRPr="00DA6400" w:rsidR="002D5084">
        <w:rPr>
          <w:rFonts w:ascii="Times New Roman" w:eastAsia="Times New Roman" w:hAnsi="Times New Roman" w:cs="Times New Roman"/>
          <w:sz w:val="24"/>
          <w:szCs w:val="24"/>
        </w:rPr>
        <w:t xml:space="preserve"> </w:t>
      </w:r>
      <w:r w:rsidRPr="00DA6400" w:rsidR="6CA478D2">
        <w:rPr>
          <w:rFonts w:ascii="Times New Roman" w:eastAsia="Times New Roman" w:hAnsi="Times New Roman" w:cs="Times New Roman"/>
          <w:sz w:val="24"/>
          <w:szCs w:val="24"/>
        </w:rPr>
        <w:t xml:space="preserve">Interview Guide </w:t>
      </w:r>
      <w:r w:rsidRPr="00DA6400" w:rsidR="00FE69D5">
        <w:rPr>
          <w:rFonts w:ascii="Times New Roman" w:eastAsia="Times New Roman" w:hAnsi="Times New Roman" w:cs="Times New Roman"/>
          <w:sz w:val="24"/>
          <w:szCs w:val="24"/>
        </w:rPr>
        <w:t>Round 2</w:t>
      </w:r>
    </w:p>
    <w:p w:rsidR="007413CB" w:rsidRPr="00DA6400" w:rsidP="3FE22983" w14:paraId="793E74B5" w14:textId="62ED7509">
      <w:pPr>
        <w:spacing w:line="257" w:lineRule="auto"/>
        <w:rPr>
          <w:sz w:val="24"/>
          <w:szCs w:val="24"/>
        </w:rPr>
      </w:pPr>
      <w:r w:rsidRPr="00DA6400">
        <w:rPr>
          <w:sz w:val="24"/>
          <w:szCs w:val="24"/>
        </w:rPr>
        <w:t xml:space="preserve">Guides for the third and fourth round of </w:t>
      </w:r>
      <w:r w:rsidRPr="00DA6400" w:rsidR="007E6F21">
        <w:rPr>
          <w:sz w:val="24"/>
          <w:szCs w:val="24"/>
        </w:rPr>
        <w:t xml:space="preserve">qualitative </w:t>
      </w:r>
      <w:r w:rsidRPr="00DA6400">
        <w:rPr>
          <w:sz w:val="24"/>
          <w:szCs w:val="24"/>
        </w:rPr>
        <w:t>interviews</w:t>
      </w:r>
      <w:r w:rsidRPr="00DA6400" w:rsidR="00AE51B4">
        <w:rPr>
          <w:sz w:val="24"/>
          <w:szCs w:val="24"/>
        </w:rPr>
        <w:t xml:space="preserve"> </w:t>
      </w:r>
      <w:r w:rsidRPr="00DA6400">
        <w:rPr>
          <w:sz w:val="24"/>
          <w:szCs w:val="24"/>
        </w:rPr>
        <w:t>will be included in a future PRA submission</w:t>
      </w:r>
      <w:r w:rsidRPr="00DA6400" w:rsidR="00FE69D5">
        <w:rPr>
          <w:sz w:val="24"/>
          <w:szCs w:val="24"/>
        </w:rPr>
        <w:t xml:space="preserve"> (</w:t>
      </w:r>
      <w:r w:rsidRPr="00DA6400" w:rsidR="002956FB">
        <w:rPr>
          <w:sz w:val="24"/>
          <w:szCs w:val="24"/>
        </w:rPr>
        <w:t>s</w:t>
      </w:r>
      <w:r w:rsidRPr="00DA6400" w:rsidR="00FE69D5">
        <w:rPr>
          <w:sz w:val="24"/>
          <w:szCs w:val="24"/>
        </w:rPr>
        <w:t>ee Exhibit A-1)</w:t>
      </w:r>
      <w:r w:rsidRPr="00DA6400" w:rsidR="002956FB">
        <w:rPr>
          <w:sz w:val="24"/>
          <w:szCs w:val="24"/>
        </w:rPr>
        <w:t>.</w:t>
      </w:r>
    </w:p>
    <w:p w:rsidR="00087CEE" w:rsidRPr="00DA6400" w:rsidP="71FAEE06" w14:paraId="3181858F" w14:textId="306E77D4">
      <w:pPr>
        <w:spacing w:line="257" w:lineRule="auto"/>
        <w:rPr>
          <w:b/>
          <w:bCs/>
          <w:sz w:val="24"/>
          <w:szCs w:val="24"/>
        </w:rPr>
      </w:pPr>
      <w:r w:rsidRPr="00DA6400">
        <w:rPr>
          <w:b/>
          <w:bCs/>
          <w:sz w:val="24"/>
          <w:szCs w:val="24"/>
        </w:rPr>
        <w:t xml:space="preserve">Exhibit </w:t>
      </w:r>
      <w:r w:rsidRPr="00DA6400" w:rsidR="00F317E0">
        <w:rPr>
          <w:b/>
          <w:bCs/>
          <w:sz w:val="24"/>
          <w:szCs w:val="24"/>
        </w:rPr>
        <w:t>A-3</w:t>
      </w:r>
      <w:r w:rsidRPr="00DA6400">
        <w:rPr>
          <w:b/>
          <w:bCs/>
          <w:sz w:val="24"/>
          <w:szCs w:val="24"/>
        </w:rPr>
        <w:t xml:space="preserve">: Justification for Data Collection Activities </w:t>
      </w:r>
    </w:p>
    <w:tbl>
      <w:tblPr>
        <w:tblStyle w:val="TableGrid"/>
        <w:tblW w:w="9895" w:type="dxa"/>
        <w:tblLayout w:type="fixed"/>
        <w:tblCellMar>
          <w:left w:w="43" w:type="dxa"/>
          <w:right w:w="43" w:type="dxa"/>
        </w:tblCellMar>
        <w:tblLook w:val="00A0"/>
      </w:tblPr>
      <w:tblGrid>
        <w:gridCol w:w="1615"/>
        <w:gridCol w:w="8280"/>
      </w:tblGrid>
      <w:tr w14:paraId="7661A587" w14:textId="77777777" w:rsidTr="00014669">
        <w:tblPrEx>
          <w:tblW w:w="9895" w:type="dxa"/>
          <w:tblLayout w:type="fixed"/>
          <w:tblCellMar>
            <w:left w:w="43" w:type="dxa"/>
            <w:right w:w="43" w:type="dxa"/>
          </w:tblCellMar>
          <w:tblLook w:val="00A0"/>
        </w:tblPrEx>
        <w:trPr>
          <w:trHeight w:val="481"/>
          <w:tblHeader/>
        </w:trPr>
        <w:tc>
          <w:tcPr>
            <w:tcW w:w="1615" w:type="dxa"/>
            <w:shd w:val="clear" w:color="auto" w:fill="auto"/>
          </w:tcPr>
          <w:p w:rsidR="00087CEE" w:rsidRPr="00DA6400" w:rsidP="46F0EBDC" w14:paraId="50ED884E" w14:textId="77777777">
            <w:pPr>
              <w:jc w:val="center"/>
              <w:rPr>
                <w:b/>
                <w:bCs/>
                <w:color w:val="F0F4F6" w:themeColor="background1" w:themeTint="33"/>
                <w:sz w:val="24"/>
                <w:szCs w:val="24"/>
              </w:rPr>
            </w:pPr>
            <w:r w:rsidRPr="00DA6400">
              <w:rPr>
                <w:b/>
                <w:bCs/>
                <w:sz w:val="24"/>
                <w:szCs w:val="24"/>
              </w:rPr>
              <w:t>Year / Group and Mode</w:t>
            </w:r>
          </w:p>
        </w:tc>
        <w:tc>
          <w:tcPr>
            <w:tcW w:w="8280" w:type="dxa"/>
            <w:shd w:val="clear" w:color="auto" w:fill="auto"/>
          </w:tcPr>
          <w:p w:rsidR="00087CEE" w:rsidRPr="00DA6400" w:rsidP="46F0EBDC" w14:paraId="4392EB82" w14:textId="77777777">
            <w:pPr>
              <w:jc w:val="center"/>
              <w:rPr>
                <w:b/>
                <w:bCs/>
                <w:color w:val="F0F4F6" w:themeColor="background1" w:themeTint="33"/>
                <w:sz w:val="24"/>
                <w:szCs w:val="24"/>
              </w:rPr>
            </w:pPr>
            <w:r w:rsidRPr="00DA6400">
              <w:rPr>
                <w:b/>
                <w:bCs/>
                <w:sz w:val="24"/>
                <w:szCs w:val="24"/>
              </w:rPr>
              <w:t>Respondents, Content, and Justification for Inclusion</w:t>
            </w:r>
          </w:p>
        </w:tc>
      </w:tr>
      <w:tr w14:paraId="7DAC917B" w14:textId="77777777" w:rsidTr="1DEBB872">
        <w:tblPrEx>
          <w:tblW w:w="9895" w:type="dxa"/>
          <w:tblLayout w:type="fixed"/>
          <w:tblCellMar>
            <w:left w:w="43" w:type="dxa"/>
            <w:right w:w="43" w:type="dxa"/>
          </w:tblCellMar>
          <w:tblLook w:val="00A0"/>
        </w:tblPrEx>
        <w:trPr>
          <w:trHeight w:val="1268"/>
        </w:trPr>
        <w:tc>
          <w:tcPr>
            <w:tcW w:w="1615" w:type="dxa"/>
            <w:shd w:val="clear" w:color="auto" w:fill="auto"/>
            <w:vAlign w:val="center"/>
          </w:tcPr>
          <w:p w:rsidR="00087CEE" w:rsidRPr="00DA6400" w:rsidP="00493895" w14:paraId="4C7E60F3" w14:textId="4245BE67">
            <w:pPr>
              <w:rPr>
                <w:b/>
                <w:bCs/>
                <w:sz w:val="24"/>
                <w:szCs w:val="24"/>
              </w:rPr>
            </w:pPr>
            <w:r w:rsidRPr="00DA6400">
              <w:rPr>
                <w:b/>
                <w:bCs/>
                <w:sz w:val="24"/>
                <w:szCs w:val="24"/>
              </w:rPr>
              <w:t>Program Implementation PHA staff interview guide</w:t>
            </w:r>
          </w:p>
        </w:tc>
        <w:tc>
          <w:tcPr>
            <w:tcW w:w="8280" w:type="dxa"/>
          </w:tcPr>
          <w:p w:rsidR="00087CEE" w:rsidRPr="00DA6400" w:rsidP="46F0EBDC" w14:paraId="58D97366" w14:textId="31BB97A0">
            <w:pPr>
              <w:rPr>
                <w:rFonts w:eastAsia="Arial Narrow"/>
                <w:sz w:val="24"/>
                <w:szCs w:val="24"/>
              </w:rPr>
            </w:pPr>
            <w:r w:rsidRPr="00DA6400">
              <w:rPr>
                <w:b/>
                <w:bCs/>
                <w:i/>
                <w:iCs/>
                <w:sz w:val="24"/>
                <w:szCs w:val="24"/>
              </w:rPr>
              <w:t>Respondents</w:t>
            </w:r>
            <w:r w:rsidRPr="00DA6400">
              <w:rPr>
                <w:i/>
                <w:iCs/>
                <w:sz w:val="24"/>
                <w:szCs w:val="24"/>
              </w:rPr>
              <w:t>:</w:t>
            </w:r>
            <w:r w:rsidRPr="00DA6400">
              <w:rPr>
                <w:sz w:val="24"/>
                <w:szCs w:val="24"/>
              </w:rPr>
              <w:t xml:space="preserve"> </w:t>
            </w:r>
            <w:r w:rsidRPr="00DA6400" w:rsidR="7592C6C1">
              <w:rPr>
                <w:sz w:val="24"/>
                <w:szCs w:val="24"/>
              </w:rPr>
              <w:t xml:space="preserve">Approximately </w:t>
            </w:r>
            <w:r w:rsidRPr="00DA6400">
              <w:rPr>
                <w:sz w:val="24"/>
                <w:szCs w:val="24"/>
              </w:rPr>
              <w:t>5</w:t>
            </w:r>
            <w:r w:rsidRPr="00DA6400" w:rsidR="4BEBA4AD">
              <w:rPr>
                <w:sz w:val="24"/>
                <w:szCs w:val="24"/>
              </w:rPr>
              <w:t>1</w:t>
            </w:r>
            <w:r w:rsidRPr="00DA6400">
              <w:rPr>
                <w:sz w:val="24"/>
                <w:szCs w:val="24"/>
              </w:rPr>
              <w:t xml:space="preserve"> PHA staff interviewees</w:t>
            </w:r>
            <w:r w:rsidRPr="00DA6400" w:rsidR="25054E10">
              <w:rPr>
                <w:sz w:val="24"/>
                <w:szCs w:val="24"/>
              </w:rPr>
              <w:t xml:space="preserve"> </w:t>
            </w:r>
            <w:r w:rsidRPr="00DA6400" w:rsidR="6810F091">
              <w:rPr>
                <w:sz w:val="24"/>
                <w:szCs w:val="24"/>
              </w:rPr>
              <w:t>across all 1</w:t>
            </w:r>
            <w:r w:rsidRPr="00DA6400" w:rsidR="4280D057">
              <w:rPr>
                <w:sz w:val="24"/>
                <w:szCs w:val="24"/>
              </w:rPr>
              <w:t>7</w:t>
            </w:r>
            <w:r w:rsidRPr="00DA6400" w:rsidR="6810F091">
              <w:rPr>
                <w:sz w:val="24"/>
                <w:szCs w:val="24"/>
              </w:rPr>
              <w:t xml:space="preserve"> PHAs in the </w:t>
            </w:r>
            <w:r w:rsidRPr="00DA6400" w:rsidR="45731DEC">
              <w:rPr>
                <w:sz w:val="24"/>
                <w:szCs w:val="24"/>
              </w:rPr>
              <w:t>Asset Building</w:t>
            </w:r>
            <w:r w:rsidRPr="00DA6400" w:rsidR="6810F091">
              <w:rPr>
                <w:sz w:val="24"/>
                <w:szCs w:val="24"/>
              </w:rPr>
              <w:t xml:space="preserve"> Cohort.</w:t>
            </w:r>
          </w:p>
          <w:p w:rsidR="00087CEE" w:rsidRPr="00DA6400" w:rsidP="46F0EBDC" w14:paraId="03415211" w14:textId="3F063BB7">
            <w:pPr>
              <w:rPr>
                <w:rFonts w:eastAsia="Arial Narrow"/>
                <w:sz w:val="24"/>
                <w:szCs w:val="24"/>
              </w:rPr>
            </w:pPr>
            <w:r w:rsidRPr="00DA6400">
              <w:rPr>
                <w:b/>
                <w:bCs/>
                <w:i/>
                <w:iCs/>
                <w:sz w:val="24"/>
                <w:szCs w:val="24"/>
              </w:rPr>
              <w:t xml:space="preserve">Topics: </w:t>
            </w:r>
          </w:p>
          <w:p w:rsidR="00087CEE" w:rsidRPr="00DA6400" w:rsidP="000B02B2" w14:paraId="5E753C88" w14:textId="75A60589">
            <w:pPr>
              <w:pStyle w:val="ListParagraph"/>
              <w:numPr>
                <w:ilvl w:val="0"/>
                <w:numId w:val="6"/>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How was the service model implemented? </w:t>
            </w:r>
          </w:p>
          <w:p w:rsidR="005629CE" w:rsidRPr="00DA6400" w:rsidP="000B02B2" w14:paraId="7289667D" w14:textId="1FE51078">
            <w:pPr>
              <w:pStyle w:val="ListParagraph"/>
              <w:numPr>
                <w:ilvl w:val="0"/>
                <w:numId w:val="6"/>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were PHA experiences during startup of the asset building programs?</w:t>
            </w:r>
          </w:p>
          <w:p w:rsidR="00087CEE" w:rsidRPr="00DA6400" w:rsidP="000B02B2" w14:paraId="5B59D6E0" w14:textId="6F0B055D">
            <w:pPr>
              <w:pStyle w:val="ListParagraph"/>
              <w:numPr>
                <w:ilvl w:val="0"/>
                <w:numId w:val="6"/>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services were delivered?</w:t>
            </w:r>
          </w:p>
          <w:p w:rsidR="00087CEE" w:rsidRPr="00DA6400" w:rsidP="000B02B2" w14:paraId="62006CB4" w14:textId="78F2EF34">
            <w:pPr>
              <w:pStyle w:val="ListParagraph"/>
              <w:numPr>
                <w:ilvl w:val="0"/>
                <w:numId w:val="6"/>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if any, other services were delivered as part of the program?</w:t>
            </w:r>
          </w:p>
          <w:p w:rsidR="00087CEE" w:rsidRPr="00DA6400" w:rsidP="000B02B2" w14:paraId="59600EA4" w14:textId="253550D9">
            <w:pPr>
              <w:pStyle w:val="ListParagraph"/>
              <w:numPr>
                <w:ilvl w:val="0"/>
                <w:numId w:val="7"/>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How did implementation of each service model differ among the PHAs offering it?</w:t>
            </w:r>
          </w:p>
          <w:p w:rsidR="00087CEE" w:rsidRPr="00DA6400" w:rsidP="000B02B2" w14:paraId="7C2228C6" w14:textId="013DE44C">
            <w:pPr>
              <w:pStyle w:val="ListParagraph"/>
              <w:numPr>
                <w:ilvl w:val="0"/>
                <w:numId w:val="7"/>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How closely did implementation of the programs adhere to the PHAs’ original plans? </w:t>
            </w:r>
          </w:p>
          <w:p w:rsidR="00087CEE" w:rsidRPr="00DA6400" w:rsidP="000B02B2" w14:paraId="4C552907" w14:textId="45732B04">
            <w:pPr>
              <w:pStyle w:val="ListParagraph"/>
              <w:numPr>
                <w:ilvl w:val="0"/>
                <w:numId w:val="7"/>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if any, barriers did PHAs face to implementing the programs as they intended to?</w:t>
            </w:r>
          </w:p>
          <w:p w:rsidR="00087CEE" w:rsidRPr="00DA6400" w:rsidP="000B02B2" w14:paraId="69C0935F" w14:textId="082707EA">
            <w:pPr>
              <w:pStyle w:val="ListParagraph"/>
              <w:numPr>
                <w:ilvl w:val="0"/>
                <w:numId w:val="7"/>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To what extent did the PHAs succeed in engaging participants in services as </w:t>
            </w:r>
            <w:r w:rsidRPr="00DA6400">
              <w:rPr>
                <w:rFonts w:ascii="Times New Roman" w:eastAsia="Times New Roman" w:hAnsi="Times New Roman" w:cs="Times New Roman"/>
                <w:sz w:val="24"/>
                <w:szCs w:val="24"/>
              </w:rPr>
              <w:t>intended</w:t>
            </w:r>
          </w:p>
          <w:p w:rsidR="00087CEE" w:rsidRPr="00DA6400" w:rsidP="000B02B2" w14:paraId="415CCEDD" w14:textId="61BDA376">
            <w:pPr>
              <w:pStyle w:val="ListParagraph"/>
              <w:numPr>
                <w:ilvl w:val="0"/>
                <w:numId w:val="7"/>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What strategies were used to encourage engagement? </w:t>
            </w:r>
          </w:p>
          <w:p w:rsidR="00087CEE" w:rsidRPr="00DA6400" w:rsidP="000B02B2" w14:paraId="0613C617" w14:textId="4B94D307">
            <w:pPr>
              <w:pStyle w:val="ListParagraph"/>
              <w:numPr>
                <w:ilvl w:val="0"/>
                <w:numId w:val="8"/>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What lessons did PHAs learn about administrative burdens? </w:t>
            </w:r>
          </w:p>
          <w:p w:rsidR="00087CEE" w:rsidRPr="00DA6400" w:rsidP="000B02B2" w14:paraId="194B0388" w14:textId="7EF887D1">
            <w:pPr>
              <w:pStyle w:val="ListParagraph"/>
              <w:numPr>
                <w:ilvl w:val="0"/>
                <w:numId w:val="8"/>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lessons did PHAs learn about the timing of program activities?</w:t>
            </w:r>
          </w:p>
          <w:p w:rsidR="003A2A9C" w:rsidRPr="00DA6400" w:rsidP="000B02B2" w14:paraId="52078F6D" w14:textId="77777777">
            <w:pPr>
              <w:pStyle w:val="ListParagraph"/>
              <w:numPr>
                <w:ilvl w:val="0"/>
                <w:numId w:val="8"/>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lessons did PHAs learn about required staffing levels?</w:t>
            </w:r>
          </w:p>
          <w:p w:rsidR="00087CEE" w:rsidRPr="00DA6400" w:rsidP="000B02B2" w14:paraId="11028878" w14:textId="4166F7DD">
            <w:pPr>
              <w:pStyle w:val="ListParagraph"/>
              <w:numPr>
                <w:ilvl w:val="0"/>
                <w:numId w:val="8"/>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How much did it cost the PHA to start up and run the asset building program?</w:t>
            </w:r>
            <w:r w:rsidRPr="00DA6400" w:rsidR="69DE7D88">
              <w:rPr>
                <w:rFonts w:ascii="Times New Roman" w:eastAsia="Times New Roman" w:hAnsi="Times New Roman" w:cs="Times New Roman"/>
                <w:sz w:val="24"/>
                <w:szCs w:val="24"/>
              </w:rPr>
              <w:t xml:space="preserve"> </w:t>
            </w:r>
          </w:p>
          <w:p w:rsidR="00087CEE" w:rsidRPr="00DA6400" w:rsidP="000B02B2" w14:paraId="308C3E77" w14:textId="4B15301F">
            <w:pPr>
              <w:pStyle w:val="ListParagraph"/>
              <w:numPr>
                <w:ilvl w:val="0"/>
                <w:numId w:val="8"/>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lessons did PHAs learn about the types of interactions with participants to be prepared for?</w:t>
            </w:r>
          </w:p>
          <w:p w:rsidR="00087CEE" w:rsidRPr="00DA6400" w:rsidP="46F0EBDC" w14:paraId="28E0CCE0" w14:textId="3D6C0858">
            <w:pPr>
              <w:rPr>
                <w:sz w:val="24"/>
                <w:szCs w:val="24"/>
              </w:rPr>
            </w:pPr>
            <w:r w:rsidRPr="00DA6400">
              <w:rPr>
                <w:b/>
                <w:bCs/>
                <w:i/>
                <w:iCs/>
                <w:sz w:val="24"/>
                <w:szCs w:val="24"/>
              </w:rPr>
              <w:t xml:space="preserve">Justification: </w:t>
            </w:r>
            <w:r w:rsidRPr="00DA6400" w:rsidR="547EC05A">
              <w:rPr>
                <w:sz w:val="24"/>
                <w:szCs w:val="24"/>
              </w:rPr>
              <w:t xml:space="preserve">The research team will </w:t>
            </w:r>
            <w:r w:rsidRPr="00DA6400" w:rsidR="7334E155">
              <w:rPr>
                <w:sz w:val="24"/>
                <w:szCs w:val="24"/>
              </w:rPr>
              <w:t>interview</w:t>
            </w:r>
            <w:r w:rsidRPr="00DA6400" w:rsidR="547EC05A">
              <w:rPr>
                <w:sz w:val="24"/>
                <w:szCs w:val="24"/>
              </w:rPr>
              <w:t xml:space="preserve"> PHA staff to understand how they implemented the</w:t>
            </w:r>
            <w:r w:rsidRPr="00DA6400" w:rsidR="00C30861">
              <w:rPr>
                <w:sz w:val="24"/>
                <w:szCs w:val="24"/>
              </w:rPr>
              <w:t>ir MTW asset building</w:t>
            </w:r>
            <w:r w:rsidRPr="00DA6400" w:rsidR="547EC05A">
              <w:rPr>
                <w:sz w:val="24"/>
                <w:szCs w:val="24"/>
              </w:rPr>
              <w:t xml:space="preserve"> program</w:t>
            </w:r>
            <w:r w:rsidRPr="00DA6400" w:rsidR="7433FBF2">
              <w:rPr>
                <w:sz w:val="24"/>
                <w:szCs w:val="24"/>
              </w:rPr>
              <w:t xml:space="preserve">. </w:t>
            </w:r>
            <w:r w:rsidRPr="00DA6400" w:rsidR="7EFF0A1D">
              <w:rPr>
                <w:sz w:val="24"/>
                <w:szCs w:val="24"/>
              </w:rPr>
              <w:t xml:space="preserve">This will allow researchers to determine whether such programs are scalable, what supports PHAs need to successfully implement a program, and what challenges they might face in serving HUD-assisted residents. </w:t>
            </w:r>
            <w:r w:rsidRPr="00DA6400" w:rsidR="00470516">
              <w:rPr>
                <w:sz w:val="24"/>
                <w:szCs w:val="24"/>
              </w:rPr>
              <w:t>T</w:t>
            </w:r>
            <w:r w:rsidRPr="00DA6400" w:rsidR="7C6B3A48">
              <w:rPr>
                <w:sz w:val="24"/>
                <w:szCs w:val="24"/>
              </w:rPr>
              <w:t>his information</w:t>
            </w:r>
            <w:r w:rsidRPr="00DA6400" w:rsidR="00470516">
              <w:rPr>
                <w:sz w:val="24"/>
                <w:szCs w:val="24"/>
              </w:rPr>
              <w:t xml:space="preserve"> is </w:t>
            </w:r>
            <w:r w:rsidRPr="00DA6400" w:rsidR="7C6B3A48">
              <w:rPr>
                <w:sz w:val="24"/>
                <w:szCs w:val="24"/>
              </w:rPr>
              <w:t>not accessible through existing records</w:t>
            </w:r>
            <w:r w:rsidRPr="00DA6400" w:rsidR="00470516">
              <w:rPr>
                <w:sz w:val="24"/>
                <w:szCs w:val="24"/>
              </w:rPr>
              <w:t xml:space="preserve"> </w:t>
            </w:r>
            <w:r w:rsidRPr="00DA6400" w:rsidR="00470516">
              <w:rPr>
                <w:sz w:val="24"/>
                <w:szCs w:val="24"/>
              </w:rPr>
              <w:t>and</w:t>
            </w:r>
            <w:r w:rsidRPr="00DA6400" w:rsidR="7C6B3A48">
              <w:rPr>
                <w:sz w:val="24"/>
                <w:szCs w:val="24"/>
              </w:rPr>
              <w:t xml:space="preserve"> will allow HUD to evaluate the potential of these approaches</w:t>
            </w:r>
            <w:r w:rsidRPr="00DA6400" w:rsidR="00470516">
              <w:rPr>
                <w:sz w:val="24"/>
                <w:szCs w:val="24"/>
              </w:rPr>
              <w:t xml:space="preserve"> to have positive impacts on HUD-assisted families</w:t>
            </w:r>
            <w:r w:rsidRPr="00DA6400" w:rsidR="7C6B3A48">
              <w:rPr>
                <w:sz w:val="24"/>
                <w:szCs w:val="24"/>
              </w:rPr>
              <w:t>.</w:t>
            </w:r>
            <w:r w:rsidRPr="00DA6400" w:rsidR="767E0053">
              <w:rPr>
                <w:sz w:val="24"/>
                <w:szCs w:val="24"/>
              </w:rPr>
              <w:t xml:space="preserve"> Information on program implementation </w:t>
            </w:r>
            <w:r w:rsidRPr="00DA6400" w:rsidR="00C63BE3">
              <w:rPr>
                <w:sz w:val="24"/>
                <w:szCs w:val="24"/>
              </w:rPr>
              <w:t>will be valuable for other PHAs considering whether to implement an asset building program.</w:t>
            </w:r>
          </w:p>
          <w:p w:rsidR="00087CEE" w:rsidRPr="00DA6400" w:rsidP="46F0EBDC" w14:paraId="0C7EF5E9" w14:textId="1F411FDC">
            <w:pPr>
              <w:rPr>
                <w:sz w:val="24"/>
                <w:szCs w:val="24"/>
              </w:rPr>
            </w:pPr>
          </w:p>
        </w:tc>
      </w:tr>
      <w:tr w14:paraId="1BE34C45" w14:textId="77777777" w:rsidTr="1DEBB872">
        <w:tblPrEx>
          <w:tblW w:w="9895" w:type="dxa"/>
          <w:tblLayout w:type="fixed"/>
          <w:tblCellMar>
            <w:left w:w="43" w:type="dxa"/>
            <w:right w:w="43" w:type="dxa"/>
          </w:tblCellMar>
          <w:tblLook w:val="00A0"/>
        </w:tblPrEx>
        <w:trPr>
          <w:cantSplit/>
          <w:trHeight w:val="1657"/>
        </w:trPr>
        <w:tc>
          <w:tcPr>
            <w:tcW w:w="1615" w:type="dxa"/>
            <w:shd w:val="clear" w:color="auto" w:fill="auto"/>
          </w:tcPr>
          <w:p w:rsidR="00087CEE" w:rsidRPr="00DA6400" w:rsidP="46F0EBDC" w14:paraId="37BBAA0E" w14:textId="10B074D6">
            <w:pPr>
              <w:rPr>
                <w:b/>
                <w:bCs/>
                <w:sz w:val="24"/>
                <w:szCs w:val="24"/>
              </w:rPr>
            </w:pPr>
            <w:r w:rsidRPr="00DA6400">
              <w:rPr>
                <w:b/>
                <w:bCs/>
                <w:sz w:val="24"/>
                <w:szCs w:val="24"/>
              </w:rPr>
              <w:t>Program Implementation partner staff interview guide</w:t>
            </w:r>
          </w:p>
          <w:p w:rsidR="00087CEE" w:rsidRPr="00DA6400" w:rsidP="46F0EBDC" w14:paraId="69288A4D" w14:textId="1C0DA115">
            <w:pPr>
              <w:rPr>
                <w:b/>
                <w:bCs/>
                <w:sz w:val="24"/>
                <w:szCs w:val="24"/>
              </w:rPr>
            </w:pPr>
          </w:p>
        </w:tc>
        <w:tc>
          <w:tcPr>
            <w:tcW w:w="8280" w:type="dxa"/>
          </w:tcPr>
          <w:p w:rsidR="00087CEE" w:rsidRPr="00DA6400" w:rsidP="31950CE8" w14:paraId="67B04A5F" w14:textId="51B42676">
            <w:pPr>
              <w:rPr>
                <w:rFonts w:eastAsia="Arial Narrow"/>
                <w:sz w:val="24"/>
                <w:szCs w:val="24"/>
              </w:rPr>
            </w:pPr>
            <w:r w:rsidRPr="00DA6400">
              <w:rPr>
                <w:b/>
                <w:bCs/>
                <w:i/>
                <w:iCs/>
                <w:sz w:val="24"/>
                <w:szCs w:val="24"/>
              </w:rPr>
              <w:t>Respondents</w:t>
            </w:r>
            <w:r w:rsidRPr="00DA6400">
              <w:rPr>
                <w:i/>
                <w:iCs/>
                <w:sz w:val="24"/>
                <w:szCs w:val="24"/>
              </w:rPr>
              <w:t>:</w:t>
            </w:r>
            <w:r w:rsidRPr="00DA6400">
              <w:rPr>
                <w:sz w:val="24"/>
                <w:szCs w:val="24"/>
              </w:rPr>
              <w:t xml:space="preserve"> </w:t>
            </w:r>
            <w:r w:rsidRPr="00DA6400" w:rsidR="4298907A">
              <w:rPr>
                <w:sz w:val="24"/>
                <w:szCs w:val="24"/>
              </w:rPr>
              <w:t xml:space="preserve">Approximately </w:t>
            </w:r>
            <w:r w:rsidRPr="00DA6400" w:rsidR="76871530">
              <w:rPr>
                <w:sz w:val="24"/>
                <w:szCs w:val="24"/>
              </w:rPr>
              <w:t>1</w:t>
            </w:r>
            <w:r w:rsidRPr="00DA6400" w:rsidR="7448D688">
              <w:rPr>
                <w:sz w:val="24"/>
                <w:szCs w:val="24"/>
              </w:rPr>
              <w:t>2</w:t>
            </w:r>
            <w:r w:rsidRPr="00DA6400" w:rsidR="76871530">
              <w:rPr>
                <w:sz w:val="24"/>
                <w:szCs w:val="24"/>
              </w:rPr>
              <w:t xml:space="preserve"> partner organization staff interviewees</w:t>
            </w:r>
            <w:r w:rsidRPr="00DA6400" w:rsidR="2DF3C909">
              <w:rPr>
                <w:sz w:val="24"/>
                <w:szCs w:val="24"/>
              </w:rPr>
              <w:t xml:space="preserve"> across </w:t>
            </w:r>
            <w:r w:rsidRPr="00DA6400" w:rsidR="384B5006">
              <w:rPr>
                <w:sz w:val="24"/>
                <w:szCs w:val="24"/>
              </w:rPr>
              <w:t xml:space="preserve">the </w:t>
            </w:r>
            <w:r w:rsidRPr="00DA6400" w:rsidR="03F11CFC">
              <w:rPr>
                <w:sz w:val="24"/>
                <w:szCs w:val="24"/>
              </w:rPr>
              <w:t>4</w:t>
            </w:r>
            <w:r w:rsidRPr="00DA6400" w:rsidR="2DF3C909">
              <w:rPr>
                <w:sz w:val="24"/>
                <w:szCs w:val="24"/>
              </w:rPr>
              <w:t xml:space="preserve"> PHAs </w:t>
            </w:r>
            <w:r w:rsidRPr="00DA6400" w:rsidR="7641A335">
              <w:rPr>
                <w:sz w:val="24"/>
                <w:szCs w:val="24"/>
              </w:rPr>
              <w:t>(</w:t>
            </w:r>
            <w:r w:rsidRPr="00DA6400" w:rsidR="06A24B3A">
              <w:rPr>
                <w:sz w:val="24"/>
                <w:szCs w:val="24"/>
              </w:rPr>
              <w:t>2</w:t>
            </w:r>
            <w:r w:rsidRPr="00DA6400" w:rsidR="7641A335">
              <w:rPr>
                <w:sz w:val="24"/>
                <w:szCs w:val="24"/>
              </w:rPr>
              <w:t xml:space="preserve"> opt-out savings sites and </w:t>
            </w:r>
            <w:r w:rsidRPr="00DA6400" w:rsidR="5BC64B7C">
              <w:rPr>
                <w:sz w:val="24"/>
                <w:szCs w:val="24"/>
              </w:rPr>
              <w:t>2</w:t>
            </w:r>
            <w:r w:rsidRPr="00DA6400" w:rsidR="7641A335">
              <w:rPr>
                <w:sz w:val="24"/>
                <w:szCs w:val="24"/>
              </w:rPr>
              <w:t xml:space="preserve"> rent reporting sites) </w:t>
            </w:r>
            <w:r w:rsidRPr="00DA6400" w:rsidR="2DF3C909">
              <w:rPr>
                <w:sz w:val="24"/>
                <w:szCs w:val="24"/>
              </w:rPr>
              <w:t xml:space="preserve">in the </w:t>
            </w:r>
            <w:r w:rsidRPr="00DA6400" w:rsidR="582C123E">
              <w:rPr>
                <w:sz w:val="24"/>
                <w:szCs w:val="24"/>
              </w:rPr>
              <w:t>Asset Building Cohort</w:t>
            </w:r>
            <w:r w:rsidRPr="00DA6400" w:rsidR="7CA65E6E">
              <w:rPr>
                <w:sz w:val="24"/>
                <w:szCs w:val="24"/>
              </w:rPr>
              <w:t xml:space="preserve"> chosen for site visits</w:t>
            </w:r>
          </w:p>
          <w:p w:rsidR="00087CEE" w:rsidRPr="00DA6400" w:rsidP="46F0EBDC" w14:paraId="43155352" w14:textId="750D72B1">
            <w:pPr>
              <w:rPr>
                <w:b/>
                <w:bCs/>
                <w:i/>
                <w:iCs/>
                <w:sz w:val="24"/>
                <w:szCs w:val="24"/>
              </w:rPr>
            </w:pPr>
            <w:r w:rsidRPr="00DA6400">
              <w:rPr>
                <w:b/>
                <w:bCs/>
                <w:i/>
                <w:iCs/>
                <w:sz w:val="24"/>
                <w:szCs w:val="24"/>
              </w:rPr>
              <w:t>Topics:</w:t>
            </w:r>
            <w:r w:rsidRPr="00DA6400" w:rsidR="62FA697D">
              <w:rPr>
                <w:b/>
                <w:bCs/>
                <w:i/>
                <w:iCs/>
                <w:sz w:val="24"/>
                <w:szCs w:val="24"/>
              </w:rPr>
              <w:t xml:space="preserve"> </w:t>
            </w:r>
          </w:p>
          <w:p w:rsidR="00CC58B8" w:rsidRPr="00DA6400" w:rsidP="000B02B2" w14:paraId="68FA37F0" w14:textId="77777777">
            <w:pPr>
              <w:pStyle w:val="ListParagraph"/>
              <w:numPr>
                <w:ilvl w:val="0"/>
                <w:numId w:val="8"/>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is the partner’s role in the opt-out saving/rent reporting program?</w:t>
            </w:r>
          </w:p>
          <w:p w:rsidR="00CC58B8" w:rsidRPr="00DA6400" w:rsidP="000B02B2" w14:paraId="02E121CE" w14:textId="50923609">
            <w:pPr>
              <w:pStyle w:val="ListParagraph"/>
              <w:numPr>
                <w:ilvl w:val="0"/>
                <w:numId w:val="8"/>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has the partner done as part of the program?</w:t>
            </w:r>
          </w:p>
          <w:p w:rsidR="00CC58B8" w:rsidRPr="00DA6400" w:rsidP="000B02B2" w14:paraId="0D45D2EC" w14:textId="679ECAF2">
            <w:pPr>
              <w:pStyle w:val="ListParagraph"/>
              <w:numPr>
                <w:ilvl w:val="0"/>
                <w:numId w:val="8"/>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agreements, MOUs, or contracts are in place?</w:t>
            </w:r>
          </w:p>
          <w:p w:rsidR="00766D97" w:rsidRPr="00DA6400" w:rsidP="000B02B2" w14:paraId="6A699587" w14:textId="6E0D7B6A">
            <w:pPr>
              <w:pStyle w:val="ListParagraph"/>
              <w:numPr>
                <w:ilvl w:val="0"/>
                <w:numId w:val="8"/>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How much did the partner organization charge the PHA (if anything)?</w:t>
            </w:r>
          </w:p>
          <w:p w:rsidR="00CC58B8" w:rsidRPr="00DA6400" w:rsidP="000B02B2" w14:paraId="134FB4FB" w14:textId="3266BC4B">
            <w:pPr>
              <w:pStyle w:val="ListParagraph"/>
              <w:numPr>
                <w:ilvl w:val="0"/>
                <w:numId w:val="8"/>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led the partner to want to be part of the program?</w:t>
            </w:r>
          </w:p>
          <w:p w:rsidR="009840DE" w:rsidRPr="00DA6400" w:rsidP="000B02B2" w14:paraId="1EE91BAE" w14:textId="60901A59">
            <w:pPr>
              <w:pStyle w:val="ListParagraph"/>
              <w:numPr>
                <w:ilvl w:val="0"/>
                <w:numId w:val="8"/>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Have partners had any direct interaction with residents, and if </w:t>
            </w:r>
            <w:r w:rsidRPr="00DA6400">
              <w:rPr>
                <w:rFonts w:ascii="Times New Roman" w:eastAsia="Times New Roman" w:hAnsi="Times New Roman" w:cs="Times New Roman"/>
                <w:sz w:val="24"/>
                <w:szCs w:val="24"/>
              </w:rPr>
              <w:t>so</w:t>
            </w:r>
            <w:r w:rsidRPr="00DA6400" w:rsidR="42F6EA1E">
              <w:rPr>
                <w:rFonts w:ascii="Times New Roman" w:eastAsia="Times New Roman" w:hAnsi="Times New Roman" w:cs="Times New Roman"/>
                <w:sz w:val="24"/>
                <w:szCs w:val="24"/>
              </w:rPr>
              <w:t xml:space="preserve"> what have those interactions involved?</w:t>
            </w:r>
          </w:p>
          <w:p w:rsidR="009840DE" w:rsidRPr="00DA6400" w:rsidP="000B02B2" w14:paraId="5E23AD12" w14:textId="5320C238">
            <w:pPr>
              <w:pStyle w:val="ListParagraph"/>
              <w:numPr>
                <w:ilvl w:val="0"/>
                <w:numId w:val="8"/>
              </w:numPr>
              <w:spacing w:line="257" w:lineRule="auto"/>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What challenges have partners faced </w:t>
            </w:r>
            <w:r w:rsidRPr="00DA6400" w:rsidR="42F6EA1E">
              <w:rPr>
                <w:rFonts w:ascii="Times New Roman" w:eastAsia="Times New Roman" w:hAnsi="Times New Roman" w:cs="Times New Roman"/>
                <w:sz w:val="24"/>
                <w:szCs w:val="24"/>
              </w:rPr>
              <w:t>in their role in the program? What has worked well?</w:t>
            </w:r>
          </w:p>
          <w:p w:rsidR="00087CEE" w:rsidRPr="00DA6400" w:rsidP="46F0EBDC" w14:paraId="6680588C" w14:textId="200A390B">
            <w:pPr>
              <w:rPr>
                <w:sz w:val="24"/>
                <w:szCs w:val="24"/>
              </w:rPr>
            </w:pPr>
            <w:r w:rsidRPr="00DA6400">
              <w:rPr>
                <w:b/>
                <w:bCs/>
                <w:i/>
                <w:iCs/>
                <w:sz w:val="24"/>
                <w:szCs w:val="24"/>
              </w:rPr>
              <w:t xml:space="preserve">Justification: </w:t>
            </w:r>
            <w:r w:rsidRPr="00DA6400">
              <w:rPr>
                <w:sz w:val="24"/>
                <w:szCs w:val="24"/>
              </w:rPr>
              <w:t xml:space="preserve">PHAs </w:t>
            </w:r>
            <w:r w:rsidRPr="00DA6400" w:rsidR="00775170">
              <w:rPr>
                <w:sz w:val="24"/>
                <w:szCs w:val="24"/>
              </w:rPr>
              <w:t>plan</w:t>
            </w:r>
            <w:r w:rsidRPr="00DA6400">
              <w:rPr>
                <w:sz w:val="24"/>
                <w:szCs w:val="24"/>
              </w:rPr>
              <w:t xml:space="preserve"> to implement their rent reporting or automatic savings</w:t>
            </w:r>
            <w:r w:rsidRPr="00DA6400" w:rsidR="1016BDD3">
              <w:rPr>
                <w:sz w:val="24"/>
                <w:szCs w:val="24"/>
              </w:rPr>
              <w:t xml:space="preserve"> programs</w:t>
            </w:r>
            <w:r w:rsidRPr="00DA6400">
              <w:rPr>
                <w:sz w:val="24"/>
                <w:szCs w:val="24"/>
              </w:rPr>
              <w:t xml:space="preserve"> </w:t>
            </w:r>
            <w:r w:rsidRPr="00DA6400" w:rsidR="01F81267">
              <w:rPr>
                <w:sz w:val="24"/>
                <w:szCs w:val="24"/>
              </w:rPr>
              <w:t xml:space="preserve">in collaboration with banks, </w:t>
            </w:r>
            <w:r w:rsidRPr="00DA6400" w:rsidR="7C5D1153">
              <w:rPr>
                <w:sz w:val="24"/>
                <w:szCs w:val="24"/>
              </w:rPr>
              <w:t>credit counselors</w:t>
            </w:r>
            <w:r w:rsidRPr="00DA6400" w:rsidR="01F81267">
              <w:rPr>
                <w:sz w:val="24"/>
                <w:szCs w:val="24"/>
              </w:rPr>
              <w:t xml:space="preserve"> and other non-profit </w:t>
            </w:r>
            <w:r w:rsidRPr="00DA6400" w:rsidR="7EF7A190">
              <w:rPr>
                <w:sz w:val="24"/>
                <w:szCs w:val="24"/>
              </w:rPr>
              <w:t>organizations</w:t>
            </w:r>
            <w:r w:rsidRPr="00DA6400" w:rsidR="01F81267">
              <w:rPr>
                <w:sz w:val="24"/>
                <w:szCs w:val="24"/>
              </w:rPr>
              <w:t xml:space="preserve">. Since these partner </w:t>
            </w:r>
            <w:r w:rsidRPr="00DA6400" w:rsidR="7AA1E301">
              <w:rPr>
                <w:sz w:val="24"/>
                <w:szCs w:val="24"/>
              </w:rPr>
              <w:t>organizations</w:t>
            </w:r>
            <w:r w:rsidRPr="00DA6400" w:rsidR="01F81267">
              <w:rPr>
                <w:sz w:val="24"/>
                <w:szCs w:val="24"/>
              </w:rPr>
              <w:t xml:space="preserve"> are </w:t>
            </w:r>
            <w:r w:rsidRPr="00DA6400" w:rsidR="17CC92F0">
              <w:rPr>
                <w:sz w:val="24"/>
                <w:szCs w:val="24"/>
              </w:rPr>
              <w:t xml:space="preserve">implicated in the success and </w:t>
            </w:r>
            <w:r w:rsidRPr="00DA6400" w:rsidR="440C8E33">
              <w:rPr>
                <w:sz w:val="24"/>
                <w:szCs w:val="24"/>
              </w:rPr>
              <w:t xml:space="preserve">scalability of the studied interventions, </w:t>
            </w:r>
            <w:r w:rsidRPr="00DA6400" w:rsidR="441C7A09">
              <w:rPr>
                <w:sz w:val="24"/>
                <w:szCs w:val="24"/>
              </w:rPr>
              <w:t>researchers</w:t>
            </w:r>
            <w:r w:rsidRPr="00DA6400" w:rsidR="440C8E33">
              <w:rPr>
                <w:sz w:val="24"/>
                <w:szCs w:val="24"/>
              </w:rPr>
              <w:t xml:space="preserve"> need to understand how these relationships are managed and whether they can be replicated elsewhere. </w:t>
            </w:r>
            <w:r w:rsidRPr="00DA6400" w:rsidR="00437F28">
              <w:rPr>
                <w:sz w:val="24"/>
                <w:szCs w:val="24"/>
              </w:rPr>
              <w:t>This</w:t>
            </w:r>
            <w:r w:rsidRPr="00DA6400">
              <w:rPr>
                <w:sz w:val="24"/>
                <w:szCs w:val="24"/>
              </w:rPr>
              <w:t xml:space="preserve"> information</w:t>
            </w:r>
            <w:r w:rsidRPr="00DA6400" w:rsidR="00437F28">
              <w:rPr>
                <w:sz w:val="24"/>
                <w:szCs w:val="24"/>
              </w:rPr>
              <w:t xml:space="preserve"> is</w:t>
            </w:r>
            <w:r w:rsidRPr="00DA6400">
              <w:rPr>
                <w:sz w:val="24"/>
                <w:szCs w:val="24"/>
              </w:rPr>
              <w:t xml:space="preserve"> not accessible through existing </w:t>
            </w:r>
            <w:r w:rsidRPr="00DA6400" w:rsidR="001A6378">
              <w:rPr>
                <w:sz w:val="24"/>
                <w:szCs w:val="24"/>
              </w:rPr>
              <w:t>records and</w:t>
            </w:r>
            <w:r w:rsidRPr="00DA6400" w:rsidR="00437F28">
              <w:rPr>
                <w:sz w:val="24"/>
                <w:szCs w:val="24"/>
              </w:rPr>
              <w:t xml:space="preserve"> </w:t>
            </w:r>
            <w:r w:rsidRPr="00DA6400">
              <w:rPr>
                <w:sz w:val="24"/>
                <w:szCs w:val="24"/>
              </w:rPr>
              <w:t xml:space="preserve">will allow HUD to evaluate the potential of </w:t>
            </w:r>
            <w:r w:rsidRPr="00DA6400" w:rsidR="77B83365">
              <w:rPr>
                <w:sz w:val="24"/>
                <w:szCs w:val="24"/>
              </w:rPr>
              <w:t xml:space="preserve">public-private partnership in </w:t>
            </w:r>
            <w:r w:rsidRPr="00DA6400" w:rsidR="00184BD9">
              <w:rPr>
                <w:sz w:val="24"/>
                <w:szCs w:val="24"/>
              </w:rPr>
              <w:t>asset building programs for HUD-assisted households</w:t>
            </w:r>
            <w:r w:rsidRPr="00DA6400" w:rsidR="77B83365">
              <w:rPr>
                <w:sz w:val="24"/>
                <w:szCs w:val="24"/>
              </w:rPr>
              <w:t>.</w:t>
            </w:r>
          </w:p>
          <w:p w:rsidR="00087CEE" w:rsidRPr="00DA6400" w:rsidP="46F0EBDC" w14:paraId="1CC710FC" w14:textId="52ADF8A6">
            <w:pPr>
              <w:rPr>
                <w:b/>
                <w:bCs/>
                <w:i/>
                <w:iCs/>
                <w:sz w:val="24"/>
                <w:szCs w:val="24"/>
              </w:rPr>
            </w:pPr>
          </w:p>
        </w:tc>
      </w:tr>
      <w:tr w14:paraId="498105D5" w14:textId="77777777" w:rsidTr="1DEBB872">
        <w:tblPrEx>
          <w:tblW w:w="9895" w:type="dxa"/>
          <w:tblLayout w:type="fixed"/>
          <w:tblCellMar>
            <w:left w:w="43" w:type="dxa"/>
            <w:right w:w="43" w:type="dxa"/>
          </w:tblCellMar>
          <w:tblLook w:val="00A0"/>
        </w:tblPrEx>
        <w:trPr>
          <w:cantSplit/>
          <w:trHeight w:val="1657"/>
        </w:trPr>
        <w:tc>
          <w:tcPr>
            <w:tcW w:w="1615" w:type="dxa"/>
            <w:shd w:val="clear" w:color="auto" w:fill="auto"/>
          </w:tcPr>
          <w:p w:rsidR="00087CEE" w:rsidRPr="00DA6400" w:rsidP="46F0EBDC" w14:paraId="7CB32C38" w14:textId="07345583">
            <w:pPr>
              <w:rPr>
                <w:b/>
                <w:bCs/>
                <w:sz w:val="24"/>
                <w:szCs w:val="24"/>
              </w:rPr>
            </w:pPr>
            <w:r w:rsidRPr="00DA6400">
              <w:rPr>
                <w:b/>
                <w:bCs/>
                <w:sz w:val="24"/>
                <w:szCs w:val="24"/>
              </w:rPr>
              <w:t xml:space="preserve">Program </w:t>
            </w:r>
            <w:r w:rsidRPr="00DA6400" w:rsidR="004220B9">
              <w:rPr>
                <w:b/>
                <w:bCs/>
                <w:sz w:val="24"/>
                <w:szCs w:val="24"/>
              </w:rPr>
              <w:t>I</w:t>
            </w:r>
            <w:r w:rsidRPr="00DA6400">
              <w:rPr>
                <w:b/>
                <w:bCs/>
                <w:sz w:val="24"/>
                <w:szCs w:val="24"/>
              </w:rPr>
              <w:t xml:space="preserve">mplementation </w:t>
            </w:r>
            <w:r w:rsidRPr="00DA6400" w:rsidR="000A59C4">
              <w:rPr>
                <w:b/>
                <w:bCs/>
                <w:sz w:val="24"/>
                <w:szCs w:val="24"/>
              </w:rPr>
              <w:t xml:space="preserve">PHA </w:t>
            </w:r>
            <w:r w:rsidRPr="00DA6400">
              <w:rPr>
                <w:b/>
                <w:bCs/>
                <w:sz w:val="24"/>
                <w:szCs w:val="24"/>
              </w:rPr>
              <w:t>resident interview guide</w:t>
            </w:r>
          </w:p>
          <w:p w:rsidR="00087CEE" w:rsidRPr="00DA6400" w:rsidP="46F0EBDC" w14:paraId="29EA3CFD" w14:textId="1DAF43BE">
            <w:pPr>
              <w:rPr>
                <w:b/>
                <w:bCs/>
                <w:sz w:val="24"/>
                <w:szCs w:val="24"/>
              </w:rPr>
            </w:pPr>
          </w:p>
        </w:tc>
        <w:tc>
          <w:tcPr>
            <w:tcW w:w="8280" w:type="dxa"/>
          </w:tcPr>
          <w:p w:rsidR="00087CEE" w:rsidRPr="00DA6400" w:rsidP="3CB3DD88" w14:paraId="73998585" w14:textId="6EB2478A">
            <w:pPr>
              <w:rPr>
                <w:rFonts w:eastAsia="Calibri"/>
                <w:sz w:val="24"/>
                <w:szCs w:val="24"/>
              </w:rPr>
            </w:pPr>
            <w:r w:rsidRPr="00DA6400">
              <w:rPr>
                <w:b/>
                <w:bCs/>
                <w:i/>
                <w:iCs/>
                <w:sz w:val="24"/>
                <w:szCs w:val="24"/>
              </w:rPr>
              <w:t>Respondents</w:t>
            </w:r>
            <w:r w:rsidRPr="00DA6400" w:rsidR="616F58C8">
              <w:rPr>
                <w:i/>
                <w:iCs/>
                <w:sz w:val="24"/>
                <w:szCs w:val="24"/>
              </w:rPr>
              <w:t>:</w:t>
            </w:r>
            <w:r w:rsidRPr="00DA6400" w:rsidR="616F58C8">
              <w:rPr>
                <w:sz w:val="24"/>
                <w:szCs w:val="24"/>
              </w:rPr>
              <w:t xml:space="preserve"> </w:t>
            </w:r>
            <w:r w:rsidRPr="00DA6400" w:rsidR="10A5CD71">
              <w:rPr>
                <w:sz w:val="24"/>
                <w:szCs w:val="24"/>
              </w:rPr>
              <w:t xml:space="preserve">Approximately </w:t>
            </w:r>
            <w:r w:rsidRPr="00DA6400" w:rsidR="76794B4E">
              <w:rPr>
                <w:sz w:val="24"/>
                <w:szCs w:val="24"/>
              </w:rPr>
              <w:t>10</w:t>
            </w:r>
            <w:r w:rsidRPr="00DA6400">
              <w:rPr>
                <w:sz w:val="24"/>
                <w:szCs w:val="24"/>
              </w:rPr>
              <w:t xml:space="preserve"> HUD-assisted resident</w:t>
            </w:r>
            <w:r w:rsidRPr="00DA6400" w:rsidR="7D68EA15">
              <w:rPr>
                <w:sz w:val="24"/>
                <w:szCs w:val="24"/>
              </w:rPr>
              <w:t>s</w:t>
            </w:r>
            <w:r w:rsidRPr="00DA6400">
              <w:rPr>
                <w:sz w:val="24"/>
                <w:szCs w:val="24"/>
              </w:rPr>
              <w:t xml:space="preserve"> </w:t>
            </w:r>
            <w:r w:rsidRPr="00DA6400" w:rsidR="15E656D5">
              <w:rPr>
                <w:sz w:val="24"/>
                <w:szCs w:val="24"/>
              </w:rPr>
              <w:t xml:space="preserve">at </w:t>
            </w:r>
            <w:r w:rsidRPr="00DA6400" w:rsidR="73F3EB3D">
              <w:rPr>
                <w:sz w:val="24"/>
                <w:szCs w:val="24"/>
              </w:rPr>
              <w:t>2</w:t>
            </w:r>
            <w:r w:rsidRPr="00DA6400" w:rsidR="15E656D5">
              <w:rPr>
                <w:sz w:val="24"/>
                <w:szCs w:val="24"/>
              </w:rPr>
              <w:t xml:space="preserve"> PHAs (</w:t>
            </w:r>
            <w:r w:rsidRPr="00DA6400" w:rsidR="2BDB4DC0">
              <w:rPr>
                <w:sz w:val="24"/>
                <w:szCs w:val="24"/>
              </w:rPr>
              <w:t>2</w:t>
            </w:r>
            <w:r w:rsidRPr="00DA6400" w:rsidR="15E656D5">
              <w:rPr>
                <w:sz w:val="24"/>
                <w:szCs w:val="24"/>
              </w:rPr>
              <w:t xml:space="preserve"> opt-out savings sites </w:t>
            </w:r>
            <w:r w:rsidRPr="00DA6400" w:rsidR="7BBA868D">
              <w:rPr>
                <w:sz w:val="24"/>
                <w:szCs w:val="24"/>
              </w:rPr>
              <w:t xml:space="preserve">) </w:t>
            </w:r>
          </w:p>
          <w:p w:rsidR="00087CEE" w:rsidRPr="00DA6400" w:rsidP="46F0EBDC" w14:paraId="7E3F48F2" w14:textId="2752336B">
            <w:pPr>
              <w:rPr>
                <w:rFonts w:eastAsia="Calibri"/>
                <w:sz w:val="24"/>
                <w:szCs w:val="24"/>
              </w:rPr>
            </w:pPr>
            <w:r w:rsidRPr="00DA6400">
              <w:rPr>
                <w:b/>
                <w:bCs/>
                <w:i/>
                <w:iCs/>
                <w:sz w:val="24"/>
                <w:szCs w:val="24"/>
              </w:rPr>
              <w:t xml:space="preserve">Topics: </w:t>
            </w:r>
          </w:p>
          <w:p w:rsidR="00087CEE" w:rsidRPr="00DA6400" w:rsidP="000B02B2" w14:paraId="22C2BA16" w14:textId="65FB8466">
            <w:pPr>
              <w:pStyle w:val="ListParagraph"/>
              <w:numPr>
                <w:ilvl w:val="0"/>
                <w:numId w:val="5"/>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To what extent were participants aware of and to what extent did they understand the services available to them? </w:t>
            </w:r>
          </w:p>
          <w:p w:rsidR="00087CEE" w:rsidRPr="00DA6400" w:rsidP="000B02B2" w14:paraId="44E3622F" w14:textId="12B65F8C">
            <w:pPr>
              <w:pStyle w:val="ListParagraph"/>
              <w:numPr>
                <w:ilvl w:val="0"/>
                <w:numId w:val="5"/>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motivated their participation?</w:t>
            </w:r>
          </w:p>
          <w:p w:rsidR="00087CEE" w:rsidRPr="00DA6400" w:rsidP="000B02B2" w14:paraId="71A7C2AD" w14:textId="23E3A785">
            <w:pPr>
              <w:pStyle w:val="ListParagraph"/>
              <w:numPr>
                <w:ilvl w:val="0"/>
                <w:numId w:val="5"/>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How did participants perceive the services they received? What difference did they perceive the program(s) made in their lives and on their financial well-being?</w:t>
            </w:r>
          </w:p>
          <w:p w:rsidR="00087CEE" w:rsidRPr="00DA6400" w:rsidP="000B02B2" w14:paraId="4B9D42B8" w14:textId="27B5493F">
            <w:pPr>
              <w:pStyle w:val="ListParagraph"/>
              <w:numPr>
                <w:ilvl w:val="0"/>
                <w:numId w:val="5"/>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Did participant attitudes about financial institutions or credit reporting (e.g., lack of trust in banks, concerns with reporting of information to credit agencies) affect their decisions on whether to engage with program services?</w:t>
            </w:r>
          </w:p>
          <w:p w:rsidR="00087CEE" w:rsidRPr="00DA6400" w:rsidP="000B02B2" w14:paraId="40E1F100" w14:textId="3098B1E7">
            <w:pPr>
              <w:pStyle w:val="ListParagraph"/>
              <w:numPr>
                <w:ilvl w:val="0"/>
                <w:numId w:val="5"/>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How did different backgrounds among the participants affect their experiences with the program?</w:t>
            </w:r>
          </w:p>
          <w:p w:rsidR="00087CEE" w:rsidRPr="00DA6400" w:rsidP="000B02B2" w14:paraId="501153A4" w14:textId="0309F32A">
            <w:pPr>
              <w:pStyle w:val="ListParagraph"/>
              <w:numPr>
                <w:ilvl w:val="0"/>
                <w:numId w:val="5"/>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are the financial circumstances and well-being of the households served by the PHAs?</w:t>
            </w:r>
          </w:p>
          <w:p w:rsidR="00087CEE" w:rsidRPr="00DA6400" w:rsidP="000B02B2" w14:paraId="2A540E59" w14:textId="745AAE7A">
            <w:pPr>
              <w:pStyle w:val="ListParagraph"/>
              <w:numPr>
                <w:ilvl w:val="0"/>
                <w:numId w:val="5"/>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lessons did participants learn about building savings and about navigating the banking system (Opt-Out Savings Accounts)?</w:t>
            </w:r>
          </w:p>
          <w:p w:rsidR="00087CEE" w:rsidRPr="00DA6400" w:rsidP="000B02B2" w14:paraId="076BD651" w14:textId="12C91653">
            <w:pPr>
              <w:pStyle w:val="ListParagraph"/>
              <w:numPr>
                <w:ilvl w:val="0"/>
                <w:numId w:val="5"/>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lessons did participants learn about obstacles to and opportunities for building credit? (Rent Reporting)?</w:t>
            </w:r>
          </w:p>
          <w:p w:rsidR="00087CEE" w:rsidRPr="00DA6400" w:rsidP="46F0EBDC" w14:paraId="170F3FB3" w14:textId="5491F070">
            <w:pPr>
              <w:rPr>
                <w:sz w:val="24"/>
                <w:szCs w:val="24"/>
              </w:rPr>
            </w:pPr>
            <w:r w:rsidRPr="00DA6400">
              <w:rPr>
                <w:b/>
                <w:bCs/>
                <w:i/>
                <w:iCs/>
                <w:sz w:val="24"/>
                <w:szCs w:val="24"/>
              </w:rPr>
              <w:t xml:space="preserve">Justification: </w:t>
            </w:r>
            <w:r w:rsidRPr="00DA6400">
              <w:rPr>
                <w:sz w:val="24"/>
                <w:szCs w:val="24"/>
              </w:rPr>
              <w:t xml:space="preserve">The research team will interview HUD-assisted residents participating in the rent reporting and opt-out savings programs to understand their characteristics and experiences. This will allow researchers to determine whether </w:t>
            </w:r>
            <w:r w:rsidRPr="00DA6400" w:rsidR="06957684">
              <w:rPr>
                <w:sz w:val="24"/>
                <w:szCs w:val="24"/>
              </w:rPr>
              <w:t xml:space="preserve">the programs are properly targeted and what additional support </w:t>
            </w:r>
            <w:r w:rsidRPr="00DA6400" w:rsidR="003E7978">
              <w:rPr>
                <w:sz w:val="24"/>
                <w:szCs w:val="24"/>
              </w:rPr>
              <w:t>residents may need</w:t>
            </w:r>
            <w:r w:rsidRPr="00DA6400" w:rsidR="06957684">
              <w:rPr>
                <w:sz w:val="24"/>
                <w:szCs w:val="24"/>
              </w:rPr>
              <w:t xml:space="preserve">. </w:t>
            </w:r>
            <w:r w:rsidRPr="00DA6400" w:rsidR="003E7978">
              <w:rPr>
                <w:sz w:val="24"/>
                <w:szCs w:val="24"/>
              </w:rPr>
              <w:t>This</w:t>
            </w:r>
            <w:r w:rsidRPr="00DA6400">
              <w:rPr>
                <w:sz w:val="24"/>
                <w:szCs w:val="24"/>
              </w:rPr>
              <w:t xml:space="preserve"> information</w:t>
            </w:r>
            <w:r w:rsidRPr="00DA6400" w:rsidR="003E7978">
              <w:rPr>
                <w:sz w:val="24"/>
                <w:szCs w:val="24"/>
              </w:rPr>
              <w:t xml:space="preserve"> is</w:t>
            </w:r>
            <w:r w:rsidRPr="00DA6400">
              <w:rPr>
                <w:sz w:val="24"/>
                <w:szCs w:val="24"/>
              </w:rPr>
              <w:t xml:space="preserve"> not accessible through existing </w:t>
            </w:r>
            <w:r w:rsidRPr="00DA6400" w:rsidR="001A6378">
              <w:rPr>
                <w:sz w:val="24"/>
                <w:szCs w:val="24"/>
              </w:rPr>
              <w:t>records and</w:t>
            </w:r>
            <w:r w:rsidRPr="00DA6400">
              <w:rPr>
                <w:sz w:val="24"/>
                <w:szCs w:val="24"/>
              </w:rPr>
              <w:t xml:space="preserve"> will allow HUD to evaluate the potential of </w:t>
            </w:r>
            <w:r w:rsidRPr="00DA6400" w:rsidR="003E7978">
              <w:rPr>
                <w:sz w:val="24"/>
                <w:szCs w:val="24"/>
              </w:rPr>
              <w:t>asset-building programs for HUD-assisted households</w:t>
            </w:r>
            <w:r w:rsidRPr="00DA6400">
              <w:rPr>
                <w:sz w:val="24"/>
                <w:szCs w:val="24"/>
              </w:rPr>
              <w:t>.</w:t>
            </w:r>
          </w:p>
          <w:p w:rsidR="00087CEE" w:rsidRPr="00DA6400" w:rsidP="46F0EBDC" w14:paraId="63AB9BB3" w14:textId="42443C0A">
            <w:pPr>
              <w:rPr>
                <w:sz w:val="24"/>
                <w:szCs w:val="24"/>
              </w:rPr>
            </w:pPr>
          </w:p>
        </w:tc>
      </w:tr>
      <w:tr w14:paraId="4B2A1453" w14:textId="77777777" w:rsidTr="1DEBB872">
        <w:tblPrEx>
          <w:tblW w:w="9895" w:type="dxa"/>
          <w:tblLayout w:type="fixed"/>
          <w:tblCellMar>
            <w:left w:w="43" w:type="dxa"/>
            <w:right w:w="43" w:type="dxa"/>
          </w:tblCellMar>
          <w:tblLook w:val="00A0"/>
        </w:tblPrEx>
        <w:trPr>
          <w:cantSplit/>
          <w:trHeight w:val="4247"/>
        </w:trPr>
        <w:tc>
          <w:tcPr>
            <w:tcW w:w="1615" w:type="dxa"/>
            <w:shd w:val="clear" w:color="auto" w:fill="auto"/>
          </w:tcPr>
          <w:p w:rsidR="00087CEE" w:rsidRPr="00DA6400" w:rsidP="46F0EBDC" w14:paraId="292C8B41" w14:textId="486F7E0E">
            <w:pPr>
              <w:rPr>
                <w:b/>
                <w:bCs/>
                <w:sz w:val="24"/>
                <w:szCs w:val="24"/>
              </w:rPr>
            </w:pPr>
            <w:r w:rsidRPr="00DA6400">
              <w:rPr>
                <w:b/>
                <w:bCs/>
                <w:sz w:val="24"/>
                <w:szCs w:val="24"/>
              </w:rPr>
              <w:t xml:space="preserve">Rent Reporting </w:t>
            </w:r>
            <w:r w:rsidRPr="00DA6400" w:rsidR="004220B9">
              <w:rPr>
                <w:b/>
                <w:bCs/>
                <w:sz w:val="24"/>
                <w:szCs w:val="24"/>
              </w:rPr>
              <w:t>Q</w:t>
            </w:r>
            <w:r w:rsidRPr="00DA6400">
              <w:rPr>
                <w:b/>
                <w:bCs/>
                <w:sz w:val="24"/>
                <w:szCs w:val="24"/>
              </w:rPr>
              <w:t xml:space="preserve">ualitative interview guide </w:t>
            </w:r>
            <w:r w:rsidRPr="00DA6400" w:rsidR="000A59C4">
              <w:rPr>
                <w:b/>
                <w:bCs/>
                <w:sz w:val="24"/>
                <w:szCs w:val="24"/>
              </w:rPr>
              <w:t xml:space="preserve">round </w:t>
            </w:r>
            <w:r w:rsidRPr="00DA6400">
              <w:rPr>
                <w:b/>
                <w:bCs/>
                <w:sz w:val="24"/>
                <w:szCs w:val="24"/>
              </w:rPr>
              <w:t>1</w:t>
            </w:r>
            <w:r w:rsidRPr="00DA6400" w:rsidR="636CD57E">
              <w:rPr>
                <w:b/>
                <w:bCs/>
                <w:sz w:val="24"/>
                <w:szCs w:val="24"/>
              </w:rPr>
              <w:t xml:space="preserve">  </w:t>
            </w:r>
          </w:p>
        </w:tc>
        <w:tc>
          <w:tcPr>
            <w:tcW w:w="8280" w:type="dxa"/>
          </w:tcPr>
          <w:p w:rsidR="00087CEE" w:rsidRPr="00DA6400" w:rsidP="46F0EBDC" w14:paraId="2512CAF4" w14:textId="7843C1EA">
            <w:pPr>
              <w:rPr>
                <w:sz w:val="24"/>
                <w:szCs w:val="24"/>
              </w:rPr>
            </w:pPr>
            <w:r w:rsidRPr="00DA6400">
              <w:rPr>
                <w:b/>
                <w:bCs/>
                <w:i/>
                <w:iCs/>
                <w:sz w:val="24"/>
                <w:szCs w:val="24"/>
              </w:rPr>
              <w:t>Respondents</w:t>
            </w:r>
            <w:r w:rsidRPr="00DA6400">
              <w:rPr>
                <w:i/>
                <w:iCs/>
                <w:sz w:val="24"/>
                <w:szCs w:val="24"/>
              </w:rPr>
              <w:t>:</w:t>
            </w:r>
            <w:r w:rsidRPr="00DA6400">
              <w:rPr>
                <w:sz w:val="24"/>
                <w:szCs w:val="24"/>
              </w:rPr>
              <w:t xml:space="preserve">  </w:t>
            </w:r>
            <w:r w:rsidRPr="00DA6400" w:rsidR="4BFFB3BF">
              <w:rPr>
                <w:sz w:val="24"/>
                <w:szCs w:val="24"/>
              </w:rPr>
              <w:t xml:space="preserve">Approximately </w:t>
            </w:r>
            <w:r w:rsidRPr="00DA6400" w:rsidR="22888EDE">
              <w:rPr>
                <w:sz w:val="24"/>
                <w:szCs w:val="24"/>
              </w:rPr>
              <w:t>2</w:t>
            </w:r>
            <w:r w:rsidRPr="00DA6400" w:rsidR="4BFFB3BF">
              <w:rPr>
                <w:sz w:val="24"/>
                <w:szCs w:val="24"/>
              </w:rPr>
              <w:t>0</w:t>
            </w:r>
            <w:r w:rsidRPr="00DA6400">
              <w:rPr>
                <w:sz w:val="24"/>
                <w:szCs w:val="24"/>
              </w:rPr>
              <w:t xml:space="preserve"> HUD-assisted resident interviewees</w:t>
            </w:r>
            <w:r w:rsidRPr="00DA6400" w:rsidR="1AB2284C">
              <w:rPr>
                <w:sz w:val="24"/>
                <w:szCs w:val="24"/>
              </w:rPr>
              <w:t xml:space="preserve"> at</w:t>
            </w:r>
            <w:r w:rsidRPr="00DA6400" w:rsidR="00A4269C">
              <w:rPr>
                <w:sz w:val="24"/>
                <w:szCs w:val="24"/>
              </w:rPr>
              <w:t xml:space="preserve"> each of</w:t>
            </w:r>
            <w:r w:rsidRPr="00DA6400" w:rsidR="1AB2284C">
              <w:rPr>
                <w:sz w:val="24"/>
                <w:szCs w:val="24"/>
              </w:rPr>
              <w:t xml:space="preserve"> </w:t>
            </w:r>
            <w:r w:rsidRPr="00DA6400" w:rsidR="733C02E7">
              <w:rPr>
                <w:sz w:val="24"/>
                <w:szCs w:val="24"/>
              </w:rPr>
              <w:t xml:space="preserve">two </w:t>
            </w:r>
            <w:r w:rsidRPr="00DA6400" w:rsidR="3129EEA1">
              <w:rPr>
                <w:sz w:val="24"/>
                <w:szCs w:val="24"/>
              </w:rPr>
              <w:t>PHA</w:t>
            </w:r>
            <w:r w:rsidRPr="00DA6400" w:rsidR="2770F134">
              <w:rPr>
                <w:sz w:val="24"/>
                <w:szCs w:val="24"/>
              </w:rPr>
              <w:t>s (2 rent reporting sites selected for site visits)</w:t>
            </w:r>
          </w:p>
          <w:p w:rsidR="00087CEE" w:rsidRPr="00DA6400" w:rsidP="3F39C206" w14:paraId="2D7F563C" w14:textId="0C10CF40">
            <w:pPr>
              <w:rPr>
                <w:rFonts w:eastAsia="Calibri"/>
                <w:sz w:val="24"/>
                <w:szCs w:val="24"/>
              </w:rPr>
            </w:pPr>
            <w:r w:rsidRPr="00DA6400">
              <w:rPr>
                <w:b/>
                <w:bCs/>
                <w:i/>
                <w:iCs/>
                <w:sz w:val="24"/>
                <w:szCs w:val="24"/>
              </w:rPr>
              <w:t xml:space="preserve">Topics: </w:t>
            </w:r>
          </w:p>
          <w:p w:rsidR="00087CEE" w:rsidRPr="00DA6400" w:rsidP="000B02B2" w14:paraId="45380962" w14:textId="3E93B311">
            <w:pPr>
              <w:pStyle w:val="ListParagraph"/>
              <w:numPr>
                <w:ilvl w:val="0"/>
                <w:numId w:val="16"/>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are the financial circumstances and well-being of the households served by the PHAs?</w:t>
            </w:r>
          </w:p>
          <w:p w:rsidR="00087CEE" w:rsidRPr="00DA6400" w:rsidP="000B02B2" w14:paraId="123782D5" w14:textId="11C6DC82">
            <w:pPr>
              <w:pStyle w:val="ListParagraph"/>
              <w:numPr>
                <w:ilvl w:val="0"/>
                <w:numId w:val="16"/>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motivated their choice to enroll in the study?</w:t>
            </w:r>
          </w:p>
          <w:p w:rsidR="00087CEE" w:rsidRPr="00DA6400" w:rsidP="000B02B2" w14:paraId="57AAAC66" w14:textId="3212EEA2">
            <w:pPr>
              <w:pStyle w:val="ListParagraph"/>
              <w:numPr>
                <w:ilvl w:val="0"/>
                <w:numId w:val="16"/>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How do study participants perceive their financial situations (and credit in particular)?</w:t>
            </w:r>
          </w:p>
          <w:p w:rsidR="00087CEE" w:rsidRPr="00DA6400" w:rsidP="000B02B2" w14:paraId="44963158" w14:textId="442829A7">
            <w:pPr>
              <w:pStyle w:val="ListParagraph"/>
              <w:numPr>
                <w:ilvl w:val="1"/>
                <w:numId w:val="20"/>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What </w:t>
            </w:r>
            <w:r w:rsidRPr="00DA6400">
              <w:rPr>
                <w:rFonts w:ascii="Times New Roman" w:eastAsia="Times New Roman" w:hAnsi="Times New Roman" w:cs="Times New Roman"/>
                <w:sz w:val="24"/>
                <w:szCs w:val="24"/>
              </w:rPr>
              <w:t>is</w:t>
            </w:r>
            <w:r w:rsidRPr="00DA6400">
              <w:rPr>
                <w:rFonts w:ascii="Times New Roman" w:eastAsia="Times New Roman" w:hAnsi="Times New Roman" w:cs="Times New Roman"/>
                <w:sz w:val="24"/>
                <w:szCs w:val="24"/>
              </w:rPr>
              <w:t xml:space="preserve"> study participants’ current understanding of their credit status?</w:t>
            </w:r>
          </w:p>
          <w:p w:rsidR="00087CEE" w:rsidRPr="00DA6400" w:rsidP="000B02B2" w14:paraId="0EAD85F1" w14:textId="6A5074B5">
            <w:pPr>
              <w:pStyle w:val="ListParagraph"/>
              <w:numPr>
                <w:ilvl w:val="0"/>
                <w:numId w:val="16"/>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factors do study participants identify as affecting their financial situation and credit scores?</w:t>
            </w:r>
          </w:p>
          <w:p w:rsidR="00087CEE" w:rsidRPr="00DA6400" w:rsidP="000B02B2" w14:paraId="223B2A9F" w14:textId="4355FCFC">
            <w:pPr>
              <w:pStyle w:val="ListParagraph"/>
              <w:numPr>
                <w:ilvl w:val="0"/>
                <w:numId w:val="16"/>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are study participants’ goals and aspirations that may be affected by their financial situation or credit score?</w:t>
            </w:r>
          </w:p>
          <w:p w:rsidR="00087CEE" w:rsidRPr="00DA6400" w:rsidP="000B02B2" w14:paraId="6D7C1FF3" w14:textId="3B14C6FD">
            <w:pPr>
              <w:pStyle w:val="ListParagraph"/>
              <w:numPr>
                <w:ilvl w:val="1"/>
                <w:numId w:val="20"/>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How have credit and their financial situations affected study participants’ abilities to pursue their goals?</w:t>
            </w:r>
          </w:p>
          <w:p w:rsidR="000F56FD" w:rsidRPr="00DA6400" w:rsidP="000B02B2" w14:paraId="38F1172A" w14:textId="77777777">
            <w:pPr>
              <w:pStyle w:val="ListParagraph"/>
              <w:numPr>
                <w:ilvl w:val="0"/>
                <w:numId w:val="16"/>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What types of recent services have study participants received that may help their financial situation? </w:t>
            </w:r>
          </w:p>
          <w:p w:rsidR="00087CEE" w:rsidRPr="00DA6400" w:rsidP="000B02B2" w14:paraId="049BAC19" w14:textId="6DFDB40C">
            <w:pPr>
              <w:pStyle w:val="ListParagraph"/>
              <w:numPr>
                <w:ilvl w:val="1"/>
                <w:numId w:val="16"/>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For treatment group members, the focus will in part be experiences with the rent reporting initiative.</w:t>
            </w:r>
          </w:p>
          <w:p w:rsidR="005870A1" w:rsidRPr="00DA6400" w:rsidP="005870A1" w14:paraId="294E9130" w14:textId="14B4C7D6">
            <w:pPr>
              <w:rPr>
                <w:sz w:val="24"/>
                <w:szCs w:val="24"/>
              </w:rPr>
            </w:pPr>
            <w:r w:rsidRPr="00DA6400">
              <w:rPr>
                <w:b/>
                <w:bCs/>
                <w:i/>
                <w:iCs/>
                <w:sz w:val="24"/>
                <w:szCs w:val="24"/>
              </w:rPr>
              <w:t xml:space="preserve">Justification: </w:t>
            </w:r>
            <w:r w:rsidRPr="00DA6400">
              <w:rPr>
                <w:sz w:val="24"/>
                <w:szCs w:val="24"/>
              </w:rPr>
              <w:t xml:space="preserve">The research team will interview HUD-assisted residents participating in the rent reporting </w:t>
            </w:r>
            <w:r w:rsidRPr="00DA6400" w:rsidR="6B2BBCAC">
              <w:rPr>
                <w:sz w:val="24"/>
                <w:szCs w:val="24"/>
              </w:rPr>
              <w:t>study</w:t>
            </w:r>
            <w:r w:rsidRPr="00DA6400" w:rsidR="74D74CAA">
              <w:rPr>
                <w:sz w:val="24"/>
                <w:szCs w:val="24"/>
              </w:rPr>
              <w:t xml:space="preserve"> </w:t>
            </w:r>
            <w:r w:rsidRPr="00DA6400">
              <w:rPr>
                <w:sz w:val="24"/>
                <w:szCs w:val="24"/>
              </w:rPr>
              <w:t xml:space="preserve">to understand their characteristics and experiences. This will allow researchers to determine whether the programs are properly targeted and what additional support they may have to provide participants to generate the desired impacts. </w:t>
            </w:r>
            <w:r w:rsidRPr="00DA6400" w:rsidR="1900E57B">
              <w:rPr>
                <w:sz w:val="24"/>
                <w:szCs w:val="24"/>
              </w:rPr>
              <w:t xml:space="preserve">It will also provide a better </w:t>
            </w:r>
            <w:r w:rsidRPr="00DA6400" w:rsidR="11C634D7">
              <w:rPr>
                <w:sz w:val="24"/>
                <w:szCs w:val="24"/>
              </w:rPr>
              <w:t>understanding</w:t>
            </w:r>
            <w:r w:rsidRPr="00DA6400" w:rsidR="1900E57B">
              <w:rPr>
                <w:sz w:val="24"/>
                <w:szCs w:val="24"/>
              </w:rPr>
              <w:t xml:space="preserve"> of the context including services already available in the</w:t>
            </w:r>
            <w:r w:rsidRPr="00DA6400" w:rsidR="50EBED5C">
              <w:rPr>
                <w:sz w:val="24"/>
                <w:szCs w:val="24"/>
              </w:rPr>
              <w:t>se communities</w:t>
            </w:r>
            <w:r w:rsidRPr="00DA6400" w:rsidR="00991581">
              <w:rPr>
                <w:sz w:val="24"/>
                <w:szCs w:val="24"/>
              </w:rPr>
              <w:t xml:space="preserve"> and families’ own understanding of credit</w:t>
            </w:r>
            <w:r w:rsidRPr="00DA6400" w:rsidR="50EBED5C">
              <w:rPr>
                <w:sz w:val="24"/>
                <w:szCs w:val="24"/>
              </w:rPr>
              <w:t xml:space="preserve">. </w:t>
            </w:r>
            <w:r w:rsidRPr="00DA6400">
              <w:rPr>
                <w:sz w:val="24"/>
                <w:szCs w:val="24"/>
              </w:rPr>
              <w:t xml:space="preserve">This information is not accessible through existing </w:t>
            </w:r>
            <w:r w:rsidRPr="00DA6400" w:rsidR="001A6378">
              <w:rPr>
                <w:sz w:val="24"/>
                <w:szCs w:val="24"/>
              </w:rPr>
              <w:t>records and</w:t>
            </w:r>
            <w:r w:rsidRPr="00DA6400">
              <w:rPr>
                <w:sz w:val="24"/>
                <w:szCs w:val="24"/>
              </w:rPr>
              <w:t xml:space="preserve"> will allow HUD to evaluate the potential of asset-building programs </w:t>
            </w:r>
            <w:r w:rsidRPr="00DA6400" w:rsidR="00F65E14">
              <w:rPr>
                <w:sz w:val="24"/>
                <w:szCs w:val="24"/>
              </w:rPr>
              <w:t xml:space="preserve">to positively impact </w:t>
            </w:r>
            <w:r w:rsidRPr="00DA6400">
              <w:rPr>
                <w:sz w:val="24"/>
                <w:szCs w:val="24"/>
              </w:rPr>
              <w:t>HUD-assisted households.</w:t>
            </w:r>
          </w:p>
          <w:p w:rsidR="00087CEE" w:rsidRPr="00DA6400" w:rsidP="46F0EBDC" w14:paraId="5F75F44D" w14:textId="6CC67247">
            <w:pPr>
              <w:rPr>
                <w:sz w:val="24"/>
                <w:szCs w:val="24"/>
              </w:rPr>
            </w:pPr>
          </w:p>
        </w:tc>
      </w:tr>
      <w:tr w14:paraId="6D7236A8" w14:textId="77777777" w:rsidTr="1DEBB872">
        <w:tblPrEx>
          <w:tblW w:w="9895" w:type="dxa"/>
          <w:tblLayout w:type="fixed"/>
          <w:tblCellMar>
            <w:left w:w="43" w:type="dxa"/>
            <w:right w:w="43" w:type="dxa"/>
          </w:tblCellMar>
          <w:tblLook w:val="00A0"/>
        </w:tblPrEx>
        <w:trPr>
          <w:cantSplit/>
          <w:trHeight w:val="1657"/>
        </w:trPr>
        <w:tc>
          <w:tcPr>
            <w:tcW w:w="1615" w:type="dxa"/>
            <w:shd w:val="clear" w:color="auto" w:fill="auto"/>
          </w:tcPr>
          <w:p w:rsidR="00087CEE" w:rsidRPr="00DA6400" w:rsidP="46F0EBDC" w14:paraId="7B523485" w14:textId="5A731E40">
            <w:pPr>
              <w:rPr>
                <w:b/>
                <w:bCs/>
                <w:sz w:val="24"/>
                <w:szCs w:val="24"/>
              </w:rPr>
            </w:pPr>
            <w:r w:rsidRPr="00DA6400">
              <w:rPr>
                <w:b/>
                <w:bCs/>
                <w:sz w:val="24"/>
                <w:szCs w:val="24"/>
              </w:rPr>
              <w:t xml:space="preserve">Rent Reporting </w:t>
            </w:r>
            <w:r w:rsidRPr="00DA6400" w:rsidR="00FC137A">
              <w:rPr>
                <w:b/>
                <w:bCs/>
                <w:sz w:val="24"/>
                <w:szCs w:val="24"/>
              </w:rPr>
              <w:t>Q</w:t>
            </w:r>
            <w:r w:rsidRPr="00DA6400">
              <w:rPr>
                <w:b/>
                <w:bCs/>
                <w:sz w:val="24"/>
                <w:szCs w:val="24"/>
              </w:rPr>
              <w:t xml:space="preserve">ualitative interview guide </w:t>
            </w:r>
            <w:r w:rsidRPr="00DA6400" w:rsidR="00B51E9A">
              <w:rPr>
                <w:b/>
                <w:bCs/>
                <w:sz w:val="24"/>
                <w:szCs w:val="24"/>
              </w:rPr>
              <w:t xml:space="preserve">round </w:t>
            </w:r>
            <w:r w:rsidRPr="00DA6400">
              <w:rPr>
                <w:b/>
                <w:bCs/>
                <w:sz w:val="24"/>
                <w:szCs w:val="24"/>
              </w:rPr>
              <w:t>2</w:t>
            </w:r>
            <w:r w:rsidRPr="00DA6400" w:rsidR="636CD57E">
              <w:rPr>
                <w:b/>
                <w:bCs/>
                <w:sz w:val="24"/>
                <w:szCs w:val="24"/>
              </w:rPr>
              <w:t xml:space="preserve">  </w:t>
            </w:r>
          </w:p>
        </w:tc>
        <w:tc>
          <w:tcPr>
            <w:tcW w:w="8280" w:type="dxa"/>
          </w:tcPr>
          <w:p w:rsidR="00087CEE" w:rsidRPr="00DA6400" w:rsidP="1DEBB872" w14:paraId="0B3ADC7F" w14:textId="2B1B584E">
            <w:pPr>
              <w:rPr>
                <w:sz w:val="24"/>
                <w:szCs w:val="24"/>
              </w:rPr>
            </w:pPr>
            <w:r w:rsidRPr="00DA6400">
              <w:rPr>
                <w:b/>
                <w:bCs/>
                <w:i/>
                <w:iCs/>
                <w:sz w:val="24"/>
                <w:szCs w:val="24"/>
              </w:rPr>
              <w:t>Respondents</w:t>
            </w:r>
            <w:r w:rsidRPr="00DA6400">
              <w:rPr>
                <w:i/>
                <w:iCs/>
                <w:sz w:val="24"/>
                <w:szCs w:val="24"/>
              </w:rPr>
              <w:t>:</w:t>
            </w:r>
            <w:r w:rsidRPr="00DA6400">
              <w:rPr>
                <w:sz w:val="24"/>
                <w:szCs w:val="24"/>
              </w:rPr>
              <w:t xml:space="preserve">  </w:t>
            </w:r>
            <w:r w:rsidRPr="00DA6400" w:rsidR="30E00E71">
              <w:rPr>
                <w:sz w:val="24"/>
                <w:szCs w:val="24"/>
              </w:rPr>
              <w:t xml:space="preserve">Approximately </w:t>
            </w:r>
            <w:r w:rsidRPr="00DA6400" w:rsidR="537C6928">
              <w:rPr>
                <w:sz w:val="24"/>
                <w:szCs w:val="24"/>
              </w:rPr>
              <w:t>20</w:t>
            </w:r>
            <w:r w:rsidRPr="00DA6400" w:rsidR="30E00E71">
              <w:rPr>
                <w:sz w:val="24"/>
                <w:szCs w:val="24"/>
              </w:rPr>
              <w:t>0 HUD-assisted resident interviewees at</w:t>
            </w:r>
            <w:r w:rsidRPr="00DA6400" w:rsidR="00A4269C">
              <w:rPr>
                <w:sz w:val="24"/>
                <w:szCs w:val="24"/>
              </w:rPr>
              <w:t xml:space="preserve"> each of</w:t>
            </w:r>
            <w:r w:rsidRPr="00DA6400" w:rsidR="30E00E71">
              <w:rPr>
                <w:sz w:val="24"/>
                <w:szCs w:val="24"/>
              </w:rPr>
              <w:t xml:space="preserve"> </w:t>
            </w:r>
            <w:r w:rsidRPr="00DA6400" w:rsidR="08F4BBCC">
              <w:rPr>
                <w:sz w:val="24"/>
                <w:szCs w:val="24"/>
              </w:rPr>
              <w:t xml:space="preserve">two </w:t>
            </w:r>
            <w:r w:rsidRPr="00DA6400" w:rsidR="03F385E3">
              <w:rPr>
                <w:sz w:val="24"/>
                <w:szCs w:val="24"/>
              </w:rPr>
              <w:t xml:space="preserve">PHAs </w:t>
            </w:r>
            <w:r w:rsidRPr="00DA6400" w:rsidR="311E60C0">
              <w:rPr>
                <w:sz w:val="24"/>
                <w:szCs w:val="24"/>
              </w:rPr>
              <w:t xml:space="preserve"> (2 rent reporting sites selected for site visits)</w:t>
            </w:r>
          </w:p>
          <w:p w:rsidR="00087CEE" w:rsidRPr="00DA6400" w:rsidP="71FAEE06" w14:paraId="33CC3773" w14:textId="6B2BFA3F">
            <w:pPr>
              <w:rPr>
                <w:rFonts w:eastAsia="Arial Narrow"/>
                <w:sz w:val="24"/>
                <w:szCs w:val="24"/>
              </w:rPr>
            </w:pPr>
            <w:r w:rsidRPr="00DA6400">
              <w:rPr>
                <w:b/>
                <w:bCs/>
                <w:i/>
                <w:iCs/>
                <w:sz w:val="24"/>
                <w:szCs w:val="24"/>
              </w:rPr>
              <w:t xml:space="preserve">Topics: </w:t>
            </w:r>
          </w:p>
          <w:p w:rsidR="00087CEE" w:rsidRPr="00DA6400" w:rsidP="000B02B2" w14:paraId="47A13493" w14:textId="47599986">
            <w:pPr>
              <w:pStyle w:val="ListParagraph"/>
              <w:numPr>
                <w:ilvl w:val="0"/>
                <w:numId w:val="22"/>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How do study participants perceive their financial situations (and credit in particular)?</w:t>
            </w:r>
          </w:p>
          <w:p w:rsidR="00087CEE" w:rsidRPr="00DA6400" w:rsidP="000B02B2" w14:paraId="53A439C1" w14:textId="7CFF9133">
            <w:pPr>
              <w:pStyle w:val="ListParagraph"/>
              <w:numPr>
                <w:ilvl w:val="0"/>
                <w:numId w:val="22"/>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How has this changed since the first interview?</w:t>
            </w:r>
          </w:p>
          <w:p w:rsidR="00087CEE" w:rsidRPr="00DA6400" w:rsidP="000B02B2" w14:paraId="132D09F3" w14:textId="7B6BA294">
            <w:pPr>
              <w:pStyle w:val="ListParagraph"/>
              <w:numPr>
                <w:ilvl w:val="0"/>
                <w:numId w:val="22"/>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What </w:t>
            </w:r>
            <w:r w:rsidRPr="00DA6400">
              <w:rPr>
                <w:rFonts w:ascii="Times New Roman" w:eastAsia="Times New Roman" w:hAnsi="Times New Roman" w:cs="Times New Roman"/>
                <w:sz w:val="24"/>
                <w:szCs w:val="24"/>
              </w:rPr>
              <w:t>is</w:t>
            </w:r>
            <w:r w:rsidRPr="00DA6400">
              <w:rPr>
                <w:rFonts w:ascii="Times New Roman" w:eastAsia="Times New Roman" w:hAnsi="Times New Roman" w:cs="Times New Roman"/>
                <w:sz w:val="24"/>
                <w:szCs w:val="24"/>
              </w:rPr>
              <w:t xml:space="preserve"> study participants’ current understanding of their credit status?</w:t>
            </w:r>
          </w:p>
          <w:p w:rsidR="00087CEE" w:rsidRPr="00DA6400" w:rsidP="000B02B2" w14:paraId="290791D1" w14:textId="2D6D6435">
            <w:pPr>
              <w:pStyle w:val="ListParagraph"/>
              <w:numPr>
                <w:ilvl w:val="0"/>
                <w:numId w:val="22"/>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factors do study participants identify as affecting their financial situation and credit scores? (Deeper probes on factors such as medical or school debt, emergency needs, and discrimination.)</w:t>
            </w:r>
          </w:p>
          <w:p w:rsidR="00087CEE" w:rsidRPr="00DA6400" w:rsidP="000B02B2" w14:paraId="268ECCB3" w14:textId="557628D2">
            <w:pPr>
              <w:pStyle w:val="ListParagraph"/>
              <w:numPr>
                <w:ilvl w:val="0"/>
                <w:numId w:val="22"/>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have study participants’ previous experiences been in interacting with the credit system and formal financial institutions?</w:t>
            </w:r>
          </w:p>
          <w:p w:rsidR="00087CEE" w:rsidRPr="00DA6400" w:rsidP="000B02B2" w14:paraId="5BFF64B6" w14:textId="29BCFE72">
            <w:pPr>
              <w:pStyle w:val="ListParagraph"/>
              <w:numPr>
                <w:ilvl w:val="0"/>
                <w:numId w:val="22"/>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have their experiences with alternative financial services been?</w:t>
            </w:r>
          </w:p>
          <w:p w:rsidR="00087CEE" w:rsidRPr="00DA6400" w:rsidP="000B02B2" w14:paraId="71BFDE8C" w14:textId="2607B01C">
            <w:pPr>
              <w:pStyle w:val="ListParagraph"/>
              <w:numPr>
                <w:ilvl w:val="0"/>
                <w:numId w:val="22"/>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level of trust do study participants have in formal financial systems?</w:t>
            </w:r>
          </w:p>
          <w:p w:rsidR="00087CEE" w:rsidRPr="00DA6400" w:rsidP="000B02B2" w14:paraId="77964514" w14:textId="1CE7852B">
            <w:pPr>
              <w:pStyle w:val="ListParagraph"/>
              <w:numPr>
                <w:ilvl w:val="0"/>
                <w:numId w:val="22"/>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have study participants’ previous experiences with savings been? What factors have helped or hindered savings?</w:t>
            </w:r>
          </w:p>
          <w:p w:rsidR="00087CEE" w:rsidRPr="00DA6400" w:rsidP="000B02B2" w14:paraId="28C20988" w14:textId="3B8AB0DF">
            <w:pPr>
              <w:pStyle w:val="ListParagraph"/>
              <w:numPr>
                <w:ilvl w:val="0"/>
                <w:numId w:val="22"/>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What assets and supports exist for participants beyond formal financial services?</w:t>
            </w:r>
          </w:p>
          <w:p w:rsidR="00087CEE" w:rsidRPr="00DA6400" w:rsidP="000B02B2" w14:paraId="4EF30C4F" w14:textId="18761F61">
            <w:pPr>
              <w:pStyle w:val="ListParagraph"/>
              <w:numPr>
                <w:ilvl w:val="0"/>
                <w:numId w:val="22"/>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Update on how do study participants perceive their financial situations (and credit in particular)?</w:t>
            </w:r>
          </w:p>
          <w:p w:rsidR="00087CEE" w:rsidRPr="00DA6400" w:rsidP="000B02B2" w14:paraId="545DA1C7" w14:textId="181D3562">
            <w:pPr>
              <w:pStyle w:val="ListParagraph"/>
              <w:numPr>
                <w:ilvl w:val="0"/>
                <w:numId w:val="22"/>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How do study participants perceive their financial situations as impacting their lives?</w:t>
            </w:r>
          </w:p>
          <w:p w:rsidR="00087CEE" w:rsidRPr="00DA6400" w:rsidP="000B02B2" w14:paraId="67CEBFA6" w14:textId="00E98D8D">
            <w:pPr>
              <w:pStyle w:val="ListParagraph"/>
              <w:numPr>
                <w:ilvl w:val="0"/>
                <w:numId w:val="22"/>
              </w:numPr>
              <w:rPr>
                <w:rFonts w:ascii="Times New Roman" w:eastAsia="Times New Roman" w:hAnsi="Times New Roman" w:cs="Times New Roman"/>
                <w:sz w:val="24"/>
                <w:szCs w:val="24"/>
              </w:rPr>
            </w:pPr>
            <w:r w:rsidRPr="00DA6400">
              <w:rPr>
                <w:rFonts w:ascii="Times New Roman" w:eastAsia="Times New Roman" w:hAnsi="Times New Roman" w:cs="Times New Roman"/>
                <w:sz w:val="24"/>
                <w:szCs w:val="24"/>
              </w:rPr>
              <w:t xml:space="preserve">What needs </w:t>
            </w:r>
            <w:r w:rsidRPr="00DA6400">
              <w:rPr>
                <w:rFonts w:ascii="Times New Roman" w:eastAsia="Times New Roman" w:hAnsi="Times New Roman" w:cs="Times New Roman"/>
                <w:sz w:val="24"/>
                <w:szCs w:val="24"/>
              </w:rPr>
              <w:t>do</w:t>
            </w:r>
            <w:r w:rsidRPr="00DA6400">
              <w:rPr>
                <w:rFonts w:ascii="Times New Roman" w:eastAsia="Times New Roman" w:hAnsi="Times New Roman" w:cs="Times New Roman"/>
                <w:sz w:val="24"/>
                <w:szCs w:val="24"/>
              </w:rPr>
              <w:t xml:space="preserve"> study participants have?</w:t>
            </w:r>
          </w:p>
          <w:p w:rsidR="004931C5" w:rsidRPr="00DA6400" w:rsidP="004931C5" w14:paraId="2924A0DA" w14:textId="04C4A9AF">
            <w:pPr>
              <w:rPr>
                <w:sz w:val="24"/>
                <w:szCs w:val="24"/>
              </w:rPr>
            </w:pPr>
            <w:r w:rsidRPr="00DA6400">
              <w:rPr>
                <w:b/>
                <w:bCs/>
                <w:i/>
                <w:iCs/>
                <w:sz w:val="24"/>
                <w:szCs w:val="24"/>
              </w:rPr>
              <w:t>Justification:</w:t>
            </w:r>
            <w:r w:rsidRPr="00DA6400" w:rsidR="0E2A98DC">
              <w:rPr>
                <w:b/>
                <w:bCs/>
                <w:i/>
                <w:iCs/>
                <w:sz w:val="24"/>
                <w:szCs w:val="24"/>
              </w:rPr>
              <w:t xml:space="preserve"> </w:t>
            </w:r>
            <w:r w:rsidRPr="00DA6400">
              <w:rPr>
                <w:sz w:val="24"/>
                <w:szCs w:val="24"/>
              </w:rPr>
              <w:t xml:space="preserve">The research team will interview HUD-assisted residents participating in the rent reporting </w:t>
            </w:r>
            <w:r w:rsidRPr="00DA6400" w:rsidR="0E2A98DC">
              <w:rPr>
                <w:sz w:val="24"/>
                <w:szCs w:val="24"/>
              </w:rPr>
              <w:t>study</w:t>
            </w:r>
            <w:r w:rsidRPr="00DA6400" w:rsidR="79166C05">
              <w:rPr>
                <w:sz w:val="24"/>
                <w:szCs w:val="24"/>
              </w:rPr>
              <w:t xml:space="preserve"> </w:t>
            </w:r>
            <w:r w:rsidRPr="00DA6400">
              <w:rPr>
                <w:sz w:val="24"/>
                <w:szCs w:val="24"/>
              </w:rPr>
              <w:t xml:space="preserve">to understand their characteristics and experiences. This will allow researchers to determine whether the programs are properly targeted and what additional support they may have to provide participants to generate the desired impacts. </w:t>
            </w:r>
            <w:r w:rsidRPr="00DA6400" w:rsidR="0E2A98DC">
              <w:rPr>
                <w:sz w:val="24"/>
                <w:szCs w:val="24"/>
              </w:rPr>
              <w:t>It will also provide a better understanding of the context including services already available in these communitie</w:t>
            </w:r>
            <w:r w:rsidRPr="00DA6400" w:rsidR="528B0E88">
              <w:rPr>
                <w:sz w:val="24"/>
                <w:szCs w:val="24"/>
              </w:rPr>
              <w:t>s</w:t>
            </w:r>
            <w:r w:rsidRPr="00DA6400" w:rsidR="00991581">
              <w:rPr>
                <w:sz w:val="24"/>
                <w:szCs w:val="24"/>
              </w:rPr>
              <w:t xml:space="preserve"> and families’ own understanding of credit</w:t>
            </w:r>
            <w:r w:rsidRPr="00DA6400" w:rsidR="528B0E88">
              <w:rPr>
                <w:sz w:val="24"/>
                <w:szCs w:val="24"/>
              </w:rPr>
              <w:t xml:space="preserve">. </w:t>
            </w:r>
            <w:r w:rsidRPr="00DA6400">
              <w:rPr>
                <w:sz w:val="24"/>
                <w:szCs w:val="24"/>
              </w:rPr>
              <w:t xml:space="preserve">This information is not accessible through existing </w:t>
            </w:r>
            <w:r w:rsidRPr="00DA6400" w:rsidR="001A6378">
              <w:rPr>
                <w:sz w:val="24"/>
                <w:szCs w:val="24"/>
              </w:rPr>
              <w:t>records and</w:t>
            </w:r>
            <w:r w:rsidRPr="00DA6400">
              <w:rPr>
                <w:sz w:val="24"/>
                <w:szCs w:val="24"/>
              </w:rPr>
              <w:t xml:space="preserve"> will allow HUD to evaluate the potential of asset-building programs to positively impact HUD-assisted households.</w:t>
            </w:r>
          </w:p>
          <w:p w:rsidR="00087CEE" w:rsidRPr="00DA6400" w:rsidP="46F0EBDC" w14:paraId="2177011B" w14:textId="4891C029">
            <w:pPr>
              <w:rPr>
                <w:sz w:val="24"/>
                <w:szCs w:val="24"/>
              </w:rPr>
            </w:pPr>
          </w:p>
        </w:tc>
      </w:tr>
      <w:tr w14:paraId="31F04509" w14:textId="77777777" w:rsidTr="1DEBB872">
        <w:tblPrEx>
          <w:tblW w:w="9895" w:type="dxa"/>
          <w:tblLayout w:type="fixed"/>
          <w:tblCellMar>
            <w:left w:w="43" w:type="dxa"/>
            <w:right w:w="43" w:type="dxa"/>
          </w:tblCellMar>
          <w:tblLook w:val="00A0"/>
        </w:tblPrEx>
        <w:trPr>
          <w:trHeight w:val="1538"/>
        </w:trPr>
        <w:tc>
          <w:tcPr>
            <w:tcW w:w="1615" w:type="dxa"/>
            <w:shd w:val="clear" w:color="auto" w:fill="auto"/>
          </w:tcPr>
          <w:p w:rsidR="005F2688" w:rsidRPr="00DA6400" w:rsidP="00DA0E45" w14:paraId="3C1B05C9" w14:textId="65998A0E">
            <w:pPr>
              <w:rPr>
                <w:b/>
                <w:bCs/>
                <w:sz w:val="24"/>
                <w:szCs w:val="24"/>
              </w:rPr>
            </w:pPr>
            <w:r w:rsidRPr="00DA6400">
              <w:rPr>
                <w:b/>
                <w:bCs/>
                <w:sz w:val="24"/>
                <w:szCs w:val="24"/>
              </w:rPr>
              <w:t xml:space="preserve">Rent Reporting </w:t>
            </w:r>
            <w:r w:rsidRPr="00DA6400" w:rsidR="008D2025">
              <w:rPr>
                <w:b/>
                <w:bCs/>
                <w:sz w:val="24"/>
                <w:szCs w:val="24"/>
              </w:rPr>
              <w:t>I</w:t>
            </w:r>
            <w:r w:rsidRPr="00DA6400">
              <w:rPr>
                <w:b/>
                <w:bCs/>
                <w:sz w:val="24"/>
                <w:szCs w:val="24"/>
              </w:rPr>
              <w:t xml:space="preserve">nformed </w:t>
            </w:r>
            <w:r w:rsidRPr="00DA6400" w:rsidR="008D2025">
              <w:rPr>
                <w:b/>
                <w:bCs/>
                <w:sz w:val="24"/>
                <w:szCs w:val="24"/>
              </w:rPr>
              <w:t>C</w:t>
            </w:r>
            <w:r w:rsidRPr="00DA6400">
              <w:rPr>
                <w:b/>
                <w:bCs/>
                <w:sz w:val="24"/>
                <w:szCs w:val="24"/>
              </w:rPr>
              <w:t xml:space="preserve">onsent </w:t>
            </w:r>
            <w:r w:rsidRPr="00DA6400" w:rsidR="008D2025">
              <w:rPr>
                <w:b/>
                <w:bCs/>
                <w:sz w:val="24"/>
                <w:szCs w:val="24"/>
              </w:rPr>
              <w:t>F</w:t>
            </w:r>
            <w:r w:rsidRPr="00DA6400">
              <w:rPr>
                <w:b/>
                <w:bCs/>
                <w:sz w:val="24"/>
                <w:szCs w:val="24"/>
              </w:rPr>
              <w:t>orm</w:t>
            </w:r>
            <w:r w:rsidRPr="00DA6400" w:rsidR="008D2025">
              <w:rPr>
                <w:b/>
                <w:bCs/>
                <w:sz w:val="24"/>
                <w:szCs w:val="24"/>
              </w:rPr>
              <w:t xml:space="preserve"> (ICF)</w:t>
            </w:r>
          </w:p>
          <w:p w:rsidR="005F2688" w:rsidRPr="00DA6400" w:rsidP="00DA0E45" w14:paraId="73B9B480" w14:textId="77777777">
            <w:pPr>
              <w:rPr>
                <w:b/>
                <w:bCs/>
                <w:sz w:val="24"/>
                <w:szCs w:val="24"/>
              </w:rPr>
            </w:pPr>
          </w:p>
        </w:tc>
        <w:tc>
          <w:tcPr>
            <w:tcW w:w="8280" w:type="dxa"/>
          </w:tcPr>
          <w:p w:rsidR="005F2688" w:rsidRPr="00DA6400" w:rsidP="00DA0E45" w14:paraId="364E9374" w14:textId="77777777">
            <w:pPr>
              <w:rPr>
                <w:b/>
                <w:bCs/>
                <w:i/>
                <w:iCs/>
                <w:sz w:val="24"/>
                <w:szCs w:val="24"/>
              </w:rPr>
            </w:pPr>
            <w:r w:rsidRPr="00DA6400">
              <w:rPr>
                <w:b/>
                <w:bCs/>
                <w:i/>
                <w:iCs/>
                <w:sz w:val="24"/>
                <w:szCs w:val="24"/>
              </w:rPr>
              <w:t>Respondents</w:t>
            </w:r>
            <w:r w:rsidRPr="00DA6400">
              <w:rPr>
                <w:i/>
                <w:iCs/>
                <w:sz w:val="24"/>
                <w:szCs w:val="24"/>
              </w:rPr>
              <w:t>:</w:t>
            </w:r>
            <w:r w:rsidRPr="00DA6400">
              <w:rPr>
                <w:sz w:val="24"/>
                <w:szCs w:val="24"/>
              </w:rPr>
              <w:t xml:space="preserve"> Up to 300 residents participating in the rent reporting evaluation</w:t>
            </w:r>
          </w:p>
          <w:p w:rsidR="005F2688" w:rsidRPr="00DA6400" w:rsidP="00DA0E45" w14:paraId="7F7B93D7" w14:textId="77777777">
            <w:pPr>
              <w:rPr>
                <w:b/>
                <w:bCs/>
                <w:i/>
                <w:iCs/>
                <w:sz w:val="24"/>
                <w:szCs w:val="24"/>
              </w:rPr>
            </w:pPr>
            <w:r w:rsidRPr="00DA6400">
              <w:rPr>
                <w:b/>
                <w:bCs/>
                <w:i/>
                <w:iCs/>
                <w:sz w:val="24"/>
                <w:szCs w:val="24"/>
              </w:rPr>
              <w:t xml:space="preserve">Topics: </w:t>
            </w:r>
            <w:r w:rsidRPr="00DA6400">
              <w:rPr>
                <w:sz w:val="24"/>
                <w:szCs w:val="24"/>
              </w:rPr>
              <w:t>This form ensures individuals understand the research, how their data will be used, steps taken to protect their privacy, and their rights as research participants</w:t>
            </w:r>
          </w:p>
          <w:p w:rsidR="005F2688" w:rsidRPr="00DA6400" w:rsidP="00DA0E45" w14:paraId="42E3A2FB" w14:textId="77777777">
            <w:pPr>
              <w:rPr>
                <w:b/>
                <w:bCs/>
                <w:i/>
                <w:iCs/>
                <w:sz w:val="24"/>
                <w:szCs w:val="24"/>
              </w:rPr>
            </w:pPr>
            <w:r w:rsidRPr="00DA6400">
              <w:rPr>
                <w:b/>
                <w:bCs/>
                <w:i/>
                <w:iCs/>
                <w:sz w:val="24"/>
                <w:szCs w:val="24"/>
              </w:rPr>
              <w:t xml:space="preserve">Justification: </w:t>
            </w:r>
            <w:r w:rsidRPr="00DA6400">
              <w:rPr>
                <w:sz w:val="24"/>
                <w:szCs w:val="24"/>
              </w:rPr>
              <w:t>Informed consent is required to conduct research in compliance with the Common</w:t>
            </w:r>
            <w:r w:rsidRPr="00DA6400">
              <w:rPr>
                <w:b/>
                <w:bCs/>
                <w:i/>
                <w:iCs/>
                <w:sz w:val="24"/>
                <w:szCs w:val="24"/>
              </w:rPr>
              <w:t xml:space="preserve"> </w:t>
            </w:r>
            <w:r w:rsidRPr="00DA6400">
              <w:rPr>
                <w:sz w:val="24"/>
                <w:szCs w:val="24"/>
              </w:rPr>
              <w:t>Rule</w:t>
            </w:r>
          </w:p>
        </w:tc>
      </w:tr>
      <w:tr w14:paraId="4145B91E" w14:textId="77777777" w:rsidTr="1DEBB872">
        <w:tblPrEx>
          <w:tblW w:w="9895" w:type="dxa"/>
          <w:tblLayout w:type="fixed"/>
          <w:tblCellMar>
            <w:left w:w="43" w:type="dxa"/>
            <w:right w:w="43" w:type="dxa"/>
          </w:tblCellMar>
          <w:tblLook w:val="00A0"/>
        </w:tblPrEx>
        <w:trPr>
          <w:trHeight w:val="863"/>
        </w:trPr>
        <w:tc>
          <w:tcPr>
            <w:tcW w:w="1615" w:type="dxa"/>
            <w:shd w:val="clear" w:color="auto" w:fill="auto"/>
          </w:tcPr>
          <w:p w:rsidR="005F2688" w:rsidRPr="00DA6400" w:rsidP="00DA0E45" w14:paraId="6995398B" w14:textId="77777777">
            <w:pPr>
              <w:rPr>
                <w:b/>
                <w:bCs/>
                <w:sz w:val="24"/>
                <w:szCs w:val="24"/>
              </w:rPr>
            </w:pPr>
            <w:r w:rsidRPr="00DA6400">
              <w:rPr>
                <w:b/>
                <w:bCs/>
                <w:sz w:val="24"/>
                <w:szCs w:val="24"/>
              </w:rPr>
              <w:t>Rent Reporting Baseline Information Form (BIF)</w:t>
            </w:r>
          </w:p>
          <w:p w:rsidR="005F2688" w:rsidRPr="00DA6400" w:rsidP="00DA0E45" w14:paraId="1CCD6A15" w14:textId="77777777">
            <w:pPr>
              <w:rPr>
                <w:b/>
                <w:bCs/>
                <w:sz w:val="24"/>
                <w:szCs w:val="24"/>
              </w:rPr>
            </w:pPr>
          </w:p>
        </w:tc>
        <w:tc>
          <w:tcPr>
            <w:tcW w:w="8280" w:type="dxa"/>
          </w:tcPr>
          <w:p w:rsidR="005F2688" w:rsidRPr="00DA6400" w:rsidP="00DA0E45" w14:paraId="0F6B6047" w14:textId="77777777">
            <w:pPr>
              <w:rPr>
                <w:b/>
                <w:bCs/>
                <w:i/>
                <w:iCs/>
                <w:sz w:val="24"/>
                <w:szCs w:val="24"/>
              </w:rPr>
            </w:pPr>
            <w:r w:rsidRPr="00DA6400">
              <w:rPr>
                <w:b/>
                <w:bCs/>
                <w:i/>
                <w:iCs/>
                <w:sz w:val="24"/>
                <w:szCs w:val="24"/>
              </w:rPr>
              <w:t>Respondents</w:t>
            </w:r>
            <w:r w:rsidRPr="00DA6400">
              <w:rPr>
                <w:sz w:val="24"/>
                <w:szCs w:val="24"/>
              </w:rPr>
              <w:t>: Up to 300 residents participating in the rent reporting evaluation</w:t>
            </w:r>
          </w:p>
          <w:p w:rsidR="005F2688" w:rsidRPr="00DA6400" w:rsidP="00DA0E45" w14:paraId="2559438F" w14:textId="77777777">
            <w:pPr>
              <w:spacing w:after="120" w:line="240" w:lineRule="auto"/>
              <w:rPr>
                <w:b/>
                <w:bCs/>
                <w:i/>
                <w:iCs/>
                <w:sz w:val="24"/>
                <w:szCs w:val="24"/>
              </w:rPr>
            </w:pPr>
            <w:r w:rsidRPr="00DA6400">
              <w:rPr>
                <w:b/>
                <w:bCs/>
                <w:i/>
                <w:iCs/>
                <w:sz w:val="24"/>
                <w:szCs w:val="24"/>
              </w:rPr>
              <w:t xml:space="preserve">Topics: </w:t>
            </w:r>
            <w:r w:rsidRPr="00DA6400">
              <w:rPr>
                <w:sz w:val="24"/>
                <w:szCs w:val="24"/>
              </w:rPr>
              <w:t>financial well-being; previous knowledge about issues related to credit</w:t>
            </w:r>
          </w:p>
          <w:p w:rsidR="005F2688" w:rsidRPr="00DA6400" w:rsidP="00DA0E45" w14:paraId="6C818E87" w14:textId="77777777">
            <w:pPr>
              <w:rPr>
                <w:sz w:val="24"/>
                <w:szCs w:val="24"/>
              </w:rPr>
            </w:pPr>
            <w:r w:rsidRPr="00DA6400">
              <w:rPr>
                <w:b/>
                <w:bCs/>
                <w:i/>
                <w:iCs/>
                <w:sz w:val="24"/>
                <w:szCs w:val="24"/>
              </w:rPr>
              <w:t>Justification:</w:t>
            </w:r>
            <w:r w:rsidRPr="00DA6400">
              <w:rPr>
                <w:sz w:val="24"/>
                <w:szCs w:val="24"/>
              </w:rPr>
              <w:t xml:space="preserve"> The BIF will collect data </w:t>
            </w:r>
            <w:r w:rsidRPr="00DA6400">
              <w:rPr>
                <w:sz w:val="24"/>
                <w:szCs w:val="24"/>
              </w:rPr>
              <w:t>not present</w:t>
            </w:r>
            <w:r w:rsidRPr="00DA6400">
              <w:rPr>
                <w:sz w:val="24"/>
                <w:szCs w:val="24"/>
              </w:rPr>
              <w:t xml:space="preserve"> in administrative records that will be used to improve the statistical power of the research to identify the impacts of the rent reporting programs</w:t>
            </w:r>
          </w:p>
        </w:tc>
      </w:tr>
    </w:tbl>
    <w:p w:rsidR="00014669" w:rsidRPr="00DA6400" w:rsidP="00014669" w14:paraId="3EEBE094" w14:textId="77777777">
      <w:pPr>
        <w:keepLines/>
        <w:tabs>
          <w:tab w:val="left" w:pos="360"/>
          <w:tab w:val="left" w:pos="720"/>
        </w:tabs>
        <w:ind w:left="360"/>
        <w:rPr>
          <w:sz w:val="24"/>
          <w:szCs w:val="24"/>
        </w:rPr>
      </w:pPr>
    </w:p>
    <w:p w:rsidR="00014669" w:rsidRPr="00DA6400" w:rsidP="00014669" w14:paraId="7A136E92" w14:textId="77777777">
      <w:pPr>
        <w:keepLines/>
        <w:tabs>
          <w:tab w:val="left" w:pos="360"/>
        </w:tabs>
        <w:spacing w:after="80"/>
        <w:ind w:left="360" w:hanging="360"/>
        <w:rPr>
          <w:sz w:val="24"/>
          <w:szCs w:val="24"/>
        </w:rPr>
      </w:pPr>
      <w:r w:rsidRPr="00DA6400">
        <w:rPr>
          <w:b/>
          <w:bCs/>
          <w:sz w:val="24"/>
          <w:szCs w:val="24"/>
        </w:rPr>
        <w:t>3.</w:t>
      </w:r>
      <w:r w:rsidRPr="00DA6400">
        <w:rPr>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DA6400">
        <w:rPr>
          <w:sz w:val="24"/>
          <w:szCs w:val="24"/>
        </w:rPr>
        <w:t>.</w:t>
      </w:r>
    </w:p>
    <w:p w:rsidR="00042D5A" w:rsidRPr="00DA6400" w:rsidP="46F0EBDC" w14:paraId="147151A6" w14:textId="6490BE9F">
      <w:pPr>
        <w:rPr>
          <w:rFonts w:eastAsia="Calibri"/>
          <w:sz w:val="24"/>
          <w:szCs w:val="24"/>
        </w:rPr>
      </w:pPr>
      <w:r w:rsidRPr="00DA6400">
        <w:rPr>
          <w:sz w:val="24"/>
          <w:szCs w:val="24"/>
        </w:rPr>
        <w:t>In accordance with the E-Government Act of 2002, information technology has been incorporated into the data collection to reduce respondent burden. Electronic mail will be used, whenever possible, to communicate with PHAs</w:t>
      </w:r>
      <w:r w:rsidRPr="00DA6400" w:rsidR="489DBCC6">
        <w:rPr>
          <w:sz w:val="24"/>
          <w:szCs w:val="24"/>
        </w:rPr>
        <w:t>, partner staff or residents</w:t>
      </w:r>
      <w:r w:rsidRPr="00DA6400">
        <w:rPr>
          <w:sz w:val="24"/>
          <w:szCs w:val="24"/>
        </w:rPr>
        <w:t xml:space="preserve"> to request their participation in interviews.  </w:t>
      </w:r>
    </w:p>
    <w:p w:rsidR="00042D5A" w:rsidRPr="00DA6400" w:rsidP="46F0EBDC" w14:paraId="73E59CF6" w14:textId="5752DF65">
      <w:pPr>
        <w:rPr>
          <w:rFonts w:eastAsia="Calibri"/>
          <w:sz w:val="24"/>
          <w:szCs w:val="24"/>
        </w:rPr>
      </w:pPr>
      <w:r w:rsidRPr="00DA6400">
        <w:rPr>
          <w:sz w:val="24"/>
          <w:szCs w:val="24"/>
        </w:rPr>
        <w:t>Some i</w:t>
      </w:r>
      <w:r w:rsidRPr="00DA6400" w:rsidR="0AB1B861">
        <w:rPr>
          <w:sz w:val="24"/>
          <w:szCs w:val="24"/>
        </w:rPr>
        <w:t>nterviews with PHA</w:t>
      </w:r>
      <w:r w:rsidRPr="00DA6400" w:rsidR="76AD1B1F">
        <w:rPr>
          <w:sz w:val="24"/>
          <w:szCs w:val="24"/>
        </w:rPr>
        <w:t xml:space="preserve"> </w:t>
      </w:r>
      <w:r w:rsidRPr="00DA6400" w:rsidR="317A7A77">
        <w:rPr>
          <w:sz w:val="24"/>
          <w:szCs w:val="24"/>
        </w:rPr>
        <w:t>staff and</w:t>
      </w:r>
      <w:r w:rsidRPr="00DA6400" w:rsidR="2DD761BD">
        <w:rPr>
          <w:sz w:val="24"/>
          <w:szCs w:val="24"/>
        </w:rPr>
        <w:t xml:space="preserve"> with PHA-assisted residents </w:t>
      </w:r>
      <w:r w:rsidRPr="00DA6400" w:rsidR="41D83FE9">
        <w:rPr>
          <w:sz w:val="24"/>
          <w:szCs w:val="24"/>
        </w:rPr>
        <w:t>will</w:t>
      </w:r>
      <w:r w:rsidRPr="00DA6400" w:rsidR="0060352E">
        <w:rPr>
          <w:sz w:val="24"/>
          <w:szCs w:val="24"/>
        </w:rPr>
        <w:t xml:space="preserve"> </w:t>
      </w:r>
      <w:r w:rsidRPr="00DA6400" w:rsidR="41D83FE9">
        <w:rPr>
          <w:sz w:val="24"/>
          <w:szCs w:val="24"/>
        </w:rPr>
        <w:t>be</w:t>
      </w:r>
      <w:r w:rsidRPr="00DA6400" w:rsidR="0AB1B861">
        <w:rPr>
          <w:sz w:val="24"/>
          <w:szCs w:val="24"/>
        </w:rPr>
        <w:t xml:space="preserve"> </w:t>
      </w:r>
      <w:r w:rsidRPr="00DA6400" w:rsidR="495AAFD6">
        <w:rPr>
          <w:sz w:val="24"/>
          <w:szCs w:val="24"/>
        </w:rPr>
        <w:t xml:space="preserve">conducted </w:t>
      </w:r>
      <w:r w:rsidRPr="00DA6400" w:rsidR="065E3C1A">
        <w:rPr>
          <w:sz w:val="24"/>
          <w:szCs w:val="24"/>
        </w:rPr>
        <w:t>remotely</w:t>
      </w:r>
      <w:r w:rsidRPr="00DA6400" w:rsidR="0AB1B861">
        <w:rPr>
          <w:sz w:val="24"/>
          <w:szCs w:val="24"/>
        </w:rPr>
        <w:t>. With participants’ permission, interviewers will audio-record all interviews so that the interviewer can fully focus on conducting the interview without pauses or delays for notetaking. Remote interviews will either take place over the phone</w:t>
      </w:r>
      <w:r w:rsidRPr="00DA6400" w:rsidR="673DB189">
        <w:rPr>
          <w:sz w:val="24"/>
          <w:szCs w:val="24"/>
        </w:rPr>
        <w:t xml:space="preserve"> </w:t>
      </w:r>
      <w:r w:rsidRPr="00DA6400" w:rsidR="065E3C1A">
        <w:rPr>
          <w:sz w:val="24"/>
          <w:szCs w:val="24"/>
        </w:rPr>
        <w:t xml:space="preserve">or using a </w:t>
      </w:r>
      <w:r w:rsidRPr="00DA6400" w:rsidR="0AB1B861">
        <w:rPr>
          <w:sz w:val="24"/>
          <w:szCs w:val="24"/>
        </w:rPr>
        <w:t xml:space="preserve">secure web conferencing platform, depending on the participants’ </w:t>
      </w:r>
      <w:r w:rsidRPr="00DA6400" w:rsidR="3D63B95D">
        <w:rPr>
          <w:sz w:val="24"/>
          <w:szCs w:val="24"/>
        </w:rPr>
        <w:t>preference</w:t>
      </w:r>
      <w:r w:rsidRPr="00DA6400" w:rsidR="77772815">
        <w:rPr>
          <w:sz w:val="24"/>
          <w:szCs w:val="24"/>
        </w:rPr>
        <w:t>s</w:t>
      </w:r>
      <w:r w:rsidRPr="00DA6400" w:rsidR="3D63B95D">
        <w:rPr>
          <w:sz w:val="24"/>
          <w:szCs w:val="24"/>
        </w:rPr>
        <w:t>.</w:t>
      </w:r>
      <w:r w:rsidRPr="00DA6400" w:rsidR="36DF10B5">
        <w:rPr>
          <w:rFonts w:eastAsia="Calibri"/>
          <w:sz w:val="24"/>
          <w:szCs w:val="24"/>
        </w:rPr>
        <w:t xml:space="preserve"> </w:t>
      </w:r>
    </w:p>
    <w:p w:rsidR="00014669" w:rsidRPr="00DA6400" w:rsidP="00014669" w14:paraId="21A26E39" w14:textId="77777777">
      <w:pPr>
        <w:keepLines/>
        <w:tabs>
          <w:tab w:val="left" w:pos="360"/>
        </w:tabs>
        <w:spacing w:after="80"/>
        <w:ind w:left="360" w:hanging="360"/>
        <w:rPr>
          <w:b/>
          <w:bCs/>
          <w:sz w:val="24"/>
          <w:szCs w:val="24"/>
        </w:rPr>
      </w:pPr>
      <w:r w:rsidRPr="00DA6400">
        <w:rPr>
          <w:b/>
          <w:bCs/>
          <w:sz w:val="24"/>
          <w:szCs w:val="24"/>
        </w:rPr>
        <w:t>4.</w:t>
      </w:r>
      <w:r w:rsidRPr="00DA6400">
        <w:rPr>
          <w:b/>
          <w:bCs/>
          <w:sz w:val="24"/>
          <w:szCs w:val="24"/>
        </w:rPr>
        <w:tab/>
        <w:t>Describe efforts to identify duplication.  Show specifically why any similar information already available cannot be used or modified for use for the purposes described in Item 2 above.</w:t>
      </w:r>
    </w:p>
    <w:p w:rsidR="00A33CF4" w:rsidRPr="00DA6400" w:rsidP="00A33CF4" w14:paraId="53D6A881" w14:textId="5B47EBA8">
      <w:pPr>
        <w:rPr>
          <w:sz w:val="24"/>
          <w:szCs w:val="24"/>
        </w:rPr>
      </w:pPr>
      <w:r w:rsidRPr="00DA6400">
        <w:rPr>
          <w:sz w:val="24"/>
          <w:szCs w:val="24"/>
        </w:rPr>
        <w:t xml:space="preserve">This evaluation looks </w:t>
      </w:r>
      <w:r w:rsidRPr="00DA6400" w:rsidR="00171B8E">
        <w:rPr>
          <w:sz w:val="24"/>
          <w:szCs w:val="24"/>
        </w:rPr>
        <w:t xml:space="preserve">at rent reporting for credit building </w:t>
      </w:r>
      <w:r w:rsidRPr="00DA6400" w:rsidR="00C23F65">
        <w:rPr>
          <w:sz w:val="24"/>
          <w:szCs w:val="24"/>
        </w:rPr>
        <w:t xml:space="preserve">and opt-out savings account programs </w:t>
      </w:r>
      <w:r w:rsidRPr="00DA6400" w:rsidR="00171B8E">
        <w:rPr>
          <w:sz w:val="24"/>
          <w:szCs w:val="24"/>
        </w:rPr>
        <w:t xml:space="preserve">among HUD-assisted households.  </w:t>
      </w:r>
      <w:r w:rsidRPr="00DA6400" w:rsidR="00CF6F83">
        <w:rPr>
          <w:sz w:val="24"/>
          <w:szCs w:val="24"/>
        </w:rPr>
        <w:t xml:space="preserve"> </w:t>
      </w:r>
      <w:r w:rsidRPr="00DA6400" w:rsidR="001F525E">
        <w:rPr>
          <w:sz w:val="24"/>
          <w:szCs w:val="24"/>
        </w:rPr>
        <w:t xml:space="preserve">MEF Associates </w:t>
      </w:r>
      <w:r w:rsidRPr="00DA6400">
        <w:rPr>
          <w:sz w:val="24"/>
          <w:szCs w:val="24"/>
        </w:rPr>
        <w:t xml:space="preserve">conducted a review of literature </w:t>
      </w:r>
      <w:r w:rsidRPr="00DA6400" w:rsidR="001F525E">
        <w:rPr>
          <w:sz w:val="24"/>
          <w:szCs w:val="24"/>
        </w:rPr>
        <w:t>on asset building programs</w:t>
      </w:r>
      <w:r w:rsidRPr="00DA6400" w:rsidR="0057145F">
        <w:rPr>
          <w:sz w:val="24"/>
          <w:szCs w:val="24"/>
        </w:rPr>
        <w:t xml:space="preserve"> at PHAs</w:t>
      </w:r>
      <w:r w:rsidRPr="00DA6400">
        <w:rPr>
          <w:sz w:val="24"/>
          <w:szCs w:val="24"/>
        </w:rPr>
        <w:t xml:space="preserve">. No studies </w:t>
      </w:r>
      <w:r w:rsidRPr="00DA6400" w:rsidR="00DD58C4">
        <w:rPr>
          <w:sz w:val="24"/>
          <w:szCs w:val="24"/>
        </w:rPr>
        <w:t xml:space="preserve">of these types of programs </w:t>
      </w:r>
      <w:r w:rsidRPr="00DA6400" w:rsidR="00C23F65">
        <w:rPr>
          <w:sz w:val="24"/>
          <w:szCs w:val="24"/>
        </w:rPr>
        <w:t xml:space="preserve">at PHAs </w:t>
      </w:r>
      <w:r w:rsidRPr="00DA6400">
        <w:rPr>
          <w:sz w:val="24"/>
          <w:szCs w:val="24"/>
        </w:rPr>
        <w:t>were identified</w:t>
      </w:r>
      <w:r w:rsidRPr="00DA6400" w:rsidR="00C23F65">
        <w:rPr>
          <w:sz w:val="24"/>
          <w:szCs w:val="24"/>
        </w:rPr>
        <w:t xml:space="preserve">.  In fact, as of this writing, no studies of the </w:t>
      </w:r>
      <w:r w:rsidRPr="00DA6400" w:rsidR="00C61A1A">
        <w:rPr>
          <w:sz w:val="24"/>
          <w:szCs w:val="24"/>
        </w:rPr>
        <w:t>impact of rent reporting for credit building among residents of subsidized housing of any type have been published.</w:t>
      </w:r>
      <w:r w:rsidRPr="00DA6400">
        <w:rPr>
          <w:sz w:val="24"/>
          <w:szCs w:val="24"/>
        </w:rPr>
        <w:t xml:space="preserve"> </w:t>
      </w:r>
      <w:r w:rsidRPr="00DA6400" w:rsidR="00C61A1A">
        <w:rPr>
          <w:sz w:val="24"/>
          <w:szCs w:val="24"/>
        </w:rPr>
        <w:t xml:space="preserve"> </w:t>
      </w:r>
      <w:r w:rsidRPr="00DA6400" w:rsidR="00D05BBB">
        <w:rPr>
          <w:sz w:val="24"/>
          <w:szCs w:val="24"/>
        </w:rPr>
        <w:t xml:space="preserve">Existing published studies are </w:t>
      </w:r>
      <w:r w:rsidRPr="00DA6400" w:rsidR="00D05BBB">
        <w:rPr>
          <w:sz w:val="24"/>
          <w:szCs w:val="24"/>
        </w:rPr>
        <w:t>simulations and therefore do not capture real-world consequences</w:t>
      </w:r>
      <w:r w:rsidRPr="00DA6400" w:rsidR="0057145F">
        <w:rPr>
          <w:sz w:val="24"/>
          <w:szCs w:val="24"/>
        </w:rPr>
        <w:t xml:space="preserve">.  No studies were identified that look at opt-out savings account programs at PHAs </w:t>
      </w:r>
      <w:r w:rsidRPr="00DA6400" w:rsidR="00C508B2">
        <w:rPr>
          <w:sz w:val="24"/>
          <w:szCs w:val="24"/>
        </w:rPr>
        <w:t>or among</w:t>
      </w:r>
      <w:r w:rsidRPr="00DA6400" w:rsidR="00B13A00">
        <w:rPr>
          <w:sz w:val="24"/>
          <w:szCs w:val="24"/>
        </w:rPr>
        <w:t xml:space="preserve"> </w:t>
      </w:r>
      <w:r w:rsidRPr="00DA6400" w:rsidR="00254836">
        <w:rPr>
          <w:sz w:val="24"/>
          <w:szCs w:val="24"/>
        </w:rPr>
        <w:t xml:space="preserve">any sample of </w:t>
      </w:r>
      <w:r w:rsidRPr="00DA6400" w:rsidR="00B13A00">
        <w:rPr>
          <w:sz w:val="24"/>
          <w:szCs w:val="24"/>
        </w:rPr>
        <w:t xml:space="preserve">very low-income households.  </w:t>
      </w:r>
      <w:r w:rsidRPr="00DA6400">
        <w:rPr>
          <w:sz w:val="24"/>
          <w:szCs w:val="24"/>
        </w:rPr>
        <w:t xml:space="preserve">HUD is </w:t>
      </w:r>
      <w:r w:rsidRPr="00DA6400" w:rsidR="00DC18AC">
        <w:rPr>
          <w:sz w:val="24"/>
          <w:szCs w:val="24"/>
        </w:rPr>
        <w:t xml:space="preserve">not aware </w:t>
      </w:r>
      <w:r w:rsidRPr="00DA6400">
        <w:rPr>
          <w:sz w:val="24"/>
          <w:szCs w:val="24"/>
        </w:rPr>
        <w:t xml:space="preserve">of any studies for which this study represents a duplicate research effort. </w:t>
      </w:r>
    </w:p>
    <w:p w:rsidR="00B24BAF" w:rsidRPr="00DA6400" w:rsidP="46F0EBDC" w14:paraId="0684F4AD" w14:textId="375AEB86">
      <w:pPr>
        <w:rPr>
          <w:sz w:val="24"/>
          <w:szCs w:val="24"/>
        </w:rPr>
      </w:pPr>
      <w:r w:rsidRPr="00DA6400">
        <w:rPr>
          <w:sz w:val="24"/>
          <w:szCs w:val="24"/>
        </w:rPr>
        <w:t>The research team also reviewed existing sources of secondary data for PHAs</w:t>
      </w:r>
      <w:r w:rsidRPr="00DA6400" w:rsidR="005E0B5A">
        <w:rPr>
          <w:sz w:val="24"/>
          <w:szCs w:val="24"/>
        </w:rPr>
        <w:t>, including HUD administrative data and supplemental data MTW agencies are required to submit to HUD,</w:t>
      </w:r>
      <w:r w:rsidRPr="00DA6400">
        <w:rPr>
          <w:sz w:val="24"/>
          <w:szCs w:val="24"/>
        </w:rPr>
        <w:t xml:space="preserve"> prior to </w:t>
      </w:r>
      <w:r w:rsidRPr="00DA6400" w:rsidR="30169791">
        <w:rPr>
          <w:sz w:val="24"/>
          <w:szCs w:val="24"/>
        </w:rPr>
        <w:t>writing the PHA interview protocols</w:t>
      </w:r>
      <w:r w:rsidRPr="00DA6400">
        <w:rPr>
          <w:sz w:val="24"/>
          <w:szCs w:val="24"/>
        </w:rPr>
        <w:t xml:space="preserve">.  The </w:t>
      </w:r>
      <w:r w:rsidRPr="00DA6400" w:rsidR="30169791">
        <w:rPr>
          <w:sz w:val="24"/>
          <w:szCs w:val="24"/>
        </w:rPr>
        <w:t>interviews are designed t</w:t>
      </w:r>
      <w:r w:rsidRPr="00DA6400">
        <w:rPr>
          <w:sz w:val="24"/>
          <w:szCs w:val="24"/>
        </w:rPr>
        <w:t>o capture information that is not otherwise available in these secondary sources.</w:t>
      </w:r>
      <w:r w:rsidRPr="00DA6400" w:rsidR="4C468E43">
        <w:rPr>
          <w:sz w:val="24"/>
          <w:szCs w:val="24"/>
        </w:rPr>
        <w:t xml:space="preserve">  </w:t>
      </w:r>
    </w:p>
    <w:p w:rsidR="00014669" w:rsidRPr="00DA6400" w:rsidP="00014669" w14:paraId="2EF23A78" w14:textId="77777777">
      <w:pPr>
        <w:keepLines/>
        <w:tabs>
          <w:tab w:val="left" w:pos="360"/>
        </w:tabs>
        <w:spacing w:after="80"/>
        <w:ind w:left="360" w:hanging="360"/>
        <w:rPr>
          <w:b/>
          <w:sz w:val="24"/>
          <w:szCs w:val="24"/>
        </w:rPr>
      </w:pPr>
      <w:r w:rsidRPr="00DA6400">
        <w:rPr>
          <w:b/>
          <w:sz w:val="24"/>
          <w:szCs w:val="24"/>
        </w:rPr>
        <w:t>5.</w:t>
      </w:r>
      <w:r w:rsidRPr="00DA6400">
        <w:rPr>
          <w:b/>
          <w:sz w:val="24"/>
          <w:szCs w:val="24"/>
        </w:rPr>
        <w:tab/>
        <w:t>If the collection of information impacts small businesses or other small entities describe any methods used to minimize burden.</w:t>
      </w:r>
    </w:p>
    <w:p w:rsidR="1D03E519" w:rsidRPr="00DA6400" w:rsidP="46F0EBDC" w14:paraId="6BB10B98" w14:textId="54696238">
      <w:pPr>
        <w:spacing w:line="276" w:lineRule="auto"/>
        <w:rPr>
          <w:rFonts w:eastAsia="Calibri"/>
          <w:sz w:val="24"/>
          <w:szCs w:val="24"/>
        </w:rPr>
      </w:pPr>
      <w:r w:rsidRPr="00DA6400">
        <w:rPr>
          <w:sz w:val="24"/>
          <w:szCs w:val="24"/>
        </w:rPr>
        <w:t>This research will include interviews of PHA staff and staff in partner organizations (banks, non-profits, etc.) engaged in the implementation of financial empowerment programs as part of the A</w:t>
      </w:r>
      <w:r w:rsidRPr="00DA6400" w:rsidR="72AF9B8E">
        <w:rPr>
          <w:sz w:val="24"/>
          <w:szCs w:val="24"/>
        </w:rPr>
        <w:t xml:space="preserve">sset Building Cohort. </w:t>
      </w:r>
      <w:r w:rsidRPr="00DA6400" w:rsidR="36675DA6">
        <w:rPr>
          <w:sz w:val="24"/>
          <w:szCs w:val="24"/>
        </w:rPr>
        <w:t xml:space="preserve">It is possible some may be small entities as defined by OMB Form 83-I. The project team will minimize the burden for all respondents by providing clear guidance on procedures and by requesting only the information required to achieve the study’s objective as part of this data </w:t>
      </w:r>
      <w:r w:rsidRPr="00DA6400" w:rsidR="32A9C591">
        <w:rPr>
          <w:sz w:val="24"/>
          <w:szCs w:val="24"/>
        </w:rPr>
        <w:t>collection. There should be no adverse impact for any organizations whose staff participate in these interviews.</w:t>
      </w:r>
    </w:p>
    <w:p w:rsidR="00014669" w:rsidRPr="00DA6400" w:rsidP="00014669" w14:paraId="33A1ABD8" w14:textId="77777777">
      <w:pPr>
        <w:keepLines/>
        <w:tabs>
          <w:tab w:val="left" w:pos="360"/>
        </w:tabs>
        <w:spacing w:after="80"/>
        <w:ind w:left="360" w:hanging="360"/>
        <w:rPr>
          <w:b/>
          <w:sz w:val="24"/>
          <w:szCs w:val="24"/>
        </w:rPr>
      </w:pPr>
      <w:r w:rsidRPr="00DA6400">
        <w:rPr>
          <w:b/>
          <w:sz w:val="24"/>
          <w:szCs w:val="24"/>
        </w:rPr>
        <w:t>6.</w:t>
      </w:r>
      <w:r w:rsidRPr="00DA6400">
        <w:rPr>
          <w:b/>
          <w:sz w:val="24"/>
          <w:szCs w:val="24"/>
        </w:rPr>
        <w:tab/>
        <w:t>Describe the consequence to Federal program or policy activities if the collection is not conducted or is conducted less frequently, as well as any technical or legal obstacles to reducing burden.</w:t>
      </w:r>
    </w:p>
    <w:p w:rsidR="00216B09" w:rsidRPr="00DA6400" w:rsidP="46F0EBDC" w14:paraId="0684F4B4" w14:textId="09F27903">
      <w:pPr>
        <w:rPr>
          <w:sz w:val="24"/>
          <w:szCs w:val="24"/>
        </w:rPr>
      </w:pPr>
      <w:r w:rsidRPr="00DA6400">
        <w:rPr>
          <w:sz w:val="24"/>
          <w:szCs w:val="24"/>
        </w:rPr>
        <w:t xml:space="preserve">If the data collection activities described in this statement are not approved, the evaluation of the </w:t>
      </w:r>
      <w:r w:rsidRPr="00DA6400" w:rsidR="7F89F7CF">
        <w:rPr>
          <w:sz w:val="24"/>
          <w:szCs w:val="24"/>
        </w:rPr>
        <w:t>Asset Building Cohort</w:t>
      </w:r>
      <w:r w:rsidRPr="00DA6400">
        <w:rPr>
          <w:sz w:val="24"/>
          <w:szCs w:val="24"/>
        </w:rPr>
        <w:t xml:space="preserve"> would rely only on secondary data sources (such as HUD administrative data) to address the research questions. These secondary sources </w:t>
      </w:r>
      <w:r w:rsidRPr="00DA6400" w:rsidR="7F89F7CF">
        <w:rPr>
          <w:sz w:val="24"/>
          <w:szCs w:val="24"/>
        </w:rPr>
        <w:t>would not be adequate to answer key research questions</w:t>
      </w:r>
      <w:r w:rsidRPr="00DA6400" w:rsidR="67033F5B">
        <w:rPr>
          <w:sz w:val="24"/>
          <w:szCs w:val="24"/>
        </w:rPr>
        <w:t xml:space="preserve"> </w:t>
      </w:r>
      <w:r w:rsidRPr="00DA6400" w:rsidR="00665A2D">
        <w:rPr>
          <w:sz w:val="24"/>
          <w:szCs w:val="24"/>
        </w:rPr>
        <w:t xml:space="preserve">about </w:t>
      </w:r>
      <w:r w:rsidRPr="00DA6400" w:rsidR="4F7C7FC8">
        <w:rPr>
          <w:sz w:val="24"/>
          <w:szCs w:val="24"/>
        </w:rPr>
        <w:t>the needs of HUD-assisted household</w:t>
      </w:r>
      <w:r w:rsidRPr="00DA6400" w:rsidR="00665A2D">
        <w:rPr>
          <w:sz w:val="24"/>
          <w:szCs w:val="24"/>
        </w:rPr>
        <w:t>s</w:t>
      </w:r>
      <w:r w:rsidRPr="00DA6400" w:rsidR="4F7C7FC8">
        <w:rPr>
          <w:sz w:val="24"/>
          <w:szCs w:val="24"/>
        </w:rPr>
        <w:t xml:space="preserve">, the impact of </w:t>
      </w:r>
      <w:r w:rsidRPr="00DA6400" w:rsidR="00665A2D">
        <w:rPr>
          <w:sz w:val="24"/>
          <w:szCs w:val="24"/>
        </w:rPr>
        <w:t>asset building</w:t>
      </w:r>
      <w:r w:rsidRPr="00DA6400" w:rsidR="4F7C7FC8">
        <w:rPr>
          <w:sz w:val="24"/>
          <w:szCs w:val="24"/>
        </w:rPr>
        <w:t xml:space="preserve"> programs on participants, </w:t>
      </w:r>
      <w:r w:rsidRPr="00DA6400" w:rsidR="67033F5B">
        <w:rPr>
          <w:sz w:val="24"/>
          <w:szCs w:val="24"/>
        </w:rPr>
        <w:t xml:space="preserve">the successful implementation of </w:t>
      </w:r>
      <w:r w:rsidRPr="00DA6400" w:rsidR="00665A2D">
        <w:rPr>
          <w:sz w:val="24"/>
          <w:szCs w:val="24"/>
        </w:rPr>
        <w:t>asset building</w:t>
      </w:r>
      <w:r w:rsidRPr="00DA6400" w:rsidR="67033F5B">
        <w:rPr>
          <w:sz w:val="24"/>
          <w:szCs w:val="24"/>
        </w:rPr>
        <w:t xml:space="preserve"> p</w:t>
      </w:r>
      <w:r w:rsidRPr="00DA6400" w:rsidR="298BFD6F">
        <w:rPr>
          <w:sz w:val="24"/>
          <w:szCs w:val="24"/>
        </w:rPr>
        <w:t xml:space="preserve">rograms </w:t>
      </w:r>
      <w:r w:rsidRPr="00DA6400" w:rsidR="67033F5B">
        <w:rPr>
          <w:sz w:val="24"/>
          <w:szCs w:val="24"/>
        </w:rPr>
        <w:t xml:space="preserve">to serve HUD-assisted households, </w:t>
      </w:r>
      <w:r w:rsidRPr="00DA6400" w:rsidR="46CE841D">
        <w:rPr>
          <w:sz w:val="24"/>
          <w:szCs w:val="24"/>
        </w:rPr>
        <w:t xml:space="preserve">the scalability of such </w:t>
      </w:r>
      <w:r w:rsidRPr="00DA6400" w:rsidR="3366676C">
        <w:rPr>
          <w:sz w:val="24"/>
          <w:szCs w:val="24"/>
        </w:rPr>
        <w:t>programs, and resources PHAs need to</w:t>
      </w:r>
      <w:r w:rsidRPr="00DA6400" w:rsidR="03576D61">
        <w:rPr>
          <w:sz w:val="24"/>
          <w:szCs w:val="24"/>
        </w:rPr>
        <w:t xml:space="preserve"> be successful in these efforts.</w:t>
      </w:r>
      <w:r w:rsidRPr="00DA6400" w:rsidR="3366676C">
        <w:rPr>
          <w:sz w:val="24"/>
          <w:szCs w:val="24"/>
        </w:rPr>
        <w:t xml:space="preserve"> </w:t>
      </w:r>
      <w:r w:rsidRPr="00DA6400" w:rsidR="003B08C0">
        <w:rPr>
          <w:sz w:val="24"/>
          <w:szCs w:val="24"/>
        </w:rPr>
        <w:t xml:space="preserve"> The data must be collected as described in the statement to provide the Congressionally mandated rigorous </w:t>
      </w:r>
      <w:r w:rsidRPr="00DA6400" w:rsidR="00C508B2">
        <w:rPr>
          <w:sz w:val="24"/>
          <w:szCs w:val="24"/>
        </w:rPr>
        <w:t>evaluation</w:t>
      </w:r>
      <w:r w:rsidRPr="00DA6400" w:rsidR="003B08C0">
        <w:rPr>
          <w:sz w:val="24"/>
          <w:szCs w:val="24"/>
        </w:rPr>
        <w:t xml:space="preserve"> of the MTW </w:t>
      </w:r>
      <w:r w:rsidRPr="00DA6400" w:rsidR="002748C1">
        <w:rPr>
          <w:sz w:val="24"/>
          <w:szCs w:val="24"/>
        </w:rPr>
        <w:t>Asset Building Cohort.</w:t>
      </w:r>
    </w:p>
    <w:p w:rsidR="00014669" w:rsidRPr="00DA6400" w:rsidP="000B02B2" w14:paraId="54F0329E" w14:textId="77777777">
      <w:pPr>
        <w:numPr>
          <w:ilvl w:val="0"/>
          <w:numId w:val="24"/>
        </w:numPr>
        <w:tabs>
          <w:tab w:val="left" w:pos="360"/>
        </w:tabs>
        <w:overflowPunct w:val="0"/>
        <w:autoSpaceDE w:val="0"/>
        <w:autoSpaceDN w:val="0"/>
        <w:adjustRightInd w:val="0"/>
        <w:spacing w:after="0" w:line="240" w:lineRule="auto"/>
        <w:textAlignment w:val="baseline"/>
        <w:rPr>
          <w:b/>
          <w:sz w:val="24"/>
          <w:szCs w:val="24"/>
        </w:rPr>
      </w:pPr>
      <w:r w:rsidRPr="00DA6400">
        <w:rPr>
          <w:b/>
          <w:sz w:val="24"/>
          <w:szCs w:val="24"/>
        </w:rPr>
        <w:t>Explain any special circumstances that would cause an information collection to be conducted in a manner:</w:t>
      </w:r>
    </w:p>
    <w:p w:rsidR="00014669" w:rsidRPr="00DA6400" w:rsidP="00531FFF" w14:paraId="1DD2C89E" w14:textId="77777777">
      <w:pPr>
        <w:tabs>
          <w:tab w:val="left" w:pos="360"/>
        </w:tabs>
        <w:spacing w:after="0"/>
        <w:ind w:left="360"/>
        <w:rPr>
          <w:b/>
          <w:sz w:val="24"/>
          <w:szCs w:val="24"/>
        </w:rPr>
      </w:pPr>
      <w:r w:rsidRPr="00DA6400">
        <w:rPr>
          <w:b/>
          <w:sz w:val="24"/>
          <w:szCs w:val="24"/>
        </w:rPr>
        <w:t xml:space="preserve"> </w:t>
      </w:r>
    </w:p>
    <w:p w:rsidR="00014669" w:rsidRPr="00DA6400" w:rsidP="000B02B2" w14:paraId="3A671A7C" w14:textId="77777777">
      <w:pPr>
        <w:numPr>
          <w:ilvl w:val="0"/>
          <w:numId w:val="25"/>
        </w:numPr>
        <w:tabs>
          <w:tab w:val="left" w:pos="600"/>
        </w:tabs>
        <w:overflowPunct w:val="0"/>
        <w:autoSpaceDE w:val="0"/>
        <w:autoSpaceDN w:val="0"/>
        <w:adjustRightInd w:val="0"/>
        <w:spacing w:after="0" w:line="240" w:lineRule="auto"/>
        <w:textAlignment w:val="baseline"/>
        <w:rPr>
          <w:b/>
          <w:sz w:val="24"/>
          <w:szCs w:val="24"/>
        </w:rPr>
      </w:pPr>
      <w:r w:rsidRPr="00DA6400">
        <w:rPr>
          <w:b/>
          <w:sz w:val="24"/>
          <w:szCs w:val="24"/>
        </w:rPr>
        <w:t xml:space="preserve">requiring respondents to report information to the agency more than </w:t>
      </w:r>
      <w:r w:rsidRPr="00DA6400">
        <w:rPr>
          <w:b/>
          <w:sz w:val="24"/>
          <w:szCs w:val="24"/>
        </w:rPr>
        <w:t>quarterly;</w:t>
      </w:r>
      <w:r w:rsidRPr="00DA6400">
        <w:rPr>
          <w:b/>
          <w:sz w:val="24"/>
          <w:szCs w:val="24"/>
        </w:rPr>
        <w:t xml:space="preserve"> </w:t>
      </w:r>
    </w:p>
    <w:p w:rsidR="00014669" w:rsidRPr="00DA6400" w:rsidP="000B02B2" w14:paraId="7C0B190D" w14:textId="77777777">
      <w:pPr>
        <w:numPr>
          <w:ilvl w:val="0"/>
          <w:numId w:val="25"/>
        </w:numPr>
        <w:tabs>
          <w:tab w:val="left" w:pos="600"/>
        </w:tabs>
        <w:overflowPunct w:val="0"/>
        <w:autoSpaceDE w:val="0"/>
        <w:autoSpaceDN w:val="0"/>
        <w:adjustRightInd w:val="0"/>
        <w:spacing w:after="0" w:line="240" w:lineRule="auto"/>
        <w:textAlignment w:val="baseline"/>
        <w:rPr>
          <w:b/>
          <w:sz w:val="24"/>
          <w:szCs w:val="24"/>
        </w:rPr>
      </w:pPr>
      <w:r w:rsidRPr="00DA6400">
        <w:rPr>
          <w:b/>
          <w:sz w:val="24"/>
          <w:szCs w:val="24"/>
        </w:rPr>
        <w:t xml:space="preserve">requiring respondents to prepare a written response to a collection of information in fewer than 30 days after receipt of </w:t>
      </w:r>
      <w:r w:rsidRPr="00DA6400">
        <w:rPr>
          <w:b/>
          <w:sz w:val="24"/>
          <w:szCs w:val="24"/>
        </w:rPr>
        <w:t>it;</w:t>
      </w:r>
      <w:r w:rsidRPr="00DA6400">
        <w:rPr>
          <w:b/>
          <w:sz w:val="24"/>
          <w:szCs w:val="24"/>
        </w:rPr>
        <w:t xml:space="preserve"> </w:t>
      </w:r>
    </w:p>
    <w:p w:rsidR="00014669" w:rsidRPr="00DA6400" w:rsidP="000B02B2" w14:paraId="64AA615C" w14:textId="77777777">
      <w:pPr>
        <w:numPr>
          <w:ilvl w:val="0"/>
          <w:numId w:val="25"/>
        </w:numPr>
        <w:tabs>
          <w:tab w:val="left" w:pos="600"/>
        </w:tabs>
        <w:overflowPunct w:val="0"/>
        <w:autoSpaceDE w:val="0"/>
        <w:autoSpaceDN w:val="0"/>
        <w:adjustRightInd w:val="0"/>
        <w:spacing w:after="0" w:line="240" w:lineRule="auto"/>
        <w:textAlignment w:val="baseline"/>
        <w:rPr>
          <w:b/>
          <w:sz w:val="24"/>
          <w:szCs w:val="24"/>
        </w:rPr>
      </w:pPr>
      <w:r w:rsidRPr="00DA6400">
        <w:rPr>
          <w:b/>
          <w:sz w:val="24"/>
          <w:szCs w:val="24"/>
        </w:rPr>
        <w:t xml:space="preserve">requiring respondents to submit more than an original and two copies of any </w:t>
      </w:r>
      <w:r w:rsidRPr="00DA6400">
        <w:rPr>
          <w:b/>
          <w:sz w:val="24"/>
          <w:szCs w:val="24"/>
        </w:rPr>
        <w:t>document;</w:t>
      </w:r>
      <w:r w:rsidRPr="00DA6400">
        <w:rPr>
          <w:b/>
          <w:sz w:val="24"/>
          <w:szCs w:val="24"/>
        </w:rPr>
        <w:t xml:space="preserve"> </w:t>
      </w:r>
    </w:p>
    <w:p w:rsidR="00014669" w:rsidRPr="00DA6400" w:rsidP="000B02B2" w14:paraId="1DCBB450" w14:textId="77777777">
      <w:pPr>
        <w:numPr>
          <w:ilvl w:val="0"/>
          <w:numId w:val="25"/>
        </w:numPr>
        <w:tabs>
          <w:tab w:val="left" w:pos="600"/>
        </w:tabs>
        <w:overflowPunct w:val="0"/>
        <w:autoSpaceDE w:val="0"/>
        <w:autoSpaceDN w:val="0"/>
        <w:adjustRightInd w:val="0"/>
        <w:spacing w:after="0" w:line="240" w:lineRule="auto"/>
        <w:textAlignment w:val="baseline"/>
        <w:rPr>
          <w:b/>
          <w:sz w:val="24"/>
          <w:szCs w:val="24"/>
        </w:rPr>
      </w:pPr>
      <w:r w:rsidRPr="00DA6400">
        <w:rPr>
          <w:b/>
          <w:sz w:val="24"/>
          <w:szCs w:val="24"/>
        </w:rPr>
        <w:t xml:space="preserve">requiring respondents to retain records other than health, medical, government contract, grant-in-aid, or tax records for more than three </w:t>
      </w:r>
      <w:r w:rsidRPr="00DA6400">
        <w:rPr>
          <w:b/>
          <w:sz w:val="24"/>
          <w:szCs w:val="24"/>
        </w:rPr>
        <w:t>years;</w:t>
      </w:r>
      <w:r w:rsidRPr="00DA6400">
        <w:rPr>
          <w:b/>
          <w:sz w:val="24"/>
          <w:szCs w:val="24"/>
        </w:rPr>
        <w:t xml:space="preserve"> </w:t>
      </w:r>
    </w:p>
    <w:p w:rsidR="00014669" w:rsidRPr="00DA6400" w:rsidP="000B02B2" w14:paraId="321F0308" w14:textId="77777777">
      <w:pPr>
        <w:numPr>
          <w:ilvl w:val="0"/>
          <w:numId w:val="25"/>
        </w:numPr>
        <w:tabs>
          <w:tab w:val="left" w:pos="600"/>
        </w:tabs>
        <w:overflowPunct w:val="0"/>
        <w:autoSpaceDE w:val="0"/>
        <w:autoSpaceDN w:val="0"/>
        <w:adjustRightInd w:val="0"/>
        <w:spacing w:after="0" w:line="240" w:lineRule="auto"/>
        <w:textAlignment w:val="baseline"/>
        <w:rPr>
          <w:b/>
          <w:sz w:val="24"/>
          <w:szCs w:val="24"/>
        </w:rPr>
      </w:pPr>
      <w:r w:rsidRPr="00DA6400">
        <w:rPr>
          <w:b/>
          <w:sz w:val="24"/>
          <w:szCs w:val="24"/>
        </w:rPr>
        <w:t xml:space="preserve">in connection with a statistical survey, that is not designed to produce valid and reliable results than can be generalized to the universe of </w:t>
      </w:r>
      <w:r w:rsidRPr="00DA6400">
        <w:rPr>
          <w:b/>
          <w:sz w:val="24"/>
          <w:szCs w:val="24"/>
        </w:rPr>
        <w:t>study;</w:t>
      </w:r>
      <w:r w:rsidRPr="00DA6400">
        <w:rPr>
          <w:b/>
          <w:sz w:val="24"/>
          <w:szCs w:val="24"/>
        </w:rPr>
        <w:t xml:space="preserve"> </w:t>
      </w:r>
    </w:p>
    <w:p w:rsidR="00014669" w:rsidRPr="00DA6400" w:rsidP="000B02B2" w14:paraId="6AC40A91" w14:textId="77777777">
      <w:pPr>
        <w:numPr>
          <w:ilvl w:val="0"/>
          <w:numId w:val="25"/>
        </w:numPr>
        <w:tabs>
          <w:tab w:val="left" w:pos="600"/>
        </w:tabs>
        <w:overflowPunct w:val="0"/>
        <w:autoSpaceDE w:val="0"/>
        <w:autoSpaceDN w:val="0"/>
        <w:adjustRightInd w:val="0"/>
        <w:spacing w:after="0" w:line="240" w:lineRule="auto"/>
        <w:textAlignment w:val="baseline"/>
        <w:rPr>
          <w:b/>
          <w:sz w:val="24"/>
          <w:szCs w:val="24"/>
        </w:rPr>
      </w:pPr>
      <w:r w:rsidRPr="00DA6400">
        <w:rPr>
          <w:b/>
          <w:sz w:val="24"/>
          <w:szCs w:val="24"/>
        </w:rPr>
        <w:t xml:space="preserve">requiring the use of a statistical data classification that has not been reviewed and approved by </w:t>
      </w:r>
      <w:r w:rsidRPr="00DA6400">
        <w:rPr>
          <w:b/>
          <w:sz w:val="24"/>
          <w:szCs w:val="24"/>
        </w:rPr>
        <w:t>OMB;</w:t>
      </w:r>
    </w:p>
    <w:p w:rsidR="00014669" w:rsidRPr="00DA6400" w:rsidP="000B02B2" w14:paraId="224EA594" w14:textId="77777777">
      <w:pPr>
        <w:numPr>
          <w:ilvl w:val="0"/>
          <w:numId w:val="25"/>
        </w:numPr>
        <w:tabs>
          <w:tab w:val="left" w:pos="600"/>
        </w:tabs>
        <w:overflowPunct w:val="0"/>
        <w:autoSpaceDE w:val="0"/>
        <w:autoSpaceDN w:val="0"/>
        <w:adjustRightInd w:val="0"/>
        <w:spacing w:after="0" w:line="240" w:lineRule="auto"/>
        <w:textAlignment w:val="baseline"/>
        <w:rPr>
          <w:b/>
          <w:sz w:val="24"/>
          <w:szCs w:val="24"/>
        </w:rPr>
      </w:pPr>
      <w:r w:rsidRPr="00DA6400">
        <w:rPr>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014669" w:rsidRPr="00DA6400" w:rsidP="000B02B2" w14:paraId="411F8A85" w14:textId="77777777">
      <w:pPr>
        <w:keepLines/>
        <w:numPr>
          <w:ilvl w:val="0"/>
          <w:numId w:val="25"/>
        </w:numPr>
        <w:tabs>
          <w:tab w:val="left" w:pos="600"/>
        </w:tabs>
        <w:overflowPunct w:val="0"/>
        <w:autoSpaceDE w:val="0"/>
        <w:autoSpaceDN w:val="0"/>
        <w:adjustRightInd w:val="0"/>
        <w:spacing w:after="80" w:line="240" w:lineRule="auto"/>
        <w:textAlignment w:val="baseline"/>
        <w:rPr>
          <w:b/>
          <w:sz w:val="24"/>
          <w:szCs w:val="24"/>
        </w:rPr>
      </w:pPr>
      <w:r w:rsidRPr="00DA6400">
        <w:rPr>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F00FB6" w:rsidRPr="00DA6400" w:rsidP="00F00FB6" w14:paraId="4CA61847" w14:textId="18E0FD45">
      <w:pPr>
        <w:rPr>
          <w:sz w:val="24"/>
          <w:szCs w:val="24"/>
        </w:rPr>
      </w:pPr>
      <w:r w:rsidRPr="00DA6400">
        <w:rPr>
          <w:sz w:val="24"/>
          <w:szCs w:val="24"/>
        </w:rPr>
        <w:t>The proposed data collection activities are consistent with the guidelines set forth in 5 CFR 1320.6 (Controlling Paperwork Burden on the Public – General Information Collection Guidelines). As noted below, there are no special circumstances that require deviation from these guidelines.</w:t>
      </w:r>
    </w:p>
    <w:p w:rsidR="00F00FB6" w:rsidRPr="00DA6400" w:rsidP="000B02B2" w14:paraId="1AFE399B" w14:textId="77777777">
      <w:pPr>
        <w:pStyle w:val="ListParagraph"/>
        <w:numPr>
          <w:ilvl w:val="0"/>
          <w:numId w:val="17"/>
        </w:numPr>
        <w:spacing w:after="120" w:line="240" w:lineRule="auto"/>
        <w:rPr>
          <w:rFonts w:ascii="Times New Roman" w:eastAsia="Times New Roman" w:hAnsi="Times New Roman" w:cs="Times New Roman"/>
          <w:b/>
          <w:bCs/>
          <w:sz w:val="24"/>
          <w:szCs w:val="24"/>
        </w:rPr>
      </w:pPr>
      <w:r w:rsidRPr="00DA6400">
        <w:rPr>
          <w:rFonts w:ascii="Times New Roman" w:eastAsia="Times New Roman" w:hAnsi="Times New Roman" w:cs="Times New Roman"/>
          <w:b/>
          <w:bCs/>
          <w:sz w:val="24"/>
          <w:szCs w:val="24"/>
        </w:rPr>
        <w:t xml:space="preserve">Requiring respondents to report information to the agency more than quarterly: </w:t>
      </w:r>
      <w:r w:rsidRPr="00DA6400">
        <w:rPr>
          <w:rFonts w:ascii="Times New Roman" w:eastAsia="Times New Roman" w:hAnsi="Times New Roman" w:cs="Times New Roman"/>
          <w:sz w:val="24"/>
          <w:szCs w:val="24"/>
        </w:rPr>
        <w:t xml:space="preserve">Respondents are not required to report information more than quarterly. </w:t>
      </w:r>
    </w:p>
    <w:p w:rsidR="00F00FB6" w:rsidRPr="00DA6400" w:rsidP="000B02B2" w14:paraId="25F4B2AC" w14:textId="1E0E8E79">
      <w:pPr>
        <w:pStyle w:val="ListParagraph"/>
        <w:numPr>
          <w:ilvl w:val="0"/>
          <w:numId w:val="17"/>
        </w:numPr>
        <w:spacing w:after="120" w:line="240" w:lineRule="auto"/>
        <w:rPr>
          <w:rFonts w:ascii="Times New Roman" w:eastAsia="Times New Roman" w:hAnsi="Times New Roman" w:cs="Times New Roman"/>
          <w:b/>
          <w:bCs/>
          <w:sz w:val="24"/>
          <w:szCs w:val="24"/>
        </w:rPr>
      </w:pPr>
      <w:r w:rsidRPr="00DA6400">
        <w:rPr>
          <w:rFonts w:ascii="Times New Roman" w:eastAsia="Times New Roman" w:hAnsi="Times New Roman" w:cs="Times New Roman"/>
          <w:b/>
          <w:bCs/>
          <w:sz w:val="24"/>
          <w:szCs w:val="24"/>
        </w:rPr>
        <w:t>Requiring respondents to prepare a written response to a collection of information in fewer than 30 days after receipt of it</w:t>
      </w:r>
      <w:r w:rsidRPr="00DA6400" w:rsidR="7636850C">
        <w:rPr>
          <w:rFonts w:ascii="Times New Roman" w:eastAsia="Times New Roman" w:hAnsi="Times New Roman" w:cs="Times New Roman"/>
          <w:b/>
          <w:bCs/>
          <w:sz w:val="24"/>
          <w:szCs w:val="24"/>
        </w:rPr>
        <w:t>: Respondents</w:t>
      </w:r>
      <w:r w:rsidRPr="00DA6400">
        <w:rPr>
          <w:rFonts w:ascii="Times New Roman" w:eastAsia="Times New Roman" w:hAnsi="Times New Roman" w:cs="Times New Roman"/>
          <w:sz w:val="24"/>
          <w:szCs w:val="24"/>
        </w:rPr>
        <w:t xml:space="preserve"> are not required to prepare a written response as part of this data collection effort. </w:t>
      </w:r>
    </w:p>
    <w:p w:rsidR="00F00FB6" w:rsidRPr="00DA6400" w:rsidP="000B02B2" w14:paraId="37772F46" w14:textId="77777777">
      <w:pPr>
        <w:pStyle w:val="ListParagraph"/>
        <w:numPr>
          <w:ilvl w:val="0"/>
          <w:numId w:val="17"/>
        </w:numPr>
        <w:spacing w:after="120" w:line="240" w:lineRule="auto"/>
        <w:rPr>
          <w:rFonts w:ascii="Times New Roman" w:eastAsia="Times New Roman" w:hAnsi="Times New Roman" w:cs="Times New Roman"/>
          <w:b/>
          <w:bCs/>
          <w:sz w:val="24"/>
          <w:szCs w:val="24"/>
        </w:rPr>
      </w:pPr>
      <w:r w:rsidRPr="00DA6400">
        <w:rPr>
          <w:rFonts w:ascii="Times New Roman" w:eastAsia="Times New Roman" w:hAnsi="Times New Roman" w:cs="Times New Roman"/>
          <w:b/>
          <w:bCs/>
          <w:sz w:val="24"/>
          <w:szCs w:val="24"/>
        </w:rPr>
        <w:t xml:space="preserve">Requiring respondents to submit more than </w:t>
      </w:r>
      <w:r w:rsidRPr="00DA6400">
        <w:rPr>
          <w:rFonts w:ascii="Times New Roman" w:eastAsia="Times New Roman" w:hAnsi="Times New Roman" w:cs="Times New Roman"/>
          <w:b/>
          <w:bCs/>
          <w:sz w:val="24"/>
          <w:szCs w:val="24"/>
        </w:rPr>
        <w:t>an</w:t>
      </w:r>
      <w:r w:rsidRPr="00DA6400">
        <w:rPr>
          <w:rFonts w:ascii="Times New Roman" w:eastAsia="Times New Roman" w:hAnsi="Times New Roman" w:cs="Times New Roman"/>
          <w:b/>
          <w:bCs/>
          <w:sz w:val="24"/>
          <w:szCs w:val="24"/>
        </w:rPr>
        <w:t xml:space="preserve"> original and two copies of any document:</w:t>
      </w:r>
      <w:r w:rsidRPr="00DA6400">
        <w:rPr>
          <w:rFonts w:ascii="Times New Roman" w:eastAsia="Times New Roman" w:hAnsi="Times New Roman" w:cs="Times New Roman"/>
          <w:sz w:val="24"/>
          <w:szCs w:val="24"/>
        </w:rPr>
        <w:t xml:space="preserve"> Respondents are not required to submit any documents as part of this data collection effort.</w:t>
      </w:r>
    </w:p>
    <w:p w:rsidR="00F00FB6" w:rsidRPr="00DA6400" w:rsidP="000B02B2" w14:paraId="725D7282" w14:textId="77777777">
      <w:pPr>
        <w:pStyle w:val="ListParagraph"/>
        <w:numPr>
          <w:ilvl w:val="0"/>
          <w:numId w:val="17"/>
        </w:numPr>
        <w:spacing w:after="120" w:line="240" w:lineRule="auto"/>
        <w:rPr>
          <w:rFonts w:ascii="Times New Roman" w:eastAsia="Times New Roman" w:hAnsi="Times New Roman" w:cs="Times New Roman"/>
          <w:b/>
          <w:bCs/>
          <w:sz w:val="24"/>
          <w:szCs w:val="24"/>
        </w:rPr>
      </w:pPr>
      <w:r w:rsidRPr="00DA6400">
        <w:rPr>
          <w:rFonts w:ascii="Times New Roman" w:eastAsia="Times New Roman" w:hAnsi="Times New Roman" w:cs="Times New Roman"/>
          <w:b/>
          <w:bCs/>
          <w:sz w:val="24"/>
          <w:szCs w:val="24"/>
        </w:rPr>
        <w:t xml:space="preserve">Requiring respondents to retain records other than health, medical, government contract, grant-in-aid, or tax records for more than three years: </w:t>
      </w:r>
      <w:r w:rsidRPr="00DA6400">
        <w:rPr>
          <w:rFonts w:ascii="Times New Roman" w:eastAsia="Times New Roman" w:hAnsi="Times New Roman" w:cs="Times New Roman"/>
          <w:sz w:val="24"/>
          <w:szCs w:val="24"/>
        </w:rPr>
        <w:t>Respondents are not required to retain records as part of this data collection effort.</w:t>
      </w:r>
    </w:p>
    <w:p w:rsidR="00F00FB6" w:rsidRPr="00DA6400" w:rsidP="000B02B2" w14:paraId="3AF7563C" w14:textId="769F435A">
      <w:pPr>
        <w:pStyle w:val="ListParagraph"/>
        <w:numPr>
          <w:ilvl w:val="0"/>
          <w:numId w:val="17"/>
        </w:numPr>
        <w:spacing w:after="120" w:line="240" w:lineRule="auto"/>
        <w:rPr>
          <w:rFonts w:ascii="Times New Roman" w:eastAsia="Times New Roman" w:hAnsi="Times New Roman" w:cs="Times New Roman"/>
          <w:sz w:val="24"/>
          <w:szCs w:val="24"/>
        </w:rPr>
      </w:pPr>
      <w:r w:rsidRPr="00DA6400">
        <w:rPr>
          <w:rFonts w:ascii="Times New Roman" w:eastAsia="Times New Roman" w:hAnsi="Times New Roman" w:cs="Times New Roman"/>
          <w:b/>
          <w:bCs/>
          <w:sz w:val="24"/>
          <w:szCs w:val="24"/>
        </w:rPr>
        <w:t xml:space="preserve">In connection with a statistical survey, that is not designed to produce valid and reliable results than can be generalized to the universe of study: </w:t>
      </w:r>
      <w:r w:rsidRPr="00DA6400">
        <w:rPr>
          <w:rFonts w:ascii="Times New Roman" w:eastAsia="Times New Roman" w:hAnsi="Times New Roman" w:cs="Times New Roman"/>
          <w:sz w:val="24"/>
          <w:szCs w:val="24"/>
        </w:rPr>
        <w:t xml:space="preserve"> </w:t>
      </w:r>
      <w:r w:rsidRPr="00DA6400" w:rsidR="49E04C24">
        <w:rPr>
          <w:rFonts w:ascii="Times New Roman" w:eastAsia="Times New Roman" w:hAnsi="Times New Roman" w:cs="Times New Roman"/>
          <w:sz w:val="24"/>
          <w:szCs w:val="24"/>
        </w:rPr>
        <w:t xml:space="preserve">This data </w:t>
      </w:r>
      <w:r w:rsidRPr="00DA6400" w:rsidR="2336F2A9">
        <w:rPr>
          <w:rFonts w:ascii="Times New Roman" w:eastAsia="Times New Roman" w:hAnsi="Times New Roman" w:cs="Times New Roman"/>
          <w:sz w:val="24"/>
          <w:szCs w:val="24"/>
        </w:rPr>
        <w:t>collection</w:t>
      </w:r>
      <w:r w:rsidRPr="00DA6400" w:rsidR="49E04C24">
        <w:rPr>
          <w:rFonts w:ascii="Times New Roman" w:eastAsia="Times New Roman" w:hAnsi="Times New Roman" w:cs="Times New Roman"/>
          <w:sz w:val="24"/>
          <w:szCs w:val="24"/>
        </w:rPr>
        <w:t xml:space="preserve"> does not include any statistical data that is not designed to produce valid and reliable results that can be generalized to the universe of </w:t>
      </w:r>
      <w:r w:rsidRPr="00DA6400" w:rsidR="49E04C24">
        <w:rPr>
          <w:rFonts w:ascii="Times New Roman" w:eastAsia="Times New Roman" w:hAnsi="Times New Roman" w:cs="Times New Roman"/>
          <w:sz w:val="24"/>
          <w:szCs w:val="24"/>
        </w:rPr>
        <w:t>study</w:t>
      </w:r>
    </w:p>
    <w:p w:rsidR="00F00FB6" w:rsidRPr="00DA6400" w:rsidP="000B02B2" w14:paraId="1D5E6E06" w14:textId="77777777">
      <w:pPr>
        <w:pStyle w:val="ListParagraph"/>
        <w:numPr>
          <w:ilvl w:val="0"/>
          <w:numId w:val="17"/>
        </w:numPr>
        <w:spacing w:after="120" w:line="240" w:lineRule="auto"/>
        <w:rPr>
          <w:rFonts w:ascii="Times New Roman" w:eastAsia="Times New Roman" w:hAnsi="Times New Roman" w:cs="Times New Roman"/>
          <w:b/>
          <w:bCs/>
          <w:sz w:val="24"/>
          <w:szCs w:val="24"/>
        </w:rPr>
      </w:pPr>
      <w:r w:rsidRPr="00DA6400">
        <w:rPr>
          <w:rFonts w:ascii="Times New Roman" w:eastAsia="Times New Roman" w:hAnsi="Times New Roman" w:cs="Times New Roman"/>
          <w:b/>
          <w:bCs/>
          <w:sz w:val="24"/>
          <w:szCs w:val="24"/>
        </w:rPr>
        <w:t xml:space="preserve">Requiring the use of a statistical data classification that has not been reviewed and approved by OMB: </w:t>
      </w:r>
      <w:r w:rsidRPr="00DA6400">
        <w:rPr>
          <w:rFonts w:ascii="Times New Roman" w:eastAsia="Times New Roman" w:hAnsi="Times New Roman" w:cs="Times New Roman"/>
          <w:sz w:val="24"/>
          <w:szCs w:val="24"/>
        </w:rPr>
        <w:t>This data collection does not involve the use of any statistical data that would not be reviewed and approved by OMB.</w:t>
      </w:r>
    </w:p>
    <w:p w:rsidR="00F00FB6" w:rsidRPr="00DA6400" w:rsidP="000B02B2" w14:paraId="15F14AC8" w14:textId="77777777">
      <w:pPr>
        <w:pStyle w:val="ListParagraph"/>
        <w:numPr>
          <w:ilvl w:val="0"/>
          <w:numId w:val="17"/>
        </w:numPr>
        <w:spacing w:after="120" w:line="240" w:lineRule="auto"/>
        <w:rPr>
          <w:rFonts w:ascii="Times New Roman" w:eastAsia="Times New Roman" w:hAnsi="Times New Roman" w:cs="Times New Roman"/>
          <w:b/>
          <w:bCs/>
          <w:sz w:val="24"/>
          <w:szCs w:val="24"/>
        </w:rPr>
      </w:pPr>
      <w:r w:rsidRPr="00DA6400">
        <w:rPr>
          <w:rFonts w:ascii="Times New Roman" w:eastAsia="Times New Roman" w:hAnsi="Times New Roman" w:cs="Times New Roman"/>
          <w:b/>
          <w:bCs/>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Pr="00DA6400">
        <w:rPr>
          <w:rFonts w:ascii="Times New Roman" w:eastAsia="Times New Roman" w:hAnsi="Times New Roman" w:cs="Times New Roman"/>
          <w:sz w:val="24"/>
          <w:szCs w:val="24"/>
        </w:rPr>
        <w:t>This data collection does not involve the use of a pledge of confidentiality that would deviate from statute or regulation, be inconsistent with disclosure and data security policies, or be considered as impeding the sharing of data as appropriate.</w:t>
      </w:r>
    </w:p>
    <w:p w:rsidR="006F299B" w:rsidRPr="00DA6400" w:rsidP="000B02B2" w14:paraId="0684F4B6" w14:textId="4DBAD65B">
      <w:pPr>
        <w:pStyle w:val="ListParagraph"/>
        <w:numPr>
          <w:ilvl w:val="0"/>
          <w:numId w:val="17"/>
        </w:numPr>
        <w:spacing w:after="120" w:line="240" w:lineRule="auto"/>
        <w:rPr>
          <w:rFonts w:ascii="Times New Roman" w:eastAsia="Times New Roman" w:hAnsi="Times New Roman" w:cs="Times New Roman"/>
          <w:b/>
          <w:bCs/>
          <w:sz w:val="24"/>
          <w:szCs w:val="24"/>
        </w:rPr>
      </w:pPr>
      <w:r w:rsidRPr="00DA6400">
        <w:rPr>
          <w:rFonts w:ascii="Times New Roman" w:eastAsia="Times New Roman" w:hAnsi="Times New Roman" w:cs="Times New Roman"/>
          <w:b/>
          <w:bCs/>
          <w:sz w:val="24"/>
          <w:szCs w:val="24"/>
        </w:rPr>
        <w:t>Requiring respondents to submit proprietary trade secret, or other confidential information unless the agency can demonstrate that it has instituted procedures to protect the information</w:t>
      </w:r>
      <w:r w:rsidRPr="00DA6400" w:rsidR="00B07054">
        <w:rPr>
          <w:rFonts w:ascii="Times New Roman" w:eastAsia="Times New Roman" w:hAnsi="Times New Roman" w:cs="Times New Roman"/>
          <w:b/>
          <w:bCs/>
          <w:sz w:val="24"/>
          <w:szCs w:val="24"/>
        </w:rPr>
        <w:t>’</w:t>
      </w:r>
      <w:r w:rsidRPr="00DA6400">
        <w:rPr>
          <w:rFonts w:ascii="Times New Roman" w:eastAsia="Times New Roman" w:hAnsi="Times New Roman" w:cs="Times New Roman"/>
          <w:b/>
          <w:bCs/>
          <w:sz w:val="24"/>
          <w:szCs w:val="24"/>
        </w:rPr>
        <w:t xml:space="preserve">s confidentiality to the extent permitted by law: </w:t>
      </w:r>
      <w:r w:rsidRPr="00DA6400">
        <w:rPr>
          <w:rFonts w:ascii="Times New Roman" w:eastAsia="Times New Roman" w:hAnsi="Times New Roman" w:cs="Times New Roman"/>
          <w:sz w:val="24"/>
          <w:szCs w:val="24"/>
        </w:rPr>
        <w:t>This data collection does not require respondents to submit proprietary trade secrets or confidential information. Any such information would be kept confidential to the extent permitted by law.</w:t>
      </w:r>
      <w:r w:rsidRPr="00DA6400">
        <w:rPr>
          <w:rFonts w:ascii="Times New Roman" w:eastAsia="Times New Roman" w:hAnsi="Times New Roman" w:cs="Times New Roman"/>
          <w:sz w:val="24"/>
          <w:szCs w:val="24"/>
        </w:rPr>
        <w:t xml:space="preserve"> </w:t>
      </w:r>
    </w:p>
    <w:p w:rsidR="00014669" w:rsidRPr="00DA6400" w:rsidP="00014669" w14:paraId="69DA45BA" w14:textId="77777777">
      <w:pPr>
        <w:pStyle w:val="ListParagraph"/>
        <w:spacing w:after="120" w:line="240" w:lineRule="auto"/>
        <w:rPr>
          <w:rFonts w:ascii="Times New Roman" w:eastAsia="Times New Roman" w:hAnsi="Times New Roman" w:cs="Times New Roman"/>
          <w:b/>
          <w:bCs/>
          <w:sz w:val="24"/>
          <w:szCs w:val="24"/>
        </w:rPr>
      </w:pPr>
    </w:p>
    <w:p w:rsidR="00014669" w:rsidRPr="00DA6400" w:rsidP="000B02B2" w14:paraId="3D251BBB" w14:textId="77777777">
      <w:pPr>
        <w:numPr>
          <w:ilvl w:val="0"/>
          <w:numId w:val="24"/>
        </w:numPr>
        <w:tabs>
          <w:tab w:val="left" w:pos="360"/>
        </w:tabs>
        <w:overflowPunct w:val="0"/>
        <w:autoSpaceDE w:val="0"/>
        <w:autoSpaceDN w:val="0"/>
        <w:adjustRightInd w:val="0"/>
        <w:spacing w:after="0" w:line="240" w:lineRule="auto"/>
        <w:textAlignment w:val="baseline"/>
        <w:rPr>
          <w:b/>
          <w:bCs/>
          <w:sz w:val="24"/>
          <w:szCs w:val="24"/>
        </w:rPr>
      </w:pPr>
      <w:r w:rsidRPr="00DA6400">
        <w:rPr>
          <w:b/>
          <w:bCs/>
          <w:sz w:val="24"/>
          <w:szCs w:val="24"/>
        </w:rPr>
        <w:t xml:space="preserve">If applicable, provide a copy and identify the date and page number of </w:t>
      </w:r>
      <w:r w:rsidRPr="00DA6400">
        <w:rPr>
          <w:b/>
          <w:bCs/>
          <w:sz w:val="24"/>
          <w:szCs w:val="24"/>
        </w:rPr>
        <w:t>publication</w:t>
      </w:r>
      <w:r w:rsidRPr="00DA6400">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14669" w:rsidRPr="00DA6400" w:rsidP="00014669" w14:paraId="53A5A7E1" w14:textId="77777777">
      <w:pPr>
        <w:tabs>
          <w:tab w:val="left" w:pos="360"/>
        </w:tabs>
        <w:ind w:left="360"/>
        <w:rPr>
          <w:b/>
          <w:bCs/>
          <w:sz w:val="24"/>
          <w:szCs w:val="24"/>
        </w:rPr>
      </w:pPr>
      <w:r w:rsidRPr="00DA6400">
        <w:rPr>
          <w:b/>
          <w:bCs/>
          <w:sz w:val="24"/>
          <w:szCs w:val="24"/>
        </w:rPr>
        <w:t xml:space="preserve"> </w:t>
      </w:r>
    </w:p>
    <w:p w:rsidR="00014669" w:rsidRPr="00DA6400" w:rsidP="000B02B2" w14:paraId="15263F81" w14:textId="77777777">
      <w:pPr>
        <w:numPr>
          <w:ilvl w:val="0"/>
          <w:numId w:val="25"/>
        </w:numPr>
        <w:tabs>
          <w:tab w:val="left" w:pos="360"/>
        </w:tabs>
        <w:overflowPunct w:val="0"/>
        <w:autoSpaceDE w:val="0"/>
        <w:autoSpaceDN w:val="0"/>
        <w:adjustRightInd w:val="0"/>
        <w:spacing w:after="0" w:line="240" w:lineRule="auto"/>
        <w:ind w:left="480"/>
        <w:textAlignment w:val="baseline"/>
        <w:rPr>
          <w:b/>
          <w:bCs/>
          <w:sz w:val="24"/>
          <w:szCs w:val="24"/>
        </w:rPr>
      </w:pPr>
      <w:r w:rsidRPr="00DA6400">
        <w:rPr>
          <w:b/>
          <w:bCs/>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014669" w:rsidRPr="00DA6400" w:rsidP="00014669" w14:paraId="775EE664" w14:textId="77777777">
      <w:pPr>
        <w:keepLines/>
        <w:tabs>
          <w:tab w:val="left" w:pos="360"/>
        </w:tabs>
        <w:spacing w:after="80"/>
        <w:ind w:left="480"/>
        <w:rPr>
          <w:b/>
          <w:bCs/>
          <w:sz w:val="24"/>
          <w:szCs w:val="24"/>
        </w:rPr>
      </w:pPr>
    </w:p>
    <w:p w:rsidR="00014669" w:rsidP="000B02B2" w14:paraId="0EB982D1" w14:textId="77777777">
      <w:pPr>
        <w:keepLines/>
        <w:numPr>
          <w:ilvl w:val="0"/>
          <w:numId w:val="25"/>
        </w:numPr>
        <w:tabs>
          <w:tab w:val="left" w:pos="360"/>
        </w:tabs>
        <w:overflowPunct w:val="0"/>
        <w:autoSpaceDE w:val="0"/>
        <w:autoSpaceDN w:val="0"/>
        <w:adjustRightInd w:val="0"/>
        <w:spacing w:after="80" w:line="240" w:lineRule="auto"/>
        <w:ind w:left="480"/>
        <w:textAlignment w:val="baseline"/>
        <w:rPr>
          <w:b/>
          <w:bCs/>
          <w:sz w:val="24"/>
          <w:szCs w:val="24"/>
        </w:rPr>
      </w:pPr>
      <w:r w:rsidRPr="00DA6400">
        <w:rPr>
          <w:b/>
          <w:bCs/>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8F28A2" w:rsidP="008F28A2" w14:paraId="057216BA" w14:textId="77777777">
      <w:pPr>
        <w:keepLines/>
        <w:tabs>
          <w:tab w:val="left" w:pos="360"/>
        </w:tabs>
        <w:overflowPunct w:val="0"/>
        <w:autoSpaceDE w:val="0"/>
        <w:autoSpaceDN w:val="0"/>
        <w:adjustRightInd w:val="0"/>
        <w:spacing w:after="80" w:line="240" w:lineRule="auto"/>
        <w:textAlignment w:val="baseline"/>
        <w:rPr>
          <w:b/>
          <w:bCs/>
          <w:sz w:val="24"/>
          <w:szCs w:val="24"/>
        </w:rPr>
      </w:pPr>
    </w:p>
    <w:p w:rsidR="003E0734" w:rsidRPr="00AD4B99" w:rsidP="008F28A2" w14:paraId="275F8567" w14:textId="1AD56EE0">
      <w:pPr>
        <w:keepLines/>
        <w:tabs>
          <w:tab w:val="left" w:pos="360"/>
        </w:tabs>
        <w:overflowPunct w:val="0"/>
        <w:autoSpaceDE w:val="0"/>
        <w:autoSpaceDN w:val="0"/>
        <w:adjustRightInd w:val="0"/>
        <w:spacing w:after="80" w:line="240" w:lineRule="auto"/>
        <w:textAlignment w:val="baseline"/>
        <w:rPr>
          <w:sz w:val="24"/>
          <w:szCs w:val="24"/>
        </w:rPr>
      </w:pPr>
      <w:r w:rsidRPr="00AD4B99">
        <w:rPr>
          <w:sz w:val="24"/>
          <w:szCs w:val="24"/>
        </w:rPr>
        <w:t xml:space="preserve">60-Day Notice </w:t>
      </w:r>
    </w:p>
    <w:p w:rsidR="008F28A2" w:rsidRPr="00DA32A6" w:rsidP="00D248EB" w14:paraId="1F1C629B" w14:textId="1407E840">
      <w:pPr>
        <w:autoSpaceDE w:val="0"/>
        <w:autoSpaceDN w:val="0"/>
        <w:adjustRightInd w:val="0"/>
        <w:spacing w:after="0" w:line="240" w:lineRule="auto"/>
        <w:rPr>
          <w:sz w:val="24"/>
          <w:szCs w:val="24"/>
        </w:rPr>
      </w:pPr>
      <w:r w:rsidRPr="003E0734">
        <w:rPr>
          <w:sz w:val="24"/>
          <w:szCs w:val="24"/>
        </w:rPr>
        <w:t xml:space="preserve">The </w:t>
      </w:r>
      <w:r w:rsidRPr="003E0734" w:rsidR="00D248EB">
        <w:rPr>
          <w:sz w:val="24"/>
          <w:szCs w:val="24"/>
        </w:rPr>
        <w:t>60-Day Notice of Proposed Information Collection: Evaluation of the Moving to</w:t>
      </w:r>
      <w:r w:rsidRPr="003E0734" w:rsidR="006A0326">
        <w:rPr>
          <w:sz w:val="24"/>
          <w:szCs w:val="24"/>
        </w:rPr>
        <w:t xml:space="preserve"> </w:t>
      </w:r>
      <w:r w:rsidRPr="003E0734" w:rsidR="00D248EB">
        <w:rPr>
          <w:sz w:val="24"/>
          <w:szCs w:val="24"/>
        </w:rPr>
        <w:t>Work (MTW) Expansion Asset Building Cohort, OMB Control No.: 2528–NEW</w:t>
      </w:r>
      <w:r w:rsidRPr="003E0734" w:rsidR="002E14EF">
        <w:rPr>
          <w:sz w:val="24"/>
          <w:szCs w:val="24"/>
        </w:rPr>
        <w:t xml:space="preserve"> was published on 07/21/2023</w:t>
      </w:r>
      <w:r w:rsidRPr="003E0734" w:rsidR="004D4EB8">
        <w:rPr>
          <w:sz w:val="24"/>
          <w:szCs w:val="24"/>
        </w:rPr>
        <w:t>. Document Citation</w:t>
      </w:r>
      <w:r w:rsidRPr="003E0734" w:rsidR="00D022D7">
        <w:rPr>
          <w:sz w:val="24"/>
          <w:szCs w:val="24"/>
        </w:rPr>
        <w:t>:</w:t>
      </w:r>
      <w:r w:rsidRPr="003E0734" w:rsidR="0080189B">
        <w:rPr>
          <w:sz w:val="24"/>
          <w:szCs w:val="24"/>
        </w:rPr>
        <w:t xml:space="preserve"> 88 FR 47158</w:t>
      </w:r>
      <w:r w:rsidRPr="003E0734" w:rsidR="005709AC">
        <w:rPr>
          <w:sz w:val="24"/>
          <w:szCs w:val="24"/>
        </w:rPr>
        <w:t>.</w:t>
      </w:r>
      <w:r w:rsidRPr="003E0734" w:rsidR="0080189B">
        <w:rPr>
          <w:sz w:val="24"/>
          <w:szCs w:val="24"/>
        </w:rPr>
        <w:t xml:space="preserve"> Page</w:t>
      </w:r>
      <w:r w:rsidRPr="003E0734" w:rsidR="00D022D7">
        <w:rPr>
          <w:sz w:val="24"/>
          <w:szCs w:val="24"/>
        </w:rPr>
        <w:t>:</w:t>
      </w:r>
      <w:r w:rsidRPr="003E0734" w:rsidR="0080189B">
        <w:rPr>
          <w:sz w:val="24"/>
          <w:szCs w:val="24"/>
        </w:rPr>
        <w:t xml:space="preserve"> 47158-4716</w:t>
      </w:r>
      <w:r w:rsidRPr="003E0734" w:rsidR="000523DB">
        <w:rPr>
          <w:sz w:val="24"/>
          <w:szCs w:val="24"/>
        </w:rPr>
        <w:t>0</w:t>
      </w:r>
      <w:r w:rsidRPr="003E0734" w:rsidR="005709AC">
        <w:rPr>
          <w:sz w:val="24"/>
          <w:szCs w:val="24"/>
        </w:rPr>
        <w:t>.</w:t>
      </w:r>
      <w:r w:rsidRPr="003E0734" w:rsidR="000523DB">
        <w:rPr>
          <w:sz w:val="24"/>
          <w:szCs w:val="24"/>
        </w:rPr>
        <w:t xml:space="preserve"> Agency/Docket Number</w:t>
      </w:r>
      <w:r w:rsidRPr="003E0734" w:rsidR="00DA32A6">
        <w:rPr>
          <w:sz w:val="24"/>
          <w:szCs w:val="24"/>
        </w:rPr>
        <w:t>: Docket No. FR-7075-N-07.</w:t>
      </w:r>
    </w:p>
    <w:p w:rsidR="000300CF" w:rsidP="00AD4B99" w14:paraId="43249175" w14:textId="77777777">
      <w:pPr>
        <w:pStyle w:val="Heading3"/>
        <w:spacing w:before="0" w:after="0"/>
        <w:rPr>
          <w:rFonts w:ascii="Times New Roman" w:hAnsi="Times New Roman"/>
          <w:color w:val="auto"/>
          <w:sz w:val="24"/>
          <w:szCs w:val="24"/>
        </w:rPr>
      </w:pPr>
    </w:p>
    <w:p w:rsidR="00762DD6" w:rsidRPr="00AD4B99" w:rsidP="00AD4B99" w14:paraId="0684F4BA" w14:textId="685843D7">
      <w:pPr>
        <w:pStyle w:val="Heading3"/>
        <w:spacing w:before="0" w:after="0"/>
        <w:rPr>
          <w:rFonts w:ascii="Times New Roman" w:hAnsi="Times New Roman"/>
          <w:b w:val="0"/>
          <w:bCs/>
          <w:color w:val="auto"/>
          <w:sz w:val="24"/>
          <w:szCs w:val="24"/>
        </w:rPr>
      </w:pPr>
      <w:r w:rsidRPr="00AD4B99">
        <w:rPr>
          <w:rFonts w:ascii="Times New Roman" w:hAnsi="Times New Roman"/>
          <w:b w:val="0"/>
          <w:bCs/>
          <w:color w:val="auto"/>
          <w:sz w:val="24"/>
          <w:szCs w:val="24"/>
        </w:rPr>
        <w:t>Consultation with Experts</w:t>
      </w:r>
      <w:r w:rsidR="00AD4B99">
        <w:rPr>
          <w:rFonts w:ascii="Times New Roman" w:hAnsi="Times New Roman"/>
          <w:b w:val="0"/>
          <w:bCs/>
          <w:color w:val="auto"/>
          <w:sz w:val="24"/>
          <w:szCs w:val="24"/>
        </w:rPr>
        <w:t>:</w:t>
      </w:r>
      <w:r w:rsidRPr="00AD4B99">
        <w:rPr>
          <w:rFonts w:ascii="Times New Roman" w:hAnsi="Times New Roman"/>
          <w:b w:val="0"/>
          <w:bCs/>
          <w:color w:val="auto"/>
          <w:sz w:val="24"/>
          <w:szCs w:val="24"/>
        </w:rPr>
        <w:t xml:space="preserve"> </w:t>
      </w:r>
    </w:p>
    <w:p w:rsidR="00762DD6" w:rsidRPr="00DA6400" w:rsidP="00AD4B99" w14:paraId="0684F4C3" w14:textId="1D09264C">
      <w:pPr>
        <w:spacing w:after="0"/>
        <w:rPr>
          <w:sz w:val="24"/>
          <w:szCs w:val="24"/>
        </w:rPr>
      </w:pPr>
      <w:r w:rsidRPr="00DA6400">
        <w:rPr>
          <w:sz w:val="24"/>
          <w:szCs w:val="24"/>
        </w:rPr>
        <w:t xml:space="preserve">The </w:t>
      </w:r>
      <w:r w:rsidRPr="00DA6400" w:rsidR="00FA53E6">
        <w:rPr>
          <w:sz w:val="24"/>
          <w:szCs w:val="24"/>
        </w:rPr>
        <w:t>Evaluation of the Asset Building Cohort</w:t>
      </w:r>
      <w:r w:rsidRPr="00DA6400">
        <w:rPr>
          <w:sz w:val="24"/>
          <w:szCs w:val="24"/>
        </w:rPr>
        <w:t xml:space="preserve"> was developed </w:t>
      </w:r>
      <w:r w:rsidRPr="00DA6400" w:rsidR="09C8344E">
        <w:rPr>
          <w:sz w:val="24"/>
          <w:szCs w:val="24"/>
        </w:rPr>
        <w:t xml:space="preserve">by </w:t>
      </w:r>
      <w:r w:rsidRPr="00DA6400" w:rsidR="00D14827">
        <w:rPr>
          <w:sz w:val="24"/>
          <w:szCs w:val="24"/>
        </w:rPr>
        <w:t xml:space="preserve">HUD’s contractors </w:t>
      </w:r>
      <w:r w:rsidRPr="00DA6400" w:rsidR="09C8344E">
        <w:rPr>
          <w:sz w:val="24"/>
          <w:szCs w:val="24"/>
        </w:rPr>
        <w:t>MEF Associates</w:t>
      </w:r>
      <w:r w:rsidRPr="00DA6400" w:rsidR="005D5290">
        <w:rPr>
          <w:sz w:val="24"/>
          <w:szCs w:val="24"/>
        </w:rPr>
        <w:t>, with subcontractor</w:t>
      </w:r>
      <w:r w:rsidRPr="00DA6400" w:rsidR="630B82A1">
        <w:rPr>
          <w:sz w:val="24"/>
          <w:szCs w:val="24"/>
        </w:rPr>
        <w:t xml:space="preserve"> </w:t>
      </w:r>
      <w:r w:rsidRPr="00DA6400">
        <w:rPr>
          <w:sz w:val="24"/>
          <w:szCs w:val="24"/>
        </w:rPr>
        <w:t>Abt Associates</w:t>
      </w:r>
      <w:r w:rsidRPr="00DA6400" w:rsidR="00FA53E6">
        <w:rPr>
          <w:sz w:val="24"/>
          <w:szCs w:val="24"/>
        </w:rPr>
        <w:t>,</w:t>
      </w:r>
      <w:r w:rsidRPr="00DA6400">
        <w:rPr>
          <w:sz w:val="24"/>
          <w:szCs w:val="24"/>
        </w:rPr>
        <w:t xml:space="preserve"> Inc. Key members of the </w:t>
      </w:r>
      <w:r w:rsidRPr="00DA6400" w:rsidR="336A9C86">
        <w:rPr>
          <w:sz w:val="24"/>
          <w:szCs w:val="24"/>
        </w:rPr>
        <w:t xml:space="preserve">MEF and </w:t>
      </w:r>
      <w:r w:rsidRPr="00DA6400">
        <w:rPr>
          <w:sz w:val="24"/>
          <w:szCs w:val="24"/>
        </w:rPr>
        <w:t xml:space="preserve">Abt research team include Co-Principal Investigators </w:t>
      </w:r>
      <w:r w:rsidRPr="00DA6400" w:rsidR="01D7A808">
        <w:rPr>
          <w:sz w:val="24"/>
          <w:szCs w:val="24"/>
        </w:rPr>
        <w:t>Sam Elkin</w:t>
      </w:r>
      <w:r w:rsidRPr="00DA6400">
        <w:rPr>
          <w:sz w:val="24"/>
          <w:szCs w:val="24"/>
        </w:rPr>
        <w:t xml:space="preserve"> and Dr. Larry Buron; Project </w:t>
      </w:r>
      <w:r w:rsidRPr="00DA6400" w:rsidR="5195F9B8">
        <w:rPr>
          <w:sz w:val="24"/>
          <w:szCs w:val="24"/>
        </w:rPr>
        <w:t>Manager</w:t>
      </w:r>
      <w:r w:rsidRPr="00DA6400">
        <w:rPr>
          <w:sz w:val="24"/>
          <w:szCs w:val="24"/>
        </w:rPr>
        <w:t xml:space="preserve"> Dr.</w:t>
      </w:r>
      <w:r w:rsidRPr="00DA6400" w:rsidR="4BB4B797">
        <w:rPr>
          <w:sz w:val="24"/>
          <w:szCs w:val="24"/>
        </w:rPr>
        <w:t xml:space="preserve"> Stephen Nuñez</w:t>
      </w:r>
      <w:r w:rsidRPr="00DA6400">
        <w:rPr>
          <w:sz w:val="24"/>
          <w:szCs w:val="24"/>
        </w:rPr>
        <w:t xml:space="preserve">; </w:t>
      </w:r>
      <w:r w:rsidRPr="00DA6400" w:rsidR="13D5F958">
        <w:rPr>
          <w:sz w:val="24"/>
          <w:szCs w:val="24"/>
        </w:rPr>
        <w:t xml:space="preserve">and </w:t>
      </w:r>
      <w:r w:rsidRPr="00DA6400" w:rsidR="553D1346">
        <w:rPr>
          <w:sz w:val="24"/>
          <w:szCs w:val="24"/>
        </w:rPr>
        <w:t>Economists</w:t>
      </w:r>
      <w:r w:rsidRPr="00DA6400" w:rsidR="13D5F958">
        <w:rPr>
          <w:sz w:val="24"/>
          <w:szCs w:val="24"/>
        </w:rPr>
        <w:t xml:space="preserve"> </w:t>
      </w:r>
      <w:r w:rsidRPr="00DA6400">
        <w:rPr>
          <w:sz w:val="24"/>
          <w:szCs w:val="24"/>
        </w:rPr>
        <w:t>Dr. Judy Geyer</w:t>
      </w:r>
      <w:r w:rsidRPr="00DA6400" w:rsidR="15412134">
        <w:rPr>
          <w:sz w:val="24"/>
          <w:szCs w:val="24"/>
        </w:rPr>
        <w:t xml:space="preserve"> and Dr. Shawn Moulton. MEF and </w:t>
      </w:r>
      <w:r w:rsidRPr="00DA6400">
        <w:rPr>
          <w:sz w:val="24"/>
          <w:szCs w:val="24"/>
        </w:rPr>
        <w:t>Abt ha</w:t>
      </w:r>
      <w:r w:rsidRPr="00DA6400" w:rsidR="6A9B9739">
        <w:rPr>
          <w:sz w:val="24"/>
          <w:szCs w:val="24"/>
        </w:rPr>
        <w:t>ve</w:t>
      </w:r>
      <w:r w:rsidRPr="00DA6400">
        <w:rPr>
          <w:sz w:val="24"/>
          <w:szCs w:val="24"/>
        </w:rPr>
        <w:t xml:space="preserve"> also engaged Dr. </w:t>
      </w:r>
      <w:r w:rsidRPr="00DA6400" w:rsidR="6FB9F0A1">
        <w:rPr>
          <w:sz w:val="24"/>
          <w:szCs w:val="24"/>
        </w:rPr>
        <w:t xml:space="preserve">J. Michael Collins of the </w:t>
      </w:r>
      <w:r w:rsidRPr="00DA6400" w:rsidR="27B74F2D">
        <w:rPr>
          <w:sz w:val="24"/>
          <w:szCs w:val="24"/>
        </w:rPr>
        <w:t>University</w:t>
      </w:r>
      <w:r w:rsidRPr="00DA6400" w:rsidR="6FB9F0A1">
        <w:rPr>
          <w:sz w:val="24"/>
          <w:szCs w:val="24"/>
        </w:rPr>
        <w:t xml:space="preserve"> of Wisconsin Madison</w:t>
      </w:r>
      <w:r w:rsidRPr="00DA6400">
        <w:rPr>
          <w:sz w:val="24"/>
          <w:szCs w:val="24"/>
        </w:rPr>
        <w:t xml:space="preserve"> </w:t>
      </w:r>
      <w:r w:rsidRPr="00DA6400" w:rsidR="77DCBAEC">
        <w:rPr>
          <w:sz w:val="24"/>
          <w:szCs w:val="24"/>
        </w:rPr>
        <w:t>and Michael Lim of Trans</w:t>
      </w:r>
      <w:r w:rsidRPr="00DA6400" w:rsidR="01E0150A">
        <w:rPr>
          <w:sz w:val="24"/>
          <w:szCs w:val="24"/>
        </w:rPr>
        <w:t>U</w:t>
      </w:r>
      <w:r w:rsidRPr="00DA6400" w:rsidR="77DCBAEC">
        <w:rPr>
          <w:sz w:val="24"/>
          <w:szCs w:val="24"/>
        </w:rPr>
        <w:t>nion</w:t>
      </w:r>
      <w:r w:rsidRPr="00DA6400" w:rsidR="0B36DC30">
        <w:rPr>
          <w:sz w:val="24"/>
          <w:szCs w:val="24"/>
        </w:rPr>
        <w:t xml:space="preserve"> as consultants on research design</w:t>
      </w:r>
      <w:r w:rsidRPr="00DA6400" w:rsidR="00A753CD">
        <w:rPr>
          <w:sz w:val="24"/>
          <w:szCs w:val="24"/>
        </w:rPr>
        <w:t xml:space="preserve"> and convened an expert panel to review </w:t>
      </w:r>
      <w:r w:rsidRPr="00DA6400" w:rsidR="00155D06">
        <w:rPr>
          <w:sz w:val="24"/>
          <w:szCs w:val="24"/>
        </w:rPr>
        <w:t>all materials produce as part of the research design report and data collection and analysis plan</w:t>
      </w:r>
      <w:r w:rsidRPr="00DA6400">
        <w:rPr>
          <w:sz w:val="24"/>
          <w:szCs w:val="24"/>
        </w:rPr>
        <w:t xml:space="preserve">. </w:t>
      </w:r>
    </w:p>
    <w:p w:rsidR="00E63EF4" w:rsidP="00AD4B99" w14:paraId="44315793" w14:textId="77777777">
      <w:pPr>
        <w:pStyle w:val="Heading3"/>
        <w:spacing w:before="0" w:after="0"/>
        <w:rPr>
          <w:rFonts w:ascii="Times New Roman" w:hAnsi="Times New Roman"/>
          <w:b w:val="0"/>
          <w:bCs/>
          <w:color w:val="auto"/>
          <w:sz w:val="24"/>
          <w:szCs w:val="24"/>
        </w:rPr>
      </w:pPr>
    </w:p>
    <w:p w:rsidR="00140E74" w:rsidRPr="00AD4B99" w:rsidP="00AD4B99" w14:paraId="24E31589" w14:textId="5C65B082">
      <w:pPr>
        <w:pStyle w:val="Heading3"/>
        <w:spacing w:before="0" w:after="0"/>
        <w:rPr>
          <w:rFonts w:ascii="Times New Roman" w:hAnsi="Times New Roman"/>
          <w:b w:val="0"/>
          <w:bCs/>
          <w:color w:val="auto"/>
          <w:sz w:val="24"/>
          <w:szCs w:val="24"/>
        </w:rPr>
      </w:pPr>
      <w:r w:rsidRPr="00AD4B99">
        <w:rPr>
          <w:rFonts w:ascii="Times New Roman" w:hAnsi="Times New Roman"/>
          <w:b w:val="0"/>
          <w:bCs/>
          <w:color w:val="auto"/>
          <w:sz w:val="24"/>
          <w:szCs w:val="24"/>
        </w:rPr>
        <w:t xml:space="preserve">Consultation with </w:t>
      </w:r>
      <w:r w:rsidRPr="00AD4B99" w:rsidR="00B5007B">
        <w:rPr>
          <w:rFonts w:ascii="Times New Roman" w:hAnsi="Times New Roman"/>
          <w:b w:val="0"/>
          <w:bCs/>
          <w:color w:val="auto"/>
          <w:sz w:val="24"/>
          <w:szCs w:val="24"/>
        </w:rPr>
        <w:t>Stakeholders</w:t>
      </w:r>
      <w:r w:rsidR="00AD4B99">
        <w:rPr>
          <w:rFonts w:ascii="Times New Roman" w:hAnsi="Times New Roman"/>
          <w:b w:val="0"/>
          <w:bCs/>
          <w:color w:val="auto"/>
          <w:sz w:val="24"/>
          <w:szCs w:val="24"/>
        </w:rPr>
        <w:t>:</w:t>
      </w:r>
    </w:p>
    <w:p w:rsidR="00140E74" w:rsidRPr="00DA6400" w:rsidP="00AD4B99" w14:paraId="425DB68F" w14:textId="0862BA10">
      <w:pPr>
        <w:pStyle w:val="Heading3"/>
        <w:spacing w:before="0" w:after="0"/>
        <w:rPr>
          <w:rFonts w:ascii="Times New Roman" w:hAnsi="Times New Roman"/>
          <w:b w:val="0"/>
          <w:bCs/>
          <w:color w:val="auto"/>
          <w:sz w:val="24"/>
          <w:szCs w:val="24"/>
        </w:rPr>
      </w:pPr>
      <w:r w:rsidRPr="00DA6400">
        <w:rPr>
          <w:rFonts w:ascii="Times New Roman" w:hAnsi="Times New Roman"/>
          <w:b w:val="0"/>
          <w:bCs/>
          <w:color w:val="auto"/>
          <w:sz w:val="24"/>
          <w:szCs w:val="24"/>
        </w:rPr>
        <w:t xml:space="preserve">As part of developing the research design for evaluation of the MTW asset building programs, the research team </w:t>
      </w:r>
      <w:r w:rsidRPr="00DA6400" w:rsidR="00EA61C6">
        <w:rPr>
          <w:rFonts w:ascii="Times New Roman" w:hAnsi="Times New Roman"/>
          <w:b w:val="0"/>
          <w:bCs/>
          <w:color w:val="auto"/>
          <w:sz w:val="24"/>
          <w:szCs w:val="24"/>
        </w:rPr>
        <w:t xml:space="preserve">participated in </w:t>
      </w:r>
      <w:r w:rsidRPr="00DA6400" w:rsidR="005B5A41">
        <w:rPr>
          <w:rFonts w:ascii="Times New Roman" w:hAnsi="Times New Roman"/>
          <w:b w:val="0"/>
          <w:bCs/>
          <w:color w:val="auto"/>
          <w:sz w:val="24"/>
          <w:szCs w:val="24"/>
        </w:rPr>
        <w:t xml:space="preserve">multiple </w:t>
      </w:r>
      <w:r w:rsidRPr="00DA6400" w:rsidR="00EA61C6">
        <w:rPr>
          <w:rFonts w:ascii="Times New Roman" w:hAnsi="Times New Roman"/>
          <w:b w:val="0"/>
          <w:bCs/>
          <w:color w:val="auto"/>
          <w:sz w:val="24"/>
          <w:szCs w:val="24"/>
        </w:rPr>
        <w:t>community of practi</w:t>
      </w:r>
      <w:r w:rsidRPr="00DA6400" w:rsidR="005552C0">
        <w:rPr>
          <w:rFonts w:ascii="Times New Roman" w:hAnsi="Times New Roman"/>
          <w:b w:val="0"/>
          <w:bCs/>
          <w:color w:val="auto"/>
          <w:sz w:val="24"/>
          <w:szCs w:val="24"/>
        </w:rPr>
        <w:t>c</w:t>
      </w:r>
      <w:r w:rsidRPr="00DA6400" w:rsidR="00EA61C6">
        <w:rPr>
          <w:rFonts w:ascii="Times New Roman" w:hAnsi="Times New Roman"/>
          <w:b w:val="0"/>
          <w:bCs/>
          <w:color w:val="auto"/>
          <w:sz w:val="24"/>
          <w:szCs w:val="24"/>
        </w:rPr>
        <w:t>e meetings with the PHAs in the Asset Building Cohort</w:t>
      </w:r>
      <w:r w:rsidRPr="00DA6400" w:rsidR="00535F78">
        <w:rPr>
          <w:rFonts w:ascii="Times New Roman" w:hAnsi="Times New Roman"/>
          <w:b w:val="0"/>
          <w:bCs/>
          <w:color w:val="auto"/>
          <w:sz w:val="24"/>
          <w:szCs w:val="24"/>
        </w:rPr>
        <w:t xml:space="preserve">. </w:t>
      </w:r>
      <w:r w:rsidRPr="00DA6400" w:rsidR="005B5A41">
        <w:rPr>
          <w:rFonts w:ascii="Times New Roman" w:hAnsi="Times New Roman"/>
          <w:b w:val="0"/>
          <w:bCs/>
          <w:color w:val="auto"/>
          <w:sz w:val="24"/>
          <w:szCs w:val="24"/>
        </w:rPr>
        <w:t xml:space="preserve"> The research team members were available to answer questions and to listen to input from PHA staff. </w:t>
      </w:r>
      <w:r w:rsidRPr="00DA6400" w:rsidR="006B6B8F">
        <w:rPr>
          <w:rFonts w:ascii="Times New Roman" w:hAnsi="Times New Roman"/>
          <w:b w:val="0"/>
          <w:bCs/>
          <w:color w:val="auto"/>
          <w:sz w:val="24"/>
          <w:szCs w:val="24"/>
        </w:rPr>
        <w:t xml:space="preserve">PHA staff </w:t>
      </w:r>
      <w:r w:rsidRPr="00DA6400" w:rsidR="00B11A44">
        <w:rPr>
          <w:rFonts w:ascii="Times New Roman" w:hAnsi="Times New Roman"/>
          <w:b w:val="0"/>
          <w:bCs/>
          <w:color w:val="auto"/>
          <w:sz w:val="24"/>
          <w:szCs w:val="24"/>
        </w:rPr>
        <w:t>stated</w:t>
      </w:r>
      <w:r w:rsidRPr="00DA6400" w:rsidR="006B6B8F">
        <w:rPr>
          <w:rFonts w:ascii="Times New Roman" w:hAnsi="Times New Roman"/>
          <w:b w:val="0"/>
          <w:bCs/>
          <w:color w:val="auto"/>
          <w:sz w:val="24"/>
          <w:szCs w:val="24"/>
        </w:rPr>
        <w:t xml:space="preserve"> th</w:t>
      </w:r>
      <w:r w:rsidRPr="00DA6400" w:rsidR="00303FAA">
        <w:rPr>
          <w:rFonts w:ascii="Times New Roman" w:hAnsi="Times New Roman"/>
          <w:b w:val="0"/>
          <w:bCs/>
          <w:color w:val="auto"/>
          <w:sz w:val="24"/>
          <w:szCs w:val="24"/>
        </w:rPr>
        <w:t>at they have the capacity to participate in the evaluation of their asset building programs.</w:t>
      </w:r>
    </w:p>
    <w:p w:rsidR="00E63EF4" w:rsidP="00AD4B99" w14:paraId="03207F38" w14:textId="77777777">
      <w:pPr>
        <w:pStyle w:val="Heading3"/>
        <w:spacing w:before="0" w:after="0"/>
        <w:rPr>
          <w:rFonts w:ascii="Times New Roman" w:hAnsi="Times New Roman"/>
          <w:b w:val="0"/>
          <w:bCs/>
          <w:color w:val="auto"/>
          <w:sz w:val="24"/>
          <w:szCs w:val="24"/>
        </w:rPr>
      </w:pPr>
    </w:p>
    <w:p w:rsidR="47D673E1" w:rsidRPr="00AD4B99" w:rsidP="00AD4B99" w14:paraId="6448F9C7" w14:textId="33F96EE8">
      <w:pPr>
        <w:pStyle w:val="Heading3"/>
        <w:spacing w:before="0" w:after="0"/>
        <w:rPr>
          <w:rFonts w:ascii="Times New Roman" w:hAnsi="Times New Roman"/>
          <w:b w:val="0"/>
          <w:bCs/>
          <w:color w:val="auto"/>
          <w:sz w:val="24"/>
          <w:szCs w:val="24"/>
        </w:rPr>
      </w:pPr>
      <w:r w:rsidRPr="00AD4B99">
        <w:rPr>
          <w:rFonts w:ascii="Times New Roman" w:hAnsi="Times New Roman"/>
          <w:b w:val="0"/>
          <w:bCs/>
          <w:color w:val="auto"/>
          <w:sz w:val="24"/>
          <w:szCs w:val="24"/>
        </w:rPr>
        <w:t>Response to Public Feedback</w:t>
      </w:r>
      <w:r w:rsidR="00AD4B99">
        <w:rPr>
          <w:rFonts w:ascii="Times New Roman" w:hAnsi="Times New Roman"/>
          <w:b w:val="0"/>
          <w:bCs/>
          <w:color w:val="auto"/>
          <w:sz w:val="24"/>
          <w:szCs w:val="24"/>
        </w:rPr>
        <w:t>:</w:t>
      </w:r>
    </w:p>
    <w:p w:rsidR="00014669" w:rsidRPr="00DA6400" w:rsidP="00AD4B99" w14:paraId="5371C73F" w14:textId="77777777">
      <w:pPr>
        <w:spacing w:after="0"/>
        <w:rPr>
          <w:sz w:val="24"/>
          <w:szCs w:val="24"/>
        </w:rPr>
      </w:pPr>
      <w:r w:rsidRPr="00DA6400">
        <w:rPr>
          <w:sz w:val="24"/>
          <w:szCs w:val="24"/>
        </w:rPr>
        <w:t>The research team did not receive any feedback or comments during the 60-day public notice period. The team was</w:t>
      </w:r>
      <w:r w:rsidRPr="00DA6400" w:rsidR="4030D4CE">
        <w:rPr>
          <w:sz w:val="24"/>
          <w:szCs w:val="24"/>
        </w:rPr>
        <w:t xml:space="preserve">, however, </w:t>
      </w:r>
      <w:r w:rsidRPr="00DA6400">
        <w:rPr>
          <w:sz w:val="24"/>
          <w:szCs w:val="24"/>
        </w:rPr>
        <w:t xml:space="preserve">contacted by </w:t>
      </w:r>
      <w:r w:rsidRPr="00DA6400" w:rsidR="63DB4FF9">
        <w:rPr>
          <w:sz w:val="24"/>
          <w:szCs w:val="24"/>
        </w:rPr>
        <w:t xml:space="preserve">Prof. Andrew Reamer of George Washington </w:t>
      </w:r>
      <w:r w:rsidRPr="00DA6400" w:rsidR="63DB4FF9">
        <w:rPr>
          <w:sz w:val="24"/>
          <w:szCs w:val="24"/>
        </w:rPr>
        <w:t xml:space="preserve">University, who requested copies of the data collection instruments once finalized. </w:t>
      </w:r>
      <w:r w:rsidRPr="00DA6400" w:rsidR="4F91A40E">
        <w:rPr>
          <w:sz w:val="24"/>
          <w:szCs w:val="24"/>
        </w:rPr>
        <w:t>The research team plans to send the finalized instruments included in this package.</w:t>
      </w:r>
    </w:p>
    <w:p w:rsidR="00014669" w:rsidRPr="00DA6400" w:rsidP="000A7CFA" w14:paraId="3ECE4E9F" w14:textId="77777777">
      <w:pPr>
        <w:spacing w:after="0"/>
        <w:rPr>
          <w:sz w:val="24"/>
          <w:szCs w:val="24"/>
        </w:rPr>
      </w:pPr>
    </w:p>
    <w:p w:rsidR="0EAC5AA6" w:rsidRPr="00DA6400" w:rsidP="00014669" w14:paraId="6904240C" w14:textId="582CBD14">
      <w:pPr>
        <w:spacing w:after="0"/>
        <w:ind w:left="360" w:hanging="360"/>
        <w:rPr>
          <w:sz w:val="24"/>
          <w:szCs w:val="24"/>
        </w:rPr>
      </w:pPr>
      <w:r w:rsidRPr="00DA6400">
        <w:rPr>
          <w:b/>
          <w:bCs/>
          <w:sz w:val="24"/>
          <w:szCs w:val="24"/>
        </w:rPr>
        <w:t>9.</w:t>
      </w:r>
      <w:r w:rsidRPr="00DA6400">
        <w:rPr>
          <w:b/>
          <w:bCs/>
          <w:sz w:val="24"/>
          <w:szCs w:val="24"/>
        </w:rPr>
        <w:tab/>
        <w:t>Explain any decision to provide any payment or gift to respondents, other than renumeration of contractors or grantees</w:t>
      </w:r>
    </w:p>
    <w:p w:rsidR="000300CF" w:rsidP="000300CF" w14:paraId="1475F820" w14:textId="77777777">
      <w:pPr>
        <w:pStyle w:val="BodyText"/>
        <w:spacing w:after="0"/>
        <w:rPr>
          <w:sz w:val="24"/>
          <w:szCs w:val="24"/>
        </w:rPr>
      </w:pPr>
    </w:p>
    <w:p w:rsidR="006F299B" w:rsidRPr="00DA6400" w:rsidP="000300CF" w14:paraId="4C0529E3" w14:textId="6C9E6AD9">
      <w:pPr>
        <w:pStyle w:val="BodyText"/>
        <w:spacing w:after="0"/>
        <w:rPr>
          <w:sz w:val="24"/>
          <w:szCs w:val="24"/>
        </w:rPr>
      </w:pPr>
      <w:r w:rsidRPr="00DA6400">
        <w:rPr>
          <w:sz w:val="24"/>
          <w:szCs w:val="24"/>
        </w:rPr>
        <w:t>Individuals</w:t>
      </w:r>
      <w:r w:rsidRPr="00DA6400" w:rsidR="5DEB7AA3">
        <w:rPr>
          <w:sz w:val="24"/>
          <w:szCs w:val="24"/>
        </w:rPr>
        <w:t xml:space="preserve"> that enroll in the rent reporting study </w:t>
      </w:r>
      <w:r w:rsidRPr="00DA6400" w:rsidR="15EDC977">
        <w:rPr>
          <w:sz w:val="24"/>
          <w:szCs w:val="24"/>
        </w:rPr>
        <w:t xml:space="preserve">and fill out the BIF </w:t>
      </w:r>
      <w:r w:rsidRPr="00DA6400" w:rsidR="5DEB7AA3">
        <w:rPr>
          <w:sz w:val="24"/>
          <w:szCs w:val="24"/>
        </w:rPr>
        <w:t xml:space="preserve">will receive </w:t>
      </w:r>
      <w:r w:rsidRPr="00DA6400" w:rsidR="579F2C61">
        <w:rPr>
          <w:sz w:val="24"/>
          <w:szCs w:val="24"/>
        </w:rPr>
        <w:t xml:space="preserve">$10 and a token of appreciation. </w:t>
      </w:r>
      <w:r w:rsidRPr="00DA6400" w:rsidR="1CAA9B77">
        <w:rPr>
          <w:sz w:val="24"/>
          <w:szCs w:val="24"/>
        </w:rPr>
        <w:t xml:space="preserve">Residents </w:t>
      </w:r>
      <w:r w:rsidRPr="00DA6400" w:rsidR="2249909C">
        <w:rPr>
          <w:sz w:val="24"/>
          <w:szCs w:val="24"/>
        </w:rPr>
        <w:t>will receive $</w:t>
      </w:r>
      <w:r w:rsidRPr="00DA6400" w:rsidR="00E606C0">
        <w:rPr>
          <w:sz w:val="24"/>
          <w:szCs w:val="24"/>
        </w:rPr>
        <w:t>50</w:t>
      </w:r>
      <w:r w:rsidRPr="00DA6400" w:rsidR="2249909C">
        <w:rPr>
          <w:sz w:val="24"/>
          <w:szCs w:val="24"/>
        </w:rPr>
        <w:t xml:space="preserve"> as a token of appreciation for participating in </w:t>
      </w:r>
      <w:r w:rsidRPr="00DA6400" w:rsidR="00E606C0">
        <w:rPr>
          <w:sz w:val="24"/>
          <w:szCs w:val="24"/>
        </w:rPr>
        <w:t xml:space="preserve">the Program Implementation Resident </w:t>
      </w:r>
      <w:r w:rsidRPr="00DA6400" w:rsidR="00E46E53">
        <w:rPr>
          <w:sz w:val="24"/>
          <w:szCs w:val="24"/>
        </w:rPr>
        <w:t>I</w:t>
      </w:r>
      <w:r w:rsidRPr="00DA6400" w:rsidR="00E606C0">
        <w:rPr>
          <w:sz w:val="24"/>
          <w:szCs w:val="24"/>
        </w:rPr>
        <w:t xml:space="preserve">nterview </w:t>
      </w:r>
      <w:r w:rsidRPr="00DA6400" w:rsidR="2249909C">
        <w:rPr>
          <w:sz w:val="24"/>
          <w:szCs w:val="24"/>
        </w:rPr>
        <w:t>an</w:t>
      </w:r>
      <w:r w:rsidRPr="00DA6400" w:rsidR="00E46E53">
        <w:rPr>
          <w:sz w:val="24"/>
          <w:szCs w:val="24"/>
        </w:rPr>
        <w:t>d</w:t>
      </w:r>
      <w:r w:rsidRPr="00DA6400" w:rsidR="005D7269">
        <w:rPr>
          <w:sz w:val="24"/>
          <w:szCs w:val="24"/>
        </w:rPr>
        <w:t xml:space="preserve"> $75 for the Rent Reporting Qualitative Interview</w:t>
      </w:r>
      <w:r w:rsidRPr="00DA6400" w:rsidR="2249909C">
        <w:rPr>
          <w:sz w:val="24"/>
          <w:szCs w:val="24"/>
        </w:rPr>
        <w:t xml:space="preserve">. </w:t>
      </w:r>
      <w:r w:rsidRPr="00DA6400" w:rsidR="4ABE09B2">
        <w:rPr>
          <w:sz w:val="24"/>
          <w:szCs w:val="24"/>
        </w:rPr>
        <w:t xml:space="preserve">The amount proposed is based on research on tokens of appreciation and the study team’s experiences with other federal studies. Research has shown the effectiveness of a token of appreciation in increasing study </w:t>
      </w:r>
      <w:r w:rsidRPr="00DA6400" w:rsidR="00BF2464">
        <w:rPr>
          <w:sz w:val="24"/>
          <w:szCs w:val="24"/>
        </w:rPr>
        <w:t>participation of</w:t>
      </w:r>
      <w:r w:rsidRPr="00DA6400" w:rsidR="4ABE09B2">
        <w:rPr>
          <w:sz w:val="24"/>
          <w:szCs w:val="24"/>
        </w:rPr>
        <w:t xml:space="preserve"> low-income households, </w:t>
      </w:r>
      <w:r w:rsidRPr="00DA6400" w:rsidR="00FC0E6A">
        <w:rPr>
          <w:sz w:val="24"/>
          <w:szCs w:val="24"/>
        </w:rPr>
        <w:t>such as HUD-assisted households</w:t>
      </w:r>
      <w:r w:rsidRPr="00DA6400" w:rsidR="005A783B">
        <w:rPr>
          <w:sz w:val="24"/>
          <w:szCs w:val="24"/>
        </w:rPr>
        <w:t>. Based on previous studies, we</w:t>
      </w:r>
      <w:r w:rsidRPr="00DA6400" w:rsidR="4ABE09B2">
        <w:rPr>
          <w:sz w:val="24"/>
          <w:szCs w:val="24"/>
        </w:rPr>
        <w:t xml:space="preserve"> believe </w:t>
      </w:r>
      <w:r w:rsidRPr="00DA6400" w:rsidR="009B4CD8">
        <w:rPr>
          <w:sz w:val="24"/>
          <w:szCs w:val="24"/>
        </w:rPr>
        <w:t>$50-</w:t>
      </w:r>
      <w:r w:rsidRPr="00DA6400" w:rsidR="4ABE09B2">
        <w:rPr>
          <w:sz w:val="24"/>
          <w:szCs w:val="24"/>
        </w:rPr>
        <w:t>$</w:t>
      </w:r>
      <w:r w:rsidRPr="00DA6400" w:rsidR="441A379C">
        <w:rPr>
          <w:sz w:val="24"/>
          <w:szCs w:val="24"/>
        </w:rPr>
        <w:t>75</w:t>
      </w:r>
      <w:r w:rsidRPr="00DA6400" w:rsidR="720734C5">
        <w:rPr>
          <w:sz w:val="24"/>
          <w:szCs w:val="24"/>
        </w:rPr>
        <w:t xml:space="preserve"> </w:t>
      </w:r>
      <w:r w:rsidRPr="00DA6400" w:rsidR="4ABE09B2">
        <w:rPr>
          <w:sz w:val="24"/>
          <w:szCs w:val="24"/>
        </w:rPr>
        <w:t xml:space="preserve">is a reasonable amount </w:t>
      </w:r>
      <w:r w:rsidRPr="00DA6400" w:rsidR="002D7C3F">
        <w:rPr>
          <w:sz w:val="24"/>
          <w:szCs w:val="24"/>
        </w:rPr>
        <w:t xml:space="preserve">to incentivize participation in the interviews without being </w:t>
      </w:r>
      <w:r w:rsidRPr="00DA6400" w:rsidR="4ABE09B2">
        <w:rPr>
          <w:sz w:val="24"/>
          <w:szCs w:val="24"/>
        </w:rPr>
        <w:t xml:space="preserve">so high as to </w:t>
      </w:r>
      <w:r w:rsidRPr="00DA6400" w:rsidR="002D7C3F">
        <w:rPr>
          <w:sz w:val="24"/>
          <w:szCs w:val="24"/>
        </w:rPr>
        <w:t xml:space="preserve">be </w:t>
      </w:r>
      <w:r w:rsidRPr="00DA6400" w:rsidR="4ABE09B2">
        <w:rPr>
          <w:sz w:val="24"/>
          <w:szCs w:val="24"/>
        </w:rPr>
        <w:t>coercive</w:t>
      </w:r>
      <w:r w:rsidRPr="00DA6400" w:rsidR="487B7899">
        <w:rPr>
          <w:sz w:val="24"/>
          <w:szCs w:val="24"/>
        </w:rPr>
        <w:t>.</w:t>
      </w:r>
      <w:r>
        <w:rPr>
          <w:rStyle w:val="FootnoteReference"/>
          <w:sz w:val="24"/>
          <w:szCs w:val="24"/>
        </w:rPr>
        <w:footnoteReference w:id="4"/>
      </w:r>
      <w:r w:rsidRPr="00DA6400" w:rsidR="0069091F">
        <w:rPr>
          <w:sz w:val="24"/>
          <w:szCs w:val="24"/>
        </w:rPr>
        <w:t xml:space="preserve"> </w:t>
      </w:r>
    </w:p>
    <w:p w:rsidR="006F299B" w:rsidRPr="00DA6400" w:rsidP="46F0EBDC" w14:paraId="0684F4C8" w14:textId="7D348F1B">
      <w:pPr>
        <w:pStyle w:val="BodyText"/>
        <w:rPr>
          <w:sz w:val="24"/>
          <w:szCs w:val="24"/>
        </w:rPr>
      </w:pPr>
      <w:r w:rsidRPr="00DA6400">
        <w:rPr>
          <w:sz w:val="24"/>
          <w:szCs w:val="24"/>
        </w:rPr>
        <w:t xml:space="preserve"> PHA staff</w:t>
      </w:r>
      <w:r w:rsidRPr="00DA6400" w:rsidR="008473F6">
        <w:rPr>
          <w:sz w:val="24"/>
          <w:szCs w:val="24"/>
        </w:rPr>
        <w:t xml:space="preserve"> and partner organization staff</w:t>
      </w:r>
      <w:r w:rsidRPr="00DA6400">
        <w:rPr>
          <w:sz w:val="24"/>
          <w:szCs w:val="24"/>
        </w:rPr>
        <w:t xml:space="preserve"> will receive no payment for participating in interviews or completing surveys.</w:t>
      </w:r>
      <w:r w:rsidRPr="00DA6400" w:rsidR="37D7DE0D">
        <w:rPr>
          <w:sz w:val="24"/>
          <w:szCs w:val="24"/>
        </w:rPr>
        <w:t xml:space="preserve"> </w:t>
      </w:r>
    </w:p>
    <w:p w:rsidR="00014669" w:rsidRPr="00DA6400" w:rsidP="00014669" w14:paraId="798C7428" w14:textId="77777777">
      <w:pPr>
        <w:keepLines/>
        <w:tabs>
          <w:tab w:val="left" w:pos="360"/>
        </w:tabs>
        <w:spacing w:after="80"/>
        <w:ind w:left="360" w:hanging="360"/>
        <w:rPr>
          <w:b/>
          <w:bCs/>
          <w:sz w:val="24"/>
          <w:szCs w:val="24"/>
        </w:rPr>
      </w:pPr>
      <w:bookmarkStart w:id="0" w:name="_Hlk149904867"/>
      <w:r w:rsidRPr="00DA6400">
        <w:rPr>
          <w:b/>
          <w:bCs/>
          <w:sz w:val="24"/>
          <w:szCs w:val="24"/>
        </w:rPr>
        <w:t>10.</w:t>
      </w:r>
      <w:r w:rsidRPr="00DA6400">
        <w:rPr>
          <w:b/>
          <w:bCs/>
          <w:sz w:val="24"/>
          <w:szCs w:val="24"/>
        </w:rPr>
        <w:tab/>
        <w:t xml:space="preserve">Describe any assurance of confidentiality provided to respondents and the basis for assurance in statute, </w:t>
      </w:r>
      <w:r w:rsidRPr="00DA6400">
        <w:rPr>
          <w:b/>
          <w:bCs/>
          <w:sz w:val="24"/>
          <w:szCs w:val="24"/>
        </w:rPr>
        <w:t>regulation</w:t>
      </w:r>
      <w:r w:rsidRPr="00DA6400">
        <w:rPr>
          <w:b/>
          <w:bCs/>
          <w:sz w:val="24"/>
          <w:szCs w:val="24"/>
        </w:rPr>
        <w:t xml:space="preserve"> or agency policy. If the collection requires a system of records notice (SORN) or privacy impact assessment (PIA), those should be cited and described here.</w:t>
      </w:r>
    </w:p>
    <w:bookmarkEnd w:id="0"/>
    <w:p w:rsidR="00014669" w:rsidRPr="00DA6400" w:rsidP="00014669" w14:paraId="61A75CB8" w14:textId="77777777">
      <w:pPr>
        <w:keepLines/>
        <w:tabs>
          <w:tab w:val="left" w:pos="360"/>
        </w:tabs>
        <w:spacing w:after="80"/>
        <w:ind w:left="360" w:hanging="360"/>
        <w:rPr>
          <w:sz w:val="24"/>
          <w:szCs w:val="24"/>
        </w:rPr>
      </w:pPr>
    </w:p>
    <w:p w:rsidR="00E60473" w:rsidRPr="00DA6400" w:rsidP="27DAF1EF" w14:paraId="2B00CDB4" w14:textId="0A11C268">
      <w:pPr>
        <w:rPr>
          <w:sz w:val="24"/>
          <w:szCs w:val="24"/>
        </w:rPr>
      </w:pPr>
      <w:r w:rsidRPr="00DA6400">
        <w:rPr>
          <w:sz w:val="24"/>
          <w:szCs w:val="24"/>
        </w:rPr>
        <w:t xml:space="preserve">HUD </w:t>
      </w:r>
      <w:r w:rsidRPr="00DA6400" w:rsidR="21F809FC">
        <w:rPr>
          <w:sz w:val="24"/>
          <w:szCs w:val="24"/>
        </w:rPr>
        <w:t xml:space="preserve">will </w:t>
      </w:r>
      <w:r w:rsidRPr="00DA6400">
        <w:rPr>
          <w:sz w:val="24"/>
          <w:szCs w:val="24"/>
        </w:rPr>
        <w:t>contract with an independent research team</w:t>
      </w:r>
      <w:r w:rsidRPr="00DA6400" w:rsidR="207A822A">
        <w:rPr>
          <w:sz w:val="24"/>
          <w:szCs w:val="24"/>
        </w:rPr>
        <w:t xml:space="preserve"> </w:t>
      </w:r>
      <w:r w:rsidRPr="00DA6400">
        <w:rPr>
          <w:sz w:val="24"/>
          <w:szCs w:val="24"/>
        </w:rPr>
        <w:t xml:space="preserve">to conduct this research. HUD and </w:t>
      </w:r>
      <w:r w:rsidRPr="00DA6400" w:rsidR="602E2683">
        <w:rPr>
          <w:sz w:val="24"/>
          <w:szCs w:val="24"/>
        </w:rPr>
        <w:t xml:space="preserve">the research team </w:t>
      </w:r>
      <w:r w:rsidRPr="00DA6400">
        <w:rPr>
          <w:sz w:val="24"/>
          <w:szCs w:val="24"/>
        </w:rPr>
        <w:t xml:space="preserve">will make every effort to maintain the privacy of respondents. The information requested under this collection is protected and held confidential in accordance with 42 U.S.C. 1306, 20 CFR 401 and 402, 5 U.S.C.552 (Freedom of Information Act), 5 U.S.C. 552a (Privacy Act of 1974) and OMB Circular No. A-130. All research staff working on the project </w:t>
      </w:r>
      <w:r w:rsidRPr="00DA6400" w:rsidR="58F55CA3">
        <w:rPr>
          <w:sz w:val="24"/>
          <w:szCs w:val="24"/>
        </w:rPr>
        <w:t>will be required to have been</w:t>
      </w:r>
      <w:r w:rsidRPr="00DA6400">
        <w:rPr>
          <w:sz w:val="24"/>
          <w:szCs w:val="24"/>
        </w:rPr>
        <w:t xml:space="preserve"> trained to protect private information and the study</w:t>
      </w:r>
      <w:r w:rsidRPr="00DA6400" w:rsidR="49E8AFAE">
        <w:rPr>
          <w:sz w:val="24"/>
          <w:szCs w:val="24"/>
        </w:rPr>
        <w:t xml:space="preserve"> will have a </w:t>
      </w:r>
      <w:r w:rsidRPr="00DA6400">
        <w:rPr>
          <w:sz w:val="24"/>
          <w:szCs w:val="24"/>
        </w:rPr>
        <w:t xml:space="preserve">Data Security Plan governing the storage and use of the data collected through the study. Individuals will not be cited as sources of information in prepared reports. </w:t>
      </w:r>
    </w:p>
    <w:p w:rsidR="007D2159" w:rsidRPr="00DA6400" w:rsidP="00E60473" w14:paraId="5539FFE6" w14:textId="1E2304F6">
      <w:pPr>
        <w:rPr>
          <w:sz w:val="24"/>
          <w:szCs w:val="24"/>
        </w:rPr>
      </w:pPr>
      <w:r w:rsidRPr="00DA6400">
        <w:rPr>
          <w:sz w:val="24"/>
          <w:szCs w:val="24"/>
        </w:rPr>
        <w:t xml:space="preserve">Research reports may name specific PHAs </w:t>
      </w:r>
      <w:r w:rsidRPr="00DA6400" w:rsidR="00B306D7">
        <w:rPr>
          <w:sz w:val="24"/>
          <w:szCs w:val="24"/>
        </w:rPr>
        <w:t xml:space="preserve">or partner organizations </w:t>
      </w:r>
      <w:r w:rsidRPr="00DA6400">
        <w:rPr>
          <w:sz w:val="24"/>
          <w:szCs w:val="24"/>
        </w:rPr>
        <w:t xml:space="preserve">that were included in the study, for example, to highlight a unique practice or program. However, individual PHA staff </w:t>
      </w:r>
      <w:r w:rsidRPr="00DA6400" w:rsidR="00B306D7">
        <w:rPr>
          <w:sz w:val="24"/>
          <w:szCs w:val="24"/>
        </w:rPr>
        <w:t xml:space="preserve">and partner organization staff </w:t>
      </w:r>
      <w:r w:rsidRPr="00DA6400">
        <w:rPr>
          <w:sz w:val="24"/>
          <w:szCs w:val="24"/>
        </w:rPr>
        <w:t xml:space="preserve">who participate in interviews will not be named in reports. </w:t>
      </w:r>
      <w:r w:rsidRPr="00DA6400">
        <w:rPr>
          <w:sz w:val="24"/>
          <w:szCs w:val="24"/>
        </w:rPr>
        <w:t>Respondents</w:t>
      </w:r>
      <w:r w:rsidRPr="00DA6400" w:rsidR="02A00A47">
        <w:rPr>
          <w:sz w:val="24"/>
          <w:szCs w:val="24"/>
        </w:rPr>
        <w:t xml:space="preserve"> </w:t>
      </w:r>
      <w:r w:rsidRPr="00DA6400">
        <w:rPr>
          <w:sz w:val="24"/>
          <w:szCs w:val="24"/>
        </w:rPr>
        <w:t>will be informed that they will not be named directly in any publications</w:t>
      </w:r>
      <w:r w:rsidRPr="00DA6400" w:rsidR="00145E5E">
        <w:rPr>
          <w:sz w:val="24"/>
          <w:szCs w:val="24"/>
        </w:rPr>
        <w:t xml:space="preserve"> </w:t>
      </w:r>
      <w:r w:rsidRPr="00DA6400" w:rsidR="00EB2526">
        <w:rPr>
          <w:sz w:val="24"/>
          <w:szCs w:val="24"/>
        </w:rPr>
        <w:t>but may</w:t>
      </w:r>
      <w:r w:rsidRPr="00DA6400">
        <w:rPr>
          <w:sz w:val="24"/>
          <w:szCs w:val="24"/>
        </w:rPr>
        <w:t xml:space="preserve"> be identifiable based on their affiliation with a specific PHA.</w:t>
      </w:r>
    </w:p>
    <w:p w:rsidR="00E60473" w:rsidRPr="00DA6400" w:rsidP="00E60473" w14:paraId="2B55B919" w14:textId="583E3454">
      <w:pPr>
        <w:rPr>
          <w:sz w:val="24"/>
          <w:szCs w:val="24"/>
        </w:rPr>
      </w:pPr>
      <w:r w:rsidRPr="00DA6400">
        <w:rPr>
          <w:sz w:val="24"/>
          <w:szCs w:val="24"/>
        </w:rPr>
        <w:t xml:space="preserve"> PHA residents who participate in interviews for this study will not be named in any reports</w:t>
      </w:r>
      <w:r w:rsidRPr="00DA6400" w:rsidR="00417277">
        <w:rPr>
          <w:sz w:val="24"/>
          <w:szCs w:val="24"/>
        </w:rPr>
        <w:t xml:space="preserve">. In addition, to lessen the chances that a reader familiar with a particular PHA might identify </w:t>
      </w:r>
      <w:r w:rsidRPr="00DA6400" w:rsidR="00417277">
        <w:rPr>
          <w:sz w:val="24"/>
          <w:szCs w:val="24"/>
        </w:rPr>
        <w:t xml:space="preserve">resident respondents, the </w:t>
      </w:r>
      <w:r w:rsidRPr="00DA6400" w:rsidR="00463D67">
        <w:rPr>
          <w:sz w:val="24"/>
          <w:szCs w:val="24"/>
        </w:rPr>
        <w:t xml:space="preserve"> research team may </w:t>
      </w:r>
      <w:r w:rsidRPr="00DA6400" w:rsidR="00907316">
        <w:rPr>
          <w:sz w:val="24"/>
          <w:szCs w:val="24"/>
        </w:rPr>
        <w:t xml:space="preserve">change or omit details </w:t>
      </w:r>
      <w:r w:rsidRPr="00DA6400" w:rsidR="00417277">
        <w:rPr>
          <w:sz w:val="24"/>
          <w:szCs w:val="24"/>
        </w:rPr>
        <w:t xml:space="preserve">if </w:t>
      </w:r>
      <w:r w:rsidRPr="00DA6400" w:rsidR="004708BD">
        <w:rPr>
          <w:sz w:val="24"/>
          <w:szCs w:val="24"/>
        </w:rPr>
        <w:t>a respondent is quoted or paraphrased</w:t>
      </w:r>
      <w:r w:rsidRPr="00DA6400" w:rsidR="00907316">
        <w:rPr>
          <w:sz w:val="24"/>
          <w:szCs w:val="24"/>
        </w:rPr>
        <w:t>.</w:t>
      </w:r>
      <w:r w:rsidRPr="00DA6400" w:rsidR="00B306D7">
        <w:rPr>
          <w:sz w:val="24"/>
          <w:szCs w:val="24"/>
        </w:rPr>
        <w:t xml:space="preserve">  </w:t>
      </w:r>
      <w:r w:rsidRPr="00DA6400">
        <w:rPr>
          <w:sz w:val="24"/>
          <w:szCs w:val="24"/>
        </w:rPr>
        <w:t xml:space="preserve"> </w:t>
      </w:r>
    </w:p>
    <w:p w:rsidR="00D85EB4" w:rsidRPr="00DA6400" w:rsidP="00D85EB4" w14:paraId="3F92D7C3" w14:textId="31BF8926">
      <w:pPr>
        <w:pStyle w:val="pf0"/>
      </w:pPr>
      <w:r w:rsidRPr="00DA6400">
        <w:t xml:space="preserve">All respondents included in the </w:t>
      </w:r>
      <w:r w:rsidRPr="00DA6400" w:rsidR="0046701A">
        <w:t xml:space="preserve">interviews </w:t>
      </w:r>
      <w:r w:rsidRPr="00DA6400">
        <w:t xml:space="preserve">will be </w:t>
      </w:r>
      <w:r w:rsidRPr="00DA6400" w:rsidR="009B4413">
        <w:t>asked</w:t>
      </w:r>
      <w:r w:rsidRPr="00DA6400" w:rsidR="0046701A">
        <w:t xml:space="preserve"> if they consent to participate. They will also be made aware that</w:t>
      </w:r>
      <w:r w:rsidRPr="00DA6400">
        <w:t xml:space="preserve"> the information they provide will be used only for research purposes</w:t>
      </w:r>
      <w:r w:rsidRPr="00DA6400" w:rsidR="004708BD">
        <w:t xml:space="preserve"> and that individuals will not be named in reports</w:t>
      </w:r>
      <w:r w:rsidRPr="00DA6400">
        <w:t>.</w:t>
      </w:r>
      <w:r w:rsidRPr="00DA6400" w:rsidR="003B6D44">
        <w:t xml:space="preserve">  </w:t>
      </w:r>
      <w:r w:rsidRPr="00DA6400">
        <w:t xml:space="preserve">This </w:t>
      </w:r>
      <w:r w:rsidRPr="00DA6400" w:rsidR="0083496F">
        <w:t>will</w:t>
      </w:r>
      <w:r w:rsidRPr="00DA6400">
        <w:t xml:space="preserve"> occur as part of </w:t>
      </w:r>
      <w:r w:rsidRPr="00DA6400" w:rsidR="0083496F">
        <w:t>an informed</w:t>
      </w:r>
      <w:r w:rsidRPr="00DA6400">
        <w:t xml:space="preserve"> consent process approved by the IRB in accord with HUD</w:t>
      </w:r>
      <w:r w:rsidRPr="00DA6400" w:rsidR="00B07054">
        <w:t>’</w:t>
      </w:r>
      <w:r w:rsidRPr="00DA6400">
        <w:t>s status as signatory to the Common Rule.</w:t>
      </w:r>
    </w:p>
    <w:p w:rsidR="00014669" w:rsidRPr="00DA6400" w:rsidP="00014669" w14:paraId="15AEB239" w14:textId="77777777">
      <w:pPr>
        <w:keepLines/>
        <w:tabs>
          <w:tab w:val="left" w:pos="360"/>
        </w:tabs>
        <w:spacing w:after="80"/>
        <w:ind w:left="360" w:hanging="360"/>
        <w:rPr>
          <w:b/>
          <w:bCs/>
          <w:sz w:val="24"/>
          <w:szCs w:val="24"/>
        </w:rPr>
      </w:pPr>
      <w:r w:rsidRPr="00DA6400">
        <w:rPr>
          <w:b/>
          <w:bCs/>
          <w:sz w:val="24"/>
          <w:szCs w:val="24"/>
        </w:rPr>
        <w:t>11.</w:t>
      </w:r>
      <w:r w:rsidRPr="00DA6400">
        <w:rPr>
          <w:b/>
          <w:bCs/>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3085BA1E" w:rsidRPr="00DA6400" w:rsidP="3085BA1E" w14:paraId="0342B1F1" w14:textId="18768488">
      <w:pPr>
        <w:pStyle w:val="BodyText"/>
        <w:rPr>
          <w:sz w:val="24"/>
          <w:szCs w:val="24"/>
        </w:rPr>
      </w:pPr>
      <w:r w:rsidRPr="00DA6400">
        <w:rPr>
          <w:sz w:val="24"/>
          <w:szCs w:val="24"/>
        </w:rPr>
        <w:t xml:space="preserve">The data collection instruments </w:t>
      </w:r>
      <w:r w:rsidRPr="00DA6400" w:rsidR="05885D66">
        <w:rPr>
          <w:sz w:val="24"/>
          <w:szCs w:val="24"/>
        </w:rPr>
        <w:t xml:space="preserve">for </w:t>
      </w:r>
      <w:r w:rsidRPr="00DA6400" w:rsidR="05885D66">
        <w:rPr>
          <w:sz w:val="24"/>
          <w:szCs w:val="24"/>
        </w:rPr>
        <w:t>PHA</w:t>
      </w:r>
      <w:r w:rsidRPr="00DA6400" w:rsidR="05885D66">
        <w:rPr>
          <w:sz w:val="24"/>
          <w:szCs w:val="24"/>
        </w:rPr>
        <w:t xml:space="preserve"> and partner </w:t>
      </w:r>
      <w:r w:rsidRPr="00DA6400" w:rsidR="25FDAC75">
        <w:rPr>
          <w:sz w:val="24"/>
          <w:szCs w:val="24"/>
        </w:rPr>
        <w:t>organization</w:t>
      </w:r>
      <w:r w:rsidRPr="00DA6400" w:rsidR="05885D66">
        <w:rPr>
          <w:sz w:val="24"/>
          <w:szCs w:val="24"/>
        </w:rPr>
        <w:t xml:space="preserve"> staff </w:t>
      </w:r>
      <w:r w:rsidRPr="00DA6400">
        <w:rPr>
          <w:sz w:val="24"/>
          <w:szCs w:val="24"/>
        </w:rPr>
        <w:t xml:space="preserve">do not contain any sensitive questions. </w:t>
      </w:r>
      <w:r w:rsidRPr="00DA6400" w:rsidR="7006CF5A">
        <w:rPr>
          <w:sz w:val="24"/>
          <w:szCs w:val="24"/>
        </w:rPr>
        <w:t>The data collection instruments for HUD-assisted residents (</w:t>
      </w:r>
      <w:r w:rsidRPr="00DA6400" w:rsidR="001455AB">
        <w:rPr>
          <w:sz w:val="24"/>
          <w:szCs w:val="24"/>
        </w:rPr>
        <w:t>Program Implementation resident interview guide, Rent Reporting qualitative interview guide round 1, and Rent Reporting qualitative interview guide round 2</w:t>
      </w:r>
      <w:r w:rsidRPr="00DA6400" w:rsidR="3FBADAE5">
        <w:rPr>
          <w:sz w:val="24"/>
          <w:szCs w:val="24"/>
        </w:rPr>
        <w:t xml:space="preserve">) will </w:t>
      </w:r>
      <w:r w:rsidRPr="00DA6400" w:rsidR="06FF8A54">
        <w:rPr>
          <w:sz w:val="24"/>
          <w:szCs w:val="24"/>
        </w:rPr>
        <w:t>ask</w:t>
      </w:r>
      <w:r w:rsidRPr="00DA6400" w:rsidR="14FD86B1">
        <w:rPr>
          <w:sz w:val="24"/>
          <w:szCs w:val="24"/>
        </w:rPr>
        <w:t xml:space="preserve"> </w:t>
      </w:r>
      <w:r w:rsidRPr="00DA6400" w:rsidR="3D55FB54">
        <w:rPr>
          <w:sz w:val="24"/>
          <w:szCs w:val="24"/>
        </w:rPr>
        <w:t>questions</w:t>
      </w:r>
      <w:r w:rsidRPr="00DA6400" w:rsidR="14FD86B1">
        <w:rPr>
          <w:sz w:val="24"/>
          <w:szCs w:val="24"/>
        </w:rPr>
        <w:t xml:space="preserve"> about potentially sensitive topics including material hardship, experiences with financial institutions, and </w:t>
      </w:r>
      <w:r w:rsidRPr="00DA6400" w:rsidR="7ACA96F8">
        <w:rPr>
          <w:sz w:val="24"/>
          <w:szCs w:val="24"/>
        </w:rPr>
        <w:t>discrimination</w:t>
      </w:r>
      <w:r w:rsidRPr="00DA6400" w:rsidR="717C2791">
        <w:rPr>
          <w:sz w:val="24"/>
          <w:szCs w:val="24"/>
        </w:rPr>
        <w:t>.</w:t>
      </w:r>
      <w:r w:rsidRPr="00DA6400" w:rsidR="00B0541A">
        <w:rPr>
          <w:sz w:val="24"/>
          <w:szCs w:val="24"/>
        </w:rPr>
        <w:t xml:space="preserve">  </w:t>
      </w:r>
    </w:p>
    <w:p w:rsidR="4B10DABF" w:rsidRPr="00DA6400" w:rsidP="3085BA1E" w14:paraId="189A33CB" w14:textId="004DE5A3">
      <w:pPr>
        <w:pStyle w:val="BodyText"/>
        <w:rPr>
          <w:sz w:val="24"/>
          <w:szCs w:val="24"/>
        </w:rPr>
      </w:pPr>
      <w:r w:rsidRPr="00DA6400">
        <w:rPr>
          <w:sz w:val="24"/>
          <w:szCs w:val="24"/>
        </w:rPr>
        <w:t>These items are</w:t>
      </w:r>
      <w:r w:rsidRPr="00DA6400">
        <w:rPr>
          <w:sz w:val="24"/>
          <w:szCs w:val="24"/>
        </w:rPr>
        <w:t xml:space="preserve"> necessary to understand participants’ </w:t>
      </w:r>
      <w:r w:rsidRPr="00DA6400" w:rsidR="1829B556">
        <w:rPr>
          <w:sz w:val="24"/>
          <w:szCs w:val="24"/>
        </w:rPr>
        <w:t xml:space="preserve">needs, barriers </w:t>
      </w:r>
      <w:r w:rsidRPr="00DA6400" w:rsidR="0B547B96">
        <w:rPr>
          <w:sz w:val="24"/>
          <w:szCs w:val="24"/>
        </w:rPr>
        <w:t xml:space="preserve">to </w:t>
      </w:r>
      <w:r w:rsidRPr="00DA6400" w:rsidR="1829B556">
        <w:rPr>
          <w:sz w:val="24"/>
          <w:szCs w:val="24"/>
        </w:rPr>
        <w:t xml:space="preserve">building credit and savings, </w:t>
      </w:r>
      <w:r w:rsidRPr="00DA6400" w:rsidR="5BBEC83A">
        <w:rPr>
          <w:sz w:val="24"/>
          <w:szCs w:val="24"/>
        </w:rPr>
        <w:t xml:space="preserve">and </w:t>
      </w:r>
      <w:r w:rsidRPr="00DA6400">
        <w:rPr>
          <w:sz w:val="24"/>
          <w:szCs w:val="24"/>
        </w:rPr>
        <w:t xml:space="preserve">experiences accessing services through the programs that are the focus of the study. The research team will take steps to minimize the discomfort that such questions may pose. Participants will be alerted to the types of questions that might cause discomfort as part of the informed consent process. Staff will inform respondents that participation is voluntary and </w:t>
      </w:r>
      <w:r w:rsidRPr="00DA6400" w:rsidR="00441177">
        <w:rPr>
          <w:sz w:val="24"/>
          <w:szCs w:val="24"/>
        </w:rPr>
        <w:t xml:space="preserve">that </w:t>
      </w:r>
      <w:r w:rsidRPr="00DA6400">
        <w:rPr>
          <w:sz w:val="24"/>
          <w:szCs w:val="24"/>
        </w:rPr>
        <w:t xml:space="preserve">they may refuse to answer individual items or </w:t>
      </w:r>
      <w:r w:rsidRPr="00DA6400" w:rsidR="00441177">
        <w:rPr>
          <w:sz w:val="24"/>
          <w:szCs w:val="24"/>
        </w:rPr>
        <w:t>choose</w:t>
      </w:r>
      <w:r w:rsidRPr="00DA6400" w:rsidR="001A1E5D">
        <w:rPr>
          <w:sz w:val="24"/>
          <w:szCs w:val="24"/>
        </w:rPr>
        <w:t xml:space="preserve"> to </w:t>
      </w:r>
      <w:r w:rsidRPr="00DA6400">
        <w:rPr>
          <w:sz w:val="24"/>
          <w:szCs w:val="24"/>
        </w:rPr>
        <w:t>stop the interview</w:t>
      </w:r>
      <w:r w:rsidRPr="00DA6400" w:rsidR="001A1E5D">
        <w:rPr>
          <w:sz w:val="24"/>
          <w:szCs w:val="24"/>
        </w:rPr>
        <w:t xml:space="preserve"> at any time</w:t>
      </w:r>
      <w:r w:rsidRPr="00DA6400">
        <w:rPr>
          <w:sz w:val="24"/>
          <w:szCs w:val="24"/>
        </w:rPr>
        <w:t>, including after the interview has started. Study participants will also be reminded that the study team will keep their responses private. When coordinating the interviews, the research team will identify at least one resource (potentially appropriate program staff) to refer participants to for support if they experience emotional strain.</w:t>
      </w:r>
    </w:p>
    <w:p w:rsidR="00B2797A" w:rsidRPr="00DA6400" w:rsidP="00B2797A" w14:paraId="4D2164B0" w14:textId="312D075D">
      <w:pPr>
        <w:rPr>
          <w:rStyle w:val="ui-provider"/>
          <w:sz w:val="24"/>
          <w:szCs w:val="24"/>
        </w:rPr>
      </w:pPr>
      <w:r w:rsidRPr="00DA6400">
        <w:rPr>
          <w:rStyle w:val="ui-provider"/>
          <w:sz w:val="24"/>
          <w:szCs w:val="24"/>
        </w:rPr>
        <w:t xml:space="preserve">The study also requires collection of SSNs </w:t>
      </w:r>
      <w:r w:rsidRPr="00DA6400" w:rsidR="00DD5F52">
        <w:rPr>
          <w:rStyle w:val="ui-provider"/>
          <w:sz w:val="24"/>
          <w:szCs w:val="24"/>
        </w:rPr>
        <w:t xml:space="preserve">(from HUD-assisted households only, not from program and partner staff) </w:t>
      </w:r>
      <w:r w:rsidRPr="00DA6400">
        <w:rPr>
          <w:rStyle w:val="ui-provider"/>
          <w:sz w:val="24"/>
          <w:szCs w:val="24"/>
        </w:rPr>
        <w:t>to facilitate matching to other administrative databases to support the key outcomes of this study. Without matching to these administrative data sources, the study would not be able to measure the key outcomes for households—including changes in credit scores and financial well-being—that are the focus of this study.</w:t>
      </w:r>
    </w:p>
    <w:p w:rsidR="003E3A85" w:rsidRPr="003E3A85" w:rsidP="00805CB4" w14:paraId="49EE9B7A" w14:textId="77777777">
      <w:pPr>
        <w:spacing w:line="240" w:lineRule="auto"/>
        <w:ind w:left="360" w:hanging="360"/>
        <w:rPr>
          <w:rStyle w:val="ui-provider"/>
          <w:b/>
          <w:bCs/>
          <w:sz w:val="24"/>
          <w:szCs w:val="24"/>
        </w:rPr>
      </w:pPr>
      <w:r w:rsidRPr="003E3A85">
        <w:rPr>
          <w:rStyle w:val="ui-provider"/>
          <w:b/>
          <w:bCs/>
          <w:sz w:val="24"/>
          <w:szCs w:val="24"/>
        </w:rPr>
        <w:t>12.</w:t>
      </w:r>
      <w:r w:rsidRPr="003E3A85">
        <w:rPr>
          <w:rStyle w:val="ui-provider"/>
          <w:b/>
          <w:bCs/>
          <w:sz w:val="24"/>
          <w:szCs w:val="24"/>
        </w:rPr>
        <w:tab/>
        <w:t>Provide estimates of the hour burden of the collection of information.  The statement should:</w:t>
      </w:r>
    </w:p>
    <w:p w:rsidR="003E3A85" w:rsidRPr="003E3A85" w:rsidP="003E3A85" w14:paraId="6EE45BAD" w14:textId="4C7916BB">
      <w:pPr>
        <w:spacing w:line="240" w:lineRule="auto"/>
        <w:ind w:left="720" w:hanging="360"/>
        <w:rPr>
          <w:rStyle w:val="ui-provider"/>
          <w:b/>
          <w:bCs/>
          <w:sz w:val="24"/>
          <w:szCs w:val="24"/>
        </w:rPr>
      </w:pPr>
      <w:r w:rsidRPr="003E3A85">
        <w:rPr>
          <w:rStyle w:val="ui-provider"/>
          <w:b/>
          <w:bCs/>
          <w:sz w:val="24"/>
          <w:szCs w:val="24"/>
        </w:rPr>
        <w:t xml:space="preserve"> •</w:t>
      </w:r>
      <w:r w:rsidRPr="003E3A85">
        <w:rPr>
          <w:rStyle w:val="ui-provider"/>
          <w:b/>
          <w:bCs/>
          <w:sz w:val="24"/>
          <w:szCs w:val="24"/>
        </w:rPr>
        <w:tab/>
        <w:t xml:space="preserve">Indicate the number of respondents, frequency of response, annual hour burden, and an explanation of how the burden was estimated.  Unless directed to do so, agencies should not conduct special surveys to obtain information on which to base </w:t>
      </w:r>
      <w:r w:rsidRPr="003E3A85">
        <w:rPr>
          <w:rStyle w:val="ui-provider"/>
          <w:b/>
          <w:bCs/>
          <w:sz w:val="24"/>
          <w:szCs w:val="24"/>
        </w:rPr>
        <w:t>hour</w:t>
      </w:r>
      <w:r w:rsidRPr="003E3A85">
        <w:rPr>
          <w:rStyle w:val="ui-provider"/>
          <w:b/>
          <w:bCs/>
          <w:sz w:val="24"/>
          <w:szCs w:val="24"/>
        </w:rPr>
        <w:t xml:space="preserve"> burden estimates.  Consultation with a sample (fewer than 10) of potential </w:t>
      </w:r>
      <w:r w:rsidRPr="003E3A85">
        <w:rPr>
          <w:rStyle w:val="ui-provider"/>
          <w:b/>
          <w:bCs/>
          <w:sz w:val="24"/>
          <w:szCs w:val="24"/>
        </w:rPr>
        <w:t xml:space="preserve">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003E3A85">
        <w:rPr>
          <w:rStyle w:val="ui-provider"/>
          <w:b/>
          <w:bCs/>
          <w:sz w:val="24"/>
          <w:szCs w:val="24"/>
        </w:rPr>
        <w:t>practices;</w:t>
      </w:r>
      <w:r w:rsidRPr="003E3A85">
        <w:rPr>
          <w:rStyle w:val="ui-provider"/>
          <w:b/>
          <w:bCs/>
          <w:sz w:val="24"/>
          <w:szCs w:val="24"/>
        </w:rPr>
        <w:t xml:space="preserve"> </w:t>
      </w:r>
    </w:p>
    <w:p w:rsidR="003E3A85" w:rsidRPr="003E3A85" w:rsidP="003E3A85" w14:paraId="499DE665" w14:textId="77777777">
      <w:pPr>
        <w:spacing w:line="240" w:lineRule="auto"/>
        <w:ind w:left="720" w:hanging="360"/>
        <w:rPr>
          <w:rStyle w:val="ui-provider"/>
          <w:b/>
          <w:bCs/>
          <w:sz w:val="24"/>
          <w:szCs w:val="24"/>
        </w:rPr>
      </w:pPr>
      <w:r w:rsidRPr="003E3A85">
        <w:rPr>
          <w:rStyle w:val="ui-provider"/>
          <w:b/>
          <w:bCs/>
          <w:sz w:val="24"/>
          <w:szCs w:val="24"/>
        </w:rPr>
        <w:t>•</w:t>
      </w:r>
      <w:r w:rsidRPr="003E3A85">
        <w:rPr>
          <w:rStyle w:val="ui-provider"/>
          <w:b/>
          <w:bCs/>
          <w:sz w:val="24"/>
          <w:szCs w:val="24"/>
        </w:rPr>
        <w:tab/>
        <w:t xml:space="preserve">If this request covers more than one form, provide separate hour burden estimates for each </w:t>
      </w:r>
      <w:r w:rsidRPr="003E3A85">
        <w:rPr>
          <w:rStyle w:val="ui-provider"/>
          <w:b/>
          <w:bCs/>
          <w:sz w:val="24"/>
          <w:szCs w:val="24"/>
        </w:rPr>
        <w:t>form</w:t>
      </w:r>
      <w:r w:rsidRPr="003E3A85">
        <w:rPr>
          <w:rStyle w:val="ui-provider"/>
          <w:b/>
          <w:bCs/>
          <w:sz w:val="24"/>
          <w:szCs w:val="24"/>
        </w:rPr>
        <w:t xml:space="preserve"> and aggregate the hour burdens in chart below; and </w:t>
      </w:r>
    </w:p>
    <w:p w:rsidR="003E3A85" w:rsidP="003E3A85" w14:paraId="6562CE13" w14:textId="499C95EB">
      <w:pPr>
        <w:spacing w:line="240" w:lineRule="auto"/>
        <w:ind w:left="720" w:hanging="360"/>
        <w:rPr>
          <w:rStyle w:val="ui-provider"/>
          <w:b/>
          <w:bCs/>
          <w:sz w:val="24"/>
          <w:szCs w:val="24"/>
        </w:rPr>
      </w:pPr>
      <w:r w:rsidRPr="003E3A85">
        <w:rPr>
          <w:rStyle w:val="ui-provider"/>
          <w:b/>
          <w:bCs/>
          <w:sz w:val="24"/>
          <w:szCs w:val="24"/>
        </w:rPr>
        <w:t>•</w:t>
      </w:r>
      <w:r w:rsidRPr="003E3A85">
        <w:rPr>
          <w:rStyle w:val="ui-provider"/>
          <w:b/>
          <w:bCs/>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152A44" w:rsidP="00152A44" w14:paraId="1F0D70EA" w14:textId="77777777">
      <w:r w:rsidRPr="00152A44">
        <w:rPr>
          <w:sz w:val="24"/>
          <w:szCs w:val="24"/>
        </w:rPr>
        <w:t>Exhibit A-4 presents the estimated annualized respondent burden for this information collection. The burden estimates include PHA staff interviews, partner organization staff interviews, PHA resident interviews, rent reporting consent and baseline information forms, and rent reporting qualitative interviews rounds 1 and 2</w:t>
      </w:r>
      <w:r>
        <w:t>.</w:t>
      </w:r>
      <w:r w:rsidRPr="71FAEE06">
        <w:t xml:space="preserve"> </w:t>
      </w:r>
    </w:p>
    <w:p w:rsidR="009A35E7" w:rsidRPr="00A35B05" w:rsidP="009A35E7" w14:paraId="2C6A520C" w14:textId="77777777">
      <w:pPr>
        <w:rPr>
          <w:b/>
          <w:bCs/>
          <w:sz w:val="24"/>
          <w:szCs w:val="22"/>
        </w:rPr>
      </w:pPr>
      <w:r w:rsidRPr="00A35B05">
        <w:rPr>
          <w:b/>
          <w:bCs/>
          <w:sz w:val="24"/>
          <w:szCs w:val="22"/>
        </w:rPr>
        <w:t xml:space="preserve">Exhibit A-4: Estimated Respondents, Burden Hours, and Costs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800"/>
        <w:gridCol w:w="1260"/>
        <w:gridCol w:w="1125"/>
        <w:gridCol w:w="1166"/>
        <w:gridCol w:w="1083"/>
        <w:gridCol w:w="914"/>
        <w:gridCol w:w="1022"/>
        <w:gridCol w:w="980"/>
      </w:tblGrid>
      <w:tr w14:paraId="7AF0544C" w14:textId="77777777" w:rsidTr="003A3DCC">
        <w:tblPrEx>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Ex>
        <w:tc>
          <w:tcPr>
            <w:tcW w:w="1800" w:type="dxa"/>
            <w:tcMar>
              <w:top w:w="0" w:type="dxa"/>
              <w:left w:w="108" w:type="dxa"/>
              <w:bottom w:w="0" w:type="dxa"/>
              <w:right w:w="108" w:type="dxa"/>
            </w:tcMar>
            <w:hideMark/>
          </w:tcPr>
          <w:p w:rsidR="00A35B05" w:rsidRPr="00722B7D" w:rsidP="001A4A4E" w14:paraId="58D7C9A2" w14:textId="77777777">
            <w:pPr>
              <w:jc w:val="center"/>
              <w:rPr>
                <w:rFonts w:eastAsia="Calibri"/>
                <w:b/>
                <w:bCs/>
                <w:color w:val="000000"/>
                <w:sz w:val="18"/>
                <w:szCs w:val="18"/>
              </w:rPr>
            </w:pPr>
            <w:bookmarkStart w:id="1" w:name="_Hlk72491044"/>
            <w:r w:rsidRPr="00722B7D">
              <w:rPr>
                <w:rFonts w:eastAsia="Calibri"/>
                <w:b/>
                <w:bCs/>
                <w:color w:val="000000"/>
                <w:sz w:val="18"/>
                <w:szCs w:val="18"/>
              </w:rPr>
              <w:t>Information Collection</w:t>
            </w:r>
          </w:p>
        </w:tc>
        <w:tc>
          <w:tcPr>
            <w:tcW w:w="1260" w:type="dxa"/>
            <w:shd w:val="clear" w:color="auto" w:fill="auto"/>
            <w:tcMar>
              <w:top w:w="0" w:type="dxa"/>
              <w:left w:w="108" w:type="dxa"/>
              <w:bottom w:w="0" w:type="dxa"/>
              <w:right w:w="108" w:type="dxa"/>
            </w:tcMar>
            <w:hideMark/>
          </w:tcPr>
          <w:p w:rsidR="00A35B05" w:rsidRPr="00722B7D" w:rsidP="001A4A4E" w14:paraId="695F375F" w14:textId="77777777">
            <w:pPr>
              <w:jc w:val="center"/>
              <w:rPr>
                <w:rFonts w:eastAsia="Calibri"/>
                <w:b/>
                <w:bCs/>
                <w:color w:val="000000"/>
                <w:sz w:val="18"/>
                <w:szCs w:val="18"/>
              </w:rPr>
            </w:pPr>
            <w:r w:rsidRPr="00722B7D">
              <w:rPr>
                <w:rFonts w:eastAsia="Calibri"/>
                <w:b/>
                <w:bCs/>
                <w:color w:val="000000"/>
                <w:sz w:val="18"/>
                <w:szCs w:val="18"/>
              </w:rPr>
              <w:t>Number of Respondents</w:t>
            </w:r>
          </w:p>
        </w:tc>
        <w:tc>
          <w:tcPr>
            <w:tcW w:w="1125" w:type="dxa"/>
            <w:tcMar>
              <w:top w:w="0" w:type="dxa"/>
              <w:left w:w="108" w:type="dxa"/>
              <w:bottom w:w="0" w:type="dxa"/>
              <w:right w:w="108" w:type="dxa"/>
            </w:tcMar>
            <w:hideMark/>
          </w:tcPr>
          <w:p w:rsidR="00A35B05" w:rsidRPr="00722B7D" w:rsidP="001A4A4E" w14:paraId="04DC2A75" w14:textId="77777777">
            <w:pPr>
              <w:jc w:val="center"/>
              <w:rPr>
                <w:rFonts w:eastAsia="Calibri"/>
                <w:b/>
                <w:bCs/>
                <w:color w:val="000000"/>
                <w:sz w:val="18"/>
                <w:szCs w:val="18"/>
              </w:rPr>
            </w:pPr>
            <w:r w:rsidRPr="00722B7D">
              <w:rPr>
                <w:rFonts w:eastAsia="Calibri"/>
                <w:b/>
                <w:bCs/>
                <w:color w:val="000000"/>
                <w:sz w:val="18"/>
                <w:szCs w:val="18"/>
              </w:rPr>
              <w:t>Frequency of Response</w:t>
            </w:r>
          </w:p>
        </w:tc>
        <w:tc>
          <w:tcPr>
            <w:tcW w:w="1166" w:type="dxa"/>
            <w:shd w:val="clear" w:color="auto" w:fill="auto"/>
            <w:tcMar>
              <w:top w:w="0" w:type="dxa"/>
              <w:left w:w="108" w:type="dxa"/>
              <w:bottom w:w="0" w:type="dxa"/>
              <w:right w:w="108" w:type="dxa"/>
            </w:tcMar>
            <w:hideMark/>
          </w:tcPr>
          <w:p w:rsidR="00A35B05" w:rsidRPr="00722B7D" w:rsidP="001A4A4E" w14:paraId="0D55700C" w14:textId="77777777">
            <w:pPr>
              <w:jc w:val="center"/>
              <w:rPr>
                <w:rFonts w:eastAsia="Calibri"/>
                <w:b/>
                <w:bCs/>
                <w:color w:val="000000"/>
                <w:sz w:val="18"/>
                <w:szCs w:val="18"/>
              </w:rPr>
            </w:pPr>
            <w:r w:rsidRPr="00722B7D">
              <w:rPr>
                <w:rFonts w:eastAsia="Calibri"/>
                <w:b/>
                <w:bCs/>
                <w:color w:val="000000"/>
                <w:sz w:val="18"/>
                <w:szCs w:val="18"/>
              </w:rPr>
              <w:t>Responses</w:t>
            </w:r>
          </w:p>
          <w:p w:rsidR="00A35B05" w:rsidRPr="00722B7D" w:rsidP="001A4A4E" w14:paraId="21B82FEA" w14:textId="77777777">
            <w:pPr>
              <w:jc w:val="center"/>
              <w:rPr>
                <w:rFonts w:eastAsia="Calibri"/>
                <w:b/>
                <w:bCs/>
                <w:color w:val="000000"/>
                <w:sz w:val="18"/>
                <w:szCs w:val="18"/>
              </w:rPr>
            </w:pPr>
            <w:r w:rsidRPr="00722B7D">
              <w:rPr>
                <w:rFonts w:eastAsia="Calibri"/>
                <w:b/>
                <w:bCs/>
                <w:color w:val="000000"/>
                <w:sz w:val="18"/>
                <w:szCs w:val="18"/>
              </w:rPr>
              <w:t>Per Annum</w:t>
            </w:r>
          </w:p>
        </w:tc>
        <w:tc>
          <w:tcPr>
            <w:tcW w:w="1083" w:type="dxa"/>
            <w:tcMar>
              <w:top w:w="0" w:type="dxa"/>
              <w:left w:w="108" w:type="dxa"/>
              <w:bottom w:w="0" w:type="dxa"/>
              <w:right w:w="108" w:type="dxa"/>
            </w:tcMar>
            <w:hideMark/>
          </w:tcPr>
          <w:p w:rsidR="00A35B05" w:rsidRPr="00722B7D" w:rsidP="001A4A4E" w14:paraId="3212D649" w14:textId="77777777">
            <w:pPr>
              <w:jc w:val="center"/>
              <w:rPr>
                <w:rFonts w:eastAsia="Calibri"/>
                <w:b/>
                <w:bCs/>
                <w:color w:val="000000"/>
                <w:sz w:val="18"/>
                <w:szCs w:val="18"/>
              </w:rPr>
            </w:pPr>
            <w:r w:rsidRPr="00722B7D">
              <w:rPr>
                <w:rFonts w:eastAsia="Calibri"/>
                <w:b/>
                <w:bCs/>
                <w:color w:val="000000"/>
                <w:sz w:val="18"/>
                <w:szCs w:val="18"/>
              </w:rPr>
              <w:t>Burden Hour Per Response</w:t>
            </w:r>
          </w:p>
        </w:tc>
        <w:tc>
          <w:tcPr>
            <w:tcW w:w="914" w:type="dxa"/>
            <w:tcMar>
              <w:top w:w="0" w:type="dxa"/>
              <w:left w:w="108" w:type="dxa"/>
              <w:bottom w:w="0" w:type="dxa"/>
              <w:right w:w="108" w:type="dxa"/>
            </w:tcMar>
            <w:hideMark/>
          </w:tcPr>
          <w:p w:rsidR="00A35B05" w:rsidRPr="00722B7D" w:rsidP="001A4A4E" w14:paraId="17B383CA" w14:textId="77777777">
            <w:pPr>
              <w:jc w:val="center"/>
              <w:rPr>
                <w:rFonts w:eastAsia="Calibri"/>
                <w:b/>
                <w:bCs/>
                <w:color w:val="000000"/>
                <w:sz w:val="18"/>
                <w:szCs w:val="18"/>
              </w:rPr>
            </w:pPr>
            <w:r w:rsidRPr="00722B7D">
              <w:rPr>
                <w:rFonts w:eastAsia="Calibri"/>
                <w:b/>
                <w:bCs/>
                <w:color w:val="000000"/>
                <w:sz w:val="18"/>
                <w:szCs w:val="18"/>
              </w:rPr>
              <w:t>Annual Burden Hours</w:t>
            </w:r>
          </w:p>
        </w:tc>
        <w:tc>
          <w:tcPr>
            <w:tcW w:w="1022" w:type="dxa"/>
            <w:tcMar>
              <w:top w:w="0" w:type="dxa"/>
              <w:left w:w="108" w:type="dxa"/>
              <w:bottom w:w="0" w:type="dxa"/>
              <w:right w:w="108" w:type="dxa"/>
            </w:tcMar>
            <w:hideMark/>
          </w:tcPr>
          <w:p w:rsidR="00A35B05" w:rsidRPr="00722B7D" w:rsidP="001A4A4E" w14:paraId="5CD3AAFB" w14:textId="77777777">
            <w:pPr>
              <w:jc w:val="center"/>
              <w:rPr>
                <w:rFonts w:eastAsia="Calibri"/>
                <w:b/>
                <w:bCs/>
                <w:color w:val="000000"/>
                <w:sz w:val="18"/>
                <w:szCs w:val="18"/>
              </w:rPr>
            </w:pPr>
            <w:r w:rsidRPr="00722B7D">
              <w:rPr>
                <w:rFonts w:eastAsia="Calibri"/>
                <w:b/>
                <w:bCs/>
                <w:color w:val="000000"/>
                <w:sz w:val="18"/>
                <w:szCs w:val="18"/>
              </w:rPr>
              <w:t>Hourly Cost Per Response</w:t>
            </w:r>
          </w:p>
        </w:tc>
        <w:tc>
          <w:tcPr>
            <w:tcW w:w="980" w:type="dxa"/>
            <w:tcMar>
              <w:top w:w="0" w:type="dxa"/>
              <w:left w:w="108" w:type="dxa"/>
              <w:bottom w:w="0" w:type="dxa"/>
              <w:right w:w="108" w:type="dxa"/>
            </w:tcMar>
          </w:tcPr>
          <w:p w:rsidR="00A35B05" w:rsidRPr="00722B7D" w:rsidP="001A4A4E" w14:paraId="3F534DC7" w14:textId="77777777">
            <w:pPr>
              <w:jc w:val="center"/>
              <w:rPr>
                <w:rFonts w:eastAsia="Calibri"/>
                <w:b/>
                <w:bCs/>
                <w:color w:val="000000"/>
                <w:sz w:val="18"/>
                <w:szCs w:val="18"/>
              </w:rPr>
            </w:pPr>
            <w:r w:rsidRPr="00722B7D">
              <w:rPr>
                <w:rFonts w:eastAsia="Calibri"/>
                <w:b/>
                <w:bCs/>
                <w:color w:val="000000"/>
                <w:sz w:val="18"/>
                <w:szCs w:val="18"/>
              </w:rPr>
              <w:t>Annual Cost</w:t>
            </w:r>
          </w:p>
          <w:p w:rsidR="00A35B05" w:rsidRPr="00722B7D" w:rsidP="001A4A4E" w14:paraId="79DBA906" w14:textId="77777777">
            <w:pPr>
              <w:jc w:val="center"/>
              <w:rPr>
                <w:rFonts w:eastAsia="Calibri"/>
                <w:b/>
                <w:bCs/>
                <w:color w:val="000000"/>
                <w:sz w:val="18"/>
                <w:szCs w:val="18"/>
              </w:rPr>
            </w:pPr>
          </w:p>
        </w:tc>
      </w:tr>
      <w:tr w14:paraId="03393154" w14:textId="77777777" w:rsidTr="003A3DCC">
        <w:tblPrEx>
          <w:tblW w:w="0" w:type="auto"/>
          <w:tblInd w:w="-10" w:type="dxa"/>
          <w:tblLayout w:type="fixed"/>
          <w:tblCellMar>
            <w:left w:w="0" w:type="dxa"/>
            <w:right w:w="0" w:type="dxa"/>
          </w:tblCellMar>
          <w:tblLook w:val="04A0"/>
        </w:tblPrEx>
        <w:tc>
          <w:tcPr>
            <w:tcW w:w="1800" w:type="dxa"/>
            <w:tcMar>
              <w:top w:w="0" w:type="dxa"/>
              <w:left w:w="108" w:type="dxa"/>
              <w:bottom w:w="0" w:type="dxa"/>
              <w:right w:w="108" w:type="dxa"/>
            </w:tcMar>
            <w:vAlign w:val="center"/>
          </w:tcPr>
          <w:p w:rsidR="00A35B05" w:rsidRPr="00722B7D" w:rsidP="001A4A4E" w14:paraId="70DED108" w14:textId="77777777">
            <w:pPr>
              <w:rPr>
                <w:rFonts w:eastAsia="Calibri"/>
                <w:b/>
                <w:bCs/>
                <w:color w:val="000000"/>
                <w:sz w:val="18"/>
                <w:szCs w:val="18"/>
              </w:rPr>
            </w:pPr>
            <w:r w:rsidRPr="00722B7D">
              <w:rPr>
                <w:color w:val="000000" w:themeColor="text1"/>
                <w:sz w:val="18"/>
                <w:szCs w:val="18"/>
              </w:rPr>
              <w:t>Program Implementation PHA staff interview guide</w:t>
            </w:r>
          </w:p>
        </w:tc>
        <w:tc>
          <w:tcPr>
            <w:tcW w:w="1260" w:type="dxa"/>
            <w:tcMar>
              <w:top w:w="0" w:type="dxa"/>
              <w:left w:w="108" w:type="dxa"/>
              <w:bottom w:w="0" w:type="dxa"/>
              <w:right w:w="108" w:type="dxa"/>
            </w:tcMar>
            <w:vAlign w:val="center"/>
          </w:tcPr>
          <w:p w:rsidR="00A35B05" w:rsidRPr="00722B7D" w:rsidP="001A4A4E" w14:paraId="2F060FA0" w14:textId="77777777">
            <w:pPr>
              <w:jc w:val="center"/>
              <w:rPr>
                <w:rFonts w:eastAsia="Calibri"/>
                <w:b/>
                <w:bCs/>
                <w:color w:val="000000"/>
                <w:sz w:val="18"/>
                <w:szCs w:val="18"/>
              </w:rPr>
            </w:pPr>
            <w:r w:rsidRPr="00722B7D">
              <w:rPr>
                <w:color w:val="000000" w:themeColor="text1"/>
                <w:sz w:val="18"/>
                <w:szCs w:val="18"/>
              </w:rPr>
              <w:t>51</w:t>
            </w:r>
          </w:p>
        </w:tc>
        <w:tc>
          <w:tcPr>
            <w:tcW w:w="1125" w:type="dxa"/>
            <w:tcMar>
              <w:top w:w="0" w:type="dxa"/>
              <w:left w:w="108" w:type="dxa"/>
              <w:bottom w:w="0" w:type="dxa"/>
              <w:right w:w="108" w:type="dxa"/>
            </w:tcMar>
            <w:vAlign w:val="center"/>
          </w:tcPr>
          <w:p w:rsidR="00A35B05" w:rsidRPr="00722B7D" w:rsidP="001A4A4E" w14:paraId="16924060" w14:textId="77777777">
            <w:pPr>
              <w:jc w:val="center"/>
              <w:rPr>
                <w:rFonts w:eastAsia="Calibri"/>
                <w:b/>
                <w:bCs/>
                <w:color w:val="000000"/>
                <w:sz w:val="18"/>
                <w:szCs w:val="18"/>
              </w:rPr>
            </w:pPr>
            <w:r w:rsidRPr="00722B7D">
              <w:rPr>
                <w:color w:val="000000" w:themeColor="text1"/>
                <w:sz w:val="18"/>
                <w:szCs w:val="18"/>
              </w:rPr>
              <w:t>1</w:t>
            </w:r>
          </w:p>
        </w:tc>
        <w:tc>
          <w:tcPr>
            <w:tcW w:w="1166" w:type="dxa"/>
            <w:tcMar>
              <w:top w:w="0" w:type="dxa"/>
              <w:left w:w="108" w:type="dxa"/>
              <w:bottom w:w="0" w:type="dxa"/>
              <w:right w:w="108" w:type="dxa"/>
            </w:tcMar>
            <w:vAlign w:val="center"/>
          </w:tcPr>
          <w:p w:rsidR="00A35B05" w:rsidRPr="00722B7D" w:rsidP="001A4A4E" w14:paraId="03BC4EC9" w14:textId="69394DDE">
            <w:pPr>
              <w:jc w:val="center"/>
              <w:rPr>
                <w:rFonts w:eastAsia="Calibri"/>
                <w:color w:val="000000"/>
                <w:sz w:val="18"/>
                <w:szCs w:val="18"/>
              </w:rPr>
            </w:pPr>
            <w:r w:rsidRPr="00722B7D">
              <w:rPr>
                <w:rFonts w:eastAsia="Calibri"/>
                <w:color w:val="000000"/>
                <w:sz w:val="18"/>
                <w:szCs w:val="18"/>
              </w:rPr>
              <w:t>.33</w:t>
            </w:r>
          </w:p>
        </w:tc>
        <w:tc>
          <w:tcPr>
            <w:tcW w:w="1083" w:type="dxa"/>
            <w:tcMar>
              <w:top w:w="0" w:type="dxa"/>
              <w:left w:w="108" w:type="dxa"/>
              <w:bottom w:w="0" w:type="dxa"/>
              <w:right w:w="108" w:type="dxa"/>
            </w:tcMar>
            <w:vAlign w:val="center"/>
          </w:tcPr>
          <w:p w:rsidR="00A35B05" w:rsidRPr="00722B7D" w:rsidP="001A4A4E" w14:paraId="6A27396D" w14:textId="77777777">
            <w:pPr>
              <w:jc w:val="center"/>
              <w:rPr>
                <w:rFonts w:eastAsia="Calibri"/>
                <w:b/>
                <w:bCs/>
                <w:color w:val="000000"/>
                <w:sz w:val="18"/>
                <w:szCs w:val="18"/>
              </w:rPr>
            </w:pPr>
            <w:r w:rsidRPr="00722B7D">
              <w:rPr>
                <w:color w:val="000000" w:themeColor="text1"/>
                <w:sz w:val="18"/>
                <w:szCs w:val="18"/>
              </w:rPr>
              <w:t>1</w:t>
            </w:r>
          </w:p>
        </w:tc>
        <w:tc>
          <w:tcPr>
            <w:tcW w:w="914" w:type="dxa"/>
            <w:tcMar>
              <w:top w:w="0" w:type="dxa"/>
              <w:left w:w="108" w:type="dxa"/>
              <w:bottom w:w="0" w:type="dxa"/>
              <w:right w:w="108" w:type="dxa"/>
            </w:tcMar>
            <w:vAlign w:val="center"/>
          </w:tcPr>
          <w:p w:rsidR="00A35B05" w:rsidRPr="00722B7D" w:rsidP="001A4A4E" w14:paraId="7DD30494" w14:textId="77777777">
            <w:pPr>
              <w:jc w:val="center"/>
              <w:rPr>
                <w:rFonts w:eastAsia="Calibri"/>
                <w:b/>
                <w:bCs/>
                <w:color w:val="000000"/>
                <w:sz w:val="18"/>
                <w:szCs w:val="18"/>
              </w:rPr>
            </w:pPr>
            <w:r w:rsidRPr="00722B7D">
              <w:rPr>
                <w:color w:val="000000"/>
                <w:sz w:val="18"/>
                <w:szCs w:val="18"/>
              </w:rPr>
              <w:t>17</w:t>
            </w:r>
          </w:p>
        </w:tc>
        <w:tc>
          <w:tcPr>
            <w:tcW w:w="1022" w:type="dxa"/>
            <w:tcMar>
              <w:top w:w="0" w:type="dxa"/>
              <w:left w:w="108" w:type="dxa"/>
              <w:bottom w:w="0" w:type="dxa"/>
              <w:right w:w="108" w:type="dxa"/>
            </w:tcMar>
            <w:vAlign w:val="center"/>
          </w:tcPr>
          <w:p w:rsidR="00A35B05" w:rsidRPr="00722B7D" w:rsidP="001A4A4E" w14:paraId="236396E1" w14:textId="77777777">
            <w:pPr>
              <w:jc w:val="right"/>
              <w:rPr>
                <w:rFonts w:eastAsia="Calibri"/>
                <w:b/>
                <w:bCs/>
                <w:color w:val="000000"/>
                <w:sz w:val="18"/>
                <w:szCs w:val="18"/>
              </w:rPr>
            </w:pPr>
            <w:r w:rsidRPr="00722B7D">
              <w:rPr>
                <w:color w:val="000000" w:themeColor="text1"/>
                <w:sz w:val="18"/>
                <w:szCs w:val="18"/>
              </w:rPr>
              <w:t>$57.60</w:t>
            </w:r>
          </w:p>
        </w:tc>
        <w:tc>
          <w:tcPr>
            <w:tcW w:w="980" w:type="dxa"/>
            <w:tcMar>
              <w:top w:w="0" w:type="dxa"/>
              <w:left w:w="108" w:type="dxa"/>
              <w:bottom w:w="0" w:type="dxa"/>
              <w:right w:w="108" w:type="dxa"/>
            </w:tcMar>
            <w:vAlign w:val="center"/>
          </w:tcPr>
          <w:p w:rsidR="00A35B05" w:rsidRPr="00722B7D" w:rsidP="001A4A4E" w14:paraId="3EA00BFB" w14:textId="77777777">
            <w:pPr>
              <w:spacing w:after="0" w:line="240" w:lineRule="auto"/>
              <w:jc w:val="center"/>
              <w:rPr>
                <w:color w:val="000000"/>
                <w:sz w:val="18"/>
                <w:szCs w:val="18"/>
              </w:rPr>
            </w:pPr>
            <w:r w:rsidRPr="00722B7D">
              <w:rPr>
                <w:color w:val="000000" w:themeColor="text1"/>
                <w:sz w:val="18"/>
                <w:szCs w:val="18"/>
              </w:rPr>
              <w:t>$979.20</w:t>
            </w:r>
          </w:p>
          <w:p w:rsidR="00A35B05" w:rsidRPr="00722B7D" w:rsidP="001A4A4E" w14:paraId="1CF878A6" w14:textId="77777777">
            <w:pPr>
              <w:jc w:val="right"/>
              <w:rPr>
                <w:rFonts w:eastAsia="Calibri"/>
                <w:b/>
                <w:bCs/>
                <w:color w:val="000000"/>
                <w:sz w:val="18"/>
                <w:szCs w:val="18"/>
              </w:rPr>
            </w:pPr>
          </w:p>
        </w:tc>
      </w:tr>
      <w:tr w14:paraId="430931CA" w14:textId="77777777" w:rsidTr="003A3DCC">
        <w:tblPrEx>
          <w:tblW w:w="0" w:type="auto"/>
          <w:tblInd w:w="-10" w:type="dxa"/>
          <w:tblLayout w:type="fixed"/>
          <w:tblCellMar>
            <w:left w:w="0" w:type="dxa"/>
            <w:right w:w="0" w:type="dxa"/>
          </w:tblCellMar>
          <w:tblLook w:val="04A0"/>
        </w:tblPrEx>
        <w:trPr>
          <w:trHeight w:val="85"/>
        </w:trPr>
        <w:tc>
          <w:tcPr>
            <w:tcW w:w="1800" w:type="dxa"/>
            <w:tcMar>
              <w:top w:w="0" w:type="dxa"/>
              <w:left w:w="108" w:type="dxa"/>
              <w:bottom w:w="0" w:type="dxa"/>
              <w:right w:w="108" w:type="dxa"/>
            </w:tcMar>
            <w:vAlign w:val="center"/>
          </w:tcPr>
          <w:p w:rsidR="00A35B05" w:rsidRPr="00722B7D" w:rsidP="001A4A4E" w14:paraId="44261FC2" w14:textId="77777777">
            <w:pPr>
              <w:rPr>
                <w:rFonts w:eastAsia="Calibri"/>
                <w:b/>
                <w:bCs/>
                <w:color w:val="000000"/>
                <w:sz w:val="18"/>
                <w:szCs w:val="18"/>
              </w:rPr>
            </w:pPr>
            <w:r w:rsidRPr="00722B7D">
              <w:rPr>
                <w:color w:val="000000" w:themeColor="text1"/>
                <w:sz w:val="18"/>
                <w:szCs w:val="18"/>
              </w:rPr>
              <w:t>Program Implementation partner staff interview guide</w:t>
            </w:r>
          </w:p>
        </w:tc>
        <w:tc>
          <w:tcPr>
            <w:tcW w:w="1260" w:type="dxa"/>
            <w:tcMar>
              <w:top w:w="0" w:type="dxa"/>
              <w:left w:w="108" w:type="dxa"/>
              <w:bottom w:w="0" w:type="dxa"/>
              <w:right w:w="108" w:type="dxa"/>
            </w:tcMar>
            <w:vAlign w:val="center"/>
          </w:tcPr>
          <w:p w:rsidR="00A35B05" w:rsidRPr="00722B7D" w:rsidP="001A4A4E" w14:paraId="059D30D2" w14:textId="77777777">
            <w:pPr>
              <w:jc w:val="center"/>
              <w:rPr>
                <w:rFonts w:eastAsia="Calibri"/>
                <w:b/>
                <w:bCs/>
                <w:color w:val="000000"/>
                <w:sz w:val="18"/>
                <w:szCs w:val="18"/>
              </w:rPr>
            </w:pPr>
            <w:r w:rsidRPr="00722B7D">
              <w:rPr>
                <w:color w:val="000000" w:themeColor="text1"/>
                <w:sz w:val="18"/>
                <w:szCs w:val="18"/>
              </w:rPr>
              <w:t>12</w:t>
            </w:r>
          </w:p>
        </w:tc>
        <w:tc>
          <w:tcPr>
            <w:tcW w:w="1125" w:type="dxa"/>
            <w:tcMar>
              <w:top w:w="0" w:type="dxa"/>
              <w:left w:w="108" w:type="dxa"/>
              <w:bottom w:w="0" w:type="dxa"/>
              <w:right w:w="108" w:type="dxa"/>
            </w:tcMar>
            <w:vAlign w:val="center"/>
          </w:tcPr>
          <w:p w:rsidR="00A35B05" w:rsidRPr="00722B7D" w:rsidP="001A4A4E" w14:paraId="7A669C83" w14:textId="77777777">
            <w:pPr>
              <w:jc w:val="center"/>
              <w:rPr>
                <w:rFonts w:eastAsia="Calibri"/>
                <w:b/>
                <w:bCs/>
                <w:color w:val="000000"/>
                <w:sz w:val="18"/>
                <w:szCs w:val="18"/>
              </w:rPr>
            </w:pPr>
            <w:r w:rsidRPr="00722B7D">
              <w:rPr>
                <w:color w:val="000000" w:themeColor="text1"/>
                <w:sz w:val="18"/>
                <w:szCs w:val="18"/>
              </w:rPr>
              <w:t>1</w:t>
            </w:r>
          </w:p>
        </w:tc>
        <w:tc>
          <w:tcPr>
            <w:tcW w:w="1166" w:type="dxa"/>
            <w:tcMar>
              <w:top w:w="0" w:type="dxa"/>
              <w:left w:w="108" w:type="dxa"/>
              <w:bottom w:w="0" w:type="dxa"/>
              <w:right w:w="108" w:type="dxa"/>
            </w:tcMar>
            <w:vAlign w:val="center"/>
          </w:tcPr>
          <w:p w:rsidR="00A35B05" w:rsidRPr="00722B7D" w:rsidP="001A4A4E" w14:paraId="4D8F3E95" w14:textId="65914B69">
            <w:pPr>
              <w:jc w:val="center"/>
              <w:rPr>
                <w:rFonts w:eastAsia="Calibri"/>
                <w:color w:val="000000"/>
                <w:sz w:val="18"/>
                <w:szCs w:val="18"/>
              </w:rPr>
            </w:pPr>
            <w:r w:rsidRPr="00722B7D">
              <w:rPr>
                <w:rFonts w:eastAsia="Calibri"/>
                <w:color w:val="000000"/>
                <w:sz w:val="18"/>
                <w:szCs w:val="18"/>
              </w:rPr>
              <w:t>.33</w:t>
            </w:r>
          </w:p>
        </w:tc>
        <w:tc>
          <w:tcPr>
            <w:tcW w:w="1083" w:type="dxa"/>
            <w:tcMar>
              <w:top w:w="0" w:type="dxa"/>
              <w:left w:w="108" w:type="dxa"/>
              <w:bottom w:w="0" w:type="dxa"/>
              <w:right w:w="108" w:type="dxa"/>
            </w:tcMar>
            <w:vAlign w:val="center"/>
          </w:tcPr>
          <w:p w:rsidR="00A35B05" w:rsidRPr="00722B7D" w:rsidP="001A4A4E" w14:paraId="0B60B0AD" w14:textId="77777777">
            <w:pPr>
              <w:jc w:val="center"/>
              <w:rPr>
                <w:rFonts w:eastAsia="Calibri"/>
                <w:b/>
                <w:bCs/>
                <w:color w:val="000000"/>
                <w:sz w:val="18"/>
                <w:szCs w:val="18"/>
              </w:rPr>
            </w:pPr>
            <w:r w:rsidRPr="00722B7D">
              <w:rPr>
                <w:color w:val="000000" w:themeColor="text1"/>
                <w:sz w:val="18"/>
                <w:szCs w:val="18"/>
              </w:rPr>
              <w:t>1</w:t>
            </w:r>
          </w:p>
        </w:tc>
        <w:tc>
          <w:tcPr>
            <w:tcW w:w="914" w:type="dxa"/>
            <w:tcMar>
              <w:top w:w="0" w:type="dxa"/>
              <w:left w:w="108" w:type="dxa"/>
              <w:bottom w:w="0" w:type="dxa"/>
              <w:right w:w="108" w:type="dxa"/>
            </w:tcMar>
            <w:vAlign w:val="center"/>
          </w:tcPr>
          <w:p w:rsidR="00A35B05" w:rsidRPr="00722B7D" w:rsidP="001A4A4E" w14:paraId="17668875" w14:textId="77777777">
            <w:pPr>
              <w:jc w:val="center"/>
              <w:rPr>
                <w:rFonts w:eastAsia="Calibri"/>
                <w:b/>
                <w:bCs/>
                <w:color w:val="000000"/>
                <w:sz w:val="18"/>
                <w:szCs w:val="18"/>
              </w:rPr>
            </w:pPr>
            <w:r w:rsidRPr="00722B7D">
              <w:rPr>
                <w:color w:val="000000" w:themeColor="text1"/>
                <w:sz w:val="18"/>
                <w:szCs w:val="18"/>
              </w:rPr>
              <w:t>4</w:t>
            </w:r>
          </w:p>
        </w:tc>
        <w:tc>
          <w:tcPr>
            <w:tcW w:w="1022" w:type="dxa"/>
            <w:tcMar>
              <w:top w:w="0" w:type="dxa"/>
              <w:left w:w="108" w:type="dxa"/>
              <w:bottom w:w="0" w:type="dxa"/>
              <w:right w:w="108" w:type="dxa"/>
            </w:tcMar>
            <w:vAlign w:val="center"/>
          </w:tcPr>
          <w:p w:rsidR="00A35B05" w:rsidRPr="00722B7D" w:rsidP="001A4A4E" w14:paraId="538DBF67" w14:textId="77777777">
            <w:pPr>
              <w:jc w:val="right"/>
              <w:rPr>
                <w:rFonts w:eastAsia="Calibri"/>
                <w:b/>
                <w:bCs/>
                <w:color w:val="000000"/>
                <w:sz w:val="18"/>
                <w:szCs w:val="18"/>
              </w:rPr>
            </w:pPr>
            <w:r w:rsidRPr="00722B7D">
              <w:rPr>
                <w:color w:val="000000" w:themeColor="text1"/>
                <w:sz w:val="18"/>
                <w:szCs w:val="18"/>
              </w:rPr>
              <w:t>$42.48</w:t>
            </w:r>
          </w:p>
        </w:tc>
        <w:tc>
          <w:tcPr>
            <w:tcW w:w="980" w:type="dxa"/>
            <w:tcMar>
              <w:top w:w="0" w:type="dxa"/>
              <w:left w:w="108" w:type="dxa"/>
              <w:bottom w:w="0" w:type="dxa"/>
              <w:right w:w="108" w:type="dxa"/>
            </w:tcMar>
            <w:vAlign w:val="center"/>
          </w:tcPr>
          <w:p w:rsidR="00A35B05" w:rsidRPr="00722B7D" w:rsidP="001A4A4E" w14:paraId="7FF4B685" w14:textId="77777777">
            <w:pPr>
              <w:spacing w:after="0" w:line="240" w:lineRule="auto"/>
              <w:jc w:val="center"/>
              <w:rPr>
                <w:color w:val="000000"/>
                <w:sz w:val="18"/>
                <w:szCs w:val="18"/>
              </w:rPr>
            </w:pPr>
            <w:r w:rsidRPr="00722B7D">
              <w:rPr>
                <w:color w:val="000000"/>
                <w:sz w:val="18"/>
                <w:szCs w:val="18"/>
              </w:rPr>
              <w:t>$169.92</w:t>
            </w:r>
          </w:p>
          <w:p w:rsidR="00A35B05" w:rsidRPr="00722B7D" w:rsidP="001A4A4E" w14:paraId="6A0AFFEE" w14:textId="77777777">
            <w:pPr>
              <w:jc w:val="right"/>
              <w:rPr>
                <w:rFonts w:eastAsia="Calibri"/>
                <w:b/>
                <w:bCs/>
                <w:color w:val="000000"/>
                <w:sz w:val="18"/>
                <w:szCs w:val="18"/>
              </w:rPr>
            </w:pPr>
          </w:p>
        </w:tc>
      </w:tr>
      <w:tr w14:paraId="51D6255D" w14:textId="77777777" w:rsidTr="003A3DCC">
        <w:tblPrEx>
          <w:tblW w:w="0" w:type="auto"/>
          <w:tblInd w:w="-10" w:type="dxa"/>
          <w:tblLayout w:type="fixed"/>
          <w:tblCellMar>
            <w:left w:w="0" w:type="dxa"/>
            <w:right w:w="0" w:type="dxa"/>
          </w:tblCellMar>
          <w:tblLook w:val="04A0"/>
        </w:tblPrEx>
        <w:trPr>
          <w:trHeight w:val="85"/>
        </w:trPr>
        <w:tc>
          <w:tcPr>
            <w:tcW w:w="1800" w:type="dxa"/>
            <w:tcMar>
              <w:top w:w="0" w:type="dxa"/>
              <w:left w:w="108" w:type="dxa"/>
              <w:bottom w:w="0" w:type="dxa"/>
              <w:right w:w="108" w:type="dxa"/>
            </w:tcMar>
            <w:vAlign w:val="center"/>
          </w:tcPr>
          <w:p w:rsidR="00A35B05" w:rsidRPr="00722B7D" w:rsidP="001A4A4E" w14:paraId="52C7F48A" w14:textId="77777777">
            <w:pPr>
              <w:rPr>
                <w:rFonts w:eastAsia="Calibri"/>
                <w:b/>
                <w:bCs/>
                <w:color w:val="000000"/>
                <w:sz w:val="18"/>
                <w:szCs w:val="18"/>
              </w:rPr>
            </w:pPr>
            <w:r w:rsidRPr="00722B7D">
              <w:rPr>
                <w:color w:val="000000" w:themeColor="text1"/>
                <w:sz w:val="18"/>
                <w:szCs w:val="18"/>
              </w:rPr>
              <w:t>Program Implementation resident interview guide</w:t>
            </w:r>
          </w:p>
        </w:tc>
        <w:tc>
          <w:tcPr>
            <w:tcW w:w="1260" w:type="dxa"/>
            <w:tcMar>
              <w:top w:w="0" w:type="dxa"/>
              <w:left w:w="108" w:type="dxa"/>
              <w:bottom w:w="0" w:type="dxa"/>
              <w:right w:w="108" w:type="dxa"/>
            </w:tcMar>
            <w:vAlign w:val="center"/>
          </w:tcPr>
          <w:p w:rsidR="00A35B05" w:rsidRPr="00722B7D" w:rsidP="001A4A4E" w14:paraId="5BFD2A06" w14:textId="77777777">
            <w:pPr>
              <w:jc w:val="center"/>
              <w:rPr>
                <w:rFonts w:eastAsia="Calibri"/>
                <w:b/>
                <w:bCs/>
                <w:color w:val="000000"/>
                <w:sz w:val="18"/>
                <w:szCs w:val="18"/>
              </w:rPr>
            </w:pPr>
            <w:r w:rsidRPr="00722B7D">
              <w:rPr>
                <w:color w:val="000000" w:themeColor="text1"/>
                <w:sz w:val="18"/>
                <w:szCs w:val="18"/>
              </w:rPr>
              <w:t>10</w:t>
            </w:r>
          </w:p>
        </w:tc>
        <w:tc>
          <w:tcPr>
            <w:tcW w:w="1125" w:type="dxa"/>
            <w:tcMar>
              <w:top w:w="0" w:type="dxa"/>
              <w:left w:w="108" w:type="dxa"/>
              <w:bottom w:w="0" w:type="dxa"/>
              <w:right w:w="108" w:type="dxa"/>
            </w:tcMar>
            <w:vAlign w:val="center"/>
          </w:tcPr>
          <w:p w:rsidR="00A35B05" w:rsidRPr="00722B7D" w:rsidP="001A4A4E" w14:paraId="1A42047E" w14:textId="77777777">
            <w:pPr>
              <w:jc w:val="center"/>
              <w:rPr>
                <w:rFonts w:eastAsia="Calibri"/>
                <w:b/>
                <w:bCs/>
                <w:color w:val="000000"/>
                <w:sz w:val="18"/>
                <w:szCs w:val="18"/>
              </w:rPr>
            </w:pPr>
            <w:r w:rsidRPr="00722B7D">
              <w:rPr>
                <w:color w:val="000000" w:themeColor="text1"/>
                <w:sz w:val="18"/>
                <w:szCs w:val="18"/>
              </w:rPr>
              <w:t>1</w:t>
            </w:r>
          </w:p>
        </w:tc>
        <w:tc>
          <w:tcPr>
            <w:tcW w:w="1166" w:type="dxa"/>
            <w:tcMar>
              <w:top w:w="0" w:type="dxa"/>
              <w:left w:w="108" w:type="dxa"/>
              <w:bottom w:w="0" w:type="dxa"/>
              <w:right w:w="108" w:type="dxa"/>
            </w:tcMar>
            <w:vAlign w:val="center"/>
          </w:tcPr>
          <w:p w:rsidR="00A35B05" w:rsidRPr="00722B7D" w:rsidP="001A4A4E" w14:paraId="71B32738" w14:textId="0A29F23F">
            <w:pPr>
              <w:jc w:val="center"/>
              <w:rPr>
                <w:rFonts w:eastAsia="Calibri"/>
                <w:color w:val="000000"/>
                <w:sz w:val="18"/>
                <w:szCs w:val="18"/>
              </w:rPr>
            </w:pPr>
            <w:r w:rsidRPr="00722B7D">
              <w:rPr>
                <w:rFonts w:eastAsia="Calibri"/>
                <w:color w:val="000000"/>
                <w:sz w:val="18"/>
                <w:szCs w:val="18"/>
              </w:rPr>
              <w:t>.33</w:t>
            </w:r>
          </w:p>
        </w:tc>
        <w:tc>
          <w:tcPr>
            <w:tcW w:w="1083" w:type="dxa"/>
            <w:tcMar>
              <w:top w:w="0" w:type="dxa"/>
              <w:left w:w="108" w:type="dxa"/>
              <w:bottom w:w="0" w:type="dxa"/>
              <w:right w:w="108" w:type="dxa"/>
            </w:tcMar>
            <w:vAlign w:val="center"/>
          </w:tcPr>
          <w:p w:rsidR="00A35B05" w:rsidRPr="00722B7D" w:rsidP="001A4A4E" w14:paraId="00F47A32" w14:textId="77777777">
            <w:pPr>
              <w:jc w:val="center"/>
              <w:rPr>
                <w:rFonts w:eastAsia="Calibri"/>
                <w:b/>
                <w:bCs/>
                <w:color w:val="000000"/>
                <w:sz w:val="18"/>
                <w:szCs w:val="18"/>
              </w:rPr>
            </w:pPr>
            <w:r w:rsidRPr="00722B7D">
              <w:rPr>
                <w:color w:val="000000" w:themeColor="text1"/>
                <w:sz w:val="18"/>
                <w:szCs w:val="18"/>
              </w:rPr>
              <w:t>1</w:t>
            </w:r>
          </w:p>
        </w:tc>
        <w:tc>
          <w:tcPr>
            <w:tcW w:w="914" w:type="dxa"/>
            <w:tcMar>
              <w:top w:w="0" w:type="dxa"/>
              <w:left w:w="108" w:type="dxa"/>
              <w:bottom w:w="0" w:type="dxa"/>
              <w:right w:w="108" w:type="dxa"/>
            </w:tcMar>
            <w:vAlign w:val="center"/>
          </w:tcPr>
          <w:p w:rsidR="00A35B05" w:rsidRPr="00722B7D" w:rsidP="001A4A4E" w14:paraId="3E00848A" w14:textId="77777777">
            <w:pPr>
              <w:jc w:val="center"/>
              <w:rPr>
                <w:rFonts w:eastAsia="Calibri"/>
                <w:b/>
                <w:bCs/>
                <w:color w:val="000000"/>
                <w:sz w:val="18"/>
                <w:szCs w:val="18"/>
              </w:rPr>
            </w:pPr>
            <w:r w:rsidRPr="00722B7D">
              <w:rPr>
                <w:color w:val="000000"/>
                <w:sz w:val="18"/>
                <w:szCs w:val="18"/>
              </w:rPr>
              <w:t>3.33</w:t>
            </w:r>
          </w:p>
        </w:tc>
        <w:tc>
          <w:tcPr>
            <w:tcW w:w="1022" w:type="dxa"/>
            <w:tcMar>
              <w:top w:w="0" w:type="dxa"/>
              <w:left w:w="108" w:type="dxa"/>
              <w:bottom w:w="0" w:type="dxa"/>
              <w:right w:w="108" w:type="dxa"/>
            </w:tcMar>
            <w:vAlign w:val="center"/>
          </w:tcPr>
          <w:p w:rsidR="00A35B05" w:rsidRPr="00722B7D" w:rsidP="001A4A4E" w14:paraId="34E97AB3" w14:textId="77777777">
            <w:pPr>
              <w:jc w:val="right"/>
              <w:rPr>
                <w:rFonts w:eastAsia="Calibri"/>
                <w:b/>
                <w:bCs/>
                <w:color w:val="000000"/>
                <w:sz w:val="18"/>
                <w:szCs w:val="18"/>
              </w:rPr>
            </w:pPr>
            <w:r w:rsidRPr="00722B7D">
              <w:rPr>
                <w:color w:val="000000" w:themeColor="text1"/>
                <w:sz w:val="18"/>
                <w:szCs w:val="18"/>
              </w:rPr>
              <w:t>$10.31</w:t>
            </w:r>
          </w:p>
        </w:tc>
        <w:tc>
          <w:tcPr>
            <w:tcW w:w="980" w:type="dxa"/>
            <w:tcMar>
              <w:top w:w="0" w:type="dxa"/>
              <w:left w:w="108" w:type="dxa"/>
              <w:bottom w:w="0" w:type="dxa"/>
              <w:right w:w="108" w:type="dxa"/>
            </w:tcMar>
            <w:vAlign w:val="center"/>
          </w:tcPr>
          <w:p w:rsidR="00A35B05" w:rsidRPr="00722B7D" w:rsidP="001A4A4E" w14:paraId="7C14FECA" w14:textId="77777777">
            <w:pPr>
              <w:spacing w:after="0" w:line="240" w:lineRule="auto"/>
              <w:jc w:val="center"/>
              <w:rPr>
                <w:color w:val="000000"/>
                <w:sz w:val="18"/>
                <w:szCs w:val="18"/>
              </w:rPr>
            </w:pPr>
            <w:r w:rsidRPr="00722B7D">
              <w:rPr>
                <w:color w:val="000000"/>
                <w:sz w:val="18"/>
                <w:szCs w:val="18"/>
              </w:rPr>
              <w:t>$34.37</w:t>
            </w:r>
          </w:p>
          <w:p w:rsidR="00A35B05" w:rsidRPr="00722B7D" w:rsidP="001A4A4E" w14:paraId="4C7F7C73" w14:textId="77777777">
            <w:pPr>
              <w:jc w:val="right"/>
              <w:rPr>
                <w:rFonts w:eastAsia="Calibri"/>
                <w:b/>
                <w:bCs/>
                <w:color w:val="000000"/>
                <w:sz w:val="18"/>
                <w:szCs w:val="18"/>
              </w:rPr>
            </w:pPr>
          </w:p>
        </w:tc>
      </w:tr>
      <w:tr w14:paraId="257B55F7" w14:textId="77777777" w:rsidTr="003A3DCC">
        <w:tblPrEx>
          <w:tblW w:w="0" w:type="auto"/>
          <w:tblInd w:w="-10" w:type="dxa"/>
          <w:tblLayout w:type="fixed"/>
          <w:tblCellMar>
            <w:left w:w="0" w:type="dxa"/>
            <w:right w:w="0" w:type="dxa"/>
          </w:tblCellMar>
          <w:tblLook w:val="04A0"/>
        </w:tblPrEx>
        <w:trPr>
          <w:trHeight w:val="85"/>
        </w:trPr>
        <w:tc>
          <w:tcPr>
            <w:tcW w:w="1800" w:type="dxa"/>
            <w:tcMar>
              <w:top w:w="0" w:type="dxa"/>
              <w:left w:w="108" w:type="dxa"/>
              <w:bottom w:w="0" w:type="dxa"/>
              <w:right w:w="108" w:type="dxa"/>
            </w:tcMar>
            <w:vAlign w:val="center"/>
          </w:tcPr>
          <w:p w:rsidR="00A35B05" w:rsidRPr="00722B7D" w:rsidP="001A4A4E" w14:paraId="1F64359B" w14:textId="77777777">
            <w:pPr>
              <w:rPr>
                <w:rFonts w:eastAsia="Calibri"/>
                <w:b/>
                <w:bCs/>
                <w:color w:val="000000"/>
                <w:sz w:val="18"/>
                <w:szCs w:val="18"/>
              </w:rPr>
            </w:pPr>
            <w:r w:rsidRPr="00722B7D">
              <w:rPr>
                <w:color w:val="000000" w:themeColor="text1"/>
                <w:sz w:val="18"/>
                <w:szCs w:val="18"/>
              </w:rPr>
              <w:t>Rent Reporting Informed Consent Form</w:t>
            </w:r>
          </w:p>
        </w:tc>
        <w:tc>
          <w:tcPr>
            <w:tcW w:w="1260" w:type="dxa"/>
            <w:tcMar>
              <w:top w:w="0" w:type="dxa"/>
              <w:left w:w="108" w:type="dxa"/>
              <w:bottom w:w="0" w:type="dxa"/>
              <w:right w:w="108" w:type="dxa"/>
            </w:tcMar>
          </w:tcPr>
          <w:p w:rsidR="00A35B05" w:rsidRPr="00722B7D" w:rsidP="001A4A4E" w14:paraId="62694676" w14:textId="77777777">
            <w:pPr>
              <w:jc w:val="center"/>
              <w:rPr>
                <w:rFonts w:eastAsia="Calibri"/>
                <w:b/>
                <w:bCs/>
                <w:color w:val="000000"/>
                <w:sz w:val="18"/>
                <w:szCs w:val="18"/>
              </w:rPr>
            </w:pPr>
            <w:r w:rsidRPr="00722B7D">
              <w:rPr>
                <w:color w:val="000000" w:themeColor="text1"/>
                <w:sz w:val="18"/>
                <w:szCs w:val="18"/>
              </w:rPr>
              <w:t>300</w:t>
            </w:r>
          </w:p>
        </w:tc>
        <w:tc>
          <w:tcPr>
            <w:tcW w:w="1125" w:type="dxa"/>
            <w:tcMar>
              <w:top w:w="0" w:type="dxa"/>
              <w:left w:w="108" w:type="dxa"/>
              <w:bottom w:w="0" w:type="dxa"/>
              <w:right w:w="108" w:type="dxa"/>
            </w:tcMar>
          </w:tcPr>
          <w:p w:rsidR="00A35B05" w:rsidRPr="00722B7D" w:rsidP="001A4A4E" w14:paraId="7BC0FDD2" w14:textId="77777777">
            <w:pPr>
              <w:jc w:val="center"/>
              <w:rPr>
                <w:rFonts w:eastAsia="Calibri"/>
                <w:b/>
                <w:bCs/>
                <w:color w:val="000000"/>
                <w:sz w:val="18"/>
                <w:szCs w:val="18"/>
              </w:rPr>
            </w:pPr>
            <w:r w:rsidRPr="00722B7D">
              <w:rPr>
                <w:color w:val="000000" w:themeColor="text1"/>
                <w:sz w:val="18"/>
                <w:szCs w:val="18"/>
              </w:rPr>
              <w:t>1</w:t>
            </w:r>
          </w:p>
        </w:tc>
        <w:tc>
          <w:tcPr>
            <w:tcW w:w="1166" w:type="dxa"/>
            <w:tcMar>
              <w:top w:w="0" w:type="dxa"/>
              <w:left w:w="108" w:type="dxa"/>
              <w:bottom w:w="0" w:type="dxa"/>
              <w:right w:w="108" w:type="dxa"/>
            </w:tcMar>
            <w:vAlign w:val="center"/>
          </w:tcPr>
          <w:p w:rsidR="00A35B05" w:rsidRPr="00722B7D" w:rsidP="001A4A4E" w14:paraId="35D66324" w14:textId="2BCF2B37">
            <w:pPr>
              <w:jc w:val="center"/>
              <w:rPr>
                <w:rFonts w:eastAsia="Calibri"/>
                <w:color w:val="000000"/>
                <w:sz w:val="18"/>
                <w:szCs w:val="18"/>
              </w:rPr>
            </w:pPr>
            <w:r w:rsidRPr="00722B7D">
              <w:rPr>
                <w:rFonts w:eastAsia="Calibri"/>
                <w:color w:val="000000"/>
                <w:sz w:val="18"/>
                <w:szCs w:val="18"/>
              </w:rPr>
              <w:t>.33</w:t>
            </w:r>
          </w:p>
        </w:tc>
        <w:tc>
          <w:tcPr>
            <w:tcW w:w="1083" w:type="dxa"/>
            <w:tcMar>
              <w:top w:w="0" w:type="dxa"/>
              <w:left w:w="108" w:type="dxa"/>
              <w:bottom w:w="0" w:type="dxa"/>
              <w:right w:w="108" w:type="dxa"/>
            </w:tcMar>
          </w:tcPr>
          <w:p w:rsidR="00A35B05" w:rsidRPr="00722B7D" w:rsidP="001A4A4E" w14:paraId="7CA62DAC" w14:textId="77777777">
            <w:pPr>
              <w:jc w:val="center"/>
              <w:rPr>
                <w:rFonts w:eastAsia="Calibri"/>
                <w:b/>
                <w:bCs/>
                <w:color w:val="000000"/>
                <w:sz w:val="18"/>
                <w:szCs w:val="18"/>
              </w:rPr>
            </w:pPr>
            <w:r w:rsidRPr="00722B7D">
              <w:rPr>
                <w:color w:val="000000" w:themeColor="text1"/>
                <w:sz w:val="18"/>
                <w:szCs w:val="18"/>
              </w:rPr>
              <w:t>.25</w:t>
            </w:r>
          </w:p>
        </w:tc>
        <w:tc>
          <w:tcPr>
            <w:tcW w:w="914" w:type="dxa"/>
            <w:tcMar>
              <w:top w:w="0" w:type="dxa"/>
              <w:left w:w="108" w:type="dxa"/>
              <w:bottom w:w="0" w:type="dxa"/>
              <w:right w:w="108" w:type="dxa"/>
            </w:tcMar>
          </w:tcPr>
          <w:p w:rsidR="00A35B05" w:rsidRPr="00722B7D" w:rsidP="001A4A4E" w14:paraId="0E331846" w14:textId="77777777">
            <w:pPr>
              <w:jc w:val="center"/>
              <w:rPr>
                <w:rFonts w:eastAsia="Calibri"/>
                <w:b/>
                <w:bCs/>
                <w:color w:val="000000"/>
                <w:sz w:val="18"/>
                <w:szCs w:val="18"/>
              </w:rPr>
            </w:pPr>
            <w:r w:rsidRPr="00722B7D">
              <w:rPr>
                <w:color w:val="000000" w:themeColor="text1"/>
                <w:sz w:val="18"/>
                <w:szCs w:val="18"/>
              </w:rPr>
              <w:t>25</w:t>
            </w:r>
          </w:p>
        </w:tc>
        <w:tc>
          <w:tcPr>
            <w:tcW w:w="1022" w:type="dxa"/>
            <w:tcMar>
              <w:top w:w="0" w:type="dxa"/>
              <w:left w:w="108" w:type="dxa"/>
              <w:bottom w:w="0" w:type="dxa"/>
              <w:right w:w="108" w:type="dxa"/>
            </w:tcMar>
          </w:tcPr>
          <w:p w:rsidR="00A35B05" w:rsidRPr="00722B7D" w:rsidP="001A4A4E" w14:paraId="5936E169" w14:textId="77777777">
            <w:pPr>
              <w:jc w:val="right"/>
              <w:rPr>
                <w:rFonts w:eastAsia="Calibri"/>
                <w:b/>
                <w:bCs/>
                <w:color w:val="000000"/>
                <w:sz w:val="18"/>
                <w:szCs w:val="18"/>
              </w:rPr>
            </w:pPr>
            <w:r w:rsidRPr="00722B7D">
              <w:rPr>
                <w:color w:val="000000" w:themeColor="text1"/>
                <w:sz w:val="18"/>
                <w:szCs w:val="18"/>
              </w:rPr>
              <w:t>$11.05</w:t>
            </w:r>
          </w:p>
        </w:tc>
        <w:tc>
          <w:tcPr>
            <w:tcW w:w="980" w:type="dxa"/>
            <w:tcMar>
              <w:top w:w="0" w:type="dxa"/>
              <w:left w:w="108" w:type="dxa"/>
              <w:bottom w:w="0" w:type="dxa"/>
              <w:right w:w="108" w:type="dxa"/>
            </w:tcMar>
            <w:vAlign w:val="center"/>
          </w:tcPr>
          <w:p w:rsidR="00A35B05" w:rsidRPr="00722B7D" w:rsidP="001A4A4E" w14:paraId="29726AE3" w14:textId="77777777">
            <w:pPr>
              <w:jc w:val="right"/>
              <w:rPr>
                <w:rFonts w:eastAsia="Calibri"/>
                <w:b/>
                <w:bCs/>
                <w:color w:val="000000"/>
                <w:sz w:val="18"/>
                <w:szCs w:val="18"/>
              </w:rPr>
            </w:pPr>
            <w:r w:rsidRPr="00722B7D">
              <w:rPr>
                <w:color w:val="000000" w:themeColor="text1"/>
                <w:sz w:val="18"/>
                <w:szCs w:val="18"/>
              </w:rPr>
              <w:t>$276.25</w:t>
            </w:r>
          </w:p>
        </w:tc>
      </w:tr>
      <w:tr w14:paraId="23E87128" w14:textId="77777777" w:rsidTr="003A3DCC">
        <w:tblPrEx>
          <w:tblW w:w="0" w:type="auto"/>
          <w:tblInd w:w="-10" w:type="dxa"/>
          <w:tblLayout w:type="fixed"/>
          <w:tblCellMar>
            <w:left w:w="0" w:type="dxa"/>
            <w:right w:w="0" w:type="dxa"/>
          </w:tblCellMar>
          <w:tblLook w:val="04A0"/>
        </w:tblPrEx>
        <w:trPr>
          <w:trHeight w:val="85"/>
        </w:trPr>
        <w:tc>
          <w:tcPr>
            <w:tcW w:w="1800" w:type="dxa"/>
            <w:tcMar>
              <w:top w:w="0" w:type="dxa"/>
              <w:left w:w="108" w:type="dxa"/>
              <w:bottom w:w="0" w:type="dxa"/>
              <w:right w:w="108" w:type="dxa"/>
            </w:tcMar>
            <w:vAlign w:val="center"/>
          </w:tcPr>
          <w:p w:rsidR="00A35B05" w:rsidRPr="00722B7D" w:rsidP="001A4A4E" w14:paraId="079DB3DC" w14:textId="77777777">
            <w:pPr>
              <w:rPr>
                <w:rFonts w:eastAsia="Calibri"/>
                <w:b/>
                <w:bCs/>
                <w:color w:val="000000"/>
                <w:sz w:val="18"/>
                <w:szCs w:val="18"/>
              </w:rPr>
            </w:pPr>
            <w:r w:rsidRPr="00722B7D">
              <w:rPr>
                <w:color w:val="000000" w:themeColor="text1"/>
                <w:sz w:val="18"/>
                <w:szCs w:val="18"/>
              </w:rPr>
              <w:t>Rent Reporting Baseline Information Form</w:t>
            </w:r>
          </w:p>
        </w:tc>
        <w:tc>
          <w:tcPr>
            <w:tcW w:w="1260" w:type="dxa"/>
            <w:tcMar>
              <w:top w:w="0" w:type="dxa"/>
              <w:left w:w="108" w:type="dxa"/>
              <w:bottom w:w="0" w:type="dxa"/>
              <w:right w:w="108" w:type="dxa"/>
            </w:tcMar>
            <w:vAlign w:val="center"/>
          </w:tcPr>
          <w:p w:rsidR="00A35B05" w:rsidRPr="00722B7D" w:rsidP="001A4A4E" w14:paraId="4809AB34" w14:textId="77777777">
            <w:pPr>
              <w:jc w:val="center"/>
              <w:rPr>
                <w:rFonts w:eastAsia="Calibri"/>
                <w:b/>
                <w:bCs/>
                <w:color w:val="000000"/>
                <w:sz w:val="18"/>
                <w:szCs w:val="18"/>
              </w:rPr>
            </w:pPr>
            <w:r w:rsidRPr="00722B7D">
              <w:rPr>
                <w:color w:val="000000" w:themeColor="text1"/>
                <w:sz w:val="18"/>
                <w:szCs w:val="18"/>
              </w:rPr>
              <w:t>300</w:t>
            </w:r>
          </w:p>
        </w:tc>
        <w:tc>
          <w:tcPr>
            <w:tcW w:w="1125" w:type="dxa"/>
            <w:tcMar>
              <w:top w:w="0" w:type="dxa"/>
              <w:left w:w="108" w:type="dxa"/>
              <w:bottom w:w="0" w:type="dxa"/>
              <w:right w:w="108" w:type="dxa"/>
            </w:tcMar>
            <w:vAlign w:val="center"/>
          </w:tcPr>
          <w:p w:rsidR="00A35B05" w:rsidRPr="00722B7D" w:rsidP="001A4A4E" w14:paraId="35F9D125" w14:textId="77777777">
            <w:pPr>
              <w:jc w:val="center"/>
              <w:rPr>
                <w:rFonts w:eastAsia="Calibri"/>
                <w:b/>
                <w:bCs/>
                <w:color w:val="000000"/>
                <w:sz w:val="18"/>
                <w:szCs w:val="18"/>
              </w:rPr>
            </w:pPr>
            <w:r w:rsidRPr="00722B7D">
              <w:rPr>
                <w:color w:val="000000" w:themeColor="text1"/>
                <w:sz w:val="18"/>
                <w:szCs w:val="18"/>
              </w:rPr>
              <w:t>1</w:t>
            </w:r>
          </w:p>
        </w:tc>
        <w:tc>
          <w:tcPr>
            <w:tcW w:w="1166" w:type="dxa"/>
            <w:tcMar>
              <w:top w:w="0" w:type="dxa"/>
              <w:left w:w="108" w:type="dxa"/>
              <w:bottom w:w="0" w:type="dxa"/>
              <w:right w:w="108" w:type="dxa"/>
            </w:tcMar>
            <w:vAlign w:val="center"/>
          </w:tcPr>
          <w:p w:rsidR="00A35B05" w:rsidRPr="00722B7D" w:rsidP="001A4A4E" w14:paraId="4BD93775" w14:textId="7C37E504">
            <w:pPr>
              <w:jc w:val="center"/>
              <w:rPr>
                <w:rFonts w:eastAsia="Calibri"/>
                <w:color w:val="000000"/>
                <w:sz w:val="18"/>
                <w:szCs w:val="18"/>
              </w:rPr>
            </w:pPr>
            <w:r w:rsidRPr="00722B7D">
              <w:rPr>
                <w:rFonts w:eastAsia="Calibri"/>
                <w:color w:val="000000"/>
                <w:sz w:val="18"/>
                <w:szCs w:val="18"/>
              </w:rPr>
              <w:t>.33</w:t>
            </w:r>
          </w:p>
        </w:tc>
        <w:tc>
          <w:tcPr>
            <w:tcW w:w="1083" w:type="dxa"/>
            <w:tcMar>
              <w:top w:w="0" w:type="dxa"/>
              <w:left w:w="108" w:type="dxa"/>
              <w:bottom w:w="0" w:type="dxa"/>
              <w:right w:w="108" w:type="dxa"/>
            </w:tcMar>
            <w:vAlign w:val="center"/>
          </w:tcPr>
          <w:p w:rsidR="00A35B05" w:rsidRPr="00722B7D" w:rsidP="001A4A4E" w14:paraId="67315420" w14:textId="77777777">
            <w:pPr>
              <w:jc w:val="center"/>
              <w:rPr>
                <w:rFonts w:eastAsia="Calibri"/>
                <w:b/>
                <w:bCs/>
                <w:color w:val="000000"/>
                <w:sz w:val="18"/>
                <w:szCs w:val="18"/>
              </w:rPr>
            </w:pPr>
            <w:r w:rsidRPr="00722B7D">
              <w:rPr>
                <w:color w:val="000000" w:themeColor="text1"/>
                <w:sz w:val="18"/>
                <w:szCs w:val="18"/>
              </w:rPr>
              <w:t>.25</w:t>
            </w:r>
          </w:p>
        </w:tc>
        <w:tc>
          <w:tcPr>
            <w:tcW w:w="914" w:type="dxa"/>
            <w:tcMar>
              <w:top w:w="0" w:type="dxa"/>
              <w:left w:w="108" w:type="dxa"/>
              <w:bottom w:w="0" w:type="dxa"/>
              <w:right w:w="108" w:type="dxa"/>
            </w:tcMar>
            <w:vAlign w:val="center"/>
          </w:tcPr>
          <w:p w:rsidR="00A35B05" w:rsidRPr="00722B7D" w:rsidP="001A4A4E" w14:paraId="6A753A8C" w14:textId="77777777">
            <w:pPr>
              <w:jc w:val="center"/>
              <w:rPr>
                <w:rFonts w:eastAsia="Calibri"/>
                <w:b/>
                <w:bCs/>
                <w:color w:val="000000"/>
                <w:sz w:val="18"/>
                <w:szCs w:val="18"/>
              </w:rPr>
            </w:pPr>
            <w:r w:rsidRPr="00722B7D">
              <w:rPr>
                <w:color w:val="000000" w:themeColor="text1"/>
                <w:sz w:val="18"/>
                <w:szCs w:val="18"/>
              </w:rPr>
              <w:t>25</w:t>
            </w:r>
          </w:p>
        </w:tc>
        <w:tc>
          <w:tcPr>
            <w:tcW w:w="1022" w:type="dxa"/>
            <w:tcMar>
              <w:top w:w="0" w:type="dxa"/>
              <w:left w:w="108" w:type="dxa"/>
              <w:bottom w:w="0" w:type="dxa"/>
              <w:right w:w="108" w:type="dxa"/>
            </w:tcMar>
            <w:vAlign w:val="center"/>
          </w:tcPr>
          <w:p w:rsidR="00A35B05" w:rsidRPr="00722B7D" w:rsidP="001A4A4E" w14:paraId="2E53EE6B" w14:textId="77777777">
            <w:pPr>
              <w:jc w:val="right"/>
              <w:rPr>
                <w:rFonts w:eastAsia="Calibri"/>
                <w:b/>
                <w:bCs/>
                <w:color w:val="000000"/>
                <w:sz w:val="18"/>
                <w:szCs w:val="18"/>
              </w:rPr>
            </w:pPr>
            <w:r w:rsidRPr="00722B7D">
              <w:rPr>
                <w:color w:val="000000" w:themeColor="text1"/>
                <w:sz w:val="18"/>
                <w:szCs w:val="18"/>
              </w:rPr>
              <w:t>$11.05</w:t>
            </w:r>
          </w:p>
        </w:tc>
        <w:tc>
          <w:tcPr>
            <w:tcW w:w="980" w:type="dxa"/>
            <w:tcMar>
              <w:top w:w="0" w:type="dxa"/>
              <w:left w:w="108" w:type="dxa"/>
              <w:bottom w:w="0" w:type="dxa"/>
              <w:right w:w="108" w:type="dxa"/>
            </w:tcMar>
            <w:vAlign w:val="center"/>
          </w:tcPr>
          <w:p w:rsidR="00A35B05" w:rsidRPr="00722B7D" w:rsidP="001A4A4E" w14:paraId="64EE4560" w14:textId="77777777">
            <w:pPr>
              <w:jc w:val="right"/>
              <w:rPr>
                <w:rFonts w:eastAsia="Calibri"/>
                <w:b/>
                <w:bCs/>
                <w:color w:val="000000"/>
                <w:sz w:val="18"/>
                <w:szCs w:val="18"/>
              </w:rPr>
            </w:pPr>
            <w:r w:rsidRPr="00722B7D">
              <w:rPr>
                <w:color w:val="000000" w:themeColor="text1"/>
                <w:sz w:val="18"/>
                <w:szCs w:val="18"/>
              </w:rPr>
              <w:t>$276.25</w:t>
            </w:r>
          </w:p>
        </w:tc>
      </w:tr>
      <w:tr w14:paraId="44EABBE7" w14:textId="77777777" w:rsidTr="003A3DCC">
        <w:tblPrEx>
          <w:tblW w:w="0" w:type="auto"/>
          <w:tblInd w:w="-10" w:type="dxa"/>
          <w:tblLayout w:type="fixed"/>
          <w:tblCellMar>
            <w:left w:w="0" w:type="dxa"/>
            <w:right w:w="0" w:type="dxa"/>
          </w:tblCellMar>
          <w:tblLook w:val="04A0"/>
        </w:tblPrEx>
        <w:trPr>
          <w:trHeight w:val="85"/>
        </w:trPr>
        <w:tc>
          <w:tcPr>
            <w:tcW w:w="1800" w:type="dxa"/>
            <w:tcMar>
              <w:top w:w="0" w:type="dxa"/>
              <w:left w:w="108" w:type="dxa"/>
              <w:bottom w:w="0" w:type="dxa"/>
              <w:right w:w="108" w:type="dxa"/>
            </w:tcMar>
            <w:vAlign w:val="center"/>
          </w:tcPr>
          <w:p w:rsidR="00A35B05" w:rsidRPr="00722B7D" w:rsidP="001A4A4E" w14:paraId="2749D9FC" w14:textId="77777777">
            <w:pPr>
              <w:rPr>
                <w:rFonts w:eastAsia="Calibri"/>
                <w:b/>
                <w:bCs/>
                <w:color w:val="000000"/>
                <w:sz w:val="18"/>
                <w:szCs w:val="18"/>
              </w:rPr>
            </w:pPr>
            <w:bookmarkStart w:id="2" w:name="_Hlk135751164"/>
            <w:r w:rsidRPr="00722B7D">
              <w:rPr>
                <w:color w:val="000000" w:themeColor="text1"/>
                <w:sz w:val="18"/>
                <w:szCs w:val="18"/>
              </w:rPr>
              <w:t xml:space="preserve">Rent Reporting Qualitative Interview </w:t>
            </w:r>
            <w:bookmarkEnd w:id="2"/>
            <w:r w:rsidRPr="00722B7D">
              <w:rPr>
                <w:color w:val="000000" w:themeColor="text1"/>
                <w:sz w:val="18"/>
                <w:szCs w:val="18"/>
              </w:rPr>
              <w:t>Guide 1</w:t>
            </w:r>
          </w:p>
        </w:tc>
        <w:tc>
          <w:tcPr>
            <w:tcW w:w="1260" w:type="dxa"/>
            <w:tcMar>
              <w:top w:w="0" w:type="dxa"/>
              <w:left w:w="108" w:type="dxa"/>
              <w:bottom w:w="0" w:type="dxa"/>
              <w:right w:w="108" w:type="dxa"/>
            </w:tcMar>
            <w:vAlign w:val="center"/>
          </w:tcPr>
          <w:p w:rsidR="00A35B05" w:rsidRPr="00722B7D" w:rsidP="001A4A4E" w14:paraId="573C52D7" w14:textId="77777777">
            <w:pPr>
              <w:jc w:val="center"/>
              <w:rPr>
                <w:rFonts w:eastAsia="Calibri"/>
                <w:b/>
                <w:bCs/>
                <w:color w:val="000000"/>
                <w:sz w:val="18"/>
                <w:szCs w:val="18"/>
              </w:rPr>
            </w:pPr>
            <w:r w:rsidRPr="00722B7D">
              <w:rPr>
                <w:color w:val="000000" w:themeColor="text1"/>
                <w:sz w:val="18"/>
                <w:szCs w:val="18"/>
              </w:rPr>
              <w:t>40</w:t>
            </w:r>
          </w:p>
        </w:tc>
        <w:tc>
          <w:tcPr>
            <w:tcW w:w="1125" w:type="dxa"/>
            <w:tcMar>
              <w:top w:w="0" w:type="dxa"/>
              <w:left w:w="108" w:type="dxa"/>
              <w:bottom w:w="0" w:type="dxa"/>
              <w:right w:w="108" w:type="dxa"/>
            </w:tcMar>
            <w:vAlign w:val="center"/>
          </w:tcPr>
          <w:p w:rsidR="00A35B05" w:rsidRPr="00722B7D" w:rsidP="001A4A4E" w14:paraId="4042E815" w14:textId="77777777">
            <w:pPr>
              <w:jc w:val="center"/>
              <w:rPr>
                <w:rFonts w:eastAsia="Calibri"/>
                <w:b/>
                <w:bCs/>
                <w:color w:val="000000"/>
                <w:sz w:val="18"/>
                <w:szCs w:val="18"/>
              </w:rPr>
            </w:pPr>
            <w:r w:rsidRPr="00722B7D">
              <w:rPr>
                <w:color w:val="000000"/>
                <w:sz w:val="18"/>
                <w:szCs w:val="18"/>
              </w:rPr>
              <w:t>1</w:t>
            </w:r>
          </w:p>
        </w:tc>
        <w:tc>
          <w:tcPr>
            <w:tcW w:w="1166" w:type="dxa"/>
            <w:tcMar>
              <w:top w:w="0" w:type="dxa"/>
              <w:left w:w="108" w:type="dxa"/>
              <w:bottom w:w="0" w:type="dxa"/>
              <w:right w:w="108" w:type="dxa"/>
            </w:tcMar>
            <w:vAlign w:val="center"/>
          </w:tcPr>
          <w:p w:rsidR="00A35B05" w:rsidRPr="00722B7D" w:rsidP="001A4A4E" w14:paraId="61CE4FA2" w14:textId="7AB111CF">
            <w:pPr>
              <w:jc w:val="center"/>
              <w:rPr>
                <w:rFonts w:eastAsia="Calibri"/>
                <w:color w:val="000000"/>
                <w:sz w:val="18"/>
                <w:szCs w:val="18"/>
              </w:rPr>
            </w:pPr>
            <w:r w:rsidRPr="00722B7D">
              <w:rPr>
                <w:rFonts w:eastAsia="Calibri"/>
                <w:color w:val="000000"/>
                <w:sz w:val="18"/>
                <w:szCs w:val="18"/>
              </w:rPr>
              <w:t>.6667</w:t>
            </w:r>
          </w:p>
        </w:tc>
        <w:tc>
          <w:tcPr>
            <w:tcW w:w="1083" w:type="dxa"/>
            <w:tcMar>
              <w:top w:w="0" w:type="dxa"/>
              <w:left w:w="108" w:type="dxa"/>
              <w:bottom w:w="0" w:type="dxa"/>
              <w:right w:w="108" w:type="dxa"/>
            </w:tcMar>
            <w:vAlign w:val="center"/>
          </w:tcPr>
          <w:p w:rsidR="00A35B05" w:rsidRPr="00722B7D" w:rsidP="001A4A4E" w14:paraId="42D1EA2B" w14:textId="77777777">
            <w:pPr>
              <w:jc w:val="center"/>
              <w:rPr>
                <w:rFonts w:eastAsia="Calibri"/>
                <w:b/>
                <w:bCs/>
                <w:color w:val="000000"/>
                <w:sz w:val="18"/>
                <w:szCs w:val="18"/>
              </w:rPr>
            </w:pPr>
            <w:r w:rsidRPr="00722B7D">
              <w:rPr>
                <w:color w:val="000000"/>
                <w:sz w:val="18"/>
                <w:szCs w:val="18"/>
              </w:rPr>
              <w:t>1.5</w:t>
            </w:r>
          </w:p>
        </w:tc>
        <w:tc>
          <w:tcPr>
            <w:tcW w:w="914" w:type="dxa"/>
            <w:tcMar>
              <w:top w:w="0" w:type="dxa"/>
              <w:left w:w="108" w:type="dxa"/>
              <w:bottom w:w="0" w:type="dxa"/>
              <w:right w:w="108" w:type="dxa"/>
            </w:tcMar>
            <w:vAlign w:val="center"/>
          </w:tcPr>
          <w:p w:rsidR="00A35B05" w:rsidRPr="00722B7D" w:rsidP="001A4A4E" w14:paraId="0A11582E" w14:textId="77777777">
            <w:pPr>
              <w:jc w:val="center"/>
              <w:rPr>
                <w:rFonts w:eastAsia="Calibri"/>
                <w:b/>
                <w:bCs/>
                <w:color w:val="000000"/>
                <w:sz w:val="18"/>
                <w:szCs w:val="18"/>
              </w:rPr>
            </w:pPr>
            <w:r w:rsidRPr="00722B7D">
              <w:rPr>
                <w:color w:val="000000"/>
                <w:sz w:val="18"/>
                <w:szCs w:val="18"/>
              </w:rPr>
              <w:t>40</w:t>
            </w:r>
          </w:p>
        </w:tc>
        <w:tc>
          <w:tcPr>
            <w:tcW w:w="1022" w:type="dxa"/>
            <w:tcMar>
              <w:top w:w="0" w:type="dxa"/>
              <w:left w:w="108" w:type="dxa"/>
              <w:bottom w:w="0" w:type="dxa"/>
              <w:right w:w="108" w:type="dxa"/>
            </w:tcMar>
            <w:vAlign w:val="center"/>
          </w:tcPr>
          <w:p w:rsidR="00A35B05" w:rsidRPr="00722B7D" w:rsidP="001A4A4E" w14:paraId="5670870B" w14:textId="77777777">
            <w:pPr>
              <w:jc w:val="right"/>
              <w:rPr>
                <w:rFonts w:eastAsia="Calibri"/>
                <w:b/>
                <w:bCs/>
                <w:color w:val="000000"/>
                <w:sz w:val="18"/>
                <w:szCs w:val="18"/>
              </w:rPr>
            </w:pPr>
            <w:r w:rsidRPr="00722B7D">
              <w:rPr>
                <w:color w:val="000000" w:themeColor="text1"/>
                <w:sz w:val="18"/>
                <w:szCs w:val="18"/>
              </w:rPr>
              <w:t>$11.05</w:t>
            </w:r>
          </w:p>
        </w:tc>
        <w:tc>
          <w:tcPr>
            <w:tcW w:w="980" w:type="dxa"/>
            <w:tcMar>
              <w:top w:w="0" w:type="dxa"/>
              <w:left w:w="108" w:type="dxa"/>
              <w:bottom w:w="0" w:type="dxa"/>
              <w:right w:w="108" w:type="dxa"/>
            </w:tcMar>
            <w:vAlign w:val="center"/>
          </w:tcPr>
          <w:p w:rsidR="00A35B05" w:rsidRPr="00722B7D" w:rsidP="001A4A4E" w14:paraId="35F9A2E3" w14:textId="77777777">
            <w:pPr>
              <w:jc w:val="right"/>
              <w:rPr>
                <w:rFonts w:eastAsia="Calibri"/>
                <w:b/>
                <w:bCs/>
                <w:color w:val="000000"/>
                <w:sz w:val="18"/>
                <w:szCs w:val="18"/>
              </w:rPr>
            </w:pPr>
            <w:r w:rsidRPr="00722B7D">
              <w:rPr>
                <w:color w:val="000000" w:themeColor="text1"/>
                <w:sz w:val="18"/>
                <w:szCs w:val="18"/>
              </w:rPr>
              <w:t>$442.00</w:t>
            </w:r>
          </w:p>
        </w:tc>
      </w:tr>
      <w:tr w14:paraId="32B3FCA5" w14:textId="77777777" w:rsidTr="003A3DCC">
        <w:tblPrEx>
          <w:tblW w:w="0" w:type="auto"/>
          <w:tblInd w:w="-10" w:type="dxa"/>
          <w:tblLayout w:type="fixed"/>
          <w:tblCellMar>
            <w:left w:w="0" w:type="dxa"/>
            <w:right w:w="0" w:type="dxa"/>
          </w:tblCellMar>
          <w:tblLook w:val="04A0"/>
        </w:tblPrEx>
        <w:trPr>
          <w:trHeight w:val="85"/>
        </w:trPr>
        <w:tc>
          <w:tcPr>
            <w:tcW w:w="1800" w:type="dxa"/>
            <w:tcMar>
              <w:top w:w="0" w:type="dxa"/>
              <w:left w:w="108" w:type="dxa"/>
              <w:bottom w:w="0" w:type="dxa"/>
              <w:right w:w="108" w:type="dxa"/>
            </w:tcMar>
            <w:vAlign w:val="center"/>
          </w:tcPr>
          <w:p w:rsidR="00A35B05" w:rsidRPr="00722B7D" w:rsidP="001A4A4E" w14:paraId="7C3753CC" w14:textId="77777777">
            <w:pPr>
              <w:rPr>
                <w:rFonts w:eastAsia="Calibri"/>
                <w:b/>
                <w:bCs/>
                <w:color w:val="000000"/>
                <w:sz w:val="18"/>
                <w:szCs w:val="18"/>
              </w:rPr>
            </w:pPr>
            <w:r w:rsidRPr="00722B7D">
              <w:rPr>
                <w:color w:val="000000" w:themeColor="text1"/>
                <w:sz w:val="18"/>
                <w:szCs w:val="18"/>
              </w:rPr>
              <w:t>Rent Reporting Qualitative Interview Guide 2</w:t>
            </w:r>
          </w:p>
        </w:tc>
        <w:tc>
          <w:tcPr>
            <w:tcW w:w="1260" w:type="dxa"/>
            <w:tcMar>
              <w:top w:w="0" w:type="dxa"/>
              <w:left w:w="108" w:type="dxa"/>
              <w:bottom w:w="0" w:type="dxa"/>
              <w:right w:w="108" w:type="dxa"/>
            </w:tcMar>
            <w:vAlign w:val="center"/>
          </w:tcPr>
          <w:p w:rsidR="00A35B05" w:rsidRPr="00722B7D" w:rsidP="001A4A4E" w14:paraId="7196B2DD" w14:textId="77777777">
            <w:pPr>
              <w:jc w:val="center"/>
              <w:rPr>
                <w:rFonts w:eastAsia="Calibri"/>
                <w:b/>
                <w:bCs/>
                <w:color w:val="000000"/>
                <w:sz w:val="18"/>
                <w:szCs w:val="18"/>
              </w:rPr>
            </w:pPr>
            <w:r w:rsidRPr="00722B7D">
              <w:rPr>
                <w:color w:val="000000" w:themeColor="text1"/>
                <w:sz w:val="18"/>
                <w:szCs w:val="18"/>
              </w:rPr>
              <w:t>40</w:t>
            </w:r>
          </w:p>
        </w:tc>
        <w:tc>
          <w:tcPr>
            <w:tcW w:w="1125" w:type="dxa"/>
            <w:tcMar>
              <w:top w:w="0" w:type="dxa"/>
              <w:left w:w="108" w:type="dxa"/>
              <w:bottom w:w="0" w:type="dxa"/>
              <w:right w:w="108" w:type="dxa"/>
            </w:tcMar>
            <w:vAlign w:val="center"/>
          </w:tcPr>
          <w:p w:rsidR="00A35B05" w:rsidRPr="00722B7D" w:rsidP="001A4A4E" w14:paraId="3D58CEEF" w14:textId="77777777">
            <w:pPr>
              <w:jc w:val="center"/>
              <w:rPr>
                <w:rFonts w:eastAsia="Calibri"/>
                <w:b/>
                <w:bCs/>
                <w:color w:val="000000"/>
                <w:sz w:val="18"/>
                <w:szCs w:val="18"/>
              </w:rPr>
            </w:pPr>
            <w:r w:rsidRPr="00722B7D">
              <w:rPr>
                <w:color w:val="000000" w:themeColor="text1"/>
                <w:sz w:val="18"/>
                <w:szCs w:val="18"/>
              </w:rPr>
              <w:t>1</w:t>
            </w:r>
          </w:p>
        </w:tc>
        <w:tc>
          <w:tcPr>
            <w:tcW w:w="1166" w:type="dxa"/>
            <w:tcMar>
              <w:top w:w="0" w:type="dxa"/>
              <w:left w:w="108" w:type="dxa"/>
              <w:bottom w:w="0" w:type="dxa"/>
              <w:right w:w="108" w:type="dxa"/>
            </w:tcMar>
            <w:vAlign w:val="center"/>
          </w:tcPr>
          <w:p w:rsidR="00A35B05" w:rsidRPr="00722B7D" w:rsidP="001A4A4E" w14:paraId="13076A0A" w14:textId="4DB23A5A">
            <w:pPr>
              <w:jc w:val="center"/>
              <w:rPr>
                <w:rFonts w:eastAsia="Calibri"/>
                <w:color w:val="000000"/>
                <w:sz w:val="18"/>
                <w:szCs w:val="18"/>
              </w:rPr>
            </w:pPr>
            <w:r w:rsidRPr="00722B7D">
              <w:rPr>
                <w:rFonts w:eastAsia="Calibri"/>
                <w:color w:val="000000"/>
                <w:sz w:val="18"/>
                <w:szCs w:val="18"/>
              </w:rPr>
              <w:t>.6667</w:t>
            </w:r>
          </w:p>
        </w:tc>
        <w:tc>
          <w:tcPr>
            <w:tcW w:w="1083" w:type="dxa"/>
            <w:tcMar>
              <w:top w:w="0" w:type="dxa"/>
              <w:left w:w="108" w:type="dxa"/>
              <w:bottom w:w="0" w:type="dxa"/>
              <w:right w:w="108" w:type="dxa"/>
            </w:tcMar>
            <w:vAlign w:val="center"/>
          </w:tcPr>
          <w:p w:rsidR="00A35B05" w:rsidRPr="00722B7D" w:rsidP="001A4A4E" w14:paraId="1E7BB27D" w14:textId="77777777">
            <w:pPr>
              <w:jc w:val="center"/>
              <w:rPr>
                <w:rFonts w:eastAsia="Calibri"/>
                <w:b/>
                <w:bCs/>
                <w:color w:val="000000"/>
                <w:sz w:val="18"/>
                <w:szCs w:val="18"/>
              </w:rPr>
            </w:pPr>
            <w:r w:rsidRPr="00722B7D">
              <w:rPr>
                <w:color w:val="000000" w:themeColor="text1"/>
                <w:sz w:val="18"/>
                <w:szCs w:val="18"/>
              </w:rPr>
              <w:t>1.5</w:t>
            </w:r>
          </w:p>
        </w:tc>
        <w:tc>
          <w:tcPr>
            <w:tcW w:w="914" w:type="dxa"/>
            <w:tcMar>
              <w:top w:w="0" w:type="dxa"/>
              <w:left w:w="108" w:type="dxa"/>
              <w:bottom w:w="0" w:type="dxa"/>
              <w:right w:w="108" w:type="dxa"/>
            </w:tcMar>
            <w:vAlign w:val="center"/>
          </w:tcPr>
          <w:p w:rsidR="00A35B05" w:rsidRPr="00722B7D" w:rsidP="001A4A4E" w14:paraId="0A7B2960" w14:textId="77777777">
            <w:pPr>
              <w:jc w:val="center"/>
              <w:rPr>
                <w:rFonts w:eastAsia="Calibri"/>
                <w:b/>
                <w:bCs/>
                <w:color w:val="000000"/>
                <w:sz w:val="18"/>
                <w:szCs w:val="18"/>
              </w:rPr>
            </w:pPr>
            <w:r w:rsidRPr="00722B7D">
              <w:rPr>
                <w:color w:val="000000" w:themeColor="text1"/>
                <w:sz w:val="18"/>
                <w:szCs w:val="18"/>
              </w:rPr>
              <w:t>40</w:t>
            </w:r>
          </w:p>
        </w:tc>
        <w:tc>
          <w:tcPr>
            <w:tcW w:w="1022" w:type="dxa"/>
            <w:tcMar>
              <w:top w:w="0" w:type="dxa"/>
              <w:left w:w="108" w:type="dxa"/>
              <w:bottom w:w="0" w:type="dxa"/>
              <w:right w:w="108" w:type="dxa"/>
            </w:tcMar>
            <w:vAlign w:val="center"/>
          </w:tcPr>
          <w:p w:rsidR="00A35B05" w:rsidRPr="00722B7D" w:rsidP="001A4A4E" w14:paraId="31EEF1B0" w14:textId="77777777">
            <w:pPr>
              <w:jc w:val="right"/>
              <w:rPr>
                <w:rFonts w:eastAsia="Calibri"/>
                <w:b/>
                <w:bCs/>
                <w:color w:val="000000"/>
                <w:sz w:val="18"/>
                <w:szCs w:val="18"/>
              </w:rPr>
            </w:pPr>
            <w:r w:rsidRPr="00722B7D">
              <w:rPr>
                <w:color w:val="000000" w:themeColor="text1"/>
                <w:sz w:val="18"/>
                <w:szCs w:val="18"/>
              </w:rPr>
              <w:t>$11.05</w:t>
            </w:r>
          </w:p>
        </w:tc>
        <w:tc>
          <w:tcPr>
            <w:tcW w:w="980" w:type="dxa"/>
            <w:tcMar>
              <w:top w:w="0" w:type="dxa"/>
              <w:left w:w="108" w:type="dxa"/>
              <w:bottom w:w="0" w:type="dxa"/>
              <w:right w:w="108" w:type="dxa"/>
            </w:tcMar>
            <w:vAlign w:val="center"/>
          </w:tcPr>
          <w:p w:rsidR="00A35B05" w:rsidRPr="00722B7D" w:rsidP="001A4A4E" w14:paraId="36BAAE0D" w14:textId="77777777">
            <w:pPr>
              <w:jc w:val="right"/>
              <w:rPr>
                <w:rFonts w:eastAsia="Calibri"/>
                <w:b/>
                <w:bCs/>
                <w:color w:val="000000"/>
                <w:sz w:val="18"/>
                <w:szCs w:val="18"/>
              </w:rPr>
            </w:pPr>
            <w:r w:rsidRPr="00722B7D">
              <w:rPr>
                <w:color w:val="000000" w:themeColor="text1"/>
                <w:sz w:val="18"/>
                <w:szCs w:val="18"/>
              </w:rPr>
              <w:t>$442.00</w:t>
            </w:r>
          </w:p>
        </w:tc>
      </w:tr>
      <w:tr w14:paraId="76356EB5" w14:textId="77777777" w:rsidTr="001A4A4E">
        <w:tblPrEx>
          <w:tblW w:w="0" w:type="auto"/>
          <w:tblInd w:w="-10" w:type="dxa"/>
          <w:tblLayout w:type="fixed"/>
          <w:tblCellMar>
            <w:left w:w="0" w:type="dxa"/>
            <w:right w:w="0" w:type="dxa"/>
          </w:tblCellMar>
          <w:tblLook w:val="04A0"/>
        </w:tblPrEx>
        <w:trPr>
          <w:trHeight w:val="85"/>
        </w:trPr>
        <w:tc>
          <w:tcPr>
            <w:tcW w:w="9350" w:type="dxa"/>
            <w:gridSpan w:val="8"/>
            <w:tcMar>
              <w:top w:w="0" w:type="dxa"/>
              <w:left w:w="108" w:type="dxa"/>
              <w:bottom w:w="0" w:type="dxa"/>
              <w:right w:w="108" w:type="dxa"/>
            </w:tcMar>
            <w:vAlign w:val="center"/>
          </w:tcPr>
          <w:p w:rsidR="00A35B05" w:rsidRPr="00722B7D" w:rsidP="001A4A4E" w14:paraId="3DF00A34" w14:textId="77777777">
            <w:pPr>
              <w:spacing w:after="0"/>
              <w:jc w:val="center"/>
              <w:rPr>
                <w:sz w:val="18"/>
                <w:szCs w:val="18"/>
              </w:rPr>
            </w:pPr>
            <w:r w:rsidRPr="00722B7D">
              <w:rPr>
                <w:sz w:val="18"/>
                <w:szCs w:val="18"/>
              </w:rPr>
              <w:t>Total burden annualized over 3-year period.</w:t>
            </w:r>
          </w:p>
          <w:p w:rsidR="00A35B05" w:rsidRPr="00722B7D" w:rsidP="001A4A4E" w14:paraId="3CC43293" w14:textId="77777777">
            <w:pPr>
              <w:spacing w:after="0"/>
              <w:rPr>
                <w:sz w:val="18"/>
                <w:szCs w:val="18"/>
              </w:rPr>
            </w:pPr>
            <w:r w:rsidRPr="00722B7D">
              <w:rPr>
                <w:sz w:val="18"/>
                <w:szCs w:val="18"/>
              </w:rPr>
              <w:t xml:space="preserve">The average hourly rate for HUD-assisted households is calculated as follows: (1) For the Program Implementation resident interview guide we averaged the minimum wages of all states with a PHA implementing a Savings Account option, which includes California, Florida, Massachusetts, New Hampshire, Ohio, Oregon, and South Carolina, and calculate the average hourly minimum wage as $10.31. (2) For the interviews that apply only to PHAs in the rent reporting study, we averaged the minimum wages of all states with a PHA in the rent reporting study, which includes Connecticut, Florida, Idaho, Illinois, Maine, and New Hampshire, and </w:t>
            </w:r>
            <w:r w:rsidRPr="00722B7D">
              <w:rPr>
                <w:sz w:val="18"/>
                <w:szCs w:val="18"/>
              </w:rPr>
              <w:t>and</w:t>
            </w:r>
            <w:r w:rsidRPr="00722B7D">
              <w:rPr>
                <w:sz w:val="18"/>
                <w:szCs w:val="18"/>
              </w:rPr>
              <w:t xml:space="preserve"> calculate the average hourly minimum wage as $11.05.</w:t>
            </w:r>
          </w:p>
          <w:p w:rsidR="00A35B05" w:rsidRPr="00722B7D" w:rsidP="001A4A4E" w14:paraId="4DD50865" w14:textId="77777777">
            <w:pPr>
              <w:spacing w:after="0"/>
              <w:rPr>
                <w:sz w:val="18"/>
                <w:szCs w:val="18"/>
              </w:rPr>
            </w:pPr>
            <w:r w:rsidRPr="00722B7D">
              <w:rPr>
                <w:sz w:val="18"/>
                <w:szCs w:val="18"/>
              </w:rPr>
              <w:t xml:space="preserve">The average hourly rate for PHA staff ($57.60) is based on the average employer costs for State and Local Government employees. (Source: </w:t>
            </w:r>
            <w:hyperlink r:id="rId9" w:history="1">
              <w:r w:rsidRPr="00722B7D">
                <w:rPr>
                  <w:sz w:val="18"/>
                  <w:szCs w:val="18"/>
                </w:rPr>
                <w:t>Bureau of Labor Statistics, December 2022 Employer Costs for Employee Compensation</w:t>
              </w:r>
            </w:hyperlink>
            <w:r w:rsidRPr="00722B7D">
              <w:rPr>
                <w:sz w:val="18"/>
                <w:szCs w:val="18"/>
              </w:rPr>
              <w:t>)</w:t>
            </w:r>
          </w:p>
          <w:p w:rsidR="00A35B05" w:rsidRPr="00722B7D" w:rsidP="001A4A4E" w14:paraId="00AFE01D" w14:textId="77777777">
            <w:pPr>
              <w:spacing w:after="0"/>
              <w:rPr>
                <w:color w:val="000000" w:themeColor="text1"/>
                <w:sz w:val="18"/>
                <w:szCs w:val="18"/>
              </w:rPr>
            </w:pPr>
            <w:r w:rsidRPr="00722B7D">
              <w:rPr>
                <w:sz w:val="18"/>
                <w:szCs w:val="18"/>
              </w:rPr>
              <w:t>The average hourly rate for partner organization staff ($42.48) is based on the average employer costs for civilian employees. (Source: Bureau of Labor Statistics, December 2022 Employer Costs for Employee Compensation)</w:t>
            </w:r>
          </w:p>
        </w:tc>
      </w:tr>
      <w:bookmarkEnd w:id="1"/>
    </w:tbl>
    <w:p w:rsidR="00BF330E" w:rsidP="00A35B05" w14:paraId="4D74734A" w14:textId="77777777">
      <w:pPr>
        <w:keepLines/>
        <w:tabs>
          <w:tab w:val="left" w:pos="360"/>
        </w:tabs>
        <w:overflowPunct w:val="0"/>
        <w:autoSpaceDE w:val="0"/>
        <w:autoSpaceDN w:val="0"/>
        <w:adjustRightInd w:val="0"/>
        <w:spacing w:after="80" w:line="240" w:lineRule="auto"/>
        <w:textAlignment w:val="baseline"/>
        <w:rPr>
          <w:b/>
          <w:bCs/>
          <w:sz w:val="24"/>
          <w:szCs w:val="24"/>
        </w:rPr>
      </w:pPr>
    </w:p>
    <w:p w:rsidR="00F00F7C" w:rsidRPr="00F00F7C" w:rsidP="00F00F7C" w14:paraId="766A70B0" w14:textId="77777777">
      <w:pPr>
        <w:keepLines/>
        <w:tabs>
          <w:tab w:val="left" w:pos="360"/>
        </w:tabs>
        <w:overflowPunct w:val="0"/>
        <w:autoSpaceDE w:val="0"/>
        <w:autoSpaceDN w:val="0"/>
        <w:adjustRightInd w:val="0"/>
        <w:spacing w:after="80" w:line="240" w:lineRule="auto"/>
        <w:ind w:left="360" w:hanging="360"/>
        <w:textAlignment w:val="baseline"/>
        <w:rPr>
          <w:b/>
          <w:bCs/>
          <w:sz w:val="24"/>
          <w:szCs w:val="24"/>
        </w:rPr>
      </w:pPr>
      <w:r w:rsidRPr="00F00F7C">
        <w:rPr>
          <w:b/>
          <w:bCs/>
          <w:sz w:val="24"/>
          <w:szCs w:val="24"/>
        </w:rPr>
        <w:t>13.</w:t>
      </w:r>
      <w:r w:rsidRPr="00F00F7C">
        <w:rPr>
          <w:b/>
          <w:bCs/>
          <w:sz w:val="24"/>
          <w:szCs w:val="24"/>
        </w:rPr>
        <w:tab/>
        <w:t>Provide an estimate of the total annual cost burden to respondents or recordkeepers resulting from the collection of information. (Do not include the cost of any hour burden already reflected on the burden worksheet shown in Items 12 and 14).</w:t>
      </w:r>
    </w:p>
    <w:p w:rsidR="00F00F7C" w:rsidRPr="00F00F7C" w:rsidP="00F00F7C" w14:paraId="6C7200C7" w14:textId="77777777">
      <w:pPr>
        <w:keepLines/>
        <w:tabs>
          <w:tab w:val="left" w:pos="360"/>
        </w:tabs>
        <w:overflowPunct w:val="0"/>
        <w:autoSpaceDE w:val="0"/>
        <w:autoSpaceDN w:val="0"/>
        <w:adjustRightInd w:val="0"/>
        <w:spacing w:after="80" w:line="240" w:lineRule="auto"/>
        <w:ind w:left="480"/>
        <w:textAlignment w:val="baseline"/>
        <w:rPr>
          <w:b/>
          <w:bCs/>
          <w:sz w:val="24"/>
          <w:szCs w:val="24"/>
        </w:rPr>
      </w:pPr>
      <w:r w:rsidRPr="00F00F7C">
        <w:rPr>
          <w:b/>
          <w:bCs/>
          <w:sz w:val="24"/>
          <w:szCs w:val="24"/>
        </w:rPr>
        <w:t xml:space="preserve"> </w:t>
      </w:r>
    </w:p>
    <w:p w:rsidR="00F00F7C" w:rsidRPr="00F00F7C" w:rsidP="00F00F7C" w14:paraId="6C94C169" w14:textId="77777777">
      <w:pPr>
        <w:keepLines/>
        <w:tabs>
          <w:tab w:val="left" w:pos="360"/>
        </w:tabs>
        <w:overflowPunct w:val="0"/>
        <w:autoSpaceDE w:val="0"/>
        <w:autoSpaceDN w:val="0"/>
        <w:adjustRightInd w:val="0"/>
        <w:spacing w:after="80" w:line="240" w:lineRule="auto"/>
        <w:ind w:left="720" w:hanging="240"/>
        <w:textAlignment w:val="baseline"/>
        <w:rPr>
          <w:b/>
          <w:bCs/>
          <w:sz w:val="24"/>
          <w:szCs w:val="24"/>
        </w:rPr>
      </w:pPr>
      <w:r w:rsidRPr="00F00F7C">
        <w:rPr>
          <w:b/>
          <w:bCs/>
          <w:sz w:val="24"/>
          <w:szCs w:val="24"/>
        </w:rPr>
        <w:t>•</w:t>
      </w:r>
      <w:r w:rsidRPr="00F00F7C">
        <w:rPr>
          <w:b/>
          <w:bCs/>
          <w:sz w:val="24"/>
          <w:szCs w:val="24"/>
        </w:rPr>
        <w:tab/>
        <w:t xml:space="preserve">The cost estimate should be split into two components: (a) a total capital and start-up cost component (annualized over its expected useful life); and (b) a total operation and maintenance purchase of services component.  The estimates should </w:t>
      </w:r>
      <w:r w:rsidRPr="00F00F7C">
        <w:rPr>
          <w:b/>
          <w:bCs/>
          <w:sz w:val="24"/>
          <w:szCs w:val="24"/>
        </w:rPr>
        <w:t>take into account</w:t>
      </w:r>
      <w:r w:rsidRPr="00F00F7C">
        <w:rPr>
          <w:b/>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F00F7C">
        <w:rPr>
          <w:b/>
          <w:bCs/>
          <w:sz w:val="24"/>
          <w:szCs w:val="24"/>
        </w:rPr>
        <w:t>time period</w:t>
      </w:r>
      <w:r w:rsidRPr="00F00F7C">
        <w:rPr>
          <w:b/>
          <w:bCs/>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F00F7C">
        <w:rPr>
          <w:b/>
          <w:bCs/>
          <w:sz w:val="24"/>
          <w:szCs w:val="24"/>
        </w:rPr>
        <w:t>facilities;</w:t>
      </w:r>
      <w:r w:rsidRPr="00F00F7C">
        <w:rPr>
          <w:b/>
          <w:bCs/>
          <w:sz w:val="24"/>
          <w:szCs w:val="24"/>
        </w:rPr>
        <w:t xml:space="preserve"> </w:t>
      </w:r>
    </w:p>
    <w:p w:rsidR="00F00F7C" w:rsidRPr="00F00F7C" w:rsidP="00F00F7C" w14:paraId="21CCC15F" w14:textId="77777777">
      <w:pPr>
        <w:keepLines/>
        <w:tabs>
          <w:tab w:val="left" w:pos="360"/>
        </w:tabs>
        <w:overflowPunct w:val="0"/>
        <w:autoSpaceDE w:val="0"/>
        <w:autoSpaceDN w:val="0"/>
        <w:adjustRightInd w:val="0"/>
        <w:spacing w:after="80" w:line="240" w:lineRule="auto"/>
        <w:ind w:left="720" w:hanging="240"/>
        <w:textAlignment w:val="baseline"/>
        <w:rPr>
          <w:b/>
          <w:bCs/>
          <w:sz w:val="24"/>
          <w:szCs w:val="24"/>
        </w:rPr>
      </w:pPr>
      <w:r w:rsidRPr="00F00F7C">
        <w:rPr>
          <w:b/>
          <w:bCs/>
          <w:sz w:val="24"/>
          <w:szCs w:val="24"/>
        </w:rPr>
        <w:t>•</w:t>
      </w:r>
      <w:r w:rsidRPr="00F00F7C">
        <w:rPr>
          <w:b/>
          <w:bCs/>
          <w:sz w:val="24"/>
          <w:szCs w:val="24"/>
        </w:rPr>
        <w:tab/>
        <w:t xml:space="preserve">If cost estimates are expected to vary widely, agencies should present ranges of cost burdens and explain the reasons for the variance.  The cost of purchasing or contracting </w:t>
      </w:r>
      <w:r w:rsidRPr="00F00F7C">
        <w:rPr>
          <w:b/>
          <w:bCs/>
          <w:sz w:val="24"/>
          <w:szCs w:val="24"/>
        </w:rPr>
        <w:t>out</w:t>
      </w:r>
      <w:r w:rsidRPr="00F00F7C">
        <w:rPr>
          <w:b/>
          <w:bCs/>
          <w:sz w:val="24"/>
          <w:szCs w:val="24"/>
        </w:rPr>
        <w:t xml:space="preserve">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BF330E" w:rsidP="00F00F7C" w14:paraId="169C4836" w14:textId="47232677">
      <w:pPr>
        <w:keepLines/>
        <w:tabs>
          <w:tab w:val="left" w:pos="360"/>
        </w:tabs>
        <w:overflowPunct w:val="0"/>
        <w:autoSpaceDE w:val="0"/>
        <w:autoSpaceDN w:val="0"/>
        <w:adjustRightInd w:val="0"/>
        <w:spacing w:after="80" w:line="240" w:lineRule="auto"/>
        <w:ind w:left="720" w:hanging="240"/>
        <w:textAlignment w:val="baseline"/>
        <w:rPr>
          <w:b/>
          <w:bCs/>
          <w:sz w:val="24"/>
          <w:szCs w:val="24"/>
        </w:rPr>
      </w:pPr>
      <w:r w:rsidRPr="00F00F7C">
        <w:rPr>
          <w:b/>
          <w:bCs/>
          <w:sz w:val="24"/>
          <w:szCs w:val="24"/>
        </w:rPr>
        <w:t>•</w:t>
      </w:r>
      <w:r w:rsidRPr="00F00F7C">
        <w:rPr>
          <w:b/>
          <w:bCs/>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A5E53" w:rsidP="004A5E53" w14:paraId="2E97077D" w14:textId="77777777">
      <w:pPr>
        <w:keepLines/>
        <w:tabs>
          <w:tab w:val="left" w:pos="360"/>
        </w:tabs>
        <w:overflowPunct w:val="0"/>
        <w:autoSpaceDE w:val="0"/>
        <w:autoSpaceDN w:val="0"/>
        <w:adjustRightInd w:val="0"/>
        <w:spacing w:after="80" w:line="240" w:lineRule="auto"/>
        <w:textAlignment w:val="baseline"/>
        <w:rPr>
          <w:b/>
          <w:bCs/>
          <w:sz w:val="24"/>
          <w:szCs w:val="24"/>
        </w:rPr>
      </w:pPr>
    </w:p>
    <w:p w:rsidR="00777F35" w:rsidRPr="00B03A98" w:rsidP="00777F35" w14:paraId="5B3615DD" w14:textId="77777777">
      <w:r w:rsidRPr="71FAEE06">
        <w:t xml:space="preserve">This data collection effort involves no recordkeeping or reporting costs for respondents other than the time burden to respond to questions during the interview described in item A.12 above. </w:t>
      </w:r>
    </w:p>
    <w:p w:rsidR="00BF330E" w:rsidRPr="00F3241A" w:rsidP="00BF330E" w14:paraId="41B38BC6" w14:textId="77777777">
      <w:pPr>
        <w:keepLines/>
        <w:tabs>
          <w:tab w:val="left" w:pos="360"/>
        </w:tabs>
        <w:spacing w:after="80"/>
        <w:ind w:left="360" w:hanging="360"/>
        <w:rPr>
          <w:b/>
          <w:bCs/>
          <w:sz w:val="24"/>
          <w:szCs w:val="24"/>
        </w:rPr>
      </w:pPr>
      <w:r w:rsidRPr="00F3241A">
        <w:rPr>
          <w:b/>
          <w:bCs/>
          <w:sz w:val="24"/>
          <w:szCs w:val="24"/>
        </w:rPr>
        <w:t>14.</w:t>
      </w:r>
      <w:r w:rsidRPr="00F3241A">
        <w:rPr>
          <w:b/>
          <w:bCs/>
          <w:sz w:val="24"/>
          <w:szCs w:val="24"/>
        </w:rPr>
        <w:tab/>
        <w:t xml:space="preserve">Provide estimates of annualized </w:t>
      </w:r>
      <w:r w:rsidRPr="00F3241A">
        <w:rPr>
          <w:b/>
          <w:bCs/>
          <w:sz w:val="24"/>
          <w:szCs w:val="24"/>
        </w:rPr>
        <w:t>cost</w:t>
      </w:r>
      <w:r w:rsidRPr="00F3241A">
        <w:rPr>
          <w:b/>
          <w:bCs/>
          <w:sz w:val="24"/>
          <w:szCs w:val="24"/>
        </w:rPr>
        <w:t xml:space="preserve">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F330E" w:rsidP="00417460" w14:paraId="271E8271" w14:textId="353AF4BC">
      <w:r>
        <w:t xml:space="preserve">The data collection will be carried out under </w:t>
      </w:r>
      <w:r>
        <w:t>a HUD</w:t>
      </w:r>
      <w:r>
        <w:t xml:space="preserve"> contract with Abt Associates. HUD estimates the costs to the Federal government for collection and analysis of the data collected with the instruments submitted with this PRA package to be approximately $303,297  per year for three years. The professional labor cost estimates for this information collection include project management staff, data analysts, survey methodologists, qualitative interviewers, and IT support staff.  The professional labor includes the labor hours to enroll participants into the study, collect the data, and analyze the data collected for the first phase of the study.  The labor cost estimates are based only on data collection and analysis tasks for the first phase of the study (see Exhibit A-1).  (Estimates do not include data collection for the second phase of the study, nor do the estimates include study tasks such as revising the Research Design and Data Collection and Analysis Plan, monthly reports, biweekly meetings, writing research reports, and presenting findings.) Exhibit A-5 summarizes the cost breakdown per year.  Estimated costs reflect the estimated project budget based on the description of data collection and analysis tasks in the project scope of work and current GSA labor rates, Federal per diem allowances for travel, GSA translation\interpretation contracted prices, and standard practice for compensating respondents for research interviews. </w:t>
      </w:r>
    </w:p>
    <w:p w:rsidR="0078297D" w:rsidRPr="0044434F" w:rsidP="0078297D" w14:paraId="6A75A8C9" w14:textId="77777777">
      <w:r w:rsidRPr="71FAEE06">
        <w:rPr>
          <w:b/>
          <w:bCs/>
        </w:rPr>
        <w:t xml:space="preserve">Exhibit </w:t>
      </w:r>
      <w:r>
        <w:rPr>
          <w:b/>
          <w:bCs/>
        </w:rPr>
        <w:t>A-5</w:t>
      </w:r>
      <w:r w:rsidRPr="71FAEE06">
        <w:rPr>
          <w:b/>
          <w:bCs/>
        </w:rPr>
        <w:t>: Estimated Costs Per Year</w:t>
      </w:r>
    </w:p>
    <w:tbl>
      <w:tblPr>
        <w:tblStyle w:val="ListTable31"/>
        <w:tblW w:w="5000" w:type="pct"/>
        <w:tblLook w:val="0000"/>
      </w:tblPr>
      <w:tblGrid>
        <w:gridCol w:w="3116"/>
        <w:gridCol w:w="3117"/>
        <w:gridCol w:w="3117"/>
      </w:tblGrid>
      <w:tr w14:paraId="66CDCBB1" w14:textId="77777777" w:rsidTr="0078297D">
        <w:tblPrEx>
          <w:tblW w:w="5000" w:type="pct"/>
          <w:tblLook w:val="0000"/>
        </w:tblPrEx>
        <w:trPr>
          <w:trHeight w:val="566"/>
        </w:trPr>
        <w:tc>
          <w:tcPr>
            <w:tcW w:w="1666" w:type="pct"/>
            <w:shd w:val="clear" w:color="auto" w:fill="auto"/>
            <w:vAlign w:val="center"/>
          </w:tcPr>
          <w:p w:rsidR="0078297D" w:rsidRPr="00EB7EB8" w:rsidP="008A0E69" w14:paraId="3ED9110B" w14:textId="77777777">
            <w:pPr>
              <w:rPr>
                <w:b/>
                <w:bCs/>
              </w:rPr>
            </w:pPr>
            <w:r w:rsidRPr="71FAEE06">
              <w:rPr>
                <w:rFonts w:eastAsia="Calibri"/>
                <w:b/>
                <w:bCs/>
              </w:rPr>
              <w:t>Activity</w:t>
            </w:r>
          </w:p>
        </w:tc>
        <w:tc>
          <w:tcPr>
            <w:tcW w:w="1667" w:type="pct"/>
            <w:shd w:val="clear" w:color="auto" w:fill="auto"/>
            <w:vAlign w:val="center"/>
          </w:tcPr>
          <w:p w:rsidR="0078297D" w:rsidRPr="00EB7EB8" w:rsidP="008A0E69" w14:paraId="286FADA9" w14:textId="77777777">
            <w:pPr>
              <w:rPr>
                <w:b/>
                <w:bCs/>
              </w:rPr>
            </w:pPr>
            <w:r w:rsidRPr="71FAEE06">
              <w:rPr>
                <w:rFonts w:eastAsia="Calibri"/>
                <w:b/>
                <w:bCs/>
              </w:rPr>
              <w:t>Estimated Cost to Federal Government</w:t>
            </w:r>
          </w:p>
        </w:tc>
        <w:tc>
          <w:tcPr>
            <w:tcW w:w="1667" w:type="pct"/>
            <w:shd w:val="clear" w:color="auto" w:fill="auto"/>
          </w:tcPr>
          <w:p w:rsidR="0078297D" w:rsidRPr="00EB7EB8" w:rsidP="008A0E69" w14:paraId="5F65FDFD" w14:textId="77777777">
            <w:pPr>
              <w:rPr>
                <w:rFonts w:eastAsia="Calibri"/>
                <w:b/>
                <w:bCs/>
              </w:rPr>
            </w:pPr>
            <w:r w:rsidRPr="71FAEE06">
              <w:rPr>
                <w:rFonts w:eastAsia="Calibri"/>
                <w:b/>
                <w:bCs/>
              </w:rPr>
              <w:t>Total Labor Hours for Information Collection</w:t>
            </w:r>
          </w:p>
        </w:tc>
      </w:tr>
      <w:tr w14:paraId="783B188D" w14:textId="77777777" w:rsidTr="008A0E69">
        <w:tblPrEx>
          <w:tblW w:w="5000" w:type="pct"/>
          <w:tblLook w:val="0000"/>
        </w:tblPrEx>
        <w:trPr>
          <w:trHeight w:val="359"/>
        </w:trPr>
        <w:tc>
          <w:tcPr>
            <w:tcW w:w="1666" w:type="pct"/>
            <w:vAlign w:val="center"/>
          </w:tcPr>
          <w:p w:rsidR="0078297D" w:rsidRPr="001D1584" w:rsidP="008A0E69" w14:paraId="000C3E04" w14:textId="77777777">
            <w:r w:rsidRPr="71FAEE06">
              <w:t>Professional labor</w:t>
            </w:r>
          </w:p>
        </w:tc>
        <w:tc>
          <w:tcPr>
            <w:tcW w:w="1667" w:type="pct"/>
            <w:vAlign w:val="center"/>
          </w:tcPr>
          <w:p w:rsidR="0078297D" w:rsidRPr="001D1584" w:rsidP="008A0E69" w14:paraId="70B3C477" w14:textId="77777777">
            <w:pPr>
              <w:jc w:val="center"/>
            </w:pPr>
            <w:r>
              <w:t xml:space="preserve">$281,819 </w:t>
            </w:r>
          </w:p>
        </w:tc>
        <w:tc>
          <w:tcPr>
            <w:tcW w:w="1667" w:type="pct"/>
            <w:vAlign w:val="center"/>
          </w:tcPr>
          <w:p w:rsidR="0078297D" w:rsidRPr="001D1584" w:rsidP="008A0E69" w14:paraId="3B84FF18" w14:textId="77777777">
            <w:pPr>
              <w:jc w:val="center"/>
            </w:pPr>
            <w:r>
              <w:t xml:space="preserve">1,297 </w:t>
            </w:r>
          </w:p>
        </w:tc>
      </w:tr>
      <w:tr w14:paraId="554BEC22" w14:textId="77777777" w:rsidTr="008A0E69">
        <w:tblPrEx>
          <w:tblW w:w="5000" w:type="pct"/>
          <w:tblLook w:val="0000"/>
        </w:tblPrEx>
        <w:trPr>
          <w:trHeight w:val="521"/>
        </w:trPr>
        <w:tc>
          <w:tcPr>
            <w:tcW w:w="1666" w:type="pct"/>
            <w:shd w:val="clear" w:color="auto" w:fill="auto"/>
            <w:vAlign w:val="center"/>
          </w:tcPr>
          <w:p w:rsidR="0078297D" w:rsidRPr="71FAEE06" w:rsidP="008A0E69" w14:paraId="0E29DB74" w14:textId="77777777">
            <w:r>
              <w:t>Travel</w:t>
            </w:r>
          </w:p>
        </w:tc>
        <w:tc>
          <w:tcPr>
            <w:tcW w:w="1667" w:type="pct"/>
            <w:shd w:val="clear" w:color="auto" w:fill="auto"/>
            <w:vAlign w:val="center"/>
          </w:tcPr>
          <w:p w:rsidR="0078297D" w:rsidP="008A0E69" w14:paraId="76D498ED" w14:textId="77777777">
            <w:pPr>
              <w:jc w:val="center"/>
            </w:pPr>
            <w:r>
              <w:t>$ 10,533</w:t>
            </w:r>
          </w:p>
        </w:tc>
        <w:tc>
          <w:tcPr>
            <w:tcW w:w="1667" w:type="pct"/>
            <w:shd w:val="clear" w:color="auto" w:fill="auto"/>
            <w:vAlign w:val="center"/>
          </w:tcPr>
          <w:p w:rsidR="0078297D" w:rsidRPr="71FAEE06" w:rsidP="008A0E69" w14:paraId="54FBA73F" w14:textId="77777777">
            <w:pPr>
              <w:jc w:val="center"/>
            </w:pPr>
            <w:r>
              <w:t>N\A</w:t>
            </w:r>
          </w:p>
        </w:tc>
      </w:tr>
      <w:tr w14:paraId="070A1252" w14:textId="77777777" w:rsidTr="008A0E69">
        <w:tblPrEx>
          <w:tblW w:w="5000" w:type="pct"/>
          <w:tblLook w:val="0000"/>
        </w:tblPrEx>
        <w:trPr>
          <w:trHeight w:val="521"/>
        </w:trPr>
        <w:tc>
          <w:tcPr>
            <w:tcW w:w="1666" w:type="pct"/>
            <w:vAlign w:val="center"/>
          </w:tcPr>
          <w:p w:rsidR="0078297D" w:rsidRPr="71FAEE06" w:rsidP="008A0E69" w14:paraId="5CAEC2CB" w14:textId="77777777">
            <w:r>
              <w:t>Translation and Transcription</w:t>
            </w:r>
          </w:p>
        </w:tc>
        <w:tc>
          <w:tcPr>
            <w:tcW w:w="1667" w:type="pct"/>
            <w:vAlign w:val="center"/>
          </w:tcPr>
          <w:p w:rsidR="0078297D" w:rsidRPr="001D1584" w:rsidP="008A0E69" w14:paraId="3773DBE9" w14:textId="77777777">
            <w:pPr>
              <w:jc w:val="center"/>
            </w:pPr>
            <w:r>
              <w:t>$9,278</w:t>
            </w:r>
          </w:p>
        </w:tc>
        <w:tc>
          <w:tcPr>
            <w:tcW w:w="1667" w:type="pct"/>
            <w:vAlign w:val="center"/>
          </w:tcPr>
          <w:p w:rsidR="0078297D" w:rsidP="008A0E69" w14:paraId="72C83E47" w14:textId="77777777">
            <w:pPr>
              <w:jc w:val="center"/>
            </w:pPr>
            <w:r>
              <w:t>N\A</w:t>
            </w:r>
          </w:p>
        </w:tc>
      </w:tr>
      <w:tr w14:paraId="72A8A87B" w14:textId="77777777" w:rsidTr="008A0E69">
        <w:tblPrEx>
          <w:tblW w:w="5000" w:type="pct"/>
          <w:tblLook w:val="0000"/>
        </w:tblPrEx>
        <w:trPr>
          <w:trHeight w:val="521"/>
        </w:trPr>
        <w:tc>
          <w:tcPr>
            <w:tcW w:w="1666" w:type="pct"/>
            <w:vAlign w:val="center"/>
          </w:tcPr>
          <w:p w:rsidR="0078297D" w:rsidRPr="001D1584" w:rsidP="008A0E69" w14:paraId="286D9641" w14:textId="77777777">
            <w:r w:rsidRPr="71FAEE06">
              <w:t>Household token of appreciation or other direct costs</w:t>
            </w:r>
          </w:p>
        </w:tc>
        <w:tc>
          <w:tcPr>
            <w:tcW w:w="1667" w:type="pct"/>
            <w:vAlign w:val="center"/>
          </w:tcPr>
          <w:p w:rsidR="0078297D" w:rsidRPr="001D1584" w:rsidP="008A0E69" w14:paraId="0F29F383" w14:textId="77777777">
            <w:pPr>
              <w:jc w:val="center"/>
            </w:pPr>
            <w:r>
              <w:t>$1,667</w:t>
            </w:r>
          </w:p>
        </w:tc>
        <w:tc>
          <w:tcPr>
            <w:tcW w:w="1667" w:type="pct"/>
            <w:vAlign w:val="center"/>
          </w:tcPr>
          <w:p w:rsidR="0078297D" w:rsidRPr="001D1584" w:rsidP="008A0E69" w14:paraId="576FAF65" w14:textId="77777777">
            <w:pPr>
              <w:jc w:val="center"/>
            </w:pPr>
            <w:r>
              <w:t>N\A</w:t>
            </w:r>
          </w:p>
        </w:tc>
      </w:tr>
      <w:tr w14:paraId="1397CDB4" w14:textId="77777777" w:rsidTr="008A0E69">
        <w:tblPrEx>
          <w:tblW w:w="5000" w:type="pct"/>
          <w:tblLook w:val="0000"/>
        </w:tblPrEx>
        <w:trPr>
          <w:trHeight w:val="70"/>
        </w:trPr>
        <w:tc>
          <w:tcPr>
            <w:tcW w:w="1666" w:type="pct"/>
            <w:vAlign w:val="center"/>
          </w:tcPr>
          <w:p w:rsidR="0078297D" w:rsidRPr="001D1584" w:rsidP="008A0E69" w14:paraId="4B545B03" w14:textId="77777777">
            <w:r w:rsidRPr="71FAEE06">
              <w:t xml:space="preserve">Total </w:t>
            </w:r>
          </w:p>
        </w:tc>
        <w:tc>
          <w:tcPr>
            <w:tcW w:w="1667" w:type="pct"/>
            <w:vAlign w:val="center"/>
          </w:tcPr>
          <w:p w:rsidR="0078297D" w:rsidRPr="001D1584" w:rsidP="008A0E69" w14:paraId="7E346451" w14:textId="77777777">
            <w:pPr>
              <w:jc w:val="center"/>
            </w:pPr>
            <w:r>
              <w:t xml:space="preserve">$303,297 </w:t>
            </w:r>
          </w:p>
          <w:p w:rsidR="0078297D" w:rsidRPr="001D1584" w:rsidP="008A0E69" w14:paraId="3AF97CA6" w14:textId="77777777">
            <w:pPr>
              <w:jc w:val="center"/>
            </w:pPr>
          </w:p>
        </w:tc>
        <w:tc>
          <w:tcPr>
            <w:tcW w:w="1667" w:type="pct"/>
            <w:vAlign w:val="center"/>
          </w:tcPr>
          <w:p w:rsidR="0078297D" w:rsidRPr="001D1584" w:rsidP="008A0E69" w14:paraId="102FC4A6" w14:textId="77777777">
            <w:pPr>
              <w:jc w:val="center"/>
            </w:pPr>
            <w:r>
              <w:t>N\A</w:t>
            </w:r>
          </w:p>
        </w:tc>
      </w:tr>
    </w:tbl>
    <w:p w:rsidR="0078297D" w:rsidP="003B38C3" w14:paraId="5824C937" w14:textId="77777777">
      <w:pPr>
        <w:keepLines/>
        <w:tabs>
          <w:tab w:val="left" w:pos="360"/>
        </w:tabs>
        <w:spacing w:after="80"/>
        <w:ind w:left="360" w:hanging="360"/>
        <w:rPr>
          <w:b/>
          <w:bCs/>
          <w:sz w:val="24"/>
          <w:szCs w:val="24"/>
        </w:rPr>
      </w:pPr>
    </w:p>
    <w:p w:rsidR="003B38C3" w:rsidRPr="00F3241A" w:rsidP="003B38C3" w14:paraId="228B0D2E" w14:textId="4237221F">
      <w:pPr>
        <w:keepLines/>
        <w:tabs>
          <w:tab w:val="left" w:pos="360"/>
        </w:tabs>
        <w:spacing w:after="80"/>
        <w:ind w:left="360" w:hanging="360"/>
        <w:rPr>
          <w:b/>
          <w:bCs/>
          <w:sz w:val="24"/>
          <w:szCs w:val="24"/>
        </w:rPr>
      </w:pPr>
      <w:r w:rsidRPr="00F3241A">
        <w:rPr>
          <w:b/>
          <w:bCs/>
          <w:sz w:val="24"/>
          <w:szCs w:val="24"/>
        </w:rPr>
        <w:t>15.</w:t>
      </w:r>
      <w:r w:rsidRPr="00F3241A">
        <w:rPr>
          <w:b/>
          <w:bCs/>
          <w:sz w:val="24"/>
          <w:szCs w:val="24"/>
        </w:rPr>
        <w:tab/>
        <w:t>Explain the reasons for any program changes or adjustments reported in Items 12 and 14 of the Supporting Statement.</w:t>
      </w:r>
    </w:p>
    <w:p w:rsidR="00603C03" w:rsidRPr="0076035F" w:rsidP="00603C03" w14:paraId="6FD7879A" w14:textId="77777777">
      <w:pPr>
        <w:pStyle w:val="BodyText"/>
      </w:pPr>
      <w:r w:rsidRPr="71FAEE06">
        <w:t>This submission to OMB is a new request for approval.</w:t>
      </w:r>
      <w:r>
        <w:t xml:space="preserve"> </w:t>
      </w:r>
    </w:p>
    <w:p w:rsidR="003B38C3" w:rsidP="003B38C3" w14:paraId="5562E648" w14:textId="6E2380FA">
      <w:pPr>
        <w:keepLines/>
        <w:tabs>
          <w:tab w:val="left" w:pos="360"/>
        </w:tabs>
        <w:spacing w:after="80"/>
        <w:ind w:left="360" w:hanging="360"/>
        <w:rPr>
          <w:b/>
          <w:bCs/>
          <w:sz w:val="24"/>
          <w:szCs w:val="24"/>
        </w:rPr>
      </w:pPr>
      <w:r w:rsidRPr="00F3241A">
        <w:rPr>
          <w:b/>
          <w:bCs/>
          <w:sz w:val="24"/>
          <w:szCs w:val="24"/>
        </w:rPr>
        <w:t>16.</w:t>
      </w:r>
      <w:r w:rsidRPr="00F3241A">
        <w:rPr>
          <w:b/>
          <w:bCs/>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0142F" w:rsidP="0070142F" w14:paraId="1294AE40" w14:textId="77777777">
      <w:r w:rsidRPr="71FAEE06">
        <w:t xml:space="preserve">The contracted research team will analyze, tabulate, and report the data collected for the Evaluation of the Moving to Work Asset Building Cohort to HUD. Exhibit </w:t>
      </w:r>
      <w:r>
        <w:t>A-6</w:t>
      </w:r>
      <w:r w:rsidRPr="71FAEE06">
        <w:t xml:space="preserve"> presents an overview of the data collection and analysis schedule. This schedule assumes that data collection begins in October 2023.</w:t>
      </w:r>
    </w:p>
    <w:p w:rsidR="000B3817" w:rsidRPr="003E4AF4" w:rsidP="000B3817" w14:paraId="78F70A8C" w14:textId="77777777">
      <w:pPr>
        <w:rPr>
          <w:b/>
          <w:bCs/>
        </w:rPr>
      </w:pPr>
      <w:r w:rsidRPr="0EF23BC9">
        <w:rPr>
          <w:b/>
          <w:bCs/>
        </w:rPr>
        <w:t xml:space="preserve">Exhibit </w:t>
      </w:r>
      <w:r>
        <w:rPr>
          <w:b/>
          <w:bCs/>
        </w:rPr>
        <w:t>A-6</w:t>
      </w:r>
      <w:r w:rsidRPr="0EF23BC9">
        <w:rPr>
          <w:b/>
          <w:bCs/>
        </w:rPr>
        <w:t>: Data Collection Timeline</w:t>
      </w:r>
    </w:p>
    <w:tbl>
      <w:tblPr>
        <w:tblW w:w="0" w:type="auto"/>
        <w:tblLayout w:type="fixed"/>
        <w:tblLook w:val="04E0"/>
      </w:tblPr>
      <w:tblGrid>
        <w:gridCol w:w="2565"/>
        <w:gridCol w:w="6795"/>
      </w:tblGrid>
      <w:tr w14:paraId="26F1A59E" w14:textId="77777777" w:rsidTr="00A74E14">
        <w:tblPrEx>
          <w:tblW w:w="0" w:type="auto"/>
          <w:tblLayout w:type="fixed"/>
          <w:tblLook w:val="04E0"/>
        </w:tblPrEx>
        <w:trPr>
          <w:trHeight w:val="315"/>
        </w:trPr>
        <w:tc>
          <w:tcPr>
            <w:tcW w:w="2565" w:type="dxa"/>
            <w:tcBorders>
              <w:top w:val="single" w:sz="18" w:space="0" w:color="auto"/>
              <w:left w:val="nil"/>
              <w:bottom w:val="single" w:sz="8" w:space="0" w:color="auto"/>
              <w:right w:val="nil"/>
            </w:tcBorders>
            <w:shd w:val="clear" w:color="auto" w:fill="auto"/>
            <w:tcMar>
              <w:left w:w="43" w:type="dxa"/>
              <w:right w:w="43" w:type="dxa"/>
            </w:tcMar>
            <w:vAlign w:val="bottom"/>
          </w:tcPr>
          <w:p w:rsidR="000B3817" w:rsidRPr="00A74E14" w:rsidP="008A0E69" w14:paraId="385C9293" w14:textId="77777777">
            <w:pPr>
              <w:rPr>
                <w:b/>
                <w:bCs/>
                <w:sz w:val="20"/>
              </w:rPr>
            </w:pPr>
            <w:r w:rsidRPr="00A74E14">
              <w:rPr>
                <w:rFonts w:eastAsia="Calibri"/>
                <w:b/>
                <w:bCs/>
                <w:sz w:val="20"/>
              </w:rPr>
              <w:t>Month, Day, Year</w:t>
            </w:r>
          </w:p>
        </w:tc>
        <w:tc>
          <w:tcPr>
            <w:tcW w:w="6795" w:type="dxa"/>
            <w:tcBorders>
              <w:top w:val="single" w:sz="18" w:space="0" w:color="auto"/>
              <w:left w:val="nil"/>
              <w:bottom w:val="single" w:sz="8" w:space="0" w:color="auto"/>
              <w:right w:val="nil"/>
            </w:tcBorders>
            <w:shd w:val="clear" w:color="auto" w:fill="auto"/>
            <w:tcMar>
              <w:left w:w="43" w:type="dxa"/>
              <w:right w:w="43" w:type="dxa"/>
            </w:tcMar>
            <w:vAlign w:val="bottom"/>
          </w:tcPr>
          <w:p w:rsidR="000B3817" w:rsidRPr="00A74E14" w:rsidP="008A0E69" w14:paraId="526FD2AA" w14:textId="77777777">
            <w:pPr>
              <w:rPr>
                <w:b/>
                <w:bCs/>
                <w:sz w:val="20"/>
              </w:rPr>
            </w:pPr>
            <w:r w:rsidRPr="00A74E14">
              <w:rPr>
                <w:rFonts w:eastAsia="Calibri"/>
                <w:b/>
                <w:bCs/>
                <w:sz w:val="20"/>
              </w:rPr>
              <w:t xml:space="preserve">Activity </w:t>
            </w:r>
          </w:p>
        </w:tc>
      </w:tr>
      <w:tr w14:paraId="4E055D49" w14:textId="77777777" w:rsidTr="00A74E14">
        <w:tblPrEx>
          <w:tblW w:w="0" w:type="auto"/>
          <w:tblLayout w:type="fixed"/>
          <w:tblLook w:val="04E0"/>
        </w:tblPrEx>
        <w:trPr>
          <w:trHeight w:val="300"/>
        </w:trPr>
        <w:tc>
          <w:tcPr>
            <w:tcW w:w="2565" w:type="dxa"/>
            <w:tcBorders>
              <w:top w:val="single" w:sz="8" w:space="0" w:color="auto"/>
              <w:left w:val="nil"/>
              <w:bottom w:val="single" w:sz="8" w:space="0" w:color="auto"/>
              <w:right w:val="nil"/>
            </w:tcBorders>
            <w:shd w:val="clear" w:color="auto" w:fill="auto"/>
            <w:tcMar>
              <w:left w:w="43" w:type="dxa"/>
              <w:right w:w="43" w:type="dxa"/>
            </w:tcMar>
            <w:vAlign w:val="bottom"/>
          </w:tcPr>
          <w:p w:rsidR="000B3817" w:rsidRPr="00A74E14" w:rsidP="008A0E69" w14:paraId="1F6B5A6B" w14:textId="77777777">
            <w:r w:rsidRPr="00A74E14">
              <w:rPr>
                <w:rFonts w:eastAsia="Calibri"/>
              </w:rPr>
              <w:t>October to Dec. 2023</w:t>
            </w:r>
          </w:p>
        </w:tc>
        <w:tc>
          <w:tcPr>
            <w:tcW w:w="6795" w:type="dxa"/>
            <w:tcBorders>
              <w:top w:val="single" w:sz="8" w:space="0" w:color="auto"/>
              <w:left w:val="nil"/>
              <w:bottom w:val="single" w:sz="8" w:space="0" w:color="auto"/>
              <w:right w:val="nil"/>
            </w:tcBorders>
            <w:shd w:val="clear" w:color="auto" w:fill="auto"/>
            <w:tcMar>
              <w:left w:w="43" w:type="dxa"/>
              <w:right w:w="43" w:type="dxa"/>
            </w:tcMar>
            <w:vAlign w:val="bottom"/>
          </w:tcPr>
          <w:p w:rsidR="000B3817" w:rsidRPr="00A74E14" w:rsidP="008A0E69" w14:paraId="7478814D" w14:textId="77777777">
            <w:pPr>
              <w:rPr>
                <w:rFonts w:eastAsia="Calibri"/>
              </w:rPr>
            </w:pPr>
            <w:r w:rsidRPr="00A74E14">
              <w:rPr>
                <w:rFonts w:eastAsia="Calibri"/>
              </w:rPr>
              <w:t>Obtaining Informed Consent Forms and BIF during Study Enrollment</w:t>
            </w:r>
          </w:p>
        </w:tc>
      </w:tr>
      <w:tr w14:paraId="75E7769A" w14:textId="77777777" w:rsidTr="00A74E14">
        <w:tblPrEx>
          <w:tblW w:w="0" w:type="auto"/>
          <w:tblLayout w:type="fixed"/>
          <w:tblLook w:val="04E0"/>
        </w:tblPrEx>
        <w:trPr>
          <w:trHeight w:val="300"/>
        </w:trPr>
        <w:tc>
          <w:tcPr>
            <w:tcW w:w="2565" w:type="dxa"/>
            <w:tcBorders>
              <w:top w:val="single" w:sz="8" w:space="0" w:color="auto"/>
              <w:left w:val="nil"/>
              <w:bottom w:val="single" w:sz="8" w:space="0" w:color="auto"/>
              <w:right w:val="nil"/>
            </w:tcBorders>
            <w:shd w:val="clear" w:color="auto" w:fill="auto"/>
            <w:tcMar>
              <w:left w:w="43" w:type="dxa"/>
              <w:right w:w="43" w:type="dxa"/>
            </w:tcMar>
            <w:vAlign w:val="bottom"/>
          </w:tcPr>
          <w:p w:rsidR="000B3817" w:rsidRPr="00A74E14" w:rsidP="008A0E69" w14:paraId="3ED88C2A" w14:textId="77777777">
            <w:pPr>
              <w:rPr>
                <w:rFonts w:eastAsia="Calibri"/>
              </w:rPr>
            </w:pPr>
            <w:r w:rsidRPr="00A74E14">
              <w:rPr>
                <w:rFonts w:eastAsia="Calibri"/>
              </w:rPr>
              <w:t>Spring 2024</w:t>
            </w:r>
          </w:p>
        </w:tc>
        <w:tc>
          <w:tcPr>
            <w:tcW w:w="6795" w:type="dxa"/>
            <w:tcBorders>
              <w:top w:val="single" w:sz="8" w:space="0" w:color="auto"/>
              <w:left w:val="nil"/>
              <w:bottom w:val="single" w:sz="8" w:space="0" w:color="auto"/>
              <w:right w:val="nil"/>
            </w:tcBorders>
            <w:shd w:val="clear" w:color="auto" w:fill="auto"/>
            <w:tcMar>
              <w:left w:w="43" w:type="dxa"/>
              <w:right w:w="43" w:type="dxa"/>
            </w:tcMar>
            <w:vAlign w:val="bottom"/>
          </w:tcPr>
          <w:p w:rsidR="000B3817" w:rsidRPr="00A74E14" w:rsidP="008A0E69" w14:paraId="14860E83" w14:textId="77777777">
            <w:r w:rsidRPr="00A74E14">
              <w:rPr>
                <w:rFonts w:eastAsia="Calibri"/>
              </w:rPr>
              <w:t>First round of PHA Interviews with PHA staff, partner organization staff and PHA residents; First Round of Rent Reporting Qualitative Interviews</w:t>
            </w:r>
          </w:p>
        </w:tc>
      </w:tr>
      <w:tr w14:paraId="7642DA28" w14:textId="77777777" w:rsidTr="00A74E14">
        <w:tblPrEx>
          <w:tblW w:w="0" w:type="auto"/>
          <w:tblLayout w:type="fixed"/>
          <w:tblLook w:val="04E0"/>
        </w:tblPrEx>
        <w:trPr>
          <w:trHeight w:val="300"/>
        </w:trPr>
        <w:tc>
          <w:tcPr>
            <w:tcW w:w="2565" w:type="dxa"/>
            <w:tcBorders>
              <w:top w:val="single" w:sz="8" w:space="0" w:color="auto"/>
              <w:left w:val="nil"/>
              <w:bottom w:val="single" w:sz="8" w:space="0" w:color="auto"/>
              <w:right w:val="nil"/>
            </w:tcBorders>
            <w:shd w:val="clear" w:color="auto" w:fill="auto"/>
            <w:tcMar>
              <w:left w:w="43" w:type="dxa"/>
              <w:right w:w="43" w:type="dxa"/>
            </w:tcMar>
            <w:vAlign w:val="bottom"/>
          </w:tcPr>
          <w:p w:rsidR="000B3817" w:rsidRPr="00A74E14" w:rsidP="008A0E69" w14:paraId="4BBDE8EE" w14:textId="77777777">
            <w:pPr>
              <w:rPr>
                <w:rFonts w:eastAsia="Calibri"/>
              </w:rPr>
            </w:pPr>
            <w:r w:rsidRPr="00A74E14">
              <w:rPr>
                <w:rFonts w:eastAsia="Calibri"/>
              </w:rPr>
              <w:t>Fall 2024</w:t>
            </w:r>
          </w:p>
        </w:tc>
        <w:tc>
          <w:tcPr>
            <w:tcW w:w="6795" w:type="dxa"/>
            <w:tcBorders>
              <w:top w:val="single" w:sz="8" w:space="0" w:color="auto"/>
              <w:left w:val="nil"/>
              <w:bottom w:val="single" w:sz="8" w:space="0" w:color="auto"/>
              <w:right w:val="nil"/>
            </w:tcBorders>
            <w:shd w:val="clear" w:color="auto" w:fill="auto"/>
            <w:tcMar>
              <w:left w:w="43" w:type="dxa"/>
              <w:right w:w="43" w:type="dxa"/>
            </w:tcMar>
            <w:vAlign w:val="bottom"/>
          </w:tcPr>
          <w:p w:rsidR="000B3817" w:rsidRPr="00A74E14" w:rsidP="008A0E69" w14:paraId="4F9DDD62" w14:textId="77777777">
            <w:pPr>
              <w:rPr>
                <w:rFonts w:eastAsia="Calibri"/>
              </w:rPr>
            </w:pPr>
            <w:r w:rsidRPr="00A74E14">
              <w:rPr>
                <w:rFonts w:eastAsia="Calibri"/>
              </w:rPr>
              <w:t>Second round of Rent Reporting Qualitative Interviews</w:t>
            </w:r>
          </w:p>
        </w:tc>
      </w:tr>
      <w:tr w14:paraId="7350DCC2" w14:textId="77777777" w:rsidTr="00A74E14">
        <w:tblPrEx>
          <w:tblW w:w="0" w:type="auto"/>
          <w:tblLayout w:type="fixed"/>
          <w:tblLook w:val="04E0"/>
        </w:tblPrEx>
        <w:trPr>
          <w:trHeight w:val="300"/>
        </w:trPr>
        <w:tc>
          <w:tcPr>
            <w:tcW w:w="2565" w:type="dxa"/>
            <w:tcBorders>
              <w:top w:val="single" w:sz="8" w:space="0" w:color="auto"/>
              <w:left w:val="nil"/>
              <w:bottom w:val="single" w:sz="8" w:space="0" w:color="auto"/>
              <w:right w:val="nil"/>
            </w:tcBorders>
            <w:shd w:val="clear" w:color="auto" w:fill="auto"/>
            <w:tcMar>
              <w:left w:w="43" w:type="dxa"/>
              <w:right w:w="43" w:type="dxa"/>
            </w:tcMar>
            <w:vAlign w:val="bottom"/>
          </w:tcPr>
          <w:p w:rsidR="000B3817" w:rsidRPr="00A74E14" w:rsidP="008A0E69" w14:paraId="472D84B8" w14:textId="77777777">
            <w:pPr>
              <w:rPr>
                <w:rFonts w:eastAsia="Calibri"/>
              </w:rPr>
            </w:pPr>
            <w:r w:rsidRPr="00A74E14">
              <w:rPr>
                <w:rFonts w:eastAsia="Calibri"/>
              </w:rPr>
              <w:t>Winter 2026</w:t>
            </w:r>
          </w:p>
        </w:tc>
        <w:tc>
          <w:tcPr>
            <w:tcW w:w="6795" w:type="dxa"/>
            <w:tcBorders>
              <w:top w:val="single" w:sz="8" w:space="0" w:color="auto"/>
              <w:left w:val="nil"/>
              <w:bottom w:val="single" w:sz="8" w:space="0" w:color="auto"/>
              <w:right w:val="nil"/>
            </w:tcBorders>
            <w:shd w:val="clear" w:color="auto" w:fill="auto"/>
            <w:tcMar>
              <w:left w:w="43" w:type="dxa"/>
              <w:right w:w="43" w:type="dxa"/>
            </w:tcMar>
            <w:vAlign w:val="bottom"/>
          </w:tcPr>
          <w:p w:rsidR="000B3817" w:rsidRPr="00A74E14" w:rsidP="008A0E69" w14:paraId="38496913" w14:textId="77777777">
            <w:pPr>
              <w:rPr>
                <w:rFonts w:eastAsia="Calibri"/>
              </w:rPr>
            </w:pPr>
            <w:r w:rsidRPr="00A74E14">
              <w:rPr>
                <w:rFonts w:eastAsia="Calibri"/>
              </w:rPr>
              <w:t xml:space="preserve">Follow-up Survey for Households in the Opt-out Savings evaluation* </w:t>
            </w:r>
          </w:p>
        </w:tc>
      </w:tr>
      <w:tr w14:paraId="55E3BFC4" w14:textId="77777777" w:rsidTr="00A74E14">
        <w:tblPrEx>
          <w:tblW w:w="0" w:type="auto"/>
          <w:tblLayout w:type="fixed"/>
          <w:tblLook w:val="04E0"/>
        </w:tblPrEx>
        <w:trPr>
          <w:trHeight w:val="300"/>
        </w:trPr>
        <w:tc>
          <w:tcPr>
            <w:tcW w:w="2565" w:type="dxa"/>
            <w:tcBorders>
              <w:top w:val="single" w:sz="8" w:space="0" w:color="auto"/>
              <w:left w:val="nil"/>
              <w:bottom w:val="single" w:sz="8" w:space="0" w:color="auto"/>
              <w:right w:val="nil"/>
            </w:tcBorders>
            <w:shd w:val="clear" w:color="auto" w:fill="auto"/>
            <w:tcMar>
              <w:left w:w="43" w:type="dxa"/>
              <w:right w:w="43" w:type="dxa"/>
            </w:tcMar>
            <w:vAlign w:val="bottom"/>
          </w:tcPr>
          <w:p w:rsidR="000B3817" w:rsidRPr="00A74E14" w:rsidP="008A0E69" w14:paraId="0031FD09" w14:textId="77777777">
            <w:r w:rsidRPr="00A74E14">
              <w:rPr>
                <w:rFonts w:eastAsia="Calibri"/>
              </w:rPr>
              <w:t>Spring 2026</w:t>
            </w:r>
          </w:p>
        </w:tc>
        <w:tc>
          <w:tcPr>
            <w:tcW w:w="6795" w:type="dxa"/>
            <w:tcBorders>
              <w:top w:val="single" w:sz="8" w:space="0" w:color="auto"/>
              <w:left w:val="nil"/>
              <w:bottom w:val="single" w:sz="8" w:space="0" w:color="auto"/>
              <w:right w:val="nil"/>
            </w:tcBorders>
            <w:shd w:val="clear" w:color="auto" w:fill="auto"/>
            <w:tcMar>
              <w:left w:w="43" w:type="dxa"/>
              <w:right w:w="43" w:type="dxa"/>
            </w:tcMar>
            <w:vAlign w:val="bottom"/>
          </w:tcPr>
          <w:p w:rsidR="000B3817" w:rsidRPr="00A74E14" w:rsidP="008A0E69" w14:paraId="18C4EDCE" w14:textId="77777777">
            <w:r w:rsidRPr="00A74E14">
              <w:rPr>
                <w:rFonts w:eastAsia="Calibri"/>
              </w:rPr>
              <w:t>Follow--up PHA Interviews with PHA staff, partner organization staff, and PHA residents; third round of Rent Reporting Qualitative Interviews*</w:t>
            </w:r>
          </w:p>
        </w:tc>
      </w:tr>
    </w:tbl>
    <w:p w:rsidR="000B3817" w:rsidP="000B3817" w14:paraId="1D40B8CC" w14:textId="77777777">
      <w:pPr>
        <w:rPr>
          <w:rFonts w:eastAsia="Calibri"/>
        </w:rPr>
      </w:pPr>
      <w:r w:rsidRPr="71FAEE06">
        <w:rPr>
          <w:rFonts w:eastAsia="Calibri"/>
        </w:rPr>
        <w:t xml:space="preserve">* </w:t>
      </w:r>
      <w:r w:rsidRPr="71FAEE06">
        <w:rPr>
          <w:rFonts w:eastAsia="Calibri"/>
          <w:sz w:val="18"/>
          <w:szCs w:val="18"/>
        </w:rPr>
        <w:t>To be included in a separate PRA Package</w:t>
      </w:r>
    </w:p>
    <w:p w:rsidR="003B38C3" w:rsidRPr="00F3241A" w:rsidP="003B38C3" w14:paraId="1C6D20F3" w14:textId="77777777">
      <w:pPr>
        <w:keepLines/>
        <w:tabs>
          <w:tab w:val="left" w:pos="360"/>
        </w:tabs>
        <w:spacing w:after="80"/>
        <w:ind w:left="360" w:hanging="360"/>
        <w:rPr>
          <w:b/>
          <w:bCs/>
          <w:sz w:val="24"/>
          <w:szCs w:val="24"/>
        </w:rPr>
      </w:pPr>
      <w:r w:rsidRPr="00F3241A">
        <w:rPr>
          <w:b/>
          <w:bCs/>
          <w:sz w:val="24"/>
          <w:szCs w:val="24"/>
        </w:rPr>
        <w:t>17.</w:t>
      </w:r>
      <w:r w:rsidRPr="00F3241A">
        <w:rPr>
          <w:b/>
          <w:bCs/>
          <w:sz w:val="24"/>
          <w:szCs w:val="24"/>
        </w:rPr>
        <w:tab/>
        <w:t>If seeking approval to not display the expiration date for OMB approval of the information collection, explain the reasons that display would be inappropriate.</w:t>
      </w:r>
    </w:p>
    <w:p w:rsidR="0090075E" w:rsidRPr="00E52E12" w:rsidP="0090075E" w14:paraId="3BCE29B7" w14:textId="77777777">
      <w:pPr>
        <w:tabs>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pPr>
      <w:r w:rsidRPr="00E52E12">
        <w:t xml:space="preserve">HUD </w:t>
      </w:r>
      <w:r>
        <w:t>does</w:t>
      </w:r>
      <w:r w:rsidRPr="00E52E12">
        <w:t xml:space="preserve"> not seek approval to avoid displaying the expiration date.</w:t>
      </w:r>
      <w:r>
        <w:t xml:space="preserve"> </w:t>
      </w:r>
      <w:r w:rsidRPr="008D22F8">
        <w:t>All data collection instruments will prominently display the expiration date for OMB approval.</w:t>
      </w:r>
    </w:p>
    <w:p w:rsidR="003B38C3" w:rsidP="003B38C3" w14:paraId="0C633B56" w14:textId="77777777">
      <w:pPr>
        <w:keepLines/>
        <w:tabs>
          <w:tab w:val="left" w:pos="360"/>
        </w:tabs>
        <w:spacing w:after="80"/>
        <w:ind w:left="360" w:hanging="360"/>
        <w:rPr>
          <w:b/>
          <w:bCs/>
          <w:sz w:val="24"/>
          <w:szCs w:val="24"/>
        </w:rPr>
      </w:pPr>
      <w:r w:rsidRPr="00F3241A">
        <w:rPr>
          <w:b/>
          <w:bCs/>
          <w:sz w:val="24"/>
          <w:szCs w:val="24"/>
        </w:rPr>
        <w:t>18.</w:t>
      </w:r>
      <w:r w:rsidRPr="00F3241A">
        <w:rPr>
          <w:b/>
          <w:bCs/>
          <w:sz w:val="24"/>
          <w:szCs w:val="24"/>
        </w:rPr>
        <w:tab/>
        <w:t>Explain each exception to the certification statement identified in item 19.</w:t>
      </w:r>
    </w:p>
    <w:p w:rsidR="00417460" w:rsidRPr="00177375" w:rsidP="00417460" w14:paraId="494C089A" w14:textId="77777777">
      <w:pPr>
        <w:pStyle w:val="BodyText"/>
      </w:pPr>
      <w:r w:rsidRPr="004F1FB4">
        <w:t>No exceptions are necessary for this information collection.</w:t>
      </w:r>
    </w:p>
    <w:p w:rsidR="003F5442" w:rsidRPr="00F3241A" w:rsidP="003B38C3" w14:paraId="4BE5AFBB" w14:textId="77777777">
      <w:pPr>
        <w:keepLines/>
        <w:tabs>
          <w:tab w:val="left" w:pos="360"/>
        </w:tabs>
        <w:spacing w:after="80"/>
        <w:ind w:left="360" w:hanging="360"/>
        <w:rPr>
          <w:rFonts w:ascii="Courier" w:hAnsi="Courier"/>
          <w:b/>
          <w:bCs/>
          <w:sz w:val="24"/>
          <w:szCs w:val="24"/>
        </w:rPr>
      </w:pPr>
    </w:p>
    <w:p w:rsidR="003F5442" w:rsidRPr="00F3241A" w:rsidP="003F5442" w14:paraId="45937D30" w14:textId="77777777">
      <w:pPr>
        <w:tabs>
          <w:tab w:val="left" w:pos="360"/>
          <w:tab w:val="left" w:pos="720"/>
        </w:tabs>
        <w:rPr>
          <w:sz w:val="24"/>
          <w:szCs w:val="24"/>
        </w:rPr>
      </w:pPr>
    </w:p>
    <w:p w:rsidR="003B38C3" w:rsidP="00805CB4" w14:paraId="3F9DBEA4" w14:textId="281D078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ui-provider"/>
          <w:b/>
          <w:bCs/>
          <w:sz w:val="24"/>
          <w:szCs w:val="24"/>
        </w:rPr>
      </w:pPr>
      <w:r w:rsidRPr="00F3241A">
        <w:rPr>
          <w:b/>
          <w:sz w:val="24"/>
          <w:szCs w:val="24"/>
        </w:rPr>
        <w:t xml:space="preserve">B. </w:t>
      </w:r>
      <w:r w:rsidRPr="00F3241A">
        <w:rPr>
          <w:b/>
          <w:sz w:val="24"/>
          <w:szCs w:val="24"/>
        </w:rPr>
        <w:tab/>
        <w:t>Collections of Information Employing Statistical Methods</w:t>
      </w:r>
    </w:p>
    <w:p w:rsidR="003B38C3" w:rsidRPr="00DA6400" w:rsidP="00C22E6C" w14:paraId="2DD8DA81" w14:textId="77777777">
      <w:pPr>
        <w:spacing w:line="240" w:lineRule="auto"/>
        <w:ind w:left="720" w:hanging="360"/>
        <w:rPr>
          <w:rStyle w:val="ui-provider"/>
          <w:b/>
          <w:bCs/>
          <w:sz w:val="24"/>
          <w:szCs w:val="24"/>
        </w:rPr>
      </w:pPr>
    </w:p>
    <w:sectPr w:rsidSect="00A67C7A">
      <w:pgSz w:w="12240" w:h="15840" w:code="1"/>
      <w:pgMar w:top="1440" w:right="1440" w:bottom="1440" w:left="1440" w:header="108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33C7" w:rsidP="00D979EA" w14:paraId="16145967" w14:textId="77777777">
      <w:r>
        <w:separator/>
      </w:r>
    </w:p>
  </w:footnote>
  <w:footnote w:type="continuationSeparator" w:id="1">
    <w:p w:rsidR="007933C7" w:rsidP="00D979EA" w14:paraId="6308AA89" w14:textId="77777777">
      <w:r>
        <w:continuationSeparator/>
      </w:r>
    </w:p>
  </w:footnote>
  <w:footnote w:type="continuationNotice" w:id="2">
    <w:p w:rsidR="007933C7" w14:paraId="6AF0C733" w14:textId="77777777">
      <w:pPr>
        <w:spacing w:after="0" w:line="240" w:lineRule="auto"/>
      </w:pPr>
    </w:p>
  </w:footnote>
  <w:footnote w:id="3">
    <w:p w:rsidR="005A6E77" w:rsidRPr="003F0652" w:rsidP="005A6E77" w14:paraId="5E863DB3" w14:textId="77777777">
      <w:pPr>
        <w:pStyle w:val="FootnoteText"/>
        <w:rPr>
          <w:sz w:val="22"/>
          <w:szCs w:val="22"/>
        </w:rPr>
      </w:pPr>
      <w:r w:rsidRPr="003F0652">
        <w:rPr>
          <w:rStyle w:val="FootnoteReference"/>
          <w:szCs w:val="22"/>
        </w:rPr>
        <w:footnoteRef/>
      </w:r>
      <w:r w:rsidRPr="003F0652">
        <w:rPr>
          <w:sz w:val="22"/>
          <w:szCs w:val="22"/>
        </w:rPr>
        <w:t xml:space="preserve"> Additional information about the MTW Expansion is available at: </w:t>
      </w:r>
      <w:hyperlink r:id="rId1" w:history="1">
        <w:r w:rsidRPr="003F0652">
          <w:rPr>
            <w:rStyle w:val="Hyperlink"/>
            <w:sz w:val="22"/>
            <w:szCs w:val="22"/>
          </w:rPr>
          <w:t>https://www.hud.gov/program_offices/public_indian_housing/programs/ph/mtw/expansion</w:t>
        </w:r>
      </w:hyperlink>
      <w:r w:rsidRPr="003F0652">
        <w:rPr>
          <w:sz w:val="22"/>
          <w:szCs w:val="22"/>
        </w:rPr>
        <w:t>.</w:t>
      </w:r>
    </w:p>
  </w:footnote>
  <w:footnote w:id="4">
    <w:p w:rsidR="0069091F" w:rsidP="0EF23BC9" w14:paraId="483C5A18" w14:textId="22365C0D">
      <w:pPr>
        <w:pStyle w:val="FootnoteText"/>
      </w:pPr>
      <w:r w:rsidRPr="0EF23BC9">
        <w:rPr>
          <w:rStyle w:val="FootnoteReference"/>
        </w:rPr>
        <w:footnoteRef/>
      </w:r>
      <w:r>
        <w:t xml:space="preserve"> Bridget, Kelly, Marjorie Margolis, Lauren McCormack, Patricia LeBaron, and </w:t>
      </w:r>
      <w:r>
        <w:t>Dhuly</w:t>
      </w:r>
      <w:r>
        <w:t xml:space="preserve"> Chowdhury. (2017). What Affects People’s Willingness to Participate in Qualitative Research? An Experimental Comparison of Five Incentives.  Field Methods, 29:4, 333-350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5280A36"/>
    <w:multiLevelType w:val="hybridMultilevel"/>
    <w:tmpl w:val="F1AC0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4F499E"/>
    <w:multiLevelType w:val="hybridMultilevel"/>
    <w:tmpl w:val="D958B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5E047A"/>
    <w:multiLevelType w:val="hybridMultilevel"/>
    <w:tmpl w:val="B2D06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B54683"/>
    <w:multiLevelType w:val="hybridMultilevel"/>
    <w:tmpl w:val="AC908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49784C"/>
    <w:multiLevelType w:val="hybridMultilevel"/>
    <w:tmpl w:val="FCB8B6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C3675DB"/>
    <w:multiLevelType w:val="hybridMultilevel"/>
    <w:tmpl w:val="158859DA"/>
    <w:lvl w:ilvl="0">
      <w:start w:val="1"/>
      <w:numFmt w:val="bullet"/>
      <w:pStyle w:val="TableBullets"/>
      <w:lvlText w:val=""/>
      <w:lvlJc w:val="left"/>
      <w:pPr>
        <w:ind w:left="360" w:hanging="360"/>
      </w:pPr>
      <w:rPr>
        <w:rFonts w:ascii="Symbol" w:hAnsi="Symbol" w:hint="default"/>
        <w:color w:val="C0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DDD6F5D"/>
    <w:multiLevelType w:val="hybridMultilevel"/>
    <w:tmpl w:val="6A469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2813EEA2"/>
    <w:multiLevelType w:val="hybridMultilevel"/>
    <w:tmpl w:val="F56CF8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F392627"/>
    <w:multiLevelType w:val="hybridMultilevel"/>
    <w:tmpl w:val="D8FE0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EAD33C4"/>
    <w:multiLevelType w:val="multilevel"/>
    <w:tmpl w:val="049056E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2">
    <w:nsid w:val="41A04F5C"/>
    <w:multiLevelType w:val="hybridMultilevel"/>
    <w:tmpl w:val="920E9AF6"/>
    <w:lvl w:ilvl="0">
      <w:start w:val="1"/>
      <w:numFmt w:val="bullet"/>
      <w:pStyle w:val="ListBulleted"/>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60454A4"/>
    <w:multiLevelType w:val="hybridMultilevel"/>
    <w:tmpl w:val="70A4C1A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820A3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B206095"/>
    <w:multiLevelType w:val="singleLevel"/>
    <w:tmpl w:val="B77EF2CA"/>
    <w:lvl w:ilvl="0">
      <w:start w:val="7"/>
      <w:numFmt w:val="decimal"/>
      <w:lvlText w:val="%1. "/>
      <w:legacy w:legacy="1" w:legacySpace="0" w:legacyIndent="360"/>
      <w:lvlJc w:val="left"/>
      <w:pPr>
        <w:ind w:left="360" w:hanging="360"/>
      </w:pPr>
      <w:rPr>
        <w:rFonts w:ascii="Times New Roman" w:hAnsi="Times New Roman" w:hint="default"/>
        <w:b/>
        <w:bCs/>
        <w:i w:val="0"/>
        <w:color w:val="auto"/>
        <w:sz w:val="24"/>
        <w:szCs w:val="24"/>
        <w:u w:val="none"/>
      </w:rPr>
    </w:lvl>
  </w:abstractNum>
  <w:abstractNum w:abstractNumId="16">
    <w:nsid w:val="516A0677"/>
    <w:multiLevelType w:val="hybridMultilevel"/>
    <w:tmpl w:val="4264692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66E7FE6"/>
    <w:multiLevelType w:val="hybridMultilevel"/>
    <w:tmpl w:val="DE200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A216D32"/>
    <w:multiLevelType w:val="hybridMultilevel"/>
    <w:tmpl w:val="B8A89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9689654"/>
    <w:multiLevelType w:val="hybridMultilevel"/>
    <w:tmpl w:val="9D7C4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CF3F533"/>
    <w:multiLevelType w:val="hybridMultilevel"/>
    <w:tmpl w:val="91FA8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D3E63C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EDC418B"/>
    <w:multiLevelType w:val="singleLevel"/>
    <w:tmpl w:val="B26EA4E0"/>
    <w:lvl w:ilvl="0">
      <w:start w:val="0"/>
      <w:numFmt w:val="decimal"/>
      <w:lvlText w:val="*"/>
      <w:lvlJc w:val="left"/>
    </w:lvl>
  </w:abstractNum>
  <w:abstractNum w:abstractNumId="23">
    <w:nsid w:val="72433C79"/>
    <w:multiLevelType w:val="singleLevel"/>
    <w:tmpl w:val="B26EA4E0"/>
    <w:lvl w:ilvl="0">
      <w:start w:val="0"/>
      <w:numFmt w:val="decimal"/>
      <w:lvlText w:val="*"/>
      <w:lvlJc w:val="left"/>
    </w:lvl>
  </w:abstractNum>
  <w:abstractNum w:abstractNumId="2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5">
    <w:nsid w:val="729934E0"/>
    <w:multiLevelType w:val="singleLevel"/>
    <w:tmpl w:val="B26EA4E0"/>
    <w:lvl w:ilvl="0">
      <w:start w:val="0"/>
      <w:numFmt w:val="decimal"/>
      <w:lvlText w:val="*"/>
      <w:lvlJc w:val="left"/>
    </w:lvl>
  </w:abstractNum>
  <w:abstractNum w:abstractNumId="26">
    <w:nsid w:val="72B7B323"/>
    <w:multiLevelType w:val="hybridMultilevel"/>
    <w:tmpl w:val="1F08D7F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8">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71029804">
    <w:abstractNumId w:val="17"/>
  </w:num>
  <w:num w:numId="2" w16cid:durableId="1109936429">
    <w:abstractNumId w:val="5"/>
  </w:num>
  <w:num w:numId="3" w16cid:durableId="370888554">
    <w:abstractNumId w:val="10"/>
  </w:num>
  <w:num w:numId="4" w16cid:durableId="631398903">
    <w:abstractNumId w:val="14"/>
  </w:num>
  <w:num w:numId="5" w16cid:durableId="273751802">
    <w:abstractNumId w:val="20"/>
  </w:num>
  <w:num w:numId="6" w16cid:durableId="1789006575">
    <w:abstractNumId w:val="9"/>
  </w:num>
  <w:num w:numId="7" w16cid:durableId="648095503">
    <w:abstractNumId w:val="26"/>
  </w:num>
  <w:num w:numId="8" w16cid:durableId="1664353836">
    <w:abstractNumId w:val="19"/>
  </w:num>
  <w:num w:numId="9" w16cid:durableId="2061437088">
    <w:abstractNumId w:val="7"/>
  </w:num>
  <w:num w:numId="10" w16cid:durableId="972246708">
    <w:abstractNumId w:val="8"/>
  </w:num>
  <w:num w:numId="11" w16cid:durableId="417871781">
    <w:abstractNumId w:val="24"/>
  </w:num>
  <w:num w:numId="12" w16cid:durableId="1947036902">
    <w:abstractNumId w:val="27"/>
  </w:num>
  <w:num w:numId="13" w16cid:durableId="1660383378">
    <w:abstractNumId w:val="11"/>
  </w:num>
  <w:num w:numId="14" w16cid:durableId="1355183151">
    <w:abstractNumId w:val="28"/>
  </w:num>
  <w:num w:numId="15" w16cid:durableId="555238535">
    <w:abstractNumId w:val="12"/>
  </w:num>
  <w:num w:numId="16" w16cid:durableId="744839273">
    <w:abstractNumId w:val="16"/>
  </w:num>
  <w:num w:numId="17" w16cid:durableId="1205556273">
    <w:abstractNumId w:val="2"/>
  </w:num>
  <w:num w:numId="18" w16cid:durableId="1188450131">
    <w:abstractNumId w:val="6"/>
  </w:num>
  <w:num w:numId="19" w16cid:durableId="1318922547">
    <w:abstractNumId w:val="13"/>
  </w:num>
  <w:num w:numId="20" w16cid:durableId="745690691">
    <w:abstractNumId w:val="3"/>
  </w:num>
  <w:num w:numId="21" w16cid:durableId="1661040197">
    <w:abstractNumId w:val="4"/>
  </w:num>
  <w:num w:numId="22" w16cid:durableId="1762026101">
    <w:abstractNumId w:val="21"/>
  </w:num>
  <w:num w:numId="23" w16cid:durableId="911889755">
    <w:abstractNumId w:val="18"/>
  </w:num>
  <w:num w:numId="24" w16cid:durableId="1395009945">
    <w:abstractNumId w:val="15"/>
  </w:num>
  <w:num w:numId="25" w16cid:durableId="236092646">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26" w16cid:durableId="913203139">
    <w:abstractNumId w:val="22"/>
  </w:num>
  <w:num w:numId="27" w16cid:durableId="571279865">
    <w:abstractNumId w:val="25"/>
  </w:num>
  <w:num w:numId="28" w16cid:durableId="1011837642">
    <w:abstractNumId w:val="1"/>
  </w:num>
  <w:num w:numId="29" w16cid:durableId="885027374">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oNotTrackFormatting/>
  <w:defaultTabStop w:val="360"/>
  <w:drawingGridHorizontalSpacing w:val="110"/>
  <w:drawingGridVerticalSpacing w:val="299"/>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CF"/>
    <w:rsid w:val="00000FE9"/>
    <w:rsid w:val="00001358"/>
    <w:rsid w:val="00003A2C"/>
    <w:rsid w:val="00003CA3"/>
    <w:rsid w:val="00004AD0"/>
    <w:rsid w:val="00005932"/>
    <w:rsid w:val="00005CD6"/>
    <w:rsid w:val="00006481"/>
    <w:rsid w:val="00006B3A"/>
    <w:rsid w:val="00006B51"/>
    <w:rsid w:val="00011371"/>
    <w:rsid w:val="00011838"/>
    <w:rsid w:val="000136F3"/>
    <w:rsid w:val="00013A18"/>
    <w:rsid w:val="00014669"/>
    <w:rsid w:val="00016433"/>
    <w:rsid w:val="00016E17"/>
    <w:rsid w:val="00016E29"/>
    <w:rsid w:val="000202F8"/>
    <w:rsid w:val="00020584"/>
    <w:rsid w:val="0002068A"/>
    <w:rsid w:val="000210C1"/>
    <w:rsid w:val="00021556"/>
    <w:rsid w:val="0002185C"/>
    <w:rsid w:val="0002216E"/>
    <w:rsid w:val="0002333D"/>
    <w:rsid w:val="00023E7D"/>
    <w:rsid w:val="00024D96"/>
    <w:rsid w:val="00024E5B"/>
    <w:rsid w:val="000269ED"/>
    <w:rsid w:val="00026E33"/>
    <w:rsid w:val="0002741A"/>
    <w:rsid w:val="000279C5"/>
    <w:rsid w:val="000300CF"/>
    <w:rsid w:val="0003049C"/>
    <w:rsid w:val="000316BD"/>
    <w:rsid w:val="00031AD9"/>
    <w:rsid w:val="000344E5"/>
    <w:rsid w:val="00036ECE"/>
    <w:rsid w:val="00040E00"/>
    <w:rsid w:val="00042D5A"/>
    <w:rsid w:val="00042F50"/>
    <w:rsid w:val="00044497"/>
    <w:rsid w:val="00046728"/>
    <w:rsid w:val="00047224"/>
    <w:rsid w:val="00050E40"/>
    <w:rsid w:val="00051376"/>
    <w:rsid w:val="00051B4C"/>
    <w:rsid w:val="000523DB"/>
    <w:rsid w:val="00052530"/>
    <w:rsid w:val="000525E0"/>
    <w:rsid w:val="00053BD3"/>
    <w:rsid w:val="00053EEF"/>
    <w:rsid w:val="000543DC"/>
    <w:rsid w:val="0005500B"/>
    <w:rsid w:val="00055022"/>
    <w:rsid w:val="000559AA"/>
    <w:rsid w:val="000572BD"/>
    <w:rsid w:val="0005750B"/>
    <w:rsid w:val="0006045E"/>
    <w:rsid w:val="000623C6"/>
    <w:rsid w:val="00064968"/>
    <w:rsid w:val="00064A55"/>
    <w:rsid w:val="00064B3C"/>
    <w:rsid w:val="0006587B"/>
    <w:rsid w:val="00065A22"/>
    <w:rsid w:val="00070322"/>
    <w:rsid w:val="00070382"/>
    <w:rsid w:val="00070E6E"/>
    <w:rsid w:val="000713DF"/>
    <w:rsid w:val="00074103"/>
    <w:rsid w:val="0007783C"/>
    <w:rsid w:val="0007789E"/>
    <w:rsid w:val="00081A05"/>
    <w:rsid w:val="0008244A"/>
    <w:rsid w:val="00082D01"/>
    <w:rsid w:val="00084052"/>
    <w:rsid w:val="0008447D"/>
    <w:rsid w:val="00085DCA"/>
    <w:rsid w:val="00086188"/>
    <w:rsid w:val="00087856"/>
    <w:rsid w:val="00087CEE"/>
    <w:rsid w:val="000902AA"/>
    <w:rsid w:val="00090B21"/>
    <w:rsid w:val="00091A28"/>
    <w:rsid w:val="0009396F"/>
    <w:rsid w:val="00093C5B"/>
    <w:rsid w:val="000950AD"/>
    <w:rsid w:val="00095D40"/>
    <w:rsid w:val="00096595"/>
    <w:rsid w:val="000A00A2"/>
    <w:rsid w:val="000A0E15"/>
    <w:rsid w:val="000A175F"/>
    <w:rsid w:val="000A1C6D"/>
    <w:rsid w:val="000A26D8"/>
    <w:rsid w:val="000A3D3C"/>
    <w:rsid w:val="000A4E59"/>
    <w:rsid w:val="000A59C4"/>
    <w:rsid w:val="000A61EF"/>
    <w:rsid w:val="000A78E0"/>
    <w:rsid w:val="000A7CFA"/>
    <w:rsid w:val="000A7D69"/>
    <w:rsid w:val="000B02B2"/>
    <w:rsid w:val="000B0A55"/>
    <w:rsid w:val="000B33D1"/>
    <w:rsid w:val="000B3817"/>
    <w:rsid w:val="000B49FE"/>
    <w:rsid w:val="000B526B"/>
    <w:rsid w:val="000B55C4"/>
    <w:rsid w:val="000B6CF7"/>
    <w:rsid w:val="000B714F"/>
    <w:rsid w:val="000B7643"/>
    <w:rsid w:val="000C007C"/>
    <w:rsid w:val="000C0A39"/>
    <w:rsid w:val="000C2597"/>
    <w:rsid w:val="000C2916"/>
    <w:rsid w:val="000C3040"/>
    <w:rsid w:val="000C484C"/>
    <w:rsid w:val="000C4E83"/>
    <w:rsid w:val="000C7A9F"/>
    <w:rsid w:val="000CCE15"/>
    <w:rsid w:val="000D0179"/>
    <w:rsid w:val="000D0A61"/>
    <w:rsid w:val="000D1122"/>
    <w:rsid w:val="000D53F1"/>
    <w:rsid w:val="000D5777"/>
    <w:rsid w:val="000D63FF"/>
    <w:rsid w:val="000D6FEB"/>
    <w:rsid w:val="000E0178"/>
    <w:rsid w:val="000E0676"/>
    <w:rsid w:val="000E2C83"/>
    <w:rsid w:val="000E2DD7"/>
    <w:rsid w:val="000E2F29"/>
    <w:rsid w:val="000E322C"/>
    <w:rsid w:val="000E3646"/>
    <w:rsid w:val="000E3B79"/>
    <w:rsid w:val="000E536F"/>
    <w:rsid w:val="000E6B75"/>
    <w:rsid w:val="000E6B9E"/>
    <w:rsid w:val="000F26B2"/>
    <w:rsid w:val="000F2E8A"/>
    <w:rsid w:val="000F39E5"/>
    <w:rsid w:val="000F4086"/>
    <w:rsid w:val="000F42FC"/>
    <w:rsid w:val="000F47B7"/>
    <w:rsid w:val="000F53F4"/>
    <w:rsid w:val="000F56FD"/>
    <w:rsid w:val="0010089B"/>
    <w:rsid w:val="00100C25"/>
    <w:rsid w:val="00101B68"/>
    <w:rsid w:val="001034D7"/>
    <w:rsid w:val="0010484D"/>
    <w:rsid w:val="00104F2A"/>
    <w:rsid w:val="00107A04"/>
    <w:rsid w:val="00110B4C"/>
    <w:rsid w:val="0011170B"/>
    <w:rsid w:val="00111CB5"/>
    <w:rsid w:val="001142A4"/>
    <w:rsid w:val="0011611E"/>
    <w:rsid w:val="001178CA"/>
    <w:rsid w:val="0012090A"/>
    <w:rsid w:val="001213FA"/>
    <w:rsid w:val="001218EF"/>
    <w:rsid w:val="00121C4A"/>
    <w:rsid w:val="001242E8"/>
    <w:rsid w:val="001243FB"/>
    <w:rsid w:val="0012654A"/>
    <w:rsid w:val="00127986"/>
    <w:rsid w:val="00127F32"/>
    <w:rsid w:val="001307A5"/>
    <w:rsid w:val="00131909"/>
    <w:rsid w:val="0013196E"/>
    <w:rsid w:val="0013267B"/>
    <w:rsid w:val="00134036"/>
    <w:rsid w:val="00134242"/>
    <w:rsid w:val="001344F6"/>
    <w:rsid w:val="00134BA6"/>
    <w:rsid w:val="00135451"/>
    <w:rsid w:val="00137474"/>
    <w:rsid w:val="00140E74"/>
    <w:rsid w:val="001455AB"/>
    <w:rsid w:val="00145E5E"/>
    <w:rsid w:val="001461F1"/>
    <w:rsid w:val="001467ED"/>
    <w:rsid w:val="001470EF"/>
    <w:rsid w:val="00150901"/>
    <w:rsid w:val="00151495"/>
    <w:rsid w:val="00151DA0"/>
    <w:rsid w:val="00152153"/>
    <w:rsid w:val="001524C1"/>
    <w:rsid w:val="00152A44"/>
    <w:rsid w:val="00153E61"/>
    <w:rsid w:val="00154917"/>
    <w:rsid w:val="00155D06"/>
    <w:rsid w:val="00156EC7"/>
    <w:rsid w:val="00157E04"/>
    <w:rsid w:val="00160657"/>
    <w:rsid w:val="00160B87"/>
    <w:rsid w:val="001617D2"/>
    <w:rsid w:val="00162E94"/>
    <w:rsid w:val="001669DE"/>
    <w:rsid w:val="001677DC"/>
    <w:rsid w:val="001700B5"/>
    <w:rsid w:val="00170CF9"/>
    <w:rsid w:val="00170E59"/>
    <w:rsid w:val="00171B8E"/>
    <w:rsid w:val="00172119"/>
    <w:rsid w:val="001722BF"/>
    <w:rsid w:val="00172750"/>
    <w:rsid w:val="001728E0"/>
    <w:rsid w:val="001746D2"/>
    <w:rsid w:val="00174F8E"/>
    <w:rsid w:val="0017597E"/>
    <w:rsid w:val="00175F01"/>
    <w:rsid w:val="00175F40"/>
    <w:rsid w:val="00177375"/>
    <w:rsid w:val="001775E0"/>
    <w:rsid w:val="00177861"/>
    <w:rsid w:val="00181BDA"/>
    <w:rsid w:val="0018214C"/>
    <w:rsid w:val="00182E59"/>
    <w:rsid w:val="001845BD"/>
    <w:rsid w:val="00184771"/>
    <w:rsid w:val="00184BD9"/>
    <w:rsid w:val="001864A2"/>
    <w:rsid w:val="00187E03"/>
    <w:rsid w:val="00192486"/>
    <w:rsid w:val="001926AE"/>
    <w:rsid w:val="00192C58"/>
    <w:rsid w:val="00195CD3"/>
    <w:rsid w:val="001960DE"/>
    <w:rsid w:val="001962A6"/>
    <w:rsid w:val="00196FF3"/>
    <w:rsid w:val="001A04CE"/>
    <w:rsid w:val="001A0E0A"/>
    <w:rsid w:val="001A12C0"/>
    <w:rsid w:val="001A1E5D"/>
    <w:rsid w:val="001A23B5"/>
    <w:rsid w:val="001A3848"/>
    <w:rsid w:val="001A403F"/>
    <w:rsid w:val="001A447E"/>
    <w:rsid w:val="001A4633"/>
    <w:rsid w:val="001A4A4E"/>
    <w:rsid w:val="001A560B"/>
    <w:rsid w:val="001A5B9A"/>
    <w:rsid w:val="001A6378"/>
    <w:rsid w:val="001A678C"/>
    <w:rsid w:val="001A789A"/>
    <w:rsid w:val="001B0259"/>
    <w:rsid w:val="001B0C68"/>
    <w:rsid w:val="001B1A0F"/>
    <w:rsid w:val="001B2AED"/>
    <w:rsid w:val="001B434F"/>
    <w:rsid w:val="001B4509"/>
    <w:rsid w:val="001C036E"/>
    <w:rsid w:val="001C0891"/>
    <w:rsid w:val="001C10AF"/>
    <w:rsid w:val="001C18B8"/>
    <w:rsid w:val="001C3E6A"/>
    <w:rsid w:val="001C44EE"/>
    <w:rsid w:val="001C4CE6"/>
    <w:rsid w:val="001C5BF1"/>
    <w:rsid w:val="001C76CC"/>
    <w:rsid w:val="001D0620"/>
    <w:rsid w:val="001D1584"/>
    <w:rsid w:val="001D24E6"/>
    <w:rsid w:val="001D2C47"/>
    <w:rsid w:val="001D3FE9"/>
    <w:rsid w:val="001D4AE4"/>
    <w:rsid w:val="001D4CB3"/>
    <w:rsid w:val="001D4FDD"/>
    <w:rsid w:val="001D562E"/>
    <w:rsid w:val="001D599F"/>
    <w:rsid w:val="001D5EDC"/>
    <w:rsid w:val="001D62BD"/>
    <w:rsid w:val="001D69EB"/>
    <w:rsid w:val="001D6ED4"/>
    <w:rsid w:val="001E19B5"/>
    <w:rsid w:val="001E2C63"/>
    <w:rsid w:val="001E2CF1"/>
    <w:rsid w:val="001E2EC1"/>
    <w:rsid w:val="001E2EFC"/>
    <w:rsid w:val="001E688C"/>
    <w:rsid w:val="001E7121"/>
    <w:rsid w:val="001E7DB2"/>
    <w:rsid w:val="001F06F6"/>
    <w:rsid w:val="001F0D15"/>
    <w:rsid w:val="001F0FA4"/>
    <w:rsid w:val="001F1775"/>
    <w:rsid w:val="001F3553"/>
    <w:rsid w:val="001F3A8A"/>
    <w:rsid w:val="001F3EA0"/>
    <w:rsid w:val="001F49BF"/>
    <w:rsid w:val="001F525E"/>
    <w:rsid w:val="001F7AEF"/>
    <w:rsid w:val="002002C0"/>
    <w:rsid w:val="002007C3"/>
    <w:rsid w:val="00200E58"/>
    <w:rsid w:val="00202085"/>
    <w:rsid w:val="00202F82"/>
    <w:rsid w:val="00203D5C"/>
    <w:rsid w:val="00205ECC"/>
    <w:rsid w:val="002064D3"/>
    <w:rsid w:val="0020664E"/>
    <w:rsid w:val="00207F4C"/>
    <w:rsid w:val="002103F4"/>
    <w:rsid w:val="002106BF"/>
    <w:rsid w:val="00212180"/>
    <w:rsid w:val="0021299D"/>
    <w:rsid w:val="002129E3"/>
    <w:rsid w:val="0021322F"/>
    <w:rsid w:val="00215A3A"/>
    <w:rsid w:val="00216B09"/>
    <w:rsid w:val="00216F27"/>
    <w:rsid w:val="002176B8"/>
    <w:rsid w:val="00217DEE"/>
    <w:rsid w:val="00220867"/>
    <w:rsid w:val="00220A76"/>
    <w:rsid w:val="002216AD"/>
    <w:rsid w:val="00221D99"/>
    <w:rsid w:val="00221FFC"/>
    <w:rsid w:val="00222854"/>
    <w:rsid w:val="00223968"/>
    <w:rsid w:val="00223A9F"/>
    <w:rsid w:val="002251AA"/>
    <w:rsid w:val="002262BD"/>
    <w:rsid w:val="0022646A"/>
    <w:rsid w:val="0022674D"/>
    <w:rsid w:val="00227732"/>
    <w:rsid w:val="00227977"/>
    <w:rsid w:val="00230D33"/>
    <w:rsid w:val="002312A5"/>
    <w:rsid w:val="00233311"/>
    <w:rsid w:val="0023449A"/>
    <w:rsid w:val="00235CB8"/>
    <w:rsid w:val="00235F88"/>
    <w:rsid w:val="002368B6"/>
    <w:rsid w:val="00236B01"/>
    <w:rsid w:val="00241545"/>
    <w:rsid w:val="00241772"/>
    <w:rsid w:val="00243101"/>
    <w:rsid w:val="00245D19"/>
    <w:rsid w:val="00251399"/>
    <w:rsid w:val="00251F31"/>
    <w:rsid w:val="00252016"/>
    <w:rsid w:val="0025208E"/>
    <w:rsid w:val="00253EFF"/>
    <w:rsid w:val="002540BD"/>
    <w:rsid w:val="00254462"/>
    <w:rsid w:val="00254836"/>
    <w:rsid w:val="00255975"/>
    <w:rsid w:val="0025758F"/>
    <w:rsid w:val="00257EC2"/>
    <w:rsid w:val="002617FB"/>
    <w:rsid w:val="002623C0"/>
    <w:rsid w:val="0026243E"/>
    <w:rsid w:val="002634ED"/>
    <w:rsid w:val="0026367F"/>
    <w:rsid w:val="00263A43"/>
    <w:rsid w:val="00263E31"/>
    <w:rsid w:val="002642D0"/>
    <w:rsid w:val="00265009"/>
    <w:rsid w:val="00265CA5"/>
    <w:rsid w:val="00266A50"/>
    <w:rsid w:val="002675B8"/>
    <w:rsid w:val="00267F67"/>
    <w:rsid w:val="002702F7"/>
    <w:rsid w:val="002734B4"/>
    <w:rsid w:val="00273EAA"/>
    <w:rsid w:val="00273FC1"/>
    <w:rsid w:val="002740FB"/>
    <w:rsid w:val="002748C1"/>
    <w:rsid w:val="00275398"/>
    <w:rsid w:val="00275F63"/>
    <w:rsid w:val="00276702"/>
    <w:rsid w:val="00280F17"/>
    <w:rsid w:val="0028328D"/>
    <w:rsid w:val="002838F5"/>
    <w:rsid w:val="002845D4"/>
    <w:rsid w:val="00285BB6"/>
    <w:rsid w:val="00287183"/>
    <w:rsid w:val="00287C26"/>
    <w:rsid w:val="002905F5"/>
    <w:rsid w:val="002909CD"/>
    <w:rsid w:val="00291DFD"/>
    <w:rsid w:val="00292077"/>
    <w:rsid w:val="0029491C"/>
    <w:rsid w:val="002956FB"/>
    <w:rsid w:val="00295A2B"/>
    <w:rsid w:val="00295C47"/>
    <w:rsid w:val="00295DB4"/>
    <w:rsid w:val="0029614F"/>
    <w:rsid w:val="00296198"/>
    <w:rsid w:val="00296F1B"/>
    <w:rsid w:val="002A0830"/>
    <w:rsid w:val="002A4078"/>
    <w:rsid w:val="002A54A4"/>
    <w:rsid w:val="002A5CE0"/>
    <w:rsid w:val="002A73A8"/>
    <w:rsid w:val="002A7402"/>
    <w:rsid w:val="002B2F3C"/>
    <w:rsid w:val="002B3967"/>
    <w:rsid w:val="002B5B0B"/>
    <w:rsid w:val="002B5EC4"/>
    <w:rsid w:val="002B6A5B"/>
    <w:rsid w:val="002B6B66"/>
    <w:rsid w:val="002B6BED"/>
    <w:rsid w:val="002C2F3A"/>
    <w:rsid w:val="002C32AB"/>
    <w:rsid w:val="002C4039"/>
    <w:rsid w:val="002C41F9"/>
    <w:rsid w:val="002C4305"/>
    <w:rsid w:val="002C4495"/>
    <w:rsid w:val="002C5437"/>
    <w:rsid w:val="002C5711"/>
    <w:rsid w:val="002C5AC8"/>
    <w:rsid w:val="002C6C06"/>
    <w:rsid w:val="002C76AB"/>
    <w:rsid w:val="002D18DD"/>
    <w:rsid w:val="002D1E91"/>
    <w:rsid w:val="002D33CD"/>
    <w:rsid w:val="002D3D62"/>
    <w:rsid w:val="002D4536"/>
    <w:rsid w:val="002D5084"/>
    <w:rsid w:val="002D609D"/>
    <w:rsid w:val="002D6268"/>
    <w:rsid w:val="002D67DB"/>
    <w:rsid w:val="002D7C3F"/>
    <w:rsid w:val="002D7FB0"/>
    <w:rsid w:val="002E14EF"/>
    <w:rsid w:val="002E235A"/>
    <w:rsid w:val="002E310E"/>
    <w:rsid w:val="002E34D3"/>
    <w:rsid w:val="002E439A"/>
    <w:rsid w:val="002E65B6"/>
    <w:rsid w:val="002E6A4A"/>
    <w:rsid w:val="002E7BCC"/>
    <w:rsid w:val="002F0075"/>
    <w:rsid w:val="002F106C"/>
    <w:rsid w:val="002F1562"/>
    <w:rsid w:val="002F173C"/>
    <w:rsid w:val="002F1A49"/>
    <w:rsid w:val="002F2C61"/>
    <w:rsid w:val="002F38F6"/>
    <w:rsid w:val="002F48C8"/>
    <w:rsid w:val="002F55CE"/>
    <w:rsid w:val="002F56C9"/>
    <w:rsid w:val="002F6E62"/>
    <w:rsid w:val="002F76F5"/>
    <w:rsid w:val="00300006"/>
    <w:rsid w:val="00302597"/>
    <w:rsid w:val="00302A2C"/>
    <w:rsid w:val="00302C6A"/>
    <w:rsid w:val="00302D88"/>
    <w:rsid w:val="00303FAA"/>
    <w:rsid w:val="00306984"/>
    <w:rsid w:val="00310C8D"/>
    <w:rsid w:val="0031152E"/>
    <w:rsid w:val="00311843"/>
    <w:rsid w:val="0031273B"/>
    <w:rsid w:val="00313D4B"/>
    <w:rsid w:val="00313E67"/>
    <w:rsid w:val="00314A8A"/>
    <w:rsid w:val="00320DF6"/>
    <w:rsid w:val="003215F8"/>
    <w:rsid w:val="00324EC2"/>
    <w:rsid w:val="00325FBC"/>
    <w:rsid w:val="00326C77"/>
    <w:rsid w:val="00326E5D"/>
    <w:rsid w:val="00327546"/>
    <w:rsid w:val="003279F2"/>
    <w:rsid w:val="00330A87"/>
    <w:rsid w:val="0033108C"/>
    <w:rsid w:val="00331A40"/>
    <w:rsid w:val="00333FA5"/>
    <w:rsid w:val="0033439F"/>
    <w:rsid w:val="00337B57"/>
    <w:rsid w:val="003411FA"/>
    <w:rsid w:val="00342BA9"/>
    <w:rsid w:val="003432B2"/>
    <w:rsid w:val="00344A86"/>
    <w:rsid w:val="003455BC"/>
    <w:rsid w:val="003456D5"/>
    <w:rsid w:val="00346F17"/>
    <w:rsid w:val="00347081"/>
    <w:rsid w:val="003478A0"/>
    <w:rsid w:val="0035169B"/>
    <w:rsid w:val="0035287D"/>
    <w:rsid w:val="00354503"/>
    <w:rsid w:val="003601E7"/>
    <w:rsid w:val="003610EC"/>
    <w:rsid w:val="003613F5"/>
    <w:rsid w:val="003623F0"/>
    <w:rsid w:val="00362BDA"/>
    <w:rsid w:val="00363B0C"/>
    <w:rsid w:val="00366FD2"/>
    <w:rsid w:val="0036721B"/>
    <w:rsid w:val="003676F5"/>
    <w:rsid w:val="00367EDF"/>
    <w:rsid w:val="00370164"/>
    <w:rsid w:val="003708BF"/>
    <w:rsid w:val="003711CD"/>
    <w:rsid w:val="00372777"/>
    <w:rsid w:val="00374361"/>
    <w:rsid w:val="0037781D"/>
    <w:rsid w:val="00380DB1"/>
    <w:rsid w:val="00380DB3"/>
    <w:rsid w:val="0038150D"/>
    <w:rsid w:val="00381CB8"/>
    <w:rsid w:val="00381E5D"/>
    <w:rsid w:val="00381EED"/>
    <w:rsid w:val="0038290A"/>
    <w:rsid w:val="0038339C"/>
    <w:rsid w:val="00383B62"/>
    <w:rsid w:val="00383BCB"/>
    <w:rsid w:val="00383BFC"/>
    <w:rsid w:val="00384611"/>
    <w:rsid w:val="00384CA0"/>
    <w:rsid w:val="00384FEF"/>
    <w:rsid w:val="00386F09"/>
    <w:rsid w:val="003870BA"/>
    <w:rsid w:val="00387516"/>
    <w:rsid w:val="003875E4"/>
    <w:rsid w:val="00390195"/>
    <w:rsid w:val="003903BB"/>
    <w:rsid w:val="003903DA"/>
    <w:rsid w:val="00391B84"/>
    <w:rsid w:val="00391F82"/>
    <w:rsid w:val="00395604"/>
    <w:rsid w:val="00395A89"/>
    <w:rsid w:val="00395B95"/>
    <w:rsid w:val="00396685"/>
    <w:rsid w:val="00397F70"/>
    <w:rsid w:val="0039DF50"/>
    <w:rsid w:val="003A0028"/>
    <w:rsid w:val="003A17F4"/>
    <w:rsid w:val="003A250A"/>
    <w:rsid w:val="003A2A9C"/>
    <w:rsid w:val="003A2FA8"/>
    <w:rsid w:val="003A3403"/>
    <w:rsid w:val="003A3DCC"/>
    <w:rsid w:val="003A3E78"/>
    <w:rsid w:val="003A5361"/>
    <w:rsid w:val="003A5D3A"/>
    <w:rsid w:val="003B02D2"/>
    <w:rsid w:val="003B08C0"/>
    <w:rsid w:val="003B1699"/>
    <w:rsid w:val="003B1E91"/>
    <w:rsid w:val="003B38C3"/>
    <w:rsid w:val="003B4770"/>
    <w:rsid w:val="003B52DA"/>
    <w:rsid w:val="003B6D44"/>
    <w:rsid w:val="003B7A49"/>
    <w:rsid w:val="003B7D8F"/>
    <w:rsid w:val="003C20BF"/>
    <w:rsid w:val="003C3A85"/>
    <w:rsid w:val="003C3DC4"/>
    <w:rsid w:val="003C712F"/>
    <w:rsid w:val="003D0BFD"/>
    <w:rsid w:val="003D3131"/>
    <w:rsid w:val="003D5616"/>
    <w:rsid w:val="003D5D09"/>
    <w:rsid w:val="003D7218"/>
    <w:rsid w:val="003D7534"/>
    <w:rsid w:val="003E0734"/>
    <w:rsid w:val="003E15DF"/>
    <w:rsid w:val="003E1894"/>
    <w:rsid w:val="003E22E7"/>
    <w:rsid w:val="003E2D61"/>
    <w:rsid w:val="003E3004"/>
    <w:rsid w:val="003E3382"/>
    <w:rsid w:val="003E3A85"/>
    <w:rsid w:val="003E42C4"/>
    <w:rsid w:val="003E4AF4"/>
    <w:rsid w:val="003E666B"/>
    <w:rsid w:val="003E7978"/>
    <w:rsid w:val="003F0652"/>
    <w:rsid w:val="003F274C"/>
    <w:rsid w:val="003F36BE"/>
    <w:rsid w:val="003F39CE"/>
    <w:rsid w:val="003F3E19"/>
    <w:rsid w:val="003F42FD"/>
    <w:rsid w:val="003F4319"/>
    <w:rsid w:val="003F5442"/>
    <w:rsid w:val="003F6154"/>
    <w:rsid w:val="003F66B3"/>
    <w:rsid w:val="003F6E89"/>
    <w:rsid w:val="003F7F1D"/>
    <w:rsid w:val="003FAEA6"/>
    <w:rsid w:val="00400309"/>
    <w:rsid w:val="00400683"/>
    <w:rsid w:val="00400DE8"/>
    <w:rsid w:val="00402ECB"/>
    <w:rsid w:val="00402FCA"/>
    <w:rsid w:val="00403697"/>
    <w:rsid w:val="00403F96"/>
    <w:rsid w:val="004040AC"/>
    <w:rsid w:val="004130A4"/>
    <w:rsid w:val="00416324"/>
    <w:rsid w:val="00417277"/>
    <w:rsid w:val="00417460"/>
    <w:rsid w:val="004179F2"/>
    <w:rsid w:val="0041EA18"/>
    <w:rsid w:val="004214EF"/>
    <w:rsid w:val="004220B9"/>
    <w:rsid w:val="004229FE"/>
    <w:rsid w:val="00423092"/>
    <w:rsid w:val="00423486"/>
    <w:rsid w:val="00423BF0"/>
    <w:rsid w:val="004253E8"/>
    <w:rsid w:val="00426B73"/>
    <w:rsid w:val="00427EA9"/>
    <w:rsid w:val="004303FD"/>
    <w:rsid w:val="00431693"/>
    <w:rsid w:val="004319BC"/>
    <w:rsid w:val="00431ABE"/>
    <w:rsid w:val="00431C7C"/>
    <w:rsid w:val="00431F65"/>
    <w:rsid w:val="00434218"/>
    <w:rsid w:val="004350B0"/>
    <w:rsid w:val="00435859"/>
    <w:rsid w:val="00436608"/>
    <w:rsid w:val="00436CE5"/>
    <w:rsid w:val="00437E05"/>
    <w:rsid w:val="00437F28"/>
    <w:rsid w:val="004403AE"/>
    <w:rsid w:val="00440547"/>
    <w:rsid w:val="004408E3"/>
    <w:rsid w:val="00440C1E"/>
    <w:rsid w:val="00440D56"/>
    <w:rsid w:val="00440E96"/>
    <w:rsid w:val="00441177"/>
    <w:rsid w:val="00441DD8"/>
    <w:rsid w:val="0044434F"/>
    <w:rsid w:val="00444376"/>
    <w:rsid w:val="00446E6E"/>
    <w:rsid w:val="004515A9"/>
    <w:rsid w:val="00451CCE"/>
    <w:rsid w:val="00452767"/>
    <w:rsid w:val="00452DF1"/>
    <w:rsid w:val="0045437A"/>
    <w:rsid w:val="004546AA"/>
    <w:rsid w:val="00454F33"/>
    <w:rsid w:val="00461737"/>
    <w:rsid w:val="004627AE"/>
    <w:rsid w:val="00462884"/>
    <w:rsid w:val="00463D67"/>
    <w:rsid w:val="00464E84"/>
    <w:rsid w:val="00465CE9"/>
    <w:rsid w:val="00465F94"/>
    <w:rsid w:val="00466B1D"/>
    <w:rsid w:val="0046701A"/>
    <w:rsid w:val="00467274"/>
    <w:rsid w:val="00470516"/>
    <w:rsid w:val="004708BD"/>
    <w:rsid w:val="00470AB4"/>
    <w:rsid w:val="00470D4B"/>
    <w:rsid w:val="00470E38"/>
    <w:rsid w:val="00472572"/>
    <w:rsid w:val="0047266E"/>
    <w:rsid w:val="00472E16"/>
    <w:rsid w:val="0047345E"/>
    <w:rsid w:val="004734DF"/>
    <w:rsid w:val="004736EB"/>
    <w:rsid w:val="00473DE1"/>
    <w:rsid w:val="0047466C"/>
    <w:rsid w:val="00474B5A"/>
    <w:rsid w:val="00475733"/>
    <w:rsid w:val="00475796"/>
    <w:rsid w:val="00477670"/>
    <w:rsid w:val="004779C5"/>
    <w:rsid w:val="00477CCE"/>
    <w:rsid w:val="00482BB4"/>
    <w:rsid w:val="00484613"/>
    <w:rsid w:val="00486037"/>
    <w:rsid w:val="004861B2"/>
    <w:rsid w:val="00486943"/>
    <w:rsid w:val="004900A7"/>
    <w:rsid w:val="0049036C"/>
    <w:rsid w:val="0049064E"/>
    <w:rsid w:val="00490A65"/>
    <w:rsid w:val="004931C5"/>
    <w:rsid w:val="00493895"/>
    <w:rsid w:val="00493CC7"/>
    <w:rsid w:val="00495B91"/>
    <w:rsid w:val="00497BAA"/>
    <w:rsid w:val="00497D09"/>
    <w:rsid w:val="004A1895"/>
    <w:rsid w:val="004A4404"/>
    <w:rsid w:val="004A5408"/>
    <w:rsid w:val="004A54F1"/>
    <w:rsid w:val="004A594B"/>
    <w:rsid w:val="004A5E53"/>
    <w:rsid w:val="004A6D4D"/>
    <w:rsid w:val="004A7B8D"/>
    <w:rsid w:val="004B0908"/>
    <w:rsid w:val="004B2355"/>
    <w:rsid w:val="004B4AB1"/>
    <w:rsid w:val="004B5865"/>
    <w:rsid w:val="004B630F"/>
    <w:rsid w:val="004C18DF"/>
    <w:rsid w:val="004C29E5"/>
    <w:rsid w:val="004C2B46"/>
    <w:rsid w:val="004C2F15"/>
    <w:rsid w:val="004C3413"/>
    <w:rsid w:val="004C3603"/>
    <w:rsid w:val="004C36A1"/>
    <w:rsid w:val="004C3B95"/>
    <w:rsid w:val="004C524D"/>
    <w:rsid w:val="004C5CDC"/>
    <w:rsid w:val="004C5E23"/>
    <w:rsid w:val="004D0C0F"/>
    <w:rsid w:val="004D11DB"/>
    <w:rsid w:val="004D283D"/>
    <w:rsid w:val="004D2D9A"/>
    <w:rsid w:val="004D4133"/>
    <w:rsid w:val="004D4C6D"/>
    <w:rsid w:val="004D4EB8"/>
    <w:rsid w:val="004D7F5A"/>
    <w:rsid w:val="004E0069"/>
    <w:rsid w:val="004E01A4"/>
    <w:rsid w:val="004E2617"/>
    <w:rsid w:val="004E3FFF"/>
    <w:rsid w:val="004E430F"/>
    <w:rsid w:val="004E506F"/>
    <w:rsid w:val="004E555A"/>
    <w:rsid w:val="004E5B08"/>
    <w:rsid w:val="004E67BC"/>
    <w:rsid w:val="004E6CDE"/>
    <w:rsid w:val="004E722F"/>
    <w:rsid w:val="004F1FB4"/>
    <w:rsid w:val="004F2550"/>
    <w:rsid w:val="004F27A2"/>
    <w:rsid w:val="004F3250"/>
    <w:rsid w:val="004F3A0F"/>
    <w:rsid w:val="004F6742"/>
    <w:rsid w:val="004F709B"/>
    <w:rsid w:val="00500B5A"/>
    <w:rsid w:val="0050217A"/>
    <w:rsid w:val="005026B4"/>
    <w:rsid w:val="0050290F"/>
    <w:rsid w:val="00502E9F"/>
    <w:rsid w:val="00503049"/>
    <w:rsid w:val="00507336"/>
    <w:rsid w:val="00507535"/>
    <w:rsid w:val="00510C8E"/>
    <w:rsid w:val="00512A74"/>
    <w:rsid w:val="00514DFE"/>
    <w:rsid w:val="00516991"/>
    <w:rsid w:val="00516A95"/>
    <w:rsid w:val="00516E6E"/>
    <w:rsid w:val="00522A16"/>
    <w:rsid w:val="00522AD7"/>
    <w:rsid w:val="0052327F"/>
    <w:rsid w:val="0052640E"/>
    <w:rsid w:val="00527366"/>
    <w:rsid w:val="00530B3E"/>
    <w:rsid w:val="00530F72"/>
    <w:rsid w:val="00531FFF"/>
    <w:rsid w:val="00533977"/>
    <w:rsid w:val="00534B03"/>
    <w:rsid w:val="00534C33"/>
    <w:rsid w:val="005354C0"/>
    <w:rsid w:val="00535F78"/>
    <w:rsid w:val="00536CB9"/>
    <w:rsid w:val="00536D47"/>
    <w:rsid w:val="00536DB4"/>
    <w:rsid w:val="005371E6"/>
    <w:rsid w:val="00537BA8"/>
    <w:rsid w:val="0054025D"/>
    <w:rsid w:val="00540D78"/>
    <w:rsid w:val="00542C2A"/>
    <w:rsid w:val="00544F19"/>
    <w:rsid w:val="005467B8"/>
    <w:rsid w:val="0054733E"/>
    <w:rsid w:val="005479B8"/>
    <w:rsid w:val="0055123E"/>
    <w:rsid w:val="00551B24"/>
    <w:rsid w:val="005535E1"/>
    <w:rsid w:val="005552C0"/>
    <w:rsid w:val="00555E0E"/>
    <w:rsid w:val="005629CE"/>
    <w:rsid w:val="00563383"/>
    <w:rsid w:val="00563A83"/>
    <w:rsid w:val="00564755"/>
    <w:rsid w:val="005650C7"/>
    <w:rsid w:val="00565924"/>
    <w:rsid w:val="005666D8"/>
    <w:rsid w:val="00567619"/>
    <w:rsid w:val="005709AC"/>
    <w:rsid w:val="00570FBE"/>
    <w:rsid w:val="0057145F"/>
    <w:rsid w:val="00571556"/>
    <w:rsid w:val="005722A4"/>
    <w:rsid w:val="00573DDC"/>
    <w:rsid w:val="00574240"/>
    <w:rsid w:val="00574572"/>
    <w:rsid w:val="00577412"/>
    <w:rsid w:val="0057788E"/>
    <w:rsid w:val="00581564"/>
    <w:rsid w:val="00581967"/>
    <w:rsid w:val="00581C65"/>
    <w:rsid w:val="00581E37"/>
    <w:rsid w:val="00582292"/>
    <w:rsid w:val="00582452"/>
    <w:rsid w:val="005829EC"/>
    <w:rsid w:val="005830F7"/>
    <w:rsid w:val="0058419E"/>
    <w:rsid w:val="0058439D"/>
    <w:rsid w:val="00585CA4"/>
    <w:rsid w:val="005870A1"/>
    <w:rsid w:val="005906D5"/>
    <w:rsid w:val="00591923"/>
    <w:rsid w:val="00591A01"/>
    <w:rsid w:val="00593AFC"/>
    <w:rsid w:val="00593E20"/>
    <w:rsid w:val="00594F92"/>
    <w:rsid w:val="005956BA"/>
    <w:rsid w:val="00596DCF"/>
    <w:rsid w:val="00597948"/>
    <w:rsid w:val="005A19DE"/>
    <w:rsid w:val="005A2ABC"/>
    <w:rsid w:val="005A3A43"/>
    <w:rsid w:val="005A4DBB"/>
    <w:rsid w:val="005A5FD8"/>
    <w:rsid w:val="005A6304"/>
    <w:rsid w:val="005A6B49"/>
    <w:rsid w:val="005A6E77"/>
    <w:rsid w:val="005A783B"/>
    <w:rsid w:val="005B127F"/>
    <w:rsid w:val="005B137C"/>
    <w:rsid w:val="005B1939"/>
    <w:rsid w:val="005B1AC5"/>
    <w:rsid w:val="005B471A"/>
    <w:rsid w:val="005B4C03"/>
    <w:rsid w:val="005B4FED"/>
    <w:rsid w:val="005B5A41"/>
    <w:rsid w:val="005B6A25"/>
    <w:rsid w:val="005B6ACF"/>
    <w:rsid w:val="005B78AC"/>
    <w:rsid w:val="005B7E17"/>
    <w:rsid w:val="005C4647"/>
    <w:rsid w:val="005C640A"/>
    <w:rsid w:val="005C7C1F"/>
    <w:rsid w:val="005D051A"/>
    <w:rsid w:val="005D0BDC"/>
    <w:rsid w:val="005D0FF2"/>
    <w:rsid w:val="005D1063"/>
    <w:rsid w:val="005D11EF"/>
    <w:rsid w:val="005D162C"/>
    <w:rsid w:val="005D1979"/>
    <w:rsid w:val="005D260C"/>
    <w:rsid w:val="005D2610"/>
    <w:rsid w:val="005D44D2"/>
    <w:rsid w:val="005D508A"/>
    <w:rsid w:val="005D5290"/>
    <w:rsid w:val="005D7269"/>
    <w:rsid w:val="005D77CB"/>
    <w:rsid w:val="005E0B5A"/>
    <w:rsid w:val="005E0CF2"/>
    <w:rsid w:val="005E2AEA"/>
    <w:rsid w:val="005E2CC2"/>
    <w:rsid w:val="005E4560"/>
    <w:rsid w:val="005E5144"/>
    <w:rsid w:val="005E6334"/>
    <w:rsid w:val="005E68DF"/>
    <w:rsid w:val="005E6B70"/>
    <w:rsid w:val="005F00DC"/>
    <w:rsid w:val="005F12C9"/>
    <w:rsid w:val="005F239C"/>
    <w:rsid w:val="005F2688"/>
    <w:rsid w:val="005F3DB7"/>
    <w:rsid w:val="005F3FA3"/>
    <w:rsid w:val="005F556E"/>
    <w:rsid w:val="005F5D79"/>
    <w:rsid w:val="005F7A6D"/>
    <w:rsid w:val="00601239"/>
    <w:rsid w:val="00602CC5"/>
    <w:rsid w:val="0060352E"/>
    <w:rsid w:val="006035AF"/>
    <w:rsid w:val="00603C03"/>
    <w:rsid w:val="00607376"/>
    <w:rsid w:val="006103E6"/>
    <w:rsid w:val="00610BFB"/>
    <w:rsid w:val="00610E35"/>
    <w:rsid w:val="00611973"/>
    <w:rsid w:val="006122D8"/>
    <w:rsid w:val="0061247A"/>
    <w:rsid w:val="00612689"/>
    <w:rsid w:val="00612C52"/>
    <w:rsid w:val="00615000"/>
    <w:rsid w:val="006157E6"/>
    <w:rsid w:val="00615938"/>
    <w:rsid w:val="0061745B"/>
    <w:rsid w:val="0062027C"/>
    <w:rsid w:val="0062076E"/>
    <w:rsid w:val="00620AE6"/>
    <w:rsid w:val="00620FF4"/>
    <w:rsid w:val="00621863"/>
    <w:rsid w:val="00624240"/>
    <w:rsid w:val="00624DAC"/>
    <w:rsid w:val="00626051"/>
    <w:rsid w:val="0063014E"/>
    <w:rsid w:val="0063074A"/>
    <w:rsid w:val="00630881"/>
    <w:rsid w:val="00631B9F"/>
    <w:rsid w:val="00633030"/>
    <w:rsid w:val="00633775"/>
    <w:rsid w:val="00635E36"/>
    <w:rsid w:val="00636BFC"/>
    <w:rsid w:val="00636FA9"/>
    <w:rsid w:val="00643123"/>
    <w:rsid w:val="00645D63"/>
    <w:rsid w:val="006466AA"/>
    <w:rsid w:val="00646C70"/>
    <w:rsid w:val="006472D2"/>
    <w:rsid w:val="006477D9"/>
    <w:rsid w:val="00647889"/>
    <w:rsid w:val="00650F9E"/>
    <w:rsid w:val="0065112D"/>
    <w:rsid w:val="00651FA9"/>
    <w:rsid w:val="00653E2F"/>
    <w:rsid w:val="00654890"/>
    <w:rsid w:val="0065496E"/>
    <w:rsid w:val="00655C2D"/>
    <w:rsid w:val="0065643D"/>
    <w:rsid w:val="00657246"/>
    <w:rsid w:val="0065793E"/>
    <w:rsid w:val="00660673"/>
    <w:rsid w:val="006606D1"/>
    <w:rsid w:val="00660D08"/>
    <w:rsid w:val="0066134E"/>
    <w:rsid w:val="0066450E"/>
    <w:rsid w:val="00664A81"/>
    <w:rsid w:val="00664AA1"/>
    <w:rsid w:val="00664E16"/>
    <w:rsid w:val="0066575F"/>
    <w:rsid w:val="00665A2D"/>
    <w:rsid w:val="0066667F"/>
    <w:rsid w:val="0066694D"/>
    <w:rsid w:val="006679A9"/>
    <w:rsid w:val="00670006"/>
    <w:rsid w:val="00670E0D"/>
    <w:rsid w:val="00671092"/>
    <w:rsid w:val="00674194"/>
    <w:rsid w:val="0067468F"/>
    <w:rsid w:val="00674A64"/>
    <w:rsid w:val="00674B1F"/>
    <w:rsid w:val="00676EB8"/>
    <w:rsid w:val="006814BB"/>
    <w:rsid w:val="00681B84"/>
    <w:rsid w:val="00683641"/>
    <w:rsid w:val="006840EB"/>
    <w:rsid w:val="006852E5"/>
    <w:rsid w:val="006873F3"/>
    <w:rsid w:val="00687AF3"/>
    <w:rsid w:val="0069091F"/>
    <w:rsid w:val="0069204D"/>
    <w:rsid w:val="0069342C"/>
    <w:rsid w:val="0069431B"/>
    <w:rsid w:val="006946C6"/>
    <w:rsid w:val="006951B9"/>
    <w:rsid w:val="00695912"/>
    <w:rsid w:val="00696796"/>
    <w:rsid w:val="00697292"/>
    <w:rsid w:val="006A0326"/>
    <w:rsid w:val="006A0712"/>
    <w:rsid w:val="006A1520"/>
    <w:rsid w:val="006A2B41"/>
    <w:rsid w:val="006A43F4"/>
    <w:rsid w:val="006A4502"/>
    <w:rsid w:val="006A541C"/>
    <w:rsid w:val="006A5B3B"/>
    <w:rsid w:val="006A7F1A"/>
    <w:rsid w:val="006B1969"/>
    <w:rsid w:val="006B1DA6"/>
    <w:rsid w:val="006B377B"/>
    <w:rsid w:val="006B430E"/>
    <w:rsid w:val="006B4F42"/>
    <w:rsid w:val="006B55DC"/>
    <w:rsid w:val="006B692D"/>
    <w:rsid w:val="006B6B8F"/>
    <w:rsid w:val="006C0A07"/>
    <w:rsid w:val="006C1443"/>
    <w:rsid w:val="006C1DEE"/>
    <w:rsid w:val="006C388B"/>
    <w:rsid w:val="006C5211"/>
    <w:rsid w:val="006C6103"/>
    <w:rsid w:val="006C68E6"/>
    <w:rsid w:val="006C7A4C"/>
    <w:rsid w:val="006C7BD8"/>
    <w:rsid w:val="006C7C4C"/>
    <w:rsid w:val="006D0424"/>
    <w:rsid w:val="006D0CE1"/>
    <w:rsid w:val="006D406B"/>
    <w:rsid w:val="006D6E50"/>
    <w:rsid w:val="006E29B7"/>
    <w:rsid w:val="006E2AD2"/>
    <w:rsid w:val="006E2B32"/>
    <w:rsid w:val="006E448A"/>
    <w:rsid w:val="006E45E9"/>
    <w:rsid w:val="006E47AC"/>
    <w:rsid w:val="006E57C4"/>
    <w:rsid w:val="006F299B"/>
    <w:rsid w:val="006F2B34"/>
    <w:rsid w:val="006F36B3"/>
    <w:rsid w:val="006F3F2D"/>
    <w:rsid w:val="006F7053"/>
    <w:rsid w:val="0070014C"/>
    <w:rsid w:val="007006CC"/>
    <w:rsid w:val="0070142F"/>
    <w:rsid w:val="007021D7"/>
    <w:rsid w:val="00702277"/>
    <w:rsid w:val="00702459"/>
    <w:rsid w:val="0070539E"/>
    <w:rsid w:val="007057ED"/>
    <w:rsid w:val="00705CF0"/>
    <w:rsid w:val="0070672F"/>
    <w:rsid w:val="00707708"/>
    <w:rsid w:val="007105A6"/>
    <w:rsid w:val="007109AC"/>
    <w:rsid w:val="00715417"/>
    <w:rsid w:val="0071542F"/>
    <w:rsid w:val="0071713E"/>
    <w:rsid w:val="00720062"/>
    <w:rsid w:val="00720397"/>
    <w:rsid w:val="007216E3"/>
    <w:rsid w:val="0072171F"/>
    <w:rsid w:val="00722A2E"/>
    <w:rsid w:val="00722B7D"/>
    <w:rsid w:val="00722F1E"/>
    <w:rsid w:val="007233CB"/>
    <w:rsid w:val="0072431D"/>
    <w:rsid w:val="0072468B"/>
    <w:rsid w:val="00724F52"/>
    <w:rsid w:val="00726D75"/>
    <w:rsid w:val="00726DD4"/>
    <w:rsid w:val="007304A8"/>
    <w:rsid w:val="00730F56"/>
    <w:rsid w:val="00733C58"/>
    <w:rsid w:val="00734C84"/>
    <w:rsid w:val="0073677C"/>
    <w:rsid w:val="007413CB"/>
    <w:rsid w:val="00742749"/>
    <w:rsid w:val="00742B19"/>
    <w:rsid w:val="00744E2C"/>
    <w:rsid w:val="00747C22"/>
    <w:rsid w:val="00750404"/>
    <w:rsid w:val="007516E7"/>
    <w:rsid w:val="00752119"/>
    <w:rsid w:val="00754408"/>
    <w:rsid w:val="007557A1"/>
    <w:rsid w:val="007560B0"/>
    <w:rsid w:val="007561E7"/>
    <w:rsid w:val="00756325"/>
    <w:rsid w:val="00757EE9"/>
    <w:rsid w:val="0076035F"/>
    <w:rsid w:val="0076084B"/>
    <w:rsid w:val="00760E83"/>
    <w:rsid w:val="0076117F"/>
    <w:rsid w:val="00762DD6"/>
    <w:rsid w:val="007631C7"/>
    <w:rsid w:val="00763CCC"/>
    <w:rsid w:val="00764280"/>
    <w:rsid w:val="007666D1"/>
    <w:rsid w:val="00766C1F"/>
    <w:rsid w:val="00766D97"/>
    <w:rsid w:val="0076728B"/>
    <w:rsid w:val="00767544"/>
    <w:rsid w:val="00775170"/>
    <w:rsid w:val="007751E3"/>
    <w:rsid w:val="00776C72"/>
    <w:rsid w:val="0077723F"/>
    <w:rsid w:val="00777721"/>
    <w:rsid w:val="00777F35"/>
    <w:rsid w:val="007807DC"/>
    <w:rsid w:val="00781DDA"/>
    <w:rsid w:val="00782103"/>
    <w:rsid w:val="0078258F"/>
    <w:rsid w:val="0078297D"/>
    <w:rsid w:val="00783848"/>
    <w:rsid w:val="007846BC"/>
    <w:rsid w:val="00790B25"/>
    <w:rsid w:val="00790C7A"/>
    <w:rsid w:val="00792131"/>
    <w:rsid w:val="007927D8"/>
    <w:rsid w:val="007933C7"/>
    <w:rsid w:val="00794B6E"/>
    <w:rsid w:val="00795AF9"/>
    <w:rsid w:val="00795CC0"/>
    <w:rsid w:val="007969A4"/>
    <w:rsid w:val="007A0114"/>
    <w:rsid w:val="007A081B"/>
    <w:rsid w:val="007A2357"/>
    <w:rsid w:val="007A3B9E"/>
    <w:rsid w:val="007A5484"/>
    <w:rsid w:val="007A77CD"/>
    <w:rsid w:val="007B0B02"/>
    <w:rsid w:val="007B1321"/>
    <w:rsid w:val="007B1904"/>
    <w:rsid w:val="007B304A"/>
    <w:rsid w:val="007B407B"/>
    <w:rsid w:val="007B5553"/>
    <w:rsid w:val="007B5E91"/>
    <w:rsid w:val="007B699F"/>
    <w:rsid w:val="007B73DC"/>
    <w:rsid w:val="007B7F80"/>
    <w:rsid w:val="007C37CC"/>
    <w:rsid w:val="007D02FF"/>
    <w:rsid w:val="007D0760"/>
    <w:rsid w:val="007D2159"/>
    <w:rsid w:val="007D41AC"/>
    <w:rsid w:val="007D4B00"/>
    <w:rsid w:val="007D6370"/>
    <w:rsid w:val="007D71A1"/>
    <w:rsid w:val="007D7AC6"/>
    <w:rsid w:val="007E092F"/>
    <w:rsid w:val="007E18DF"/>
    <w:rsid w:val="007E1ADD"/>
    <w:rsid w:val="007E29A8"/>
    <w:rsid w:val="007E438F"/>
    <w:rsid w:val="007E4943"/>
    <w:rsid w:val="007E5112"/>
    <w:rsid w:val="007E5EC0"/>
    <w:rsid w:val="007E6F21"/>
    <w:rsid w:val="007F2108"/>
    <w:rsid w:val="007F3520"/>
    <w:rsid w:val="007F3528"/>
    <w:rsid w:val="007F4D36"/>
    <w:rsid w:val="007F6BCF"/>
    <w:rsid w:val="007F7C06"/>
    <w:rsid w:val="0080098A"/>
    <w:rsid w:val="00801761"/>
    <w:rsid w:val="0080189B"/>
    <w:rsid w:val="008021FF"/>
    <w:rsid w:val="00802B76"/>
    <w:rsid w:val="00803690"/>
    <w:rsid w:val="00805CB4"/>
    <w:rsid w:val="008061CC"/>
    <w:rsid w:val="008111EB"/>
    <w:rsid w:val="008126F8"/>
    <w:rsid w:val="008130C9"/>
    <w:rsid w:val="008132F9"/>
    <w:rsid w:val="00813D02"/>
    <w:rsid w:val="00814833"/>
    <w:rsid w:val="00814CA8"/>
    <w:rsid w:val="008158B6"/>
    <w:rsid w:val="00815C8F"/>
    <w:rsid w:val="0081715E"/>
    <w:rsid w:val="00817265"/>
    <w:rsid w:val="00817D8E"/>
    <w:rsid w:val="0082033D"/>
    <w:rsid w:val="008222AD"/>
    <w:rsid w:val="008233C2"/>
    <w:rsid w:val="00823509"/>
    <w:rsid w:val="00823949"/>
    <w:rsid w:val="00823D04"/>
    <w:rsid w:val="00824B88"/>
    <w:rsid w:val="00824B92"/>
    <w:rsid w:val="008251D5"/>
    <w:rsid w:val="00826631"/>
    <w:rsid w:val="0083104D"/>
    <w:rsid w:val="008322A6"/>
    <w:rsid w:val="00833B4F"/>
    <w:rsid w:val="0083496F"/>
    <w:rsid w:val="008349AE"/>
    <w:rsid w:val="00834E0B"/>
    <w:rsid w:val="00836755"/>
    <w:rsid w:val="00836C5D"/>
    <w:rsid w:val="0084036E"/>
    <w:rsid w:val="00842777"/>
    <w:rsid w:val="00842C2C"/>
    <w:rsid w:val="00843B89"/>
    <w:rsid w:val="0084427B"/>
    <w:rsid w:val="00844F9F"/>
    <w:rsid w:val="00845726"/>
    <w:rsid w:val="00846D77"/>
    <w:rsid w:val="008473F6"/>
    <w:rsid w:val="00847E3D"/>
    <w:rsid w:val="00851487"/>
    <w:rsid w:val="0085179D"/>
    <w:rsid w:val="00851C49"/>
    <w:rsid w:val="00852394"/>
    <w:rsid w:val="00852480"/>
    <w:rsid w:val="00853F4B"/>
    <w:rsid w:val="00855A96"/>
    <w:rsid w:val="00856343"/>
    <w:rsid w:val="00856632"/>
    <w:rsid w:val="008577CA"/>
    <w:rsid w:val="008603D2"/>
    <w:rsid w:val="008605DF"/>
    <w:rsid w:val="0086106C"/>
    <w:rsid w:val="008615B4"/>
    <w:rsid w:val="00861769"/>
    <w:rsid w:val="00862F15"/>
    <w:rsid w:val="00867308"/>
    <w:rsid w:val="00870F9C"/>
    <w:rsid w:val="008711E5"/>
    <w:rsid w:val="008735F5"/>
    <w:rsid w:val="0088083C"/>
    <w:rsid w:val="008813F0"/>
    <w:rsid w:val="00881793"/>
    <w:rsid w:val="00885976"/>
    <w:rsid w:val="0089099B"/>
    <w:rsid w:val="00891F62"/>
    <w:rsid w:val="008940C7"/>
    <w:rsid w:val="00894439"/>
    <w:rsid w:val="0089463F"/>
    <w:rsid w:val="00895EAB"/>
    <w:rsid w:val="00896716"/>
    <w:rsid w:val="008A0E69"/>
    <w:rsid w:val="008A16CF"/>
    <w:rsid w:val="008A38B0"/>
    <w:rsid w:val="008A6A3B"/>
    <w:rsid w:val="008A78C4"/>
    <w:rsid w:val="008B0543"/>
    <w:rsid w:val="008B21B9"/>
    <w:rsid w:val="008B4582"/>
    <w:rsid w:val="008B6D26"/>
    <w:rsid w:val="008B7629"/>
    <w:rsid w:val="008B76A0"/>
    <w:rsid w:val="008B7D9D"/>
    <w:rsid w:val="008B7F61"/>
    <w:rsid w:val="008C0888"/>
    <w:rsid w:val="008C1284"/>
    <w:rsid w:val="008C1293"/>
    <w:rsid w:val="008C239D"/>
    <w:rsid w:val="008C2447"/>
    <w:rsid w:val="008C3256"/>
    <w:rsid w:val="008C3505"/>
    <w:rsid w:val="008C7BC3"/>
    <w:rsid w:val="008D01F3"/>
    <w:rsid w:val="008D1291"/>
    <w:rsid w:val="008D1C7A"/>
    <w:rsid w:val="008D2025"/>
    <w:rsid w:val="008D22F8"/>
    <w:rsid w:val="008D2571"/>
    <w:rsid w:val="008D30EA"/>
    <w:rsid w:val="008D3E33"/>
    <w:rsid w:val="008D4649"/>
    <w:rsid w:val="008D48A5"/>
    <w:rsid w:val="008D55C8"/>
    <w:rsid w:val="008D611E"/>
    <w:rsid w:val="008D74F5"/>
    <w:rsid w:val="008D7F4F"/>
    <w:rsid w:val="008E1143"/>
    <w:rsid w:val="008E20DE"/>
    <w:rsid w:val="008E2A56"/>
    <w:rsid w:val="008E377C"/>
    <w:rsid w:val="008E74BE"/>
    <w:rsid w:val="008E7EE9"/>
    <w:rsid w:val="008F1082"/>
    <w:rsid w:val="008F1770"/>
    <w:rsid w:val="008F28A2"/>
    <w:rsid w:val="008F2FB5"/>
    <w:rsid w:val="008F4049"/>
    <w:rsid w:val="008F4630"/>
    <w:rsid w:val="0090075E"/>
    <w:rsid w:val="00900DFC"/>
    <w:rsid w:val="00900F95"/>
    <w:rsid w:val="009013C5"/>
    <w:rsid w:val="00901BD5"/>
    <w:rsid w:val="0090336B"/>
    <w:rsid w:val="00903AA5"/>
    <w:rsid w:val="00904991"/>
    <w:rsid w:val="009061A4"/>
    <w:rsid w:val="00907316"/>
    <w:rsid w:val="00907D31"/>
    <w:rsid w:val="00911BD5"/>
    <w:rsid w:val="00911EF0"/>
    <w:rsid w:val="00912E02"/>
    <w:rsid w:val="009138B5"/>
    <w:rsid w:val="00914FEE"/>
    <w:rsid w:val="00916D5F"/>
    <w:rsid w:val="00923623"/>
    <w:rsid w:val="009245A1"/>
    <w:rsid w:val="00924711"/>
    <w:rsid w:val="00924E4F"/>
    <w:rsid w:val="0092757B"/>
    <w:rsid w:val="009315EE"/>
    <w:rsid w:val="00932093"/>
    <w:rsid w:val="009325C1"/>
    <w:rsid w:val="00932E88"/>
    <w:rsid w:val="0093440F"/>
    <w:rsid w:val="00934EEE"/>
    <w:rsid w:val="0093658C"/>
    <w:rsid w:val="00936717"/>
    <w:rsid w:val="0094071A"/>
    <w:rsid w:val="00942024"/>
    <w:rsid w:val="00942E75"/>
    <w:rsid w:val="00944550"/>
    <w:rsid w:val="009449C8"/>
    <w:rsid w:val="00945BFF"/>
    <w:rsid w:val="0094631C"/>
    <w:rsid w:val="00946F37"/>
    <w:rsid w:val="00947410"/>
    <w:rsid w:val="0095004C"/>
    <w:rsid w:val="00950085"/>
    <w:rsid w:val="00950A23"/>
    <w:rsid w:val="009517C3"/>
    <w:rsid w:val="009520F1"/>
    <w:rsid w:val="009531CA"/>
    <w:rsid w:val="00954808"/>
    <w:rsid w:val="009550AD"/>
    <w:rsid w:val="009565D4"/>
    <w:rsid w:val="00956943"/>
    <w:rsid w:val="00961E10"/>
    <w:rsid w:val="00961FB4"/>
    <w:rsid w:val="009636CF"/>
    <w:rsid w:val="00964F6A"/>
    <w:rsid w:val="00964F81"/>
    <w:rsid w:val="00966F60"/>
    <w:rsid w:val="00967590"/>
    <w:rsid w:val="00967D7C"/>
    <w:rsid w:val="0097214E"/>
    <w:rsid w:val="00972AFF"/>
    <w:rsid w:val="0097331A"/>
    <w:rsid w:val="00974434"/>
    <w:rsid w:val="0097600C"/>
    <w:rsid w:val="00977D73"/>
    <w:rsid w:val="00977E63"/>
    <w:rsid w:val="009814B6"/>
    <w:rsid w:val="009840DE"/>
    <w:rsid w:val="00985F4F"/>
    <w:rsid w:val="00990DA4"/>
    <w:rsid w:val="00991581"/>
    <w:rsid w:val="0099262A"/>
    <w:rsid w:val="00994181"/>
    <w:rsid w:val="00994FC4"/>
    <w:rsid w:val="0099739B"/>
    <w:rsid w:val="009A025A"/>
    <w:rsid w:val="009A05F3"/>
    <w:rsid w:val="009A1FD6"/>
    <w:rsid w:val="009A3099"/>
    <w:rsid w:val="009A35E7"/>
    <w:rsid w:val="009A402D"/>
    <w:rsid w:val="009A507B"/>
    <w:rsid w:val="009B104E"/>
    <w:rsid w:val="009B4413"/>
    <w:rsid w:val="009B4CD8"/>
    <w:rsid w:val="009B5487"/>
    <w:rsid w:val="009B56DA"/>
    <w:rsid w:val="009B5F2E"/>
    <w:rsid w:val="009B6198"/>
    <w:rsid w:val="009C1B16"/>
    <w:rsid w:val="009C1CAF"/>
    <w:rsid w:val="009C223E"/>
    <w:rsid w:val="009C4071"/>
    <w:rsid w:val="009C42CD"/>
    <w:rsid w:val="009C5B59"/>
    <w:rsid w:val="009C5D46"/>
    <w:rsid w:val="009D082F"/>
    <w:rsid w:val="009D1168"/>
    <w:rsid w:val="009D13BB"/>
    <w:rsid w:val="009D50EB"/>
    <w:rsid w:val="009D6139"/>
    <w:rsid w:val="009D61F4"/>
    <w:rsid w:val="009D648D"/>
    <w:rsid w:val="009D762A"/>
    <w:rsid w:val="009E1730"/>
    <w:rsid w:val="009E1FB9"/>
    <w:rsid w:val="009E20D0"/>
    <w:rsid w:val="009E32F5"/>
    <w:rsid w:val="009E34AC"/>
    <w:rsid w:val="009E4C83"/>
    <w:rsid w:val="009E51E9"/>
    <w:rsid w:val="009E5A33"/>
    <w:rsid w:val="009E6279"/>
    <w:rsid w:val="009E6AAB"/>
    <w:rsid w:val="009F1F1A"/>
    <w:rsid w:val="009F2649"/>
    <w:rsid w:val="009F3E6A"/>
    <w:rsid w:val="009F42BA"/>
    <w:rsid w:val="009F4A67"/>
    <w:rsid w:val="009F704C"/>
    <w:rsid w:val="009F7A37"/>
    <w:rsid w:val="00A00CA8"/>
    <w:rsid w:val="00A0133E"/>
    <w:rsid w:val="00A01FE0"/>
    <w:rsid w:val="00A0215D"/>
    <w:rsid w:val="00A06666"/>
    <w:rsid w:val="00A079EF"/>
    <w:rsid w:val="00A07E3D"/>
    <w:rsid w:val="00A0FF1A"/>
    <w:rsid w:val="00A105E0"/>
    <w:rsid w:val="00A10898"/>
    <w:rsid w:val="00A12C65"/>
    <w:rsid w:val="00A137CE"/>
    <w:rsid w:val="00A14CAC"/>
    <w:rsid w:val="00A15A89"/>
    <w:rsid w:val="00A23061"/>
    <w:rsid w:val="00A24570"/>
    <w:rsid w:val="00A24FCA"/>
    <w:rsid w:val="00A2667A"/>
    <w:rsid w:val="00A26EE6"/>
    <w:rsid w:val="00A27534"/>
    <w:rsid w:val="00A3018B"/>
    <w:rsid w:val="00A3128D"/>
    <w:rsid w:val="00A324EA"/>
    <w:rsid w:val="00A330DC"/>
    <w:rsid w:val="00A33A46"/>
    <w:rsid w:val="00A33CF4"/>
    <w:rsid w:val="00A3471F"/>
    <w:rsid w:val="00A35408"/>
    <w:rsid w:val="00A35B05"/>
    <w:rsid w:val="00A35DCE"/>
    <w:rsid w:val="00A41510"/>
    <w:rsid w:val="00A4269C"/>
    <w:rsid w:val="00A4303C"/>
    <w:rsid w:val="00A45A40"/>
    <w:rsid w:val="00A45B43"/>
    <w:rsid w:val="00A45CF2"/>
    <w:rsid w:val="00A4794A"/>
    <w:rsid w:val="00A5046B"/>
    <w:rsid w:val="00A5124D"/>
    <w:rsid w:val="00A52527"/>
    <w:rsid w:val="00A533DE"/>
    <w:rsid w:val="00A53D74"/>
    <w:rsid w:val="00A53E2B"/>
    <w:rsid w:val="00A53EB9"/>
    <w:rsid w:val="00A5419B"/>
    <w:rsid w:val="00A5597E"/>
    <w:rsid w:val="00A56BB0"/>
    <w:rsid w:val="00A5700D"/>
    <w:rsid w:val="00A603C7"/>
    <w:rsid w:val="00A62683"/>
    <w:rsid w:val="00A629EF"/>
    <w:rsid w:val="00A63C9C"/>
    <w:rsid w:val="00A63E70"/>
    <w:rsid w:val="00A654C1"/>
    <w:rsid w:val="00A67C7A"/>
    <w:rsid w:val="00A7078B"/>
    <w:rsid w:val="00A70F7C"/>
    <w:rsid w:val="00A71E17"/>
    <w:rsid w:val="00A71F9C"/>
    <w:rsid w:val="00A724E3"/>
    <w:rsid w:val="00A7318D"/>
    <w:rsid w:val="00A74E14"/>
    <w:rsid w:val="00A753CD"/>
    <w:rsid w:val="00A76AD6"/>
    <w:rsid w:val="00A80CBA"/>
    <w:rsid w:val="00A81135"/>
    <w:rsid w:val="00A817CE"/>
    <w:rsid w:val="00A823D4"/>
    <w:rsid w:val="00A8356E"/>
    <w:rsid w:val="00A850A5"/>
    <w:rsid w:val="00A855C0"/>
    <w:rsid w:val="00A85B30"/>
    <w:rsid w:val="00A91E89"/>
    <w:rsid w:val="00A928FA"/>
    <w:rsid w:val="00A933EB"/>
    <w:rsid w:val="00A94C11"/>
    <w:rsid w:val="00A950B5"/>
    <w:rsid w:val="00AA0472"/>
    <w:rsid w:val="00AA08ED"/>
    <w:rsid w:val="00AA1EBA"/>
    <w:rsid w:val="00AA2F50"/>
    <w:rsid w:val="00AA6D62"/>
    <w:rsid w:val="00AA7B0B"/>
    <w:rsid w:val="00AB0989"/>
    <w:rsid w:val="00AB1E21"/>
    <w:rsid w:val="00AB3167"/>
    <w:rsid w:val="00AB32CF"/>
    <w:rsid w:val="00AB4548"/>
    <w:rsid w:val="00AB4BAB"/>
    <w:rsid w:val="00AB547D"/>
    <w:rsid w:val="00AB5B05"/>
    <w:rsid w:val="00AB5E6E"/>
    <w:rsid w:val="00AB6564"/>
    <w:rsid w:val="00AB7637"/>
    <w:rsid w:val="00AB7A6D"/>
    <w:rsid w:val="00AB7A7D"/>
    <w:rsid w:val="00AC07A4"/>
    <w:rsid w:val="00AC0C31"/>
    <w:rsid w:val="00AC52A5"/>
    <w:rsid w:val="00AC59EB"/>
    <w:rsid w:val="00AC5A36"/>
    <w:rsid w:val="00AC5EC9"/>
    <w:rsid w:val="00AC627E"/>
    <w:rsid w:val="00AC76EF"/>
    <w:rsid w:val="00AD0BB7"/>
    <w:rsid w:val="00AD2235"/>
    <w:rsid w:val="00AD25FB"/>
    <w:rsid w:val="00AD2A2A"/>
    <w:rsid w:val="00AD3095"/>
    <w:rsid w:val="00AD4B99"/>
    <w:rsid w:val="00AD5ABA"/>
    <w:rsid w:val="00AD5C47"/>
    <w:rsid w:val="00AD6564"/>
    <w:rsid w:val="00AD68C6"/>
    <w:rsid w:val="00AD69A4"/>
    <w:rsid w:val="00AD6FF4"/>
    <w:rsid w:val="00AE093E"/>
    <w:rsid w:val="00AE0A04"/>
    <w:rsid w:val="00AE131D"/>
    <w:rsid w:val="00AE2F45"/>
    <w:rsid w:val="00AE51B4"/>
    <w:rsid w:val="00AE5200"/>
    <w:rsid w:val="00AE748D"/>
    <w:rsid w:val="00AE7982"/>
    <w:rsid w:val="00AE7F83"/>
    <w:rsid w:val="00AF1FAC"/>
    <w:rsid w:val="00AF20AC"/>
    <w:rsid w:val="00AF2484"/>
    <w:rsid w:val="00AF3757"/>
    <w:rsid w:val="00AF3B3C"/>
    <w:rsid w:val="00AF4267"/>
    <w:rsid w:val="00AF46DD"/>
    <w:rsid w:val="00AF687E"/>
    <w:rsid w:val="00AF70AE"/>
    <w:rsid w:val="00AF78D4"/>
    <w:rsid w:val="00B01553"/>
    <w:rsid w:val="00B02599"/>
    <w:rsid w:val="00B03A98"/>
    <w:rsid w:val="00B0541A"/>
    <w:rsid w:val="00B058CF"/>
    <w:rsid w:val="00B058EE"/>
    <w:rsid w:val="00B05E82"/>
    <w:rsid w:val="00B0627D"/>
    <w:rsid w:val="00B07054"/>
    <w:rsid w:val="00B10876"/>
    <w:rsid w:val="00B116D9"/>
    <w:rsid w:val="00B11A44"/>
    <w:rsid w:val="00B11D0F"/>
    <w:rsid w:val="00B13A00"/>
    <w:rsid w:val="00B14060"/>
    <w:rsid w:val="00B15A8C"/>
    <w:rsid w:val="00B1671A"/>
    <w:rsid w:val="00B16B3C"/>
    <w:rsid w:val="00B174A3"/>
    <w:rsid w:val="00B234CF"/>
    <w:rsid w:val="00B24BAF"/>
    <w:rsid w:val="00B24DEE"/>
    <w:rsid w:val="00B255B7"/>
    <w:rsid w:val="00B25EE3"/>
    <w:rsid w:val="00B269D4"/>
    <w:rsid w:val="00B26E47"/>
    <w:rsid w:val="00B2797A"/>
    <w:rsid w:val="00B306D7"/>
    <w:rsid w:val="00B326B6"/>
    <w:rsid w:val="00B3357C"/>
    <w:rsid w:val="00B3390A"/>
    <w:rsid w:val="00B36809"/>
    <w:rsid w:val="00B405EB"/>
    <w:rsid w:val="00B418F5"/>
    <w:rsid w:val="00B43515"/>
    <w:rsid w:val="00B45829"/>
    <w:rsid w:val="00B5007B"/>
    <w:rsid w:val="00B50C91"/>
    <w:rsid w:val="00B51E9A"/>
    <w:rsid w:val="00B520C2"/>
    <w:rsid w:val="00B52AC8"/>
    <w:rsid w:val="00B53ADE"/>
    <w:rsid w:val="00B54095"/>
    <w:rsid w:val="00B545BD"/>
    <w:rsid w:val="00B54B11"/>
    <w:rsid w:val="00B551E4"/>
    <w:rsid w:val="00B55F2F"/>
    <w:rsid w:val="00B574B1"/>
    <w:rsid w:val="00B61677"/>
    <w:rsid w:val="00B61C4A"/>
    <w:rsid w:val="00B61EC9"/>
    <w:rsid w:val="00B62090"/>
    <w:rsid w:val="00B6232C"/>
    <w:rsid w:val="00B632EE"/>
    <w:rsid w:val="00B63601"/>
    <w:rsid w:val="00B65417"/>
    <w:rsid w:val="00B65FE6"/>
    <w:rsid w:val="00B66D70"/>
    <w:rsid w:val="00B679AD"/>
    <w:rsid w:val="00B67BA8"/>
    <w:rsid w:val="00B703D5"/>
    <w:rsid w:val="00B7123F"/>
    <w:rsid w:val="00B74CFA"/>
    <w:rsid w:val="00B7523C"/>
    <w:rsid w:val="00B76A61"/>
    <w:rsid w:val="00B7744A"/>
    <w:rsid w:val="00B80CB9"/>
    <w:rsid w:val="00B8240F"/>
    <w:rsid w:val="00B82D4D"/>
    <w:rsid w:val="00B83CB3"/>
    <w:rsid w:val="00B86346"/>
    <w:rsid w:val="00B87EE6"/>
    <w:rsid w:val="00B90139"/>
    <w:rsid w:val="00B9049F"/>
    <w:rsid w:val="00B91EE7"/>
    <w:rsid w:val="00B9260A"/>
    <w:rsid w:val="00B9307B"/>
    <w:rsid w:val="00B93107"/>
    <w:rsid w:val="00B93694"/>
    <w:rsid w:val="00B93FF4"/>
    <w:rsid w:val="00B948DD"/>
    <w:rsid w:val="00B95359"/>
    <w:rsid w:val="00B95BAD"/>
    <w:rsid w:val="00B96ABD"/>
    <w:rsid w:val="00BA0A28"/>
    <w:rsid w:val="00BA2171"/>
    <w:rsid w:val="00BA3407"/>
    <w:rsid w:val="00BA4443"/>
    <w:rsid w:val="00BA4485"/>
    <w:rsid w:val="00BA5729"/>
    <w:rsid w:val="00BA5983"/>
    <w:rsid w:val="00BA684B"/>
    <w:rsid w:val="00BA690F"/>
    <w:rsid w:val="00BA6A4A"/>
    <w:rsid w:val="00BA6E4C"/>
    <w:rsid w:val="00BA73C6"/>
    <w:rsid w:val="00BA7BA0"/>
    <w:rsid w:val="00BA7BE4"/>
    <w:rsid w:val="00BA7D22"/>
    <w:rsid w:val="00BB0F15"/>
    <w:rsid w:val="00BB0FCF"/>
    <w:rsid w:val="00BB1B8D"/>
    <w:rsid w:val="00BB2F36"/>
    <w:rsid w:val="00BB356A"/>
    <w:rsid w:val="00BB40CF"/>
    <w:rsid w:val="00BB5141"/>
    <w:rsid w:val="00BB58B5"/>
    <w:rsid w:val="00BC0229"/>
    <w:rsid w:val="00BC0C3E"/>
    <w:rsid w:val="00BC181F"/>
    <w:rsid w:val="00BC1CD5"/>
    <w:rsid w:val="00BC21CB"/>
    <w:rsid w:val="00BC5550"/>
    <w:rsid w:val="00BC56BD"/>
    <w:rsid w:val="00BC6B41"/>
    <w:rsid w:val="00BC739D"/>
    <w:rsid w:val="00BD20E1"/>
    <w:rsid w:val="00BD2D17"/>
    <w:rsid w:val="00BD4289"/>
    <w:rsid w:val="00BD42E5"/>
    <w:rsid w:val="00BD6B27"/>
    <w:rsid w:val="00BE02A5"/>
    <w:rsid w:val="00BE0415"/>
    <w:rsid w:val="00BE1C3C"/>
    <w:rsid w:val="00BE2D0F"/>
    <w:rsid w:val="00BE383C"/>
    <w:rsid w:val="00BE4346"/>
    <w:rsid w:val="00BE484D"/>
    <w:rsid w:val="00BE4EAB"/>
    <w:rsid w:val="00BE6411"/>
    <w:rsid w:val="00BE711C"/>
    <w:rsid w:val="00BF1237"/>
    <w:rsid w:val="00BF17E7"/>
    <w:rsid w:val="00BF18DC"/>
    <w:rsid w:val="00BF1FDC"/>
    <w:rsid w:val="00BF2464"/>
    <w:rsid w:val="00BF330E"/>
    <w:rsid w:val="00BF403A"/>
    <w:rsid w:val="00BF6F64"/>
    <w:rsid w:val="00C027FF"/>
    <w:rsid w:val="00C03D52"/>
    <w:rsid w:val="00C040A5"/>
    <w:rsid w:val="00C040C6"/>
    <w:rsid w:val="00C04543"/>
    <w:rsid w:val="00C04B4F"/>
    <w:rsid w:val="00C06FC6"/>
    <w:rsid w:val="00C105EF"/>
    <w:rsid w:val="00C1139B"/>
    <w:rsid w:val="00C13DE2"/>
    <w:rsid w:val="00C14408"/>
    <w:rsid w:val="00C14776"/>
    <w:rsid w:val="00C152CD"/>
    <w:rsid w:val="00C1538D"/>
    <w:rsid w:val="00C17F58"/>
    <w:rsid w:val="00C20904"/>
    <w:rsid w:val="00C20BE7"/>
    <w:rsid w:val="00C20CC5"/>
    <w:rsid w:val="00C224C5"/>
    <w:rsid w:val="00C22E6C"/>
    <w:rsid w:val="00C23F65"/>
    <w:rsid w:val="00C254CD"/>
    <w:rsid w:val="00C258E4"/>
    <w:rsid w:val="00C26739"/>
    <w:rsid w:val="00C307E7"/>
    <w:rsid w:val="00C30861"/>
    <w:rsid w:val="00C32CBC"/>
    <w:rsid w:val="00C33FE0"/>
    <w:rsid w:val="00C34A92"/>
    <w:rsid w:val="00C35829"/>
    <w:rsid w:val="00C370A7"/>
    <w:rsid w:val="00C41182"/>
    <w:rsid w:val="00C43356"/>
    <w:rsid w:val="00C436D4"/>
    <w:rsid w:val="00C44A8E"/>
    <w:rsid w:val="00C45953"/>
    <w:rsid w:val="00C46355"/>
    <w:rsid w:val="00C47960"/>
    <w:rsid w:val="00C508B2"/>
    <w:rsid w:val="00C520A3"/>
    <w:rsid w:val="00C52112"/>
    <w:rsid w:val="00C57E90"/>
    <w:rsid w:val="00C6029D"/>
    <w:rsid w:val="00C61A1A"/>
    <w:rsid w:val="00C62114"/>
    <w:rsid w:val="00C62F1C"/>
    <w:rsid w:val="00C6308A"/>
    <w:rsid w:val="00C6337D"/>
    <w:rsid w:val="00C6380F"/>
    <w:rsid w:val="00C63BE3"/>
    <w:rsid w:val="00C6408F"/>
    <w:rsid w:val="00C65634"/>
    <w:rsid w:val="00C6575D"/>
    <w:rsid w:val="00C65A80"/>
    <w:rsid w:val="00C70D96"/>
    <w:rsid w:val="00C71A63"/>
    <w:rsid w:val="00C72F1B"/>
    <w:rsid w:val="00C736AD"/>
    <w:rsid w:val="00C744A3"/>
    <w:rsid w:val="00C74B68"/>
    <w:rsid w:val="00C754B8"/>
    <w:rsid w:val="00C7646B"/>
    <w:rsid w:val="00C81DB5"/>
    <w:rsid w:val="00C822B7"/>
    <w:rsid w:val="00C837F5"/>
    <w:rsid w:val="00C85F93"/>
    <w:rsid w:val="00C8728A"/>
    <w:rsid w:val="00C873D6"/>
    <w:rsid w:val="00C900FF"/>
    <w:rsid w:val="00C911BB"/>
    <w:rsid w:val="00C91663"/>
    <w:rsid w:val="00C929F8"/>
    <w:rsid w:val="00C94154"/>
    <w:rsid w:val="00C94BDE"/>
    <w:rsid w:val="00C95FF9"/>
    <w:rsid w:val="00C96E29"/>
    <w:rsid w:val="00C977A5"/>
    <w:rsid w:val="00CA031E"/>
    <w:rsid w:val="00CA0681"/>
    <w:rsid w:val="00CA2E0C"/>
    <w:rsid w:val="00CA345E"/>
    <w:rsid w:val="00CA4631"/>
    <w:rsid w:val="00CA7FB3"/>
    <w:rsid w:val="00CB21DC"/>
    <w:rsid w:val="00CB24F4"/>
    <w:rsid w:val="00CB3D25"/>
    <w:rsid w:val="00CB3FC8"/>
    <w:rsid w:val="00CB3FF8"/>
    <w:rsid w:val="00CB442A"/>
    <w:rsid w:val="00CB5934"/>
    <w:rsid w:val="00CB6483"/>
    <w:rsid w:val="00CB66A6"/>
    <w:rsid w:val="00CB67F6"/>
    <w:rsid w:val="00CB6C1C"/>
    <w:rsid w:val="00CC06A0"/>
    <w:rsid w:val="00CC0F06"/>
    <w:rsid w:val="00CC12B2"/>
    <w:rsid w:val="00CC1F84"/>
    <w:rsid w:val="00CC463D"/>
    <w:rsid w:val="00CC4F0F"/>
    <w:rsid w:val="00CC4F26"/>
    <w:rsid w:val="00CC58B8"/>
    <w:rsid w:val="00CC5A32"/>
    <w:rsid w:val="00CC63C0"/>
    <w:rsid w:val="00CC73B8"/>
    <w:rsid w:val="00CD0E4F"/>
    <w:rsid w:val="00CD466A"/>
    <w:rsid w:val="00CD4956"/>
    <w:rsid w:val="00CD4B2E"/>
    <w:rsid w:val="00CD4DE4"/>
    <w:rsid w:val="00CD5478"/>
    <w:rsid w:val="00CD6527"/>
    <w:rsid w:val="00CD6665"/>
    <w:rsid w:val="00CD6B3F"/>
    <w:rsid w:val="00CF0981"/>
    <w:rsid w:val="00CF0D57"/>
    <w:rsid w:val="00CF3E63"/>
    <w:rsid w:val="00CF3EDF"/>
    <w:rsid w:val="00CF561E"/>
    <w:rsid w:val="00CF5BDB"/>
    <w:rsid w:val="00CF6F83"/>
    <w:rsid w:val="00CF7625"/>
    <w:rsid w:val="00D022D7"/>
    <w:rsid w:val="00D0262D"/>
    <w:rsid w:val="00D0273C"/>
    <w:rsid w:val="00D05A6E"/>
    <w:rsid w:val="00D05BBB"/>
    <w:rsid w:val="00D07684"/>
    <w:rsid w:val="00D1078B"/>
    <w:rsid w:val="00D10AAD"/>
    <w:rsid w:val="00D10FAB"/>
    <w:rsid w:val="00D11A10"/>
    <w:rsid w:val="00D12C3F"/>
    <w:rsid w:val="00D12D45"/>
    <w:rsid w:val="00D143BA"/>
    <w:rsid w:val="00D14827"/>
    <w:rsid w:val="00D14D1D"/>
    <w:rsid w:val="00D1528B"/>
    <w:rsid w:val="00D15E89"/>
    <w:rsid w:val="00D17865"/>
    <w:rsid w:val="00D20DD2"/>
    <w:rsid w:val="00D214BA"/>
    <w:rsid w:val="00D2155C"/>
    <w:rsid w:val="00D248EB"/>
    <w:rsid w:val="00D24A91"/>
    <w:rsid w:val="00D24EA2"/>
    <w:rsid w:val="00D31B0F"/>
    <w:rsid w:val="00D33FA4"/>
    <w:rsid w:val="00D34EEE"/>
    <w:rsid w:val="00D3567D"/>
    <w:rsid w:val="00D36E67"/>
    <w:rsid w:val="00D3721E"/>
    <w:rsid w:val="00D37B88"/>
    <w:rsid w:val="00D37BAF"/>
    <w:rsid w:val="00D409B7"/>
    <w:rsid w:val="00D40A64"/>
    <w:rsid w:val="00D41308"/>
    <w:rsid w:val="00D44121"/>
    <w:rsid w:val="00D442D9"/>
    <w:rsid w:val="00D44EA7"/>
    <w:rsid w:val="00D4515A"/>
    <w:rsid w:val="00D469AB"/>
    <w:rsid w:val="00D46C86"/>
    <w:rsid w:val="00D51108"/>
    <w:rsid w:val="00D51337"/>
    <w:rsid w:val="00D514AB"/>
    <w:rsid w:val="00D51B1E"/>
    <w:rsid w:val="00D51BE3"/>
    <w:rsid w:val="00D52184"/>
    <w:rsid w:val="00D52C45"/>
    <w:rsid w:val="00D52CE9"/>
    <w:rsid w:val="00D53023"/>
    <w:rsid w:val="00D53515"/>
    <w:rsid w:val="00D54992"/>
    <w:rsid w:val="00D54E6F"/>
    <w:rsid w:val="00D55B09"/>
    <w:rsid w:val="00D57E5F"/>
    <w:rsid w:val="00D618CD"/>
    <w:rsid w:val="00D61FF0"/>
    <w:rsid w:val="00D647F2"/>
    <w:rsid w:val="00D71743"/>
    <w:rsid w:val="00D71B21"/>
    <w:rsid w:val="00D73095"/>
    <w:rsid w:val="00D8054B"/>
    <w:rsid w:val="00D808EA"/>
    <w:rsid w:val="00D836D2"/>
    <w:rsid w:val="00D85EB4"/>
    <w:rsid w:val="00D86713"/>
    <w:rsid w:val="00D9060A"/>
    <w:rsid w:val="00D91666"/>
    <w:rsid w:val="00D918A7"/>
    <w:rsid w:val="00D91B96"/>
    <w:rsid w:val="00D91C3B"/>
    <w:rsid w:val="00D925F7"/>
    <w:rsid w:val="00D94F22"/>
    <w:rsid w:val="00D95091"/>
    <w:rsid w:val="00D9571E"/>
    <w:rsid w:val="00D960FF"/>
    <w:rsid w:val="00D96202"/>
    <w:rsid w:val="00D96598"/>
    <w:rsid w:val="00D96AC6"/>
    <w:rsid w:val="00D96F88"/>
    <w:rsid w:val="00D979EA"/>
    <w:rsid w:val="00D97D77"/>
    <w:rsid w:val="00DA014B"/>
    <w:rsid w:val="00DA02B9"/>
    <w:rsid w:val="00DA0E45"/>
    <w:rsid w:val="00DA32A6"/>
    <w:rsid w:val="00DA4285"/>
    <w:rsid w:val="00DA42EA"/>
    <w:rsid w:val="00DA61E6"/>
    <w:rsid w:val="00DA6400"/>
    <w:rsid w:val="00DA7419"/>
    <w:rsid w:val="00DA7FEA"/>
    <w:rsid w:val="00DB269B"/>
    <w:rsid w:val="00DB2E3E"/>
    <w:rsid w:val="00DB3815"/>
    <w:rsid w:val="00DB399E"/>
    <w:rsid w:val="00DC02B5"/>
    <w:rsid w:val="00DC087E"/>
    <w:rsid w:val="00DC18AC"/>
    <w:rsid w:val="00DC2431"/>
    <w:rsid w:val="00DC2510"/>
    <w:rsid w:val="00DC3242"/>
    <w:rsid w:val="00DC34E5"/>
    <w:rsid w:val="00DC4BA5"/>
    <w:rsid w:val="00DC6213"/>
    <w:rsid w:val="00DC6377"/>
    <w:rsid w:val="00DD1D1A"/>
    <w:rsid w:val="00DD27D1"/>
    <w:rsid w:val="00DD2EDE"/>
    <w:rsid w:val="00DD3EE4"/>
    <w:rsid w:val="00DD4409"/>
    <w:rsid w:val="00DD5176"/>
    <w:rsid w:val="00DD589B"/>
    <w:rsid w:val="00DD58C4"/>
    <w:rsid w:val="00DD5F52"/>
    <w:rsid w:val="00DD638E"/>
    <w:rsid w:val="00DD6EE5"/>
    <w:rsid w:val="00DD7AC5"/>
    <w:rsid w:val="00DE060C"/>
    <w:rsid w:val="00DE143B"/>
    <w:rsid w:val="00DE221A"/>
    <w:rsid w:val="00DE2316"/>
    <w:rsid w:val="00DE2334"/>
    <w:rsid w:val="00DE2755"/>
    <w:rsid w:val="00DE3BAC"/>
    <w:rsid w:val="00DE3F91"/>
    <w:rsid w:val="00DE5C1E"/>
    <w:rsid w:val="00DE5DF1"/>
    <w:rsid w:val="00DF1BFE"/>
    <w:rsid w:val="00DF599C"/>
    <w:rsid w:val="00DF67EC"/>
    <w:rsid w:val="00DF689B"/>
    <w:rsid w:val="00DF68F0"/>
    <w:rsid w:val="00DF6CDE"/>
    <w:rsid w:val="00DF7242"/>
    <w:rsid w:val="00E0113D"/>
    <w:rsid w:val="00E015EB"/>
    <w:rsid w:val="00E028AF"/>
    <w:rsid w:val="00E03038"/>
    <w:rsid w:val="00E038B0"/>
    <w:rsid w:val="00E039CB"/>
    <w:rsid w:val="00E04155"/>
    <w:rsid w:val="00E060BE"/>
    <w:rsid w:val="00E065C4"/>
    <w:rsid w:val="00E06693"/>
    <w:rsid w:val="00E06B14"/>
    <w:rsid w:val="00E06D1B"/>
    <w:rsid w:val="00E06DC2"/>
    <w:rsid w:val="00E07F01"/>
    <w:rsid w:val="00E10266"/>
    <w:rsid w:val="00E1243B"/>
    <w:rsid w:val="00E131B7"/>
    <w:rsid w:val="00E1400A"/>
    <w:rsid w:val="00E1423B"/>
    <w:rsid w:val="00E14CEE"/>
    <w:rsid w:val="00E14E8F"/>
    <w:rsid w:val="00E15A93"/>
    <w:rsid w:val="00E16148"/>
    <w:rsid w:val="00E16ADA"/>
    <w:rsid w:val="00E17F9D"/>
    <w:rsid w:val="00E20083"/>
    <w:rsid w:val="00E208D4"/>
    <w:rsid w:val="00E20AF1"/>
    <w:rsid w:val="00E24B07"/>
    <w:rsid w:val="00E24E66"/>
    <w:rsid w:val="00E2539D"/>
    <w:rsid w:val="00E25DFC"/>
    <w:rsid w:val="00E30F9F"/>
    <w:rsid w:val="00E316A8"/>
    <w:rsid w:val="00E317E1"/>
    <w:rsid w:val="00E33231"/>
    <w:rsid w:val="00E339B3"/>
    <w:rsid w:val="00E36E69"/>
    <w:rsid w:val="00E40419"/>
    <w:rsid w:val="00E410D6"/>
    <w:rsid w:val="00E435B5"/>
    <w:rsid w:val="00E443F4"/>
    <w:rsid w:val="00E461EE"/>
    <w:rsid w:val="00E46E53"/>
    <w:rsid w:val="00E46F44"/>
    <w:rsid w:val="00E4702D"/>
    <w:rsid w:val="00E52E12"/>
    <w:rsid w:val="00E55491"/>
    <w:rsid w:val="00E569C9"/>
    <w:rsid w:val="00E60473"/>
    <w:rsid w:val="00E606C0"/>
    <w:rsid w:val="00E616E6"/>
    <w:rsid w:val="00E6186E"/>
    <w:rsid w:val="00E6236F"/>
    <w:rsid w:val="00E63968"/>
    <w:rsid w:val="00E63EF4"/>
    <w:rsid w:val="00E64A15"/>
    <w:rsid w:val="00E65A8D"/>
    <w:rsid w:val="00E70701"/>
    <w:rsid w:val="00E71A23"/>
    <w:rsid w:val="00E72F03"/>
    <w:rsid w:val="00E737A3"/>
    <w:rsid w:val="00E73AC8"/>
    <w:rsid w:val="00E73F45"/>
    <w:rsid w:val="00E740C2"/>
    <w:rsid w:val="00E7420B"/>
    <w:rsid w:val="00E7429A"/>
    <w:rsid w:val="00E75D89"/>
    <w:rsid w:val="00E770A4"/>
    <w:rsid w:val="00E81A71"/>
    <w:rsid w:val="00E82A5E"/>
    <w:rsid w:val="00E84434"/>
    <w:rsid w:val="00E863AC"/>
    <w:rsid w:val="00E910C0"/>
    <w:rsid w:val="00E924C8"/>
    <w:rsid w:val="00E927B5"/>
    <w:rsid w:val="00E9320A"/>
    <w:rsid w:val="00E9324B"/>
    <w:rsid w:val="00E9511F"/>
    <w:rsid w:val="00E954B3"/>
    <w:rsid w:val="00E96823"/>
    <w:rsid w:val="00E971E6"/>
    <w:rsid w:val="00EA0512"/>
    <w:rsid w:val="00EA21E0"/>
    <w:rsid w:val="00EA61C6"/>
    <w:rsid w:val="00EB1D8B"/>
    <w:rsid w:val="00EB2526"/>
    <w:rsid w:val="00EB30F5"/>
    <w:rsid w:val="00EB4A14"/>
    <w:rsid w:val="00EB5291"/>
    <w:rsid w:val="00EB5299"/>
    <w:rsid w:val="00EB5C8B"/>
    <w:rsid w:val="00EB5F40"/>
    <w:rsid w:val="00EB75D2"/>
    <w:rsid w:val="00EB7EB8"/>
    <w:rsid w:val="00EC1259"/>
    <w:rsid w:val="00EC19E3"/>
    <w:rsid w:val="00EC29D5"/>
    <w:rsid w:val="00EC3CC1"/>
    <w:rsid w:val="00EC3D78"/>
    <w:rsid w:val="00EC47CA"/>
    <w:rsid w:val="00EC5F47"/>
    <w:rsid w:val="00EC6153"/>
    <w:rsid w:val="00EC6461"/>
    <w:rsid w:val="00ED0365"/>
    <w:rsid w:val="00ED0430"/>
    <w:rsid w:val="00ED07D0"/>
    <w:rsid w:val="00ED0E85"/>
    <w:rsid w:val="00ED1514"/>
    <w:rsid w:val="00ED263C"/>
    <w:rsid w:val="00ED2A92"/>
    <w:rsid w:val="00ED2B55"/>
    <w:rsid w:val="00ED3BFF"/>
    <w:rsid w:val="00ED503D"/>
    <w:rsid w:val="00ED6213"/>
    <w:rsid w:val="00ED6872"/>
    <w:rsid w:val="00ED6D79"/>
    <w:rsid w:val="00ED7FAD"/>
    <w:rsid w:val="00EE0109"/>
    <w:rsid w:val="00EE022D"/>
    <w:rsid w:val="00EE11FD"/>
    <w:rsid w:val="00EE1D07"/>
    <w:rsid w:val="00EE1EA6"/>
    <w:rsid w:val="00EE2537"/>
    <w:rsid w:val="00EE2DA2"/>
    <w:rsid w:val="00EE325C"/>
    <w:rsid w:val="00EE4B98"/>
    <w:rsid w:val="00EF0FFD"/>
    <w:rsid w:val="00EF3F59"/>
    <w:rsid w:val="00EF55A5"/>
    <w:rsid w:val="00EF5607"/>
    <w:rsid w:val="00EF5CA8"/>
    <w:rsid w:val="00EF6A51"/>
    <w:rsid w:val="00EF712F"/>
    <w:rsid w:val="00EF7227"/>
    <w:rsid w:val="00F006D6"/>
    <w:rsid w:val="00F00F7C"/>
    <w:rsid w:val="00F00FB6"/>
    <w:rsid w:val="00F02929"/>
    <w:rsid w:val="00F02DA1"/>
    <w:rsid w:val="00F030AA"/>
    <w:rsid w:val="00F0426D"/>
    <w:rsid w:val="00F04707"/>
    <w:rsid w:val="00F050EB"/>
    <w:rsid w:val="00F06420"/>
    <w:rsid w:val="00F10880"/>
    <w:rsid w:val="00F10BF8"/>
    <w:rsid w:val="00F12CFA"/>
    <w:rsid w:val="00F13235"/>
    <w:rsid w:val="00F145E8"/>
    <w:rsid w:val="00F1494E"/>
    <w:rsid w:val="00F152A4"/>
    <w:rsid w:val="00F21C9D"/>
    <w:rsid w:val="00F22A28"/>
    <w:rsid w:val="00F23798"/>
    <w:rsid w:val="00F24675"/>
    <w:rsid w:val="00F25C44"/>
    <w:rsid w:val="00F260AC"/>
    <w:rsid w:val="00F26DFB"/>
    <w:rsid w:val="00F27043"/>
    <w:rsid w:val="00F313DA"/>
    <w:rsid w:val="00F317E0"/>
    <w:rsid w:val="00F3241A"/>
    <w:rsid w:val="00F324D5"/>
    <w:rsid w:val="00F32718"/>
    <w:rsid w:val="00F327B4"/>
    <w:rsid w:val="00F32C54"/>
    <w:rsid w:val="00F32E6E"/>
    <w:rsid w:val="00F41461"/>
    <w:rsid w:val="00F415E1"/>
    <w:rsid w:val="00F41BD6"/>
    <w:rsid w:val="00F42092"/>
    <w:rsid w:val="00F4263A"/>
    <w:rsid w:val="00F42AAE"/>
    <w:rsid w:val="00F42B60"/>
    <w:rsid w:val="00F43D93"/>
    <w:rsid w:val="00F453E6"/>
    <w:rsid w:val="00F46DC4"/>
    <w:rsid w:val="00F47E96"/>
    <w:rsid w:val="00F50320"/>
    <w:rsid w:val="00F50A3A"/>
    <w:rsid w:val="00F51B86"/>
    <w:rsid w:val="00F51FB5"/>
    <w:rsid w:val="00F52676"/>
    <w:rsid w:val="00F53A4C"/>
    <w:rsid w:val="00F53EFF"/>
    <w:rsid w:val="00F5526E"/>
    <w:rsid w:val="00F568A5"/>
    <w:rsid w:val="00F569E1"/>
    <w:rsid w:val="00F570A3"/>
    <w:rsid w:val="00F577C0"/>
    <w:rsid w:val="00F60AB5"/>
    <w:rsid w:val="00F62411"/>
    <w:rsid w:val="00F62A1E"/>
    <w:rsid w:val="00F6309A"/>
    <w:rsid w:val="00F64C90"/>
    <w:rsid w:val="00F64CE5"/>
    <w:rsid w:val="00F64DB9"/>
    <w:rsid w:val="00F65513"/>
    <w:rsid w:val="00F65E14"/>
    <w:rsid w:val="00F66062"/>
    <w:rsid w:val="00F707C7"/>
    <w:rsid w:val="00F7138F"/>
    <w:rsid w:val="00F71DCE"/>
    <w:rsid w:val="00F72957"/>
    <w:rsid w:val="00F73175"/>
    <w:rsid w:val="00F74136"/>
    <w:rsid w:val="00F774B6"/>
    <w:rsid w:val="00F82350"/>
    <w:rsid w:val="00F825C3"/>
    <w:rsid w:val="00F8281D"/>
    <w:rsid w:val="00F82DFC"/>
    <w:rsid w:val="00F84174"/>
    <w:rsid w:val="00F8484B"/>
    <w:rsid w:val="00F8506F"/>
    <w:rsid w:val="00F85399"/>
    <w:rsid w:val="00F91907"/>
    <w:rsid w:val="00F91BDF"/>
    <w:rsid w:val="00F9248F"/>
    <w:rsid w:val="00F93183"/>
    <w:rsid w:val="00F942EF"/>
    <w:rsid w:val="00F966CD"/>
    <w:rsid w:val="00F96D00"/>
    <w:rsid w:val="00FA035F"/>
    <w:rsid w:val="00FA0E0C"/>
    <w:rsid w:val="00FA0F85"/>
    <w:rsid w:val="00FA2276"/>
    <w:rsid w:val="00FA3DAC"/>
    <w:rsid w:val="00FA40D7"/>
    <w:rsid w:val="00FA4FDE"/>
    <w:rsid w:val="00FA512D"/>
    <w:rsid w:val="00FA532D"/>
    <w:rsid w:val="00FA53E6"/>
    <w:rsid w:val="00FA686C"/>
    <w:rsid w:val="00FA6932"/>
    <w:rsid w:val="00FA6CEA"/>
    <w:rsid w:val="00FB0139"/>
    <w:rsid w:val="00FB1945"/>
    <w:rsid w:val="00FB2FCA"/>
    <w:rsid w:val="00FB3972"/>
    <w:rsid w:val="00FB70DE"/>
    <w:rsid w:val="00FC0446"/>
    <w:rsid w:val="00FC0E6A"/>
    <w:rsid w:val="00FC0EBA"/>
    <w:rsid w:val="00FC0EDD"/>
    <w:rsid w:val="00FC137A"/>
    <w:rsid w:val="00FC2BD1"/>
    <w:rsid w:val="00FC335E"/>
    <w:rsid w:val="00FC3ABF"/>
    <w:rsid w:val="00FC6D87"/>
    <w:rsid w:val="00FC7B3B"/>
    <w:rsid w:val="00FD17C2"/>
    <w:rsid w:val="00FD1BF1"/>
    <w:rsid w:val="00FD39E1"/>
    <w:rsid w:val="00FD3B50"/>
    <w:rsid w:val="00FD634F"/>
    <w:rsid w:val="00FD6E13"/>
    <w:rsid w:val="00FE0A7C"/>
    <w:rsid w:val="00FE1CE4"/>
    <w:rsid w:val="00FE2611"/>
    <w:rsid w:val="00FE2C8E"/>
    <w:rsid w:val="00FE69D5"/>
    <w:rsid w:val="00FE7A1C"/>
    <w:rsid w:val="00FF0DFC"/>
    <w:rsid w:val="00FF2067"/>
    <w:rsid w:val="00FF23FD"/>
    <w:rsid w:val="00FF2AB0"/>
    <w:rsid w:val="00FF3FFA"/>
    <w:rsid w:val="00FF4B27"/>
    <w:rsid w:val="00FF5339"/>
    <w:rsid w:val="00FF5782"/>
    <w:rsid w:val="00FF7656"/>
    <w:rsid w:val="00FF798C"/>
    <w:rsid w:val="012373D1"/>
    <w:rsid w:val="0124C7E3"/>
    <w:rsid w:val="01540888"/>
    <w:rsid w:val="01559303"/>
    <w:rsid w:val="0162EDCF"/>
    <w:rsid w:val="017805CB"/>
    <w:rsid w:val="0186B1C8"/>
    <w:rsid w:val="01BD05F6"/>
    <w:rsid w:val="01C3670E"/>
    <w:rsid w:val="01D7A808"/>
    <w:rsid w:val="01E0150A"/>
    <w:rsid w:val="01EC381D"/>
    <w:rsid w:val="01F7147B"/>
    <w:rsid w:val="01F81267"/>
    <w:rsid w:val="020987BD"/>
    <w:rsid w:val="0232BF9B"/>
    <w:rsid w:val="02462FCB"/>
    <w:rsid w:val="024C0692"/>
    <w:rsid w:val="02528308"/>
    <w:rsid w:val="02856D23"/>
    <w:rsid w:val="02A00A47"/>
    <w:rsid w:val="02C352E3"/>
    <w:rsid w:val="02C61448"/>
    <w:rsid w:val="02DA8E26"/>
    <w:rsid w:val="030CD53E"/>
    <w:rsid w:val="03183893"/>
    <w:rsid w:val="031D716B"/>
    <w:rsid w:val="0323C7EF"/>
    <w:rsid w:val="03307260"/>
    <w:rsid w:val="03502E7A"/>
    <w:rsid w:val="03576D61"/>
    <w:rsid w:val="03859360"/>
    <w:rsid w:val="03E162AB"/>
    <w:rsid w:val="03E83AA7"/>
    <w:rsid w:val="03F11CFC"/>
    <w:rsid w:val="03F385E3"/>
    <w:rsid w:val="03F9B522"/>
    <w:rsid w:val="040E168D"/>
    <w:rsid w:val="0428DE02"/>
    <w:rsid w:val="045A9F7F"/>
    <w:rsid w:val="045ED77A"/>
    <w:rsid w:val="04787C18"/>
    <w:rsid w:val="049585D9"/>
    <w:rsid w:val="04A73047"/>
    <w:rsid w:val="04AD41E4"/>
    <w:rsid w:val="04B90306"/>
    <w:rsid w:val="04D29242"/>
    <w:rsid w:val="04F6E593"/>
    <w:rsid w:val="0501575F"/>
    <w:rsid w:val="05052AD7"/>
    <w:rsid w:val="05364542"/>
    <w:rsid w:val="0574E6C7"/>
    <w:rsid w:val="05885D66"/>
    <w:rsid w:val="058B2A6D"/>
    <w:rsid w:val="05A00929"/>
    <w:rsid w:val="05B5EA7B"/>
    <w:rsid w:val="05B839C7"/>
    <w:rsid w:val="05C876CC"/>
    <w:rsid w:val="05D00FCF"/>
    <w:rsid w:val="05E4B729"/>
    <w:rsid w:val="05F668D1"/>
    <w:rsid w:val="05F95B9A"/>
    <w:rsid w:val="063A6994"/>
    <w:rsid w:val="063B1B42"/>
    <w:rsid w:val="063C5658"/>
    <w:rsid w:val="06423BB7"/>
    <w:rsid w:val="065E3C1A"/>
    <w:rsid w:val="0677D05B"/>
    <w:rsid w:val="06839FB1"/>
    <w:rsid w:val="06957684"/>
    <w:rsid w:val="06A24B3A"/>
    <w:rsid w:val="06D215AF"/>
    <w:rsid w:val="06E3B67F"/>
    <w:rsid w:val="06EAC940"/>
    <w:rsid w:val="06EFD098"/>
    <w:rsid w:val="06FF8A54"/>
    <w:rsid w:val="07263978"/>
    <w:rsid w:val="072CAFCA"/>
    <w:rsid w:val="073F69A6"/>
    <w:rsid w:val="0757AA1B"/>
    <w:rsid w:val="07736035"/>
    <w:rsid w:val="0773BC3B"/>
    <w:rsid w:val="07788929"/>
    <w:rsid w:val="077B64F0"/>
    <w:rsid w:val="07BD4ABC"/>
    <w:rsid w:val="07C03D66"/>
    <w:rsid w:val="07C8024A"/>
    <w:rsid w:val="07E40C9F"/>
    <w:rsid w:val="07E5B18A"/>
    <w:rsid w:val="07E6E5F7"/>
    <w:rsid w:val="07FB9224"/>
    <w:rsid w:val="08022446"/>
    <w:rsid w:val="080816DA"/>
    <w:rsid w:val="081955DB"/>
    <w:rsid w:val="081E98A7"/>
    <w:rsid w:val="0854170D"/>
    <w:rsid w:val="08561F8A"/>
    <w:rsid w:val="0864BE17"/>
    <w:rsid w:val="08665DD8"/>
    <w:rsid w:val="0866BEB9"/>
    <w:rsid w:val="08728976"/>
    <w:rsid w:val="087F36D4"/>
    <w:rsid w:val="088EE2B4"/>
    <w:rsid w:val="0891A624"/>
    <w:rsid w:val="08B4C470"/>
    <w:rsid w:val="08BD036D"/>
    <w:rsid w:val="08C2ECB3"/>
    <w:rsid w:val="08D1A9E0"/>
    <w:rsid w:val="08D4AF95"/>
    <w:rsid w:val="08D9EF53"/>
    <w:rsid w:val="08EBAE89"/>
    <w:rsid w:val="08F4BBCC"/>
    <w:rsid w:val="08FC94D5"/>
    <w:rsid w:val="09017029"/>
    <w:rsid w:val="0910B56D"/>
    <w:rsid w:val="0912B634"/>
    <w:rsid w:val="093E7ED2"/>
    <w:rsid w:val="09484460"/>
    <w:rsid w:val="095F1A2A"/>
    <w:rsid w:val="0982FCC3"/>
    <w:rsid w:val="0989E955"/>
    <w:rsid w:val="0990FB98"/>
    <w:rsid w:val="099B694B"/>
    <w:rsid w:val="099BE550"/>
    <w:rsid w:val="09B2722B"/>
    <w:rsid w:val="09C524C3"/>
    <w:rsid w:val="09C8344E"/>
    <w:rsid w:val="09D8925C"/>
    <w:rsid w:val="09E082CF"/>
    <w:rsid w:val="0A04711D"/>
    <w:rsid w:val="0A18A5E5"/>
    <w:rsid w:val="0A635E83"/>
    <w:rsid w:val="0A6E7061"/>
    <w:rsid w:val="0A9AB432"/>
    <w:rsid w:val="0A9F7F55"/>
    <w:rsid w:val="0AA01198"/>
    <w:rsid w:val="0AA8AB40"/>
    <w:rsid w:val="0AB1B861"/>
    <w:rsid w:val="0ACDEB31"/>
    <w:rsid w:val="0AD93F5F"/>
    <w:rsid w:val="0B05A382"/>
    <w:rsid w:val="0B1A168B"/>
    <w:rsid w:val="0B29B0BB"/>
    <w:rsid w:val="0B2B35C7"/>
    <w:rsid w:val="0B36DC30"/>
    <w:rsid w:val="0B48525A"/>
    <w:rsid w:val="0B54703F"/>
    <w:rsid w:val="0B547B96"/>
    <w:rsid w:val="0B779392"/>
    <w:rsid w:val="0BAC703D"/>
    <w:rsid w:val="0BAD80F5"/>
    <w:rsid w:val="0BBDB1B8"/>
    <w:rsid w:val="0BCDF885"/>
    <w:rsid w:val="0BE18E5A"/>
    <w:rsid w:val="0BECB168"/>
    <w:rsid w:val="0C011153"/>
    <w:rsid w:val="0C429D0B"/>
    <w:rsid w:val="0C65C415"/>
    <w:rsid w:val="0C7478C5"/>
    <w:rsid w:val="0C75C9B3"/>
    <w:rsid w:val="0C78A373"/>
    <w:rsid w:val="0C922BA5"/>
    <w:rsid w:val="0C9845AA"/>
    <w:rsid w:val="0C99C141"/>
    <w:rsid w:val="0CBB741C"/>
    <w:rsid w:val="0CF7967F"/>
    <w:rsid w:val="0D048811"/>
    <w:rsid w:val="0D0D2393"/>
    <w:rsid w:val="0D0F220F"/>
    <w:rsid w:val="0D3C1CF7"/>
    <w:rsid w:val="0D4D670E"/>
    <w:rsid w:val="0D65A47F"/>
    <w:rsid w:val="0D6854D8"/>
    <w:rsid w:val="0D79FCB2"/>
    <w:rsid w:val="0D8887B2"/>
    <w:rsid w:val="0D91936A"/>
    <w:rsid w:val="0DAD8F10"/>
    <w:rsid w:val="0DC06F69"/>
    <w:rsid w:val="0DD41D41"/>
    <w:rsid w:val="0DFD8478"/>
    <w:rsid w:val="0E07698C"/>
    <w:rsid w:val="0E2A98DC"/>
    <w:rsid w:val="0E3C9E34"/>
    <w:rsid w:val="0E8300B5"/>
    <w:rsid w:val="0EAC5AA6"/>
    <w:rsid w:val="0EACA1EF"/>
    <w:rsid w:val="0EAD711E"/>
    <w:rsid w:val="0EB262F1"/>
    <w:rsid w:val="0EBDB9E2"/>
    <w:rsid w:val="0EC42B07"/>
    <w:rsid w:val="0EC8691B"/>
    <w:rsid w:val="0ECD56B6"/>
    <w:rsid w:val="0ECE800D"/>
    <w:rsid w:val="0ED20CE6"/>
    <w:rsid w:val="0ED6D870"/>
    <w:rsid w:val="0EE93736"/>
    <w:rsid w:val="0EF23BC9"/>
    <w:rsid w:val="0F2448A1"/>
    <w:rsid w:val="0F2D24EF"/>
    <w:rsid w:val="0F55B424"/>
    <w:rsid w:val="0F5AC5BE"/>
    <w:rsid w:val="0FC5BD67"/>
    <w:rsid w:val="0FDBD3EC"/>
    <w:rsid w:val="0FE6D55F"/>
    <w:rsid w:val="0FF23DB5"/>
    <w:rsid w:val="1003199C"/>
    <w:rsid w:val="1009DD2D"/>
    <w:rsid w:val="100B6612"/>
    <w:rsid w:val="1010F99D"/>
    <w:rsid w:val="1016BDD3"/>
    <w:rsid w:val="101DA92E"/>
    <w:rsid w:val="104272A6"/>
    <w:rsid w:val="106B51D1"/>
    <w:rsid w:val="1093515A"/>
    <w:rsid w:val="10A27741"/>
    <w:rsid w:val="10A5CD71"/>
    <w:rsid w:val="10A5DFE2"/>
    <w:rsid w:val="10B5989D"/>
    <w:rsid w:val="10B9D884"/>
    <w:rsid w:val="10BBDD84"/>
    <w:rsid w:val="10BC2A84"/>
    <w:rsid w:val="10D5033A"/>
    <w:rsid w:val="10EF0F65"/>
    <w:rsid w:val="10F0A3C0"/>
    <w:rsid w:val="111166ED"/>
    <w:rsid w:val="112CF014"/>
    <w:rsid w:val="1132CABF"/>
    <w:rsid w:val="11732ACB"/>
    <w:rsid w:val="118E0E16"/>
    <w:rsid w:val="11926A17"/>
    <w:rsid w:val="11B63BE6"/>
    <w:rsid w:val="11BDF046"/>
    <w:rsid w:val="11C634D7"/>
    <w:rsid w:val="11CA463A"/>
    <w:rsid w:val="11CC75DE"/>
    <w:rsid w:val="11E2F683"/>
    <w:rsid w:val="11F154CB"/>
    <w:rsid w:val="120D398F"/>
    <w:rsid w:val="121830E9"/>
    <w:rsid w:val="121BB1C1"/>
    <w:rsid w:val="121C9192"/>
    <w:rsid w:val="123B3E08"/>
    <w:rsid w:val="126783D6"/>
    <w:rsid w:val="1268B1F8"/>
    <w:rsid w:val="1270D39B"/>
    <w:rsid w:val="1283DFB2"/>
    <w:rsid w:val="12B1E9DF"/>
    <w:rsid w:val="12B4A9B5"/>
    <w:rsid w:val="12C5B6EE"/>
    <w:rsid w:val="12D40162"/>
    <w:rsid w:val="12D900C0"/>
    <w:rsid w:val="12E0336A"/>
    <w:rsid w:val="12E7DF98"/>
    <w:rsid w:val="12F50CA2"/>
    <w:rsid w:val="1321978A"/>
    <w:rsid w:val="1335B470"/>
    <w:rsid w:val="133695FD"/>
    <w:rsid w:val="1347A996"/>
    <w:rsid w:val="13520C47"/>
    <w:rsid w:val="136085CB"/>
    <w:rsid w:val="136E35F7"/>
    <w:rsid w:val="1380CEA0"/>
    <w:rsid w:val="1380D4D8"/>
    <w:rsid w:val="1396F756"/>
    <w:rsid w:val="139BF1D4"/>
    <w:rsid w:val="13A71568"/>
    <w:rsid w:val="13ADF58B"/>
    <w:rsid w:val="13BB1166"/>
    <w:rsid w:val="13D5F958"/>
    <w:rsid w:val="13EAD7D4"/>
    <w:rsid w:val="13FAD8AF"/>
    <w:rsid w:val="14040359"/>
    <w:rsid w:val="1433325F"/>
    <w:rsid w:val="14835568"/>
    <w:rsid w:val="14B0B56A"/>
    <w:rsid w:val="14CC48E5"/>
    <w:rsid w:val="14EC5E29"/>
    <w:rsid w:val="14FD86B1"/>
    <w:rsid w:val="1504B8AE"/>
    <w:rsid w:val="151708F0"/>
    <w:rsid w:val="15412134"/>
    <w:rsid w:val="1545DF2B"/>
    <w:rsid w:val="1548BCF6"/>
    <w:rsid w:val="15503B67"/>
    <w:rsid w:val="1556DACF"/>
    <w:rsid w:val="156D8F31"/>
    <w:rsid w:val="1588E6B1"/>
    <w:rsid w:val="15C10138"/>
    <w:rsid w:val="15CF3D50"/>
    <w:rsid w:val="15CF5B4A"/>
    <w:rsid w:val="15E656D5"/>
    <w:rsid w:val="15EDC977"/>
    <w:rsid w:val="16073DCE"/>
    <w:rsid w:val="16117A40"/>
    <w:rsid w:val="161AB2D6"/>
    <w:rsid w:val="161D9971"/>
    <w:rsid w:val="1630E34C"/>
    <w:rsid w:val="164082C4"/>
    <w:rsid w:val="164D2EB6"/>
    <w:rsid w:val="166B64FD"/>
    <w:rsid w:val="167C3A00"/>
    <w:rsid w:val="16BD4DC6"/>
    <w:rsid w:val="16C504A5"/>
    <w:rsid w:val="17188AFD"/>
    <w:rsid w:val="171E19FC"/>
    <w:rsid w:val="172CF54D"/>
    <w:rsid w:val="1738C47B"/>
    <w:rsid w:val="173E0E9C"/>
    <w:rsid w:val="174390CC"/>
    <w:rsid w:val="17669B22"/>
    <w:rsid w:val="1774BA74"/>
    <w:rsid w:val="179EF423"/>
    <w:rsid w:val="17CC92F0"/>
    <w:rsid w:val="17CF8509"/>
    <w:rsid w:val="17D8E307"/>
    <w:rsid w:val="17DD0FCB"/>
    <w:rsid w:val="17E15B5C"/>
    <w:rsid w:val="17E8CCA0"/>
    <w:rsid w:val="17E9163E"/>
    <w:rsid w:val="17F91F9A"/>
    <w:rsid w:val="1810234A"/>
    <w:rsid w:val="181677F7"/>
    <w:rsid w:val="1829B556"/>
    <w:rsid w:val="1830ECE8"/>
    <w:rsid w:val="1847BCF0"/>
    <w:rsid w:val="184EFF62"/>
    <w:rsid w:val="18687558"/>
    <w:rsid w:val="18A1A400"/>
    <w:rsid w:val="18A7A9D5"/>
    <w:rsid w:val="18BBE8DC"/>
    <w:rsid w:val="18CBE361"/>
    <w:rsid w:val="18D3884E"/>
    <w:rsid w:val="18DA766D"/>
    <w:rsid w:val="18EFDF81"/>
    <w:rsid w:val="18F52E39"/>
    <w:rsid w:val="1900E57B"/>
    <w:rsid w:val="1904DB65"/>
    <w:rsid w:val="19061F45"/>
    <w:rsid w:val="1909CF56"/>
    <w:rsid w:val="196B3961"/>
    <w:rsid w:val="1978DCE2"/>
    <w:rsid w:val="197D2BBD"/>
    <w:rsid w:val="19B78BB4"/>
    <w:rsid w:val="19C1FC2D"/>
    <w:rsid w:val="19CECAE7"/>
    <w:rsid w:val="19D294B2"/>
    <w:rsid w:val="19E3F78D"/>
    <w:rsid w:val="1A0EC78E"/>
    <w:rsid w:val="1A145D24"/>
    <w:rsid w:val="1A255B86"/>
    <w:rsid w:val="1A4C8431"/>
    <w:rsid w:val="1A5032B1"/>
    <w:rsid w:val="1A5B57A6"/>
    <w:rsid w:val="1A6939B1"/>
    <w:rsid w:val="1A86C958"/>
    <w:rsid w:val="1A86F1F5"/>
    <w:rsid w:val="1A8DC5E7"/>
    <w:rsid w:val="1A96C1C5"/>
    <w:rsid w:val="1AA24518"/>
    <w:rsid w:val="1AB2284C"/>
    <w:rsid w:val="1AD785B3"/>
    <w:rsid w:val="1AD8A386"/>
    <w:rsid w:val="1AE52E73"/>
    <w:rsid w:val="1AF95594"/>
    <w:rsid w:val="1AFDC22F"/>
    <w:rsid w:val="1B0C7D83"/>
    <w:rsid w:val="1B18FC1E"/>
    <w:rsid w:val="1B43F5CF"/>
    <w:rsid w:val="1B59770F"/>
    <w:rsid w:val="1B7558E5"/>
    <w:rsid w:val="1B79329B"/>
    <w:rsid w:val="1B95BB5F"/>
    <w:rsid w:val="1BA57EF3"/>
    <w:rsid w:val="1BADAC5E"/>
    <w:rsid w:val="1BE2096E"/>
    <w:rsid w:val="1BFE9917"/>
    <w:rsid w:val="1C0C359E"/>
    <w:rsid w:val="1C1A0AD3"/>
    <w:rsid w:val="1C32D476"/>
    <w:rsid w:val="1C54F401"/>
    <w:rsid w:val="1C7BA9F0"/>
    <w:rsid w:val="1C87D296"/>
    <w:rsid w:val="1C951F22"/>
    <w:rsid w:val="1CA5772D"/>
    <w:rsid w:val="1CAA9B77"/>
    <w:rsid w:val="1CC2671D"/>
    <w:rsid w:val="1CD68068"/>
    <w:rsid w:val="1CE5DF88"/>
    <w:rsid w:val="1CEAF712"/>
    <w:rsid w:val="1D03E519"/>
    <w:rsid w:val="1D12CF45"/>
    <w:rsid w:val="1D38B865"/>
    <w:rsid w:val="1D456AED"/>
    <w:rsid w:val="1D5AB4C3"/>
    <w:rsid w:val="1D60B695"/>
    <w:rsid w:val="1D6CD1D1"/>
    <w:rsid w:val="1DDE8364"/>
    <w:rsid w:val="1DEBB872"/>
    <w:rsid w:val="1E0C2B43"/>
    <w:rsid w:val="1E244455"/>
    <w:rsid w:val="1E4A7B9D"/>
    <w:rsid w:val="1E5CFCC7"/>
    <w:rsid w:val="1E7DD51B"/>
    <w:rsid w:val="1EBA26E1"/>
    <w:rsid w:val="1EC525B9"/>
    <w:rsid w:val="1EF5581F"/>
    <w:rsid w:val="1F032477"/>
    <w:rsid w:val="1F138566"/>
    <w:rsid w:val="1F223689"/>
    <w:rsid w:val="1F236E24"/>
    <w:rsid w:val="1F46B773"/>
    <w:rsid w:val="1F57286B"/>
    <w:rsid w:val="1F773CF3"/>
    <w:rsid w:val="1FB027FF"/>
    <w:rsid w:val="1FB06576"/>
    <w:rsid w:val="1FC4AD3F"/>
    <w:rsid w:val="1FCA38AA"/>
    <w:rsid w:val="1FDF0915"/>
    <w:rsid w:val="1FF75712"/>
    <w:rsid w:val="200BDB58"/>
    <w:rsid w:val="201AA7E2"/>
    <w:rsid w:val="204949F6"/>
    <w:rsid w:val="2077BD86"/>
    <w:rsid w:val="207A822A"/>
    <w:rsid w:val="208A1EEC"/>
    <w:rsid w:val="20A66D1A"/>
    <w:rsid w:val="20B99375"/>
    <w:rsid w:val="2110F0DC"/>
    <w:rsid w:val="211545E2"/>
    <w:rsid w:val="212C5927"/>
    <w:rsid w:val="213A7A2F"/>
    <w:rsid w:val="214966A1"/>
    <w:rsid w:val="214D0838"/>
    <w:rsid w:val="214FB8CA"/>
    <w:rsid w:val="215398AD"/>
    <w:rsid w:val="21674541"/>
    <w:rsid w:val="217ED8BD"/>
    <w:rsid w:val="219B6A5D"/>
    <w:rsid w:val="21C8488E"/>
    <w:rsid w:val="21D4C08A"/>
    <w:rsid w:val="21F28165"/>
    <w:rsid w:val="21F809FC"/>
    <w:rsid w:val="22079162"/>
    <w:rsid w:val="223ACC39"/>
    <w:rsid w:val="2247EDDB"/>
    <w:rsid w:val="2249909C"/>
    <w:rsid w:val="2250A826"/>
    <w:rsid w:val="226E3529"/>
    <w:rsid w:val="2274ABDE"/>
    <w:rsid w:val="2283BB77"/>
    <w:rsid w:val="22888EDE"/>
    <w:rsid w:val="228D5B27"/>
    <w:rsid w:val="2295C280"/>
    <w:rsid w:val="22A5F4F2"/>
    <w:rsid w:val="22DE5025"/>
    <w:rsid w:val="2301A7E1"/>
    <w:rsid w:val="2336F2A9"/>
    <w:rsid w:val="23600528"/>
    <w:rsid w:val="23757009"/>
    <w:rsid w:val="2386EF1F"/>
    <w:rsid w:val="23AAFEEC"/>
    <w:rsid w:val="23D4A285"/>
    <w:rsid w:val="23FEBAC3"/>
    <w:rsid w:val="24186E6E"/>
    <w:rsid w:val="243B30DD"/>
    <w:rsid w:val="243E45C4"/>
    <w:rsid w:val="244B298A"/>
    <w:rsid w:val="24801E80"/>
    <w:rsid w:val="2482F52B"/>
    <w:rsid w:val="249C1B47"/>
    <w:rsid w:val="24A077F5"/>
    <w:rsid w:val="24BA7AB4"/>
    <w:rsid w:val="24C709B2"/>
    <w:rsid w:val="24C8D891"/>
    <w:rsid w:val="24E7C0B6"/>
    <w:rsid w:val="24F14AB3"/>
    <w:rsid w:val="24F7F4CE"/>
    <w:rsid w:val="25054E10"/>
    <w:rsid w:val="25064838"/>
    <w:rsid w:val="252304B7"/>
    <w:rsid w:val="2538C7A4"/>
    <w:rsid w:val="25500A9A"/>
    <w:rsid w:val="25510981"/>
    <w:rsid w:val="2565D20F"/>
    <w:rsid w:val="25B2557E"/>
    <w:rsid w:val="25BA88A7"/>
    <w:rsid w:val="25C5F429"/>
    <w:rsid w:val="25CA202E"/>
    <w:rsid w:val="25EBF56F"/>
    <w:rsid w:val="25F08FCF"/>
    <w:rsid w:val="25F2BA11"/>
    <w:rsid w:val="25FDAC75"/>
    <w:rsid w:val="26001F2F"/>
    <w:rsid w:val="264F2AB6"/>
    <w:rsid w:val="2673EAB7"/>
    <w:rsid w:val="269B5367"/>
    <w:rsid w:val="269EB6DC"/>
    <w:rsid w:val="26E8B197"/>
    <w:rsid w:val="27000A67"/>
    <w:rsid w:val="270E2631"/>
    <w:rsid w:val="270F9E60"/>
    <w:rsid w:val="273EBC05"/>
    <w:rsid w:val="276307E1"/>
    <w:rsid w:val="276DC1C2"/>
    <w:rsid w:val="276F94E4"/>
    <w:rsid w:val="2770F134"/>
    <w:rsid w:val="278B8DFA"/>
    <w:rsid w:val="27981636"/>
    <w:rsid w:val="27A21216"/>
    <w:rsid w:val="27A72489"/>
    <w:rsid w:val="27B74F2D"/>
    <w:rsid w:val="27D09560"/>
    <w:rsid w:val="27D3C6DF"/>
    <w:rsid w:val="27D6859F"/>
    <w:rsid w:val="27DAF1EF"/>
    <w:rsid w:val="27F81C3C"/>
    <w:rsid w:val="280977D2"/>
    <w:rsid w:val="280B9C36"/>
    <w:rsid w:val="280F22E4"/>
    <w:rsid w:val="282B6C58"/>
    <w:rsid w:val="2838CB52"/>
    <w:rsid w:val="284710F7"/>
    <w:rsid w:val="285AF698"/>
    <w:rsid w:val="288AB0C3"/>
    <w:rsid w:val="28A374A4"/>
    <w:rsid w:val="2909A2B6"/>
    <w:rsid w:val="290B5E07"/>
    <w:rsid w:val="296B38C5"/>
    <w:rsid w:val="296E8D41"/>
    <w:rsid w:val="29707A1A"/>
    <w:rsid w:val="29858731"/>
    <w:rsid w:val="298BFD6F"/>
    <w:rsid w:val="29B2CC6B"/>
    <w:rsid w:val="29CF9858"/>
    <w:rsid w:val="29D00811"/>
    <w:rsid w:val="29E197D3"/>
    <w:rsid w:val="2A24754C"/>
    <w:rsid w:val="2A4DA3A2"/>
    <w:rsid w:val="2A70740E"/>
    <w:rsid w:val="2A70A5DB"/>
    <w:rsid w:val="2A760D01"/>
    <w:rsid w:val="2A86E323"/>
    <w:rsid w:val="2AAE2500"/>
    <w:rsid w:val="2AC381E7"/>
    <w:rsid w:val="2AEA139E"/>
    <w:rsid w:val="2AF048E7"/>
    <w:rsid w:val="2AF6A832"/>
    <w:rsid w:val="2B082DBC"/>
    <w:rsid w:val="2B0AC931"/>
    <w:rsid w:val="2B1919AC"/>
    <w:rsid w:val="2B1EB5FA"/>
    <w:rsid w:val="2B6C2DB4"/>
    <w:rsid w:val="2B73C128"/>
    <w:rsid w:val="2B74D4DB"/>
    <w:rsid w:val="2B84743E"/>
    <w:rsid w:val="2B89CF96"/>
    <w:rsid w:val="2BB0F47D"/>
    <w:rsid w:val="2BB8BE0C"/>
    <w:rsid w:val="2BCCF0F0"/>
    <w:rsid w:val="2BDB4DC0"/>
    <w:rsid w:val="2BE9C07D"/>
    <w:rsid w:val="2C0CBECE"/>
    <w:rsid w:val="2C2B5933"/>
    <w:rsid w:val="2C4C4582"/>
    <w:rsid w:val="2C65E445"/>
    <w:rsid w:val="2C716BEB"/>
    <w:rsid w:val="2C791904"/>
    <w:rsid w:val="2CE032A7"/>
    <w:rsid w:val="2CE537C7"/>
    <w:rsid w:val="2CFDD780"/>
    <w:rsid w:val="2D0ADFE4"/>
    <w:rsid w:val="2D10C65C"/>
    <w:rsid w:val="2D988AAA"/>
    <w:rsid w:val="2DB42135"/>
    <w:rsid w:val="2DCA4166"/>
    <w:rsid w:val="2DCD973B"/>
    <w:rsid w:val="2DD761BD"/>
    <w:rsid w:val="2DE6554C"/>
    <w:rsid w:val="2DF3C909"/>
    <w:rsid w:val="2E02DD0D"/>
    <w:rsid w:val="2E4793EB"/>
    <w:rsid w:val="2E6F93ED"/>
    <w:rsid w:val="2E713AD3"/>
    <w:rsid w:val="2E76490F"/>
    <w:rsid w:val="2E91B5AF"/>
    <w:rsid w:val="2E9A60E8"/>
    <w:rsid w:val="2EC60683"/>
    <w:rsid w:val="2ECBB85B"/>
    <w:rsid w:val="2ED205BE"/>
    <w:rsid w:val="2EE6E442"/>
    <w:rsid w:val="2EEFCCF3"/>
    <w:rsid w:val="2F243F90"/>
    <w:rsid w:val="2F2E2111"/>
    <w:rsid w:val="2F6427AD"/>
    <w:rsid w:val="2F7C8DAF"/>
    <w:rsid w:val="2F83DAEA"/>
    <w:rsid w:val="2FBDFD70"/>
    <w:rsid w:val="2FBE97A6"/>
    <w:rsid w:val="2FCABF54"/>
    <w:rsid w:val="2FCB0D31"/>
    <w:rsid w:val="2FCE45B3"/>
    <w:rsid w:val="2FE43430"/>
    <w:rsid w:val="30009AC2"/>
    <w:rsid w:val="30057168"/>
    <w:rsid w:val="300F6B01"/>
    <w:rsid w:val="30169791"/>
    <w:rsid w:val="30221B76"/>
    <w:rsid w:val="303059CD"/>
    <w:rsid w:val="3067303E"/>
    <w:rsid w:val="307124EB"/>
    <w:rsid w:val="307841F2"/>
    <w:rsid w:val="3085BA1E"/>
    <w:rsid w:val="30B2127D"/>
    <w:rsid w:val="30B80522"/>
    <w:rsid w:val="30D3A113"/>
    <w:rsid w:val="30E00E71"/>
    <w:rsid w:val="3100F9DB"/>
    <w:rsid w:val="311C2AC3"/>
    <w:rsid w:val="311E60C0"/>
    <w:rsid w:val="312512BC"/>
    <w:rsid w:val="3129EEA1"/>
    <w:rsid w:val="3144CABA"/>
    <w:rsid w:val="3166DD92"/>
    <w:rsid w:val="317A7A77"/>
    <w:rsid w:val="318B455F"/>
    <w:rsid w:val="31950CE8"/>
    <w:rsid w:val="3195BE22"/>
    <w:rsid w:val="31A5E181"/>
    <w:rsid w:val="31C8965F"/>
    <w:rsid w:val="320CA53C"/>
    <w:rsid w:val="32316A11"/>
    <w:rsid w:val="32568429"/>
    <w:rsid w:val="3258D689"/>
    <w:rsid w:val="3277B029"/>
    <w:rsid w:val="327A175B"/>
    <w:rsid w:val="327A39EA"/>
    <w:rsid w:val="32A10FD9"/>
    <w:rsid w:val="32A3F5B3"/>
    <w:rsid w:val="32A9C591"/>
    <w:rsid w:val="32B17D2A"/>
    <w:rsid w:val="32D08122"/>
    <w:rsid w:val="32E13255"/>
    <w:rsid w:val="330A9662"/>
    <w:rsid w:val="33203A1A"/>
    <w:rsid w:val="3366676C"/>
    <w:rsid w:val="336A9C86"/>
    <w:rsid w:val="336B2AC4"/>
    <w:rsid w:val="337BB464"/>
    <w:rsid w:val="33A743AB"/>
    <w:rsid w:val="33CF67F7"/>
    <w:rsid w:val="33D06600"/>
    <w:rsid w:val="33E78B78"/>
    <w:rsid w:val="34061492"/>
    <w:rsid w:val="3418E4CC"/>
    <w:rsid w:val="34201EBF"/>
    <w:rsid w:val="342CFD41"/>
    <w:rsid w:val="34491064"/>
    <w:rsid w:val="34510CAB"/>
    <w:rsid w:val="3453A5A6"/>
    <w:rsid w:val="346054F9"/>
    <w:rsid w:val="34B137A6"/>
    <w:rsid w:val="34B4BA32"/>
    <w:rsid w:val="34EF08C0"/>
    <w:rsid w:val="353A6A65"/>
    <w:rsid w:val="354BB856"/>
    <w:rsid w:val="35557796"/>
    <w:rsid w:val="3557A4C0"/>
    <w:rsid w:val="3563898A"/>
    <w:rsid w:val="356C011C"/>
    <w:rsid w:val="3590425A"/>
    <w:rsid w:val="35A9E3BE"/>
    <w:rsid w:val="35B09CC4"/>
    <w:rsid w:val="35BFA670"/>
    <w:rsid w:val="361C0350"/>
    <w:rsid w:val="361C8CB1"/>
    <w:rsid w:val="3627C0FF"/>
    <w:rsid w:val="362A7822"/>
    <w:rsid w:val="3635B4E9"/>
    <w:rsid w:val="364B03DF"/>
    <w:rsid w:val="3663C1F7"/>
    <w:rsid w:val="36675DA6"/>
    <w:rsid w:val="366D4624"/>
    <w:rsid w:val="36749203"/>
    <w:rsid w:val="368B3256"/>
    <w:rsid w:val="36A769F2"/>
    <w:rsid w:val="36A89285"/>
    <w:rsid w:val="36BC3D24"/>
    <w:rsid w:val="36C4F7CB"/>
    <w:rsid w:val="36DF10B5"/>
    <w:rsid w:val="36E4B574"/>
    <w:rsid w:val="371F2840"/>
    <w:rsid w:val="372C47AC"/>
    <w:rsid w:val="3733829C"/>
    <w:rsid w:val="3740FE39"/>
    <w:rsid w:val="37591536"/>
    <w:rsid w:val="37775F83"/>
    <w:rsid w:val="3779A776"/>
    <w:rsid w:val="37941851"/>
    <w:rsid w:val="37AB2799"/>
    <w:rsid w:val="37C685A5"/>
    <w:rsid w:val="37D5BFC5"/>
    <w:rsid w:val="37D7DE0D"/>
    <w:rsid w:val="37DDDCAF"/>
    <w:rsid w:val="37F6814D"/>
    <w:rsid w:val="380FEE19"/>
    <w:rsid w:val="38181D19"/>
    <w:rsid w:val="381AFC8C"/>
    <w:rsid w:val="3826777E"/>
    <w:rsid w:val="38278957"/>
    <w:rsid w:val="3837405C"/>
    <w:rsid w:val="38403018"/>
    <w:rsid w:val="384B5006"/>
    <w:rsid w:val="385CA97C"/>
    <w:rsid w:val="388BFE1C"/>
    <w:rsid w:val="38E06C3A"/>
    <w:rsid w:val="38E54D79"/>
    <w:rsid w:val="38EE8040"/>
    <w:rsid w:val="38FE0BE4"/>
    <w:rsid w:val="390BE368"/>
    <w:rsid w:val="3915902E"/>
    <w:rsid w:val="3915A5EE"/>
    <w:rsid w:val="391DDA6C"/>
    <w:rsid w:val="393C51BC"/>
    <w:rsid w:val="393F5ACB"/>
    <w:rsid w:val="394E2390"/>
    <w:rsid w:val="3963CEFE"/>
    <w:rsid w:val="3979AD10"/>
    <w:rsid w:val="397C7CD3"/>
    <w:rsid w:val="39A13010"/>
    <w:rsid w:val="39A7EDBF"/>
    <w:rsid w:val="39A84E98"/>
    <w:rsid w:val="39A8A3C1"/>
    <w:rsid w:val="39B3DBD1"/>
    <w:rsid w:val="39CCF40F"/>
    <w:rsid w:val="39D2FF13"/>
    <w:rsid w:val="39E3F949"/>
    <w:rsid w:val="39F5B0CF"/>
    <w:rsid w:val="3A382288"/>
    <w:rsid w:val="3A3E6AEE"/>
    <w:rsid w:val="3A64D428"/>
    <w:rsid w:val="3A72717A"/>
    <w:rsid w:val="3A80C167"/>
    <w:rsid w:val="3AA0324D"/>
    <w:rsid w:val="3AA52DD8"/>
    <w:rsid w:val="3AB11D54"/>
    <w:rsid w:val="3AC0AC74"/>
    <w:rsid w:val="3AE89FAE"/>
    <w:rsid w:val="3AF6FD0C"/>
    <w:rsid w:val="3B11592C"/>
    <w:rsid w:val="3B13FE17"/>
    <w:rsid w:val="3B2D9039"/>
    <w:rsid w:val="3BCA750B"/>
    <w:rsid w:val="3BDB622E"/>
    <w:rsid w:val="3BFB3604"/>
    <w:rsid w:val="3C70A65F"/>
    <w:rsid w:val="3C70DB13"/>
    <w:rsid w:val="3C730102"/>
    <w:rsid w:val="3C86198C"/>
    <w:rsid w:val="3C96547A"/>
    <w:rsid w:val="3C9813E6"/>
    <w:rsid w:val="3C9DD503"/>
    <w:rsid w:val="3CA3F7CA"/>
    <w:rsid w:val="3CA61823"/>
    <w:rsid w:val="3CAA2A98"/>
    <w:rsid w:val="3CB3DD88"/>
    <w:rsid w:val="3CDD5D6C"/>
    <w:rsid w:val="3CE3C449"/>
    <w:rsid w:val="3CED95A4"/>
    <w:rsid w:val="3D18AE56"/>
    <w:rsid w:val="3D240919"/>
    <w:rsid w:val="3D30BB50"/>
    <w:rsid w:val="3D55FB54"/>
    <w:rsid w:val="3D63B95D"/>
    <w:rsid w:val="3D877B01"/>
    <w:rsid w:val="3D97AA94"/>
    <w:rsid w:val="3DB57635"/>
    <w:rsid w:val="3DD96777"/>
    <w:rsid w:val="3DE62A7A"/>
    <w:rsid w:val="3DEE95E0"/>
    <w:rsid w:val="3DF53DDD"/>
    <w:rsid w:val="3E001283"/>
    <w:rsid w:val="3E45AF31"/>
    <w:rsid w:val="3E48DCF7"/>
    <w:rsid w:val="3E48F9EE"/>
    <w:rsid w:val="3E695A8D"/>
    <w:rsid w:val="3E8AA26E"/>
    <w:rsid w:val="3ED87620"/>
    <w:rsid w:val="3EE8E455"/>
    <w:rsid w:val="3EF0DC73"/>
    <w:rsid w:val="3F013573"/>
    <w:rsid w:val="3F075664"/>
    <w:rsid w:val="3F12F084"/>
    <w:rsid w:val="3F178546"/>
    <w:rsid w:val="3F18D858"/>
    <w:rsid w:val="3F2638E9"/>
    <w:rsid w:val="3F29A123"/>
    <w:rsid w:val="3F314E28"/>
    <w:rsid w:val="3F39C206"/>
    <w:rsid w:val="3F4D6514"/>
    <w:rsid w:val="3F53ACA6"/>
    <w:rsid w:val="3F713D15"/>
    <w:rsid w:val="3F8A6641"/>
    <w:rsid w:val="3F9F67F4"/>
    <w:rsid w:val="3FAA1BE8"/>
    <w:rsid w:val="3FB09DFE"/>
    <w:rsid w:val="3FBADAE5"/>
    <w:rsid w:val="3FCBD782"/>
    <w:rsid w:val="3FDC0636"/>
    <w:rsid w:val="3FE22983"/>
    <w:rsid w:val="3FE76F3A"/>
    <w:rsid w:val="3FE8BA67"/>
    <w:rsid w:val="4000AB70"/>
    <w:rsid w:val="400A74DA"/>
    <w:rsid w:val="40175720"/>
    <w:rsid w:val="4030D4CE"/>
    <w:rsid w:val="4051F2E8"/>
    <w:rsid w:val="4084B4B6"/>
    <w:rsid w:val="409E23EE"/>
    <w:rsid w:val="40A7EC1D"/>
    <w:rsid w:val="40AD2E06"/>
    <w:rsid w:val="40B0236D"/>
    <w:rsid w:val="40B54F96"/>
    <w:rsid w:val="40B8D5B8"/>
    <w:rsid w:val="40BAA6F7"/>
    <w:rsid w:val="40C11594"/>
    <w:rsid w:val="40CF2DE3"/>
    <w:rsid w:val="40DBB189"/>
    <w:rsid w:val="40F58D38"/>
    <w:rsid w:val="4117312F"/>
    <w:rsid w:val="4121DF35"/>
    <w:rsid w:val="4128AED9"/>
    <w:rsid w:val="415FC18D"/>
    <w:rsid w:val="41704C5C"/>
    <w:rsid w:val="4179084C"/>
    <w:rsid w:val="41902D5F"/>
    <w:rsid w:val="41B5E973"/>
    <w:rsid w:val="41C91BD7"/>
    <w:rsid w:val="41CBFC39"/>
    <w:rsid w:val="41D83FE9"/>
    <w:rsid w:val="424B7CA7"/>
    <w:rsid w:val="42550932"/>
    <w:rsid w:val="42579BF2"/>
    <w:rsid w:val="425C489B"/>
    <w:rsid w:val="4280D057"/>
    <w:rsid w:val="4283A40B"/>
    <w:rsid w:val="428AC174"/>
    <w:rsid w:val="42948922"/>
    <w:rsid w:val="4298907A"/>
    <w:rsid w:val="42A0DBF6"/>
    <w:rsid w:val="42ADA24D"/>
    <w:rsid w:val="42C20703"/>
    <w:rsid w:val="42CB0582"/>
    <w:rsid w:val="42D0EB45"/>
    <w:rsid w:val="42F6EA1E"/>
    <w:rsid w:val="4314E90C"/>
    <w:rsid w:val="431AF938"/>
    <w:rsid w:val="431F6594"/>
    <w:rsid w:val="431FF166"/>
    <w:rsid w:val="4320EBD7"/>
    <w:rsid w:val="432E9CAF"/>
    <w:rsid w:val="43372AF5"/>
    <w:rsid w:val="437F0B37"/>
    <w:rsid w:val="43C31B97"/>
    <w:rsid w:val="43D78E6D"/>
    <w:rsid w:val="4400539C"/>
    <w:rsid w:val="440C8E33"/>
    <w:rsid w:val="441A379C"/>
    <w:rsid w:val="441C7A09"/>
    <w:rsid w:val="443B3C4A"/>
    <w:rsid w:val="44469AC8"/>
    <w:rsid w:val="445DD764"/>
    <w:rsid w:val="445F2C64"/>
    <w:rsid w:val="446B4281"/>
    <w:rsid w:val="447E189B"/>
    <w:rsid w:val="449E73E7"/>
    <w:rsid w:val="44BBC1C7"/>
    <w:rsid w:val="44D9F2B8"/>
    <w:rsid w:val="44E0E27F"/>
    <w:rsid w:val="44FC0C08"/>
    <w:rsid w:val="451A6C2E"/>
    <w:rsid w:val="451B6F4B"/>
    <w:rsid w:val="45371E0A"/>
    <w:rsid w:val="455F422B"/>
    <w:rsid w:val="45731DEC"/>
    <w:rsid w:val="45A0A374"/>
    <w:rsid w:val="45BB5CF0"/>
    <w:rsid w:val="45C496C1"/>
    <w:rsid w:val="45E56299"/>
    <w:rsid w:val="45F1EDE5"/>
    <w:rsid w:val="461E0CAC"/>
    <w:rsid w:val="4645E6F4"/>
    <w:rsid w:val="465299FA"/>
    <w:rsid w:val="467069A1"/>
    <w:rsid w:val="468A1F04"/>
    <w:rsid w:val="469C2804"/>
    <w:rsid w:val="469FBF53"/>
    <w:rsid w:val="46B43F7A"/>
    <w:rsid w:val="46B48105"/>
    <w:rsid w:val="46C73526"/>
    <w:rsid w:val="46CE841D"/>
    <w:rsid w:val="46F0EBDC"/>
    <w:rsid w:val="46F4E5FD"/>
    <w:rsid w:val="4721781E"/>
    <w:rsid w:val="4733F9A1"/>
    <w:rsid w:val="473E5A54"/>
    <w:rsid w:val="475310E4"/>
    <w:rsid w:val="4759FF52"/>
    <w:rsid w:val="476DFA54"/>
    <w:rsid w:val="4773308E"/>
    <w:rsid w:val="47893ABE"/>
    <w:rsid w:val="478B9C8D"/>
    <w:rsid w:val="4795F0F9"/>
    <w:rsid w:val="47A34BF3"/>
    <w:rsid w:val="47D673E1"/>
    <w:rsid w:val="47F2D7FC"/>
    <w:rsid w:val="47F761B8"/>
    <w:rsid w:val="47F90737"/>
    <w:rsid w:val="48362E69"/>
    <w:rsid w:val="484557D5"/>
    <w:rsid w:val="4851A9AB"/>
    <w:rsid w:val="4859ADC8"/>
    <w:rsid w:val="4860F9BF"/>
    <w:rsid w:val="4862BC23"/>
    <w:rsid w:val="486848F9"/>
    <w:rsid w:val="487B7899"/>
    <w:rsid w:val="488CA864"/>
    <w:rsid w:val="489DBCC6"/>
    <w:rsid w:val="48DE485F"/>
    <w:rsid w:val="48E84ECB"/>
    <w:rsid w:val="490502FD"/>
    <w:rsid w:val="490883FF"/>
    <w:rsid w:val="4944B425"/>
    <w:rsid w:val="495AAFD6"/>
    <w:rsid w:val="498A3ABC"/>
    <w:rsid w:val="49917BA3"/>
    <w:rsid w:val="4992ED22"/>
    <w:rsid w:val="49BA54FD"/>
    <w:rsid w:val="49C406C9"/>
    <w:rsid w:val="49DBE5A5"/>
    <w:rsid w:val="49E04C24"/>
    <w:rsid w:val="49E8AFAE"/>
    <w:rsid w:val="49EC6BF1"/>
    <w:rsid w:val="4A2EC2D0"/>
    <w:rsid w:val="4A4C2D4C"/>
    <w:rsid w:val="4A524B0A"/>
    <w:rsid w:val="4A697437"/>
    <w:rsid w:val="4A885A41"/>
    <w:rsid w:val="4A8B580B"/>
    <w:rsid w:val="4AAA958F"/>
    <w:rsid w:val="4ABE09B2"/>
    <w:rsid w:val="4AEB8C5C"/>
    <w:rsid w:val="4AFFCE3D"/>
    <w:rsid w:val="4B0AF517"/>
    <w:rsid w:val="4B10DABF"/>
    <w:rsid w:val="4B608DC1"/>
    <w:rsid w:val="4B718FD6"/>
    <w:rsid w:val="4B872FD9"/>
    <w:rsid w:val="4BB4B797"/>
    <w:rsid w:val="4BBC8100"/>
    <w:rsid w:val="4BDA2D9E"/>
    <w:rsid w:val="4BEBA4AD"/>
    <w:rsid w:val="4BEBFD5A"/>
    <w:rsid w:val="4BFFB3BF"/>
    <w:rsid w:val="4C1FBBED"/>
    <w:rsid w:val="4C468E43"/>
    <w:rsid w:val="4C653186"/>
    <w:rsid w:val="4C7B45C2"/>
    <w:rsid w:val="4C93BE1A"/>
    <w:rsid w:val="4CA73F7C"/>
    <w:rsid w:val="4CC493DF"/>
    <w:rsid w:val="4CC6402A"/>
    <w:rsid w:val="4CC8CB33"/>
    <w:rsid w:val="4CCE41DA"/>
    <w:rsid w:val="4CD88766"/>
    <w:rsid w:val="4CE2F1FF"/>
    <w:rsid w:val="4CE9189D"/>
    <w:rsid w:val="4CEAEE04"/>
    <w:rsid w:val="4D013606"/>
    <w:rsid w:val="4D0198D2"/>
    <w:rsid w:val="4D03DCA0"/>
    <w:rsid w:val="4D0948F6"/>
    <w:rsid w:val="4D346AE2"/>
    <w:rsid w:val="4D78A7A9"/>
    <w:rsid w:val="4D7E3063"/>
    <w:rsid w:val="4D83539C"/>
    <w:rsid w:val="4DAF96D0"/>
    <w:rsid w:val="4DB79451"/>
    <w:rsid w:val="4DC39BEC"/>
    <w:rsid w:val="4E0180F5"/>
    <w:rsid w:val="4E0816F3"/>
    <w:rsid w:val="4E0C1A7D"/>
    <w:rsid w:val="4E0CE084"/>
    <w:rsid w:val="4E1F6D10"/>
    <w:rsid w:val="4E233E1D"/>
    <w:rsid w:val="4E383B4C"/>
    <w:rsid w:val="4E4A84AA"/>
    <w:rsid w:val="4E5B3B6C"/>
    <w:rsid w:val="4ECCDE59"/>
    <w:rsid w:val="4EDFDE43"/>
    <w:rsid w:val="4F18C771"/>
    <w:rsid w:val="4F1ADEDD"/>
    <w:rsid w:val="4F5F5111"/>
    <w:rsid w:val="4F6A69B5"/>
    <w:rsid w:val="4F77FF0B"/>
    <w:rsid w:val="4F78212E"/>
    <w:rsid w:val="4F7C7FC8"/>
    <w:rsid w:val="4F8E5296"/>
    <w:rsid w:val="4F919095"/>
    <w:rsid w:val="4F91A40E"/>
    <w:rsid w:val="4F95130E"/>
    <w:rsid w:val="4FAFFDC5"/>
    <w:rsid w:val="4FC1CEB1"/>
    <w:rsid w:val="4FC5E6A2"/>
    <w:rsid w:val="4FDC03E9"/>
    <w:rsid w:val="4FEA45B9"/>
    <w:rsid w:val="5016F7CF"/>
    <w:rsid w:val="501F5877"/>
    <w:rsid w:val="5025DBAF"/>
    <w:rsid w:val="50549DE4"/>
    <w:rsid w:val="50581A8C"/>
    <w:rsid w:val="506AB4BF"/>
    <w:rsid w:val="5085478B"/>
    <w:rsid w:val="50CCDC54"/>
    <w:rsid w:val="50E1D555"/>
    <w:rsid w:val="50EBED5C"/>
    <w:rsid w:val="51119CEC"/>
    <w:rsid w:val="511E4E88"/>
    <w:rsid w:val="513478A6"/>
    <w:rsid w:val="513C436B"/>
    <w:rsid w:val="51516104"/>
    <w:rsid w:val="515C8A29"/>
    <w:rsid w:val="5195F9B8"/>
    <w:rsid w:val="51AD9836"/>
    <w:rsid w:val="51B29C06"/>
    <w:rsid w:val="51B70DAF"/>
    <w:rsid w:val="51C3E852"/>
    <w:rsid w:val="51DA5717"/>
    <w:rsid w:val="51E118BB"/>
    <w:rsid w:val="51EB71DE"/>
    <w:rsid w:val="5207EF8F"/>
    <w:rsid w:val="52347162"/>
    <w:rsid w:val="5251A186"/>
    <w:rsid w:val="525BF712"/>
    <w:rsid w:val="52603762"/>
    <w:rsid w:val="526CC74A"/>
    <w:rsid w:val="5278891A"/>
    <w:rsid w:val="527966A3"/>
    <w:rsid w:val="52835E2D"/>
    <w:rsid w:val="5285D238"/>
    <w:rsid w:val="528B0E88"/>
    <w:rsid w:val="5298C665"/>
    <w:rsid w:val="52C5DBFE"/>
    <w:rsid w:val="52E08F44"/>
    <w:rsid w:val="52E9EAAA"/>
    <w:rsid w:val="52EAB514"/>
    <w:rsid w:val="5302CA6F"/>
    <w:rsid w:val="53265BDB"/>
    <w:rsid w:val="5345F4DD"/>
    <w:rsid w:val="5373496E"/>
    <w:rsid w:val="537C6928"/>
    <w:rsid w:val="539D41D7"/>
    <w:rsid w:val="53A3BFF0"/>
    <w:rsid w:val="53D473CC"/>
    <w:rsid w:val="53FB211F"/>
    <w:rsid w:val="542F4E89"/>
    <w:rsid w:val="5433AF7E"/>
    <w:rsid w:val="54396935"/>
    <w:rsid w:val="544FA0E4"/>
    <w:rsid w:val="547EC05A"/>
    <w:rsid w:val="54A61D93"/>
    <w:rsid w:val="54B2F3C0"/>
    <w:rsid w:val="54BEFC3A"/>
    <w:rsid w:val="54CAF93D"/>
    <w:rsid w:val="54CB3609"/>
    <w:rsid w:val="54E5D119"/>
    <w:rsid w:val="54ED6D28"/>
    <w:rsid w:val="54F3CE5F"/>
    <w:rsid w:val="54F5F377"/>
    <w:rsid w:val="550052E7"/>
    <w:rsid w:val="55355D01"/>
    <w:rsid w:val="5538BEC5"/>
    <w:rsid w:val="553D1346"/>
    <w:rsid w:val="553F9051"/>
    <w:rsid w:val="5551229A"/>
    <w:rsid w:val="5557DA39"/>
    <w:rsid w:val="5563D8E2"/>
    <w:rsid w:val="558C4F6A"/>
    <w:rsid w:val="559B4A79"/>
    <w:rsid w:val="55A43CEC"/>
    <w:rsid w:val="55AF7819"/>
    <w:rsid w:val="55D80D6A"/>
    <w:rsid w:val="55D92124"/>
    <w:rsid w:val="55E51135"/>
    <w:rsid w:val="55FEECB4"/>
    <w:rsid w:val="561E3595"/>
    <w:rsid w:val="561F1A60"/>
    <w:rsid w:val="562255D6"/>
    <w:rsid w:val="562C7D06"/>
    <w:rsid w:val="5648F225"/>
    <w:rsid w:val="566BE8D0"/>
    <w:rsid w:val="56A2B2D6"/>
    <w:rsid w:val="56B14B8B"/>
    <w:rsid w:val="56CCE850"/>
    <w:rsid w:val="56D452F5"/>
    <w:rsid w:val="56D9384E"/>
    <w:rsid w:val="56DF7588"/>
    <w:rsid w:val="56E13285"/>
    <w:rsid w:val="571628FB"/>
    <w:rsid w:val="572F97AE"/>
    <w:rsid w:val="57319C70"/>
    <w:rsid w:val="5740B356"/>
    <w:rsid w:val="575B77FC"/>
    <w:rsid w:val="5769045D"/>
    <w:rsid w:val="577B64EF"/>
    <w:rsid w:val="579F2C61"/>
    <w:rsid w:val="57A81304"/>
    <w:rsid w:val="57AA5D41"/>
    <w:rsid w:val="57B0803F"/>
    <w:rsid w:val="57BA31AC"/>
    <w:rsid w:val="57D754CE"/>
    <w:rsid w:val="57F1C632"/>
    <w:rsid w:val="58009040"/>
    <w:rsid w:val="5807B442"/>
    <w:rsid w:val="58097025"/>
    <w:rsid w:val="58194771"/>
    <w:rsid w:val="582C123E"/>
    <w:rsid w:val="5845E83E"/>
    <w:rsid w:val="5850E2B7"/>
    <w:rsid w:val="5851B583"/>
    <w:rsid w:val="58564241"/>
    <w:rsid w:val="5859CC06"/>
    <w:rsid w:val="5862F7B7"/>
    <w:rsid w:val="58654303"/>
    <w:rsid w:val="586DFF2E"/>
    <w:rsid w:val="587DCB20"/>
    <w:rsid w:val="58977D1D"/>
    <w:rsid w:val="589E06E8"/>
    <w:rsid w:val="58EBAC61"/>
    <w:rsid w:val="58F55CA3"/>
    <w:rsid w:val="58FC1801"/>
    <w:rsid w:val="59211331"/>
    <w:rsid w:val="594E5483"/>
    <w:rsid w:val="59655351"/>
    <w:rsid w:val="59767C9C"/>
    <w:rsid w:val="59832398"/>
    <w:rsid w:val="598CBD29"/>
    <w:rsid w:val="59AF6959"/>
    <w:rsid w:val="59E999F9"/>
    <w:rsid w:val="59FD4B75"/>
    <w:rsid w:val="5A2BD8AE"/>
    <w:rsid w:val="5A448F98"/>
    <w:rsid w:val="5A4D9EC1"/>
    <w:rsid w:val="5A4EE6E0"/>
    <w:rsid w:val="5A5893E5"/>
    <w:rsid w:val="5A78E211"/>
    <w:rsid w:val="5A790D6A"/>
    <w:rsid w:val="5A88E353"/>
    <w:rsid w:val="5AD4B536"/>
    <w:rsid w:val="5AF5C652"/>
    <w:rsid w:val="5B0766AE"/>
    <w:rsid w:val="5B15D568"/>
    <w:rsid w:val="5B1EF3F9"/>
    <w:rsid w:val="5B55FF68"/>
    <w:rsid w:val="5B74675D"/>
    <w:rsid w:val="5B9B52D5"/>
    <w:rsid w:val="5BACD76F"/>
    <w:rsid w:val="5BAE370D"/>
    <w:rsid w:val="5BBEC83A"/>
    <w:rsid w:val="5BC64B7C"/>
    <w:rsid w:val="5BCC64A5"/>
    <w:rsid w:val="5BD330F6"/>
    <w:rsid w:val="5BEBA47C"/>
    <w:rsid w:val="5BEE1FE7"/>
    <w:rsid w:val="5BF07463"/>
    <w:rsid w:val="5BF9460F"/>
    <w:rsid w:val="5C18A452"/>
    <w:rsid w:val="5C29EF9C"/>
    <w:rsid w:val="5C2A5B79"/>
    <w:rsid w:val="5C3B84DC"/>
    <w:rsid w:val="5C44E8EF"/>
    <w:rsid w:val="5C4A6C16"/>
    <w:rsid w:val="5C674679"/>
    <w:rsid w:val="5C8E9026"/>
    <w:rsid w:val="5C8F5FC1"/>
    <w:rsid w:val="5CECDDBC"/>
    <w:rsid w:val="5D0D2539"/>
    <w:rsid w:val="5D4AA236"/>
    <w:rsid w:val="5D4E112F"/>
    <w:rsid w:val="5D4F84BA"/>
    <w:rsid w:val="5D64FEC6"/>
    <w:rsid w:val="5DBD6C58"/>
    <w:rsid w:val="5DE906DF"/>
    <w:rsid w:val="5DEB7AA3"/>
    <w:rsid w:val="5E015B08"/>
    <w:rsid w:val="5E4E0F3D"/>
    <w:rsid w:val="5E536D18"/>
    <w:rsid w:val="5E5C4778"/>
    <w:rsid w:val="5E6E7668"/>
    <w:rsid w:val="5EA74366"/>
    <w:rsid w:val="5EB66927"/>
    <w:rsid w:val="5EBD0BB0"/>
    <w:rsid w:val="5ECF6557"/>
    <w:rsid w:val="5ED5CEBC"/>
    <w:rsid w:val="5EE572DB"/>
    <w:rsid w:val="5EE67297"/>
    <w:rsid w:val="5F0F58D1"/>
    <w:rsid w:val="5F26AACA"/>
    <w:rsid w:val="5F3502CA"/>
    <w:rsid w:val="5F5F87FE"/>
    <w:rsid w:val="5F66F2AB"/>
    <w:rsid w:val="5F6710DE"/>
    <w:rsid w:val="5FAC2E81"/>
    <w:rsid w:val="5FC6CC9E"/>
    <w:rsid w:val="5FF4D18A"/>
    <w:rsid w:val="5FFB9D31"/>
    <w:rsid w:val="600D4663"/>
    <w:rsid w:val="602E2683"/>
    <w:rsid w:val="6045324B"/>
    <w:rsid w:val="604640D2"/>
    <w:rsid w:val="6062D116"/>
    <w:rsid w:val="60671978"/>
    <w:rsid w:val="606787B5"/>
    <w:rsid w:val="60883745"/>
    <w:rsid w:val="609647CE"/>
    <w:rsid w:val="60B210C3"/>
    <w:rsid w:val="60B80241"/>
    <w:rsid w:val="60DBACFC"/>
    <w:rsid w:val="60E2AA9A"/>
    <w:rsid w:val="60FDDCE2"/>
    <w:rsid w:val="61057B7D"/>
    <w:rsid w:val="6105D13C"/>
    <w:rsid w:val="610AB00A"/>
    <w:rsid w:val="6119A17D"/>
    <w:rsid w:val="612F5FE4"/>
    <w:rsid w:val="613BFACB"/>
    <w:rsid w:val="614E265B"/>
    <w:rsid w:val="6152D716"/>
    <w:rsid w:val="615810EC"/>
    <w:rsid w:val="616848EB"/>
    <w:rsid w:val="616BB8BC"/>
    <w:rsid w:val="616F58C8"/>
    <w:rsid w:val="61A5C948"/>
    <w:rsid w:val="61A81156"/>
    <w:rsid w:val="61D90FA4"/>
    <w:rsid w:val="61DB865C"/>
    <w:rsid w:val="61DBC06F"/>
    <w:rsid w:val="61F3DA1D"/>
    <w:rsid w:val="622A991F"/>
    <w:rsid w:val="625C062D"/>
    <w:rsid w:val="62675356"/>
    <w:rsid w:val="62844422"/>
    <w:rsid w:val="62AB9D1D"/>
    <w:rsid w:val="62B25CD8"/>
    <w:rsid w:val="62B4A6B2"/>
    <w:rsid w:val="62B57BAE"/>
    <w:rsid w:val="62C58E5C"/>
    <w:rsid w:val="62EE5A57"/>
    <w:rsid w:val="62F2BF54"/>
    <w:rsid w:val="62F90837"/>
    <w:rsid w:val="62FA697D"/>
    <w:rsid w:val="6303FBAA"/>
    <w:rsid w:val="630B82A1"/>
    <w:rsid w:val="631DFB5B"/>
    <w:rsid w:val="632CC49E"/>
    <w:rsid w:val="63417054"/>
    <w:rsid w:val="636474A4"/>
    <w:rsid w:val="636CD57E"/>
    <w:rsid w:val="63B17060"/>
    <w:rsid w:val="63B9E3BA"/>
    <w:rsid w:val="63DB4FF9"/>
    <w:rsid w:val="64002E3D"/>
    <w:rsid w:val="640987C0"/>
    <w:rsid w:val="642D3356"/>
    <w:rsid w:val="644938A6"/>
    <w:rsid w:val="6452B049"/>
    <w:rsid w:val="64699F70"/>
    <w:rsid w:val="646F8925"/>
    <w:rsid w:val="647C8F17"/>
    <w:rsid w:val="647CC037"/>
    <w:rsid w:val="64A8ACA7"/>
    <w:rsid w:val="64BAF178"/>
    <w:rsid w:val="64C4E581"/>
    <w:rsid w:val="64CED9DA"/>
    <w:rsid w:val="64E26BC4"/>
    <w:rsid w:val="64E5CF78"/>
    <w:rsid w:val="650811BB"/>
    <w:rsid w:val="6514D097"/>
    <w:rsid w:val="6517C1C5"/>
    <w:rsid w:val="6519B519"/>
    <w:rsid w:val="651A45CC"/>
    <w:rsid w:val="6555B41B"/>
    <w:rsid w:val="6563AC48"/>
    <w:rsid w:val="656D3C2A"/>
    <w:rsid w:val="65990749"/>
    <w:rsid w:val="65AC5E6E"/>
    <w:rsid w:val="65E0BCAF"/>
    <w:rsid w:val="65F2BB84"/>
    <w:rsid w:val="6609073D"/>
    <w:rsid w:val="661DD9B9"/>
    <w:rsid w:val="66250758"/>
    <w:rsid w:val="66332B51"/>
    <w:rsid w:val="6678AC10"/>
    <w:rsid w:val="667A439B"/>
    <w:rsid w:val="668C66A3"/>
    <w:rsid w:val="67033F5B"/>
    <w:rsid w:val="6722893F"/>
    <w:rsid w:val="6731E4A4"/>
    <w:rsid w:val="673DB189"/>
    <w:rsid w:val="673F064B"/>
    <w:rsid w:val="674EFAD2"/>
    <w:rsid w:val="6750E212"/>
    <w:rsid w:val="675E4E42"/>
    <w:rsid w:val="6762DB83"/>
    <w:rsid w:val="676676E4"/>
    <w:rsid w:val="6783BCF5"/>
    <w:rsid w:val="6797916B"/>
    <w:rsid w:val="67997AF9"/>
    <w:rsid w:val="67B01D77"/>
    <w:rsid w:val="67CDD40F"/>
    <w:rsid w:val="67EBE17C"/>
    <w:rsid w:val="6810F091"/>
    <w:rsid w:val="6811A582"/>
    <w:rsid w:val="6855D78E"/>
    <w:rsid w:val="686BAF32"/>
    <w:rsid w:val="68815C0C"/>
    <w:rsid w:val="68BC0777"/>
    <w:rsid w:val="68C9870E"/>
    <w:rsid w:val="68DC2428"/>
    <w:rsid w:val="692B04F4"/>
    <w:rsid w:val="6931AEA5"/>
    <w:rsid w:val="698E1D23"/>
    <w:rsid w:val="69991935"/>
    <w:rsid w:val="69DE7D88"/>
    <w:rsid w:val="6A0EBB7B"/>
    <w:rsid w:val="6A11AF72"/>
    <w:rsid w:val="6A16C115"/>
    <w:rsid w:val="6A4EF98E"/>
    <w:rsid w:val="6A656174"/>
    <w:rsid w:val="6A89E809"/>
    <w:rsid w:val="6A9B9739"/>
    <w:rsid w:val="6A9D2130"/>
    <w:rsid w:val="6AB34A85"/>
    <w:rsid w:val="6ABD2CF4"/>
    <w:rsid w:val="6ABE43B2"/>
    <w:rsid w:val="6AED3856"/>
    <w:rsid w:val="6AF843CA"/>
    <w:rsid w:val="6B011F8E"/>
    <w:rsid w:val="6B2BBCAC"/>
    <w:rsid w:val="6B35C0BF"/>
    <w:rsid w:val="6B727171"/>
    <w:rsid w:val="6BB3A73E"/>
    <w:rsid w:val="6BC985D5"/>
    <w:rsid w:val="6BD7B7A5"/>
    <w:rsid w:val="6BE8888B"/>
    <w:rsid w:val="6BEB3503"/>
    <w:rsid w:val="6C0E72C0"/>
    <w:rsid w:val="6C0FE12C"/>
    <w:rsid w:val="6C2EA586"/>
    <w:rsid w:val="6C499D30"/>
    <w:rsid w:val="6C5B36DE"/>
    <w:rsid w:val="6C5C8525"/>
    <w:rsid w:val="6C5D52F4"/>
    <w:rsid w:val="6C683FB3"/>
    <w:rsid w:val="6C6A1C8F"/>
    <w:rsid w:val="6CA2CCED"/>
    <w:rsid w:val="6CA478D2"/>
    <w:rsid w:val="6CBE8EA7"/>
    <w:rsid w:val="6CDA56A5"/>
    <w:rsid w:val="6CDEB840"/>
    <w:rsid w:val="6CE4C974"/>
    <w:rsid w:val="6D0FC3DC"/>
    <w:rsid w:val="6D12BEED"/>
    <w:rsid w:val="6D1DE83B"/>
    <w:rsid w:val="6D36A288"/>
    <w:rsid w:val="6D38938E"/>
    <w:rsid w:val="6D3F30C2"/>
    <w:rsid w:val="6D5F41CF"/>
    <w:rsid w:val="6D9DBE53"/>
    <w:rsid w:val="6DB1528D"/>
    <w:rsid w:val="6DF560FA"/>
    <w:rsid w:val="6DFD430E"/>
    <w:rsid w:val="6E7402F9"/>
    <w:rsid w:val="6EA6F18C"/>
    <w:rsid w:val="6EE9187B"/>
    <w:rsid w:val="6EEE5D1F"/>
    <w:rsid w:val="6F031373"/>
    <w:rsid w:val="6F0A3FD5"/>
    <w:rsid w:val="6F405561"/>
    <w:rsid w:val="6F579DDD"/>
    <w:rsid w:val="6F5DCB4D"/>
    <w:rsid w:val="6F66716B"/>
    <w:rsid w:val="6F6DA1BB"/>
    <w:rsid w:val="6F868C19"/>
    <w:rsid w:val="6FAF8853"/>
    <w:rsid w:val="6FB8BEB5"/>
    <w:rsid w:val="6FB9F0A1"/>
    <w:rsid w:val="6FBB3CB9"/>
    <w:rsid w:val="6FBCE7A5"/>
    <w:rsid w:val="6FD1AEE1"/>
    <w:rsid w:val="6FF6B16B"/>
    <w:rsid w:val="6FF8B80B"/>
    <w:rsid w:val="7006CF5A"/>
    <w:rsid w:val="701D9B3B"/>
    <w:rsid w:val="703D3E00"/>
    <w:rsid w:val="703D9B83"/>
    <w:rsid w:val="70848916"/>
    <w:rsid w:val="7089E2D7"/>
    <w:rsid w:val="70A6C150"/>
    <w:rsid w:val="70ADF92A"/>
    <w:rsid w:val="70B384D7"/>
    <w:rsid w:val="70BA7B1D"/>
    <w:rsid w:val="70D2DD0D"/>
    <w:rsid w:val="70F84E35"/>
    <w:rsid w:val="7114CF96"/>
    <w:rsid w:val="711EFC8C"/>
    <w:rsid w:val="7121A8E8"/>
    <w:rsid w:val="7127DACA"/>
    <w:rsid w:val="716236F1"/>
    <w:rsid w:val="717C2791"/>
    <w:rsid w:val="717CB6F5"/>
    <w:rsid w:val="71953D90"/>
    <w:rsid w:val="7195873C"/>
    <w:rsid w:val="719ADACD"/>
    <w:rsid w:val="71B69CC6"/>
    <w:rsid w:val="71D01C3B"/>
    <w:rsid w:val="71E91D65"/>
    <w:rsid w:val="71F589DF"/>
    <w:rsid w:val="71FAEE06"/>
    <w:rsid w:val="720734C5"/>
    <w:rsid w:val="7219A609"/>
    <w:rsid w:val="7289189E"/>
    <w:rsid w:val="728966D8"/>
    <w:rsid w:val="72AA1DE3"/>
    <w:rsid w:val="72AD15C8"/>
    <w:rsid w:val="72AF9B8E"/>
    <w:rsid w:val="72D0B431"/>
    <w:rsid w:val="72E486DB"/>
    <w:rsid w:val="73054E46"/>
    <w:rsid w:val="73096A13"/>
    <w:rsid w:val="731777C8"/>
    <w:rsid w:val="731AFBE8"/>
    <w:rsid w:val="7334E155"/>
    <w:rsid w:val="73365B27"/>
    <w:rsid w:val="733C02E7"/>
    <w:rsid w:val="7357B996"/>
    <w:rsid w:val="7368B486"/>
    <w:rsid w:val="738FF1BE"/>
    <w:rsid w:val="73BFDEE3"/>
    <w:rsid w:val="73E63ED8"/>
    <w:rsid w:val="73E88F77"/>
    <w:rsid w:val="73EC0793"/>
    <w:rsid w:val="73F3EB3D"/>
    <w:rsid w:val="73FD4A6C"/>
    <w:rsid w:val="7407B867"/>
    <w:rsid w:val="74097D21"/>
    <w:rsid w:val="74215EAB"/>
    <w:rsid w:val="7433FBF2"/>
    <w:rsid w:val="7448D688"/>
    <w:rsid w:val="744C7058"/>
    <w:rsid w:val="745B3165"/>
    <w:rsid w:val="746D990C"/>
    <w:rsid w:val="7472ADB9"/>
    <w:rsid w:val="74867C83"/>
    <w:rsid w:val="748EC18F"/>
    <w:rsid w:val="74CA024C"/>
    <w:rsid w:val="74D74CAA"/>
    <w:rsid w:val="74F33514"/>
    <w:rsid w:val="74F424A5"/>
    <w:rsid w:val="74FBB048"/>
    <w:rsid w:val="75118775"/>
    <w:rsid w:val="75249B58"/>
    <w:rsid w:val="7527296E"/>
    <w:rsid w:val="753E1EBF"/>
    <w:rsid w:val="754C00DE"/>
    <w:rsid w:val="7592C6C1"/>
    <w:rsid w:val="75944579"/>
    <w:rsid w:val="75AB766E"/>
    <w:rsid w:val="75CF7FD6"/>
    <w:rsid w:val="75D1AE87"/>
    <w:rsid w:val="75D87E4D"/>
    <w:rsid w:val="75E4247D"/>
    <w:rsid w:val="75E81704"/>
    <w:rsid w:val="75EEF0DD"/>
    <w:rsid w:val="7606DA73"/>
    <w:rsid w:val="7620AE61"/>
    <w:rsid w:val="7630AF5D"/>
    <w:rsid w:val="76364444"/>
    <w:rsid w:val="7636850C"/>
    <w:rsid w:val="763CB8F8"/>
    <w:rsid w:val="7641A335"/>
    <w:rsid w:val="7649CC45"/>
    <w:rsid w:val="766594EB"/>
    <w:rsid w:val="76674712"/>
    <w:rsid w:val="76794B4E"/>
    <w:rsid w:val="767E0053"/>
    <w:rsid w:val="7680F636"/>
    <w:rsid w:val="76810E45"/>
    <w:rsid w:val="76871530"/>
    <w:rsid w:val="768B7879"/>
    <w:rsid w:val="769811F8"/>
    <w:rsid w:val="769FADBB"/>
    <w:rsid w:val="76AD1B1F"/>
    <w:rsid w:val="76CE6707"/>
    <w:rsid w:val="76EEA019"/>
    <w:rsid w:val="76F487A4"/>
    <w:rsid w:val="7725CD2D"/>
    <w:rsid w:val="7727094C"/>
    <w:rsid w:val="772DBE42"/>
    <w:rsid w:val="773B58FB"/>
    <w:rsid w:val="774616C4"/>
    <w:rsid w:val="77546F10"/>
    <w:rsid w:val="77772815"/>
    <w:rsid w:val="778386C1"/>
    <w:rsid w:val="778CE7A4"/>
    <w:rsid w:val="77A5322F"/>
    <w:rsid w:val="77B83365"/>
    <w:rsid w:val="77BC7EC2"/>
    <w:rsid w:val="77CD2912"/>
    <w:rsid w:val="77D3F051"/>
    <w:rsid w:val="77DCBAEC"/>
    <w:rsid w:val="77DD7BA7"/>
    <w:rsid w:val="77E63A04"/>
    <w:rsid w:val="77EFEB05"/>
    <w:rsid w:val="77FDBE5E"/>
    <w:rsid w:val="78270934"/>
    <w:rsid w:val="782A8BA0"/>
    <w:rsid w:val="7833E259"/>
    <w:rsid w:val="786ABA76"/>
    <w:rsid w:val="787294AF"/>
    <w:rsid w:val="7886F39D"/>
    <w:rsid w:val="78A1033D"/>
    <w:rsid w:val="78AE0B99"/>
    <w:rsid w:val="78BCA458"/>
    <w:rsid w:val="78E020EE"/>
    <w:rsid w:val="78E54BBC"/>
    <w:rsid w:val="79166C05"/>
    <w:rsid w:val="794ECB5C"/>
    <w:rsid w:val="7966C801"/>
    <w:rsid w:val="797E133D"/>
    <w:rsid w:val="79A35286"/>
    <w:rsid w:val="79A77179"/>
    <w:rsid w:val="79B4DD91"/>
    <w:rsid w:val="79B5447D"/>
    <w:rsid w:val="79DD5A8C"/>
    <w:rsid w:val="79E5297A"/>
    <w:rsid w:val="79F30033"/>
    <w:rsid w:val="7A043F24"/>
    <w:rsid w:val="7A53D599"/>
    <w:rsid w:val="7A545BB0"/>
    <w:rsid w:val="7A54B7EF"/>
    <w:rsid w:val="7A57AC6C"/>
    <w:rsid w:val="7A9F9D51"/>
    <w:rsid w:val="7AA1E301"/>
    <w:rsid w:val="7AC1C3E3"/>
    <w:rsid w:val="7ACA96F8"/>
    <w:rsid w:val="7AD5C4BA"/>
    <w:rsid w:val="7B0B4005"/>
    <w:rsid w:val="7B10D3B6"/>
    <w:rsid w:val="7B71B7B0"/>
    <w:rsid w:val="7B77F557"/>
    <w:rsid w:val="7BA7BE6A"/>
    <w:rsid w:val="7BBA868D"/>
    <w:rsid w:val="7BE306EF"/>
    <w:rsid w:val="7BE89CB5"/>
    <w:rsid w:val="7BEA18E5"/>
    <w:rsid w:val="7BFDF75A"/>
    <w:rsid w:val="7C2F9AF2"/>
    <w:rsid w:val="7C5D1153"/>
    <w:rsid w:val="7C62D393"/>
    <w:rsid w:val="7C6B3A48"/>
    <w:rsid w:val="7C74AF90"/>
    <w:rsid w:val="7C923470"/>
    <w:rsid w:val="7CA1214D"/>
    <w:rsid w:val="7CA65E6E"/>
    <w:rsid w:val="7CAA1FA9"/>
    <w:rsid w:val="7CB40742"/>
    <w:rsid w:val="7CC51C22"/>
    <w:rsid w:val="7CC5B379"/>
    <w:rsid w:val="7CEC1471"/>
    <w:rsid w:val="7CEDB2C4"/>
    <w:rsid w:val="7D054A34"/>
    <w:rsid w:val="7D68EA15"/>
    <w:rsid w:val="7D7ED750"/>
    <w:rsid w:val="7D9C7BC7"/>
    <w:rsid w:val="7DB01F07"/>
    <w:rsid w:val="7DEFCC6D"/>
    <w:rsid w:val="7E198D75"/>
    <w:rsid w:val="7E21BAF2"/>
    <w:rsid w:val="7E598516"/>
    <w:rsid w:val="7E90CB9B"/>
    <w:rsid w:val="7EB24BEB"/>
    <w:rsid w:val="7EBEA292"/>
    <w:rsid w:val="7EC9B906"/>
    <w:rsid w:val="7EF7A190"/>
    <w:rsid w:val="7EFAB941"/>
    <w:rsid w:val="7EFF0A1D"/>
    <w:rsid w:val="7F003066"/>
    <w:rsid w:val="7F06D6FB"/>
    <w:rsid w:val="7F22A34F"/>
    <w:rsid w:val="7F236DC0"/>
    <w:rsid w:val="7F2824D2"/>
    <w:rsid w:val="7F2FE07D"/>
    <w:rsid w:val="7F475EFF"/>
    <w:rsid w:val="7F49F6F5"/>
    <w:rsid w:val="7F528EB6"/>
    <w:rsid w:val="7F673BB4"/>
    <w:rsid w:val="7F7CACF2"/>
    <w:rsid w:val="7F89F7CF"/>
    <w:rsid w:val="7F9FB0F1"/>
    <w:rsid w:val="7F9FEFFA"/>
    <w:rsid w:val="7FB83826"/>
    <w:rsid w:val="7FCB909D"/>
    <w:rsid w:val="7FE4A1F3"/>
    <w:rsid w:val="7FF9609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684F429"/>
  <w15:docId w15:val="{4C0B2318-A4EB-4017-BBC8-8A6FE8D6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13"/>
      </w:numPr>
      <w:pBdr>
        <w:top w:val="single" w:sz="6" w:space="3" w:color="DA291C"/>
        <w:bottom w:val="single" w:sz="6" w:space="3" w:color="DA291C"/>
      </w:pBdr>
      <w:shd w:val="clear" w:color="auto" w:fill="DA291C"/>
      <w:tabs>
        <w:tab w:val="clear" w:pos="432"/>
        <w:tab w:val="num" w:pos="720"/>
      </w:tabs>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13"/>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13"/>
      </w:numPr>
      <w:spacing w:before="60" w:after="120"/>
      <w:outlineLvl w:val="4"/>
    </w:pPr>
    <w:rPr>
      <w:b/>
      <w:i/>
      <w:color w:val="DA291C"/>
    </w:rPr>
  </w:style>
  <w:style w:type="paragraph" w:styleId="Heading6">
    <w:name w:val="heading 6"/>
    <w:basedOn w:val="Normal"/>
    <w:next w:val="Normal"/>
    <w:qFormat/>
    <w:rsid w:val="00495B91"/>
    <w:pPr>
      <w:numPr>
        <w:ilvl w:val="5"/>
        <w:numId w:val="13"/>
      </w:numPr>
      <w:spacing w:before="60" w:after="60"/>
      <w:outlineLvl w:val="5"/>
    </w:pPr>
    <w:rPr>
      <w:b/>
      <w:bCs/>
      <w:szCs w:val="22"/>
    </w:rPr>
  </w:style>
  <w:style w:type="paragraph" w:styleId="Heading7">
    <w:name w:val="heading 7"/>
    <w:basedOn w:val="Normal"/>
    <w:next w:val="Normal"/>
    <w:qFormat/>
    <w:rsid w:val="003A3403"/>
    <w:pPr>
      <w:numPr>
        <w:ilvl w:val="6"/>
        <w:numId w:val="13"/>
      </w:numPr>
      <w:spacing w:before="240" w:after="60"/>
      <w:outlineLvl w:val="6"/>
    </w:pPr>
    <w:rPr>
      <w:sz w:val="24"/>
      <w:szCs w:val="24"/>
    </w:rPr>
  </w:style>
  <w:style w:type="paragraph" w:styleId="Heading8">
    <w:name w:val="heading 8"/>
    <w:basedOn w:val="Normal"/>
    <w:next w:val="Normal"/>
    <w:qFormat/>
    <w:rsid w:val="003A3403"/>
    <w:pPr>
      <w:numPr>
        <w:ilvl w:val="7"/>
        <w:numId w:val="13"/>
      </w:numPr>
      <w:spacing w:before="240" w:after="60"/>
      <w:outlineLvl w:val="7"/>
    </w:pPr>
    <w:rPr>
      <w:i/>
      <w:iCs/>
      <w:sz w:val="24"/>
      <w:szCs w:val="24"/>
    </w:rPr>
  </w:style>
  <w:style w:type="paragraph" w:styleId="Heading9">
    <w:name w:val="heading 9"/>
    <w:basedOn w:val="Normal"/>
    <w:next w:val="Normal"/>
    <w:qFormat/>
    <w:rsid w:val="003A3403"/>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12"/>
      </w:numPr>
      <w:spacing w:after="120"/>
    </w:pPr>
  </w:style>
  <w:style w:type="paragraph" w:customStyle="1" w:styleId="RefNumbers">
    <w:name w:val="Ref Numbers"/>
    <w:basedOn w:val="BodyText"/>
    <w:pPr>
      <w:numPr>
        <w:numId w:val="11"/>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0"/>
      </w:numPr>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enter" w:pos="6480"/>
        <w:tab w:val="clear" w:pos="900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1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aliases w:val="Primary Bullet List"/>
    <w:basedOn w:val="Normal"/>
    <w:link w:val="ListParagraphChar"/>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hAnsi="Calibri" w:eastAsiaTheme="minorHAnsi" w:cstheme="minorBidi"/>
      <w:szCs w:val="21"/>
    </w:rPr>
  </w:style>
  <w:style w:type="character" w:customStyle="1" w:styleId="PlainTextChar">
    <w:name w:val="Plain Text Char"/>
    <w:basedOn w:val="DefaultParagraphFont"/>
    <w:link w:val="PlainText"/>
    <w:uiPriority w:val="99"/>
    <w:rsid w:val="005B6ACF"/>
    <w:rPr>
      <w:rFonts w:ascii="Calibri" w:hAnsi="Calibri" w:eastAsiaTheme="minorHAns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hAnsi="Calibri" w:eastAsiaTheme="minorHAns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15"/>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character" w:customStyle="1" w:styleId="ListParagraphChar">
    <w:name w:val="List Paragraph Char"/>
    <w:aliases w:val="Primary Bullet List Char"/>
    <w:link w:val="ListParagraph"/>
    <w:uiPriority w:val="34"/>
    <w:locked/>
    <w:rsid w:val="00C95FF9"/>
    <w:rPr>
      <w:rFonts w:asciiTheme="minorHAnsi" w:eastAsiaTheme="minorHAnsi" w:hAnsiTheme="minorHAnsi" w:cstheme="minorBidi"/>
      <w:sz w:val="22"/>
      <w:szCs w:val="22"/>
    </w:rPr>
  </w:style>
  <w:style w:type="character" w:styleId="Mention">
    <w:name w:val="Mention"/>
    <w:basedOn w:val="DefaultParagraphFont"/>
    <w:uiPriority w:val="99"/>
    <w:unhideWhenUsed/>
    <w:rsid w:val="00A5597E"/>
    <w:rPr>
      <w:color w:val="2B579A"/>
      <w:shd w:val="clear" w:color="auto" w:fill="E1DFDD"/>
    </w:rPr>
  </w:style>
  <w:style w:type="table" w:customStyle="1" w:styleId="ListTable31">
    <w:name w:val="List Table 31"/>
    <w:basedOn w:val="TableNormal"/>
    <w:uiPriority w:val="48"/>
    <w:rsid w:val="00BC6B4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B7C9D3"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Bullets">
    <w:name w:val="Table Bullets"/>
    <w:basedOn w:val="TableText"/>
    <w:qFormat/>
    <w:rsid w:val="00423486"/>
    <w:pPr>
      <w:numPr>
        <w:numId w:val="18"/>
      </w:numPr>
      <w:spacing w:before="20" w:after="20" w:line="240" w:lineRule="auto"/>
    </w:pPr>
    <w:rPr>
      <w:rFonts w:ascii="Arial Narrow" w:hAnsi="Arial Narrow" w:cs="Times New Roman"/>
      <w:bCs w:val="0"/>
      <w:color w:val="auto"/>
      <w:sz w:val="22"/>
    </w:rPr>
  </w:style>
  <w:style w:type="paragraph" w:customStyle="1" w:styleId="TableColumnHeader">
    <w:name w:val="Table Column Header"/>
    <w:basedOn w:val="Normal"/>
    <w:qFormat/>
    <w:rsid w:val="00423486"/>
    <w:pPr>
      <w:spacing w:before="20" w:after="20" w:line="240" w:lineRule="auto"/>
      <w:jc w:val="center"/>
    </w:pPr>
    <w:rPr>
      <w:rFonts w:ascii="Arial Narrow" w:hAnsi="Arial Narrow"/>
      <w:b/>
      <w:color w:val="B7C9D3" w:themeColor="background1"/>
    </w:rPr>
  </w:style>
  <w:style w:type="table" w:styleId="GridTableLight">
    <w:name w:val="Grid Table Light"/>
    <w:basedOn w:val="TableNormal"/>
    <w:uiPriority w:val="40"/>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rPr>
  </w:style>
  <w:style w:type="paragraph" w:customStyle="1" w:styleId="pf0">
    <w:name w:val="pf0"/>
    <w:basedOn w:val="Normal"/>
    <w:rsid w:val="00D85EB4"/>
    <w:pPr>
      <w:spacing w:before="100" w:beforeAutospacing="1" w:after="100" w:afterAutospacing="1" w:line="240" w:lineRule="auto"/>
    </w:pPr>
    <w:rPr>
      <w:sz w:val="24"/>
      <w:szCs w:val="24"/>
    </w:rPr>
  </w:style>
  <w:style w:type="character" w:customStyle="1" w:styleId="cf01">
    <w:name w:val="cf01"/>
    <w:basedOn w:val="DefaultParagraphFont"/>
    <w:rsid w:val="00D85EB4"/>
    <w:rPr>
      <w:rFonts w:ascii="Segoe UI" w:hAnsi="Segoe UI" w:cs="Segoe UI" w:hint="default"/>
      <w:sz w:val="18"/>
      <w:szCs w:val="18"/>
    </w:rPr>
  </w:style>
  <w:style w:type="character" w:customStyle="1" w:styleId="ui-provider">
    <w:name w:val="ui-provider"/>
    <w:basedOn w:val="DefaultParagraphFont"/>
    <w:rsid w:val="00B2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news.release/pdf/ecec.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hud.gov/program_offices/public_indian_housing/programs/ph/mtw/expansi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windows\templates\abttemplates\Abt%20Standards\Abt%20Report%207-15-2011.dotm" TargetMode="External" /></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D66A26338494AA199F62AAB4DA72C" ma:contentTypeVersion="7" ma:contentTypeDescription="Create a new document." ma:contentTypeScope="" ma:versionID="d44f2528fc80b5da32912fbb294038c4">
  <xsd:schema xmlns:xsd="http://www.w3.org/2001/XMLSchema" xmlns:xs="http://www.w3.org/2001/XMLSchema" xmlns:p="http://schemas.microsoft.com/office/2006/metadata/properties" xmlns:ns2="66f3cd42-7191-4a3b-9b89-1d4ed6ed14fa" xmlns:ns3="0ee8e2f9-96b5-4c33-aa99-ee4f93612436" targetNamespace="http://schemas.microsoft.com/office/2006/metadata/properties" ma:root="true" ma:fieldsID="fe45327f677f14537ba5cba457651793" ns2:_="" ns3:_="">
    <xsd:import namespace="66f3cd42-7191-4a3b-9b89-1d4ed6ed14fa"/>
    <xsd:import namespace="0ee8e2f9-96b5-4c33-aa99-ee4f93612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cd42-7191-4a3b-9b89-1d4ed6ed1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e2f9-96b5-4c33-aa99-ee4f93612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81A89-3876-4565-994D-929E086F44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3DAD08-F210-4E49-A08A-7E15588EA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cd42-7191-4a3b-9b89-1d4ed6ed14fa"/>
    <ds:schemaRef ds:uri="0ee8e2f9-96b5-4c33-aa99-ee4f93612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615E8-B04B-450F-968A-EAEE483E3774}">
  <ds:schemaRefs>
    <ds:schemaRef ds:uri="http://schemas.openxmlformats.org/officeDocument/2006/bibliography"/>
  </ds:schemaRefs>
</ds:datastoreItem>
</file>

<file path=customXml/itemProps4.xml><?xml version="1.0" encoding="utf-8"?>
<ds:datastoreItem xmlns:ds="http://schemas.openxmlformats.org/officeDocument/2006/customXml" ds:itemID="{284E06CF-074B-44C7-832F-AAEE075BE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0</TotalTime>
  <Pages>20</Pages>
  <Words>7196</Words>
  <Characters>40960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Hill, Ronald M</cp:lastModifiedBy>
  <cp:revision>2</cp:revision>
  <cp:lastPrinted>2023-11-03T19:25:00Z</cp:lastPrinted>
  <dcterms:created xsi:type="dcterms:W3CDTF">2023-11-15T18:12:00Z</dcterms:created>
  <dcterms:modified xsi:type="dcterms:W3CDTF">2023-11-15T18:12:00Z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0x010100658D66A26338494AA199F62AAB4DA72C</vt:lpwstr>
  </property>
  <property fmtid="{D5CDD505-2E9C-101B-9397-08002B2CF9AE}" pid="3" name="MTWinEqns">
    <vt:bool>true</vt:bool>
  </property>
</Properties>
</file>