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AB3B96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BDBA7CF" w14:textId="13B94AA4">
      <w:pPr>
        <w:jc w:val="center"/>
        <w:rPr>
          <w:rFonts w:asciiTheme="majorHAnsi" w:hAnsiTheme="majorHAnsi"/>
          <w:sz w:val="24"/>
        </w:rPr>
      </w:pPr>
      <w:r>
        <w:rPr>
          <w:rFonts w:asciiTheme="majorHAnsi" w:hAnsiTheme="majorHAnsi"/>
          <w:sz w:val="24"/>
        </w:rPr>
        <w:t>Safety Standard Addressing Blade-Contact Injuries on Table Saws</w:t>
      </w:r>
      <w:r w:rsidRPr="00904BF2">
        <w:rPr>
          <w:rFonts w:asciiTheme="majorHAnsi" w:hAnsiTheme="majorHAnsi"/>
          <w:sz w:val="24"/>
        </w:rPr>
        <w:t xml:space="preserve"> </w:t>
      </w:r>
      <w:r>
        <w:rPr>
          <w:rFonts w:asciiTheme="majorHAnsi" w:hAnsiTheme="majorHAnsi"/>
          <w:sz w:val="24"/>
        </w:rPr>
        <w:br/>
      </w:r>
      <w:r w:rsidRPr="00EA6C04">
        <w:rPr>
          <w:rFonts w:asciiTheme="majorHAnsi" w:hAnsiTheme="majorHAnsi"/>
          <w:sz w:val="24"/>
          <w:highlight w:val="yellow"/>
        </w:rPr>
        <w:t>OMB Control Number</w:t>
      </w:r>
    </w:p>
    <w:p w:rsidR="00340D9B" w:rsidP="006E563D" w14:paraId="64C1ADC7" w14:textId="77777777">
      <w:pPr>
        <w:spacing w:after="0" w:line="240" w:lineRule="auto"/>
        <w:rPr>
          <w:rFonts w:asciiTheme="majorHAnsi" w:hAnsiTheme="majorHAnsi"/>
          <w:sz w:val="24"/>
        </w:rPr>
      </w:pPr>
    </w:p>
    <w:p w:rsidR="00340D9B" w:rsidRPr="00340D9B" w:rsidP="002D7713" w14:paraId="099E6D8C" w14:textId="77777777">
      <w:pPr>
        <w:pStyle w:val="ListParagraph"/>
        <w:spacing w:after="0" w:line="240" w:lineRule="auto"/>
        <w:rPr>
          <w:rFonts w:asciiTheme="majorHAnsi" w:hAnsiTheme="majorHAnsi"/>
          <w:sz w:val="24"/>
        </w:rPr>
      </w:pPr>
    </w:p>
    <w:p w:rsidR="00340D9B" w:rsidP="006E563D" w14:paraId="1DDD58DF" w14:textId="77777777">
      <w:pPr>
        <w:spacing w:after="0" w:line="240" w:lineRule="auto"/>
        <w:rPr>
          <w:rFonts w:asciiTheme="majorHAnsi" w:hAnsiTheme="majorHAnsi"/>
          <w:sz w:val="24"/>
        </w:rPr>
      </w:pPr>
    </w:p>
    <w:p w:rsidR="005C7428" w:rsidRPr="0085688C" w:rsidP="006E563D" w14:paraId="4FA721A7" w14:textId="522FB42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5E9F" w:rsidP="006E563D" w14:paraId="22DE1FBB" w14:textId="77777777">
      <w:pPr>
        <w:spacing w:after="0" w:line="240" w:lineRule="auto"/>
        <w:rPr>
          <w:rFonts w:asciiTheme="majorHAnsi" w:hAnsiTheme="majorHAnsi"/>
          <w:i/>
          <w:sz w:val="24"/>
        </w:rPr>
      </w:pPr>
    </w:p>
    <w:p w:rsidR="00904BF2" w:rsidP="00F333F2" w14:paraId="244C85E3" w14:textId="161CD7C7">
      <w:pPr>
        <w:autoSpaceDE w:val="0"/>
        <w:autoSpaceDN w:val="0"/>
        <w:adjustRightInd w:val="0"/>
        <w:spacing w:after="0" w:line="240" w:lineRule="auto"/>
        <w:rPr>
          <w:rFonts w:asciiTheme="majorHAnsi" w:hAnsiTheme="majorHAnsi" w:cs="Melior"/>
          <w:sz w:val="24"/>
          <w:szCs w:val="24"/>
        </w:rPr>
      </w:pPr>
      <w:r w:rsidRPr="00F333F2">
        <w:rPr>
          <w:rFonts w:asciiTheme="majorHAnsi" w:hAnsiTheme="majorHAnsi" w:cs="Melior"/>
          <w:sz w:val="24"/>
          <w:szCs w:val="24"/>
        </w:rPr>
        <w:t>The U.S. Consumer Product</w:t>
      </w:r>
      <w:r>
        <w:rPr>
          <w:rFonts w:asciiTheme="majorHAnsi" w:hAnsiTheme="majorHAnsi" w:cs="Melior"/>
          <w:sz w:val="24"/>
          <w:szCs w:val="24"/>
        </w:rPr>
        <w:t xml:space="preserve"> </w:t>
      </w:r>
      <w:r w:rsidRPr="00F333F2">
        <w:rPr>
          <w:rFonts w:asciiTheme="majorHAnsi" w:hAnsiTheme="majorHAnsi" w:cs="Melior"/>
          <w:sz w:val="24"/>
          <w:szCs w:val="24"/>
        </w:rPr>
        <w:t>Safety Commission (Commission or</w:t>
      </w:r>
      <w:r>
        <w:rPr>
          <w:rFonts w:asciiTheme="majorHAnsi" w:hAnsiTheme="majorHAnsi" w:cs="Melior"/>
          <w:sz w:val="24"/>
          <w:szCs w:val="24"/>
        </w:rPr>
        <w:t xml:space="preserve"> </w:t>
      </w:r>
      <w:r w:rsidRPr="00F333F2">
        <w:rPr>
          <w:rFonts w:asciiTheme="majorHAnsi" w:hAnsiTheme="majorHAnsi" w:cs="Melior"/>
          <w:sz w:val="24"/>
          <w:szCs w:val="24"/>
        </w:rPr>
        <w:t>CPSC) has determined preliminarily</w:t>
      </w:r>
      <w:r>
        <w:rPr>
          <w:rFonts w:asciiTheme="majorHAnsi" w:hAnsiTheme="majorHAnsi" w:cs="Melior"/>
          <w:sz w:val="24"/>
          <w:szCs w:val="24"/>
        </w:rPr>
        <w:t xml:space="preserve"> </w:t>
      </w:r>
      <w:r w:rsidRPr="00F333F2">
        <w:rPr>
          <w:rFonts w:asciiTheme="majorHAnsi" w:hAnsiTheme="majorHAnsi" w:cs="Melior"/>
          <w:sz w:val="24"/>
          <w:szCs w:val="24"/>
        </w:rPr>
        <w:t>that there may be an unreasonable risk</w:t>
      </w:r>
      <w:r>
        <w:rPr>
          <w:rFonts w:asciiTheme="majorHAnsi" w:hAnsiTheme="majorHAnsi" w:cs="Melior"/>
          <w:sz w:val="24"/>
          <w:szCs w:val="24"/>
        </w:rPr>
        <w:t xml:space="preserve"> </w:t>
      </w:r>
      <w:r w:rsidRPr="00F333F2">
        <w:rPr>
          <w:rFonts w:asciiTheme="majorHAnsi" w:hAnsiTheme="majorHAnsi" w:cs="Melior"/>
          <w:sz w:val="24"/>
          <w:szCs w:val="24"/>
        </w:rPr>
        <w:t>of blade-contact injuries associated with</w:t>
      </w:r>
      <w:r>
        <w:rPr>
          <w:rFonts w:asciiTheme="majorHAnsi" w:hAnsiTheme="majorHAnsi" w:cs="Melior"/>
          <w:sz w:val="24"/>
          <w:szCs w:val="24"/>
        </w:rPr>
        <w:t xml:space="preserve"> </w:t>
      </w:r>
      <w:r w:rsidRPr="00F333F2">
        <w:rPr>
          <w:rFonts w:asciiTheme="majorHAnsi" w:hAnsiTheme="majorHAnsi" w:cs="Melior"/>
          <w:sz w:val="24"/>
          <w:szCs w:val="24"/>
        </w:rPr>
        <w:t>table saws. To address this hazard, the</w:t>
      </w:r>
      <w:r>
        <w:rPr>
          <w:rFonts w:asciiTheme="majorHAnsi" w:hAnsiTheme="majorHAnsi" w:cs="Melior"/>
          <w:sz w:val="24"/>
          <w:szCs w:val="24"/>
        </w:rPr>
        <w:t xml:space="preserve"> </w:t>
      </w:r>
      <w:r w:rsidRPr="00F333F2">
        <w:rPr>
          <w:rFonts w:asciiTheme="majorHAnsi" w:hAnsiTheme="majorHAnsi" w:cs="Melior"/>
          <w:sz w:val="24"/>
          <w:szCs w:val="24"/>
        </w:rPr>
        <w:t>Commission proposes a rule under the</w:t>
      </w:r>
      <w:r w:rsidR="00311604">
        <w:rPr>
          <w:rFonts w:asciiTheme="majorHAnsi" w:hAnsiTheme="majorHAnsi" w:cs="Melior"/>
          <w:sz w:val="24"/>
          <w:szCs w:val="24"/>
        </w:rPr>
        <w:t xml:space="preserve"> </w:t>
      </w:r>
      <w:r w:rsidRPr="00F333F2">
        <w:rPr>
          <w:rFonts w:asciiTheme="majorHAnsi" w:hAnsiTheme="majorHAnsi" w:cs="Melior"/>
          <w:sz w:val="24"/>
          <w:szCs w:val="24"/>
        </w:rPr>
        <w:t>Consumer Product Safety Act (CPSA)</w:t>
      </w:r>
      <w:r>
        <w:rPr>
          <w:rFonts w:asciiTheme="majorHAnsi" w:hAnsiTheme="majorHAnsi" w:cs="Melior"/>
          <w:sz w:val="24"/>
          <w:szCs w:val="24"/>
        </w:rPr>
        <w:t xml:space="preserve"> </w:t>
      </w:r>
      <w:r w:rsidRPr="00F333F2">
        <w:rPr>
          <w:rFonts w:asciiTheme="majorHAnsi" w:hAnsiTheme="majorHAnsi" w:cs="Melior"/>
          <w:sz w:val="24"/>
          <w:szCs w:val="24"/>
        </w:rPr>
        <w:t>that would establish a performance</w:t>
      </w:r>
      <w:r>
        <w:rPr>
          <w:rFonts w:asciiTheme="majorHAnsi" w:hAnsiTheme="majorHAnsi" w:cs="Melior"/>
          <w:sz w:val="24"/>
          <w:szCs w:val="24"/>
        </w:rPr>
        <w:t xml:space="preserve"> </w:t>
      </w:r>
      <w:r w:rsidRPr="00F333F2">
        <w:rPr>
          <w:rFonts w:asciiTheme="majorHAnsi" w:hAnsiTheme="majorHAnsi" w:cs="Melior"/>
          <w:sz w:val="24"/>
          <w:szCs w:val="24"/>
        </w:rPr>
        <w:t>standard that requires table saws to</w:t>
      </w:r>
      <w:r>
        <w:rPr>
          <w:rFonts w:asciiTheme="majorHAnsi" w:hAnsiTheme="majorHAnsi" w:cs="Melior"/>
          <w:sz w:val="24"/>
          <w:szCs w:val="24"/>
        </w:rPr>
        <w:t xml:space="preserve"> </w:t>
      </w:r>
      <w:r w:rsidRPr="00F333F2">
        <w:rPr>
          <w:rFonts w:asciiTheme="majorHAnsi" w:hAnsiTheme="majorHAnsi" w:cs="Melior"/>
          <w:sz w:val="24"/>
          <w:szCs w:val="24"/>
        </w:rPr>
        <w:t>limit the depth of cut to no more than</w:t>
      </w:r>
      <w:r>
        <w:rPr>
          <w:rFonts w:asciiTheme="majorHAnsi" w:hAnsiTheme="majorHAnsi" w:cs="Melior"/>
          <w:sz w:val="24"/>
          <w:szCs w:val="24"/>
        </w:rPr>
        <w:t xml:space="preserve"> </w:t>
      </w:r>
      <w:r w:rsidRPr="00F333F2">
        <w:rPr>
          <w:rFonts w:asciiTheme="majorHAnsi" w:hAnsiTheme="majorHAnsi" w:cs="Melior"/>
          <w:sz w:val="24"/>
          <w:szCs w:val="24"/>
        </w:rPr>
        <w:t>3.5 millimeters when a test probe, acting</w:t>
      </w:r>
      <w:r>
        <w:rPr>
          <w:rFonts w:asciiTheme="majorHAnsi" w:hAnsiTheme="majorHAnsi" w:cs="Melior"/>
          <w:sz w:val="24"/>
          <w:szCs w:val="24"/>
        </w:rPr>
        <w:t xml:space="preserve"> </w:t>
      </w:r>
      <w:r w:rsidRPr="00F333F2">
        <w:rPr>
          <w:rFonts w:asciiTheme="majorHAnsi" w:hAnsiTheme="majorHAnsi" w:cs="Melior"/>
          <w:sz w:val="24"/>
          <w:szCs w:val="24"/>
        </w:rPr>
        <w:t>as surrogate for a human finger or other</w:t>
      </w:r>
      <w:r>
        <w:rPr>
          <w:rFonts w:asciiTheme="majorHAnsi" w:hAnsiTheme="majorHAnsi" w:cs="Melior"/>
          <w:sz w:val="24"/>
          <w:szCs w:val="24"/>
        </w:rPr>
        <w:t xml:space="preserve"> </w:t>
      </w:r>
      <w:r w:rsidRPr="00F333F2">
        <w:rPr>
          <w:rFonts w:asciiTheme="majorHAnsi" w:hAnsiTheme="majorHAnsi" w:cs="Melior"/>
          <w:sz w:val="24"/>
          <w:szCs w:val="24"/>
        </w:rPr>
        <w:t>body part, approaches the spinning</w:t>
      </w:r>
      <w:r w:rsidR="00311604">
        <w:rPr>
          <w:rFonts w:asciiTheme="majorHAnsi" w:hAnsiTheme="majorHAnsi" w:cs="Melior"/>
          <w:sz w:val="24"/>
          <w:szCs w:val="24"/>
        </w:rPr>
        <w:t xml:space="preserve"> </w:t>
      </w:r>
      <w:r w:rsidRPr="00F333F2">
        <w:rPr>
          <w:rFonts w:asciiTheme="majorHAnsi" w:hAnsiTheme="majorHAnsi" w:cs="Melior"/>
          <w:sz w:val="24"/>
          <w:szCs w:val="24"/>
        </w:rPr>
        <w:t xml:space="preserve">blade at a rate of 1 meter per second (m/s). </w:t>
      </w:r>
    </w:p>
    <w:p w:rsidR="00FF07DC" w:rsidP="00F333F2" w14:paraId="50B723E8" w14:textId="77777777">
      <w:pPr>
        <w:autoSpaceDE w:val="0"/>
        <w:autoSpaceDN w:val="0"/>
        <w:adjustRightInd w:val="0"/>
        <w:spacing w:after="0" w:line="240" w:lineRule="auto"/>
        <w:rPr>
          <w:rFonts w:asciiTheme="majorHAnsi" w:hAnsiTheme="majorHAnsi" w:cs="Melior"/>
          <w:sz w:val="24"/>
          <w:szCs w:val="24"/>
        </w:rPr>
      </w:pPr>
    </w:p>
    <w:p w:rsidR="00FF07DC" w:rsidRPr="00F333F2" w:rsidP="00FF07DC" w14:paraId="775181A8" w14:textId="77777777">
      <w:pPr>
        <w:autoSpaceDE w:val="0"/>
        <w:autoSpaceDN w:val="0"/>
        <w:adjustRightInd w:val="0"/>
        <w:spacing w:after="0" w:line="240" w:lineRule="auto"/>
        <w:rPr>
          <w:rFonts w:asciiTheme="majorHAnsi" w:hAnsiTheme="majorHAnsi" w:cs="Melior"/>
          <w:sz w:val="24"/>
          <w:szCs w:val="24"/>
        </w:rPr>
      </w:pPr>
      <w:r w:rsidRPr="00F333F2">
        <w:rPr>
          <w:rFonts w:asciiTheme="majorHAnsi" w:hAnsiTheme="majorHAnsi" w:cs="Melior"/>
          <w:sz w:val="24"/>
          <w:szCs w:val="24"/>
        </w:rPr>
        <w:t>This proposed rule contains</w:t>
      </w:r>
      <w:r>
        <w:rPr>
          <w:rFonts w:asciiTheme="majorHAnsi" w:hAnsiTheme="majorHAnsi" w:cs="Melior"/>
          <w:sz w:val="24"/>
          <w:szCs w:val="24"/>
        </w:rPr>
        <w:t xml:space="preserve"> </w:t>
      </w:r>
      <w:r w:rsidRPr="00F333F2">
        <w:rPr>
          <w:rFonts w:asciiTheme="majorHAnsi" w:hAnsiTheme="majorHAnsi" w:cs="Melior"/>
          <w:sz w:val="24"/>
          <w:szCs w:val="24"/>
        </w:rPr>
        <w:t>information collection requirements that</w:t>
      </w:r>
      <w:r>
        <w:rPr>
          <w:rFonts w:asciiTheme="majorHAnsi" w:hAnsiTheme="majorHAnsi" w:cs="Melior"/>
          <w:sz w:val="24"/>
          <w:szCs w:val="24"/>
        </w:rPr>
        <w:t xml:space="preserve"> </w:t>
      </w:r>
      <w:r w:rsidRPr="00F333F2">
        <w:rPr>
          <w:rFonts w:asciiTheme="majorHAnsi" w:hAnsiTheme="majorHAnsi" w:cs="Melior"/>
          <w:sz w:val="24"/>
          <w:szCs w:val="24"/>
        </w:rPr>
        <w:t>are subject to public comment and</w:t>
      </w:r>
      <w:r>
        <w:rPr>
          <w:rFonts w:asciiTheme="majorHAnsi" w:hAnsiTheme="majorHAnsi" w:cs="Melior"/>
          <w:sz w:val="24"/>
          <w:szCs w:val="24"/>
        </w:rPr>
        <w:t xml:space="preserve"> </w:t>
      </w:r>
      <w:r w:rsidRPr="00F333F2">
        <w:rPr>
          <w:rFonts w:asciiTheme="majorHAnsi" w:hAnsiTheme="majorHAnsi" w:cs="Melior"/>
          <w:sz w:val="24"/>
          <w:szCs w:val="24"/>
        </w:rPr>
        <w:t>review by the Office of Management and</w:t>
      </w:r>
      <w:r>
        <w:rPr>
          <w:rFonts w:asciiTheme="majorHAnsi" w:hAnsiTheme="majorHAnsi" w:cs="Melior"/>
          <w:sz w:val="24"/>
          <w:szCs w:val="24"/>
        </w:rPr>
        <w:t xml:space="preserve"> </w:t>
      </w:r>
      <w:r w:rsidRPr="00F333F2">
        <w:rPr>
          <w:rFonts w:asciiTheme="majorHAnsi" w:hAnsiTheme="majorHAnsi" w:cs="Melior"/>
          <w:sz w:val="24"/>
          <w:szCs w:val="24"/>
        </w:rPr>
        <w:t>Budget (OMB) under the Paperwork</w:t>
      </w:r>
    </w:p>
    <w:p w:rsidR="00FF07DC" w:rsidRPr="00F333F2" w:rsidP="00F333F2" w14:paraId="4147B758" w14:textId="63783883">
      <w:pPr>
        <w:autoSpaceDE w:val="0"/>
        <w:autoSpaceDN w:val="0"/>
        <w:adjustRightInd w:val="0"/>
        <w:spacing w:after="0" w:line="240" w:lineRule="auto"/>
        <w:rPr>
          <w:rFonts w:asciiTheme="majorHAnsi" w:hAnsiTheme="majorHAnsi" w:cs="Melior"/>
          <w:sz w:val="24"/>
          <w:szCs w:val="24"/>
        </w:rPr>
      </w:pPr>
      <w:r w:rsidRPr="00F333F2">
        <w:rPr>
          <w:rFonts w:asciiTheme="majorHAnsi" w:hAnsiTheme="majorHAnsi" w:cs="Melior"/>
          <w:sz w:val="24"/>
          <w:szCs w:val="24"/>
        </w:rPr>
        <w:t>Reduction Act of 1995 (PRA). 44 U.S.C.</w:t>
      </w:r>
      <w:r>
        <w:rPr>
          <w:rFonts w:asciiTheme="majorHAnsi" w:hAnsiTheme="majorHAnsi" w:cs="Melior"/>
          <w:sz w:val="24"/>
          <w:szCs w:val="24"/>
        </w:rPr>
        <w:t xml:space="preserve"> </w:t>
      </w:r>
      <w:r w:rsidRPr="00F333F2">
        <w:rPr>
          <w:rFonts w:asciiTheme="majorHAnsi" w:hAnsiTheme="majorHAnsi" w:cs="Melior"/>
          <w:sz w:val="24"/>
          <w:szCs w:val="24"/>
        </w:rPr>
        <w:t xml:space="preserve">3501–3520. </w:t>
      </w:r>
    </w:p>
    <w:p w:rsidR="00F333F2" w:rsidP="00F333F2" w14:paraId="7CB464BD" w14:textId="77777777">
      <w:pPr>
        <w:autoSpaceDE w:val="0"/>
        <w:autoSpaceDN w:val="0"/>
        <w:adjustRightInd w:val="0"/>
        <w:spacing w:after="0" w:line="240" w:lineRule="auto"/>
        <w:rPr>
          <w:rFonts w:asciiTheme="majorHAnsi" w:hAnsiTheme="majorHAnsi"/>
          <w:sz w:val="24"/>
        </w:rPr>
      </w:pPr>
    </w:p>
    <w:p w:rsidR="005C7428" w:rsidRPr="0085688C" w:rsidP="006E563D" w14:paraId="790A83C9" w14:textId="142A799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087569E7" w14:textId="77777777">
      <w:pPr>
        <w:spacing w:after="0" w:line="240" w:lineRule="auto"/>
        <w:rPr>
          <w:rFonts w:asciiTheme="majorHAnsi" w:hAnsiTheme="majorHAnsi"/>
          <w:i/>
          <w:sz w:val="24"/>
        </w:rPr>
      </w:pPr>
    </w:p>
    <w:p w:rsidR="00FF07DC" w:rsidRPr="00FF07DC" w:rsidP="00FF07DC" w14:paraId="565277ED" w14:textId="19E6CFCE">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The information collection requirements will pertain to p</w:t>
      </w:r>
      <w:r w:rsidRPr="00FF07DC">
        <w:rPr>
          <w:rFonts w:asciiTheme="majorHAnsi" w:hAnsiTheme="majorHAnsi" w:cs="Melior"/>
          <w:sz w:val="24"/>
          <w:szCs w:val="24"/>
        </w:rPr>
        <w:t>ersons</w:t>
      </w:r>
      <w:r>
        <w:rPr>
          <w:rFonts w:asciiTheme="majorHAnsi" w:hAnsiTheme="majorHAnsi" w:cs="Melior"/>
          <w:sz w:val="24"/>
          <w:szCs w:val="24"/>
        </w:rPr>
        <w:t xml:space="preserve"> </w:t>
      </w:r>
      <w:r w:rsidRPr="00FF07DC">
        <w:rPr>
          <w:rFonts w:asciiTheme="majorHAnsi" w:hAnsiTheme="majorHAnsi" w:cs="Melior"/>
          <w:sz w:val="24"/>
          <w:szCs w:val="24"/>
        </w:rPr>
        <w:t>who manufacture or import table saws.</w:t>
      </w:r>
      <w:r>
        <w:rPr>
          <w:rFonts w:asciiTheme="majorHAnsi" w:hAnsiTheme="majorHAnsi" w:cs="Melior"/>
          <w:sz w:val="24"/>
          <w:szCs w:val="24"/>
        </w:rPr>
        <w:t xml:space="preserve"> The information collection </w:t>
      </w:r>
      <w:r w:rsidR="008928E1">
        <w:rPr>
          <w:rFonts w:asciiTheme="majorHAnsi" w:hAnsiTheme="majorHAnsi" w:cs="Melior"/>
          <w:sz w:val="24"/>
          <w:szCs w:val="24"/>
        </w:rPr>
        <w:t>would impose a time burden upon the</w:t>
      </w:r>
      <w:r>
        <w:rPr>
          <w:rFonts w:asciiTheme="majorHAnsi" w:hAnsiTheme="majorHAnsi" w:cs="Melior"/>
          <w:sz w:val="24"/>
          <w:szCs w:val="24"/>
        </w:rPr>
        <w:t xml:space="preserve"> </w:t>
      </w:r>
      <w:r w:rsidR="008928E1">
        <w:rPr>
          <w:rFonts w:asciiTheme="majorHAnsi" w:hAnsiTheme="majorHAnsi" w:cs="Melior"/>
          <w:sz w:val="24"/>
          <w:szCs w:val="24"/>
        </w:rPr>
        <w:t>respondent</w:t>
      </w:r>
      <w:r>
        <w:rPr>
          <w:rFonts w:asciiTheme="majorHAnsi" w:hAnsiTheme="majorHAnsi" w:cs="Melior"/>
          <w:sz w:val="24"/>
          <w:szCs w:val="24"/>
        </w:rPr>
        <w:t xml:space="preserve"> to </w:t>
      </w:r>
      <w:r w:rsidRPr="00FF07DC">
        <w:rPr>
          <w:rFonts w:asciiTheme="majorHAnsi" w:hAnsiTheme="majorHAnsi" w:cs="Melior"/>
          <w:sz w:val="24"/>
          <w:szCs w:val="24"/>
        </w:rPr>
        <w:t>gather certificate</w:t>
      </w:r>
      <w:r w:rsidR="00BE5F5C">
        <w:rPr>
          <w:rFonts w:asciiTheme="majorHAnsi" w:hAnsiTheme="majorHAnsi" w:cs="Melior"/>
          <w:sz w:val="24"/>
          <w:szCs w:val="24"/>
        </w:rPr>
        <w:t xml:space="preserve"> data</w:t>
      </w:r>
      <w:r>
        <w:rPr>
          <w:rFonts w:asciiTheme="majorHAnsi" w:hAnsiTheme="majorHAnsi" w:cs="Melior"/>
          <w:sz w:val="24"/>
          <w:szCs w:val="24"/>
        </w:rPr>
        <w:t xml:space="preserve">, </w:t>
      </w:r>
      <w:r w:rsidR="00BE5F5C">
        <w:rPr>
          <w:rFonts w:asciiTheme="majorHAnsi" w:hAnsiTheme="majorHAnsi" w:cs="Melior"/>
          <w:sz w:val="24"/>
          <w:szCs w:val="24"/>
        </w:rPr>
        <w:t xml:space="preserve">the time needed for </w:t>
      </w:r>
      <w:r w:rsidRPr="00FF07DC">
        <w:rPr>
          <w:rFonts w:asciiTheme="majorHAnsi" w:hAnsiTheme="majorHAnsi" w:cs="Melior"/>
          <w:sz w:val="24"/>
          <w:szCs w:val="24"/>
        </w:rPr>
        <w:t>creating</w:t>
      </w:r>
      <w:r>
        <w:rPr>
          <w:rFonts w:asciiTheme="majorHAnsi" w:hAnsiTheme="majorHAnsi" w:cs="Melior"/>
          <w:sz w:val="24"/>
          <w:szCs w:val="24"/>
        </w:rPr>
        <w:t xml:space="preserve"> the </w:t>
      </w:r>
      <w:r w:rsidRPr="00FF07DC">
        <w:rPr>
          <w:rFonts w:asciiTheme="majorHAnsi" w:hAnsiTheme="majorHAnsi" w:cs="Melior"/>
          <w:sz w:val="24"/>
          <w:szCs w:val="24"/>
        </w:rPr>
        <w:t xml:space="preserve">General Certificates of </w:t>
      </w:r>
      <w:r w:rsidR="008928E1">
        <w:rPr>
          <w:rFonts w:asciiTheme="majorHAnsi" w:hAnsiTheme="majorHAnsi" w:cs="Melior"/>
          <w:sz w:val="24"/>
          <w:szCs w:val="24"/>
        </w:rPr>
        <w:t>C</w:t>
      </w:r>
      <w:r w:rsidRPr="00FF07DC">
        <w:rPr>
          <w:rFonts w:asciiTheme="majorHAnsi" w:hAnsiTheme="majorHAnsi" w:cs="Melior"/>
          <w:sz w:val="24"/>
          <w:szCs w:val="24"/>
        </w:rPr>
        <w:t>onformity</w:t>
      </w:r>
      <w:r>
        <w:rPr>
          <w:rFonts w:asciiTheme="majorHAnsi" w:hAnsiTheme="majorHAnsi" w:cs="Melior"/>
          <w:sz w:val="24"/>
          <w:szCs w:val="24"/>
        </w:rPr>
        <w:t xml:space="preserve"> </w:t>
      </w:r>
      <w:r w:rsidRPr="00FF07DC">
        <w:rPr>
          <w:rFonts w:asciiTheme="majorHAnsi" w:hAnsiTheme="majorHAnsi" w:cs="Melior"/>
          <w:sz w:val="24"/>
          <w:szCs w:val="24"/>
        </w:rPr>
        <w:t xml:space="preserve">(GCC), </w:t>
      </w:r>
      <w:r>
        <w:rPr>
          <w:rFonts w:asciiTheme="majorHAnsi" w:hAnsiTheme="majorHAnsi" w:cs="Melior"/>
          <w:sz w:val="24"/>
          <w:szCs w:val="24"/>
        </w:rPr>
        <w:t xml:space="preserve">the </w:t>
      </w:r>
      <w:r w:rsidRPr="00FF07DC">
        <w:rPr>
          <w:rFonts w:asciiTheme="majorHAnsi" w:hAnsiTheme="majorHAnsi" w:cs="Melior"/>
          <w:sz w:val="24"/>
          <w:szCs w:val="24"/>
        </w:rPr>
        <w:t>keeping and maintaining records</w:t>
      </w:r>
      <w:r>
        <w:rPr>
          <w:rFonts w:asciiTheme="majorHAnsi" w:hAnsiTheme="majorHAnsi" w:cs="Melior"/>
          <w:sz w:val="24"/>
          <w:szCs w:val="24"/>
        </w:rPr>
        <w:t xml:space="preserve"> </w:t>
      </w:r>
      <w:r w:rsidRPr="00FF07DC">
        <w:rPr>
          <w:rFonts w:asciiTheme="majorHAnsi" w:hAnsiTheme="majorHAnsi" w:cs="Melior"/>
          <w:sz w:val="24"/>
          <w:szCs w:val="24"/>
        </w:rPr>
        <w:t>associated with the GCCs, and</w:t>
      </w:r>
      <w:r>
        <w:rPr>
          <w:rFonts w:asciiTheme="majorHAnsi" w:hAnsiTheme="majorHAnsi" w:cs="Melior"/>
          <w:sz w:val="24"/>
          <w:szCs w:val="24"/>
        </w:rPr>
        <w:t xml:space="preserve"> </w:t>
      </w:r>
      <w:r w:rsidRPr="00FF07DC">
        <w:rPr>
          <w:rFonts w:asciiTheme="majorHAnsi" w:hAnsiTheme="majorHAnsi" w:cs="Melior"/>
          <w:sz w:val="24"/>
          <w:szCs w:val="24"/>
        </w:rPr>
        <w:t>disclosure of GCCs to third parties.</w:t>
      </w:r>
      <w:r w:rsidR="00947E43">
        <w:rPr>
          <w:rFonts w:asciiTheme="majorHAnsi" w:hAnsiTheme="majorHAnsi" w:cs="Melior"/>
          <w:sz w:val="24"/>
          <w:szCs w:val="24"/>
        </w:rPr>
        <w:t xml:space="preserve"> CPSC would use the information collected to ensure compliance </w:t>
      </w:r>
      <w:r w:rsidR="00947E43">
        <w:rPr>
          <w:rFonts w:asciiTheme="majorHAnsi" w:hAnsiTheme="majorHAnsi" w:cs="Melior"/>
          <w:sz w:val="24"/>
          <w:szCs w:val="24"/>
        </w:rPr>
        <w:t>to</w:t>
      </w:r>
      <w:r w:rsidR="00947E43">
        <w:rPr>
          <w:rFonts w:asciiTheme="majorHAnsi" w:hAnsiTheme="majorHAnsi" w:cs="Melior"/>
          <w:sz w:val="24"/>
          <w:szCs w:val="24"/>
        </w:rPr>
        <w:t xml:space="preserve"> the proposed standard.</w:t>
      </w:r>
    </w:p>
    <w:p w:rsidR="00F333F2" w:rsidP="00F333F2" w14:paraId="1C688976" w14:textId="77777777">
      <w:pPr>
        <w:autoSpaceDE w:val="0"/>
        <w:autoSpaceDN w:val="0"/>
        <w:adjustRightInd w:val="0"/>
        <w:spacing w:after="0" w:line="240" w:lineRule="auto"/>
        <w:rPr>
          <w:rFonts w:asciiTheme="majorHAnsi" w:hAnsiTheme="majorHAnsi"/>
          <w:i/>
          <w:sz w:val="24"/>
        </w:rPr>
      </w:pPr>
    </w:p>
    <w:p w:rsidR="005C7428" w:rsidRPr="0085688C" w:rsidP="006E563D" w14:paraId="1B6C77F8" w14:textId="5BAC7D8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4B87C2E1" w14:textId="77777777">
      <w:pPr>
        <w:spacing w:after="0" w:line="240" w:lineRule="auto"/>
        <w:rPr>
          <w:rFonts w:asciiTheme="majorHAnsi" w:hAnsiTheme="majorHAnsi"/>
          <w:i/>
          <w:sz w:val="24"/>
        </w:rPr>
      </w:pPr>
    </w:p>
    <w:p w:rsidR="00B55E9F" w:rsidRPr="00FF07DC" w:rsidP="006E563D" w14:paraId="29D544E8" w14:textId="308F7E3F">
      <w:pPr>
        <w:spacing w:after="0" w:line="240" w:lineRule="auto"/>
        <w:rPr>
          <w:rFonts w:asciiTheme="majorHAnsi" w:hAnsiTheme="majorHAnsi"/>
          <w:iCs/>
          <w:sz w:val="24"/>
        </w:rPr>
      </w:pPr>
      <w:r>
        <w:rPr>
          <w:rFonts w:asciiTheme="majorHAnsi" w:hAnsiTheme="majorHAnsi"/>
          <w:iCs/>
          <w:sz w:val="24"/>
        </w:rPr>
        <w:t>Persons</w:t>
      </w:r>
      <w:r w:rsidR="00204B56">
        <w:rPr>
          <w:rFonts w:asciiTheme="majorHAnsi" w:hAnsiTheme="majorHAnsi"/>
          <w:iCs/>
          <w:sz w:val="24"/>
        </w:rPr>
        <w:t xml:space="preserve"> that manufacture or import </w:t>
      </w:r>
      <w:r>
        <w:rPr>
          <w:rFonts w:asciiTheme="majorHAnsi" w:hAnsiTheme="majorHAnsi"/>
          <w:iCs/>
          <w:sz w:val="24"/>
        </w:rPr>
        <w:t>table saws</w:t>
      </w:r>
      <w:r w:rsidR="00204B56">
        <w:rPr>
          <w:rFonts w:asciiTheme="majorHAnsi" w:hAnsiTheme="majorHAnsi"/>
          <w:iCs/>
          <w:sz w:val="24"/>
        </w:rPr>
        <w:t xml:space="preserve"> will use information technology to submit information electronically when applicable.</w:t>
      </w:r>
    </w:p>
    <w:p w:rsidR="008635C4" w:rsidP="006E563D" w14:paraId="10C96B5B" w14:textId="11BEB182">
      <w:pPr>
        <w:spacing w:after="0" w:line="240" w:lineRule="auto"/>
        <w:rPr>
          <w:rFonts w:asciiTheme="majorHAnsi" w:hAnsiTheme="majorHAnsi"/>
          <w:i/>
          <w:sz w:val="24"/>
        </w:rPr>
      </w:pPr>
    </w:p>
    <w:p w:rsidR="008635C4" w:rsidRPr="0085688C" w:rsidP="00412EFC" w14:paraId="1A283E3B" w14:textId="4D7B7E94">
      <w:pPr>
        <w:keepNext/>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412EFC" w:rsidP="00412EFC" w14:paraId="2AA106C9" w14:textId="77777777">
      <w:pPr>
        <w:keepNext/>
        <w:spacing w:after="0" w:line="240" w:lineRule="auto"/>
        <w:rPr>
          <w:rFonts w:asciiTheme="majorHAnsi" w:hAnsiTheme="majorHAnsi"/>
          <w:sz w:val="24"/>
        </w:rPr>
      </w:pPr>
    </w:p>
    <w:p w:rsidR="00CA15B1" w:rsidP="00412EFC" w14:paraId="7733B959" w14:textId="4FDF3FEE">
      <w:pPr>
        <w:keepNext/>
        <w:spacing w:after="0" w:line="240" w:lineRule="auto"/>
        <w:rPr>
          <w:rFonts w:asciiTheme="majorHAnsi" w:hAnsiTheme="majorHAnsi"/>
          <w:i/>
          <w:sz w:val="24"/>
        </w:rPr>
      </w:pPr>
      <w:r w:rsidRPr="00204B56">
        <w:rPr>
          <w:rFonts w:asciiTheme="majorHAnsi" w:hAnsiTheme="majorHAnsi"/>
          <w:sz w:val="24"/>
        </w:rPr>
        <w:t xml:space="preserve">The information obtained through this collection is unique and </w:t>
      </w:r>
      <w:r w:rsidRPr="00204B56">
        <w:rPr>
          <w:rFonts w:asciiTheme="majorHAnsi" w:hAnsiTheme="majorHAnsi"/>
          <w:sz w:val="24"/>
        </w:rPr>
        <w:t xml:space="preserve">is </w:t>
      </w:r>
      <w:r w:rsidRPr="00204B56">
        <w:rPr>
          <w:rFonts w:asciiTheme="majorHAnsi" w:hAnsiTheme="majorHAnsi"/>
          <w:sz w:val="24"/>
        </w:rPr>
        <w:t>not already available for use or adaptation from another source.</w:t>
      </w:r>
      <w:r w:rsidRPr="00200261">
        <w:rPr>
          <w:rFonts w:asciiTheme="majorHAnsi" w:hAnsiTheme="majorHAnsi"/>
          <w:sz w:val="24"/>
        </w:rPr>
        <w:t xml:space="preserve"> </w:t>
      </w:r>
    </w:p>
    <w:p w:rsidR="00CA15B1" w:rsidP="006E563D" w14:paraId="165A71FD" w14:textId="77777777">
      <w:pPr>
        <w:spacing w:after="0" w:line="240" w:lineRule="auto"/>
        <w:rPr>
          <w:rFonts w:asciiTheme="majorHAnsi" w:hAnsiTheme="majorHAnsi"/>
          <w:i/>
          <w:sz w:val="24"/>
        </w:rPr>
      </w:pPr>
    </w:p>
    <w:p w:rsidR="00CA15B1" w:rsidP="00FF07DC" w14:paraId="26D3A4B1" w14:textId="6BC43DE0">
      <w:pPr>
        <w:keepNext/>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F02A3" w:rsidP="00FF07DC" w14:paraId="516747DF" w14:textId="77777777">
      <w:pPr>
        <w:keepNext/>
        <w:spacing w:after="0" w:line="240" w:lineRule="auto"/>
        <w:rPr>
          <w:rFonts w:asciiTheme="majorHAnsi" w:hAnsiTheme="majorHAnsi"/>
          <w:i/>
          <w:sz w:val="24"/>
        </w:rPr>
      </w:pPr>
    </w:p>
    <w:p w:rsidR="005A5115" w:rsidRPr="00FF07DC" w:rsidP="00FF07DC" w14:paraId="52131049" w14:textId="779E3D9C">
      <w:pPr>
        <w:keepNext/>
        <w:autoSpaceDE w:val="0"/>
        <w:autoSpaceDN w:val="0"/>
        <w:adjustRightInd w:val="0"/>
        <w:spacing w:after="0" w:line="240" w:lineRule="auto"/>
        <w:rPr>
          <w:rFonts w:asciiTheme="majorHAnsi" w:hAnsiTheme="majorHAnsi" w:cs="Melior"/>
          <w:sz w:val="24"/>
          <w:szCs w:val="24"/>
        </w:rPr>
      </w:pPr>
      <w:r w:rsidRPr="00FF07DC">
        <w:rPr>
          <w:rFonts w:asciiTheme="majorHAnsi" w:hAnsiTheme="majorHAnsi" w:cs="Melior"/>
          <w:sz w:val="24"/>
          <w:szCs w:val="24"/>
        </w:rPr>
        <w:t>As of March 2023, CPSC</w:t>
      </w:r>
      <w:r>
        <w:rPr>
          <w:rFonts w:asciiTheme="majorHAnsi" w:hAnsiTheme="majorHAnsi" w:cs="Melior"/>
          <w:sz w:val="24"/>
          <w:szCs w:val="24"/>
        </w:rPr>
        <w:t xml:space="preserve"> </w:t>
      </w:r>
      <w:r w:rsidRPr="00FF07DC">
        <w:rPr>
          <w:rFonts w:asciiTheme="majorHAnsi" w:hAnsiTheme="majorHAnsi" w:cs="Melior"/>
          <w:sz w:val="24"/>
          <w:szCs w:val="24"/>
        </w:rPr>
        <w:t>is aware of 23 firms that supply table</w:t>
      </w:r>
      <w:r>
        <w:rPr>
          <w:rFonts w:asciiTheme="majorHAnsi" w:hAnsiTheme="majorHAnsi" w:cs="Melior"/>
          <w:sz w:val="24"/>
          <w:szCs w:val="24"/>
        </w:rPr>
        <w:t xml:space="preserve"> </w:t>
      </w:r>
      <w:r w:rsidRPr="00FF07DC">
        <w:rPr>
          <w:rFonts w:asciiTheme="majorHAnsi" w:hAnsiTheme="majorHAnsi" w:cs="Melior"/>
          <w:sz w:val="24"/>
          <w:szCs w:val="24"/>
        </w:rPr>
        <w:t>saws to the U.S. market. Of these 23</w:t>
      </w:r>
      <w:r>
        <w:rPr>
          <w:rFonts w:asciiTheme="majorHAnsi" w:hAnsiTheme="majorHAnsi" w:cs="Melior"/>
          <w:sz w:val="24"/>
          <w:szCs w:val="24"/>
        </w:rPr>
        <w:t xml:space="preserve"> </w:t>
      </w:r>
      <w:r w:rsidRPr="00FF07DC">
        <w:rPr>
          <w:rFonts w:asciiTheme="majorHAnsi" w:hAnsiTheme="majorHAnsi" w:cs="Melior"/>
          <w:sz w:val="24"/>
          <w:szCs w:val="24"/>
        </w:rPr>
        <w:t>firms, seven are small according to</w:t>
      </w:r>
      <w:r>
        <w:rPr>
          <w:rFonts w:asciiTheme="majorHAnsi" w:hAnsiTheme="majorHAnsi" w:cs="Melior"/>
          <w:sz w:val="24"/>
          <w:szCs w:val="24"/>
        </w:rPr>
        <w:t xml:space="preserve"> </w:t>
      </w:r>
      <w:r w:rsidRPr="00FF07DC">
        <w:rPr>
          <w:rFonts w:asciiTheme="majorHAnsi" w:hAnsiTheme="majorHAnsi" w:cs="Melior"/>
          <w:sz w:val="24"/>
          <w:szCs w:val="24"/>
        </w:rPr>
        <w:t>criteria established by the Small</w:t>
      </w:r>
      <w:r>
        <w:rPr>
          <w:rFonts w:asciiTheme="majorHAnsi" w:hAnsiTheme="majorHAnsi" w:cs="Melior"/>
          <w:sz w:val="24"/>
          <w:szCs w:val="24"/>
        </w:rPr>
        <w:t xml:space="preserve"> </w:t>
      </w:r>
      <w:r w:rsidRPr="00FF07DC">
        <w:rPr>
          <w:rFonts w:asciiTheme="majorHAnsi" w:hAnsiTheme="majorHAnsi" w:cs="Melior"/>
          <w:sz w:val="24"/>
          <w:szCs w:val="24"/>
        </w:rPr>
        <w:t>Business Administration (SBA).</w:t>
      </w:r>
    </w:p>
    <w:p w:rsidR="00FF07DC" w:rsidP="00FF07DC" w14:paraId="1744CB9D" w14:textId="77777777">
      <w:pPr>
        <w:spacing w:after="0" w:line="240" w:lineRule="auto"/>
        <w:rPr>
          <w:rFonts w:asciiTheme="majorHAnsi" w:hAnsiTheme="majorHAnsi"/>
          <w:i/>
          <w:sz w:val="24"/>
        </w:rPr>
      </w:pPr>
    </w:p>
    <w:p w:rsidR="005A5115" w:rsidRPr="00597690" w:rsidP="006E563D" w14:paraId="010EA7ED" w14:textId="2A7B1055">
      <w:pPr>
        <w:spacing w:after="0" w:line="240" w:lineRule="auto"/>
        <w:rPr>
          <w:rFonts w:asciiTheme="majorHAnsi" w:hAnsiTheme="majorHAnsi"/>
          <w:sz w:val="24"/>
          <w:szCs w:val="24"/>
        </w:rPr>
      </w:pPr>
      <w:r w:rsidRPr="005A5115">
        <w:rPr>
          <w:rFonts w:asciiTheme="majorHAnsi" w:hAnsiTheme="majorHAnsi"/>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5" w:history="1">
        <w:r w:rsidRPr="005A5115">
          <w:rPr>
            <w:rStyle w:val="Hyperlink"/>
            <w:rFonts w:asciiTheme="majorHAnsi" w:hAnsiTheme="majorHAnsi"/>
            <w:sz w:val="24"/>
            <w:szCs w:val="24"/>
          </w:rPr>
          <w:t>https://www.cpsc.gov/Business</w:t>
        </w:r>
        <w:r>
          <w:rPr>
            <w:rStyle w:val="Hyperlink"/>
            <w:rFonts w:asciiTheme="majorHAnsi" w:hAnsiTheme="majorHAnsi"/>
            <w:sz w:val="24"/>
            <w:szCs w:val="24"/>
          </w:rPr>
          <w:t>—</w:t>
        </w:r>
        <w:r w:rsidRPr="005A5115">
          <w:rPr>
            <w:rStyle w:val="Hyperlink"/>
            <w:rFonts w:asciiTheme="majorHAnsi" w:hAnsiTheme="majorHAnsi"/>
            <w:sz w:val="24"/>
            <w:szCs w:val="24"/>
          </w:rPr>
          <w:t>Manufacturing/Small-Business-Resources</w:t>
        </w:r>
      </w:hyperlink>
      <w:r w:rsidRPr="005A5115">
        <w:rPr>
          <w:rFonts w:asciiTheme="majorHAnsi" w:hAnsiTheme="majorHAnsi"/>
          <w:sz w:val="24"/>
          <w:szCs w:val="24"/>
        </w:rPr>
        <w:t>. Small firms can reach the Small Business Ombudsman by calling (888) 531-9070.</w:t>
      </w:r>
      <w:r>
        <w:rPr>
          <w:rFonts w:asciiTheme="majorHAnsi" w:hAnsiTheme="majorHAnsi"/>
          <w:i/>
          <w:sz w:val="24"/>
        </w:rPr>
        <w:tab/>
      </w:r>
    </w:p>
    <w:p w:rsidR="002567F9" w:rsidP="006E563D" w14:paraId="4AD04E7A" w14:textId="77777777">
      <w:pPr>
        <w:spacing w:after="0" w:line="240" w:lineRule="auto"/>
        <w:rPr>
          <w:rFonts w:asciiTheme="majorHAnsi" w:hAnsiTheme="majorHAnsi"/>
          <w:i/>
          <w:sz w:val="24"/>
        </w:rPr>
      </w:pPr>
    </w:p>
    <w:p w:rsidR="002567F9" w:rsidRPr="0085688C" w:rsidP="006E563D" w14:paraId="345F89C5" w14:textId="354CD58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A5115" w:rsidP="006E563D" w14:paraId="1FFAD3C4" w14:textId="77777777">
      <w:pPr>
        <w:spacing w:after="0" w:line="240" w:lineRule="auto"/>
        <w:rPr>
          <w:rFonts w:asciiTheme="majorHAnsi" w:hAnsiTheme="majorHAnsi"/>
          <w:i/>
          <w:sz w:val="24"/>
        </w:rPr>
      </w:pPr>
    </w:p>
    <w:p w:rsidR="00597690" w:rsidP="00FF07DC" w14:paraId="4349E5A8" w14:textId="0496AD80">
      <w:pPr>
        <w:autoSpaceDE w:val="0"/>
        <w:autoSpaceDN w:val="0"/>
        <w:adjustRightInd w:val="0"/>
        <w:spacing w:after="0" w:line="240" w:lineRule="auto"/>
        <w:rPr>
          <w:rFonts w:asciiTheme="majorHAnsi" w:hAnsiTheme="majorHAnsi" w:cs="Melior"/>
          <w:sz w:val="24"/>
          <w:szCs w:val="24"/>
        </w:rPr>
      </w:pPr>
      <w:r w:rsidRPr="00FF07DC">
        <w:rPr>
          <w:rFonts w:asciiTheme="majorHAnsi" w:hAnsiTheme="majorHAnsi" w:cs="Melior"/>
          <w:sz w:val="24"/>
          <w:szCs w:val="24"/>
        </w:rPr>
        <w:t>The proposed rule for table saws</w:t>
      </w:r>
      <w:r>
        <w:rPr>
          <w:rFonts w:asciiTheme="majorHAnsi" w:hAnsiTheme="majorHAnsi" w:cs="Melior"/>
          <w:sz w:val="24"/>
          <w:szCs w:val="24"/>
        </w:rPr>
        <w:t xml:space="preserve"> </w:t>
      </w:r>
      <w:r w:rsidRPr="00FF07DC">
        <w:rPr>
          <w:rFonts w:asciiTheme="majorHAnsi" w:hAnsiTheme="majorHAnsi" w:cs="Melior"/>
          <w:sz w:val="24"/>
          <w:szCs w:val="24"/>
        </w:rPr>
        <w:t>would reduce an unreasonable risk of</w:t>
      </w:r>
      <w:r>
        <w:rPr>
          <w:rFonts w:asciiTheme="majorHAnsi" w:hAnsiTheme="majorHAnsi" w:cs="Melior"/>
          <w:sz w:val="24"/>
          <w:szCs w:val="24"/>
        </w:rPr>
        <w:t xml:space="preserve"> </w:t>
      </w:r>
      <w:r w:rsidRPr="00FF07DC">
        <w:rPr>
          <w:rFonts w:asciiTheme="majorHAnsi" w:hAnsiTheme="majorHAnsi" w:cs="Melior"/>
          <w:sz w:val="24"/>
          <w:szCs w:val="24"/>
        </w:rPr>
        <w:t>injury associated with blade-contact</w:t>
      </w:r>
      <w:r>
        <w:rPr>
          <w:rFonts w:asciiTheme="majorHAnsi" w:hAnsiTheme="majorHAnsi" w:cs="Melior"/>
          <w:sz w:val="24"/>
          <w:szCs w:val="24"/>
        </w:rPr>
        <w:t xml:space="preserve"> </w:t>
      </w:r>
      <w:r w:rsidRPr="00FF07DC">
        <w:rPr>
          <w:rFonts w:asciiTheme="majorHAnsi" w:hAnsiTheme="majorHAnsi" w:cs="Melior"/>
          <w:sz w:val="24"/>
          <w:szCs w:val="24"/>
        </w:rPr>
        <w:t>injuries on table saws. CPSC staff</w:t>
      </w:r>
      <w:r>
        <w:rPr>
          <w:rFonts w:asciiTheme="majorHAnsi" w:hAnsiTheme="majorHAnsi" w:cs="Melior"/>
          <w:sz w:val="24"/>
          <w:szCs w:val="24"/>
        </w:rPr>
        <w:t xml:space="preserve"> </w:t>
      </w:r>
      <w:r w:rsidRPr="00FF07DC">
        <w:rPr>
          <w:rFonts w:asciiTheme="majorHAnsi" w:hAnsiTheme="majorHAnsi" w:cs="Melior"/>
          <w:sz w:val="24"/>
          <w:szCs w:val="24"/>
        </w:rPr>
        <w:t>estimate</w:t>
      </w:r>
      <w:r w:rsidR="00311604">
        <w:rPr>
          <w:rFonts w:asciiTheme="majorHAnsi" w:hAnsiTheme="majorHAnsi" w:cs="Melior"/>
          <w:sz w:val="24"/>
          <w:szCs w:val="24"/>
        </w:rPr>
        <w:t>s</w:t>
      </w:r>
      <w:r w:rsidRPr="00FF07DC">
        <w:rPr>
          <w:rFonts w:asciiTheme="majorHAnsi" w:hAnsiTheme="majorHAnsi" w:cs="Melior"/>
          <w:sz w:val="24"/>
          <w:szCs w:val="24"/>
        </w:rPr>
        <w:t xml:space="preserve"> that there </w:t>
      </w:r>
      <w:r w:rsidRPr="00FF07DC">
        <w:rPr>
          <w:rFonts w:asciiTheme="majorHAnsi" w:hAnsiTheme="majorHAnsi" w:cs="Melior"/>
          <w:sz w:val="24"/>
          <w:szCs w:val="24"/>
        </w:rPr>
        <w:t>were</w:t>
      </w:r>
      <w:r w:rsidRPr="00FF07DC">
        <w:rPr>
          <w:rFonts w:asciiTheme="majorHAnsi" w:hAnsiTheme="majorHAnsi" w:cs="Melior"/>
          <w:sz w:val="24"/>
          <w:szCs w:val="24"/>
        </w:rPr>
        <w:t xml:space="preserve"> an average of</w:t>
      </w:r>
      <w:r w:rsidR="00311604">
        <w:rPr>
          <w:rFonts w:asciiTheme="majorHAnsi" w:hAnsiTheme="majorHAnsi" w:cs="Melior"/>
          <w:sz w:val="24"/>
          <w:szCs w:val="24"/>
        </w:rPr>
        <w:t xml:space="preserve"> </w:t>
      </w:r>
      <w:r w:rsidRPr="00FF07DC">
        <w:rPr>
          <w:rFonts w:asciiTheme="majorHAnsi" w:hAnsiTheme="majorHAnsi" w:cs="Melior"/>
          <w:sz w:val="24"/>
          <w:szCs w:val="24"/>
        </w:rPr>
        <w:t>approximately 32,000 emergency</w:t>
      </w:r>
      <w:r>
        <w:rPr>
          <w:rFonts w:asciiTheme="majorHAnsi" w:hAnsiTheme="majorHAnsi" w:cs="Melior"/>
          <w:sz w:val="24"/>
          <w:szCs w:val="24"/>
        </w:rPr>
        <w:t xml:space="preserve"> </w:t>
      </w:r>
      <w:r w:rsidRPr="00FF07DC">
        <w:rPr>
          <w:rFonts w:asciiTheme="majorHAnsi" w:hAnsiTheme="majorHAnsi" w:cs="Melior"/>
          <w:sz w:val="24"/>
          <w:szCs w:val="24"/>
        </w:rPr>
        <w:t>department-treated blade-contact</w:t>
      </w:r>
      <w:r>
        <w:rPr>
          <w:rFonts w:asciiTheme="majorHAnsi" w:hAnsiTheme="majorHAnsi" w:cs="Melior"/>
          <w:sz w:val="24"/>
          <w:szCs w:val="24"/>
        </w:rPr>
        <w:t xml:space="preserve"> </w:t>
      </w:r>
      <w:r w:rsidRPr="00FF07DC">
        <w:rPr>
          <w:rFonts w:asciiTheme="majorHAnsi" w:hAnsiTheme="majorHAnsi" w:cs="Melior"/>
          <w:sz w:val="24"/>
          <w:szCs w:val="24"/>
        </w:rPr>
        <w:t>injuries annually from 2004 to 2020.</w:t>
      </w:r>
      <w:r>
        <w:rPr>
          <w:rFonts w:asciiTheme="majorHAnsi" w:hAnsiTheme="majorHAnsi" w:cs="Melior"/>
          <w:sz w:val="24"/>
          <w:szCs w:val="24"/>
        </w:rPr>
        <w:t xml:space="preserve"> </w:t>
      </w:r>
    </w:p>
    <w:p w:rsidR="00597690" w:rsidP="00FF07DC" w14:paraId="5C8D8572" w14:textId="77777777">
      <w:pPr>
        <w:autoSpaceDE w:val="0"/>
        <w:autoSpaceDN w:val="0"/>
        <w:adjustRightInd w:val="0"/>
        <w:spacing w:after="0" w:line="240" w:lineRule="auto"/>
        <w:rPr>
          <w:rFonts w:asciiTheme="majorHAnsi" w:hAnsiTheme="majorHAnsi" w:cs="Melior"/>
          <w:sz w:val="24"/>
          <w:szCs w:val="24"/>
        </w:rPr>
      </w:pPr>
    </w:p>
    <w:p w:rsidR="005A5115" w:rsidRPr="005A5115" w:rsidP="005A5115" w14:paraId="7081467B" w14:textId="489F8340">
      <w:pPr>
        <w:autoSpaceDE w:val="0"/>
        <w:autoSpaceDN w:val="0"/>
        <w:adjustRightInd w:val="0"/>
        <w:spacing w:after="0" w:line="240" w:lineRule="auto"/>
        <w:rPr>
          <w:rFonts w:asciiTheme="majorHAnsi" w:hAnsiTheme="majorHAnsi"/>
          <w:i/>
          <w:sz w:val="24"/>
          <w:szCs w:val="24"/>
        </w:rPr>
      </w:pPr>
      <w:r w:rsidRPr="00FF07DC">
        <w:rPr>
          <w:rFonts w:asciiTheme="majorHAnsi" w:hAnsiTheme="majorHAnsi" w:cs="Melior"/>
          <w:sz w:val="24"/>
          <w:szCs w:val="24"/>
        </w:rPr>
        <w:t>AIM technology has been shown to</w:t>
      </w:r>
      <w:r w:rsidR="00597690">
        <w:rPr>
          <w:rFonts w:asciiTheme="majorHAnsi" w:hAnsiTheme="majorHAnsi" w:cs="Melior"/>
          <w:sz w:val="24"/>
          <w:szCs w:val="24"/>
        </w:rPr>
        <w:t xml:space="preserve"> </w:t>
      </w:r>
      <w:r w:rsidRPr="00FF07DC">
        <w:rPr>
          <w:rFonts w:asciiTheme="majorHAnsi" w:hAnsiTheme="majorHAnsi" w:cs="Melior"/>
          <w:sz w:val="24"/>
          <w:szCs w:val="24"/>
        </w:rPr>
        <w:t>significantly mitigate the severity of</w:t>
      </w:r>
      <w:r w:rsidR="00597690">
        <w:rPr>
          <w:rFonts w:asciiTheme="majorHAnsi" w:hAnsiTheme="majorHAnsi" w:cs="Melior"/>
          <w:sz w:val="24"/>
          <w:szCs w:val="24"/>
        </w:rPr>
        <w:t xml:space="preserve"> </w:t>
      </w:r>
      <w:r w:rsidRPr="00FF07DC">
        <w:rPr>
          <w:rFonts w:asciiTheme="majorHAnsi" w:hAnsiTheme="majorHAnsi" w:cs="Melior"/>
          <w:sz w:val="24"/>
          <w:szCs w:val="24"/>
        </w:rPr>
        <w:t>injuries caused by a victim’s finger,</w:t>
      </w:r>
      <w:r w:rsidR="00597690">
        <w:rPr>
          <w:rFonts w:asciiTheme="majorHAnsi" w:hAnsiTheme="majorHAnsi" w:cs="Melior"/>
          <w:sz w:val="24"/>
          <w:szCs w:val="24"/>
        </w:rPr>
        <w:t xml:space="preserve"> </w:t>
      </w:r>
      <w:r w:rsidRPr="00FF07DC">
        <w:rPr>
          <w:rFonts w:asciiTheme="majorHAnsi" w:hAnsiTheme="majorHAnsi" w:cs="Melior"/>
          <w:sz w:val="24"/>
          <w:szCs w:val="24"/>
        </w:rPr>
        <w:t>hand, or other body part contacting the</w:t>
      </w:r>
      <w:r w:rsidR="00597690">
        <w:rPr>
          <w:rFonts w:asciiTheme="majorHAnsi" w:hAnsiTheme="majorHAnsi" w:cs="Melior"/>
          <w:sz w:val="24"/>
          <w:szCs w:val="24"/>
        </w:rPr>
        <w:t xml:space="preserve"> </w:t>
      </w:r>
      <w:r w:rsidRPr="00FF07DC">
        <w:rPr>
          <w:rFonts w:asciiTheme="majorHAnsi" w:hAnsiTheme="majorHAnsi" w:cs="Melior"/>
          <w:sz w:val="24"/>
          <w:szCs w:val="24"/>
        </w:rPr>
        <w:t>blade while the table saw is in</w:t>
      </w:r>
      <w:r w:rsidR="00597690">
        <w:rPr>
          <w:rFonts w:asciiTheme="majorHAnsi" w:hAnsiTheme="majorHAnsi" w:cs="Melior"/>
          <w:sz w:val="24"/>
          <w:szCs w:val="24"/>
        </w:rPr>
        <w:t xml:space="preserve"> </w:t>
      </w:r>
      <w:r w:rsidRPr="00FF07DC">
        <w:rPr>
          <w:rFonts w:asciiTheme="majorHAnsi" w:hAnsiTheme="majorHAnsi" w:cs="Melior"/>
          <w:sz w:val="24"/>
          <w:szCs w:val="24"/>
        </w:rPr>
        <w:t>operation. Accordingly, the proposed</w:t>
      </w:r>
      <w:r w:rsidR="00597690">
        <w:rPr>
          <w:rFonts w:asciiTheme="majorHAnsi" w:hAnsiTheme="majorHAnsi" w:cs="Melior"/>
          <w:sz w:val="24"/>
          <w:szCs w:val="24"/>
        </w:rPr>
        <w:t xml:space="preserve"> </w:t>
      </w:r>
      <w:r w:rsidRPr="00FF07DC">
        <w:rPr>
          <w:rFonts w:asciiTheme="majorHAnsi" w:hAnsiTheme="majorHAnsi" w:cs="Melior"/>
          <w:sz w:val="24"/>
          <w:szCs w:val="24"/>
        </w:rPr>
        <w:t>rule would establish a mandatory</w:t>
      </w:r>
      <w:r w:rsidR="00597690">
        <w:rPr>
          <w:rFonts w:asciiTheme="majorHAnsi" w:hAnsiTheme="majorHAnsi" w:cs="Melior"/>
          <w:sz w:val="24"/>
          <w:szCs w:val="24"/>
        </w:rPr>
        <w:t xml:space="preserve"> </w:t>
      </w:r>
      <w:r w:rsidRPr="00FF07DC">
        <w:rPr>
          <w:rFonts w:asciiTheme="majorHAnsi" w:hAnsiTheme="majorHAnsi" w:cs="Melior"/>
          <w:sz w:val="24"/>
          <w:szCs w:val="24"/>
        </w:rPr>
        <w:t>performance requirement to address the</w:t>
      </w:r>
      <w:r w:rsidR="00597690">
        <w:rPr>
          <w:rFonts w:asciiTheme="majorHAnsi" w:hAnsiTheme="majorHAnsi" w:cs="Melior"/>
          <w:sz w:val="24"/>
          <w:szCs w:val="24"/>
        </w:rPr>
        <w:t xml:space="preserve"> </w:t>
      </w:r>
      <w:r w:rsidRPr="00FF07DC">
        <w:rPr>
          <w:rFonts w:asciiTheme="majorHAnsi" w:hAnsiTheme="majorHAnsi" w:cs="Melior"/>
          <w:sz w:val="24"/>
          <w:szCs w:val="24"/>
        </w:rPr>
        <w:t>risk of injuries associated with blade</w:t>
      </w:r>
      <w:r w:rsidR="00597690">
        <w:rPr>
          <w:rFonts w:asciiTheme="majorHAnsi" w:hAnsiTheme="majorHAnsi" w:cs="Melior"/>
          <w:sz w:val="24"/>
          <w:szCs w:val="24"/>
        </w:rPr>
        <w:t xml:space="preserve"> </w:t>
      </w:r>
      <w:r w:rsidRPr="00FF07DC">
        <w:rPr>
          <w:rFonts w:asciiTheme="majorHAnsi" w:hAnsiTheme="majorHAnsi" w:cs="Melior"/>
          <w:sz w:val="24"/>
          <w:szCs w:val="24"/>
        </w:rPr>
        <w:t>contact</w:t>
      </w:r>
      <w:r w:rsidR="00597690">
        <w:rPr>
          <w:rFonts w:asciiTheme="majorHAnsi" w:hAnsiTheme="majorHAnsi" w:cs="Melior"/>
          <w:sz w:val="24"/>
          <w:szCs w:val="24"/>
        </w:rPr>
        <w:t xml:space="preserve"> </w:t>
      </w:r>
      <w:r w:rsidRPr="00FF07DC">
        <w:rPr>
          <w:rFonts w:asciiTheme="majorHAnsi" w:hAnsiTheme="majorHAnsi" w:cs="Melior"/>
          <w:sz w:val="24"/>
          <w:szCs w:val="24"/>
        </w:rPr>
        <w:t>injuries on table saws.</w:t>
      </w:r>
      <w:r w:rsidR="00597690">
        <w:rPr>
          <w:rFonts w:asciiTheme="majorHAnsi" w:hAnsiTheme="majorHAnsi" w:cs="Melior"/>
          <w:sz w:val="24"/>
          <w:szCs w:val="24"/>
        </w:rPr>
        <w:t xml:space="preserve"> </w:t>
      </w:r>
      <w:r>
        <w:rPr>
          <w:rFonts w:asciiTheme="majorHAnsi" w:hAnsiTheme="majorHAnsi" w:cs="Melior"/>
          <w:sz w:val="24"/>
          <w:szCs w:val="24"/>
        </w:rPr>
        <w:t xml:space="preserve">Less frequent collection of information would reduce the effectiveness of the </w:t>
      </w:r>
      <w:r w:rsidR="00633DE3">
        <w:rPr>
          <w:rFonts w:asciiTheme="majorHAnsi" w:hAnsiTheme="majorHAnsi" w:cs="Melior"/>
          <w:sz w:val="24"/>
          <w:szCs w:val="24"/>
        </w:rPr>
        <w:t>proposed rule.</w:t>
      </w:r>
    </w:p>
    <w:p w:rsidR="00F86C35" w:rsidP="006E563D" w14:paraId="1EBA5E60" w14:textId="77777777">
      <w:pPr>
        <w:spacing w:after="0" w:line="240" w:lineRule="auto"/>
        <w:rPr>
          <w:rFonts w:asciiTheme="majorHAnsi" w:hAnsiTheme="majorHAnsi"/>
          <w:i/>
          <w:sz w:val="24"/>
        </w:rPr>
      </w:pPr>
    </w:p>
    <w:p w:rsidR="00F86C35" w:rsidP="006E563D" w14:paraId="6EC33C0C" w14:textId="6FF7D17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1045FD59" w14:textId="6181F9F0">
      <w:pPr>
        <w:pStyle w:val="NormalWeb"/>
        <w:spacing w:line="288" w:lineRule="atLeast"/>
        <w:rPr>
          <w:rFonts w:asciiTheme="majorHAnsi" w:eastAsiaTheme="minorHAnsi" w:hAnsiTheme="majorHAnsi" w:cstheme="minorBidi"/>
          <w:i/>
          <w:szCs w:val="22"/>
        </w:rPr>
      </w:pPr>
      <w:r w:rsidRPr="00633DE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814E6AB"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4E215D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0052E7" w:rsidRPr="000052E7" w:rsidP="000052E7" w14:paraId="08B91156" w14:textId="5A466FA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Pr>
          <w:rFonts w:asciiTheme="majorHAnsi" w:eastAsiaTheme="minorHAnsi" w:hAnsiTheme="majorHAnsi" w:cstheme="minorBidi"/>
          <w:szCs w:val="22"/>
        </w:rPr>
        <w:t>published</w:t>
      </w:r>
      <w:r>
        <w:rPr>
          <w:rFonts w:asciiTheme="majorHAnsi" w:eastAsiaTheme="minorHAnsi" w:hAnsiTheme="majorHAnsi" w:cstheme="minorBidi"/>
          <w:szCs w:val="22"/>
        </w:rPr>
        <w:t xml:space="preserve"> on</w:t>
      </w:r>
      <w:r>
        <w:rPr>
          <w:rFonts w:asciiTheme="majorHAnsi" w:eastAsiaTheme="minorHAnsi" w:hAnsiTheme="majorHAnsi" w:cstheme="minorBidi"/>
          <w:szCs w:val="22"/>
        </w:rPr>
        <w:t xml:space="preserve"> </w:t>
      </w:r>
      <w:r w:rsidR="00A45E82">
        <w:rPr>
          <w:rFonts w:asciiTheme="majorHAnsi" w:eastAsiaTheme="minorHAnsi" w:hAnsiTheme="majorHAnsi" w:cstheme="minorBidi"/>
          <w:szCs w:val="22"/>
        </w:rPr>
        <w:t>Wednesday</w:t>
      </w:r>
      <w:r>
        <w:rPr>
          <w:rFonts w:asciiTheme="majorHAnsi" w:eastAsiaTheme="minorHAnsi" w:hAnsiTheme="majorHAnsi" w:cstheme="minorBidi"/>
          <w:szCs w:val="22"/>
        </w:rPr>
        <w:t xml:space="preserve">, </w:t>
      </w:r>
      <w:r w:rsidR="00A45E82">
        <w:rPr>
          <w:rFonts w:asciiTheme="majorHAnsi" w:eastAsiaTheme="minorHAnsi" w:hAnsiTheme="majorHAnsi" w:cstheme="minorBidi"/>
          <w:szCs w:val="22"/>
        </w:rPr>
        <w:t>November</w:t>
      </w:r>
      <w:r>
        <w:rPr>
          <w:rFonts w:asciiTheme="majorHAnsi" w:eastAsiaTheme="minorHAnsi" w:hAnsiTheme="majorHAnsi" w:cstheme="minorBidi"/>
          <w:szCs w:val="22"/>
        </w:rPr>
        <w:t xml:space="preserve"> </w:t>
      </w:r>
      <w:r w:rsidR="00A45E82">
        <w:rPr>
          <w:rFonts w:asciiTheme="majorHAnsi" w:eastAsiaTheme="minorHAnsi" w:hAnsiTheme="majorHAnsi" w:cstheme="minorBidi"/>
          <w:szCs w:val="22"/>
        </w:rPr>
        <w:t>1</w:t>
      </w:r>
      <w:r>
        <w:rPr>
          <w:rFonts w:asciiTheme="majorHAnsi" w:eastAsiaTheme="minorHAnsi" w:hAnsiTheme="majorHAnsi" w:cstheme="minorBidi"/>
          <w:szCs w:val="22"/>
        </w:rPr>
        <w:t>, 2023.</w:t>
      </w:r>
      <w:r>
        <w:rPr>
          <w:rFonts w:asciiTheme="majorHAnsi" w:eastAsiaTheme="minorHAnsi" w:hAnsiTheme="majorHAnsi" w:cstheme="minorBidi"/>
          <w:szCs w:val="22"/>
        </w:rPr>
        <w:t xml:space="preserve"> The FRN citation is</w:t>
      </w:r>
      <w:r>
        <w:rPr>
          <w:rFonts w:asciiTheme="majorHAnsi" w:eastAsiaTheme="minorHAnsi" w:hAnsiTheme="majorHAnsi" w:cstheme="minorBidi"/>
          <w:szCs w:val="22"/>
        </w:rPr>
        <w:t xml:space="preserve"> 88 </w:t>
      </w:r>
      <w:r>
        <w:rPr>
          <w:rFonts w:asciiTheme="majorHAnsi" w:eastAsiaTheme="minorHAnsi" w:hAnsiTheme="majorHAnsi" w:cstheme="minorBidi"/>
          <w:szCs w:val="22"/>
        </w:rPr>
        <w:t>FRN</w:t>
      </w:r>
      <w:r>
        <w:rPr>
          <w:rFonts w:asciiTheme="majorHAnsi" w:eastAsiaTheme="minorHAnsi" w:hAnsiTheme="majorHAnsi" w:cstheme="minorBidi"/>
          <w:szCs w:val="22"/>
        </w:rPr>
        <w:t xml:space="preserve"> </w:t>
      </w:r>
      <w:r w:rsidR="00A45E82">
        <w:rPr>
          <w:rFonts w:asciiTheme="majorHAnsi" w:eastAsiaTheme="minorHAnsi" w:hAnsiTheme="majorHAnsi" w:cstheme="minorBidi"/>
          <w:szCs w:val="22"/>
        </w:rPr>
        <w:t>74909</w:t>
      </w:r>
      <w:r>
        <w:rPr>
          <w:rFonts w:asciiTheme="majorHAnsi" w:eastAsiaTheme="minorHAnsi" w:hAnsiTheme="majorHAnsi" w:cstheme="minorBidi"/>
          <w:szCs w:val="22"/>
        </w:rPr>
        <w:t xml:space="preserve">. </w:t>
      </w:r>
      <w:r w:rsidRPr="000052E7">
        <w:rPr>
          <w:rFonts w:asciiTheme="majorHAnsi" w:hAnsiTheme="majorHAnsi" w:cs="Melior"/>
        </w:rPr>
        <w:t>Pursuant to 44 U.S.C. 3506(c)(2)(A),</w:t>
      </w:r>
      <w:r>
        <w:rPr>
          <w:rFonts w:asciiTheme="majorHAnsi" w:hAnsiTheme="majorHAnsi" w:cs="Melior"/>
        </w:rPr>
        <w:t xml:space="preserve"> </w:t>
      </w:r>
      <w:r w:rsidRPr="000052E7">
        <w:rPr>
          <w:rFonts w:asciiTheme="majorHAnsi" w:hAnsiTheme="majorHAnsi" w:cs="Melior"/>
        </w:rPr>
        <w:t>we invite comments on:</w:t>
      </w:r>
    </w:p>
    <w:p w:rsidR="000052E7" w:rsidRPr="00311604" w:rsidP="00311604" w14:paraId="7669D265" w14:textId="16393F99">
      <w:pPr>
        <w:pStyle w:val="ListParagraph"/>
        <w:numPr>
          <w:ilvl w:val="0"/>
          <w:numId w:val="26"/>
        </w:numPr>
        <w:autoSpaceDE w:val="0"/>
        <w:autoSpaceDN w:val="0"/>
        <w:adjustRightInd w:val="0"/>
        <w:spacing w:after="0" w:line="240" w:lineRule="auto"/>
        <w:rPr>
          <w:rFonts w:asciiTheme="majorHAnsi" w:hAnsiTheme="majorHAnsi" w:cs="Melior"/>
          <w:sz w:val="24"/>
          <w:szCs w:val="24"/>
        </w:rPr>
      </w:pPr>
      <w:r w:rsidRPr="00311604">
        <w:rPr>
          <w:rFonts w:asciiTheme="majorHAnsi" w:hAnsiTheme="majorHAnsi" w:cs="Melior"/>
          <w:sz w:val="24"/>
          <w:szCs w:val="24"/>
        </w:rPr>
        <w:t>Whether the collection of information is necessary for the proper performance of the CPSC’s functions, including whether the information will have practical utility;</w:t>
      </w:r>
    </w:p>
    <w:p w:rsidR="000052E7" w:rsidRPr="00311604" w:rsidP="00311604" w14:paraId="1D401F1A" w14:textId="5AFC5F08">
      <w:pPr>
        <w:pStyle w:val="ListParagraph"/>
        <w:numPr>
          <w:ilvl w:val="0"/>
          <w:numId w:val="26"/>
        </w:numPr>
        <w:autoSpaceDE w:val="0"/>
        <w:autoSpaceDN w:val="0"/>
        <w:adjustRightInd w:val="0"/>
        <w:spacing w:after="0" w:line="240" w:lineRule="auto"/>
        <w:rPr>
          <w:rFonts w:asciiTheme="majorHAnsi" w:hAnsiTheme="majorHAnsi" w:cs="Melior"/>
          <w:sz w:val="24"/>
          <w:szCs w:val="24"/>
        </w:rPr>
      </w:pPr>
      <w:r w:rsidRPr="00311604">
        <w:rPr>
          <w:rFonts w:asciiTheme="majorHAnsi" w:hAnsiTheme="majorHAnsi" w:cs="Melior"/>
          <w:sz w:val="24"/>
          <w:szCs w:val="24"/>
        </w:rPr>
        <w:t>The accuracy of the CPSC’s estimate of the burden of the proposed collection</w:t>
      </w:r>
      <w:r w:rsidR="00311604">
        <w:rPr>
          <w:rFonts w:asciiTheme="majorHAnsi" w:hAnsiTheme="majorHAnsi" w:cs="Melior"/>
          <w:sz w:val="24"/>
          <w:szCs w:val="24"/>
        </w:rPr>
        <w:t xml:space="preserve"> </w:t>
      </w:r>
      <w:r w:rsidRPr="00311604">
        <w:rPr>
          <w:rFonts w:asciiTheme="majorHAnsi" w:hAnsiTheme="majorHAnsi" w:cs="Melior"/>
          <w:sz w:val="24"/>
          <w:szCs w:val="24"/>
        </w:rPr>
        <w:t>of information, including the validity of the methodology and assumptions used;</w:t>
      </w:r>
    </w:p>
    <w:p w:rsidR="000052E7" w:rsidRPr="00311604" w:rsidP="00311604" w14:paraId="16E36161" w14:textId="0D89018D">
      <w:pPr>
        <w:pStyle w:val="ListParagraph"/>
        <w:numPr>
          <w:ilvl w:val="0"/>
          <w:numId w:val="26"/>
        </w:numPr>
        <w:autoSpaceDE w:val="0"/>
        <w:autoSpaceDN w:val="0"/>
        <w:adjustRightInd w:val="0"/>
        <w:spacing w:after="0" w:line="240" w:lineRule="auto"/>
        <w:rPr>
          <w:rFonts w:asciiTheme="majorHAnsi" w:hAnsiTheme="majorHAnsi" w:cs="Melior"/>
          <w:sz w:val="24"/>
          <w:szCs w:val="24"/>
        </w:rPr>
      </w:pPr>
      <w:r w:rsidRPr="00311604">
        <w:rPr>
          <w:rFonts w:asciiTheme="majorHAnsi" w:hAnsiTheme="majorHAnsi" w:cs="Melior"/>
          <w:sz w:val="24"/>
          <w:szCs w:val="24"/>
        </w:rPr>
        <w:t>Ways to enhance the quality, utility, and clarity of the information to be collected;</w:t>
      </w:r>
    </w:p>
    <w:p w:rsidR="000052E7" w:rsidRPr="00311604" w:rsidP="00311604" w14:paraId="2D80C735" w14:textId="7F600AEE">
      <w:pPr>
        <w:pStyle w:val="ListParagraph"/>
        <w:numPr>
          <w:ilvl w:val="0"/>
          <w:numId w:val="26"/>
        </w:numPr>
        <w:autoSpaceDE w:val="0"/>
        <w:autoSpaceDN w:val="0"/>
        <w:adjustRightInd w:val="0"/>
        <w:spacing w:after="0" w:line="240" w:lineRule="auto"/>
        <w:rPr>
          <w:rFonts w:asciiTheme="majorHAnsi" w:hAnsiTheme="majorHAnsi" w:cs="Melior"/>
          <w:sz w:val="24"/>
          <w:szCs w:val="24"/>
        </w:rPr>
      </w:pPr>
      <w:r w:rsidRPr="00311604">
        <w:rPr>
          <w:rFonts w:asciiTheme="majorHAnsi" w:hAnsiTheme="majorHAnsi" w:cs="Melior"/>
          <w:sz w:val="24"/>
          <w:szCs w:val="24"/>
        </w:rPr>
        <w:t>Ways to reduce the burden of the collection of information on respondents, including the use of automated collection techniques, when appropriate, and other forms of information technology; and</w:t>
      </w:r>
    </w:p>
    <w:p w:rsidR="000052E7" w:rsidRPr="00311604" w:rsidP="00311604" w14:paraId="5EAE8801" w14:textId="1FBD6131">
      <w:pPr>
        <w:pStyle w:val="ListParagraph"/>
        <w:numPr>
          <w:ilvl w:val="0"/>
          <w:numId w:val="26"/>
        </w:numPr>
        <w:autoSpaceDE w:val="0"/>
        <w:autoSpaceDN w:val="0"/>
        <w:adjustRightInd w:val="0"/>
        <w:spacing w:after="0" w:line="240" w:lineRule="auto"/>
        <w:rPr>
          <w:rFonts w:asciiTheme="majorHAnsi" w:hAnsiTheme="majorHAnsi"/>
          <w:sz w:val="24"/>
          <w:szCs w:val="24"/>
        </w:rPr>
      </w:pPr>
      <w:r w:rsidRPr="00311604">
        <w:rPr>
          <w:rFonts w:asciiTheme="majorHAnsi" w:hAnsiTheme="majorHAnsi" w:cs="Melior"/>
          <w:sz w:val="24"/>
          <w:szCs w:val="24"/>
        </w:rPr>
        <w:t>The estimated burden hours associated with producing the GCC and the certification testing required to support the GCC.</w:t>
      </w:r>
    </w:p>
    <w:p w:rsidR="00200261" w:rsidP="00200261" w14:paraId="6E20092A" w14:textId="3F16EAF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633DE3" w:rsidP="00633DE3" w14:paraId="1F221A3E" w14:textId="4ABD5055">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 xml:space="preserve">CPSC staff is participating in voluntary standard activities for Stationary and Fixed Electric Tools (ANSI/UL 987). </w:t>
      </w:r>
    </w:p>
    <w:p w:rsidR="00A45E82" w:rsidP="00633DE3" w14:paraId="4E6D791B" w14:textId="77777777">
      <w:pPr>
        <w:autoSpaceDE w:val="0"/>
        <w:autoSpaceDN w:val="0"/>
        <w:adjustRightInd w:val="0"/>
        <w:spacing w:after="0" w:line="240" w:lineRule="auto"/>
        <w:rPr>
          <w:rFonts w:asciiTheme="majorHAnsi" w:hAnsiTheme="majorHAnsi" w:cs="Melior"/>
          <w:sz w:val="24"/>
          <w:szCs w:val="24"/>
        </w:rPr>
      </w:pPr>
    </w:p>
    <w:p w:rsidR="00A45E82" w:rsidRPr="00633DE3" w:rsidP="00633DE3" w14:paraId="34C80CBB" w14:textId="373E4775">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 xml:space="preserve">For additional information on CPSC staff’s participation in voluntary standard activities related to tables saws please visit </w:t>
      </w:r>
      <w:hyperlink r:id="rId6" w:history="1">
        <w:r w:rsidRPr="00B47507">
          <w:rPr>
            <w:rStyle w:val="Hyperlink"/>
            <w:rFonts w:asciiTheme="majorHAnsi" w:hAnsiTheme="majorHAnsi" w:cs="Melior"/>
            <w:sz w:val="24"/>
            <w:szCs w:val="24"/>
          </w:rPr>
          <w:t>https://www.cpsc.gov/Regulations-Laws--Standards/Voluntary-Standards/Topics/Table-Saws</w:t>
        </w:r>
      </w:hyperlink>
      <w:r>
        <w:rPr>
          <w:rFonts w:asciiTheme="majorHAnsi" w:hAnsiTheme="majorHAnsi" w:cs="Melior"/>
          <w:sz w:val="24"/>
          <w:szCs w:val="24"/>
        </w:rPr>
        <w:t xml:space="preserve">. </w:t>
      </w:r>
    </w:p>
    <w:p w:rsidR="00571698" w:rsidP="00633DE3" w14:paraId="7B50D3DB" w14:textId="14CD95B8">
      <w:pPr>
        <w:autoSpaceDE w:val="0"/>
        <w:autoSpaceDN w:val="0"/>
        <w:adjustRightInd w:val="0"/>
        <w:spacing w:after="0" w:line="240" w:lineRule="auto"/>
        <w:rPr>
          <w:rFonts w:asciiTheme="majorHAnsi" w:hAnsiTheme="majorHAnsi"/>
          <w:i/>
        </w:rPr>
      </w:pPr>
      <w:r>
        <w:rPr>
          <w:rFonts w:asciiTheme="majorHAnsi" w:hAnsiTheme="majorHAnsi"/>
        </w:rPr>
        <w:t xml:space="preserve"> </w:t>
      </w:r>
    </w:p>
    <w:p w:rsidR="00571698" w:rsidRPr="0085688C" w:rsidP="006E563D" w14:paraId="66DC7A1C" w14:textId="657EB60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0052E7" w:rsidP="006A13FA" w14:paraId="4906904F" w14:textId="77777777">
      <w:pPr>
        <w:spacing w:after="0" w:line="240" w:lineRule="auto"/>
        <w:rPr>
          <w:rFonts w:asciiTheme="majorHAnsi" w:hAnsiTheme="majorHAnsi"/>
          <w:i/>
          <w:sz w:val="24"/>
        </w:rPr>
      </w:pPr>
    </w:p>
    <w:p w:rsidR="006A13FA" w:rsidP="006A13FA" w14:paraId="0E85FEF5" w14:textId="64FFEBD1">
      <w:pPr>
        <w:spacing w:after="0" w:line="240" w:lineRule="auto"/>
        <w:rPr>
          <w:rFonts w:asciiTheme="majorHAnsi" w:hAnsiTheme="majorHAnsi"/>
          <w:i/>
          <w:sz w:val="24"/>
        </w:rPr>
      </w:pPr>
      <w:r w:rsidRPr="000052E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92B4C0" w14:textId="77777777">
      <w:pPr>
        <w:spacing w:after="0" w:line="240" w:lineRule="auto"/>
        <w:rPr>
          <w:rFonts w:asciiTheme="majorHAnsi" w:hAnsiTheme="majorHAnsi"/>
          <w:i/>
          <w:sz w:val="24"/>
        </w:rPr>
      </w:pPr>
    </w:p>
    <w:p w:rsidR="00F97482" w:rsidP="006A13FA" w14:paraId="282D08F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3653B" w:rsidP="00D3653B" w14:paraId="206C2C04" w14:textId="77777777">
      <w:pPr>
        <w:spacing w:after="0" w:line="240" w:lineRule="auto"/>
        <w:rPr>
          <w:rFonts w:asciiTheme="majorHAnsi" w:hAnsiTheme="majorHAnsi"/>
          <w:i/>
          <w:sz w:val="24"/>
        </w:rPr>
      </w:pPr>
    </w:p>
    <w:p w:rsidR="00E95FFB" w:rsidP="00E95FFB" w14:paraId="4D22908B" w14:textId="75789729">
      <w:pPr>
        <w:spacing w:after="0" w:line="240" w:lineRule="auto"/>
        <w:rPr>
          <w:rFonts w:asciiTheme="majorHAnsi" w:hAnsiTheme="majorHAnsi"/>
          <w:sz w:val="24"/>
        </w:rPr>
      </w:pPr>
      <w:r w:rsidRPr="00D3653B">
        <w:rPr>
          <w:rFonts w:asciiTheme="majorHAnsi" w:hAnsiTheme="majorHAnsi"/>
          <w:sz w:val="24"/>
        </w:rPr>
        <w:t>A Privacy Act Statement is not required</w:t>
      </w:r>
      <w:r w:rsidRPr="00D3653B" w:rsidR="00996894">
        <w:rPr>
          <w:rFonts w:asciiTheme="majorHAnsi" w:hAnsiTheme="majorHAnsi"/>
          <w:sz w:val="24"/>
        </w:rPr>
        <w:t xml:space="preserve"> for this collection</w:t>
      </w:r>
      <w:r w:rsidRPr="00D3653B">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996894" w:rsidP="00996894" w14:paraId="07D7CDDC" w14:textId="77777777">
      <w:pPr>
        <w:spacing w:after="0" w:line="240" w:lineRule="auto"/>
        <w:rPr>
          <w:rFonts w:asciiTheme="majorHAnsi" w:hAnsiTheme="majorHAnsi"/>
          <w:i/>
          <w:sz w:val="24"/>
        </w:rPr>
      </w:pPr>
    </w:p>
    <w:p w:rsidR="00996894" w:rsidP="00996894" w14:paraId="7D0115EF" w14:textId="37DBB60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3653B" w:rsidP="00337EF1" w14:paraId="19D5BDB6" w14:textId="77777777">
      <w:pPr>
        <w:spacing w:after="0" w:line="240" w:lineRule="auto"/>
        <w:rPr>
          <w:rFonts w:asciiTheme="majorHAnsi" w:hAnsiTheme="majorHAnsi"/>
          <w:i/>
          <w:sz w:val="24"/>
        </w:rPr>
      </w:pPr>
    </w:p>
    <w:p w:rsidR="009A6246" w:rsidP="00337EF1" w14:paraId="5485763E" w14:textId="0F6110FF">
      <w:pPr>
        <w:spacing w:after="0" w:line="240" w:lineRule="auto"/>
        <w:rPr>
          <w:rFonts w:asciiTheme="majorHAnsi" w:hAnsiTheme="majorHAnsi"/>
          <w:sz w:val="24"/>
        </w:rPr>
      </w:pPr>
      <w:r w:rsidRPr="00D3653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F161373" w14:textId="77777777">
      <w:pPr>
        <w:spacing w:after="0" w:line="240" w:lineRule="auto"/>
        <w:rPr>
          <w:rFonts w:asciiTheme="majorHAnsi" w:hAnsiTheme="majorHAnsi"/>
          <w:sz w:val="24"/>
        </w:rPr>
      </w:pPr>
    </w:p>
    <w:p w:rsidR="00D21AA6" w:rsidP="00337EF1" w14:paraId="2CF4DDF9" w14:textId="3D820CF5">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 xml:space="preserve">Respondent Burden </w:t>
      </w:r>
    </w:p>
    <w:p w:rsidR="00FA2CC8" w:rsidP="00FA2CC8" w14:paraId="580E501A" w14:textId="77777777">
      <w:pPr>
        <w:autoSpaceDE w:val="0"/>
        <w:autoSpaceDN w:val="0"/>
        <w:adjustRightInd w:val="0"/>
        <w:spacing w:after="0" w:line="240" w:lineRule="auto"/>
        <w:rPr>
          <w:rFonts w:ascii="Melior" w:hAnsi="Melior" w:cs="Melior"/>
          <w:sz w:val="18"/>
          <w:szCs w:val="18"/>
        </w:rPr>
      </w:pPr>
    </w:p>
    <w:p w:rsidR="00F333F2" w:rsidRPr="00F333F2" w:rsidP="00F333F2" w14:paraId="7D16AA84" w14:textId="77777777">
      <w:pPr>
        <w:autoSpaceDE w:val="0"/>
        <w:autoSpaceDN w:val="0"/>
        <w:adjustRightInd w:val="0"/>
        <w:spacing w:after="0" w:line="240" w:lineRule="auto"/>
        <w:rPr>
          <w:rFonts w:asciiTheme="majorHAnsi" w:hAnsiTheme="majorHAnsi" w:cs="Melior"/>
          <w:sz w:val="24"/>
          <w:szCs w:val="24"/>
        </w:rPr>
      </w:pPr>
      <w:r w:rsidRPr="00F333F2">
        <w:rPr>
          <w:rFonts w:asciiTheme="majorHAnsi" w:hAnsiTheme="majorHAnsi" w:cs="Melior"/>
          <w:sz w:val="24"/>
          <w:szCs w:val="24"/>
        </w:rPr>
        <w:t>Our estimate includes the time for</w:t>
      </w:r>
      <w:r>
        <w:rPr>
          <w:rFonts w:asciiTheme="majorHAnsi" w:hAnsiTheme="majorHAnsi" w:cs="Melior"/>
          <w:sz w:val="24"/>
          <w:szCs w:val="24"/>
        </w:rPr>
        <w:t xml:space="preserve"> </w:t>
      </w:r>
      <w:r w:rsidRPr="00F333F2">
        <w:rPr>
          <w:rFonts w:asciiTheme="majorHAnsi" w:hAnsiTheme="majorHAnsi" w:cs="Melior"/>
          <w:sz w:val="24"/>
          <w:szCs w:val="24"/>
        </w:rPr>
        <w:t>gathering certificate data and creating</w:t>
      </w:r>
      <w:r>
        <w:rPr>
          <w:rFonts w:asciiTheme="majorHAnsi" w:hAnsiTheme="majorHAnsi" w:cs="Melior"/>
          <w:sz w:val="24"/>
          <w:szCs w:val="24"/>
        </w:rPr>
        <w:t xml:space="preserve"> </w:t>
      </w:r>
      <w:r w:rsidRPr="00F333F2">
        <w:rPr>
          <w:rFonts w:asciiTheme="majorHAnsi" w:hAnsiTheme="majorHAnsi" w:cs="Melior"/>
          <w:sz w:val="24"/>
          <w:szCs w:val="24"/>
        </w:rPr>
        <w:t>General Certificates of Conformity</w:t>
      </w:r>
      <w:r>
        <w:rPr>
          <w:rFonts w:asciiTheme="majorHAnsi" w:hAnsiTheme="majorHAnsi" w:cs="Melior"/>
          <w:sz w:val="24"/>
          <w:szCs w:val="24"/>
        </w:rPr>
        <w:t xml:space="preserve"> </w:t>
      </w:r>
      <w:r w:rsidRPr="00F333F2">
        <w:rPr>
          <w:rFonts w:asciiTheme="majorHAnsi" w:hAnsiTheme="majorHAnsi" w:cs="Melior"/>
          <w:sz w:val="24"/>
          <w:szCs w:val="24"/>
        </w:rPr>
        <w:t xml:space="preserve">(GCC), </w:t>
      </w:r>
      <w:r w:rsidRPr="00F333F2">
        <w:rPr>
          <w:rFonts w:asciiTheme="majorHAnsi" w:hAnsiTheme="majorHAnsi" w:cs="Melior"/>
          <w:sz w:val="24"/>
          <w:szCs w:val="24"/>
        </w:rPr>
        <w:t>keeping</w:t>
      </w:r>
      <w:r w:rsidRPr="00F333F2">
        <w:rPr>
          <w:rFonts w:asciiTheme="majorHAnsi" w:hAnsiTheme="majorHAnsi" w:cs="Melior"/>
          <w:sz w:val="24"/>
          <w:szCs w:val="24"/>
        </w:rPr>
        <w:t xml:space="preserve"> and maintaining records</w:t>
      </w:r>
      <w:r>
        <w:rPr>
          <w:rFonts w:asciiTheme="majorHAnsi" w:hAnsiTheme="majorHAnsi" w:cs="Melior"/>
          <w:sz w:val="24"/>
          <w:szCs w:val="24"/>
        </w:rPr>
        <w:t xml:space="preserve"> </w:t>
      </w:r>
      <w:r w:rsidRPr="00F333F2">
        <w:rPr>
          <w:rFonts w:asciiTheme="majorHAnsi" w:hAnsiTheme="majorHAnsi" w:cs="Melior"/>
          <w:sz w:val="24"/>
          <w:szCs w:val="24"/>
        </w:rPr>
        <w:t>associated with the GCCs, and</w:t>
      </w:r>
      <w:r>
        <w:rPr>
          <w:rFonts w:asciiTheme="majorHAnsi" w:hAnsiTheme="majorHAnsi" w:cs="Melior"/>
          <w:sz w:val="24"/>
          <w:szCs w:val="24"/>
        </w:rPr>
        <w:t xml:space="preserve"> </w:t>
      </w:r>
      <w:r w:rsidRPr="00F333F2">
        <w:rPr>
          <w:rFonts w:asciiTheme="majorHAnsi" w:hAnsiTheme="majorHAnsi" w:cs="Melior"/>
          <w:sz w:val="24"/>
          <w:szCs w:val="24"/>
        </w:rPr>
        <w:t>disclosure of GCCs to third parties.</w:t>
      </w:r>
    </w:p>
    <w:p w:rsidR="00576FC5" w:rsidP="00FA2CC8" w14:paraId="36AC6F34" w14:textId="77777777">
      <w:pPr>
        <w:autoSpaceDE w:val="0"/>
        <w:autoSpaceDN w:val="0"/>
        <w:adjustRightInd w:val="0"/>
        <w:spacing w:after="0" w:line="240" w:lineRule="auto"/>
        <w:rPr>
          <w:rFonts w:asciiTheme="majorHAnsi" w:hAnsiTheme="majorHAnsi" w:cs="Melior"/>
          <w:sz w:val="24"/>
          <w:szCs w:val="24"/>
        </w:rPr>
      </w:pPr>
    </w:p>
    <w:p w:rsidR="00576FC5" w:rsidP="00576FC5" w14:paraId="08DE2839" w14:textId="7F1340C5">
      <w:pPr>
        <w:autoSpaceDE w:val="0"/>
        <w:autoSpaceDN w:val="0"/>
        <w:adjustRightInd w:val="0"/>
        <w:spacing w:after="0" w:line="240" w:lineRule="auto"/>
        <w:jc w:val="center"/>
        <w:rPr>
          <w:rFonts w:asciiTheme="majorHAnsi" w:hAnsiTheme="majorHAnsi" w:cs="Melior"/>
          <w:sz w:val="24"/>
          <w:szCs w:val="24"/>
        </w:rPr>
      </w:pPr>
      <w:r>
        <w:rPr>
          <w:rFonts w:asciiTheme="majorHAnsi" w:hAnsiTheme="majorHAnsi" w:cs="Melior"/>
          <w:sz w:val="24"/>
          <w:szCs w:val="24"/>
        </w:rPr>
        <w:t>Table 1. Estimated Annual Reporting Burden</w:t>
      </w:r>
    </w:p>
    <w:tbl>
      <w:tblPr>
        <w:tblStyle w:val="TableGrid"/>
        <w:tblW w:w="9715" w:type="dxa"/>
        <w:tblLook w:val="04A0"/>
      </w:tblPr>
      <w:tblGrid>
        <w:gridCol w:w="2111"/>
        <w:gridCol w:w="1499"/>
        <w:gridCol w:w="1343"/>
        <w:gridCol w:w="1261"/>
        <w:gridCol w:w="1168"/>
        <w:gridCol w:w="987"/>
        <w:gridCol w:w="1346"/>
      </w:tblGrid>
      <w:tr w14:paraId="64847FC6" w14:textId="77777777" w:rsidTr="00B21DE9">
        <w:tblPrEx>
          <w:tblW w:w="9715" w:type="dxa"/>
          <w:tblLook w:val="04A0"/>
        </w:tblPrEx>
        <w:tc>
          <w:tcPr>
            <w:tcW w:w="2155" w:type="dxa"/>
            <w:shd w:val="clear" w:color="auto" w:fill="F2F2F2" w:themeFill="background1" w:themeFillShade="F2"/>
          </w:tcPr>
          <w:p w:rsidR="00576FC5" w:rsidP="00FA2CC8" w14:paraId="39BFBFE8" w14:textId="24A7D906">
            <w:pPr>
              <w:autoSpaceDE w:val="0"/>
              <w:autoSpaceDN w:val="0"/>
              <w:adjustRightInd w:val="0"/>
              <w:rPr>
                <w:rFonts w:asciiTheme="majorHAnsi" w:hAnsiTheme="majorHAnsi" w:cs="Melior"/>
                <w:sz w:val="24"/>
                <w:szCs w:val="24"/>
              </w:rPr>
            </w:pPr>
            <w:r>
              <w:rPr>
                <w:rFonts w:asciiTheme="majorHAnsi" w:hAnsiTheme="majorHAnsi" w:cs="Melior"/>
                <w:sz w:val="24"/>
                <w:szCs w:val="24"/>
              </w:rPr>
              <w:t>Burden Type</w:t>
            </w:r>
          </w:p>
        </w:tc>
        <w:tc>
          <w:tcPr>
            <w:tcW w:w="1440" w:type="dxa"/>
            <w:shd w:val="clear" w:color="auto" w:fill="F2F2F2" w:themeFill="background1" w:themeFillShade="F2"/>
          </w:tcPr>
          <w:p w:rsidR="00576FC5" w:rsidP="00FA2CC8" w14:paraId="0C31E76C" w14:textId="5DB75ED3">
            <w:pPr>
              <w:autoSpaceDE w:val="0"/>
              <w:autoSpaceDN w:val="0"/>
              <w:adjustRightInd w:val="0"/>
              <w:rPr>
                <w:rFonts w:asciiTheme="majorHAnsi" w:hAnsiTheme="majorHAnsi" w:cs="Melior"/>
                <w:sz w:val="24"/>
                <w:szCs w:val="24"/>
              </w:rPr>
            </w:pPr>
            <w:r>
              <w:rPr>
                <w:rFonts w:asciiTheme="majorHAnsi" w:hAnsiTheme="majorHAnsi" w:cs="Melior"/>
                <w:sz w:val="24"/>
                <w:szCs w:val="24"/>
              </w:rPr>
              <w:t>Number of respondents</w:t>
            </w:r>
          </w:p>
        </w:tc>
        <w:tc>
          <w:tcPr>
            <w:tcW w:w="1348" w:type="dxa"/>
            <w:shd w:val="clear" w:color="auto" w:fill="F2F2F2" w:themeFill="background1" w:themeFillShade="F2"/>
          </w:tcPr>
          <w:p w:rsidR="00576FC5" w:rsidP="00FA2CC8" w14:paraId="7187E04A" w14:textId="79559D35">
            <w:pPr>
              <w:autoSpaceDE w:val="0"/>
              <w:autoSpaceDN w:val="0"/>
              <w:adjustRightInd w:val="0"/>
              <w:rPr>
                <w:rFonts w:asciiTheme="majorHAnsi" w:hAnsiTheme="majorHAnsi" w:cs="Melior"/>
                <w:sz w:val="24"/>
                <w:szCs w:val="24"/>
              </w:rPr>
            </w:pPr>
            <w:r>
              <w:rPr>
                <w:rFonts w:asciiTheme="majorHAnsi" w:hAnsiTheme="majorHAnsi" w:cs="Melior"/>
                <w:sz w:val="24"/>
                <w:szCs w:val="24"/>
              </w:rPr>
              <w:t>Frequency of response</w:t>
            </w:r>
          </w:p>
        </w:tc>
        <w:tc>
          <w:tcPr>
            <w:tcW w:w="1262" w:type="dxa"/>
            <w:shd w:val="clear" w:color="auto" w:fill="F2F2F2" w:themeFill="background1" w:themeFillShade="F2"/>
          </w:tcPr>
          <w:p w:rsidR="00576FC5" w:rsidP="00FA2CC8" w14:paraId="04B470B8" w14:textId="0C814473">
            <w:pPr>
              <w:autoSpaceDE w:val="0"/>
              <w:autoSpaceDN w:val="0"/>
              <w:adjustRightInd w:val="0"/>
              <w:rPr>
                <w:rFonts w:asciiTheme="majorHAnsi" w:hAnsiTheme="majorHAnsi" w:cs="Melior"/>
                <w:sz w:val="24"/>
                <w:szCs w:val="24"/>
              </w:rPr>
            </w:pPr>
            <w:r>
              <w:rPr>
                <w:rFonts w:asciiTheme="majorHAnsi" w:hAnsiTheme="majorHAnsi" w:cs="Melior"/>
                <w:sz w:val="24"/>
                <w:szCs w:val="24"/>
              </w:rPr>
              <w:t>Total annual responses</w:t>
            </w:r>
          </w:p>
        </w:tc>
        <w:tc>
          <w:tcPr>
            <w:tcW w:w="1170" w:type="dxa"/>
            <w:shd w:val="clear" w:color="auto" w:fill="F2F2F2" w:themeFill="background1" w:themeFillShade="F2"/>
          </w:tcPr>
          <w:p w:rsidR="00576FC5" w:rsidP="00FA2CC8" w14:paraId="195503CF" w14:textId="60C87EF6">
            <w:pPr>
              <w:autoSpaceDE w:val="0"/>
              <w:autoSpaceDN w:val="0"/>
              <w:adjustRightInd w:val="0"/>
              <w:rPr>
                <w:rFonts w:asciiTheme="majorHAnsi" w:hAnsiTheme="majorHAnsi" w:cs="Melior"/>
                <w:sz w:val="24"/>
                <w:szCs w:val="24"/>
              </w:rPr>
            </w:pPr>
            <w:r>
              <w:rPr>
                <w:rFonts w:asciiTheme="majorHAnsi" w:hAnsiTheme="majorHAnsi" w:cs="Melior"/>
                <w:sz w:val="24"/>
                <w:szCs w:val="24"/>
              </w:rPr>
              <w:t>Minutes per response</w:t>
            </w:r>
          </w:p>
        </w:tc>
        <w:tc>
          <w:tcPr>
            <w:tcW w:w="990" w:type="dxa"/>
            <w:shd w:val="clear" w:color="auto" w:fill="F2F2F2" w:themeFill="background1" w:themeFillShade="F2"/>
          </w:tcPr>
          <w:p w:rsidR="00576FC5" w:rsidP="00FA2CC8" w14:paraId="6D7FE22E" w14:textId="739F2E23">
            <w:pPr>
              <w:autoSpaceDE w:val="0"/>
              <w:autoSpaceDN w:val="0"/>
              <w:adjustRightInd w:val="0"/>
              <w:rPr>
                <w:rFonts w:asciiTheme="majorHAnsi" w:hAnsiTheme="majorHAnsi" w:cs="Melior"/>
                <w:sz w:val="24"/>
                <w:szCs w:val="24"/>
              </w:rPr>
            </w:pPr>
            <w:r>
              <w:rPr>
                <w:rFonts w:asciiTheme="majorHAnsi" w:hAnsiTheme="majorHAnsi" w:cs="Melior"/>
                <w:sz w:val="24"/>
                <w:szCs w:val="24"/>
              </w:rPr>
              <w:t>Total burden hours</w:t>
            </w:r>
          </w:p>
        </w:tc>
        <w:tc>
          <w:tcPr>
            <w:tcW w:w="1350" w:type="dxa"/>
            <w:shd w:val="clear" w:color="auto" w:fill="F2F2F2" w:themeFill="background1" w:themeFillShade="F2"/>
          </w:tcPr>
          <w:p w:rsidR="00576FC5" w:rsidP="00FA2CC8" w14:paraId="5E14F193" w14:textId="7B1038D4">
            <w:pPr>
              <w:autoSpaceDE w:val="0"/>
              <w:autoSpaceDN w:val="0"/>
              <w:adjustRightInd w:val="0"/>
              <w:rPr>
                <w:rFonts w:asciiTheme="majorHAnsi" w:hAnsiTheme="majorHAnsi" w:cs="Melior"/>
                <w:sz w:val="24"/>
                <w:szCs w:val="24"/>
              </w:rPr>
            </w:pPr>
            <w:r>
              <w:rPr>
                <w:rFonts w:asciiTheme="majorHAnsi" w:hAnsiTheme="majorHAnsi" w:cs="Melior"/>
                <w:sz w:val="24"/>
                <w:szCs w:val="24"/>
              </w:rPr>
              <w:t>Annual cost</w:t>
            </w:r>
          </w:p>
        </w:tc>
      </w:tr>
      <w:tr w14:paraId="7CD0761B" w14:textId="77777777" w:rsidTr="00B21DE9">
        <w:tblPrEx>
          <w:tblW w:w="9715" w:type="dxa"/>
          <w:tblLook w:val="04A0"/>
        </w:tblPrEx>
        <w:tc>
          <w:tcPr>
            <w:tcW w:w="2155" w:type="dxa"/>
          </w:tcPr>
          <w:p w:rsidR="00576FC5" w:rsidP="00FA2CC8" w14:paraId="4A26B3EF" w14:textId="19901DD8">
            <w:pPr>
              <w:autoSpaceDE w:val="0"/>
              <w:autoSpaceDN w:val="0"/>
              <w:adjustRightInd w:val="0"/>
              <w:rPr>
                <w:rFonts w:asciiTheme="majorHAnsi" w:hAnsiTheme="majorHAnsi" w:cs="Melior"/>
                <w:sz w:val="24"/>
                <w:szCs w:val="24"/>
              </w:rPr>
            </w:pPr>
            <w:r>
              <w:rPr>
                <w:rFonts w:asciiTheme="majorHAnsi" w:hAnsiTheme="majorHAnsi" w:cs="Melior"/>
                <w:sz w:val="24"/>
                <w:szCs w:val="24"/>
              </w:rPr>
              <w:t xml:space="preserve">GCC </w:t>
            </w:r>
            <w:r w:rsidR="00E5413A">
              <w:rPr>
                <w:rFonts w:asciiTheme="majorHAnsi" w:hAnsiTheme="majorHAnsi" w:cs="Melior"/>
                <w:sz w:val="24"/>
                <w:szCs w:val="24"/>
              </w:rPr>
              <w:t>creation</w:t>
            </w:r>
          </w:p>
        </w:tc>
        <w:tc>
          <w:tcPr>
            <w:tcW w:w="1440" w:type="dxa"/>
          </w:tcPr>
          <w:p w:rsidR="00576FC5" w:rsidP="00FA2CC8" w14:paraId="49D1ABF8" w14:textId="6FBF5EDA">
            <w:pPr>
              <w:autoSpaceDE w:val="0"/>
              <w:autoSpaceDN w:val="0"/>
              <w:adjustRightInd w:val="0"/>
              <w:rPr>
                <w:rFonts w:asciiTheme="majorHAnsi" w:hAnsiTheme="majorHAnsi" w:cs="Melior"/>
                <w:sz w:val="24"/>
                <w:szCs w:val="24"/>
              </w:rPr>
            </w:pPr>
            <w:r>
              <w:rPr>
                <w:rFonts w:asciiTheme="majorHAnsi" w:hAnsiTheme="majorHAnsi" w:cs="Melior"/>
                <w:sz w:val="24"/>
                <w:szCs w:val="24"/>
              </w:rPr>
              <w:t>23</w:t>
            </w:r>
          </w:p>
        </w:tc>
        <w:tc>
          <w:tcPr>
            <w:tcW w:w="1348" w:type="dxa"/>
          </w:tcPr>
          <w:p w:rsidR="00576FC5" w:rsidP="00FA2CC8" w14:paraId="0BBF2243" w14:textId="0B41C1EE">
            <w:pPr>
              <w:autoSpaceDE w:val="0"/>
              <w:autoSpaceDN w:val="0"/>
              <w:adjustRightInd w:val="0"/>
              <w:rPr>
                <w:rFonts w:asciiTheme="majorHAnsi" w:hAnsiTheme="majorHAnsi" w:cs="Melior"/>
                <w:sz w:val="24"/>
                <w:szCs w:val="24"/>
              </w:rPr>
            </w:pPr>
            <w:r>
              <w:rPr>
                <w:rFonts w:asciiTheme="majorHAnsi" w:hAnsiTheme="majorHAnsi" w:cs="Melior"/>
                <w:sz w:val="24"/>
                <w:szCs w:val="24"/>
              </w:rPr>
              <w:t>7</w:t>
            </w:r>
          </w:p>
        </w:tc>
        <w:tc>
          <w:tcPr>
            <w:tcW w:w="1262" w:type="dxa"/>
          </w:tcPr>
          <w:p w:rsidR="00576FC5" w:rsidP="00FA2CC8" w14:paraId="3E921DA9" w14:textId="5BBD096B">
            <w:pPr>
              <w:autoSpaceDE w:val="0"/>
              <w:autoSpaceDN w:val="0"/>
              <w:adjustRightInd w:val="0"/>
              <w:rPr>
                <w:rFonts w:asciiTheme="majorHAnsi" w:hAnsiTheme="majorHAnsi" w:cs="Melior"/>
                <w:sz w:val="24"/>
                <w:szCs w:val="24"/>
              </w:rPr>
            </w:pPr>
            <w:r>
              <w:rPr>
                <w:rFonts w:asciiTheme="majorHAnsi" w:hAnsiTheme="majorHAnsi" w:cs="Melior"/>
                <w:sz w:val="24"/>
                <w:szCs w:val="24"/>
              </w:rPr>
              <w:t>161</w:t>
            </w:r>
          </w:p>
        </w:tc>
        <w:tc>
          <w:tcPr>
            <w:tcW w:w="1170" w:type="dxa"/>
          </w:tcPr>
          <w:p w:rsidR="00576FC5" w:rsidP="00FA2CC8" w14:paraId="0688B484" w14:textId="54F0E037">
            <w:pPr>
              <w:autoSpaceDE w:val="0"/>
              <w:autoSpaceDN w:val="0"/>
              <w:adjustRightInd w:val="0"/>
              <w:rPr>
                <w:rFonts w:asciiTheme="majorHAnsi" w:hAnsiTheme="majorHAnsi" w:cs="Melior"/>
                <w:sz w:val="24"/>
                <w:szCs w:val="24"/>
              </w:rPr>
            </w:pPr>
            <w:r>
              <w:rPr>
                <w:rFonts w:asciiTheme="majorHAnsi" w:hAnsiTheme="majorHAnsi" w:cs="Melior"/>
                <w:sz w:val="24"/>
                <w:szCs w:val="24"/>
              </w:rPr>
              <w:t>5</w:t>
            </w:r>
          </w:p>
        </w:tc>
        <w:tc>
          <w:tcPr>
            <w:tcW w:w="990" w:type="dxa"/>
          </w:tcPr>
          <w:p w:rsidR="00576FC5" w:rsidP="00FA2CC8" w14:paraId="4581D071" w14:textId="51EF3C34">
            <w:pPr>
              <w:autoSpaceDE w:val="0"/>
              <w:autoSpaceDN w:val="0"/>
              <w:adjustRightInd w:val="0"/>
              <w:rPr>
                <w:rFonts w:asciiTheme="majorHAnsi" w:hAnsiTheme="majorHAnsi" w:cs="Melior"/>
                <w:sz w:val="24"/>
                <w:szCs w:val="24"/>
              </w:rPr>
            </w:pPr>
            <w:r>
              <w:rPr>
                <w:rFonts w:asciiTheme="majorHAnsi" w:hAnsiTheme="majorHAnsi" w:cs="Melior"/>
                <w:sz w:val="24"/>
                <w:szCs w:val="24"/>
              </w:rPr>
              <w:t>13.42</w:t>
            </w:r>
          </w:p>
        </w:tc>
        <w:tc>
          <w:tcPr>
            <w:tcW w:w="1350" w:type="dxa"/>
          </w:tcPr>
          <w:p w:rsidR="00576FC5" w:rsidP="00FA2CC8" w14:paraId="20266A80" w14:textId="11763313">
            <w:pPr>
              <w:autoSpaceDE w:val="0"/>
              <w:autoSpaceDN w:val="0"/>
              <w:adjustRightInd w:val="0"/>
              <w:rPr>
                <w:rFonts w:asciiTheme="majorHAnsi" w:hAnsiTheme="majorHAnsi" w:cs="Melior"/>
                <w:sz w:val="24"/>
                <w:szCs w:val="24"/>
              </w:rPr>
            </w:pPr>
            <w:r>
              <w:rPr>
                <w:rFonts w:asciiTheme="majorHAnsi" w:hAnsiTheme="majorHAnsi" w:cs="Melior"/>
                <w:sz w:val="24"/>
                <w:szCs w:val="24"/>
              </w:rPr>
              <w:t>$</w:t>
            </w:r>
            <w:r w:rsidR="00B21DE9">
              <w:rPr>
                <w:rFonts w:asciiTheme="majorHAnsi" w:hAnsiTheme="majorHAnsi" w:cs="Melior"/>
                <w:sz w:val="24"/>
                <w:szCs w:val="24"/>
              </w:rPr>
              <w:t>921.28</w:t>
            </w:r>
          </w:p>
        </w:tc>
      </w:tr>
      <w:tr w14:paraId="512FCFBA" w14:textId="77777777" w:rsidTr="00B21DE9">
        <w:tblPrEx>
          <w:tblW w:w="9715" w:type="dxa"/>
          <w:tblLook w:val="04A0"/>
        </w:tblPrEx>
        <w:tc>
          <w:tcPr>
            <w:tcW w:w="2155" w:type="dxa"/>
          </w:tcPr>
          <w:p w:rsidR="00576FC5" w:rsidP="00FA2CC8" w14:paraId="644FE032" w14:textId="5DA7E1EC">
            <w:pPr>
              <w:autoSpaceDE w:val="0"/>
              <w:autoSpaceDN w:val="0"/>
              <w:adjustRightInd w:val="0"/>
              <w:rPr>
                <w:rFonts w:asciiTheme="majorHAnsi" w:hAnsiTheme="majorHAnsi" w:cs="Melior"/>
                <w:sz w:val="24"/>
                <w:szCs w:val="24"/>
              </w:rPr>
            </w:pPr>
            <w:r>
              <w:rPr>
                <w:rFonts w:asciiTheme="majorHAnsi" w:hAnsiTheme="majorHAnsi" w:cs="Melior"/>
                <w:sz w:val="24"/>
                <w:szCs w:val="24"/>
              </w:rPr>
              <w:t>Recordkeeping</w:t>
            </w:r>
          </w:p>
        </w:tc>
        <w:tc>
          <w:tcPr>
            <w:tcW w:w="1440" w:type="dxa"/>
          </w:tcPr>
          <w:p w:rsidR="00576FC5" w:rsidP="00FA2CC8" w14:paraId="6758B7B4" w14:textId="6DC52EA6">
            <w:pPr>
              <w:autoSpaceDE w:val="0"/>
              <w:autoSpaceDN w:val="0"/>
              <w:adjustRightInd w:val="0"/>
              <w:rPr>
                <w:rFonts w:asciiTheme="majorHAnsi" w:hAnsiTheme="majorHAnsi" w:cs="Melior"/>
                <w:sz w:val="24"/>
                <w:szCs w:val="24"/>
              </w:rPr>
            </w:pPr>
            <w:r>
              <w:rPr>
                <w:rFonts w:asciiTheme="majorHAnsi" w:hAnsiTheme="majorHAnsi" w:cs="Melior"/>
                <w:sz w:val="24"/>
                <w:szCs w:val="24"/>
              </w:rPr>
              <w:t>23</w:t>
            </w:r>
          </w:p>
        </w:tc>
        <w:tc>
          <w:tcPr>
            <w:tcW w:w="1348" w:type="dxa"/>
          </w:tcPr>
          <w:p w:rsidR="00576FC5" w:rsidP="00FA2CC8" w14:paraId="518C508D" w14:textId="08F64EA6">
            <w:pPr>
              <w:autoSpaceDE w:val="0"/>
              <w:autoSpaceDN w:val="0"/>
              <w:adjustRightInd w:val="0"/>
              <w:rPr>
                <w:rFonts w:asciiTheme="majorHAnsi" w:hAnsiTheme="majorHAnsi" w:cs="Melior"/>
                <w:sz w:val="24"/>
                <w:szCs w:val="24"/>
              </w:rPr>
            </w:pPr>
            <w:r>
              <w:rPr>
                <w:rFonts w:asciiTheme="majorHAnsi" w:hAnsiTheme="majorHAnsi" w:cs="Melior"/>
                <w:sz w:val="24"/>
                <w:szCs w:val="24"/>
              </w:rPr>
              <w:t>7</w:t>
            </w:r>
          </w:p>
        </w:tc>
        <w:tc>
          <w:tcPr>
            <w:tcW w:w="1262" w:type="dxa"/>
          </w:tcPr>
          <w:p w:rsidR="00576FC5" w:rsidP="00FA2CC8" w14:paraId="0EFB1B1A" w14:textId="3750C4DD">
            <w:pPr>
              <w:autoSpaceDE w:val="0"/>
              <w:autoSpaceDN w:val="0"/>
              <w:adjustRightInd w:val="0"/>
              <w:rPr>
                <w:rFonts w:asciiTheme="majorHAnsi" w:hAnsiTheme="majorHAnsi" w:cs="Melior"/>
                <w:sz w:val="24"/>
                <w:szCs w:val="24"/>
              </w:rPr>
            </w:pPr>
            <w:r>
              <w:rPr>
                <w:rFonts w:asciiTheme="majorHAnsi" w:hAnsiTheme="majorHAnsi" w:cs="Melior"/>
                <w:sz w:val="24"/>
                <w:szCs w:val="24"/>
              </w:rPr>
              <w:t>161</w:t>
            </w:r>
          </w:p>
        </w:tc>
        <w:tc>
          <w:tcPr>
            <w:tcW w:w="1170" w:type="dxa"/>
          </w:tcPr>
          <w:p w:rsidR="00576FC5" w:rsidP="00FA2CC8" w14:paraId="524B5ACF" w14:textId="577C6B0A">
            <w:pPr>
              <w:autoSpaceDE w:val="0"/>
              <w:autoSpaceDN w:val="0"/>
              <w:adjustRightInd w:val="0"/>
              <w:rPr>
                <w:rFonts w:asciiTheme="majorHAnsi" w:hAnsiTheme="majorHAnsi" w:cs="Melior"/>
                <w:sz w:val="24"/>
                <w:szCs w:val="24"/>
              </w:rPr>
            </w:pPr>
            <w:r>
              <w:rPr>
                <w:rFonts w:asciiTheme="majorHAnsi" w:hAnsiTheme="majorHAnsi" w:cs="Melior"/>
                <w:sz w:val="24"/>
                <w:szCs w:val="24"/>
              </w:rPr>
              <w:t>1.25</w:t>
            </w:r>
          </w:p>
        </w:tc>
        <w:tc>
          <w:tcPr>
            <w:tcW w:w="990" w:type="dxa"/>
          </w:tcPr>
          <w:p w:rsidR="00576FC5" w:rsidP="00FA2CC8" w14:paraId="2FE7910A" w14:textId="5A40F590">
            <w:pPr>
              <w:autoSpaceDE w:val="0"/>
              <w:autoSpaceDN w:val="0"/>
              <w:adjustRightInd w:val="0"/>
              <w:rPr>
                <w:rFonts w:asciiTheme="majorHAnsi" w:hAnsiTheme="majorHAnsi" w:cs="Melior"/>
                <w:sz w:val="24"/>
                <w:szCs w:val="24"/>
              </w:rPr>
            </w:pPr>
            <w:r>
              <w:rPr>
                <w:rFonts w:asciiTheme="majorHAnsi" w:hAnsiTheme="majorHAnsi" w:cs="Melior"/>
                <w:sz w:val="24"/>
                <w:szCs w:val="24"/>
              </w:rPr>
              <w:t>3.35</w:t>
            </w:r>
          </w:p>
        </w:tc>
        <w:tc>
          <w:tcPr>
            <w:tcW w:w="1350" w:type="dxa"/>
          </w:tcPr>
          <w:p w:rsidR="00576FC5" w:rsidP="00FA2CC8" w14:paraId="61B3FE4E" w14:textId="46343324">
            <w:pPr>
              <w:autoSpaceDE w:val="0"/>
              <w:autoSpaceDN w:val="0"/>
              <w:adjustRightInd w:val="0"/>
              <w:rPr>
                <w:rFonts w:asciiTheme="majorHAnsi" w:hAnsiTheme="majorHAnsi" w:cs="Melior"/>
                <w:sz w:val="24"/>
                <w:szCs w:val="24"/>
              </w:rPr>
            </w:pPr>
            <w:r>
              <w:rPr>
                <w:rFonts w:asciiTheme="majorHAnsi" w:hAnsiTheme="majorHAnsi" w:cs="Melior"/>
                <w:sz w:val="24"/>
                <w:szCs w:val="24"/>
              </w:rPr>
              <w:t>$</w:t>
            </w:r>
            <w:r w:rsidR="00B21DE9">
              <w:rPr>
                <w:rFonts w:asciiTheme="majorHAnsi" w:hAnsiTheme="majorHAnsi" w:cs="Melior"/>
                <w:sz w:val="24"/>
                <w:szCs w:val="24"/>
              </w:rPr>
              <w:t>105.36</w:t>
            </w:r>
          </w:p>
        </w:tc>
      </w:tr>
      <w:tr w14:paraId="70AA6E7B" w14:textId="77777777" w:rsidTr="00B21DE9">
        <w:tblPrEx>
          <w:tblW w:w="9715" w:type="dxa"/>
          <w:tblLook w:val="04A0"/>
        </w:tblPrEx>
        <w:tc>
          <w:tcPr>
            <w:tcW w:w="2155" w:type="dxa"/>
          </w:tcPr>
          <w:p w:rsidR="00E5413A" w:rsidRPr="00B21DE9" w:rsidP="00FA2CC8" w14:paraId="0D1A90FD" w14:textId="3CA69D2D">
            <w:pPr>
              <w:autoSpaceDE w:val="0"/>
              <w:autoSpaceDN w:val="0"/>
              <w:adjustRightInd w:val="0"/>
              <w:rPr>
                <w:rFonts w:asciiTheme="majorHAnsi" w:hAnsiTheme="majorHAnsi" w:cs="Melior"/>
                <w:sz w:val="24"/>
                <w:szCs w:val="24"/>
              </w:rPr>
            </w:pPr>
            <w:r w:rsidRPr="00B21DE9">
              <w:rPr>
                <w:rFonts w:asciiTheme="majorHAnsi" w:hAnsiTheme="majorHAnsi" w:cs="Melior"/>
                <w:sz w:val="24"/>
                <w:szCs w:val="24"/>
              </w:rPr>
              <w:t>Third Party disclosure</w:t>
            </w:r>
          </w:p>
        </w:tc>
        <w:tc>
          <w:tcPr>
            <w:tcW w:w="1440" w:type="dxa"/>
          </w:tcPr>
          <w:p w:rsidR="00E5413A" w:rsidRPr="00B21DE9" w:rsidP="00FA2CC8" w14:paraId="4F38F10F" w14:textId="1C9F2A12">
            <w:pPr>
              <w:autoSpaceDE w:val="0"/>
              <w:autoSpaceDN w:val="0"/>
              <w:adjustRightInd w:val="0"/>
              <w:rPr>
                <w:rFonts w:asciiTheme="majorHAnsi" w:hAnsiTheme="majorHAnsi" w:cs="Melior"/>
                <w:sz w:val="24"/>
                <w:szCs w:val="24"/>
              </w:rPr>
            </w:pPr>
            <w:r w:rsidRPr="00B21DE9">
              <w:rPr>
                <w:rFonts w:asciiTheme="majorHAnsi" w:hAnsiTheme="majorHAnsi" w:cs="Melior"/>
                <w:sz w:val="24"/>
                <w:szCs w:val="24"/>
              </w:rPr>
              <w:t>23</w:t>
            </w:r>
          </w:p>
        </w:tc>
        <w:tc>
          <w:tcPr>
            <w:tcW w:w="1348" w:type="dxa"/>
          </w:tcPr>
          <w:p w:rsidR="00E5413A" w:rsidRPr="00B21DE9" w:rsidP="00FA2CC8" w14:paraId="56849A4C" w14:textId="6C33FA1D">
            <w:pPr>
              <w:autoSpaceDE w:val="0"/>
              <w:autoSpaceDN w:val="0"/>
              <w:adjustRightInd w:val="0"/>
              <w:rPr>
                <w:rFonts w:asciiTheme="majorHAnsi" w:hAnsiTheme="majorHAnsi" w:cs="Melior"/>
                <w:sz w:val="24"/>
                <w:szCs w:val="24"/>
              </w:rPr>
            </w:pPr>
            <w:r>
              <w:rPr>
                <w:rFonts w:asciiTheme="majorHAnsi" w:hAnsiTheme="majorHAnsi" w:cs="Melior"/>
                <w:sz w:val="24"/>
                <w:szCs w:val="24"/>
              </w:rPr>
              <w:t>7</w:t>
            </w:r>
          </w:p>
        </w:tc>
        <w:tc>
          <w:tcPr>
            <w:tcW w:w="1262" w:type="dxa"/>
          </w:tcPr>
          <w:p w:rsidR="00E5413A" w:rsidRPr="00B21DE9" w:rsidP="00FA2CC8" w14:paraId="38204B3F" w14:textId="7D5AABA1">
            <w:pPr>
              <w:autoSpaceDE w:val="0"/>
              <w:autoSpaceDN w:val="0"/>
              <w:adjustRightInd w:val="0"/>
              <w:rPr>
                <w:rFonts w:asciiTheme="majorHAnsi" w:hAnsiTheme="majorHAnsi" w:cs="Melior"/>
                <w:sz w:val="24"/>
                <w:szCs w:val="24"/>
              </w:rPr>
            </w:pPr>
            <w:r>
              <w:rPr>
                <w:rFonts w:asciiTheme="majorHAnsi" w:hAnsiTheme="majorHAnsi" w:cs="Melior"/>
                <w:sz w:val="24"/>
                <w:szCs w:val="24"/>
              </w:rPr>
              <w:t>161</w:t>
            </w:r>
          </w:p>
        </w:tc>
        <w:tc>
          <w:tcPr>
            <w:tcW w:w="1170" w:type="dxa"/>
          </w:tcPr>
          <w:p w:rsidR="00E5413A" w:rsidRPr="00B21DE9" w:rsidP="00FA2CC8" w14:paraId="49F39078" w14:textId="7026580B">
            <w:pPr>
              <w:autoSpaceDE w:val="0"/>
              <w:autoSpaceDN w:val="0"/>
              <w:adjustRightInd w:val="0"/>
              <w:rPr>
                <w:rFonts w:asciiTheme="majorHAnsi" w:hAnsiTheme="majorHAnsi" w:cs="Melior"/>
                <w:sz w:val="24"/>
                <w:szCs w:val="24"/>
              </w:rPr>
            </w:pPr>
            <w:r>
              <w:rPr>
                <w:rFonts w:asciiTheme="majorHAnsi" w:hAnsiTheme="majorHAnsi" w:cs="Melior"/>
                <w:sz w:val="24"/>
                <w:szCs w:val="24"/>
              </w:rPr>
              <w:t>15</w:t>
            </w:r>
          </w:p>
        </w:tc>
        <w:tc>
          <w:tcPr>
            <w:tcW w:w="990" w:type="dxa"/>
          </w:tcPr>
          <w:p w:rsidR="00E5413A" w:rsidRPr="00B21DE9" w:rsidP="00FA2CC8" w14:paraId="1FFA2A9B" w14:textId="3A41CFA5">
            <w:pPr>
              <w:autoSpaceDE w:val="0"/>
              <w:autoSpaceDN w:val="0"/>
              <w:adjustRightInd w:val="0"/>
              <w:rPr>
                <w:rFonts w:asciiTheme="majorHAnsi" w:hAnsiTheme="majorHAnsi" w:cs="Melior"/>
                <w:sz w:val="24"/>
                <w:szCs w:val="24"/>
              </w:rPr>
            </w:pPr>
            <w:r>
              <w:rPr>
                <w:rFonts w:asciiTheme="majorHAnsi" w:hAnsiTheme="majorHAnsi" w:cs="Melior"/>
                <w:sz w:val="24"/>
                <w:szCs w:val="24"/>
              </w:rPr>
              <w:t>40.</w:t>
            </w:r>
            <w:r w:rsidR="00B0571E">
              <w:rPr>
                <w:rFonts w:asciiTheme="majorHAnsi" w:hAnsiTheme="majorHAnsi" w:cs="Melior"/>
                <w:sz w:val="24"/>
                <w:szCs w:val="24"/>
              </w:rPr>
              <w:t>2</w:t>
            </w:r>
            <w:r>
              <w:rPr>
                <w:rFonts w:asciiTheme="majorHAnsi" w:hAnsiTheme="majorHAnsi" w:cs="Melior"/>
                <w:sz w:val="24"/>
                <w:szCs w:val="24"/>
              </w:rPr>
              <w:t>5</w:t>
            </w:r>
          </w:p>
        </w:tc>
        <w:tc>
          <w:tcPr>
            <w:tcW w:w="1350" w:type="dxa"/>
          </w:tcPr>
          <w:p w:rsidR="00E5413A" w:rsidRPr="00B21DE9" w:rsidP="00FA2CC8" w14:paraId="5B413C12" w14:textId="6ED9ADA1">
            <w:pPr>
              <w:autoSpaceDE w:val="0"/>
              <w:autoSpaceDN w:val="0"/>
              <w:adjustRightInd w:val="0"/>
              <w:rPr>
                <w:rFonts w:asciiTheme="majorHAnsi" w:hAnsiTheme="majorHAnsi" w:cs="Melior"/>
                <w:sz w:val="24"/>
                <w:szCs w:val="24"/>
              </w:rPr>
            </w:pPr>
            <w:r>
              <w:rPr>
                <w:rFonts w:asciiTheme="majorHAnsi" w:hAnsiTheme="majorHAnsi" w:cs="Melior"/>
                <w:sz w:val="24"/>
                <w:szCs w:val="24"/>
              </w:rPr>
              <w:t>$1,265.86</w:t>
            </w:r>
          </w:p>
        </w:tc>
      </w:tr>
      <w:tr w14:paraId="227BF4AE" w14:textId="77777777" w:rsidTr="00B21DE9">
        <w:tblPrEx>
          <w:tblW w:w="9715" w:type="dxa"/>
          <w:tblLook w:val="04A0"/>
        </w:tblPrEx>
        <w:tc>
          <w:tcPr>
            <w:tcW w:w="2155" w:type="dxa"/>
          </w:tcPr>
          <w:p w:rsidR="00576FC5" w:rsidRPr="00576FC5" w:rsidP="00FA2CC8" w14:paraId="3240E0CC" w14:textId="0731215B">
            <w:pPr>
              <w:autoSpaceDE w:val="0"/>
              <w:autoSpaceDN w:val="0"/>
              <w:adjustRightInd w:val="0"/>
              <w:rPr>
                <w:rFonts w:asciiTheme="majorHAnsi" w:hAnsiTheme="majorHAnsi" w:cs="Melior"/>
                <w:b/>
                <w:bCs/>
                <w:sz w:val="24"/>
                <w:szCs w:val="24"/>
              </w:rPr>
            </w:pPr>
            <w:r w:rsidRPr="00576FC5">
              <w:rPr>
                <w:rFonts w:asciiTheme="majorHAnsi" w:hAnsiTheme="majorHAnsi" w:cs="Melior"/>
                <w:b/>
                <w:bCs/>
                <w:sz w:val="24"/>
                <w:szCs w:val="24"/>
              </w:rPr>
              <w:t>Total Burden</w:t>
            </w:r>
          </w:p>
        </w:tc>
        <w:tc>
          <w:tcPr>
            <w:tcW w:w="1440" w:type="dxa"/>
          </w:tcPr>
          <w:p w:rsidR="00576FC5" w:rsidRPr="00576FC5" w:rsidP="00FA2CC8" w14:paraId="7DFCBDDC" w14:textId="6D8DE721">
            <w:pPr>
              <w:autoSpaceDE w:val="0"/>
              <w:autoSpaceDN w:val="0"/>
              <w:adjustRightInd w:val="0"/>
              <w:rPr>
                <w:rFonts w:asciiTheme="majorHAnsi" w:hAnsiTheme="majorHAnsi" w:cs="Melior"/>
                <w:b/>
                <w:bCs/>
                <w:sz w:val="24"/>
                <w:szCs w:val="24"/>
              </w:rPr>
            </w:pPr>
            <w:r>
              <w:rPr>
                <w:rFonts w:asciiTheme="majorHAnsi" w:hAnsiTheme="majorHAnsi" w:cs="Melior"/>
                <w:b/>
                <w:bCs/>
                <w:sz w:val="24"/>
                <w:szCs w:val="24"/>
              </w:rPr>
              <w:t>69</w:t>
            </w:r>
          </w:p>
        </w:tc>
        <w:tc>
          <w:tcPr>
            <w:tcW w:w="1348" w:type="dxa"/>
          </w:tcPr>
          <w:p w:rsidR="00576FC5" w:rsidRPr="00576FC5" w:rsidP="00FA2CC8" w14:paraId="640C9343" w14:textId="23173CF3">
            <w:pPr>
              <w:autoSpaceDE w:val="0"/>
              <w:autoSpaceDN w:val="0"/>
              <w:adjustRightInd w:val="0"/>
              <w:rPr>
                <w:rFonts w:asciiTheme="majorHAnsi" w:hAnsiTheme="majorHAnsi" w:cs="Melior"/>
                <w:b/>
                <w:bCs/>
                <w:sz w:val="24"/>
                <w:szCs w:val="24"/>
              </w:rPr>
            </w:pPr>
            <w:r>
              <w:rPr>
                <w:rFonts w:asciiTheme="majorHAnsi" w:hAnsiTheme="majorHAnsi" w:cs="Melior"/>
                <w:b/>
                <w:bCs/>
                <w:sz w:val="24"/>
                <w:szCs w:val="24"/>
              </w:rPr>
              <w:t>–</w:t>
            </w:r>
          </w:p>
        </w:tc>
        <w:tc>
          <w:tcPr>
            <w:tcW w:w="1262" w:type="dxa"/>
          </w:tcPr>
          <w:p w:rsidR="00576FC5" w:rsidRPr="00576FC5" w:rsidP="00FA2CC8" w14:paraId="517A525F" w14:textId="1CFD644F">
            <w:pPr>
              <w:autoSpaceDE w:val="0"/>
              <w:autoSpaceDN w:val="0"/>
              <w:adjustRightInd w:val="0"/>
              <w:rPr>
                <w:rFonts w:asciiTheme="majorHAnsi" w:hAnsiTheme="majorHAnsi" w:cs="Melior"/>
                <w:b/>
                <w:bCs/>
                <w:sz w:val="24"/>
                <w:szCs w:val="24"/>
              </w:rPr>
            </w:pPr>
            <w:r>
              <w:rPr>
                <w:rFonts w:asciiTheme="majorHAnsi" w:hAnsiTheme="majorHAnsi" w:cs="Melior"/>
                <w:b/>
                <w:bCs/>
                <w:sz w:val="24"/>
                <w:szCs w:val="24"/>
              </w:rPr>
              <w:t>483</w:t>
            </w:r>
          </w:p>
        </w:tc>
        <w:tc>
          <w:tcPr>
            <w:tcW w:w="1170" w:type="dxa"/>
          </w:tcPr>
          <w:p w:rsidR="00576FC5" w:rsidRPr="00576FC5" w:rsidP="00FA2CC8" w14:paraId="5CB6E8F7" w14:textId="4D89EA80">
            <w:pPr>
              <w:autoSpaceDE w:val="0"/>
              <w:autoSpaceDN w:val="0"/>
              <w:adjustRightInd w:val="0"/>
              <w:rPr>
                <w:rFonts w:asciiTheme="majorHAnsi" w:hAnsiTheme="majorHAnsi" w:cs="Melior"/>
                <w:b/>
                <w:bCs/>
                <w:sz w:val="24"/>
                <w:szCs w:val="24"/>
              </w:rPr>
            </w:pPr>
            <w:r>
              <w:rPr>
                <w:rFonts w:asciiTheme="majorHAnsi" w:hAnsiTheme="majorHAnsi" w:cs="Melior"/>
                <w:b/>
                <w:bCs/>
                <w:sz w:val="24"/>
                <w:szCs w:val="24"/>
              </w:rPr>
              <w:t>–</w:t>
            </w:r>
          </w:p>
        </w:tc>
        <w:tc>
          <w:tcPr>
            <w:tcW w:w="990" w:type="dxa"/>
          </w:tcPr>
          <w:p w:rsidR="00576FC5" w:rsidRPr="00576FC5" w:rsidP="00FA2CC8" w14:paraId="70143F7E" w14:textId="2EC01246">
            <w:pPr>
              <w:autoSpaceDE w:val="0"/>
              <w:autoSpaceDN w:val="0"/>
              <w:adjustRightInd w:val="0"/>
              <w:rPr>
                <w:rFonts w:asciiTheme="majorHAnsi" w:hAnsiTheme="majorHAnsi" w:cs="Melior"/>
                <w:b/>
                <w:bCs/>
                <w:sz w:val="24"/>
                <w:szCs w:val="24"/>
              </w:rPr>
            </w:pPr>
            <w:r>
              <w:rPr>
                <w:rFonts w:asciiTheme="majorHAnsi" w:hAnsiTheme="majorHAnsi" w:cs="Melior"/>
                <w:b/>
                <w:bCs/>
                <w:sz w:val="24"/>
                <w:szCs w:val="24"/>
              </w:rPr>
              <w:t>57.02</w:t>
            </w:r>
          </w:p>
        </w:tc>
        <w:tc>
          <w:tcPr>
            <w:tcW w:w="1350" w:type="dxa"/>
          </w:tcPr>
          <w:p w:rsidR="00576FC5" w:rsidRPr="00576FC5" w:rsidP="00FA2CC8" w14:paraId="53D4B6F7" w14:textId="2BC5B445">
            <w:pPr>
              <w:autoSpaceDE w:val="0"/>
              <w:autoSpaceDN w:val="0"/>
              <w:adjustRightInd w:val="0"/>
              <w:rPr>
                <w:rFonts w:asciiTheme="majorHAnsi" w:hAnsiTheme="majorHAnsi" w:cs="Melior"/>
                <w:b/>
                <w:bCs/>
                <w:sz w:val="24"/>
                <w:szCs w:val="24"/>
              </w:rPr>
            </w:pPr>
            <w:r w:rsidRPr="00576FC5">
              <w:rPr>
                <w:rFonts w:asciiTheme="majorHAnsi" w:hAnsiTheme="majorHAnsi" w:cs="Melior"/>
                <w:b/>
                <w:bCs/>
                <w:sz w:val="24"/>
                <w:szCs w:val="24"/>
              </w:rPr>
              <w:t>$</w:t>
            </w:r>
            <w:r w:rsidR="00B21DE9">
              <w:rPr>
                <w:rFonts w:asciiTheme="majorHAnsi" w:hAnsiTheme="majorHAnsi" w:cs="Melior"/>
                <w:b/>
                <w:bCs/>
                <w:sz w:val="24"/>
                <w:szCs w:val="24"/>
              </w:rPr>
              <w:t>2,292.50</w:t>
            </w:r>
          </w:p>
        </w:tc>
      </w:tr>
    </w:tbl>
    <w:p w:rsidR="00576FC5" w:rsidP="00FA2CC8" w14:paraId="69AFF95C" w14:textId="77777777">
      <w:pPr>
        <w:autoSpaceDE w:val="0"/>
        <w:autoSpaceDN w:val="0"/>
        <w:adjustRightInd w:val="0"/>
        <w:spacing w:after="0" w:line="240" w:lineRule="auto"/>
        <w:rPr>
          <w:rFonts w:asciiTheme="majorHAnsi" w:hAnsiTheme="majorHAnsi" w:cs="Melior"/>
          <w:sz w:val="24"/>
          <w:szCs w:val="24"/>
        </w:rPr>
      </w:pPr>
    </w:p>
    <w:p w:rsidR="00576FC5" w:rsidP="00FA2CC8" w14:paraId="0C757711" w14:textId="77777777">
      <w:pPr>
        <w:autoSpaceDE w:val="0"/>
        <w:autoSpaceDN w:val="0"/>
        <w:adjustRightInd w:val="0"/>
        <w:spacing w:after="0" w:line="240" w:lineRule="auto"/>
        <w:rPr>
          <w:rFonts w:asciiTheme="majorHAnsi" w:hAnsiTheme="majorHAnsi" w:cs="Melior"/>
          <w:sz w:val="24"/>
          <w:szCs w:val="24"/>
        </w:rPr>
      </w:pPr>
    </w:p>
    <w:p w:rsidR="008A5DE0" w:rsidP="008A5DE0" w14:paraId="18F5373B" w14:textId="752726F7">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
          <w:sz w:val="24"/>
          <w:szCs w:val="24"/>
        </w:rPr>
        <w:t>The proposed rule would require that</w:t>
      </w:r>
      <w:r>
        <w:rPr>
          <w:rFonts w:asciiTheme="majorHAnsi" w:hAnsiTheme="majorHAnsi" w:cs="Melior"/>
          <w:sz w:val="24"/>
          <w:szCs w:val="24"/>
        </w:rPr>
        <w:t xml:space="preserve"> </w:t>
      </w:r>
      <w:r w:rsidRPr="008A5DE0">
        <w:rPr>
          <w:rFonts w:asciiTheme="majorHAnsi" w:hAnsiTheme="majorHAnsi" w:cs="Melior"/>
          <w:sz w:val="24"/>
          <w:szCs w:val="24"/>
        </w:rPr>
        <w:t>manufacturers certify that their products</w:t>
      </w:r>
      <w:r w:rsidR="00B06916">
        <w:rPr>
          <w:rFonts w:asciiTheme="majorHAnsi" w:hAnsiTheme="majorHAnsi" w:cs="Melior"/>
          <w:sz w:val="24"/>
          <w:szCs w:val="24"/>
        </w:rPr>
        <w:t xml:space="preserve"> </w:t>
      </w:r>
      <w:r w:rsidRPr="008A5DE0">
        <w:rPr>
          <w:rFonts w:asciiTheme="majorHAnsi" w:hAnsiTheme="majorHAnsi" w:cs="Melior"/>
          <w:sz w:val="24"/>
          <w:szCs w:val="24"/>
        </w:rPr>
        <w:t>conform to the rule and issue a GCC. As</w:t>
      </w:r>
      <w:r>
        <w:rPr>
          <w:rFonts w:asciiTheme="majorHAnsi" w:hAnsiTheme="majorHAnsi" w:cs="Melior"/>
          <w:sz w:val="24"/>
          <w:szCs w:val="24"/>
        </w:rPr>
        <w:t xml:space="preserve"> </w:t>
      </w:r>
      <w:r w:rsidRPr="008A5DE0">
        <w:rPr>
          <w:rFonts w:asciiTheme="majorHAnsi" w:hAnsiTheme="majorHAnsi" w:cs="Melior"/>
          <w:sz w:val="24"/>
          <w:szCs w:val="24"/>
        </w:rPr>
        <w:t>of March 2023, CPSC is aware of 23</w:t>
      </w:r>
      <w:r>
        <w:rPr>
          <w:rFonts w:asciiTheme="majorHAnsi" w:hAnsiTheme="majorHAnsi" w:cs="Melior"/>
          <w:sz w:val="24"/>
          <w:szCs w:val="24"/>
        </w:rPr>
        <w:t xml:space="preserve"> </w:t>
      </w:r>
      <w:r w:rsidRPr="008A5DE0">
        <w:rPr>
          <w:rFonts w:asciiTheme="majorHAnsi" w:hAnsiTheme="majorHAnsi" w:cs="Melior"/>
          <w:sz w:val="24"/>
          <w:szCs w:val="24"/>
        </w:rPr>
        <w:t>firms that supply table saws to the U.S.</w:t>
      </w:r>
      <w:r>
        <w:rPr>
          <w:rFonts w:asciiTheme="majorHAnsi" w:hAnsiTheme="majorHAnsi" w:cs="Melior"/>
          <w:sz w:val="24"/>
          <w:szCs w:val="24"/>
        </w:rPr>
        <w:t xml:space="preserve"> </w:t>
      </w:r>
      <w:r w:rsidRPr="008A5DE0">
        <w:rPr>
          <w:rFonts w:asciiTheme="majorHAnsi" w:hAnsiTheme="majorHAnsi" w:cs="Melior"/>
          <w:sz w:val="24"/>
          <w:szCs w:val="24"/>
        </w:rPr>
        <w:t>market. Accordingly, we estimate there</w:t>
      </w:r>
      <w:r>
        <w:rPr>
          <w:rFonts w:asciiTheme="majorHAnsi" w:hAnsiTheme="majorHAnsi" w:cs="Melior"/>
          <w:sz w:val="24"/>
          <w:szCs w:val="24"/>
        </w:rPr>
        <w:t xml:space="preserve"> </w:t>
      </w:r>
      <w:r w:rsidRPr="008A5DE0">
        <w:rPr>
          <w:rFonts w:asciiTheme="majorHAnsi" w:hAnsiTheme="majorHAnsi" w:cs="Melior"/>
          <w:sz w:val="24"/>
          <w:szCs w:val="24"/>
        </w:rPr>
        <w:t>are 23 respondents that will respond to</w:t>
      </w:r>
      <w:r>
        <w:rPr>
          <w:rFonts w:asciiTheme="majorHAnsi" w:hAnsiTheme="majorHAnsi" w:cs="Melior"/>
          <w:sz w:val="24"/>
          <w:szCs w:val="24"/>
        </w:rPr>
        <w:t xml:space="preserve"> </w:t>
      </w:r>
      <w:r w:rsidRPr="008A5DE0">
        <w:rPr>
          <w:rFonts w:asciiTheme="majorHAnsi" w:hAnsiTheme="majorHAnsi" w:cs="Melior"/>
          <w:sz w:val="24"/>
          <w:szCs w:val="24"/>
        </w:rPr>
        <w:t>the collection annually. On average,</w:t>
      </w:r>
      <w:r>
        <w:rPr>
          <w:rFonts w:asciiTheme="majorHAnsi" w:hAnsiTheme="majorHAnsi" w:cs="Melior"/>
          <w:sz w:val="24"/>
          <w:szCs w:val="24"/>
        </w:rPr>
        <w:t xml:space="preserve"> </w:t>
      </w:r>
      <w:r w:rsidRPr="008A5DE0">
        <w:rPr>
          <w:rFonts w:asciiTheme="majorHAnsi" w:hAnsiTheme="majorHAnsi" w:cs="Melior"/>
          <w:sz w:val="24"/>
          <w:szCs w:val="24"/>
        </w:rPr>
        <w:t>each respondent may gather certificate</w:t>
      </w:r>
      <w:r>
        <w:rPr>
          <w:rFonts w:asciiTheme="majorHAnsi" w:hAnsiTheme="majorHAnsi" w:cs="Melior"/>
          <w:sz w:val="24"/>
          <w:szCs w:val="24"/>
        </w:rPr>
        <w:t xml:space="preserve"> </w:t>
      </w:r>
      <w:r w:rsidRPr="008A5DE0">
        <w:rPr>
          <w:rFonts w:asciiTheme="majorHAnsi" w:hAnsiTheme="majorHAnsi" w:cs="Melior"/>
          <w:sz w:val="24"/>
          <w:szCs w:val="24"/>
        </w:rPr>
        <w:t>data and create 7 certificates for</w:t>
      </w:r>
      <w:r>
        <w:rPr>
          <w:rFonts w:asciiTheme="majorHAnsi" w:hAnsiTheme="majorHAnsi" w:cs="Melior"/>
          <w:sz w:val="24"/>
          <w:szCs w:val="24"/>
        </w:rPr>
        <w:t xml:space="preserve"> </w:t>
      </w:r>
      <w:r w:rsidRPr="008A5DE0">
        <w:rPr>
          <w:rFonts w:asciiTheme="majorHAnsi" w:hAnsiTheme="majorHAnsi" w:cs="Melior"/>
          <w:sz w:val="24"/>
          <w:szCs w:val="24"/>
        </w:rPr>
        <w:t>complying table saws in the market. The</w:t>
      </w:r>
      <w:r w:rsidR="00B06916">
        <w:rPr>
          <w:rFonts w:asciiTheme="majorHAnsi" w:hAnsiTheme="majorHAnsi" w:cs="Melior"/>
          <w:sz w:val="24"/>
          <w:szCs w:val="24"/>
        </w:rPr>
        <w:t xml:space="preserve"> </w:t>
      </w:r>
      <w:r w:rsidRPr="008A5DE0">
        <w:rPr>
          <w:rFonts w:asciiTheme="majorHAnsi" w:hAnsiTheme="majorHAnsi" w:cs="Melior"/>
          <w:sz w:val="24"/>
          <w:szCs w:val="24"/>
        </w:rPr>
        <w:t>time required to issue a GCC is</w:t>
      </w:r>
      <w:r>
        <w:rPr>
          <w:rFonts w:asciiTheme="majorHAnsi" w:hAnsiTheme="majorHAnsi" w:cs="Melior"/>
          <w:sz w:val="24"/>
          <w:szCs w:val="24"/>
        </w:rPr>
        <w:t xml:space="preserve"> </w:t>
      </w:r>
      <w:r w:rsidRPr="008A5DE0">
        <w:rPr>
          <w:rFonts w:asciiTheme="majorHAnsi" w:hAnsiTheme="majorHAnsi" w:cs="Melior"/>
          <w:sz w:val="24"/>
          <w:szCs w:val="24"/>
        </w:rPr>
        <w:t>conservatively estimated as about 5</w:t>
      </w:r>
      <w:r>
        <w:rPr>
          <w:rFonts w:asciiTheme="majorHAnsi" w:hAnsiTheme="majorHAnsi" w:cs="Melior"/>
          <w:sz w:val="24"/>
          <w:szCs w:val="24"/>
        </w:rPr>
        <w:t xml:space="preserve"> </w:t>
      </w:r>
      <w:r w:rsidRPr="008A5DE0">
        <w:rPr>
          <w:rFonts w:asciiTheme="majorHAnsi" w:hAnsiTheme="majorHAnsi" w:cs="Melior"/>
          <w:sz w:val="24"/>
          <w:szCs w:val="24"/>
        </w:rPr>
        <w:t>minutes (although the actual time</w:t>
      </w:r>
      <w:r>
        <w:rPr>
          <w:rFonts w:asciiTheme="majorHAnsi" w:hAnsiTheme="majorHAnsi" w:cs="Melior"/>
          <w:sz w:val="24"/>
          <w:szCs w:val="24"/>
        </w:rPr>
        <w:t xml:space="preserve"> </w:t>
      </w:r>
      <w:r w:rsidRPr="008A5DE0">
        <w:rPr>
          <w:rFonts w:asciiTheme="majorHAnsi" w:hAnsiTheme="majorHAnsi" w:cs="Melior"/>
          <w:sz w:val="24"/>
          <w:szCs w:val="24"/>
        </w:rPr>
        <w:t>required is often substantially less).</w:t>
      </w:r>
      <w:r>
        <w:rPr>
          <w:rFonts w:asciiTheme="majorHAnsi" w:hAnsiTheme="majorHAnsi" w:cs="Melior"/>
          <w:sz w:val="24"/>
          <w:szCs w:val="24"/>
        </w:rPr>
        <w:t xml:space="preserve"> </w:t>
      </w:r>
      <w:r w:rsidRPr="008A5DE0">
        <w:rPr>
          <w:rFonts w:asciiTheme="majorHAnsi" w:hAnsiTheme="majorHAnsi" w:cs="Melior"/>
          <w:sz w:val="24"/>
          <w:szCs w:val="24"/>
        </w:rPr>
        <w:t>Therefore, the estimated burden</w:t>
      </w:r>
      <w:r w:rsidR="00B06916">
        <w:rPr>
          <w:rFonts w:asciiTheme="majorHAnsi" w:hAnsiTheme="majorHAnsi" w:cs="Melior"/>
          <w:sz w:val="24"/>
          <w:szCs w:val="24"/>
        </w:rPr>
        <w:t xml:space="preserve"> </w:t>
      </w:r>
      <w:r w:rsidRPr="008A5DE0">
        <w:rPr>
          <w:rFonts w:asciiTheme="majorHAnsi" w:hAnsiTheme="majorHAnsi" w:cs="Melior"/>
          <w:sz w:val="24"/>
          <w:szCs w:val="24"/>
        </w:rPr>
        <w:t>associated with issuance of GCCs is</w:t>
      </w:r>
      <w:r>
        <w:rPr>
          <w:rFonts w:asciiTheme="majorHAnsi" w:hAnsiTheme="majorHAnsi" w:cs="Melior"/>
          <w:sz w:val="24"/>
          <w:szCs w:val="24"/>
        </w:rPr>
        <w:t xml:space="preserve"> </w:t>
      </w:r>
      <w:r w:rsidRPr="008A5DE0">
        <w:rPr>
          <w:rFonts w:asciiTheme="majorHAnsi" w:hAnsiTheme="majorHAnsi" w:cs="Melior"/>
          <w:sz w:val="24"/>
          <w:szCs w:val="24"/>
        </w:rPr>
        <w:t xml:space="preserve">13.42 hours (161 responses </w:t>
      </w:r>
      <w:r w:rsidRPr="008A5DE0">
        <w:rPr>
          <w:rFonts w:asciiTheme="majorHAnsi" w:hAnsiTheme="majorHAnsi" w:cs="Symbol"/>
          <w:sz w:val="24"/>
          <w:szCs w:val="24"/>
        </w:rPr>
        <w:t xml:space="preserve">× </w:t>
      </w:r>
      <w:r w:rsidRPr="008A5DE0">
        <w:rPr>
          <w:rFonts w:asciiTheme="majorHAnsi" w:hAnsiTheme="majorHAnsi" w:cs="Melior"/>
          <w:sz w:val="24"/>
          <w:szCs w:val="24"/>
        </w:rPr>
        <w:t>5 minutes</w:t>
      </w:r>
      <w:r>
        <w:rPr>
          <w:rFonts w:asciiTheme="majorHAnsi" w:hAnsiTheme="majorHAnsi" w:cs="Melior"/>
          <w:sz w:val="24"/>
          <w:szCs w:val="24"/>
        </w:rPr>
        <w:t xml:space="preserve"> </w:t>
      </w:r>
      <w:r w:rsidRPr="008A5DE0">
        <w:rPr>
          <w:rFonts w:asciiTheme="majorHAnsi" w:hAnsiTheme="majorHAnsi" w:cs="Melior"/>
          <w:sz w:val="24"/>
          <w:szCs w:val="24"/>
        </w:rPr>
        <w:t>per response = 805 minutes or 13.42</w:t>
      </w:r>
      <w:r>
        <w:rPr>
          <w:rFonts w:asciiTheme="majorHAnsi" w:hAnsiTheme="majorHAnsi" w:cs="Melior"/>
          <w:sz w:val="24"/>
          <w:szCs w:val="24"/>
        </w:rPr>
        <w:t xml:space="preserve"> </w:t>
      </w:r>
      <w:r w:rsidRPr="008A5DE0">
        <w:rPr>
          <w:rFonts w:asciiTheme="majorHAnsi" w:hAnsiTheme="majorHAnsi" w:cs="Melior"/>
          <w:sz w:val="24"/>
          <w:szCs w:val="24"/>
        </w:rPr>
        <w:t xml:space="preserve">hours). </w:t>
      </w:r>
    </w:p>
    <w:p w:rsidR="008A5DE0" w:rsidP="008A5DE0" w14:paraId="50DB033F" w14:textId="77777777">
      <w:pPr>
        <w:autoSpaceDE w:val="0"/>
        <w:autoSpaceDN w:val="0"/>
        <w:adjustRightInd w:val="0"/>
        <w:spacing w:after="0" w:line="240" w:lineRule="auto"/>
        <w:rPr>
          <w:rFonts w:asciiTheme="majorHAnsi" w:hAnsiTheme="majorHAnsi" w:cs="Melior"/>
          <w:sz w:val="24"/>
          <w:szCs w:val="24"/>
        </w:rPr>
      </w:pPr>
    </w:p>
    <w:p w:rsidR="008A5DE0" w:rsidRPr="008A5DE0" w:rsidP="008A5DE0" w14:paraId="6EAB180F" w14:textId="23262853">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
          <w:sz w:val="24"/>
          <w:szCs w:val="24"/>
        </w:rPr>
        <w:t>Staff estimates the hourly</w:t>
      </w:r>
      <w:r>
        <w:rPr>
          <w:rFonts w:asciiTheme="majorHAnsi" w:hAnsiTheme="majorHAnsi" w:cs="Melior"/>
          <w:sz w:val="24"/>
          <w:szCs w:val="24"/>
        </w:rPr>
        <w:t xml:space="preserve"> </w:t>
      </w:r>
      <w:r w:rsidRPr="008A5DE0">
        <w:rPr>
          <w:rFonts w:asciiTheme="majorHAnsi" w:hAnsiTheme="majorHAnsi" w:cs="Melior"/>
          <w:sz w:val="24"/>
          <w:szCs w:val="24"/>
        </w:rPr>
        <w:t>compensation for the time required to</w:t>
      </w:r>
      <w:r>
        <w:rPr>
          <w:rFonts w:asciiTheme="majorHAnsi" w:hAnsiTheme="majorHAnsi" w:cs="Melior"/>
          <w:sz w:val="24"/>
          <w:szCs w:val="24"/>
        </w:rPr>
        <w:t xml:space="preserve"> </w:t>
      </w:r>
      <w:r w:rsidRPr="008A5DE0">
        <w:rPr>
          <w:rFonts w:asciiTheme="majorHAnsi" w:hAnsiTheme="majorHAnsi" w:cs="Melior"/>
          <w:sz w:val="24"/>
          <w:szCs w:val="24"/>
        </w:rPr>
        <w:t>issue GCCs is $68.65 (U.S. Bureau of</w:t>
      </w:r>
      <w:r>
        <w:rPr>
          <w:rFonts w:asciiTheme="majorHAnsi" w:hAnsiTheme="majorHAnsi" w:cs="Melior"/>
          <w:sz w:val="24"/>
          <w:szCs w:val="24"/>
        </w:rPr>
        <w:t xml:space="preserve"> </w:t>
      </w:r>
      <w:r w:rsidRPr="008A5DE0">
        <w:rPr>
          <w:rFonts w:asciiTheme="majorHAnsi" w:hAnsiTheme="majorHAnsi" w:cs="Melior"/>
          <w:sz w:val="24"/>
          <w:szCs w:val="24"/>
        </w:rPr>
        <w:t>Labor Statistics, ‘‘Employer Costs for</w:t>
      </w:r>
      <w:r>
        <w:rPr>
          <w:rFonts w:asciiTheme="majorHAnsi" w:hAnsiTheme="majorHAnsi" w:cs="Melior"/>
          <w:sz w:val="24"/>
          <w:szCs w:val="24"/>
        </w:rPr>
        <w:t xml:space="preserve"> </w:t>
      </w:r>
      <w:r w:rsidRPr="008A5DE0">
        <w:rPr>
          <w:rFonts w:asciiTheme="majorHAnsi" w:hAnsiTheme="majorHAnsi" w:cs="Melior"/>
          <w:sz w:val="24"/>
          <w:szCs w:val="24"/>
        </w:rPr>
        <w:t>Employee Compensation,’’ March 2023,</w:t>
      </w:r>
    </w:p>
    <w:p w:rsidR="008A5DE0" w:rsidRPr="008A5DE0" w:rsidP="008A5DE0" w14:paraId="4EB8E331" w14:textId="4B3B0E0E">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
          <w:sz w:val="24"/>
          <w:szCs w:val="24"/>
        </w:rPr>
        <w:t>table 4, Private industry management,</w:t>
      </w:r>
      <w:r>
        <w:rPr>
          <w:rFonts w:asciiTheme="majorHAnsi" w:hAnsiTheme="majorHAnsi" w:cs="Melior"/>
          <w:sz w:val="24"/>
          <w:szCs w:val="24"/>
        </w:rPr>
        <w:t xml:space="preserve"> </w:t>
      </w:r>
      <w:r w:rsidRPr="008A5DE0">
        <w:rPr>
          <w:rFonts w:asciiTheme="majorHAnsi" w:hAnsiTheme="majorHAnsi" w:cs="Melior"/>
          <w:sz w:val="24"/>
          <w:szCs w:val="24"/>
        </w:rPr>
        <w:t>professional and related occupations:</w:t>
      </w:r>
    </w:p>
    <w:p w:rsidR="008A5DE0" w:rsidP="008A5DE0" w14:paraId="5CCB5EA4" w14:textId="5799D774">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Italic"/>
          <w:i/>
          <w:iCs/>
          <w:sz w:val="24"/>
          <w:szCs w:val="24"/>
        </w:rPr>
        <w:t>https://www.bls.gov/news.release/archives/ecec</w:t>
      </w:r>
      <w:r w:rsidRPr="008A5DE0">
        <w:rPr>
          <w:rFonts w:asciiTheme="majorHAnsi" w:hAnsiTheme="majorHAnsi" w:cs="Symbol"/>
          <w:sz w:val="24"/>
          <w:szCs w:val="24"/>
        </w:rPr>
        <w:t>_</w:t>
      </w:r>
      <w:r w:rsidRPr="008A5DE0">
        <w:rPr>
          <w:rFonts w:asciiTheme="majorHAnsi" w:hAnsiTheme="majorHAnsi" w:cs="Melior-Italic"/>
          <w:i/>
          <w:iCs/>
          <w:sz w:val="24"/>
          <w:szCs w:val="24"/>
        </w:rPr>
        <w:t>06162023.pdf</w:t>
      </w:r>
      <w:r w:rsidRPr="008A5DE0">
        <w:rPr>
          <w:rFonts w:asciiTheme="majorHAnsi" w:hAnsiTheme="majorHAnsi" w:cs="Melior"/>
          <w:sz w:val="24"/>
          <w:szCs w:val="24"/>
        </w:rPr>
        <w:t>). Therefore,</w:t>
      </w:r>
      <w:r>
        <w:rPr>
          <w:rFonts w:asciiTheme="majorHAnsi" w:hAnsiTheme="majorHAnsi" w:cs="Melior"/>
          <w:sz w:val="24"/>
          <w:szCs w:val="24"/>
        </w:rPr>
        <w:t xml:space="preserve"> </w:t>
      </w:r>
      <w:r w:rsidRPr="008A5DE0">
        <w:rPr>
          <w:rFonts w:asciiTheme="majorHAnsi" w:hAnsiTheme="majorHAnsi" w:cs="Melior"/>
          <w:sz w:val="24"/>
          <w:szCs w:val="24"/>
        </w:rPr>
        <w:t>the estimated annual cost to industry</w:t>
      </w:r>
      <w:r>
        <w:rPr>
          <w:rFonts w:asciiTheme="majorHAnsi" w:hAnsiTheme="majorHAnsi" w:cs="Melior"/>
          <w:sz w:val="24"/>
          <w:szCs w:val="24"/>
        </w:rPr>
        <w:t xml:space="preserve"> </w:t>
      </w:r>
      <w:r w:rsidRPr="008A5DE0">
        <w:rPr>
          <w:rFonts w:asciiTheme="majorHAnsi" w:hAnsiTheme="majorHAnsi" w:cs="Melior"/>
          <w:sz w:val="24"/>
          <w:szCs w:val="24"/>
        </w:rPr>
        <w:t>associated with issuance of a GCC is</w:t>
      </w:r>
      <w:r>
        <w:rPr>
          <w:rFonts w:asciiTheme="majorHAnsi" w:hAnsiTheme="majorHAnsi" w:cs="Melior"/>
          <w:sz w:val="24"/>
          <w:szCs w:val="24"/>
        </w:rPr>
        <w:t xml:space="preserve"> </w:t>
      </w:r>
      <w:r w:rsidRPr="008A5DE0">
        <w:rPr>
          <w:rFonts w:asciiTheme="majorHAnsi" w:hAnsiTheme="majorHAnsi" w:cs="Melior"/>
          <w:sz w:val="24"/>
          <w:szCs w:val="24"/>
        </w:rPr>
        <w:t xml:space="preserve">$921.28 ($68.65 per hour </w:t>
      </w:r>
      <w:r w:rsidRPr="008A5DE0">
        <w:rPr>
          <w:rFonts w:asciiTheme="majorHAnsi" w:hAnsiTheme="majorHAnsi" w:cs="Symbol"/>
          <w:sz w:val="24"/>
          <w:szCs w:val="24"/>
        </w:rPr>
        <w:t xml:space="preserve">× </w:t>
      </w:r>
      <w:r w:rsidRPr="008A5DE0">
        <w:rPr>
          <w:rFonts w:asciiTheme="majorHAnsi" w:hAnsiTheme="majorHAnsi" w:cs="Melior"/>
          <w:sz w:val="24"/>
          <w:szCs w:val="24"/>
        </w:rPr>
        <w:t>13.42 hours</w:t>
      </w:r>
      <w:r>
        <w:rPr>
          <w:rFonts w:asciiTheme="majorHAnsi" w:hAnsiTheme="majorHAnsi" w:cs="Melior"/>
          <w:sz w:val="24"/>
          <w:szCs w:val="24"/>
        </w:rPr>
        <w:t xml:space="preserve"> </w:t>
      </w:r>
      <w:r w:rsidRPr="008A5DE0">
        <w:rPr>
          <w:rFonts w:asciiTheme="majorHAnsi" w:hAnsiTheme="majorHAnsi" w:cs="Melior"/>
          <w:sz w:val="24"/>
          <w:szCs w:val="24"/>
        </w:rPr>
        <w:t>= $921.283).</w:t>
      </w:r>
    </w:p>
    <w:p w:rsidR="008A5DE0" w:rsidRPr="008A5DE0" w:rsidP="008A5DE0" w14:paraId="35C8349E" w14:textId="77777777">
      <w:pPr>
        <w:autoSpaceDE w:val="0"/>
        <w:autoSpaceDN w:val="0"/>
        <w:adjustRightInd w:val="0"/>
        <w:spacing w:after="0" w:line="240" w:lineRule="auto"/>
        <w:rPr>
          <w:rFonts w:asciiTheme="majorHAnsi" w:hAnsiTheme="majorHAnsi" w:cs="Melior"/>
          <w:sz w:val="24"/>
          <w:szCs w:val="24"/>
        </w:rPr>
      </w:pPr>
    </w:p>
    <w:p w:rsidR="00B0571E" w:rsidP="008A5DE0" w14:paraId="05968D7A" w14:textId="77777777">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
          <w:sz w:val="24"/>
          <w:szCs w:val="24"/>
        </w:rPr>
        <w:t xml:space="preserve">For </w:t>
      </w:r>
      <w:r w:rsidRPr="008A5DE0">
        <w:rPr>
          <w:rFonts w:asciiTheme="majorHAnsi" w:hAnsiTheme="majorHAnsi" w:cs="Melior"/>
          <w:sz w:val="24"/>
          <w:szCs w:val="24"/>
        </w:rPr>
        <w:t>purposes</w:t>
      </w:r>
      <w:r w:rsidRPr="008A5DE0">
        <w:rPr>
          <w:rFonts w:asciiTheme="majorHAnsi" w:hAnsiTheme="majorHAnsi" w:cs="Melior"/>
          <w:sz w:val="24"/>
          <w:szCs w:val="24"/>
        </w:rPr>
        <w:t xml:space="preserve"> of this burden analysis,</w:t>
      </w:r>
      <w:r>
        <w:rPr>
          <w:rFonts w:asciiTheme="majorHAnsi" w:hAnsiTheme="majorHAnsi" w:cs="Melior"/>
          <w:sz w:val="24"/>
          <w:szCs w:val="24"/>
        </w:rPr>
        <w:t xml:space="preserve"> </w:t>
      </w:r>
      <w:r w:rsidRPr="008A5DE0">
        <w:rPr>
          <w:rFonts w:asciiTheme="majorHAnsi" w:hAnsiTheme="majorHAnsi" w:cs="Melior"/>
          <w:sz w:val="24"/>
          <w:szCs w:val="24"/>
        </w:rPr>
        <w:t>we assume that the records supporting</w:t>
      </w:r>
      <w:r>
        <w:rPr>
          <w:rFonts w:asciiTheme="majorHAnsi" w:hAnsiTheme="majorHAnsi" w:cs="Melior"/>
          <w:sz w:val="24"/>
          <w:szCs w:val="24"/>
        </w:rPr>
        <w:t xml:space="preserve"> </w:t>
      </w:r>
      <w:r w:rsidRPr="008A5DE0">
        <w:rPr>
          <w:rFonts w:asciiTheme="majorHAnsi" w:hAnsiTheme="majorHAnsi" w:cs="Melior"/>
          <w:sz w:val="24"/>
          <w:szCs w:val="24"/>
        </w:rPr>
        <w:t>GCC creation, including testing records,</w:t>
      </w:r>
      <w:r>
        <w:rPr>
          <w:rFonts w:asciiTheme="majorHAnsi" w:hAnsiTheme="majorHAnsi" w:cs="Melior"/>
          <w:sz w:val="24"/>
          <w:szCs w:val="24"/>
        </w:rPr>
        <w:t xml:space="preserve"> </w:t>
      </w:r>
      <w:r w:rsidRPr="008A5DE0">
        <w:rPr>
          <w:rFonts w:asciiTheme="majorHAnsi" w:hAnsiTheme="majorHAnsi" w:cs="Melior"/>
          <w:sz w:val="24"/>
          <w:szCs w:val="24"/>
        </w:rPr>
        <w:t>would be maintained for a five-year</w:t>
      </w:r>
      <w:r>
        <w:rPr>
          <w:rFonts w:asciiTheme="majorHAnsi" w:hAnsiTheme="majorHAnsi" w:cs="Melior"/>
          <w:sz w:val="24"/>
          <w:szCs w:val="24"/>
        </w:rPr>
        <w:t xml:space="preserve"> </w:t>
      </w:r>
      <w:r w:rsidRPr="008A5DE0">
        <w:rPr>
          <w:rFonts w:asciiTheme="majorHAnsi" w:hAnsiTheme="majorHAnsi" w:cs="Melior"/>
          <w:sz w:val="24"/>
          <w:szCs w:val="24"/>
        </w:rPr>
        <w:t>period. Staff estimates burden of 1.25</w:t>
      </w:r>
      <w:r>
        <w:rPr>
          <w:rFonts w:asciiTheme="majorHAnsi" w:hAnsiTheme="majorHAnsi" w:cs="Melior"/>
          <w:sz w:val="24"/>
          <w:szCs w:val="24"/>
        </w:rPr>
        <w:t xml:space="preserve"> </w:t>
      </w:r>
      <w:r w:rsidRPr="008A5DE0">
        <w:rPr>
          <w:rFonts w:asciiTheme="majorHAnsi" w:hAnsiTheme="majorHAnsi" w:cs="Melior"/>
          <w:sz w:val="24"/>
          <w:szCs w:val="24"/>
        </w:rPr>
        <w:t>minutes per year in routine</w:t>
      </w:r>
      <w:r>
        <w:rPr>
          <w:rFonts w:asciiTheme="majorHAnsi" w:hAnsiTheme="majorHAnsi" w:cs="Melior"/>
          <w:sz w:val="24"/>
          <w:szCs w:val="24"/>
        </w:rPr>
        <w:t xml:space="preserve"> </w:t>
      </w:r>
      <w:r w:rsidRPr="008A5DE0">
        <w:rPr>
          <w:rFonts w:asciiTheme="majorHAnsi" w:hAnsiTheme="majorHAnsi" w:cs="Melior"/>
          <w:sz w:val="24"/>
          <w:szCs w:val="24"/>
        </w:rPr>
        <w:t>recordkeeping. This adds up to</w:t>
      </w:r>
      <w:r>
        <w:rPr>
          <w:rFonts w:asciiTheme="majorHAnsi" w:hAnsiTheme="majorHAnsi" w:cs="Melior"/>
          <w:sz w:val="24"/>
          <w:szCs w:val="24"/>
        </w:rPr>
        <w:t xml:space="preserve"> </w:t>
      </w:r>
      <w:r w:rsidRPr="008A5DE0">
        <w:rPr>
          <w:rFonts w:asciiTheme="majorHAnsi" w:hAnsiTheme="majorHAnsi" w:cs="Melior"/>
          <w:sz w:val="24"/>
          <w:szCs w:val="24"/>
        </w:rPr>
        <w:t>approximately 3.35 hours (161</w:t>
      </w:r>
      <w:r>
        <w:rPr>
          <w:rFonts w:asciiTheme="majorHAnsi" w:hAnsiTheme="majorHAnsi" w:cs="Melior"/>
          <w:sz w:val="24"/>
          <w:szCs w:val="24"/>
        </w:rPr>
        <w:t xml:space="preserve"> </w:t>
      </w:r>
      <w:r w:rsidRPr="008A5DE0">
        <w:rPr>
          <w:rFonts w:asciiTheme="majorHAnsi" w:hAnsiTheme="majorHAnsi" w:cs="Melior"/>
          <w:sz w:val="24"/>
          <w:szCs w:val="24"/>
        </w:rPr>
        <w:t xml:space="preserve">responses </w:t>
      </w:r>
      <w:r w:rsidRPr="008A5DE0">
        <w:rPr>
          <w:rFonts w:asciiTheme="majorHAnsi" w:hAnsiTheme="majorHAnsi" w:cs="Symbol"/>
          <w:sz w:val="24"/>
          <w:szCs w:val="24"/>
        </w:rPr>
        <w:t xml:space="preserve">× </w:t>
      </w:r>
      <w:r w:rsidRPr="008A5DE0">
        <w:rPr>
          <w:rFonts w:asciiTheme="majorHAnsi" w:hAnsiTheme="majorHAnsi" w:cs="Melior"/>
          <w:sz w:val="24"/>
          <w:szCs w:val="24"/>
        </w:rPr>
        <w:t>1.25 minutes per response</w:t>
      </w:r>
      <w:r>
        <w:rPr>
          <w:rFonts w:asciiTheme="majorHAnsi" w:hAnsiTheme="majorHAnsi" w:cs="Melior"/>
          <w:sz w:val="24"/>
          <w:szCs w:val="24"/>
        </w:rPr>
        <w:t xml:space="preserve"> </w:t>
      </w:r>
      <w:r w:rsidRPr="008A5DE0">
        <w:rPr>
          <w:rFonts w:asciiTheme="majorHAnsi" w:hAnsiTheme="majorHAnsi" w:cs="Melior"/>
          <w:sz w:val="24"/>
          <w:szCs w:val="24"/>
        </w:rPr>
        <w:t xml:space="preserve">= 201.25 minutes or 3.35 hours). </w:t>
      </w:r>
    </w:p>
    <w:p w:rsidR="00B0571E" w:rsidP="008A5DE0" w14:paraId="48B4C209" w14:textId="77777777">
      <w:pPr>
        <w:autoSpaceDE w:val="0"/>
        <w:autoSpaceDN w:val="0"/>
        <w:adjustRightInd w:val="0"/>
        <w:spacing w:after="0" w:line="240" w:lineRule="auto"/>
        <w:rPr>
          <w:rFonts w:asciiTheme="majorHAnsi" w:hAnsiTheme="majorHAnsi" w:cs="Melior"/>
          <w:sz w:val="24"/>
          <w:szCs w:val="24"/>
        </w:rPr>
      </w:pPr>
    </w:p>
    <w:p w:rsidR="00B0571E" w:rsidP="00B0571E" w14:paraId="273FEF14" w14:textId="53BC7949">
      <w:pPr>
        <w:autoSpaceDE w:val="0"/>
        <w:autoSpaceDN w:val="0"/>
        <w:adjustRightInd w:val="0"/>
        <w:spacing w:after="0" w:line="240" w:lineRule="auto"/>
        <w:rPr>
          <w:rFonts w:asciiTheme="majorHAnsi" w:hAnsiTheme="majorHAnsi" w:cs="Melior"/>
          <w:sz w:val="24"/>
          <w:szCs w:val="24"/>
        </w:rPr>
      </w:pPr>
      <w:r w:rsidRPr="008A5DE0">
        <w:rPr>
          <w:rFonts w:asciiTheme="majorHAnsi" w:hAnsiTheme="majorHAnsi" w:cs="Melior"/>
          <w:sz w:val="24"/>
          <w:szCs w:val="24"/>
        </w:rPr>
        <w:t>Staff</w:t>
      </w:r>
      <w:r>
        <w:rPr>
          <w:rFonts w:asciiTheme="majorHAnsi" w:hAnsiTheme="majorHAnsi" w:cs="Melior"/>
          <w:sz w:val="24"/>
          <w:szCs w:val="24"/>
        </w:rPr>
        <w:t xml:space="preserve"> </w:t>
      </w:r>
      <w:r w:rsidRPr="008A5DE0">
        <w:rPr>
          <w:rFonts w:asciiTheme="majorHAnsi" w:hAnsiTheme="majorHAnsi" w:cs="Melior"/>
          <w:sz w:val="24"/>
          <w:szCs w:val="24"/>
        </w:rPr>
        <w:t>estimates the hourly compensation for</w:t>
      </w:r>
      <w:r>
        <w:rPr>
          <w:rFonts w:asciiTheme="majorHAnsi" w:hAnsiTheme="majorHAnsi" w:cs="Melior"/>
          <w:sz w:val="24"/>
          <w:szCs w:val="24"/>
        </w:rPr>
        <w:t xml:space="preserve"> </w:t>
      </w:r>
      <w:r w:rsidRPr="008A5DE0">
        <w:rPr>
          <w:rFonts w:asciiTheme="majorHAnsi" w:hAnsiTheme="majorHAnsi" w:cs="Melior"/>
          <w:sz w:val="24"/>
          <w:szCs w:val="24"/>
        </w:rPr>
        <w:t>the time required to maintain records is</w:t>
      </w:r>
      <w:r w:rsidR="00B06916">
        <w:rPr>
          <w:rFonts w:asciiTheme="majorHAnsi" w:hAnsiTheme="majorHAnsi" w:cs="Melior"/>
          <w:sz w:val="24"/>
          <w:szCs w:val="24"/>
        </w:rPr>
        <w:t xml:space="preserve"> </w:t>
      </w:r>
      <w:r w:rsidRPr="008A5DE0">
        <w:rPr>
          <w:rFonts w:asciiTheme="majorHAnsi" w:hAnsiTheme="majorHAnsi" w:cs="Melior"/>
          <w:sz w:val="24"/>
          <w:szCs w:val="24"/>
        </w:rPr>
        <w:t>$31.45 (U.S. Bureau of Labor Statistics,</w:t>
      </w:r>
      <w:r>
        <w:rPr>
          <w:rFonts w:asciiTheme="majorHAnsi" w:hAnsiTheme="majorHAnsi" w:cs="Melior"/>
          <w:sz w:val="24"/>
          <w:szCs w:val="24"/>
        </w:rPr>
        <w:t xml:space="preserve"> </w:t>
      </w:r>
      <w:r w:rsidRPr="008A5DE0">
        <w:rPr>
          <w:rFonts w:asciiTheme="majorHAnsi" w:hAnsiTheme="majorHAnsi" w:cs="Melior"/>
          <w:sz w:val="24"/>
          <w:szCs w:val="24"/>
        </w:rPr>
        <w:t>‘‘Employer Costs for Employee</w:t>
      </w:r>
      <w:r>
        <w:rPr>
          <w:rFonts w:asciiTheme="majorHAnsi" w:hAnsiTheme="majorHAnsi" w:cs="Melior"/>
          <w:sz w:val="24"/>
          <w:szCs w:val="24"/>
        </w:rPr>
        <w:t xml:space="preserve"> </w:t>
      </w:r>
      <w:r w:rsidRPr="008A5DE0">
        <w:rPr>
          <w:rFonts w:asciiTheme="majorHAnsi" w:hAnsiTheme="majorHAnsi" w:cs="Melior"/>
          <w:sz w:val="24"/>
          <w:szCs w:val="24"/>
        </w:rPr>
        <w:t>Compensation,’’ March 2023, table 4,</w:t>
      </w:r>
      <w:r>
        <w:rPr>
          <w:rFonts w:asciiTheme="majorHAnsi" w:hAnsiTheme="majorHAnsi" w:cs="Melior"/>
          <w:sz w:val="24"/>
          <w:szCs w:val="24"/>
        </w:rPr>
        <w:t xml:space="preserve"> </w:t>
      </w:r>
      <w:r w:rsidRPr="008A5DE0">
        <w:rPr>
          <w:rFonts w:asciiTheme="majorHAnsi" w:hAnsiTheme="majorHAnsi" w:cs="Melior"/>
          <w:sz w:val="24"/>
          <w:szCs w:val="24"/>
        </w:rPr>
        <w:t>Private industry sales and office</w:t>
      </w:r>
      <w:r>
        <w:rPr>
          <w:rFonts w:asciiTheme="majorHAnsi" w:hAnsiTheme="majorHAnsi" w:cs="Melior"/>
          <w:sz w:val="24"/>
          <w:szCs w:val="24"/>
        </w:rPr>
        <w:t xml:space="preserve"> </w:t>
      </w:r>
      <w:r w:rsidRPr="008A5DE0">
        <w:rPr>
          <w:rFonts w:asciiTheme="majorHAnsi" w:hAnsiTheme="majorHAnsi" w:cs="Melior"/>
          <w:sz w:val="24"/>
          <w:szCs w:val="24"/>
        </w:rPr>
        <w:t xml:space="preserve">occupations: </w:t>
      </w:r>
      <w:r>
        <w:rPr>
          <w:rFonts w:asciiTheme="majorHAnsi" w:hAnsiTheme="majorHAnsi" w:cs="Melior-Italic"/>
          <w:i/>
          <w:iCs/>
          <w:sz w:val="24"/>
          <w:szCs w:val="24"/>
        </w:rPr>
        <w:t>https://www.bls.gov/</w:t>
      </w:r>
      <w:r w:rsidRPr="00B0571E">
        <w:rPr>
          <w:rFonts w:asciiTheme="majorHAnsi" w:hAnsiTheme="majorHAnsi" w:cs="Melior-Italic"/>
          <w:i/>
          <w:iCs/>
          <w:sz w:val="24"/>
          <w:szCs w:val="24"/>
        </w:rPr>
        <w:t>news.release/archives/ecec</w:t>
      </w:r>
      <w:r w:rsidRPr="00B0571E">
        <w:rPr>
          <w:rFonts w:asciiTheme="majorHAnsi" w:hAnsiTheme="majorHAnsi" w:cs="Symbol"/>
          <w:sz w:val="24"/>
          <w:szCs w:val="24"/>
        </w:rPr>
        <w:t>_</w:t>
      </w:r>
      <w:r w:rsidRPr="00B0571E">
        <w:rPr>
          <w:rFonts w:asciiTheme="majorHAnsi" w:hAnsiTheme="majorHAnsi" w:cs="Melior-Italic"/>
          <w:i/>
          <w:iCs/>
          <w:sz w:val="24"/>
          <w:szCs w:val="24"/>
        </w:rPr>
        <w:t>06162023.pdf</w:t>
      </w:r>
      <w:r w:rsidRPr="00B0571E">
        <w:rPr>
          <w:rFonts w:asciiTheme="majorHAnsi" w:hAnsiTheme="majorHAnsi" w:cs="Melior"/>
          <w:sz w:val="24"/>
          <w:szCs w:val="24"/>
        </w:rPr>
        <w:t>). Therefore, the estimated</w:t>
      </w:r>
      <w:r w:rsidR="000C05B9">
        <w:rPr>
          <w:rFonts w:asciiTheme="majorHAnsi" w:hAnsiTheme="majorHAnsi" w:cs="Melior"/>
          <w:sz w:val="24"/>
          <w:szCs w:val="24"/>
        </w:rPr>
        <w:t xml:space="preserve"> </w:t>
      </w:r>
      <w:r w:rsidRPr="00B0571E">
        <w:rPr>
          <w:rFonts w:asciiTheme="majorHAnsi" w:hAnsiTheme="majorHAnsi" w:cs="Melior"/>
          <w:sz w:val="24"/>
          <w:szCs w:val="24"/>
        </w:rPr>
        <w:t>annual burden cost associated with</w:t>
      </w:r>
      <w:r>
        <w:rPr>
          <w:rFonts w:asciiTheme="majorHAnsi" w:hAnsiTheme="majorHAnsi" w:cs="Melior"/>
          <w:sz w:val="24"/>
          <w:szCs w:val="24"/>
        </w:rPr>
        <w:t xml:space="preserve"> </w:t>
      </w:r>
      <w:r w:rsidRPr="00B0571E">
        <w:rPr>
          <w:rFonts w:asciiTheme="majorHAnsi" w:hAnsiTheme="majorHAnsi" w:cs="Melior"/>
          <w:sz w:val="24"/>
          <w:szCs w:val="24"/>
        </w:rPr>
        <w:t>recordkeeping of GCCs is $105.36</w:t>
      </w:r>
      <w:r>
        <w:rPr>
          <w:rFonts w:asciiTheme="majorHAnsi" w:hAnsiTheme="majorHAnsi" w:cs="Melior"/>
          <w:sz w:val="24"/>
          <w:szCs w:val="24"/>
        </w:rPr>
        <w:t xml:space="preserve"> </w:t>
      </w:r>
      <w:r w:rsidRPr="00B0571E">
        <w:rPr>
          <w:rFonts w:asciiTheme="majorHAnsi" w:hAnsiTheme="majorHAnsi" w:cs="Melior"/>
          <w:sz w:val="24"/>
          <w:szCs w:val="24"/>
        </w:rPr>
        <w:t xml:space="preserve">($31.45 per hour </w:t>
      </w:r>
      <w:r w:rsidRPr="00B0571E">
        <w:rPr>
          <w:rFonts w:asciiTheme="majorHAnsi" w:hAnsiTheme="majorHAnsi" w:cs="Symbol"/>
          <w:sz w:val="24"/>
          <w:szCs w:val="24"/>
        </w:rPr>
        <w:t xml:space="preserve">× </w:t>
      </w:r>
      <w:r w:rsidRPr="00B0571E">
        <w:rPr>
          <w:rFonts w:asciiTheme="majorHAnsi" w:hAnsiTheme="majorHAnsi" w:cs="Melior"/>
          <w:sz w:val="24"/>
          <w:szCs w:val="24"/>
        </w:rPr>
        <w:t>3.35 hours =</w:t>
      </w:r>
      <w:r>
        <w:rPr>
          <w:rFonts w:asciiTheme="majorHAnsi" w:hAnsiTheme="majorHAnsi" w:cs="Melior"/>
          <w:sz w:val="24"/>
          <w:szCs w:val="24"/>
        </w:rPr>
        <w:t xml:space="preserve"> </w:t>
      </w:r>
      <w:r w:rsidRPr="00B0571E">
        <w:rPr>
          <w:rFonts w:asciiTheme="majorHAnsi" w:hAnsiTheme="majorHAnsi" w:cs="Melior"/>
          <w:sz w:val="24"/>
          <w:szCs w:val="24"/>
        </w:rPr>
        <w:t>$105.3575).</w:t>
      </w:r>
    </w:p>
    <w:p w:rsidR="00B0571E" w:rsidRPr="00B0571E" w:rsidP="00B0571E" w14:paraId="2BA451CF" w14:textId="77777777">
      <w:pPr>
        <w:autoSpaceDE w:val="0"/>
        <w:autoSpaceDN w:val="0"/>
        <w:adjustRightInd w:val="0"/>
        <w:spacing w:after="0" w:line="240" w:lineRule="auto"/>
        <w:rPr>
          <w:rFonts w:asciiTheme="majorHAnsi" w:hAnsiTheme="majorHAnsi" w:cs="Melior"/>
          <w:sz w:val="24"/>
          <w:szCs w:val="24"/>
        </w:rPr>
      </w:pPr>
    </w:p>
    <w:p w:rsidR="00B0571E" w:rsidP="00B0571E" w14:paraId="13934E44" w14:textId="77777777">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The rule would also require that GCCs</w:t>
      </w:r>
      <w:r>
        <w:rPr>
          <w:rFonts w:asciiTheme="majorHAnsi" w:hAnsiTheme="majorHAnsi" w:cs="Melior"/>
          <w:sz w:val="24"/>
          <w:szCs w:val="24"/>
        </w:rPr>
        <w:t xml:space="preserve"> </w:t>
      </w:r>
      <w:r w:rsidRPr="00B0571E">
        <w:rPr>
          <w:rFonts w:asciiTheme="majorHAnsi" w:hAnsiTheme="majorHAnsi" w:cs="Melior"/>
          <w:sz w:val="24"/>
          <w:szCs w:val="24"/>
        </w:rPr>
        <w:t>be disclosed to third party retailers and</w:t>
      </w:r>
      <w:r>
        <w:rPr>
          <w:rFonts w:asciiTheme="majorHAnsi" w:hAnsiTheme="majorHAnsi" w:cs="Melior"/>
          <w:sz w:val="24"/>
          <w:szCs w:val="24"/>
        </w:rPr>
        <w:t xml:space="preserve"> </w:t>
      </w:r>
      <w:r w:rsidRPr="00B0571E">
        <w:rPr>
          <w:rFonts w:asciiTheme="majorHAnsi" w:hAnsiTheme="majorHAnsi" w:cs="Melior"/>
          <w:sz w:val="24"/>
          <w:szCs w:val="24"/>
        </w:rPr>
        <w:t>distributors. Staff estimates another 161</w:t>
      </w:r>
      <w:r>
        <w:rPr>
          <w:rFonts w:asciiTheme="majorHAnsi" w:hAnsiTheme="majorHAnsi" w:cs="Melior"/>
          <w:sz w:val="24"/>
          <w:szCs w:val="24"/>
        </w:rPr>
        <w:t xml:space="preserve"> </w:t>
      </w:r>
      <w:r w:rsidRPr="00B0571E">
        <w:rPr>
          <w:rFonts w:asciiTheme="majorHAnsi" w:hAnsiTheme="majorHAnsi" w:cs="Melior"/>
          <w:sz w:val="24"/>
          <w:szCs w:val="24"/>
        </w:rPr>
        <w:t>third party disclosure responses, each</w:t>
      </w:r>
      <w:r>
        <w:rPr>
          <w:rFonts w:asciiTheme="majorHAnsi" w:hAnsiTheme="majorHAnsi" w:cs="Melior"/>
          <w:sz w:val="24"/>
          <w:szCs w:val="24"/>
        </w:rPr>
        <w:t xml:space="preserve"> </w:t>
      </w:r>
      <w:r w:rsidRPr="00B0571E">
        <w:rPr>
          <w:rFonts w:asciiTheme="majorHAnsi" w:hAnsiTheme="majorHAnsi" w:cs="Melior"/>
          <w:sz w:val="24"/>
          <w:szCs w:val="24"/>
        </w:rPr>
        <w:t>one of which requires 15 minutes per</w:t>
      </w:r>
      <w:r>
        <w:rPr>
          <w:rFonts w:asciiTheme="majorHAnsi" w:hAnsiTheme="majorHAnsi" w:cs="Melior"/>
          <w:sz w:val="24"/>
          <w:szCs w:val="24"/>
        </w:rPr>
        <w:t xml:space="preserve"> </w:t>
      </w:r>
      <w:r w:rsidRPr="00B0571E">
        <w:rPr>
          <w:rFonts w:asciiTheme="majorHAnsi" w:hAnsiTheme="majorHAnsi" w:cs="Melior"/>
          <w:sz w:val="24"/>
          <w:szCs w:val="24"/>
        </w:rPr>
        <w:t>year. This adds up to 2,415 minutes</w:t>
      </w:r>
      <w:r>
        <w:rPr>
          <w:rFonts w:asciiTheme="majorHAnsi" w:hAnsiTheme="majorHAnsi" w:cs="Melior"/>
          <w:sz w:val="24"/>
          <w:szCs w:val="24"/>
        </w:rPr>
        <w:t xml:space="preserve"> </w:t>
      </w:r>
      <w:r w:rsidRPr="00B0571E">
        <w:rPr>
          <w:rFonts w:asciiTheme="majorHAnsi" w:hAnsiTheme="majorHAnsi" w:cs="Melior"/>
          <w:sz w:val="24"/>
          <w:szCs w:val="24"/>
        </w:rPr>
        <w:t xml:space="preserve">(161 responses </w:t>
      </w:r>
      <w:r w:rsidRPr="00B0571E">
        <w:rPr>
          <w:rFonts w:asciiTheme="majorHAnsi" w:hAnsiTheme="majorHAnsi" w:cs="Symbol"/>
          <w:sz w:val="24"/>
          <w:szCs w:val="24"/>
        </w:rPr>
        <w:t xml:space="preserve">× </w:t>
      </w:r>
      <w:r w:rsidRPr="00B0571E">
        <w:rPr>
          <w:rFonts w:asciiTheme="majorHAnsi" w:hAnsiTheme="majorHAnsi" w:cs="Melior"/>
          <w:sz w:val="24"/>
          <w:szCs w:val="24"/>
        </w:rPr>
        <w:t>15 minutes per</w:t>
      </w:r>
      <w:r>
        <w:rPr>
          <w:rFonts w:asciiTheme="majorHAnsi" w:hAnsiTheme="majorHAnsi" w:cs="Melior"/>
          <w:sz w:val="24"/>
          <w:szCs w:val="24"/>
        </w:rPr>
        <w:t xml:space="preserve"> </w:t>
      </w:r>
      <w:r w:rsidRPr="00B0571E">
        <w:rPr>
          <w:rFonts w:asciiTheme="majorHAnsi" w:hAnsiTheme="majorHAnsi" w:cs="Melior"/>
          <w:sz w:val="24"/>
          <w:szCs w:val="24"/>
        </w:rPr>
        <w:t>response = 2,415 minutes) or 40.25</w:t>
      </w:r>
      <w:r>
        <w:rPr>
          <w:rFonts w:asciiTheme="majorHAnsi" w:hAnsiTheme="majorHAnsi" w:cs="Melior"/>
          <w:sz w:val="24"/>
          <w:szCs w:val="24"/>
        </w:rPr>
        <w:t xml:space="preserve"> </w:t>
      </w:r>
      <w:r w:rsidRPr="00B0571E">
        <w:rPr>
          <w:rFonts w:asciiTheme="majorHAnsi" w:hAnsiTheme="majorHAnsi" w:cs="Melior"/>
          <w:sz w:val="24"/>
          <w:szCs w:val="24"/>
        </w:rPr>
        <w:t xml:space="preserve">hours. </w:t>
      </w:r>
    </w:p>
    <w:p w:rsidR="00B0571E" w:rsidP="00B0571E" w14:paraId="2B9A0FF1" w14:textId="77777777">
      <w:pPr>
        <w:autoSpaceDE w:val="0"/>
        <w:autoSpaceDN w:val="0"/>
        <w:adjustRightInd w:val="0"/>
        <w:spacing w:after="0" w:line="240" w:lineRule="auto"/>
        <w:rPr>
          <w:rFonts w:asciiTheme="majorHAnsi" w:hAnsiTheme="majorHAnsi" w:cs="Melior"/>
          <w:sz w:val="24"/>
          <w:szCs w:val="24"/>
        </w:rPr>
      </w:pPr>
    </w:p>
    <w:p w:rsidR="00B0571E" w:rsidRPr="00B0571E" w:rsidP="00B0571E" w14:paraId="6BC9502F" w14:textId="71680EF6">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Staff uses an hourly</w:t>
      </w:r>
      <w:r>
        <w:rPr>
          <w:rFonts w:asciiTheme="majorHAnsi" w:hAnsiTheme="majorHAnsi" w:cs="Melior"/>
          <w:sz w:val="24"/>
          <w:szCs w:val="24"/>
        </w:rPr>
        <w:t xml:space="preserve"> </w:t>
      </w:r>
      <w:r w:rsidRPr="00B0571E">
        <w:rPr>
          <w:rFonts w:asciiTheme="majorHAnsi" w:hAnsiTheme="majorHAnsi" w:cs="Melior"/>
          <w:sz w:val="24"/>
          <w:szCs w:val="24"/>
        </w:rPr>
        <w:t>compensation for the time required to</w:t>
      </w:r>
      <w:r>
        <w:rPr>
          <w:rFonts w:asciiTheme="majorHAnsi" w:hAnsiTheme="majorHAnsi" w:cs="Melior"/>
          <w:sz w:val="24"/>
          <w:szCs w:val="24"/>
        </w:rPr>
        <w:t xml:space="preserve"> </w:t>
      </w:r>
      <w:r w:rsidRPr="00B0571E">
        <w:rPr>
          <w:rFonts w:asciiTheme="majorHAnsi" w:hAnsiTheme="majorHAnsi" w:cs="Melior"/>
          <w:sz w:val="24"/>
          <w:szCs w:val="24"/>
        </w:rPr>
        <w:t>disclose certificates to third parties of</w:t>
      </w:r>
      <w:r>
        <w:rPr>
          <w:rFonts w:asciiTheme="majorHAnsi" w:hAnsiTheme="majorHAnsi" w:cs="Melior"/>
          <w:sz w:val="24"/>
          <w:szCs w:val="24"/>
        </w:rPr>
        <w:t xml:space="preserve"> </w:t>
      </w:r>
      <w:r w:rsidRPr="00B0571E">
        <w:rPr>
          <w:rFonts w:asciiTheme="majorHAnsi" w:hAnsiTheme="majorHAnsi" w:cs="Melior"/>
          <w:sz w:val="24"/>
          <w:szCs w:val="24"/>
        </w:rPr>
        <w:t>$31.45 (U.S. Bureau of Labor Statistics,</w:t>
      </w:r>
      <w:r>
        <w:rPr>
          <w:rFonts w:asciiTheme="majorHAnsi" w:hAnsiTheme="majorHAnsi" w:cs="Melior"/>
          <w:sz w:val="24"/>
          <w:szCs w:val="24"/>
        </w:rPr>
        <w:t xml:space="preserve"> </w:t>
      </w:r>
      <w:r w:rsidRPr="00B0571E">
        <w:rPr>
          <w:rFonts w:asciiTheme="majorHAnsi" w:hAnsiTheme="majorHAnsi" w:cs="Melior"/>
          <w:sz w:val="24"/>
          <w:szCs w:val="24"/>
        </w:rPr>
        <w:t>‘‘Employer Costs for Employee</w:t>
      </w:r>
    </w:p>
    <w:p w:rsidR="00B0571E" w:rsidRPr="00B0571E" w:rsidP="00B0571E" w14:paraId="0324DE11" w14:textId="57F6CEA5">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Compensation,’’ March 2023, table 4,</w:t>
      </w:r>
      <w:r>
        <w:rPr>
          <w:rFonts w:asciiTheme="majorHAnsi" w:hAnsiTheme="majorHAnsi" w:cs="Melior"/>
          <w:sz w:val="24"/>
          <w:szCs w:val="24"/>
        </w:rPr>
        <w:t xml:space="preserve"> </w:t>
      </w:r>
      <w:r w:rsidRPr="00B0571E">
        <w:rPr>
          <w:rFonts w:asciiTheme="majorHAnsi" w:hAnsiTheme="majorHAnsi" w:cs="Melior"/>
          <w:sz w:val="24"/>
          <w:szCs w:val="24"/>
        </w:rPr>
        <w:t>Private industry sales and office</w:t>
      </w:r>
      <w:r>
        <w:rPr>
          <w:rFonts w:asciiTheme="majorHAnsi" w:hAnsiTheme="majorHAnsi" w:cs="Melior"/>
          <w:sz w:val="24"/>
          <w:szCs w:val="24"/>
        </w:rPr>
        <w:t xml:space="preserve"> </w:t>
      </w:r>
      <w:r w:rsidRPr="00B0571E">
        <w:rPr>
          <w:rFonts w:asciiTheme="majorHAnsi" w:hAnsiTheme="majorHAnsi" w:cs="Melior"/>
          <w:sz w:val="24"/>
          <w:szCs w:val="24"/>
        </w:rPr>
        <w:t xml:space="preserve">occupations: </w:t>
      </w:r>
      <w:r w:rsidRPr="00B0571E">
        <w:rPr>
          <w:rFonts w:asciiTheme="majorHAnsi" w:hAnsiTheme="majorHAnsi" w:cs="Melior-Italic"/>
          <w:i/>
          <w:iCs/>
          <w:sz w:val="24"/>
          <w:szCs w:val="24"/>
        </w:rPr>
        <w:t>https://www.bls.gov/news.release/archives/ecec</w:t>
      </w:r>
      <w:r w:rsidRPr="00B0571E">
        <w:rPr>
          <w:rFonts w:asciiTheme="majorHAnsi" w:hAnsiTheme="majorHAnsi" w:cs="Symbol"/>
          <w:sz w:val="24"/>
          <w:szCs w:val="24"/>
        </w:rPr>
        <w:t>_</w:t>
      </w:r>
      <w:r w:rsidRPr="00B0571E">
        <w:rPr>
          <w:rFonts w:asciiTheme="majorHAnsi" w:hAnsiTheme="majorHAnsi" w:cs="Melior-Italic"/>
          <w:i/>
          <w:iCs/>
          <w:sz w:val="24"/>
          <w:szCs w:val="24"/>
        </w:rPr>
        <w:t>06162023.pdf</w:t>
      </w:r>
      <w:r w:rsidRPr="00B0571E">
        <w:rPr>
          <w:rFonts w:asciiTheme="majorHAnsi" w:hAnsiTheme="majorHAnsi" w:cs="Melior"/>
          <w:sz w:val="24"/>
          <w:szCs w:val="24"/>
        </w:rPr>
        <w:t>). Therefore, the estimated</w:t>
      </w:r>
    </w:p>
    <w:p w:rsidR="00B0571E" w:rsidP="00B0571E" w14:paraId="410ED8C0" w14:textId="66061FEF">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annual burden cost associated with</w:t>
      </w:r>
      <w:r>
        <w:rPr>
          <w:rFonts w:asciiTheme="majorHAnsi" w:hAnsiTheme="majorHAnsi" w:cs="Melior"/>
          <w:sz w:val="24"/>
          <w:szCs w:val="24"/>
        </w:rPr>
        <w:t xml:space="preserve"> </w:t>
      </w:r>
      <w:r w:rsidRPr="00B0571E">
        <w:rPr>
          <w:rFonts w:asciiTheme="majorHAnsi" w:hAnsiTheme="majorHAnsi" w:cs="Melior"/>
          <w:sz w:val="24"/>
          <w:szCs w:val="24"/>
        </w:rPr>
        <w:t>third party disclosure of GCCs is</w:t>
      </w:r>
      <w:r>
        <w:rPr>
          <w:rFonts w:asciiTheme="majorHAnsi" w:hAnsiTheme="majorHAnsi" w:cs="Melior"/>
          <w:sz w:val="24"/>
          <w:szCs w:val="24"/>
        </w:rPr>
        <w:t xml:space="preserve"> </w:t>
      </w:r>
      <w:r w:rsidRPr="00B0571E">
        <w:rPr>
          <w:rFonts w:asciiTheme="majorHAnsi" w:hAnsiTheme="majorHAnsi" w:cs="Melior"/>
          <w:sz w:val="24"/>
          <w:szCs w:val="24"/>
        </w:rPr>
        <w:t xml:space="preserve">$1,265.86 ($31.45 per hour </w:t>
      </w:r>
      <w:r w:rsidRPr="00B0571E">
        <w:rPr>
          <w:rFonts w:asciiTheme="majorHAnsi" w:hAnsiTheme="majorHAnsi" w:cs="Symbol"/>
          <w:sz w:val="24"/>
          <w:szCs w:val="24"/>
        </w:rPr>
        <w:t xml:space="preserve">× </w:t>
      </w:r>
      <w:r w:rsidRPr="00B0571E">
        <w:rPr>
          <w:rFonts w:asciiTheme="majorHAnsi" w:hAnsiTheme="majorHAnsi" w:cs="Melior"/>
          <w:sz w:val="24"/>
          <w:szCs w:val="24"/>
        </w:rPr>
        <w:t>40.25</w:t>
      </w:r>
      <w:r>
        <w:rPr>
          <w:rFonts w:asciiTheme="majorHAnsi" w:hAnsiTheme="majorHAnsi" w:cs="Melior"/>
          <w:sz w:val="24"/>
          <w:szCs w:val="24"/>
        </w:rPr>
        <w:t xml:space="preserve"> </w:t>
      </w:r>
      <w:r w:rsidRPr="00B0571E">
        <w:rPr>
          <w:rFonts w:asciiTheme="majorHAnsi" w:hAnsiTheme="majorHAnsi" w:cs="Melior"/>
          <w:sz w:val="24"/>
          <w:szCs w:val="24"/>
        </w:rPr>
        <w:t>hours = $1,265.8625).</w:t>
      </w:r>
    </w:p>
    <w:p w:rsidR="00B0571E" w:rsidRPr="00B0571E" w:rsidP="00B0571E" w14:paraId="7600A195" w14:textId="77777777">
      <w:pPr>
        <w:autoSpaceDE w:val="0"/>
        <w:autoSpaceDN w:val="0"/>
        <w:adjustRightInd w:val="0"/>
        <w:spacing w:after="0" w:line="240" w:lineRule="auto"/>
        <w:rPr>
          <w:rFonts w:asciiTheme="majorHAnsi" w:hAnsiTheme="majorHAnsi" w:cs="Melior"/>
          <w:sz w:val="24"/>
          <w:szCs w:val="24"/>
        </w:rPr>
      </w:pPr>
    </w:p>
    <w:p w:rsidR="00B0571E" w:rsidRPr="00B0571E" w:rsidP="00B0571E" w14:paraId="6DCABB20" w14:textId="362E5209">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Based on this analysis, CPSC</w:t>
      </w:r>
      <w:r>
        <w:rPr>
          <w:rFonts w:asciiTheme="majorHAnsi" w:hAnsiTheme="majorHAnsi" w:cs="Melior"/>
          <w:sz w:val="24"/>
          <w:szCs w:val="24"/>
        </w:rPr>
        <w:t xml:space="preserve"> </w:t>
      </w:r>
      <w:r w:rsidRPr="00B0571E">
        <w:rPr>
          <w:rFonts w:asciiTheme="majorHAnsi" w:hAnsiTheme="majorHAnsi" w:cs="Melior"/>
          <w:sz w:val="24"/>
          <w:szCs w:val="24"/>
        </w:rPr>
        <w:t>estimates the annual PRA burden</w:t>
      </w:r>
      <w:r>
        <w:rPr>
          <w:rFonts w:asciiTheme="majorHAnsi" w:hAnsiTheme="majorHAnsi" w:cs="Melior"/>
          <w:sz w:val="24"/>
          <w:szCs w:val="24"/>
        </w:rPr>
        <w:t xml:space="preserve"> </w:t>
      </w:r>
      <w:r w:rsidRPr="00B0571E">
        <w:rPr>
          <w:rFonts w:asciiTheme="majorHAnsi" w:hAnsiTheme="majorHAnsi" w:cs="Melior"/>
          <w:sz w:val="24"/>
          <w:szCs w:val="24"/>
        </w:rPr>
        <w:t>associated with the rule at 57.02 hours</w:t>
      </w:r>
      <w:r>
        <w:rPr>
          <w:rFonts w:asciiTheme="majorHAnsi" w:hAnsiTheme="majorHAnsi" w:cs="Melior"/>
          <w:sz w:val="24"/>
          <w:szCs w:val="24"/>
        </w:rPr>
        <w:t xml:space="preserve"> </w:t>
      </w:r>
      <w:r w:rsidRPr="00B0571E">
        <w:rPr>
          <w:rFonts w:asciiTheme="majorHAnsi" w:hAnsiTheme="majorHAnsi" w:cs="Melior"/>
          <w:sz w:val="24"/>
          <w:szCs w:val="24"/>
        </w:rPr>
        <w:t>(13.42 hours + 3.35 hours + 40.25 hours)</w:t>
      </w:r>
      <w:r>
        <w:rPr>
          <w:rFonts w:asciiTheme="majorHAnsi" w:hAnsiTheme="majorHAnsi" w:cs="Melior"/>
          <w:sz w:val="24"/>
          <w:szCs w:val="24"/>
        </w:rPr>
        <w:t xml:space="preserve"> </w:t>
      </w:r>
      <w:r w:rsidRPr="00B0571E">
        <w:rPr>
          <w:rFonts w:asciiTheme="majorHAnsi" w:hAnsiTheme="majorHAnsi" w:cs="Melior"/>
          <w:sz w:val="24"/>
          <w:szCs w:val="24"/>
        </w:rPr>
        <w:t>with a total burden cost of $2,292.50</w:t>
      </w:r>
    </w:p>
    <w:p w:rsidR="00B0571E" w:rsidRPr="00B0571E" w:rsidP="00B0571E" w14:paraId="4D890DF9" w14:textId="52A5E7B3">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 xml:space="preserve">($921.28 + $105.36 + $1,265.86). </w:t>
      </w:r>
    </w:p>
    <w:p w:rsidR="00B0571E" w:rsidRPr="00B0571E" w:rsidP="00B0571E" w14:paraId="6AA3F4B6" w14:textId="565504B0">
      <w:pPr>
        <w:autoSpaceDE w:val="0"/>
        <w:autoSpaceDN w:val="0"/>
        <w:adjustRightInd w:val="0"/>
        <w:spacing w:after="0" w:line="240" w:lineRule="auto"/>
        <w:rPr>
          <w:rFonts w:asciiTheme="majorHAnsi" w:hAnsiTheme="majorHAnsi" w:cs="Melior"/>
          <w:sz w:val="24"/>
          <w:szCs w:val="24"/>
        </w:rPr>
      </w:pPr>
    </w:p>
    <w:p w:rsidR="00576FC5" w:rsidRPr="00FA2CC8" w:rsidP="00576FC5" w14:paraId="2A04C1FE" w14:textId="77777777">
      <w:pPr>
        <w:autoSpaceDE w:val="0"/>
        <w:autoSpaceDN w:val="0"/>
        <w:adjustRightInd w:val="0"/>
        <w:spacing w:after="0" w:line="240" w:lineRule="auto"/>
        <w:rPr>
          <w:rFonts w:asciiTheme="majorHAnsi" w:hAnsiTheme="majorHAnsi"/>
          <w:sz w:val="24"/>
          <w:szCs w:val="24"/>
        </w:rPr>
      </w:pPr>
    </w:p>
    <w:p w:rsidR="0019309D" w:rsidP="00412EFC" w14:paraId="5CAEFCC5" w14:textId="09C96C3D">
      <w:pPr>
        <w:keepNext/>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806D54" w:rsidP="00412EFC" w14:paraId="5430B218" w14:textId="77777777">
      <w:pPr>
        <w:keepNext/>
        <w:spacing w:after="0" w:line="240" w:lineRule="auto"/>
        <w:rPr>
          <w:rFonts w:asciiTheme="majorHAnsi" w:hAnsiTheme="majorHAnsi"/>
          <w:i/>
          <w:sz w:val="24"/>
        </w:rPr>
      </w:pPr>
    </w:p>
    <w:p w:rsidR="0019309D" w:rsidP="00B0571E" w14:paraId="02CCBAB2" w14:textId="37C24900">
      <w:pPr>
        <w:autoSpaceDE w:val="0"/>
        <w:autoSpaceDN w:val="0"/>
        <w:adjustRightInd w:val="0"/>
        <w:spacing w:after="0" w:line="240" w:lineRule="auto"/>
        <w:rPr>
          <w:rFonts w:asciiTheme="majorHAnsi" w:hAnsiTheme="majorHAnsi" w:cs="Melior"/>
          <w:sz w:val="24"/>
          <w:szCs w:val="24"/>
        </w:rPr>
      </w:pPr>
      <w:r w:rsidRPr="00B0571E">
        <w:rPr>
          <w:rFonts w:asciiTheme="majorHAnsi" w:hAnsiTheme="majorHAnsi" w:cs="Melior"/>
          <w:sz w:val="24"/>
          <w:szCs w:val="24"/>
        </w:rPr>
        <w:t>There</w:t>
      </w:r>
      <w:r>
        <w:rPr>
          <w:rFonts w:asciiTheme="majorHAnsi" w:hAnsiTheme="majorHAnsi" w:cs="Melior"/>
          <w:sz w:val="24"/>
          <w:szCs w:val="24"/>
        </w:rPr>
        <w:t xml:space="preserve"> </w:t>
      </w:r>
      <w:r w:rsidRPr="00B0571E">
        <w:rPr>
          <w:rFonts w:asciiTheme="majorHAnsi" w:hAnsiTheme="majorHAnsi" w:cs="Melior"/>
          <w:sz w:val="24"/>
          <w:szCs w:val="24"/>
        </w:rPr>
        <w:t>are no operating, maintenance, or</w:t>
      </w:r>
      <w:r>
        <w:rPr>
          <w:rFonts w:asciiTheme="majorHAnsi" w:hAnsiTheme="majorHAnsi" w:cs="Melior"/>
          <w:sz w:val="24"/>
          <w:szCs w:val="24"/>
        </w:rPr>
        <w:t xml:space="preserve"> </w:t>
      </w:r>
      <w:r w:rsidRPr="00B0571E">
        <w:rPr>
          <w:rFonts w:asciiTheme="majorHAnsi" w:hAnsiTheme="majorHAnsi" w:cs="Melior"/>
          <w:sz w:val="24"/>
          <w:szCs w:val="24"/>
        </w:rPr>
        <w:t>capital costs associated with the</w:t>
      </w:r>
      <w:r>
        <w:rPr>
          <w:rFonts w:asciiTheme="majorHAnsi" w:hAnsiTheme="majorHAnsi" w:cs="Melior"/>
          <w:sz w:val="24"/>
          <w:szCs w:val="24"/>
        </w:rPr>
        <w:t xml:space="preserve"> </w:t>
      </w:r>
      <w:r w:rsidRPr="00B0571E">
        <w:rPr>
          <w:rFonts w:asciiTheme="majorHAnsi" w:hAnsiTheme="majorHAnsi" w:cs="Melior"/>
          <w:sz w:val="24"/>
          <w:szCs w:val="24"/>
        </w:rPr>
        <w:t>collection.</w:t>
      </w:r>
    </w:p>
    <w:p w:rsidR="00B0571E" w:rsidP="00B0571E" w14:paraId="063EC71E" w14:textId="77777777">
      <w:pPr>
        <w:autoSpaceDE w:val="0"/>
        <w:autoSpaceDN w:val="0"/>
        <w:adjustRightInd w:val="0"/>
        <w:spacing w:after="0" w:line="240" w:lineRule="auto"/>
        <w:rPr>
          <w:rFonts w:asciiTheme="majorHAnsi" w:hAnsiTheme="majorHAnsi"/>
          <w:sz w:val="24"/>
        </w:rPr>
      </w:pPr>
    </w:p>
    <w:p w:rsidR="00F25499" w:rsidP="000C05B9" w14:paraId="0322F7EA" w14:textId="77777777">
      <w:pPr>
        <w:keepNext/>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0C05B9" w14:paraId="6F8D76CB" w14:textId="77777777">
      <w:pPr>
        <w:keepNext/>
        <w:spacing w:after="0" w:line="240" w:lineRule="auto"/>
        <w:rPr>
          <w:rFonts w:asciiTheme="majorHAnsi" w:hAnsiTheme="majorHAnsi"/>
          <w:sz w:val="24"/>
        </w:rPr>
      </w:pPr>
    </w:p>
    <w:p w:rsidR="00E77560" w:rsidP="000C05B9" w14:paraId="21D9C482" w14:textId="3E3482CD">
      <w:pPr>
        <w:keepNext/>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w:t>
      </w:r>
      <w:r w:rsidR="00707E10">
        <w:rPr>
          <w:rFonts w:asciiTheme="majorHAnsi" w:hAnsiTheme="majorHAnsi"/>
          <w:sz w:val="24"/>
          <w:szCs w:val="24"/>
        </w:rPr>
        <w:t>5</w:t>
      </w:r>
      <w:r w:rsidR="00C629AD">
        <w:rPr>
          <w:rFonts w:asciiTheme="majorHAnsi" w:hAnsiTheme="majorHAnsi"/>
          <w:sz w:val="24"/>
          <w:szCs w:val="24"/>
        </w:rPr>
        <w:t>13</w:t>
      </w:r>
      <w:r w:rsidRPr="00C97147">
        <w:rPr>
          <w:rFonts w:asciiTheme="majorHAnsi" w:hAnsiTheme="majorHAnsi"/>
          <w:sz w:val="24"/>
          <w:szCs w:val="24"/>
        </w:rPr>
        <w:t>,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2023) is $51.15 (GS-12, step 5).  This represents 6</w:t>
      </w:r>
      <w:r>
        <w:rPr>
          <w:rFonts w:asciiTheme="majorHAnsi" w:hAnsiTheme="majorHAnsi"/>
          <w:sz w:val="24"/>
          <w:szCs w:val="24"/>
        </w:rPr>
        <w:t>8.</w:t>
      </w:r>
      <w:r w:rsidR="00426C1E">
        <w:rPr>
          <w:rFonts w:asciiTheme="majorHAnsi" w:hAnsiTheme="majorHAnsi"/>
          <w:sz w:val="24"/>
          <w:szCs w:val="24"/>
        </w:rPr>
        <w:t>0</w:t>
      </w:r>
      <w:r w:rsidRPr="00C97147">
        <w:rPr>
          <w:rFonts w:asciiTheme="majorHAnsi" w:hAnsiTheme="majorHAnsi"/>
          <w:sz w:val="24"/>
          <w:szCs w:val="24"/>
        </w:rPr>
        <w:t xml:space="preserve"> percent of total compensation (U.S. Bureau of Labor Statistics, “Employer Costs for Employee Compensation,” </w:t>
      </w:r>
      <w:r w:rsidR="00426C1E">
        <w:rPr>
          <w:rFonts w:asciiTheme="majorHAnsi" w:hAnsiTheme="majorHAnsi"/>
          <w:sz w:val="24"/>
          <w:szCs w:val="24"/>
        </w:rPr>
        <w:t>March</w:t>
      </w:r>
      <w:r w:rsidRPr="00C97147">
        <w:rPr>
          <w:rFonts w:asciiTheme="majorHAnsi" w:hAnsiTheme="majorHAnsi"/>
          <w:sz w:val="24"/>
          <w:szCs w:val="24"/>
        </w:rPr>
        <w:t xml:space="preserve"> 202</w:t>
      </w:r>
      <w:r w:rsidR="00426C1E">
        <w:rPr>
          <w:rFonts w:asciiTheme="majorHAnsi" w:hAnsiTheme="majorHAnsi"/>
          <w:sz w:val="24"/>
          <w:szCs w:val="24"/>
        </w:rPr>
        <w:t>3</w:t>
      </w:r>
      <w:r w:rsidRPr="00C97147">
        <w:rPr>
          <w:rFonts w:asciiTheme="majorHAnsi" w:hAnsiTheme="majorHAnsi"/>
          <w:sz w:val="24"/>
          <w:szCs w:val="24"/>
        </w:rPr>
        <w:t xml:space="preserve">, Table 2., percentage of wages and salaries for all civilian management, professional, and related employees: </w:t>
      </w:r>
      <w:r w:rsidRPr="00426C1E" w:rsidR="00426C1E">
        <w:rPr>
          <w:rFonts w:asciiTheme="majorHAnsi" w:hAnsiTheme="majorHAnsi"/>
          <w:sz w:val="24"/>
          <w:szCs w:val="24"/>
        </w:rPr>
        <w:t>https://www.bls.gov/news.release/archives/ecec_06162023.pdf</w:t>
      </w:r>
      <w:r w:rsidRPr="00C97147">
        <w:rPr>
          <w:rFonts w:asciiTheme="majorHAnsi" w:hAnsiTheme="majorHAnsi"/>
          <w:sz w:val="24"/>
          <w:szCs w:val="24"/>
        </w:rPr>
        <w:t>).  Adding an additional 3</w:t>
      </w:r>
      <w:r w:rsidR="00426C1E">
        <w:rPr>
          <w:rFonts w:asciiTheme="majorHAnsi" w:hAnsiTheme="majorHAnsi"/>
          <w:sz w:val="24"/>
          <w:szCs w:val="24"/>
        </w:rPr>
        <w:t>2.0</w:t>
      </w:r>
      <w:r w:rsidRPr="00C97147">
        <w:rPr>
          <w:rFonts w:asciiTheme="majorHAnsi" w:hAnsiTheme="majorHAnsi"/>
          <w:sz w:val="24"/>
          <w:szCs w:val="24"/>
        </w:rPr>
        <w:t xml:space="preserve"> percent for benefits brings average annual compensation for a mid-level salaried GS-12 employee to </w:t>
      </w:r>
      <w:r>
        <w:rPr>
          <w:rFonts w:asciiTheme="majorHAnsi" w:hAnsiTheme="majorHAnsi"/>
          <w:sz w:val="24"/>
          <w:szCs w:val="24"/>
        </w:rPr>
        <w:t>$75.</w:t>
      </w:r>
      <w:r w:rsidR="00426C1E">
        <w:rPr>
          <w:rFonts w:asciiTheme="majorHAnsi" w:hAnsiTheme="majorHAnsi"/>
          <w:sz w:val="24"/>
          <w:szCs w:val="24"/>
        </w:rPr>
        <w:t>22</w:t>
      </w:r>
      <w:r w:rsidRPr="00C97147">
        <w:rPr>
          <w:rFonts w:asciiTheme="majorHAnsi" w:hAnsiTheme="majorHAnsi"/>
          <w:sz w:val="24"/>
          <w:szCs w:val="24"/>
        </w:rPr>
        <w:t xml:space="preserve"> per hour.  </w:t>
      </w:r>
      <w:r w:rsidRPr="00C97147">
        <w:rPr>
          <w:rFonts w:asciiTheme="majorHAnsi" w:hAnsiTheme="majorHAnsi"/>
          <w:sz w:val="24"/>
          <w:szCs w:val="24"/>
        </w:rPr>
        <w:t>Assuming that</w:t>
      </w:r>
      <w:r w:rsidRPr="00C97147">
        <w:rPr>
          <w:rFonts w:asciiTheme="majorHAnsi" w:hAnsiTheme="majorHAnsi"/>
          <w:sz w:val="24"/>
          <w:szCs w:val="24"/>
        </w:rPr>
        <w:t xml:space="preserve"> approximately 60 hours will be required annually, this results in an annual cost of $4,</w:t>
      </w:r>
      <w:r>
        <w:rPr>
          <w:rFonts w:asciiTheme="majorHAnsi" w:hAnsiTheme="majorHAnsi"/>
          <w:sz w:val="24"/>
          <w:szCs w:val="24"/>
        </w:rPr>
        <w:t>5</w:t>
      </w:r>
      <w:r w:rsidR="00C629AD">
        <w:rPr>
          <w:rFonts w:asciiTheme="majorHAnsi" w:hAnsiTheme="majorHAnsi"/>
          <w:sz w:val="24"/>
          <w:szCs w:val="24"/>
        </w:rPr>
        <w:t>13</w:t>
      </w:r>
      <w:r w:rsidRPr="00C97147">
        <w:rPr>
          <w:rFonts w:asciiTheme="majorHAnsi" w:hAnsiTheme="majorHAnsi"/>
          <w:sz w:val="24"/>
          <w:szCs w:val="24"/>
        </w:rPr>
        <w:t xml:space="preserve"> ($7</w:t>
      </w:r>
      <w:r>
        <w:rPr>
          <w:rFonts w:asciiTheme="majorHAnsi" w:hAnsiTheme="majorHAnsi"/>
          <w:sz w:val="24"/>
          <w:szCs w:val="24"/>
        </w:rPr>
        <w:t>5.</w:t>
      </w:r>
      <w:r w:rsidR="00C629AD">
        <w:rPr>
          <w:rFonts w:asciiTheme="majorHAnsi" w:hAnsiTheme="majorHAnsi"/>
          <w:sz w:val="24"/>
          <w:szCs w:val="24"/>
        </w:rPr>
        <w:t>22</w:t>
      </w:r>
      <w:r w:rsidRPr="00C97147">
        <w:rPr>
          <w:rFonts w:asciiTheme="majorHAnsi" w:hAnsiTheme="majorHAnsi"/>
          <w:sz w:val="24"/>
          <w:szCs w:val="24"/>
        </w:rPr>
        <w:t xml:space="preserve"> per hour × 60 hours = $ 4,</w:t>
      </w:r>
      <w:r w:rsidR="00C629AD">
        <w:rPr>
          <w:rFonts w:asciiTheme="majorHAnsi" w:hAnsiTheme="majorHAnsi"/>
          <w:sz w:val="24"/>
          <w:szCs w:val="24"/>
        </w:rPr>
        <w:t>513.20</w:t>
      </w:r>
      <w:r w:rsidRPr="00C97147">
        <w:rPr>
          <w:rFonts w:asciiTheme="majorHAnsi" w:hAnsiTheme="majorHAnsi"/>
          <w:sz w:val="24"/>
          <w:szCs w:val="24"/>
        </w:rPr>
        <w:t>).</w:t>
      </w:r>
    </w:p>
    <w:p w:rsidR="00486235" w:rsidP="00486235" w14:paraId="3CBE9F7C" w14:textId="77777777">
      <w:pPr>
        <w:spacing w:after="0" w:line="240" w:lineRule="auto"/>
        <w:rPr>
          <w:rFonts w:asciiTheme="majorHAnsi" w:hAnsiTheme="majorHAnsi"/>
          <w:sz w:val="24"/>
        </w:rPr>
      </w:pPr>
    </w:p>
    <w:p w:rsidR="00DA2B37" w:rsidP="00486235" w14:paraId="77F92DC3" w14:textId="3C7F62F6">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707E10" w:rsidP="00707E10" w14:paraId="25D17A83" w14:textId="77777777">
      <w:pPr>
        <w:spacing w:after="0" w:line="240" w:lineRule="auto"/>
        <w:rPr>
          <w:rFonts w:asciiTheme="majorHAnsi" w:hAnsiTheme="majorHAnsi"/>
          <w:i/>
          <w:sz w:val="24"/>
        </w:rPr>
      </w:pPr>
    </w:p>
    <w:p w:rsidR="00707E10" w:rsidP="00707E10" w14:paraId="01F48C30" w14:textId="7F8ACF01">
      <w:pPr>
        <w:spacing w:after="0" w:line="240" w:lineRule="auto"/>
        <w:rPr>
          <w:rFonts w:asciiTheme="majorHAnsi" w:hAnsiTheme="majorHAnsi" w:cs="Melior"/>
          <w:sz w:val="24"/>
          <w:szCs w:val="24"/>
        </w:rPr>
      </w:pPr>
      <w:r w:rsidRPr="00707E10">
        <w:rPr>
          <w:rFonts w:asciiTheme="majorHAnsi" w:hAnsiTheme="majorHAnsi"/>
          <w:sz w:val="24"/>
        </w:rPr>
        <w:t>This is a new collection with a new associated burden.</w:t>
      </w:r>
      <w:r>
        <w:rPr>
          <w:rFonts w:asciiTheme="majorHAnsi" w:hAnsiTheme="majorHAnsi"/>
          <w:sz w:val="24"/>
        </w:rPr>
        <w:t xml:space="preserve"> </w:t>
      </w:r>
    </w:p>
    <w:p w:rsidR="00707E10" w:rsidP="00707E10" w14:paraId="6E23DCBB" w14:textId="77777777">
      <w:pPr>
        <w:spacing w:after="0" w:line="240" w:lineRule="auto"/>
        <w:rPr>
          <w:rFonts w:asciiTheme="majorHAnsi" w:hAnsiTheme="majorHAnsi" w:cs="Melior"/>
          <w:sz w:val="24"/>
          <w:szCs w:val="24"/>
        </w:rPr>
      </w:pPr>
    </w:p>
    <w:p w:rsidR="00DA2B37" w:rsidP="00707E10" w14:paraId="35EB577B" w14:textId="0D684FB3">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07E10" w:rsidP="00486235" w14:paraId="4223845B" w14:textId="77777777">
      <w:pPr>
        <w:spacing w:after="0" w:line="240" w:lineRule="auto"/>
        <w:rPr>
          <w:rFonts w:asciiTheme="majorHAnsi" w:hAnsiTheme="majorHAnsi"/>
          <w:i/>
          <w:sz w:val="24"/>
        </w:rPr>
      </w:pPr>
    </w:p>
    <w:p w:rsidR="00DA2B37" w:rsidP="00486235" w14:paraId="5C692B9A" w14:textId="0613D6C9">
      <w:pPr>
        <w:spacing w:after="0" w:line="240" w:lineRule="auto"/>
        <w:rPr>
          <w:rFonts w:asciiTheme="majorHAnsi" w:hAnsiTheme="majorHAnsi"/>
          <w:sz w:val="24"/>
        </w:rPr>
      </w:pPr>
      <w:r w:rsidRPr="00707E1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9BA939A" w14:textId="77777777">
      <w:pPr>
        <w:spacing w:after="0" w:line="240" w:lineRule="auto"/>
        <w:rPr>
          <w:rFonts w:asciiTheme="majorHAnsi" w:hAnsiTheme="majorHAnsi"/>
          <w:sz w:val="24"/>
        </w:rPr>
      </w:pPr>
    </w:p>
    <w:p w:rsidR="005C3A95" w:rsidRPr="0085688C" w:rsidP="00486235" w14:paraId="15BD60ED" w14:textId="441464B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6537D1" w:rsidP="00486235" w14:paraId="06939C82" w14:textId="77777777">
      <w:pPr>
        <w:spacing w:after="0" w:line="240" w:lineRule="auto"/>
        <w:rPr>
          <w:rFonts w:asciiTheme="majorHAnsi" w:hAnsiTheme="majorHAnsi"/>
          <w:i/>
          <w:sz w:val="24"/>
        </w:rPr>
      </w:pPr>
    </w:p>
    <w:p w:rsidR="00C62D17" w:rsidP="00486235" w14:paraId="146BAF93" w14:textId="51A01D5F">
      <w:pPr>
        <w:spacing w:after="0" w:line="240" w:lineRule="auto"/>
        <w:rPr>
          <w:rFonts w:asciiTheme="majorHAnsi" w:hAnsiTheme="majorHAnsi"/>
          <w:sz w:val="24"/>
        </w:rPr>
      </w:pPr>
      <w:r w:rsidRPr="006537D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3B65EF" w14:textId="77777777">
      <w:pPr>
        <w:spacing w:after="0" w:line="240" w:lineRule="auto"/>
        <w:rPr>
          <w:rFonts w:asciiTheme="majorHAnsi" w:hAnsiTheme="majorHAnsi"/>
          <w:sz w:val="24"/>
        </w:rPr>
      </w:pPr>
    </w:p>
    <w:p w:rsidR="00C62D17" w:rsidRPr="0085688C" w:rsidP="00486235" w14:paraId="3BC238E6" w14:textId="30B25DE3">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537D1" w:rsidP="00B55E9F" w14:paraId="470AA4E1" w14:textId="77777777">
      <w:pPr>
        <w:spacing w:after="0" w:line="240" w:lineRule="auto"/>
        <w:rPr>
          <w:rFonts w:asciiTheme="majorHAnsi" w:hAnsiTheme="majorHAnsi"/>
          <w:i/>
          <w:sz w:val="24"/>
        </w:rPr>
      </w:pPr>
    </w:p>
    <w:p w:rsidR="00A50A0F" w:rsidRPr="00C62D17" w:rsidP="00B55E9F" w14:paraId="1E52930D" w14:textId="7056A526">
      <w:pPr>
        <w:spacing w:after="0" w:line="240" w:lineRule="auto"/>
        <w:rPr>
          <w:rFonts w:asciiTheme="majorHAnsi" w:hAnsiTheme="majorHAnsi"/>
          <w:i/>
          <w:sz w:val="24"/>
        </w:rPr>
      </w:pPr>
      <w:r w:rsidRPr="006537D1">
        <w:rPr>
          <w:rFonts w:asciiTheme="majorHAnsi" w:hAnsiTheme="majorHAnsi"/>
          <w:sz w:val="24"/>
        </w:rPr>
        <w:t>We are not requesting an</w:t>
      </w:r>
      <w:r w:rsidRPr="006537D1" w:rsidR="00420AE9">
        <w:rPr>
          <w:rFonts w:asciiTheme="majorHAnsi" w:hAnsiTheme="majorHAnsi"/>
          <w:sz w:val="24"/>
        </w:rPr>
        <w:t>y</w:t>
      </w:r>
      <w:r w:rsidRPr="006537D1">
        <w:rPr>
          <w:rFonts w:asciiTheme="majorHAnsi" w:hAnsiTheme="majorHAnsi"/>
          <w:sz w:val="24"/>
        </w:rPr>
        <w:t xml:space="preserve"> exemption</w:t>
      </w:r>
      <w:r w:rsidRPr="006537D1" w:rsidR="00420AE9">
        <w:rPr>
          <w:rFonts w:asciiTheme="majorHAnsi" w:hAnsiTheme="majorHAnsi"/>
          <w:sz w:val="24"/>
        </w:rPr>
        <w:t>s</w:t>
      </w:r>
      <w:r w:rsidRPr="006537D1">
        <w:rPr>
          <w:rFonts w:asciiTheme="majorHAnsi" w:hAnsiTheme="majorHAnsi"/>
          <w:sz w:val="24"/>
        </w:rPr>
        <w:t xml:space="preserve"> to the provisions </w:t>
      </w:r>
      <w:r w:rsidRPr="006537D1" w:rsidR="00420AE9">
        <w:rPr>
          <w:rFonts w:asciiTheme="majorHAnsi" w:hAnsiTheme="majorHAnsi"/>
          <w:sz w:val="24"/>
        </w:rPr>
        <w:t xml:space="preserve">stated in 5 CFR 1320.9.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59D4B0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1384895"/>
      <w:docPartObj>
        <w:docPartGallery w:val="Page Numbers (Bottom of Page)"/>
        <w:docPartUnique/>
      </w:docPartObj>
    </w:sdtPr>
    <w:sdtEndPr>
      <w:rPr>
        <w:noProof/>
      </w:rPr>
    </w:sdtEndPr>
    <w:sdtContent>
      <w:p w:rsidR="00BB50B1" w14:paraId="6DD6C4AD" w14:textId="55767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50B1" w14:paraId="252E12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471E3B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4644E9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56DFD7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0B1" w14:paraId="364452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27C5400"/>
    <w:multiLevelType w:val="hybridMultilevel"/>
    <w:tmpl w:val="FAEAA72A"/>
    <w:lvl w:ilvl="0">
      <w:start w:val="0"/>
      <w:numFmt w:val="bullet"/>
      <w:lvlText w:val="•"/>
      <w:lvlJc w:val="left"/>
      <w:pPr>
        <w:ind w:left="720" w:hanging="360"/>
      </w:pPr>
      <w:rPr>
        <w:rFonts w:ascii="Cambria" w:hAnsi="Cambria" w:eastAsiaTheme="minorHAnsi"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8C0375"/>
    <w:multiLevelType w:val="hybridMultilevel"/>
    <w:tmpl w:val="973A3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0294195">
    <w:abstractNumId w:val="15"/>
  </w:num>
  <w:num w:numId="2" w16cid:durableId="644820285">
    <w:abstractNumId w:val="0"/>
  </w:num>
  <w:num w:numId="3" w16cid:durableId="1184980441">
    <w:abstractNumId w:val="12"/>
  </w:num>
  <w:num w:numId="4" w16cid:durableId="152600038">
    <w:abstractNumId w:val="10"/>
  </w:num>
  <w:num w:numId="5" w16cid:durableId="1495412956">
    <w:abstractNumId w:val="19"/>
  </w:num>
  <w:num w:numId="6" w16cid:durableId="645627479">
    <w:abstractNumId w:val="1"/>
  </w:num>
  <w:num w:numId="7" w16cid:durableId="1345087589">
    <w:abstractNumId w:val="20"/>
  </w:num>
  <w:num w:numId="8" w16cid:durableId="787507447">
    <w:abstractNumId w:val="17"/>
  </w:num>
  <w:num w:numId="9" w16cid:durableId="1037195000">
    <w:abstractNumId w:val="21"/>
  </w:num>
  <w:num w:numId="10" w16cid:durableId="1373381259">
    <w:abstractNumId w:val="3"/>
  </w:num>
  <w:num w:numId="11" w16cid:durableId="1769080498">
    <w:abstractNumId w:val="16"/>
  </w:num>
  <w:num w:numId="12" w16cid:durableId="27802892">
    <w:abstractNumId w:val="18"/>
  </w:num>
  <w:num w:numId="13" w16cid:durableId="1888450910">
    <w:abstractNumId w:val="23"/>
  </w:num>
  <w:num w:numId="14" w16cid:durableId="509027559">
    <w:abstractNumId w:val="24"/>
  </w:num>
  <w:num w:numId="15" w16cid:durableId="1455560715">
    <w:abstractNumId w:val="9"/>
  </w:num>
  <w:num w:numId="16" w16cid:durableId="1577208495">
    <w:abstractNumId w:val="8"/>
  </w:num>
  <w:num w:numId="17" w16cid:durableId="1665544702">
    <w:abstractNumId w:val="13"/>
  </w:num>
  <w:num w:numId="18" w16cid:durableId="1014577622">
    <w:abstractNumId w:val="7"/>
  </w:num>
  <w:num w:numId="19" w16cid:durableId="665548928">
    <w:abstractNumId w:val="6"/>
  </w:num>
  <w:num w:numId="20" w16cid:durableId="381439538">
    <w:abstractNumId w:val="5"/>
  </w:num>
  <w:num w:numId="21" w16cid:durableId="65228983">
    <w:abstractNumId w:val="14"/>
  </w:num>
  <w:num w:numId="22" w16cid:durableId="378819996">
    <w:abstractNumId w:val="2"/>
  </w:num>
  <w:num w:numId="23" w16cid:durableId="236984498">
    <w:abstractNumId w:val="4"/>
  </w:num>
  <w:num w:numId="24" w16cid:durableId="419254061">
    <w:abstractNumId w:val="22"/>
  </w:num>
  <w:num w:numId="25" w16cid:durableId="1296906833">
    <w:abstractNumId w:val="25"/>
  </w:num>
  <w:num w:numId="26" w16cid:durableId="404954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2E7"/>
    <w:rsid w:val="00080A09"/>
    <w:rsid w:val="000B0E70"/>
    <w:rsid w:val="000B78E9"/>
    <w:rsid w:val="000C05B9"/>
    <w:rsid w:val="000C38BE"/>
    <w:rsid w:val="00105F45"/>
    <w:rsid w:val="00127B46"/>
    <w:rsid w:val="0019309D"/>
    <w:rsid w:val="001F526C"/>
    <w:rsid w:val="00200261"/>
    <w:rsid w:val="00203BC2"/>
    <w:rsid w:val="00204B56"/>
    <w:rsid w:val="00211832"/>
    <w:rsid w:val="00222D1B"/>
    <w:rsid w:val="00235D71"/>
    <w:rsid w:val="0024335E"/>
    <w:rsid w:val="00254DCF"/>
    <w:rsid w:val="002567F9"/>
    <w:rsid w:val="0027743E"/>
    <w:rsid w:val="00294E92"/>
    <w:rsid w:val="002D7713"/>
    <w:rsid w:val="00311604"/>
    <w:rsid w:val="003132E7"/>
    <w:rsid w:val="00320FB6"/>
    <w:rsid w:val="00331D7E"/>
    <w:rsid w:val="00337EF1"/>
    <w:rsid w:val="00340D9B"/>
    <w:rsid w:val="00394A8A"/>
    <w:rsid w:val="003C0540"/>
    <w:rsid w:val="00412EFC"/>
    <w:rsid w:val="00420AE9"/>
    <w:rsid w:val="00426C1E"/>
    <w:rsid w:val="00480AFF"/>
    <w:rsid w:val="00486235"/>
    <w:rsid w:val="00490797"/>
    <w:rsid w:val="004C74D6"/>
    <w:rsid w:val="004F4F5D"/>
    <w:rsid w:val="00502FF3"/>
    <w:rsid w:val="00510F0C"/>
    <w:rsid w:val="00520B36"/>
    <w:rsid w:val="00571698"/>
    <w:rsid w:val="00576EDB"/>
    <w:rsid w:val="00576FC5"/>
    <w:rsid w:val="00594B6B"/>
    <w:rsid w:val="00596BBA"/>
    <w:rsid w:val="00597690"/>
    <w:rsid w:val="005A5115"/>
    <w:rsid w:val="005C3A95"/>
    <w:rsid w:val="005C7428"/>
    <w:rsid w:val="005D5C81"/>
    <w:rsid w:val="00633DE3"/>
    <w:rsid w:val="00642741"/>
    <w:rsid w:val="006537D1"/>
    <w:rsid w:val="0065530D"/>
    <w:rsid w:val="006A13FA"/>
    <w:rsid w:val="006E563D"/>
    <w:rsid w:val="006F2DF8"/>
    <w:rsid w:val="00707E10"/>
    <w:rsid w:val="00722FDB"/>
    <w:rsid w:val="0077261C"/>
    <w:rsid w:val="00806D54"/>
    <w:rsid w:val="0085688C"/>
    <w:rsid w:val="008635C4"/>
    <w:rsid w:val="008928E1"/>
    <w:rsid w:val="008A06EF"/>
    <w:rsid w:val="008A5DE0"/>
    <w:rsid w:val="008D1294"/>
    <w:rsid w:val="008E3029"/>
    <w:rsid w:val="00904BF2"/>
    <w:rsid w:val="00947E43"/>
    <w:rsid w:val="0098628F"/>
    <w:rsid w:val="00994F2B"/>
    <w:rsid w:val="00996894"/>
    <w:rsid w:val="009A6246"/>
    <w:rsid w:val="009F2544"/>
    <w:rsid w:val="00A45E82"/>
    <w:rsid w:val="00A50A0F"/>
    <w:rsid w:val="00A76F7E"/>
    <w:rsid w:val="00A77157"/>
    <w:rsid w:val="00B0571E"/>
    <w:rsid w:val="00B06916"/>
    <w:rsid w:val="00B21DE9"/>
    <w:rsid w:val="00B47507"/>
    <w:rsid w:val="00B52F4E"/>
    <w:rsid w:val="00B55E9F"/>
    <w:rsid w:val="00B933B0"/>
    <w:rsid w:val="00BB50B1"/>
    <w:rsid w:val="00BD7755"/>
    <w:rsid w:val="00BE5F5C"/>
    <w:rsid w:val="00C33684"/>
    <w:rsid w:val="00C629AD"/>
    <w:rsid w:val="00C62D17"/>
    <w:rsid w:val="00C808F4"/>
    <w:rsid w:val="00C97147"/>
    <w:rsid w:val="00CA15B1"/>
    <w:rsid w:val="00CC21ED"/>
    <w:rsid w:val="00CC24D5"/>
    <w:rsid w:val="00CC2835"/>
    <w:rsid w:val="00CE7CD0"/>
    <w:rsid w:val="00CF02A3"/>
    <w:rsid w:val="00D21AA6"/>
    <w:rsid w:val="00D3653B"/>
    <w:rsid w:val="00D462F7"/>
    <w:rsid w:val="00D734A2"/>
    <w:rsid w:val="00DA2B37"/>
    <w:rsid w:val="00E5409A"/>
    <w:rsid w:val="00E5413A"/>
    <w:rsid w:val="00E65D41"/>
    <w:rsid w:val="00E77560"/>
    <w:rsid w:val="00E95FFB"/>
    <w:rsid w:val="00EA6C04"/>
    <w:rsid w:val="00F25499"/>
    <w:rsid w:val="00F333F2"/>
    <w:rsid w:val="00F5018A"/>
    <w:rsid w:val="00F86C35"/>
    <w:rsid w:val="00F97482"/>
    <w:rsid w:val="00FA2CC8"/>
    <w:rsid w:val="00FB569C"/>
    <w:rsid w:val="00FF07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97F3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D54"/>
    <w:rPr>
      <w:sz w:val="20"/>
      <w:szCs w:val="20"/>
    </w:rPr>
  </w:style>
  <w:style w:type="character" w:styleId="FootnoteReference">
    <w:name w:val="footnote reference"/>
    <w:basedOn w:val="DefaultParagraphFont"/>
    <w:uiPriority w:val="99"/>
    <w:semiHidden/>
    <w:unhideWhenUsed/>
    <w:rsid w:val="00806D54"/>
    <w:rPr>
      <w:vertAlign w:val="superscript"/>
    </w:rPr>
  </w:style>
  <w:style w:type="character" w:styleId="UnresolvedMention">
    <w:name w:val="Unresolved Mention"/>
    <w:basedOn w:val="DefaultParagraphFont"/>
    <w:uiPriority w:val="99"/>
    <w:semiHidden/>
    <w:unhideWhenUsed/>
    <w:rsid w:val="00A45E82"/>
    <w:rPr>
      <w:color w:val="605E5C"/>
      <w:shd w:val="clear" w:color="auto" w:fill="E1DFDD"/>
    </w:rPr>
  </w:style>
  <w:style w:type="paragraph" w:styleId="Revision">
    <w:name w:val="Revision"/>
    <w:hidden/>
    <w:uiPriority w:val="99"/>
    <w:semiHidden/>
    <w:rsid w:val="00F5018A"/>
    <w:pPr>
      <w:spacing w:after="0" w:line="240" w:lineRule="auto"/>
    </w:pPr>
  </w:style>
  <w:style w:type="character" w:styleId="CommentReference">
    <w:name w:val="annotation reference"/>
    <w:basedOn w:val="DefaultParagraphFont"/>
    <w:uiPriority w:val="99"/>
    <w:semiHidden/>
    <w:unhideWhenUsed/>
    <w:rsid w:val="00F5018A"/>
    <w:rPr>
      <w:sz w:val="16"/>
      <w:szCs w:val="16"/>
    </w:rPr>
  </w:style>
  <w:style w:type="paragraph" w:styleId="CommentText">
    <w:name w:val="annotation text"/>
    <w:basedOn w:val="Normal"/>
    <w:link w:val="CommentTextChar"/>
    <w:uiPriority w:val="99"/>
    <w:unhideWhenUsed/>
    <w:rsid w:val="00F5018A"/>
    <w:pPr>
      <w:spacing w:line="240" w:lineRule="auto"/>
    </w:pPr>
    <w:rPr>
      <w:sz w:val="20"/>
      <w:szCs w:val="20"/>
    </w:rPr>
  </w:style>
  <w:style w:type="character" w:customStyle="1" w:styleId="CommentTextChar">
    <w:name w:val="Comment Text Char"/>
    <w:basedOn w:val="DefaultParagraphFont"/>
    <w:link w:val="CommentText"/>
    <w:uiPriority w:val="99"/>
    <w:rsid w:val="00F5018A"/>
    <w:rPr>
      <w:sz w:val="20"/>
      <w:szCs w:val="20"/>
    </w:rPr>
  </w:style>
  <w:style w:type="paragraph" w:styleId="CommentSubject">
    <w:name w:val="annotation subject"/>
    <w:basedOn w:val="CommentText"/>
    <w:next w:val="CommentText"/>
    <w:link w:val="CommentSubjectChar"/>
    <w:uiPriority w:val="99"/>
    <w:semiHidden/>
    <w:unhideWhenUsed/>
    <w:rsid w:val="00F5018A"/>
    <w:rPr>
      <w:b/>
      <w:bCs/>
    </w:rPr>
  </w:style>
  <w:style w:type="character" w:customStyle="1" w:styleId="CommentSubjectChar">
    <w:name w:val="Comment Subject Char"/>
    <w:basedOn w:val="CommentTextChar"/>
    <w:link w:val="CommentSubject"/>
    <w:uiPriority w:val="99"/>
    <w:semiHidden/>
    <w:rsid w:val="00F50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psc.gov/Business--Manufacturing/Small-Business-Resources" TargetMode="External" /><Relationship Id="rId6" Type="http://schemas.openxmlformats.org/officeDocument/2006/relationships/hyperlink" Target="https://www.cpsc.gov/Regulations-Laws--Standards/Voluntary-Standards/Topics/Table-Saw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DABA-781C-47E2-88BA-53B6ACD5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5</cp:revision>
  <cp:lastPrinted>2016-09-20T19:55:00Z</cp:lastPrinted>
  <dcterms:created xsi:type="dcterms:W3CDTF">2023-11-02T15:06:00Z</dcterms:created>
  <dcterms:modified xsi:type="dcterms:W3CDTF">2023-11-03T15:01:00Z</dcterms:modified>
</cp:coreProperties>
</file>