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9AF" w:rsidRPr="00672FF2" w:rsidP="00672FF2" w14:paraId="3DD7E962" w14:textId="77777777">
      <w:pPr>
        <w:pStyle w:val="Heading1"/>
        <w:jc w:val="center"/>
        <w:rPr>
          <w:color w:val="auto"/>
          <w:sz w:val="24"/>
        </w:rPr>
      </w:pPr>
      <w:r w:rsidRPr="00672FF2">
        <w:rPr>
          <w:color w:val="auto"/>
          <w:sz w:val="24"/>
        </w:rPr>
        <w:t>INFORMATION COLLECTION</w:t>
      </w:r>
    </w:p>
    <w:p w:rsidR="00D829AF" w:rsidRPr="00672FF2" w:rsidP="00672FF2" w14:paraId="3DD7E963" w14:textId="3339E150">
      <w:pPr>
        <w:jc w:val="center"/>
        <w:rPr>
          <w:rFonts w:asciiTheme="majorHAnsi" w:hAnsiTheme="majorHAnsi"/>
          <w:b/>
        </w:rPr>
      </w:pPr>
      <w:r w:rsidRPr="00672FF2">
        <w:rPr>
          <w:rFonts w:asciiTheme="majorHAnsi" w:hAnsiTheme="majorHAnsi"/>
          <w:b/>
        </w:rPr>
        <w:t xml:space="preserve">SUPPORTING </w:t>
      </w:r>
      <w:r w:rsidRPr="00672FF2">
        <w:rPr>
          <w:rFonts w:asciiTheme="majorHAnsi" w:hAnsiTheme="majorHAnsi"/>
          <w:b/>
        </w:rPr>
        <w:t>STATEMENT</w:t>
      </w:r>
      <w:r w:rsidR="00546D63">
        <w:rPr>
          <w:rFonts w:asciiTheme="majorHAnsi" w:hAnsiTheme="majorHAnsi"/>
          <w:b/>
        </w:rPr>
        <w:t xml:space="preserve"> A</w:t>
      </w:r>
    </w:p>
    <w:p w:rsidR="00326C4D" w:rsidP="00D829AF" w14:paraId="2ADE4BA7" w14:textId="77777777">
      <w:pPr>
        <w:jc w:val="center"/>
        <w:rPr>
          <w:b/>
          <w:bCs/>
        </w:rPr>
      </w:pPr>
    </w:p>
    <w:p w:rsidR="00B913B6" w:rsidRPr="00672FF2" w:rsidP="00672FF2" w14:paraId="312F7815" w14:textId="2220CE55">
      <w:pPr>
        <w:jc w:val="center"/>
        <w:rPr>
          <w:b/>
        </w:rPr>
      </w:pPr>
      <w:r w:rsidRPr="00672FF2">
        <w:rPr>
          <w:b/>
        </w:rPr>
        <w:t xml:space="preserve">Investigation </w:t>
      </w:r>
      <w:r w:rsidR="00546D63">
        <w:rPr>
          <w:b/>
        </w:rPr>
        <w:t>of Smart Toys and Additional Toys Through</w:t>
      </w:r>
      <w:r w:rsidRPr="00672FF2">
        <w:rPr>
          <w:b/>
        </w:rPr>
        <w:t xml:space="preserve"> Child Observations</w:t>
      </w:r>
    </w:p>
    <w:p w:rsidR="002D59A3" w:rsidP="00B913B6" w14:paraId="7EE37250" w14:textId="77777777">
      <w:pPr>
        <w:rPr>
          <w:rFonts w:ascii="Garamond" w:hAnsi="Garamond"/>
        </w:rPr>
      </w:pPr>
    </w:p>
    <w:p w:rsidR="008742D2" w:rsidRPr="00FC780A" w:rsidP="00397CD8" w14:paraId="7110125B" w14:textId="7F7AE7E3">
      <w:pPr>
        <w:pStyle w:val="L1-FlLSp12"/>
        <w:rPr>
          <w:rFonts w:ascii="Times New Roman" w:hAnsi="Times New Roman"/>
          <w:i/>
          <w:szCs w:val="24"/>
        </w:rPr>
      </w:pPr>
      <w:r w:rsidRPr="000D0FF4">
        <w:rPr>
          <w:rFonts w:ascii="Times New Roman" w:hAnsi="Times New Roman"/>
          <w:szCs w:val="24"/>
        </w:rPr>
        <w:t xml:space="preserve">The Consumer Product Safety Commission (CPSC) requests approval </w:t>
      </w:r>
      <w:r w:rsidR="0002663F">
        <w:rPr>
          <w:rFonts w:ascii="Times New Roman" w:hAnsi="Times New Roman"/>
          <w:szCs w:val="24"/>
        </w:rPr>
        <w:t>from</w:t>
      </w:r>
      <w:r w:rsidRPr="000D0FF4" w:rsidR="0002663F">
        <w:rPr>
          <w:rFonts w:ascii="Times New Roman" w:hAnsi="Times New Roman"/>
          <w:szCs w:val="24"/>
        </w:rPr>
        <w:t xml:space="preserve"> </w:t>
      </w:r>
      <w:r w:rsidRPr="000D0FF4">
        <w:rPr>
          <w:rFonts w:ascii="Times New Roman" w:hAnsi="Times New Roman"/>
          <w:szCs w:val="24"/>
        </w:rPr>
        <w:t xml:space="preserve">the Office of Management and Budget (OMB) </w:t>
      </w:r>
      <w:r w:rsidR="0002663F">
        <w:rPr>
          <w:rFonts w:ascii="Times New Roman" w:hAnsi="Times New Roman"/>
          <w:szCs w:val="24"/>
        </w:rPr>
        <w:t xml:space="preserve">to conduct </w:t>
      </w:r>
      <w:r w:rsidR="00773976">
        <w:rPr>
          <w:rFonts w:ascii="Times New Roman" w:hAnsi="Times New Roman"/>
          <w:szCs w:val="24"/>
        </w:rPr>
        <w:t>a 1</w:t>
      </w:r>
      <w:r w:rsidR="00A11BE8">
        <w:rPr>
          <w:rFonts w:ascii="Times New Roman" w:hAnsi="Times New Roman"/>
          <w:szCs w:val="24"/>
        </w:rPr>
        <w:t>-</w:t>
      </w:r>
      <w:r w:rsidRPr="000D0FF4">
        <w:rPr>
          <w:rFonts w:ascii="Times New Roman" w:hAnsi="Times New Roman"/>
          <w:szCs w:val="24"/>
        </w:rPr>
        <w:t>year new data collection</w:t>
      </w:r>
      <w:r w:rsidR="002D59A3">
        <w:rPr>
          <w:rFonts w:ascii="Times New Roman" w:hAnsi="Times New Roman"/>
          <w:szCs w:val="24"/>
        </w:rPr>
        <w:t xml:space="preserve"> effort</w:t>
      </w:r>
      <w:r w:rsidRPr="000D0FF4">
        <w:rPr>
          <w:rFonts w:ascii="Times New Roman" w:hAnsi="Times New Roman"/>
          <w:szCs w:val="24"/>
        </w:rPr>
        <w:t xml:space="preserve">. </w:t>
      </w:r>
      <w:r w:rsidRPr="000D0FF4" w:rsidR="00B913B6">
        <w:rPr>
          <w:rFonts w:ascii="Times New Roman" w:hAnsi="Times New Roman"/>
          <w:szCs w:val="24"/>
        </w:rPr>
        <w:t xml:space="preserve">The general objective of this project is to provide the CPSC with information </w:t>
      </w:r>
      <w:r w:rsidR="006B5050">
        <w:rPr>
          <w:rFonts w:ascii="Times New Roman" w:hAnsi="Times New Roman"/>
          <w:szCs w:val="24"/>
        </w:rPr>
        <w:t>that</w:t>
      </w:r>
      <w:r w:rsidRPr="000D0FF4" w:rsidR="006B5050">
        <w:rPr>
          <w:rFonts w:ascii="Times New Roman" w:hAnsi="Times New Roman"/>
          <w:szCs w:val="24"/>
        </w:rPr>
        <w:t xml:space="preserve"> </w:t>
      </w:r>
      <w:r w:rsidRPr="000D0FF4" w:rsidR="00B913B6">
        <w:rPr>
          <w:rFonts w:ascii="Times New Roman" w:hAnsi="Times New Roman"/>
          <w:szCs w:val="24"/>
        </w:rPr>
        <w:t>can</w:t>
      </w:r>
      <w:r w:rsidR="006B5050">
        <w:rPr>
          <w:rFonts w:ascii="Times New Roman" w:hAnsi="Times New Roman"/>
          <w:szCs w:val="24"/>
        </w:rPr>
        <w:t xml:space="preserve"> be</w:t>
      </w:r>
      <w:r w:rsidRPr="000D0FF4" w:rsidR="00B913B6">
        <w:rPr>
          <w:rFonts w:ascii="Times New Roman" w:hAnsi="Times New Roman"/>
          <w:szCs w:val="24"/>
        </w:rPr>
        <w:t xml:space="preserve"> use</w:t>
      </w:r>
      <w:r w:rsidR="006B5050">
        <w:rPr>
          <w:rFonts w:ascii="Times New Roman" w:hAnsi="Times New Roman"/>
          <w:szCs w:val="24"/>
        </w:rPr>
        <w:t>d</w:t>
      </w:r>
      <w:r w:rsidRPr="000D0FF4" w:rsidR="00B913B6">
        <w:rPr>
          <w:rFonts w:ascii="Times New Roman" w:hAnsi="Times New Roman"/>
          <w:szCs w:val="24"/>
        </w:rPr>
        <w:t xml:space="preserve"> to help determine </w:t>
      </w:r>
      <w:r w:rsidRPr="000D0FF4" w:rsidR="00A05A72">
        <w:rPr>
          <w:rFonts w:ascii="Times New Roman" w:hAnsi="Times New Roman"/>
          <w:szCs w:val="24"/>
        </w:rPr>
        <w:t>the intended</w:t>
      </w:r>
      <w:r w:rsidRPr="000D0FF4" w:rsidR="00FA13D8">
        <w:rPr>
          <w:rFonts w:ascii="Times New Roman" w:hAnsi="Times New Roman"/>
          <w:szCs w:val="24"/>
        </w:rPr>
        <w:t xml:space="preserve"> </w:t>
      </w:r>
      <w:r w:rsidRPr="000D0FF4" w:rsidR="00B913B6">
        <w:rPr>
          <w:rFonts w:ascii="Times New Roman" w:hAnsi="Times New Roman"/>
          <w:szCs w:val="24"/>
        </w:rPr>
        <w:t xml:space="preserve">ages for selected toys. </w:t>
      </w:r>
      <w:r w:rsidRPr="000D0FF4">
        <w:rPr>
          <w:rFonts w:ascii="Times New Roman" w:hAnsi="Times New Roman"/>
          <w:szCs w:val="24"/>
        </w:rPr>
        <w:t xml:space="preserve">Findings from this data collection will inform CPSC’s </w:t>
      </w:r>
      <w:r w:rsidRPr="000D0FF4">
        <w:rPr>
          <w:rFonts w:ascii="Times New Roman" w:hAnsi="Times New Roman"/>
          <w:i/>
          <w:szCs w:val="24"/>
        </w:rPr>
        <w:t>Age Determination Guidelines: Relating Consumer Product Characteristics to the Skills, Play Behaviors, and Interests of Children (“Guidelines”)</w:t>
      </w:r>
      <w:r w:rsidR="00773976">
        <w:rPr>
          <w:rFonts w:ascii="Times New Roman" w:hAnsi="Times New Roman"/>
          <w:i/>
          <w:szCs w:val="24"/>
        </w:rPr>
        <w:t>.</w:t>
      </w:r>
      <w:r w:rsidRPr="0002663F" w:rsidR="0002663F">
        <w:t xml:space="preserve"> </w:t>
      </w:r>
      <w:r w:rsidRPr="00FC780A" w:rsidR="00B25AA6">
        <w:rPr>
          <w:rFonts w:ascii="Times New Roman" w:hAnsi="Times New Roman"/>
        </w:rPr>
        <w:t xml:space="preserve">The </w:t>
      </w:r>
      <w:r w:rsidRPr="00FC780A" w:rsidR="00B25AA6">
        <w:rPr>
          <w:rFonts w:ascii="Times New Roman" w:hAnsi="Times New Roman"/>
          <w:i/>
        </w:rPr>
        <w:t>Guidelines</w:t>
      </w:r>
      <w:r w:rsidRPr="00FC780A" w:rsidR="0002663F">
        <w:rPr>
          <w:rFonts w:ascii="Times New Roman" w:hAnsi="Times New Roman"/>
        </w:rPr>
        <w:t xml:space="preserve"> present age-grading information in the form of </w:t>
      </w:r>
      <w:r w:rsidRPr="00FC780A" w:rsidR="00B25AA6">
        <w:rPr>
          <w:rFonts w:ascii="Times New Roman" w:hAnsi="Times New Roman"/>
        </w:rPr>
        <w:t>recommendations</w:t>
      </w:r>
      <w:r w:rsidRPr="00FC780A" w:rsidR="0002663F">
        <w:rPr>
          <w:rFonts w:ascii="Times New Roman" w:hAnsi="Times New Roman"/>
        </w:rPr>
        <w:t xml:space="preserve"> for</w:t>
      </w:r>
      <w:r w:rsidR="00A11BE8">
        <w:rPr>
          <w:rFonts w:ascii="Times New Roman" w:hAnsi="Times New Roman"/>
        </w:rPr>
        <w:t xml:space="preserve"> </w:t>
      </w:r>
      <w:r w:rsidRPr="00FC780A" w:rsidR="0002663F">
        <w:rPr>
          <w:rFonts w:ascii="Times New Roman" w:hAnsi="Times New Roman"/>
        </w:rPr>
        <w:t xml:space="preserve">children’s toys, </w:t>
      </w:r>
      <w:r w:rsidRPr="00FC780A" w:rsidR="00A11BE8">
        <w:rPr>
          <w:rFonts w:ascii="Times New Roman" w:hAnsi="Times New Roman"/>
        </w:rPr>
        <w:t>childcare</w:t>
      </w:r>
      <w:r w:rsidRPr="00FC780A" w:rsidR="0002663F">
        <w:rPr>
          <w:rFonts w:ascii="Times New Roman" w:hAnsi="Times New Roman"/>
        </w:rPr>
        <w:t xml:space="preserve"> articles, and children’s products.</w:t>
      </w:r>
    </w:p>
    <w:p w:rsidR="008742D2" w:rsidP="00397CD8" w14:paraId="27A7F58F" w14:textId="77777777">
      <w:pPr>
        <w:pStyle w:val="L1-FlLSp12"/>
        <w:rPr>
          <w:rFonts w:ascii="Times New Roman" w:hAnsi="Times New Roman"/>
          <w:i/>
          <w:szCs w:val="24"/>
        </w:rPr>
      </w:pPr>
    </w:p>
    <w:p w:rsidR="00397CD8" w:rsidRPr="000D0FF4" w:rsidP="00397CD8" w14:paraId="4D5D2730" w14:textId="44F092FE">
      <w:pPr>
        <w:pStyle w:val="L1-FlLSp12"/>
        <w:rPr>
          <w:rFonts w:ascii="Times New Roman" w:hAnsi="Times New Roman"/>
        </w:rPr>
      </w:pPr>
      <w:r w:rsidRPr="000D0FF4">
        <w:rPr>
          <w:rFonts w:ascii="Times New Roman" w:hAnsi="Times New Roman"/>
          <w:szCs w:val="24"/>
        </w:rPr>
        <w:t xml:space="preserve">In 2020, CPSC staff released an update to the </w:t>
      </w:r>
      <w:r w:rsidRPr="000D0FF4">
        <w:rPr>
          <w:rFonts w:ascii="Times New Roman" w:hAnsi="Times New Roman"/>
          <w:i/>
          <w:szCs w:val="24"/>
        </w:rPr>
        <w:t xml:space="preserve">Guidelines. </w:t>
      </w:r>
      <w:r w:rsidRPr="000D0FF4" w:rsidR="003F7198">
        <w:rPr>
          <w:rFonts w:ascii="Times New Roman" w:hAnsi="Times New Roman"/>
          <w:szCs w:val="24"/>
        </w:rPr>
        <w:t>Th</w:t>
      </w:r>
      <w:r w:rsidR="00001987">
        <w:rPr>
          <w:rFonts w:ascii="Times New Roman" w:hAnsi="Times New Roman"/>
          <w:szCs w:val="24"/>
        </w:rPr>
        <w:t>e</w:t>
      </w:r>
      <w:r w:rsidRPr="000D0FF4" w:rsidR="003F7198">
        <w:rPr>
          <w:rFonts w:ascii="Times New Roman" w:hAnsi="Times New Roman"/>
          <w:szCs w:val="24"/>
        </w:rPr>
        <w:t xml:space="preserve"> revised </w:t>
      </w:r>
      <w:r w:rsidRPr="000D0FF4" w:rsidR="003F7198">
        <w:rPr>
          <w:rFonts w:ascii="Times New Roman" w:hAnsi="Times New Roman"/>
          <w:i/>
          <w:szCs w:val="24"/>
        </w:rPr>
        <w:t>Guidelines</w:t>
      </w:r>
      <w:r w:rsidRPr="000D0FF4" w:rsidR="003F7198">
        <w:rPr>
          <w:rFonts w:ascii="Times New Roman" w:hAnsi="Times New Roman"/>
          <w:szCs w:val="24"/>
        </w:rPr>
        <w:t xml:space="preserve"> </w:t>
      </w:r>
      <w:r w:rsidRPr="000D0FF4" w:rsidR="000C64D2">
        <w:rPr>
          <w:rFonts w:ascii="Times New Roman" w:hAnsi="Times New Roman"/>
          <w:szCs w:val="24"/>
        </w:rPr>
        <w:t>ha</w:t>
      </w:r>
      <w:r w:rsidR="00FC780A">
        <w:rPr>
          <w:rFonts w:ascii="Times New Roman" w:hAnsi="Times New Roman"/>
          <w:szCs w:val="24"/>
        </w:rPr>
        <w:t>ve</w:t>
      </w:r>
      <w:r w:rsidRPr="000D0FF4" w:rsidR="000C64D2">
        <w:rPr>
          <w:rFonts w:ascii="Times New Roman" w:hAnsi="Times New Roman"/>
          <w:szCs w:val="24"/>
        </w:rPr>
        <w:t xml:space="preserve"> been </w:t>
      </w:r>
      <w:r w:rsidRPr="000D0FF4" w:rsidR="003F7198">
        <w:rPr>
          <w:rFonts w:ascii="Times New Roman" w:hAnsi="Times New Roman"/>
          <w:szCs w:val="24"/>
        </w:rPr>
        <w:t xml:space="preserve">extensively </w:t>
      </w:r>
      <w:r w:rsidRPr="000D0FF4">
        <w:rPr>
          <w:rFonts w:ascii="Times New Roman" w:hAnsi="Times New Roman"/>
          <w:szCs w:val="24"/>
        </w:rPr>
        <w:t>updated based on research</w:t>
      </w:r>
      <w:r w:rsidRPr="000D0FF4" w:rsidR="004D632F">
        <w:rPr>
          <w:rFonts w:ascii="Times New Roman" w:hAnsi="Times New Roman"/>
          <w:szCs w:val="24"/>
        </w:rPr>
        <w:t xml:space="preserve"> from the National Institute of Child Health and Human Development (NICHD)</w:t>
      </w:r>
      <w:r w:rsidRPr="000D0FF4">
        <w:rPr>
          <w:rFonts w:ascii="Times New Roman" w:hAnsi="Times New Roman"/>
          <w:szCs w:val="24"/>
        </w:rPr>
        <w:t xml:space="preserve"> with novel and classic toys and </w:t>
      </w:r>
      <w:r w:rsidRPr="000D0FF4">
        <w:rPr>
          <w:rFonts w:ascii="Times New Roman" w:hAnsi="Times New Roman"/>
          <w:szCs w:val="24"/>
        </w:rPr>
        <w:t>children’s</w:t>
      </w:r>
      <w:r w:rsidRPr="000D0FF4">
        <w:rPr>
          <w:rFonts w:ascii="Times New Roman" w:hAnsi="Times New Roman"/>
          <w:szCs w:val="24"/>
        </w:rPr>
        <w:t xml:space="preserve"> observed play patterns at different ages. During the review process, several stakeholders identified categories of toys that </w:t>
      </w:r>
      <w:r w:rsidR="008742D2">
        <w:rPr>
          <w:rFonts w:ascii="Times New Roman" w:hAnsi="Times New Roman"/>
          <w:szCs w:val="24"/>
        </w:rPr>
        <w:t xml:space="preserve">are not addressed in the </w:t>
      </w:r>
      <w:r w:rsidRPr="000D0FF4">
        <w:rPr>
          <w:rFonts w:ascii="Times New Roman" w:hAnsi="Times New Roman"/>
          <w:i/>
          <w:szCs w:val="24"/>
        </w:rPr>
        <w:t>Guidelines</w:t>
      </w:r>
      <w:r w:rsidRPr="000D0FF4">
        <w:rPr>
          <w:rFonts w:ascii="Times New Roman" w:hAnsi="Times New Roman"/>
          <w:szCs w:val="24"/>
        </w:rPr>
        <w:t>, or need updat</w:t>
      </w:r>
      <w:r w:rsidR="008742D2">
        <w:rPr>
          <w:rFonts w:ascii="Times New Roman" w:hAnsi="Times New Roman"/>
          <w:szCs w:val="24"/>
        </w:rPr>
        <w:t>es</w:t>
      </w:r>
      <w:r w:rsidR="006B5050">
        <w:rPr>
          <w:rFonts w:ascii="Times New Roman" w:hAnsi="Times New Roman"/>
          <w:szCs w:val="24"/>
        </w:rPr>
        <w:t xml:space="preserve"> </w:t>
      </w:r>
      <w:r w:rsidRPr="000D0FF4">
        <w:rPr>
          <w:rFonts w:ascii="Times New Roman" w:hAnsi="Times New Roman"/>
          <w:szCs w:val="24"/>
        </w:rPr>
        <w:t xml:space="preserve">based on </w:t>
      </w:r>
      <w:r w:rsidR="006B5050">
        <w:rPr>
          <w:rFonts w:ascii="Times New Roman" w:hAnsi="Times New Roman"/>
          <w:szCs w:val="24"/>
        </w:rPr>
        <w:t xml:space="preserve">additional </w:t>
      </w:r>
      <w:r w:rsidRPr="000D0FF4">
        <w:rPr>
          <w:rFonts w:ascii="Times New Roman" w:hAnsi="Times New Roman"/>
          <w:szCs w:val="24"/>
        </w:rPr>
        <w:t xml:space="preserve">research. This research endeavor </w:t>
      </w:r>
      <w:r w:rsidR="006B5050">
        <w:rPr>
          <w:rFonts w:ascii="Times New Roman" w:hAnsi="Times New Roman"/>
          <w:szCs w:val="24"/>
        </w:rPr>
        <w:t>will</w:t>
      </w:r>
      <w:r w:rsidRPr="000D0FF4">
        <w:rPr>
          <w:rFonts w:ascii="Times New Roman" w:hAnsi="Times New Roman"/>
          <w:szCs w:val="24"/>
        </w:rPr>
        <w:t xml:space="preserve"> </w:t>
      </w:r>
      <w:r w:rsidR="00773976">
        <w:rPr>
          <w:rFonts w:ascii="Times New Roman" w:hAnsi="Times New Roman"/>
          <w:szCs w:val="24"/>
        </w:rPr>
        <w:t xml:space="preserve">begin to fill in the gaps identified during the review by </w:t>
      </w:r>
      <w:r w:rsidRPr="000D0FF4">
        <w:rPr>
          <w:rFonts w:ascii="Times New Roman" w:hAnsi="Times New Roman"/>
          <w:szCs w:val="24"/>
        </w:rPr>
        <w:t>gather</w:t>
      </w:r>
      <w:r w:rsidR="00773976">
        <w:rPr>
          <w:rFonts w:ascii="Times New Roman" w:hAnsi="Times New Roman"/>
          <w:szCs w:val="24"/>
        </w:rPr>
        <w:t>ing</w:t>
      </w:r>
      <w:r w:rsidRPr="000D0FF4">
        <w:rPr>
          <w:rFonts w:ascii="Times New Roman" w:hAnsi="Times New Roman"/>
          <w:szCs w:val="24"/>
        </w:rPr>
        <w:t xml:space="preserve"> information on </w:t>
      </w:r>
      <w:r w:rsidRPr="000D0FF4">
        <w:rPr>
          <w:rFonts w:ascii="Times New Roman" w:hAnsi="Times New Roman"/>
        </w:rPr>
        <w:t>the physical characteristics of the selected toys</w:t>
      </w:r>
      <w:r w:rsidR="006B5050">
        <w:rPr>
          <w:rFonts w:ascii="Times New Roman" w:hAnsi="Times New Roman"/>
        </w:rPr>
        <w:t xml:space="preserve"> </w:t>
      </w:r>
      <w:r w:rsidRPr="000D0FF4">
        <w:rPr>
          <w:rFonts w:ascii="Times New Roman" w:hAnsi="Times New Roman"/>
        </w:rPr>
        <w:t>(e.g., size and weight of the toy and its components</w:t>
      </w:r>
      <w:r w:rsidRPr="000D0FF4" w:rsidR="00A11BE8">
        <w:rPr>
          <w:rFonts w:ascii="Times New Roman" w:hAnsi="Times New Roman"/>
        </w:rPr>
        <w:t>) and</w:t>
      </w:r>
      <w:r w:rsidRPr="000D0FF4">
        <w:rPr>
          <w:rFonts w:ascii="Times New Roman" w:hAnsi="Times New Roman"/>
        </w:rPr>
        <w:t xml:space="preserve"> </w:t>
      </w:r>
      <w:r w:rsidR="008742D2">
        <w:rPr>
          <w:rFonts w:ascii="Times New Roman" w:hAnsi="Times New Roman"/>
        </w:rPr>
        <w:t>examine whether the various characteristics of these toys are matched to the skills, play behaviors, and interests of children in a particular age group</w:t>
      </w:r>
      <w:r w:rsidRPr="000D0FF4">
        <w:rPr>
          <w:rFonts w:ascii="Times New Roman" w:hAnsi="Times New Roman"/>
        </w:rPr>
        <w:t xml:space="preserve">. </w:t>
      </w:r>
    </w:p>
    <w:p w:rsidR="008E52A7" w:rsidRPr="000D0FF4" w:rsidP="00B913B6" w14:paraId="56D23D6B" w14:textId="77777777"/>
    <w:p w:rsidR="00D725AD" w:rsidRPr="000D0FF4" w:rsidP="004A04FB" w14:paraId="69A3D178" w14:textId="6FAFB5D3">
      <w:r w:rsidRPr="000D0FF4">
        <w:t xml:space="preserve">In-person </w:t>
      </w:r>
      <w:r>
        <w:t xml:space="preserve">data collection </w:t>
      </w:r>
      <w:r w:rsidRPr="000D0FF4">
        <w:t xml:space="preserve">sessions will </w:t>
      </w:r>
      <w:r w:rsidR="007A5DDB">
        <w:t xml:space="preserve">be scheduled for </w:t>
      </w:r>
      <w:r w:rsidRPr="000D0FF4">
        <w:t xml:space="preserve">up to 60 children aged 2-4 years old and their </w:t>
      </w:r>
      <w:r w:rsidR="000D7FB2">
        <w:t>caregiver</w:t>
      </w:r>
      <w:r w:rsidR="007A5DDB">
        <w:t>s</w:t>
      </w:r>
      <w:r w:rsidRPr="000D0FF4">
        <w:t>, for a total of 120 participants.</w:t>
      </w:r>
      <w:r>
        <w:t xml:space="preserve"> </w:t>
      </w:r>
      <w:r w:rsidR="00FA53CF">
        <w:t xml:space="preserve">Legal </w:t>
      </w:r>
      <w:r w:rsidR="000D7FB2">
        <w:t>caregiver</w:t>
      </w:r>
      <w:r>
        <w:t>s</w:t>
      </w:r>
      <w:r w:rsidRPr="000D0FF4" w:rsidR="00001987">
        <w:t xml:space="preserve"> of prospective study participants will answer a series of screening questions</w:t>
      </w:r>
      <w:r w:rsidR="00001987">
        <w:t xml:space="preserve"> to determine if they meet the criteria for enrollment in the study</w:t>
      </w:r>
      <w:r w:rsidRPr="000D0FF4" w:rsidR="00001987">
        <w:t xml:space="preserve">. </w:t>
      </w:r>
      <w:r w:rsidRPr="000D0FF4" w:rsidR="008742D2">
        <w:t xml:space="preserve">Children and </w:t>
      </w:r>
      <w:r w:rsidR="000D7FB2">
        <w:t>caregiver</w:t>
      </w:r>
      <w:r>
        <w:t>s</w:t>
      </w:r>
      <w:r w:rsidRPr="000D0FF4" w:rsidR="008742D2">
        <w:t xml:space="preserve"> who meet the screening </w:t>
      </w:r>
      <w:r w:rsidRPr="000D0FF4" w:rsidR="00A11BE8">
        <w:t>criteria</w:t>
      </w:r>
      <w:r w:rsidR="00A11BE8">
        <w:t xml:space="preserve"> and</w:t>
      </w:r>
      <w:r w:rsidRPr="000D0FF4" w:rsidR="008742D2">
        <w:t xml:space="preserve"> are willing to participate will complete </w:t>
      </w:r>
      <w:r w:rsidR="008742D2">
        <w:t xml:space="preserve">2 </w:t>
      </w:r>
      <w:r w:rsidRPr="000D0FF4" w:rsidR="008742D2">
        <w:t>in-person data collection sessions</w:t>
      </w:r>
      <w:r w:rsidR="00FA53CF">
        <w:t xml:space="preserve">, </w:t>
      </w:r>
      <w:r>
        <w:t>will be enrolled in the study</w:t>
      </w:r>
      <w:r w:rsidRPr="000D0FF4" w:rsidR="008742D2">
        <w:t xml:space="preserve">. </w:t>
      </w:r>
      <w:r w:rsidRPr="000D0FF4" w:rsidR="00B913B6">
        <w:t>Information will be gathered from children</w:t>
      </w:r>
      <w:r w:rsidR="0002663F">
        <w:t xml:space="preserve"> by documenting their </w:t>
      </w:r>
      <w:r w:rsidR="007A5DDB">
        <w:t xml:space="preserve">play patterns </w:t>
      </w:r>
      <w:r w:rsidR="0002663F">
        <w:t xml:space="preserve">with each toy and noting their </w:t>
      </w:r>
      <w:r w:rsidR="00D73466">
        <w:t xml:space="preserve">ability to </w:t>
      </w:r>
      <w:r w:rsidRPr="000D0FF4" w:rsidR="00B913B6">
        <w:t xml:space="preserve">interact with </w:t>
      </w:r>
      <w:r w:rsidR="007A5DDB">
        <w:t xml:space="preserve">selected </w:t>
      </w:r>
      <w:r w:rsidRPr="000D0FF4" w:rsidR="00B913B6">
        <w:t>toys from each of six toy categories (smart toys, take-apart vehicles, musical instruments, figurines, plush toys with electronic components, and manipulatives)</w:t>
      </w:r>
      <w:r w:rsidR="00D73466">
        <w:t xml:space="preserve"> as the manufacturer intended</w:t>
      </w:r>
      <w:r w:rsidR="0002663F">
        <w:t xml:space="preserve">. </w:t>
      </w:r>
      <w:r w:rsidR="000D7FB2">
        <w:t>Caregiver</w:t>
      </w:r>
      <w:r w:rsidR="007A5DDB">
        <w:t xml:space="preserve">s </w:t>
      </w:r>
      <w:r w:rsidR="00631844">
        <w:t xml:space="preserve">will </w:t>
      </w:r>
      <w:r w:rsidRPr="000D0FF4" w:rsidR="00B913B6">
        <w:t>respon</w:t>
      </w:r>
      <w:r w:rsidR="00631844">
        <w:t>d</w:t>
      </w:r>
      <w:r w:rsidR="00BD1BDF">
        <w:t xml:space="preserve"> </w:t>
      </w:r>
      <w:r w:rsidR="00631844">
        <w:t xml:space="preserve">to </w:t>
      </w:r>
      <w:r w:rsidRPr="000D0FF4" w:rsidR="00B913B6">
        <w:t xml:space="preserve">questions </w:t>
      </w:r>
      <w:r w:rsidR="00631844">
        <w:t xml:space="preserve">asking about </w:t>
      </w:r>
      <w:r w:rsidRPr="000D0FF4" w:rsidR="00B913B6">
        <w:t>their</w:t>
      </w:r>
      <w:r w:rsidR="00D73466">
        <w:t xml:space="preserve"> child’s ability to interact with the toys as intended,</w:t>
      </w:r>
      <w:r w:rsidRPr="000D0FF4" w:rsidR="00B913B6">
        <w:t xml:space="preserve"> potential purchasing decisions for the specific toys</w:t>
      </w:r>
      <w:r w:rsidRPr="000D0FF4" w:rsidR="0021658B">
        <w:t xml:space="preserve">, and </w:t>
      </w:r>
      <w:r w:rsidR="002F3568">
        <w:t>whether they would demonstrate how to play with the toy</w:t>
      </w:r>
      <w:r w:rsidR="00D73466">
        <w:t xml:space="preserve">s or some of </w:t>
      </w:r>
      <w:r w:rsidR="007A5DDB">
        <w:t xml:space="preserve">the </w:t>
      </w:r>
      <w:r w:rsidR="00D73466">
        <w:t>components</w:t>
      </w:r>
      <w:r w:rsidR="002F3568">
        <w:t xml:space="preserve">. </w:t>
      </w:r>
    </w:p>
    <w:p w:rsidR="00D725AD" w:rsidRPr="000D0FF4" w:rsidP="004A04FB" w14:paraId="00A436F9" w14:textId="77777777"/>
    <w:p w:rsidR="002F3568" w:rsidP="00B913B6" w14:paraId="6D2EC354" w14:textId="058C9C20">
      <w:pPr>
        <w:rPr>
          <w:iCs/>
        </w:rPr>
      </w:pPr>
      <w:r w:rsidRPr="000D0FF4">
        <w:t xml:space="preserve">The analysis will </w:t>
      </w:r>
      <w:r w:rsidRPr="000D0FF4" w:rsidR="00D725AD">
        <w:t xml:space="preserve">examine coded data from </w:t>
      </w:r>
      <w:r w:rsidR="007A5DDB">
        <w:t xml:space="preserve">the </w:t>
      </w:r>
      <w:r w:rsidRPr="000D0FF4">
        <w:t>child</w:t>
      </w:r>
      <w:r w:rsidR="007A5DDB">
        <w:t>’s</w:t>
      </w:r>
      <w:r w:rsidRPr="000D0FF4">
        <w:t xml:space="preserve"> interactions with the toys</w:t>
      </w:r>
      <w:r w:rsidR="00D73466">
        <w:t xml:space="preserve"> and </w:t>
      </w:r>
      <w:r w:rsidR="000D7FB2">
        <w:t>caregiver</w:t>
      </w:r>
      <w:r w:rsidR="007A5DDB">
        <w:t>’s</w:t>
      </w:r>
      <w:r w:rsidRPr="000D0FF4" w:rsidR="00D73466">
        <w:t xml:space="preserve"> responses to questions</w:t>
      </w:r>
      <w:r w:rsidRPr="000D0FF4">
        <w:t>.</w:t>
      </w:r>
      <w:r w:rsidR="00A334AC">
        <w:t xml:space="preserve"> </w:t>
      </w:r>
      <w:r w:rsidRPr="002E686D" w:rsidR="002E686D">
        <w:t>We will tabulate descriptive statistics on the coded metrics for each age group, toy, and caregiver responses. When possible</w:t>
      </w:r>
      <w:r w:rsidR="00B64468">
        <w:t>,</w:t>
      </w:r>
      <w:r w:rsidRPr="002E686D" w:rsidR="002E686D">
        <w:t xml:space="preserve"> comparisons will be made between children’s play with toys that are intended for their age, versus toys that are intended for children either older or younger. </w:t>
      </w:r>
      <w:r w:rsidR="00A334AC">
        <w:t xml:space="preserve">A predefined set of behaviors </w:t>
      </w:r>
      <w:r w:rsidR="008A0B2A">
        <w:t>has</w:t>
      </w:r>
      <w:r w:rsidR="00A334AC">
        <w:t xml:space="preserve"> been </w:t>
      </w:r>
      <w:r w:rsidR="007A5DDB">
        <w:t xml:space="preserve">identified </w:t>
      </w:r>
      <w:r w:rsidR="00A334AC">
        <w:t>as demonstrating a child’s ability to play with the toy as intended. Observation d</w:t>
      </w:r>
      <w:r>
        <w:t>ata</w:t>
      </w:r>
      <w:r w:rsidR="00A334AC">
        <w:t xml:space="preserve"> coded while the child is interacting with the toy will be analyzed and </w:t>
      </w:r>
      <w:r w:rsidR="00F72519">
        <w:t>summarized</w:t>
      </w:r>
      <w:r w:rsidR="006D25DE">
        <w:t>. Some examples of planned descriptive statistics include</w:t>
      </w:r>
      <w:r>
        <w:rPr>
          <w:iCs/>
        </w:rPr>
        <w:t>:</w:t>
      </w:r>
    </w:p>
    <w:p w:rsidR="008A0B2A" w:rsidRPr="002E686D" w:rsidP="00B913B6" w14:paraId="178D997B" w14:textId="77777777"/>
    <w:p w:rsidR="000E1429" w:rsidRPr="000E1429" w:rsidP="00D73466" w14:paraId="7EF81A85" w14:textId="4B94B1E8">
      <w:pPr>
        <w:pStyle w:val="ListParagraph"/>
        <w:numPr>
          <w:ilvl w:val="0"/>
          <w:numId w:val="8"/>
        </w:numPr>
      </w:pPr>
      <w:r>
        <w:rPr>
          <w:iCs/>
        </w:rPr>
        <w:t>A</w:t>
      </w:r>
      <w:r w:rsidRPr="002F3568" w:rsidR="00D725AD">
        <w:rPr>
          <w:iCs/>
        </w:rPr>
        <w:t xml:space="preserve">verage play duration for </w:t>
      </w:r>
      <w:r>
        <w:rPr>
          <w:iCs/>
        </w:rPr>
        <w:t xml:space="preserve">different </w:t>
      </w:r>
      <w:r w:rsidR="007A5DDB">
        <w:rPr>
          <w:iCs/>
        </w:rPr>
        <w:t xml:space="preserve">ages </w:t>
      </w:r>
      <w:r w:rsidR="00631844">
        <w:rPr>
          <w:iCs/>
        </w:rPr>
        <w:t>by</w:t>
      </w:r>
      <w:r w:rsidR="008C6688">
        <w:rPr>
          <w:iCs/>
        </w:rPr>
        <w:t xml:space="preserve"> each toy</w:t>
      </w:r>
      <w:r w:rsidR="006D25DE">
        <w:rPr>
          <w:iCs/>
        </w:rPr>
        <w:t>.</w:t>
      </w:r>
    </w:p>
    <w:p w:rsidR="002F3568" w:rsidP="00D73466" w14:paraId="21612991" w14:textId="20949B51">
      <w:pPr>
        <w:pStyle w:val="ListParagraph"/>
        <w:numPr>
          <w:ilvl w:val="0"/>
          <w:numId w:val="8"/>
        </w:numPr>
      </w:pPr>
      <w:r>
        <w:rPr>
          <w:iCs/>
        </w:rPr>
        <w:t>The age group(s) of children most likely to full</w:t>
      </w:r>
      <w:r w:rsidR="0028649C">
        <w:rPr>
          <w:iCs/>
        </w:rPr>
        <w:t>y</w:t>
      </w:r>
      <w:r>
        <w:rPr>
          <w:iCs/>
        </w:rPr>
        <w:t xml:space="preserve"> play with the </w:t>
      </w:r>
      <w:r w:rsidR="00A76581">
        <w:rPr>
          <w:iCs/>
        </w:rPr>
        <w:t xml:space="preserve">toy </w:t>
      </w:r>
      <w:r>
        <w:rPr>
          <w:iCs/>
        </w:rPr>
        <w:t xml:space="preserve">as </w:t>
      </w:r>
      <w:r w:rsidR="0028649C">
        <w:rPr>
          <w:iCs/>
        </w:rPr>
        <w:t xml:space="preserve">manufacturer </w:t>
      </w:r>
      <w:r>
        <w:rPr>
          <w:iCs/>
        </w:rPr>
        <w:t>intended</w:t>
      </w:r>
      <w:r w:rsidR="006D25DE">
        <w:rPr>
          <w:iCs/>
        </w:rPr>
        <w:t>.</w:t>
      </w:r>
    </w:p>
    <w:p w:rsidR="008C6688" w:rsidP="000E1429" w14:paraId="26F4467A" w14:textId="0612F985">
      <w:pPr>
        <w:pStyle w:val="ListParagraph"/>
        <w:numPr>
          <w:ilvl w:val="1"/>
          <w:numId w:val="8"/>
        </w:numPr>
      </w:pPr>
      <w:r>
        <w:t>Percentage of</w:t>
      </w:r>
      <w:r>
        <w:t xml:space="preserve"> intended behaviors observed by age</w:t>
      </w:r>
      <w:r>
        <w:t xml:space="preserve"> for each toy</w:t>
      </w:r>
      <w:r w:rsidR="006D25DE">
        <w:t>.</w:t>
      </w:r>
    </w:p>
    <w:p w:rsidR="008C6688" w:rsidP="000E1429" w14:paraId="3F6C943D" w14:textId="6066CA29">
      <w:pPr>
        <w:pStyle w:val="ListParagraph"/>
        <w:numPr>
          <w:ilvl w:val="2"/>
          <w:numId w:val="8"/>
        </w:numPr>
      </w:pPr>
      <w:r>
        <w:t>Percentage of children by age who were able to successfully execute an intended behavior</w:t>
      </w:r>
      <w:r w:rsidR="006D25DE">
        <w:t>.</w:t>
      </w:r>
      <w:r>
        <w:t xml:space="preserve"> </w:t>
      </w:r>
    </w:p>
    <w:p w:rsidR="00F72519" w:rsidP="000E1429" w14:paraId="02EBC8D6" w14:textId="49E27A08">
      <w:pPr>
        <w:pStyle w:val="ListParagraph"/>
        <w:numPr>
          <w:ilvl w:val="3"/>
          <w:numId w:val="8"/>
        </w:numPr>
      </w:pPr>
      <w:r>
        <w:t>Percentage of children who were able to successfully execute an intended behavior after the researcher demonstrated or guided the child through the tasks</w:t>
      </w:r>
      <w:r w:rsidR="006D25DE">
        <w:t>.</w:t>
      </w:r>
    </w:p>
    <w:p w:rsidR="006D25DE" w:rsidP="006D25DE" w14:paraId="7BBBAE6F" w14:textId="76F250DF">
      <w:pPr>
        <w:pStyle w:val="ListParagraph"/>
        <w:numPr>
          <w:ilvl w:val="0"/>
          <w:numId w:val="8"/>
        </w:numPr>
      </w:pPr>
      <w:r>
        <w:t>T</w:t>
      </w:r>
      <w:r w:rsidRPr="002E686D">
        <w:t xml:space="preserve">he number of children in each age group who </w:t>
      </w:r>
      <w:r>
        <w:t xml:space="preserve">were disinterested </w:t>
      </w:r>
      <w:r w:rsidR="00B64468">
        <w:t xml:space="preserve">in </w:t>
      </w:r>
      <w:r>
        <w:t>the toy.</w:t>
      </w:r>
    </w:p>
    <w:p w:rsidR="006D25DE" w:rsidP="006D25DE" w14:paraId="3CE354B1" w14:textId="77777777">
      <w:pPr>
        <w:pStyle w:val="ListParagraph"/>
        <w:numPr>
          <w:ilvl w:val="0"/>
          <w:numId w:val="8"/>
        </w:numPr>
      </w:pPr>
      <w:r>
        <w:t>T</w:t>
      </w:r>
      <w:r w:rsidRPr="002E686D" w:rsidR="002E686D">
        <w:t xml:space="preserve">he percentage of children who played with the toy </w:t>
      </w:r>
      <w:r>
        <w:t>in a potentially harmful manner.</w:t>
      </w:r>
    </w:p>
    <w:p w:rsidR="002E686D" w:rsidP="006D25DE" w14:paraId="34C32450" w14:textId="561E8A36">
      <w:pPr>
        <w:pStyle w:val="ListParagraph"/>
        <w:numPr>
          <w:ilvl w:val="0"/>
          <w:numId w:val="8"/>
        </w:numPr>
      </w:pPr>
      <w:r>
        <w:t>T</w:t>
      </w:r>
      <w:r w:rsidRPr="002E686D">
        <w:t xml:space="preserve">he percentage of children in each age </w:t>
      </w:r>
      <w:r w:rsidRPr="002E686D">
        <w:t>group that</w:t>
      </w:r>
      <w:r w:rsidRPr="002E686D">
        <w:t xml:space="preserve"> expressed frustration</w:t>
      </w:r>
      <w:r>
        <w:t xml:space="preserve">. </w:t>
      </w:r>
    </w:p>
    <w:p w:rsidR="002F3568" w:rsidP="002F3568" w14:paraId="60814D22" w14:textId="77777777">
      <w:pPr>
        <w:rPr>
          <w:iCs/>
        </w:rPr>
      </w:pPr>
    </w:p>
    <w:p w:rsidR="006B4536" w:rsidP="002F3568" w14:paraId="07308802" w14:textId="03156A33">
      <w:r w:rsidRPr="002F3568">
        <w:rPr>
          <w:iCs/>
        </w:rPr>
        <w:t xml:space="preserve">With respect to the </w:t>
      </w:r>
      <w:r w:rsidR="000D7FB2">
        <w:rPr>
          <w:iCs/>
        </w:rPr>
        <w:t>caregiver</w:t>
      </w:r>
      <w:r w:rsidRPr="002F3568" w:rsidR="0028649C">
        <w:rPr>
          <w:iCs/>
        </w:rPr>
        <w:t xml:space="preserve"> </w:t>
      </w:r>
      <w:r w:rsidRPr="002F3568">
        <w:rPr>
          <w:iCs/>
        </w:rPr>
        <w:t xml:space="preserve">questionnaire, </w:t>
      </w:r>
      <w:r w:rsidR="000E1429">
        <w:rPr>
          <w:iCs/>
        </w:rPr>
        <w:t>researchers will examine the relationship between the child’s</w:t>
      </w:r>
      <w:r w:rsidR="00845A0A">
        <w:rPr>
          <w:iCs/>
        </w:rPr>
        <w:t xml:space="preserve"> actual</w:t>
      </w:r>
      <w:r w:rsidR="000E1429">
        <w:rPr>
          <w:iCs/>
        </w:rPr>
        <w:t xml:space="preserve"> </w:t>
      </w:r>
      <w:r w:rsidR="0028649C">
        <w:rPr>
          <w:iCs/>
        </w:rPr>
        <w:t xml:space="preserve">behavior when interacting </w:t>
      </w:r>
      <w:r w:rsidR="00845A0A">
        <w:rPr>
          <w:iCs/>
        </w:rPr>
        <w:t xml:space="preserve">with the toys and their </w:t>
      </w:r>
      <w:r w:rsidR="000D7FB2">
        <w:rPr>
          <w:iCs/>
        </w:rPr>
        <w:t>caregiver</w:t>
      </w:r>
      <w:r w:rsidR="0028649C">
        <w:rPr>
          <w:iCs/>
        </w:rPr>
        <w:t>’s</w:t>
      </w:r>
      <w:r w:rsidR="00845A0A">
        <w:rPr>
          <w:iCs/>
        </w:rPr>
        <w:t xml:space="preserve"> perceptions of the child’s abilities to interact with the toy as intended</w:t>
      </w:r>
      <w:r w:rsidR="006D25DE">
        <w:rPr>
          <w:iCs/>
        </w:rPr>
        <w:t>. Specifically,</w:t>
      </w:r>
      <w:r w:rsidR="000E1429">
        <w:rPr>
          <w:iCs/>
        </w:rPr>
        <w:t xml:space="preserve"> if </w:t>
      </w:r>
      <w:r w:rsidR="000D7FB2">
        <w:rPr>
          <w:iCs/>
        </w:rPr>
        <w:t>caregiver</w:t>
      </w:r>
      <w:r w:rsidR="007509C8">
        <w:rPr>
          <w:iCs/>
        </w:rPr>
        <w:t>s</w:t>
      </w:r>
      <w:r>
        <w:t>:</w:t>
      </w:r>
    </w:p>
    <w:p w:rsidR="000E1429" w:rsidP="000E1429" w14:paraId="79A8B09E" w14:textId="035D009E">
      <w:pPr>
        <w:pStyle w:val="ListParagraph"/>
        <w:numPr>
          <w:ilvl w:val="0"/>
          <w:numId w:val="9"/>
        </w:numPr>
      </w:pPr>
      <w:r>
        <w:t xml:space="preserve">Believe </w:t>
      </w:r>
      <w:r w:rsidRPr="000D0FF4">
        <w:t xml:space="preserve">the toy was </w:t>
      </w:r>
      <w:r w:rsidR="00014956">
        <w:t xml:space="preserve">developmentally </w:t>
      </w:r>
      <w:r w:rsidRPr="000D0FF4">
        <w:t>appropriate for their child</w:t>
      </w:r>
      <w:r w:rsidR="00014956">
        <w:t>’s</w:t>
      </w:r>
      <w:r w:rsidR="007509C8">
        <w:t xml:space="preserve"> age group</w:t>
      </w:r>
      <w:r w:rsidR="006D25DE">
        <w:t>.</w:t>
      </w:r>
    </w:p>
    <w:p w:rsidR="000E1429" w:rsidP="000E1429" w14:paraId="578C8F5D" w14:textId="293A539A">
      <w:pPr>
        <w:pStyle w:val="ListParagraph"/>
        <w:numPr>
          <w:ilvl w:val="0"/>
          <w:numId w:val="9"/>
        </w:numPr>
      </w:pPr>
      <w:r>
        <w:t>Believe</w:t>
      </w:r>
      <w:r w:rsidRPr="000D0FF4">
        <w:t xml:space="preserve"> </w:t>
      </w:r>
      <w:r w:rsidRPr="000D0FF4">
        <w:t xml:space="preserve">their child could play with the toy in a way that was intended by the manufacturer. </w:t>
      </w:r>
    </w:p>
    <w:p w:rsidR="0028649C" w:rsidP="003D495F" w14:paraId="0841D9F2" w14:textId="39B6D300">
      <w:pPr>
        <w:pStyle w:val="ListParagraph"/>
        <w:numPr>
          <w:ilvl w:val="1"/>
          <w:numId w:val="9"/>
        </w:numPr>
      </w:pPr>
      <w:r>
        <w:t>Child could execute all the behaviors needed to interact fully with the toy</w:t>
      </w:r>
      <w:r w:rsidR="006D25DE">
        <w:t>.</w:t>
      </w:r>
    </w:p>
    <w:p w:rsidR="000E1429" w:rsidP="003D495F" w14:paraId="42DED901" w14:textId="32F865A7">
      <w:pPr>
        <w:pStyle w:val="ListParagraph"/>
        <w:numPr>
          <w:ilvl w:val="1"/>
          <w:numId w:val="9"/>
        </w:numPr>
      </w:pPr>
      <w:r>
        <w:t>Child could execute all the behaviors needed to interact fully with the toy if behavior was demonstrated</w:t>
      </w:r>
      <w:r w:rsidR="006D25DE">
        <w:t>.</w:t>
      </w:r>
    </w:p>
    <w:p w:rsidR="007509C8" w:rsidP="003D495F" w14:paraId="735ED5A1" w14:textId="228DE68C">
      <w:pPr>
        <w:pStyle w:val="ListParagraph"/>
        <w:numPr>
          <w:ilvl w:val="1"/>
          <w:numId w:val="9"/>
        </w:numPr>
      </w:pPr>
      <w:r>
        <w:t>Child could execute behavior</w:t>
      </w:r>
      <w:r w:rsidR="00A05A72">
        <w:t>s</w:t>
      </w:r>
      <w:r>
        <w:t xml:space="preserve"> needed to interact </w:t>
      </w:r>
      <w:r w:rsidR="00A05A72">
        <w:t xml:space="preserve">fully </w:t>
      </w:r>
      <w:r>
        <w:t>with the toy</w:t>
      </w:r>
      <w:r w:rsidR="006D25DE">
        <w:t>.</w:t>
      </w:r>
    </w:p>
    <w:p w:rsidR="006B4536" w:rsidP="00D73466" w14:paraId="33AA20A3" w14:textId="761E6DF8">
      <w:pPr>
        <w:pStyle w:val="ListParagraph"/>
        <w:numPr>
          <w:ilvl w:val="0"/>
          <w:numId w:val="9"/>
        </w:numPr>
      </w:pPr>
      <w:r>
        <w:t>Likelihood that they would buy the toy for their child.</w:t>
      </w:r>
    </w:p>
    <w:p w:rsidR="007509C8" w:rsidP="00D73466" w14:paraId="47858364" w14:textId="53760F00">
      <w:pPr>
        <w:pStyle w:val="ListParagraph"/>
        <w:numPr>
          <w:ilvl w:val="0"/>
          <w:numId w:val="9"/>
        </w:numPr>
      </w:pPr>
      <w:r>
        <w:t>Likelihood that they would</w:t>
      </w:r>
      <w:r>
        <w:t xml:space="preserve"> demonstrate how to interact with the toy</w:t>
      </w:r>
      <w:r>
        <w:t>.</w:t>
      </w:r>
    </w:p>
    <w:p w:rsidR="006B4536" w:rsidP="006B4536" w14:paraId="61D38C6A" w14:textId="77777777"/>
    <w:p w:rsidR="00773976" w:rsidRPr="000D0FF4" w:rsidP="006B4536" w14:paraId="7C90C251" w14:textId="22616B52">
      <w:r w:rsidRPr="000D0FF4">
        <w:t xml:space="preserve">Findings will provide useful information </w:t>
      </w:r>
      <w:r w:rsidRPr="000D0FF4" w:rsidR="006F6A85">
        <w:t xml:space="preserve">and enrich the CPSC’s understanding </w:t>
      </w:r>
      <w:r w:rsidR="00A05A72">
        <w:t xml:space="preserve">regarding </w:t>
      </w:r>
      <w:r w:rsidRPr="000D0FF4" w:rsidR="006F6A85">
        <w:t>the ages of children who are interested in these toys, wh</w:t>
      </w:r>
      <w:r w:rsidR="00845A0A">
        <w:t>ich age group</w:t>
      </w:r>
      <w:r w:rsidR="0028649C">
        <w:t xml:space="preserve">s </w:t>
      </w:r>
      <w:r w:rsidRPr="000D0FF4" w:rsidR="006F6A85">
        <w:t>can use the</w:t>
      </w:r>
      <w:r w:rsidR="007509C8">
        <w:t xml:space="preserve"> toys</w:t>
      </w:r>
      <w:r w:rsidRPr="000D0FF4" w:rsidR="006F6A85">
        <w:t xml:space="preserve"> as the manufacturer intends</w:t>
      </w:r>
      <w:r w:rsidR="00E352B1">
        <w:t xml:space="preserve">, and </w:t>
      </w:r>
      <w:r w:rsidR="000D7FB2">
        <w:t>caregiver</w:t>
      </w:r>
      <w:r w:rsidR="00E352B1">
        <w:t>s’</w:t>
      </w:r>
      <w:r w:rsidRPr="000D0FF4" w:rsidR="00E352B1">
        <w:t xml:space="preserve"> </w:t>
      </w:r>
      <w:r w:rsidR="00E352B1">
        <w:t>perceptions of how their child will interact with the</w:t>
      </w:r>
      <w:r w:rsidRPr="000D0FF4" w:rsidR="00E352B1">
        <w:t xml:space="preserve"> toys</w:t>
      </w:r>
      <w:r w:rsidRPr="000D0FF4" w:rsidR="006F6A85">
        <w:t>.</w:t>
      </w:r>
      <w:r w:rsidRPr="000D0FF4" w:rsidR="00145E6F">
        <w:t xml:space="preserve"> Additionally</w:t>
      </w:r>
      <w:r w:rsidRPr="000D0FF4" w:rsidR="00CF6F32">
        <w:t>,</w:t>
      </w:r>
      <w:r w:rsidRPr="000D0FF4" w:rsidR="00145E6F">
        <w:t xml:space="preserve"> </w:t>
      </w:r>
      <w:r w:rsidRPr="000D0FF4" w:rsidR="00CF6F32">
        <w:t>findings will</w:t>
      </w:r>
      <w:r w:rsidRPr="000D0FF4" w:rsidR="00145E6F">
        <w:t xml:space="preserve"> provide </w:t>
      </w:r>
      <w:r w:rsidR="00054E94">
        <w:t xml:space="preserve">useful </w:t>
      </w:r>
      <w:r w:rsidRPr="000D0FF4" w:rsidR="00145E6F">
        <w:t xml:space="preserve">information </w:t>
      </w:r>
      <w:r w:rsidR="007509C8">
        <w:t xml:space="preserve">that </w:t>
      </w:r>
      <w:r w:rsidRPr="000D0FF4" w:rsidR="00145E6F">
        <w:t>manufacturer</w:t>
      </w:r>
      <w:r w:rsidRPr="000D0FF4" w:rsidR="00CF6F32">
        <w:t>s</w:t>
      </w:r>
      <w:r w:rsidR="007509C8">
        <w:t xml:space="preserve"> can use</w:t>
      </w:r>
      <w:r w:rsidRPr="000D0FF4" w:rsidR="00145E6F">
        <w:t xml:space="preserve"> </w:t>
      </w:r>
      <w:r w:rsidRPr="000D0FF4" w:rsidR="00CF6F32">
        <w:t>when</w:t>
      </w:r>
      <w:r w:rsidRPr="000D0FF4" w:rsidR="00145E6F">
        <w:t xml:space="preserve"> determin</w:t>
      </w:r>
      <w:r w:rsidRPr="000D0FF4" w:rsidR="00CF6F32">
        <w:t xml:space="preserve">ing </w:t>
      </w:r>
      <w:r w:rsidRPr="000D0FF4" w:rsidR="00145E6F">
        <w:t xml:space="preserve">the age </w:t>
      </w:r>
      <w:r w:rsidR="0028649C">
        <w:t>recommendation</w:t>
      </w:r>
      <w:r w:rsidRPr="000D0FF4" w:rsidR="0028649C">
        <w:t xml:space="preserve"> </w:t>
      </w:r>
      <w:r w:rsidRPr="000D0FF4" w:rsidR="00145E6F">
        <w:t xml:space="preserve">for each toy, and </w:t>
      </w:r>
      <w:r w:rsidR="00054E94">
        <w:t>when making decisions on how to develop, market and label these toys for children</w:t>
      </w:r>
      <w:r w:rsidRPr="000D0FF4" w:rsidR="00145E6F">
        <w:t>.</w:t>
      </w:r>
      <w:r w:rsidRPr="006B4536" w:rsidR="006F6A85">
        <w:rPr>
          <w:rFonts w:ascii="Garamond" w:hAnsi="Garamond"/>
        </w:rPr>
        <w:t xml:space="preserve"> </w:t>
      </w:r>
      <w:r w:rsidR="00054E94">
        <w:t>Finally</w:t>
      </w:r>
      <w:r w:rsidR="006E1A22">
        <w:t>,</w:t>
      </w:r>
      <w:r w:rsidRPr="000D0FF4" w:rsidR="00054E94">
        <w:t xml:space="preserve"> </w:t>
      </w:r>
      <w:r w:rsidRPr="000D0FF4">
        <w:t xml:space="preserve">findings </w:t>
      </w:r>
      <w:r w:rsidR="006B4536">
        <w:t>may help</w:t>
      </w:r>
      <w:r w:rsidRPr="000D0FF4">
        <w:t xml:space="preserve"> reduc</w:t>
      </w:r>
      <w:r w:rsidR="006B4536">
        <w:t>e</w:t>
      </w:r>
      <w:r w:rsidRPr="000D0FF4">
        <w:t xml:space="preserve"> serious and fatal injuries from children interacting with toys that are not </w:t>
      </w:r>
      <w:r w:rsidR="00014956">
        <w:t>intended for their age group</w:t>
      </w:r>
      <w:r w:rsidRPr="000D0FF4">
        <w:t xml:space="preserve">. </w:t>
      </w:r>
    </w:p>
    <w:p w:rsidR="00CB07B8" w:rsidRPr="000D0FF4" w:rsidP="00B913B6" w14:paraId="46853363" w14:textId="74D5A672">
      <w:pPr>
        <w:rPr>
          <w:rFonts w:ascii="Garamond" w:hAnsi="Garamond"/>
        </w:rPr>
      </w:pPr>
    </w:p>
    <w:p w:rsidR="00D829AF" w:rsidRPr="000D0FF4" w:rsidP="00D829AF" w14:paraId="3DD7E969" w14:textId="77777777">
      <w:pPr>
        <w:widowControl w:val="0"/>
      </w:pPr>
      <w:r w:rsidRPr="000D0FF4">
        <w:rPr>
          <w:b/>
          <w:bCs/>
          <w:u w:val="single"/>
        </w:rPr>
        <w:t>A. Justification</w:t>
      </w:r>
    </w:p>
    <w:p w:rsidR="00D829AF" w:rsidRPr="000D0FF4" w:rsidP="00D829AF" w14:paraId="3DD7E96A" w14:textId="77777777">
      <w:pPr>
        <w:widowControl w:val="0"/>
      </w:pPr>
    </w:p>
    <w:p w:rsidR="00D829AF" w:rsidRPr="000D0FF4" w:rsidP="00D829AF" w14:paraId="3DD7E96B" w14:textId="39BADF49">
      <w:pPr>
        <w:widowControl w:val="0"/>
      </w:pPr>
      <w:r w:rsidRPr="000D0FF4">
        <w:tab/>
      </w:r>
    </w:p>
    <w:p w:rsidR="00D829AF" w:rsidRPr="000D0FF4" w:rsidP="00D829AF" w14:paraId="3DD7E96C" w14:textId="77777777">
      <w:pPr>
        <w:pStyle w:val="Heading2"/>
        <w:rPr>
          <w:rFonts w:cs="Times New Roman"/>
        </w:rPr>
      </w:pPr>
      <w:bookmarkStart w:id="0" w:name="_Toc267035193"/>
      <w:r w:rsidRPr="000D0FF4">
        <w:rPr>
          <w:rFonts w:cs="Times New Roman"/>
        </w:rPr>
        <w:t>A.1.</w:t>
      </w:r>
      <w:r w:rsidRPr="000D0FF4">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p>
    <w:p w:rsidR="00D829AF" w:rsidRPr="000D0FF4" w:rsidP="00D829AF" w14:paraId="3DD7E96D" w14:textId="77777777">
      <w:pPr>
        <w:widowControl w:val="0"/>
        <w:rPr>
          <w:b/>
          <w:bCs/>
        </w:rPr>
      </w:pPr>
    </w:p>
    <w:p w:rsidR="00D829AF" w:rsidRPr="000D0FF4" w:rsidP="00D829AF" w14:paraId="3DD7E96E" w14:textId="77777777">
      <w:pPr>
        <w:widowControl w:val="0"/>
      </w:pPr>
      <w:r w:rsidRPr="000D0FF4">
        <w:rPr>
          <w:b/>
          <w:bCs/>
          <w:i/>
          <w:iCs/>
        </w:rPr>
        <w:t xml:space="preserve">a. Circumstances necessitating </w:t>
      </w:r>
      <w:r w:rsidRPr="000D0FF4">
        <w:rPr>
          <w:b/>
          <w:bCs/>
          <w:i/>
          <w:iCs/>
        </w:rPr>
        <w:t>the data</w:t>
      </w:r>
      <w:r w:rsidRPr="000D0FF4">
        <w:rPr>
          <w:b/>
          <w:bCs/>
          <w:i/>
          <w:iCs/>
        </w:rPr>
        <w:t xml:space="preserve"> collection.</w:t>
      </w:r>
    </w:p>
    <w:p w:rsidR="00D829AF" w:rsidRPr="000D0FF4" w:rsidP="00D829AF" w14:paraId="3DD7E96F" w14:textId="77777777">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D829AF" w:rsidRPr="00635C35" w:rsidP="00D829AF" w14:paraId="3DD7E970" w14:textId="2715AD78">
      <w:pPr>
        <w:numPr>
          <w:ilvl w:val="0"/>
          <w:numId w:val="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635C35">
        <w:rPr>
          <w:i/>
        </w:rPr>
        <w:t>Consumer Product Safety Commission</w:t>
      </w:r>
      <w:r w:rsidRPr="00635C35">
        <w:rPr>
          <w:i/>
        </w:rPr>
        <w:t xml:space="preserve"> (</w:t>
      </w:r>
      <w:r w:rsidRPr="00635C35">
        <w:rPr>
          <w:i/>
        </w:rPr>
        <w:t>CPSC</w:t>
      </w:r>
      <w:r w:rsidRPr="00635C35">
        <w:rPr>
          <w:i/>
        </w:rPr>
        <w:t>) mission</w:t>
      </w:r>
    </w:p>
    <w:p w:rsidR="00D829AF" w:rsidRPr="00635C35" w:rsidP="00D829AF" w14:paraId="3DD7E971" w14:textId="77777777">
      <w:pPr>
        <w:jc w:val="both"/>
      </w:pPr>
    </w:p>
    <w:p w:rsidR="009B4F33" w:rsidRPr="00635C35" w:rsidP="00D829AF" w14:paraId="33DA6FB0" w14:textId="5DD5EFFD">
      <w:r w:rsidRPr="00635C35">
        <w:t xml:space="preserve">The CPSC was created in 1972 by the Consumer Product Safety Act (CPSA). The CPSC is an independent federal regulatory agency with a public health and safety mission to protect the public from unreasonable risks of injury and death from consumer products used in and around the home, in recreation, and in schools. </w:t>
      </w:r>
      <w:r w:rsidRPr="00635C35" w:rsidR="00326C4D">
        <w:t>CPSC also conducts research on consumer</w:t>
      </w:r>
      <w:r w:rsidRPr="00635C35" w:rsidR="00E72C34">
        <w:t xml:space="preserve"> products and behavior to identify and address product safety hazards as well as </w:t>
      </w:r>
      <w:r w:rsidRPr="00635C35" w:rsidR="00326C4D">
        <w:t xml:space="preserve">develop efficient and effective means of bringing about safety improvements. This information collection supports the commission’s strategic goal of safety. </w:t>
      </w:r>
    </w:p>
    <w:p w:rsidR="009B4F33" w:rsidRPr="000D0FF4" w:rsidP="00D829AF" w14:paraId="630B4376" w14:textId="14F2B313"/>
    <w:p w:rsidR="00D829AF" w:rsidRPr="000D0FF4" w:rsidP="00D829AF" w14:paraId="3DD7E975" w14:textId="11871528">
      <w:pPr>
        <w:pStyle w:val="ListParagraph"/>
        <w:numPr>
          <w:ilvl w:val="0"/>
          <w:numId w:val="1"/>
        </w:numPr>
        <w:rPr>
          <w:i/>
        </w:rPr>
      </w:pPr>
      <w:r w:rsidRPr="000D0FF4">
        <w:rPr>
          <w:i/>
        </w:rPr>
        <w:t>Background</w:t>
      </w:r>
    </w:p>
    <w:p w:rsidR="00D829AF" w:rsidRPr="000D0FF4" w:rsidP="00D829AF" w14:paraId="3DD7E976" w14:textId="77777777">
      <w:pPr>
        <w:ind w:left="720"/>
        <w:rPr>
          <w:i/>
        </w:rPr>
      </w:pPr>
    </w:p>
    <w:p w:rsidR="00380928" w:rsidRPr="00635C35" w:rsidP="00683A5F" w14:paraId="5B7AC346" w14:textId="4EF86D13">
      <w:pPr>
        <w:pStyle w:val="L1-FlLSp12"/>
        <w:rPr>
          <w:rFonts w:ascii="Times New Roman" w:hAnsi="Times New Roman"/>
          <w:szCs w:val="24"/>
        </w:rPr>
      </w:pPr>
      <w:r>
        <w:rPr>
          <w:rFonts w:ascii="Times New Roman" w:hAnsi="Times New Roman"/>
        </w:rPr>
        <w:t>In 202</w:t>
      </w:r>
      <w:r w:rsidR="00BF33EF">
        <w:rPr>
          <w:rFonts w:ascii="Times New Roman" w:hAnsi="Times New Roman"/>
        </w:rPr>
        <w:t>1</w:t>
      </w:r>
      <w:r>
        <w:rPr>
          <w:rFonts w:ascii="Times New Roman" w:hAnsi="Times New Roman"/>
        </w:rPr>
        <w:t>, a</w:t>
      </w:r>
      <w:r w:rsidRPr="00635C35">
        <w:rPr>
          <w:rFonts w:ascii="Times New Roman" w:hAnsi="Times New Roman"/>
        </w:rPr>
        <w:t xml:space="preserve">n estimated </w:t>
      </w:r>
      <w:r w:rsidR="00BF33EF">
        <w:rPr>
          <w:rFonts w:ascii="Times New Roman" w:hAnsi="Times New Roman"/>
        </w:rPr>
        <w:t>206,400</w:t>
      </w:r>
      <w:r w:rsidRPr="00635C35">
        <w:rPr>
          <w:rFonts w:ascii="Times New Roman" w:hAnsi="Times New Roman"/>
        </w:rPr>
        <w:t xml:space="preserve"> toy-related injuries were treated in U.S. hospital emergency </w:t>
      </w:r>
      <w:r>
        <w:rPr>
          <w:rFonts w:ascii="Times New Roman" w:hAnsi="Times New Roman"/>
        </w:rPr>
        <w:t>rooms</w:t>
      </w:r>
      <w:r w:rsidRPr="00635C35">
        <w:rPr>
          <w:rFonts w:ascii="Times New Roman" w:hAnsi="Times New Roman"/>
        </w:rPr>
        <w:t xml:space="preserve"> </w:t>
      </w:r>
      <w:r>
        <w:rPr>
          <w:rStyle w:val="FootnoteReference"/>
          <w:rFonts w:ascii="Times New Roman" w:hAnsi="Times New Roman"/>
          <w:szCs w:val="24"/>
        </w:rPr>
        <w:footnoteReference w:id="2"/>
      </w:r>
      <w:r w:rsidRPr="00635C35" w:rsidR="001579FA">
        <w:rPr>
          <w:rFonts w:ascii="Times New Roman" w:hAnsi="Times New Roman"/>
          <w:szCs w:val="24"/>
        </w:rPr>
        <w:t>.</w:t>
      </w:r>
      <w:r w:rsidRPr="00635C35" w:rsidR="00683A5F">
        <w:rPr>
          <w:rFonts w:ascii="Times New Roman" w:hAnsi="Times New Roman"/>
          <w:szCs w:val="24"/>
        </w:rPr>
        <w:t xml:space="preserve"> </w:t>
      </w:r>
      <w:r w:rsidRPr="00635C35">
        <w:rPr>
          <w:rFonts w:ascii="Times New Roman" w:hAnsi="Times New Roman"/>
          <w:szCs w:val="24"/>
        </w:rPr>
        <w:t xml:space="preserve">Of the </w:t>
      </w:r>
      <w:r w:rsidR="00BF33EF">
        <w:rPr>
          <w:rFonts w:ascii="Times New Roman" w:hAnsi="Times New Roman"/>
          <w:szCs w:val="24"/>
        </w:rPr>
        <w:t>206,400</w:t>
      </w:r>
      <w:r w:rsidRPr="00635C35">
        <w:rPr>
          <w:rFonts w:ascii="Times New Roman" w:hAnsi="Times New Roman"/>
          <w:szCs w:val="24"/>
        </w:rPr>
        <w:t xml:space="preserve"> toy-related</w:t>
      </w:r>
      <w:r w:rsidRPr="00635C35">
        <w:rPr>
          <w:rFonts w:ascii="Times New Roman" w:hAnsi="Times New Roman"/>
          <w:szCs w:val="24"/>
        </w:rPr>
        <w:t xml:space="preserve"> injuries</w:t>
      </w:r>
      <w:r w:rsidRPr="00635C35">
        <w:rPr>
          <w:rFonts w:ascii="Times New Roman" w:hAnsi="Times New Roman"/>
          <w:szCs w:val="24"/>
        </w:rPr>
        <w:t xml:space="preserve">, an estimated </w:t>
      </w:r>
      <w:r w:rsidRPr="00635C35" w:rsidR="00723199">
        <w:rPr>
          <w:rFonts w:ascii="Times New Roman" w:hAnsi="Times New Roman"/>
          <w:szCs w:val="24"/>
        </w:rPr>
        <w:t>7</w:t>
      </w:r>
      <w:r w:rsidR="00BF33EF">
        <w:rPr>
          <w:rFonts w:ascii="Times New Roman" w:hAnsi="Times New Roman"/>
          <w:szCs w:val="24"/>
        </w:rPr>
        <w:t>4</w:t>
      </w:r>
      <w:r w:rsidRPr="00635C35" w:rsidR="00723199">
        <w:rPr>
          <w:rFonts w:ascii="Times New Roman" w:hAnsi="Times New Roman"/>
          <w:szCs w:val="24"/>
        </w:rPr>
        <w:t>%</w:t>
      </w:r>
      <w:r w:rsidRPr="00635C35">
        <w:rPr>
          <w:rFonts w:ascii="Times New Roman" w:hAnsi="Times New Roman"/>
          <w:szCs w:val="24"/>
        </w:rPr>
        <w:t xml:space="preserve"> happened to children 14 years of age or younger; </w:t>
      </w:r>
      <w:r w:rsidR="00BF33EF">
        <w:rPr>
          <w:rFonts w:ascii="Times New Roman" w:hAnsi="Times New Roman"/>
          <w:szCs w:val="24"/>
        </w:rPr>
        <w:t>69</w:t>
      </w:r>
      <w:r w:rsidRPr="00635C35" w:rsidR="00723199">
        <w:rPr>
          <w:rFonts w:ascii="Times New Roman" w:hAnsi="Times New Roman"/>
          <w:szCs w:val="24"/>
        </w:rPr>
        <w:t>%</w:t>
      </w:r>
      <w:r w:rsidRPr="00635C35">
        <w:rPr>
          <w:rFonts w:ascii="Times New Roman" w:hAnsi="Times New Roman"/>
          <w:szCs w:val="24"/>
        </w:rPr>
        <w:t xml:space="preserve"> occurred to children 12 years of age or younger; and </w:t>
      </w:r>
      <w:r w:rsidR="00BF33EF">
        <w:rPr>
          <w:rFonts w:ascii="Times New Roman" w:hAnsi="Times New Roman"/>
          <w:szCs w:val="24"/>
        </w:rPr>
        <w:t>37</w:t>
      </w:r>
      <w:r w:rsidRPr="00635C35" w:rsidR="00723199">
        <w:rPr>
          <w:rFonts w:ascii="Times New Roman" w:hAnsi="Times New Roman"/>
          <w:szCs w:val="24"/>
        </w:rPr>
        <w:t>%</w:t>
      </w:r>
      <w:r w:rsidRPr="00635C35">
        <w:rPr>
          <w:rFonts w:ascii="Times New Roman" w:hAnsi="Times New Roman"/>
          <w:szCs w:val="24"/>
        </w:rPr>
        <w:t xml:space="preserve"> happened to children 4 years of age or younger. </w:t>
      </w:r>
      <w:r w:rsidRPr="00635C35" w:rsidR="00683A5F">
        <w:rPr>
          <w:rFonts w:ascii="Times New Roman" w:hAnsi="Times New Roman"/>
          <w:szCs w:val="24"/>
        </w:rPr>
        <w:t>Many injuries result from parents underestimating their child’s mouthing behavior</w:t>
      </w:r>
      <w:r w:rsidRPr="00635C35" w:rsidR="00723199">
        <w:rPr>
          <w:rFonts w:ascii="Times New Roman" w:hAnsi="Times New Roman"/>
          <w:szCs w:val="24"/>
        </w:rPr>
        <w:t xml:space="preserve">, </w:t>
      </w:r>
      <w:r w:rsidRPr="00635C35" w:rsidR="00683A5F">
        <w:rPr>
          <w:rFonts w:ascii="Times New Roman" w:hAnsi="Times New Roman"/>
          <w:szCs w:val="24"/>
        </w:rPr>
        <w:t>giving toys</w:t>
      </w:r>
      <w:r w:rsidRPr="00635C35" w:rsidR="00CF6F32">
        <w:rPr>
          <w:rFonts w:ascii="Times New Roman" w:hAnsi="Times New Roman"/>
          <w:szCs w:val="24"/>
        </w:rPr>
        <w:t xml:space="preserve"> to their child that</w:t>
      </w:r>
      <w:r w:rsidR="00014956">
        <w:rPr>
          <w:rFonts w:ascii="Times New Roman" w:hAnsi="Times New Roman"/>
          <w:szCs w:val="24"/>
        </w:rPr>
        <w:t xml:space="preserve"> </w:t>
      </w:r>
      <w:r w:rsidR="007909ED">
        <w:rPr>
          <w:rFonts w:ascii="Times New Roman" w:hAnsi="Times New Roman"/>
          <w:szCs w:val="24"/>
        </w:rPr>
        <w:t>are</w:t>
      </w:r>
      <w:r w:rsidRPr="00635C35" w:rsidR="00CF6F32">
        <w:rPr>
          <w:rFonts w:ascii="Times New Roman" w:hAnsi="Times New Roman"/>
          <w:szCs w:val="24"/>
        </w:rPr>
        <w:t xml:space="preserve"> </w:t>
      </w:r>
      <w:r w:rsidRPr="00635C35" w:rsidR="00683A5F">
        <w:rPr>
          <w:rFonts w:ascii="Times New Roman" w:hAnsi="Times New Roman"/>
          <w:szCs w:val="24"/>
        </w:rPr>
        <w:t xml:space="preserve">intended for an older age group, a child inadvertently gaining access to a toy meant for an older sibling, or a child using a toy in an unintended manner. </w:t>
      </w:r>
    </w:p>
    <w:p w:rsidR="00380928" w:rsidRPr="00635C35" w:rsidP="00683A5F" w14:paraId="47052A3F" w14:textId="77777777">
      <w:pPr>
        <w:pStyle w:val="L1-FlLSp12"/>
        <w:rPr>
          <w:rFonts w:ascii="Times New Roman" w:hAnsi="Times New Roman"/>
          <w:szCs w:val="24"/>
        </w:rPr>
      </w:pPr>
    </w:p>
    <w:p w:rsidR="003E167D" w:rsidRPr="005E0FB7" w:rsidP="003E167D" w14:paraId="470FA53F" w14:textId="2F885930">
      <w:pPr>
        <w:pStyle w:val="L1-FlLSp12"/>
        <w:rPr>
          <w:rFonts w:ascii="Times New Roman" w:hAnsi="Times New Roman"/>
          <w:szCs w:val="24"/>
        </w:rPr>
      </w:pPr>
      <w:r w:rsidRPr="00635C35">
        <w:rPr>
          <w:rFonts w:ascii="Times New Roman" w:hAnsi="Times New Roman"/>
          <w:szCs w:val="24"/>
        </w:rPr>
        <w:t xml:space="preserve">To identify a toy’s </w:t>
      </w:r>
      <w:r w:rsidR="006A3154">
        <w:rPr>
          <w:rFonts w:ascii="Times New Roman" w:hAnsi="Times New Roman"/>
          <w:szCs w:val="24"/>
        </w:rPr>
        <w:t>applicable mechanical testing requirements under CPSC statues and regulations,</w:t>
      </w:r>
      <w:r w:rsidRPr="00635C35" w:rsidR="006A3154">
        <w:rPr>
          <w:rFonts w:ascii="Times New Roman" w:hAnsi="Times New Roman"/>
          <w:szCs w:val="24"/>
        </w:rPr>
        <w:t xml:space="preserve"> </w:t>
      </w:r>
      <w:r w:rsidRPr="00635C35">
        <w:rPr>
          <w:rFonts w:ascii="Times New Roman" w:hAnsi="Times New Roman"/>
          <w:szCs w:val="24"/>
        </w:rPr>
        <w:t>the CPSC Division of Human Factors first determines the</w:t>
      </w:r>
      <w:r w:rsidR="007909ED">
        <w:rPr>
          <w:rFonts w:ascii="Times New Roman" w:hAnsi="Times New Roman"/>
          <w:szCs w:val="24"/>
        </w:rPr>
        <w:t xml:space="preserve"> </w:t>
      </w:r>
      <w:r w:rsidR="00014956">
        <w:rPr>
          <w:rFonts w:ascii="Times New Roman" w:hAnsi="Times New Roman"/>
          <w:szCs w:val="24"/>
        </w:rPr>
        <w:t>intended</w:t>
      </w:r>
      <w:r w:rsidRPr="00635C35" w:rsidR="00014956">
        <w:rPr>
          <w:rFonts w:ascii="Times New Roman" w:hAnsi="Times New Roman"/>
          <w:szCs w:val="24"/>
        </w:rPr>
        <w:t xml:space="preserve"> </w:t>
      </w:r>
      <w:r w:rsidRPr="00635C35">
        <w:rPr>
          <w:rFonts w:ascii="Times New Roman" w:hAnsi="Times New Roman"/>
          <w:szCs w:val="24"/>
        </w:rPr>
        <w:t>age</w:t>
      </w:r>
      <w:r w:rsidR="006A3154">
        <w:rPr>
          <w:rFonts w:ascii="Times New Roman" w:hAnsi="Times New Roman"/>
          <w:szCs w:val="24"/>
        </w:rPr>
        <w:t xml:space="preserve"> </w:t>
      </w:r>
      <w:r w:rsidRPr="00635C35">
        <w:rPr>
          <w:rFonts w:ascii="Times New Roman" w:hAnsi="Times New Roman"/>
          <w:szCs w:val="24"/>
        </w:rPr>
        <w:t>group</w:t>
      </w:r>
      <w:r w:rsidR="006A3154">
        <w:rPr>
          <w:rFonts w:ascii="Times New Roman" w:hAnsi="Times New Roman"/>
          <w:szCs w:val="24"/>
        </w:rPr>
        <w:t xml:space="preserve"> (hereafter “age determinations”)</w:t>
      </w:r>
      <w:r w:rsidRPr="00635C35">
        <w:rPr>
          <w:rFonts w:ascii="Times New Roman" w:hAnsi="Times New Roman"/>
          <w:szCs w:val="24"/>
        </w:rPr>
        <w:t xml:space="preserve">. </w:t>
      </w:r>
      <w:r w:rsidR="00182D72">
        <w:rPr>
          <w:rFonts w:ascii="Times New Roman" w:hAnsi="Times New Roman"/>
          <w:szCs w:val="24"/>
        </w:rPr>
        <w:t xml:space="preserve">Per the Small Parts Regulation 16 CFR 1501, </w:t>
      </w:r>
      <w:r w:rsidRPr="004702D6" w:rsidR="00633F13">
        <w:rPr>
          <w:rFonts w:ascii="Times New Roman" w:hAnsi="Times New Roman"/>
          <w:szCs w:val="24"/>
        </w:rPr>
        <w:t xml:space="preserve">Use and Abuse tests are required for toys intended for children under 8 years of age; test specifications vary for different age groupings (i.e., children 18 months and younger, 19-36 months, and 37-95 months). Toys intended for children younger than 3 years old </w:t>
      </w:r>
      <w:r w:rsidR="00182D72">
        <w:rPr>
          <w:rFonts w:ascii="Times New Roman" w:hAnsi="Times New Roman"/>
          <w:szCs w:val="24"/>
        </w:rPr>
        <w:t xml:space="preserve">also </w:t>
      </w:r>
      <w:r w:rsidRPr="004702D6" w:rsidR="00633F13">
        <w:rPr>
          <w:rFonts w:ascii="Times New Roman" w:hAnsi="Times New Roman"/>
          <w:szCs w:val="24"/>
        </w:rPr>
        <w:t xml:space="preserve">cannot possess small parts </w:t>
      </w:r>
      <w:r w:rsidR="00182D72">
        <w:rPr>
          <w:rFonts w:ascii="Times New Roman" w:hAnsi="Times New Roman"/>
          <w:szCs w:val="24"/>
        </w:rPr>
        <w:t>or small balls</w:t>
      </w:r>
      <w:r w:rsidRPr="004702D6" w:rsidR="00633F13">
        <w:rPr>
          <w:rFonts w:ascii="Times New Roman" w:hAnsi="Times New Roman"/>
          <w:szCs w:val="24"/>
        </w:rPr>
        <w:t xml:space="preserve">. Additionally, since 2008, </w:t>
      </w:r>
      <w:r w:rsidR="007436FC">
        <w:rPr>
          <w:rFonts w:ascii="Times New Roman" w:hAnsi="Times New Roman"/>
          <w:szCs w:val="24"/>
        </w:rPr>
        <w:t>relevant statutes specify</w:t>
      </w:r>
      <w:r w:rsidRPr="004702D6" w:rsidR="007436FC">
        <w:rPr>
          <w:rFonts w:ascii="Times New Roman" w:hAnsi="Times New Roman"/>
          <w:szCs w:val="24"/>
        </w:rPr>
        <w:t xml:space="preserve"> </w:t>
      </w:r>
      <w:r w:rsidRPr="004702D6" w:rsidR="00633F13">
        <w:rPr>
          <w:rFonts w:ascii="Times New Roman" w:hAnsi="Times New Roman"/>
          <w:szCs w:val="24"/>
        </w:rPr>
        <w:t>lead and phthalates limitations for many products intended for children 12 yea</w:t>
      </w:r>
      <w:r w:rsidRPr="0097117F" w:rsidR="00633F13">
        <w:rPr>
          <w:rFonts w:ascii="Times New Roman" w:hAnsi="Times New Roman"/>
          <w:szCs w:val="24"/>
        </w:rPr>
        <w:t xml:space="preserve">rs of age and younger. Thus, the regulatory requirements and any testing that is </w:t>
      </w:r>
      <w:r w:rsidRPr="0097117F" w:rsidR="00E71A59">
        <w:rPr>
          <w:rFonts w:ascii="Times New Roman" w:hAnsi="Times New Roman"/>
          <w:szCs w:val="24"/>
        </w:rPr>
        <w:t xml:space="preserve">required for </w:t>
      </w:r>
      <w:r w:rsidRPr="00E90CB0" w:rsidR="00633F13">
        <w:rPr>
          <w:rFonts w:ascii="Times New Roman" w:hAnsi="Times New Roman"/>
          <w:szCs w:val="24"/>
        </w:rPr>
        <w:t xml:space="preserve">a toy is based on the age of the </w:t>
      </w:r>
      <w:r w:rsidRPr="005E0FB7" w:rsidR="00472295">
        <w:rPr>
          <w:rFonts w:ascii="Times New Roman" w:hAnsi="Times New Roman"/>
          <w:szCs w:val="24"/>
        </w:rPr>
        <w:t>toy</w:t>
      </w:r>
      <w:r w:rsidRPr="005E0FB7" w:rsidR="00633F13">
        <w:rPr>
          <w:rFonts w:ascii="Times New Roman" w:hAnsi="Times New Roman"/>
          <w:szCs w:val="24"/>
        </w:rPr>
        <w:t xml:space="preserve">’s intended user. </w:t>
      </w:r>
    </w:p>
    <w:p w:rsidR="004A0D07" w:rsidRPr="005E0FB7" w:rsidP="003E167D" w14:paraId="2BA6F733" w14:textId="7F714537">
      <w:pPr>
        <w:pStyle w:val="L1-FlLSp12"/>
        <w:rPr>
          <w:rFonts w:ascii="Times New Roman" w:hAnsi="Times New Roman"/>
          <w:szCs w:val="24"/>
        </w:rPr>
      </w:pPr>
    </w:p>
    <w:p w:rsidR="004A0D07" w:rsidRPr="005E0FB7" w:rsidP="004A0D07" w14:paraId="462DBF21" w14:textId="76395896">
      <w:pPr>
        <w:pStyle w:val="L1-FlLSp12"/>
        <w:rPr>
          <w:rFonts w:ascii="Times New Roman" w:hAnsi="Times New Roman"/>
          <w:szCs w:val="24"/>
        </w:rPr>
      </w:pPr>
      <w:r w:rsidRPr="005E0FB7">
        <w:rPr>
          <w:rFonts w:ascii="Times New Roman" w:hAnsi="Times New Roman"/>
          <w:szCs w:val="24"/>
        </w:rPr>
        <w:t xml:space="preserve">Numerous toy characteristics are considered when making an age determination. These include the physical characteristics of the toy (e.g., size and weight of the toy and its components), the cognitive requirements for using the toy as intended, the fine motor or other physical skills required to use the toy as the manufacturer intended, and the toy’s theme and appearance. The </w:t>
      </w:r>
      <w:r w:rsidRPr="005E0FB7">
        <w:rPr>
          <w:rFonts w:ascii="Times New Roman" w:hAnsi="Times New Roman"/>
          <w:i/>
          <w:szCs w:val="24"/>
        </w:rPr>
        <w:t>Guidelines</w:t>
      </w:r>
      <w:r w:rsidRPr="005E0FB7">
        <w:rPr>
          <w:rFonts w:ascii="Times New Roman" w:hAnsi="Times New Roman"/>
          <w:szCs w:val="24"/>
        </w:rPr>
        <w:t xml:space="preserve"> provide details and examples for </w:t>
      </w:r>
      <w:r w:rsidR="006A3154">
        <w:rPr>
          <w:rFonts w:ascii="Times New Roman" w:hAnsi="Times New Roman"/>
          <w:szCs w:val="24"/>
        </w:rPr>
        <w:t xml:space="preserve">applying </w:t>
      </w:r>
      <w:r w:rsidRPr="005E0FB7">
        <w:rPr>
          <w:rFonts w:ascii="Times New Roman" w:hAnsi="Times New Roman"/>
          <w:szCs w:val="24"/>
        </w:rPr>
        <w:t xml:space="preserve">each of these characteristics </w:t>
      </w:r>
      <w:r w:rsidR="006A3154">
        <w:rPr>
          <w:rFonts w:ascii="Times New Roman" w:hAnsi="Times New Roman"/>
          <w:szCs w:val="24"/>
        </w:rPr>
        <w:t>to</w:t>
      </w:r>
      <w:r w:rsidRPr="005E0FB7" w:rsidR="006A3154">
        <w:rPr>
          <w:rFonts w:ascii="Times New Roman" w:hAnsi="Times New Roman"/>
          <w:szCs w:val="24"/>
        </w:rPr>
        <w:t xml:space="preserve"> </w:t>
      </w:r>
      <w:r w:rsidRPr="005E0FB7">
        <w:rPr>
          <w:rFonts w:ascii="Times New Roman" w:hAnsi="Times New Roman"/>
          <w:szCs w:val="24"/>
        </w:rPr>
        <w:t xml:space="preserve">different age groups. </w:t>
      </w:r>
    </w:p>
    <w:p w:rsidR="00A55A83" w:rsidRPr="005E0FB7" w:rsidP="004A0D07" w14:paraId="765EFF75" w14:textId="77777777">
      <w:pPr>
        <w:pStyle w:val="L1-FlLSp12"/>
        <w:rPr>
          <w:rFonts w:ascii="Times New Roman" w:hAnsi="Times New Roman"/>
          <w:szCs w:val="24"/>
        </w:rPr>
      </w:pPr>
    </w:p>
    <w:p w:rsidR="004A0D07" w:rsidRPr="004E0415" w:rsidP="004A0D07" w14:paraId="6D398850" w14:textId="2F8A499C">
      <w:pPr>
        <w:pStyle w:val="L1-FlLSp12"/>
        <w:rPr>
          <w:rFonts w:ascii="Times New Roman" w:hAnsi="Times New Roman"/>
          <w:szCs w:val="24"/>
        </w:rPr>
      </w:pPr>
      <w:r w:rsidRPr="005E0FB7">
        <w:rPr>
          <w:rFonts w:ascii="Times New Roman" w:hAnsi="Times New Roman"/>
          <w:szCs w:val="24"/>
        </w:rPr>
        <w:t xml:space="preserve">While the </w:t>
      </w:r>
      <w:r w:rsidRPr="005E0FB7">
        <w:rPr>
          <w:rFonts w:ascii="Times New Roman" w:hAnsi="Times New Roman"/>
          <w:i/>
          <w:szCs w:val="24"/>
        </w:rPr>
        <w:t>Guidelines</w:t>
      </w:r>
      <w:r w:rsidRPr="005E0FB7">
        <w:rPr>
          <w:rFonts w:ascii="Times New Roman" w:hAnsi="Times New Roman"/>
          <w:szCs w:val="24"/>
        </w:rPr>
        <w:t xml:space="preserve"> include extensive information about a large variety of toys, there are some toy categories that are not well covered because, in some cases, the toys are entirely new to the </w:t>
      </w:r>
      <w:r w:rsidRPr="004E0415">
        <w:rPr>
          <w:rFonts w:ascii="Times New Roman" w:hAnsi="Times New Roman"/>
          <w:szCs w:val="24"/>
        </w:rPr>
        <w:t xml:space="preserve">U.S. market since the last time the </w:t>
      </w:r>
      <w:r w:rsidRPr="004E0415">
        <w:rPr>
          <w:rFonts w:ascii="Times New Roman" w:hAnsi="Times New Roman"/>
          <w:i/>
          <w:szCs w:val="24"/>
        </w:rPr>
        <w:t>Guidelines</w:t>
      </w:r>
      <w:r w:rsidRPr="004E0415">
        <w:rPr>
          <w:rFonts w:ascii="Times New Roman" w:hAnsi="Times New Roman"/>
          <w:szCs w:val="24"/>
        </w:rPr>
        <w:t xml:space="preserve"> were published. </w:t>
      </w:r>
      <w:r w:rsidRPr="004E0415" w:rsidR="00742FD2">
        <w:rPr>
          <w:rFonts w:ascii="Times New Roman" w:hAnsi="Times New Roman"/>
          <w:szCs w:val="24"/>
        </w:rPr>
        <w:t>While s</w:t>
      </w:r>
      <w:r w:rsidRPr="004E0415">
        <w:rPr>
          <w:rFonts w:ascii="Times New Roman" w:hAnsi="Times New Roman"/>
          <w:szCs w:val="24"/>
        </w:rPr>
        <w:t xml:space="preserve">mart toys are discussed in the </w:t>
      </w:r>
      <w:r w:rsidRPr="004E0415">
        <w:rPr>
          <w:rFonts w:ascii="Times New Roman" w:hAnsi="Times New Roman"/>
          <w:i/>
          <w:szCs w:val="24"/>
        </w:rPr>
        <w:t>Guidelines</w:t>
      </w:r>
      <w:r w:rsidRPr="004E0415" w:rsidR="00742FD2">
        <w:rPr>
          <w:rFonts w:ascii="Times New Roman" w:hAnsi="Times New Roman"/>
          <w:i/>
          <w:szCs w:val="24"/>
        </w:rPr>
        <w:t xml:space="preserve">, </w:t>
      </w:r>
      <w:r w:rsidRPr="004E0415" w:rsidR="00742FD2">
        <w:rPr>
          <w:rFonts w:ascii="Times New Roman" w:hAnsi="Times New Roman"/>
          <w:szCs w:val="24"/>
        </w:rPr>
        <w:t xml:space="preserve">this category of toys </w:t>
      </w:r>
      <w:r w:rsidRPr="004E0415">
        <w:rPr>
          <w:rFonts w:ascii="Times New Roman" w:hAnsi="Times New Roman"/>
          <w:szCs w:val="24"/>
        </w:rPr>
        <w:t>evolve</w:t>
      </w:r>
      <w:r w:rsidRPr="004E0415" w:rsidR="00A16C16">
        <w:rPr>
          <w:rFonts w:ascii="Times New Roman" w:hAnsi="Times New Roman"/>
          <w:szCs w:val="24"/>
        </w:rPr>
        <w:t>s</w:t>
      </w:r>
      <w:r w:rsidRPr="004E0415">
        <w:rPr>
          <w:rFonts w:ascii="Times New Roman" w:hAnsi="Times New Roman"/>
          <w:szCs w:val="24"/>
        </w:rPr>
        <w:t xml:space="preserve"> rapidly, so what is currently in the market may not be represented in the </w:t>
      </w:r>
      <w:r w:rsidRPr="004E0415">
        <w:rPr>
          <w:rFonts w:ascii="Times New Roman" w:hAnsi="Times New Roman"/>
          <w:i/>
          <w:szCs w:val="24"/>
        </w:rPr>
        <w:t>Guidelines</w:t>
      </w:r>
      <w:r w:rsidRPr="004E0415">
        <w:rPr>
          <w:rFonts w:ascii="Times New Roman" w:hAnsi="Times New Roman"/>
          <w:szCs w:val="24"/>
        </w:rPr>
        <w:t xml:space="preserve">. Other toys such as figurines, interlocking building sets, and musical toys are discussed in the </w:t>
      </w:r>
      <w:r w:rsidRPr="004E0415">
        <w:rPr>
          <w:rFonts w:ascii="Times New Roman" w:hAnsi="Times New Roman"/>
          <w:i/>
          <w:szCs w:val="24"/>
        </w:rPr>
        <w:t>Guidelines</w:t>
      </w:r>
      <w:r w:rsidRPr="004E0415">
        <w:rPr>
          <w:rFonts w:ascii="Times New Roman" w:hAnsi="Times New Roman"/>
          <w:szCs w:val="24"/>
        </w:rPr>
        <w:t xml:space="preserve">, though not extensively. This </w:t>
      </w:r>
      <w:r w:rsidR="00BF33EF">
        <w:rPr>
          <w:rFonts w:ascii="Times New Roman" w:hAnsi="Times New Roman"/>
          <w:szCs w:val="24"/>
        </w:rPr>
        <w:t xml:space="preserve">data collection </w:t>
      </w:r>
      <w:r w:rsidRPr="004E0415">
        <w:rPr>
          <w:rFonts w:ascii="Times New Roman" w:hAnsi="Times New Roman"/>
          <w:szCs w:val="24"/>
        </w:rPr>
        <w:t xml:space="preserve">will add information about current toys in these different categories and enrich our understanding of </w:t>
      </w:r>
      <w:r w:rsidRPr="004E0415">
        <w:rPr>
          <w:rFonts w:ascii="Times New Roman" w:hAnsi="Times New Roman"/>
          <w:szCs w:val="24"/>
        </w:rPr>
        <w:t>the</w:t>
      </w:r>
      <w:r w:rsidRPr="004E0415" w:rsidR="00723199">
        <w:rPr>
          <w:rFonts w:ascii="Times New Roman" w:hAnsi="Times New Roman"/>
          <w:szCs w:val="24"/>
        </w:rPr>
        <w:t xml:space="preserve"> </w:t>
      </w:r>
      <w:r w:rsidRPr="004E0415">
        <w:rPr>
          <w:rFonts w:ascii="Times New Roman" w:hAnsi="Times New Roman"/>
          <w:szCs w:val="24"/>
        </w:rPr>
        <w:t xml:space="preserve">ages of children who are interested in these toys and who </w:t>
      </w:r>
      <w:r w:rsidRPr="004E0415" w:rsidR="00723199">
        <w:rPr>
          <w:rFonts w:ascii="Times New Roman" w:hAnsi="Times New Roman"/>
          <w:szCs w:val="24"/>
        </w:rPr>
        <w:t xml:space="preserve">possess the skills and cognitive ability to </w:t>
      </w:r>
      <w:r w:rsidRPr="004E0415">
        <w:rPr>
          <w:rFonts w:ascii="Times New Roman" w:hAnsi="Times New Roman"/>
          <w:szCs w:val="24"/>
        </w:rPr>
        <w:t>use them as intended.</w:t>
      </w:r>
    </w:p>
    <w:p w:rsidR="00EA44C6" w:rsidRPr="004E0415" w:rsidP="004A0D07" w14:paraId="4A820105" w14:textId="77777777">
      <w:pPr>
        <w:pStyle w:val="L1-FlLSp12"/>
        <w:rPr>
          <w:rFonts w:ascii="Times New Roman" w:hAnsi="Times New Roman"/>
          <w:szCs w:val="24"/>
        </w:rPr>
      </w:pPr>
    </w:p>
    <w:p w:rsidR="004A0D07" w:rsidRPr="004E0415" w:rsidP="004A0D07" w14:paraId="79CCB3F3" w14:textId="1EFDE03A">
      <w:pPr>
        <w:pStyle w:val="L1-FlLSp12"/>
        <w:rPr>
          <w:rFonts w:ascii="Times New Roman" w:hAnsi="Times New Roman"/>
          <w:szCs w:val="24"/>
        </w:rPr>
      </w:pPr>
      <w:r w:rsidRPr="004E0415">
        <w:rPr>
          <w:rFonts w:ascii="Times New Roman" w:hAnsi="Times New Roman"/>
          <w:szCs w:val="24"/>
        </w:rPr>
        <w:t xml:space="preserve">The challenge is how to determine </w:t>
      </w:r>
      <w:r w:rsidRPr="004E0415" w:rsidR="0082101E">
        <w:rPr>
          <w:rFonts w:ascii="Times New Roman" w:hAnsi="Times New Roman"/>
          <w:szCs w:val="24"/>
        </w:rPr>
        <w:t>the intended</w:t>
      </w:r>
      <w:r w:rsidRPr="004E0415">
        <w:rPr>
          <w:rFonts w:ascii="Times New Roman" w:hAnsi="Times New Roman"/>
          <w:szCs w:val="24"/>
        </w:rPr>
        <w:t xml:space="preserve"> age when a toy possesses characteristics that are suitable for more than one age group. Studying the ways in which toys are presented online; consumer perceptions of age suitability and self-report about the ages of children who are given or use toys; and observations of children’s interest, behavior, and overall interactions with the toys can inform the content of the </w:t>
      </w:r>
      <w:r w:rsidRPr="004E0415">
        <w:rPr>
          <w:rFonts w:ascii="Times New Roman" w:hAnsi="Times New Roman"/>
          <w:i/>
          <w:szCs w:val="24"/>
        </w:rPr>
        <w:t>Guidelines</w:t>
      </w:r>
      <w:r w:rsidRPr="004E0415">
        <w:rPr>
          <w:rFonts w:ascii="Times New Roman" w:hAnsi="Times New Roman"/>
          <w:szCs w:val="24"/>
        </w:rPr>
        <w:t xml:space="preserve"> and the </w:t>
      </w:r>
      <w:r w:rsidR="007909ED">
        <w:rPr>
          <w:rFonts w:ascii="Times New Roman" w:hAnsi="Times New Roman"/>
          <w:szCs w:val="24"/>
        </w:rPr>
        <w:t>age</w:t>
      </w:r>
      <w:r w:rsidRPr="004E0415" w:rsidR="007909ED">
        <w:rPr>
          <w:rFonts w:ascii="Times New Roman" w:hAnsi="Times New Roman"/>
          <w:szCs w:val="24"/>
        </w:rPr>
        <w:t xml:space="preserve"> </w:t>
      </w:r>
      <w:r w:rsidRPr="004E0415" w:rsidR="00A3366A">
        <w:rPr>
          <w:rFonts w:ascii="Times New Roman" w:hAnsi="Times New Roman"/>
          <w:szCs w:val="24"/>
        </w:rPr>
        <w:t>determinations</w:t>
      </w:r>
      <w:r w:rsidRPr="004E0415" w:rsidR="00994218">
        <w:rPr>
          <w:rFonts w:ascii="Times New Roman" w:hAnsi="Times New Roman"/>
          <w:szCs w:val="24"/>
        </w:rPr>
        <w:t xml:space="preserve"> </w:t>
      </w:r>
      <w:r w:rsidRPr="004E0415">
        <w:rPr>
          <w:rFonts w:ascii="Times New Roman" w:hAnsi="Times New Roman"/>
          <w:szCs w:val="24"/>
        </w:rPr>
        <w:t xml:space="preserve">made by those who rely on them. </w:t>
      </w:r>
    </w:p>
    <w:p w:rsidR="00D829AF" w:rsidRPr="000D0FF4" w:rsidP="00D829AF" w14:paraId="3DD7E981" w14:textId="1CDFF6C4">
      <w:pPr>
        <w:pStyle w:val="Default"/>
        <w:rPr>
          <w:rFonts w:ascii="Times New Roman" w:hAnsi="Times New Roman" w:cs="Times New Roman"/>
          <w:color w:val="auto"/>
        </w:rPr>
      </w:pPr>
    </w:p>
    <w:p w:rsidR="00D829AF" w:rsidRPr="000D0FF4" w:rsidP="00D829AF" w14:paraId="3DD7E982" w14:textId="77777777">
      <w:pPr>
        <w:pStyle w:val="BodyText"/>
        <w:jc w:val="both"/>
        <w:rPr>
          <w:b/>
          <w:i/>
        </w:rPr>
      </w:pPr>
      <w:r w:rsidRPr="000D0FF4">
        <w:rPr>
          <w:b/>
          <w:bCs/>
          <w:i/>
          <w:iCs/>
        </w:rPr>
        <w:t xml:space="preserve">b. </w:t>
      </w:r>
      <w:r w:rsidRPr="000D0FF4">
        <w:rPr>
          <w:b/>
          <w:i/>
        </w:rPr>
        <w:t xml:space="preserve">Legal basis for collecting </w:t>
      </w:r>
      <w:r w:rsidRPr="000D0FF4">
        <w:rPr>
          <w:b/>
          <w:i/>
        </w:rPr>
        <w:t>data</w:t>
      </w:r>
    </w:p>
    <w:p w:rsidR="00D829AF" w:rsidRPr="000D0FF4" w:rsidP="00D829AF" w14:paraId="3DD7E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C7308D" w:rsidRPr="004E0415" w:rsidP="00C7308D" w14:paraId="7933F7B4" w14:textId="1E5ED7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E0415">
        <w:t>The Consumer Product Safety Commission (CPSC or Commission) was established in 1972 by the Consumer Product Safety Act (CPSA) “to protect the public against unreasonable risks of injury associated with consumer products,” primarily after they have entered the stream of commerce. The CPSC meet</w:t>
      </w:r>
      <w:r w:rsidR="007909ED">
        <w:t>s</w:t>
      </w:r>
      <w:r w:rsidRPr="004E0415">
        <w:t xml:space="preserve"> this objective</w:t>
      </w:r>
      <w:r w:rsidR="00EA72C2">
        <w:t xml:space="preserve"> by enforcing various statutes and regulations</w:t>
      </w:r>
      <w:r w:rsidRPr="004E0415">
        <w:t xml:space="preserve"> through a blend of consumer monitoring, research, investigations, safety standard-setting, and enforcement powers. </w:t>
      </w:r>
      <w:r w:rsidR="00182D72">
        <w:softHyphen/>
      </w:r>
    </w:p>
    <w:p w:rsidR="00D829AF" w:rsidRPr="004E0415" w:rsidP="00D829AF" w14:paraId="3DD7E987" w14:textId="77777777"/>
    <w:p w:rsidR="00D829AF" w:rsidRPr="000D0FF4" w:rsidP="00672FF2" w14:paraId="3DD7E988" w14:textId="77777777">
      <w:bookmarkStart w:id="1" w:name="_Toc267035194"/>
    </w:p>
    <w:p w:rsidR="00D829AF" w:rsidRPr="000D0FF4" w:rsidP="00D829AF" w14:paraId="3DD7E989" w14:textId="0F023244">
      <w:pPr>
        <w:pStyle w:val="Heading2"/>
        <w:rPr>
          <w:rFonts w:cs="Times New Roman"/>
        </w:rPr>
      </w:pPr>
      <w:r w:rsidRPr="000D0FF4">
        <w:rPr>
          <w:rFonts w:cs="Times New Roman"/>
        </w:rPr>
        <w:t>A.2.</w:t>
      </w:r>
      <w:r w:rsidRPr="000D0FF4">
        <w:rPr>
          <w:rFonts w:cs="Times New Roman"/>
        </w:rPr>
        <w:tab/>
        <w:t>Indicate how, by whom, and for what purpose the information is to be used. Except for a new collection, indicate the actual use the agency has made of the information received from the current collection.</w:t>
      </w:r>
      <w:bookmarkEnd w:id="1"/>
    </w:p>
    <w:p w:rsidR="00EA44C6" w:rsidRPr="00BF33EF" w:rsidP="00EA44C6" w14:paraId="0C7595C6" w14:textId="77777777"/>
    <w:p w:rsidR="005A733F" w:rsidRPr="004E0415" w:rsidP="00EA44C6" w14:paraId="6FADBAC8" w14:textId="209EC918">
      <w:r w:rsidRPr="004E0415">
        <w:t xml:space="preserve">CPSC will use the information from this </w:t>
      </w:r>
      <w:r w:rsidRPr="004E0415" w:rsidR="00CA51D5">
        <w:t xml:space="preserve">data collection </w:t>
      </w:r>
      <w:r w:rsidRPr="004E0415">
        <w:t xml:space="preserve">to inform the development/modification of age determination </w:t>
      </w:r>
      <w:r w:rsidRPr="004E0415" w:rsidR="00CA51D5">
        <w:rPr>
          <w:i/>
        </w:rPr>
        <w:t xml:space="preserve">Guidelines </w:t>
      </w:r>
      <w:r w:rsidRPr="004E0415">
        <w:t xml:space="preserve">for </w:t>
      </w:r>
      <w:r w:rsidRPr="004E0415" w:rsidR="002029F7">
        <w:t>toy categories represented by the selected toys</w:t>
      </w:r>
      <w:r w:rsidRPr="004E0415">
        <w:t xml:space="preserve">. The </w:t>
      </w:r>
      <w:r w:rsidRPr="004E0415" w:rsidR="002029F7">
        <w:t xml:space="preserve">information included in the </w:t>
      </w:r>
      <w:r w:rsidRPr="004E0415" w:rsidR="00CA51D5">
        <w:rPr>
          <w:i/>
        </w:rPr>
        <w:t>Guidelines</w:t>
      </w:r>
      <w:r w:rsidRPr="004E0415" w:rsidR="00CA51D5">
        <w:t xml:space="preserve"> </w:t>
      </w:r>
      <w:r w:rsidRPr="004E0415">
        <w:t xml:space="preserve">will </w:t>
      </w:r>
      <w:r w:rsidRPr="004E0415" w:rsidR="00EA44C6">
        <w:t xml:space="preserve">be </w:t>
      </w:r>
      <w:r w:rsidRPr="004E0415">
        <w:t>subsequently used by</w:t>
      </w:r>
      <w:r w:rsidRPr="004E0415" w:rsidR="00E84DA3">
        <w:t xml:space="preserve"> </w:t>
      </w:r>
      <w:r w:rsidRPr="004E0415">
        <w:t>various stakeholders, including</w:t>
      </w:r>
      <w:r w:rsidRPr="004E0415" w:rsidR="00E84DA3">
        <w:t xml:space="preserve"> CSPC staff, </w:t>
      </w:r>
      <w:r w:rsidRPr="004E0415">
        <w:t>manufacturers</w:t>
      </w:r>
      <w:r w:rsidRPr="004E0415" w:rsidR="00E84DA3">
        <w:t>, child safety advocates,</w:t>
      </w:r>
      <w:r w:rsidRPr="004E0415">
        <w:t xml:space="preserve"> and consumers of the toys.</w:t>
      </w:r>
    </w:p>
    <w:p w:rsidR="00994218" w:rsidRPr="004E0415" w:rsidP="00EA44C6" w14:paraId="228BDAAD" w14:textId="1DCE3375"/>
    <w:p w:rsidR="00994218" w:rsidRPr="00BF33EF" w:rsidP="00994218" w14:paraId="41AAC5D0" w14:textId="3CD0E45C">
      <w:pPr>
        <w:pStyle w:val="L1-FlLSp12"/>
        <w:rPr>
          <w:rFonts w:ascii="Times New Roman" w:hAnsi="Times New Roman"/>
          <w:szCs w:val="24"/>
        </w:rPr>
      </w:pPr>
      <w:r w:rsidRPr="004E0415">
        <w:rPr>
          <w:rFonts w:ascii="Times New Roman" w:hAnsi="Times New Roman"/>
          <w:szCs w:val="24"/>
        </w:rPr>
        <w:t xml:space="preserve">Various stakeholders use the information contained in the </w:t>
      </w:r>
      <w:r w:rsidRPr="004E0415">
        <w:rPr>
          <w:rFonts w:ascii="Times New Roman" w:hAnsi="Times New Roman"/>
          <w:i/>
          <w:szCs w:val="24"/>
        </w:rPr>
        <w:t>Guidelines</w:t>
      </w:r>
      <w:r w:rsidRPr="004E0415">
        <w:rPr>
          <w:rFonts w:ascii="Times New Roman" w:hAnsi="Times New Roman"/>
          <w:szCs w:val="24"/>
        </w:rPr>
        <w:t xml:space="preserve">. </w:t>
      </w:r>
      <w:r w:rsidRPr="004E0415" w:rsidR="0082101E">
        <w:rPr>
          <w:rFonts w:ascii="Times New Roman" w:hAnsi="Times New Roman"/>
          <w:szCs w:val="24"/>
        </w:rPr>
        <w:t>Manufacturers</w:t>
      </w:r>
      <w:r w:rsidRPr="004E0415">
        <w:rPr>
          <w:rFonts w:ascii="Times New Roman" w:hAnsi="Times New Roman"/>
          <w:szCs w:val="24"/>
        </w:rPr>
        <w:t xml:space="preserve"> can and should rely on</w:t>
      </w:r>
      <w:r w:rsidR="00EA72C2">
        <w:rPr>
          <w:rFonts w:ascii="Times New Roman" w:hAnsi="Times New Roman"/>
          <w:szCs w:val="24"/>
        </w:rPr>
        <w:t xml:space="preserve"> the publicly available</w:t>
      </w:r>
      <w:r w:rsidRPr="004E0415">
        <w:rPr>
          <w:rFonts w:ascii="Times New Roman" w:hAnsi="Times New Roman"/>
          <w:szCs w:val="24"/>
        </w:rPr>
        <w:t xml:space="preserve"> information contained in the </w:t>
      </w:r>
      <w:r w:rsidRPr="004E0415">
        <w:rPr>
          <w:rFonts w:ascii="Times New Roman" w:hAnsi="Times New Roman"/>
          <w:i/>
          <w:szCs w:val="24"/>
        </w:rPr>
        <w:t>Guidelines</w:t>
      </w:r>
      <w:r w:rsidRPr="004E0415">
        <w:rPr>
          <w:rFonts w:ascii="Times New Roman" w:hAnsi="Times New Roman"/>
          <w:szCs w:val="24"/>
        </w:rPr>
        <w:t xml:space="preserve"> when designing toys. That is, toys should be designed and marketed </w:t>
      </w:r>
      <w:r w:rsidR="00CC4B36">
        <w:rPr>
          <w:rFonts w:ascii="Times New Roman" w:hAnsi="Times New Roman"/>
          <w:szCs w:val="24"/>
        </w:rPr>
        <w:t>for a particular age group</w:t>
      </w:r>
      <w:r w:rsidRPr="004E0415">
        <w:rPr>
          <w:rFonts w:ascii="Times New Roman" w:hAnsi="Times New Roman"/>
          <w:szCs w:val="24"/>
        </w:rPr>
        <w:t xml:space="preserve">. Other stakeholders who use the </w:t>
      </w:r>
      <w:r w:rsidRPr="004E0415">
        <w:rPr>
          <w:rFonts w:ascii="Times New Roman" w:hAnsi="Times New Roman"/>
          <w:i/>
          <w:szCs w:val="24"/>
        </w:rPr>
        <w:t>Guidelines</w:t>
      </w:r>
      <w:r w:rsidRPr="004E0415">
        <w:rPr>
          <w:rFonts w:ascii="Times New Roman" w:hAnsi="Times New Roman"/>
          <w:szCs w:val="24"/>
        </w:rPr>
        <w:t xml:space="preserve"> include CPSC Compliance and Human Factors staff and independent consultants and testing laboratories who examine toys </w:t>
      </w:r>
      <w:r w:rsidRPr="004E0415" w:rsidR="00BF33EF">
        <w:rPr>
          <w:rFonts w:ascii="Times New Roman" w:hAnsi="Times New Roman"/>
          <w:szCs w:val="24"/>
        </w:rPr>
        <w:t>daily</w:t>
      </w:r>
      <w:r w:rsidRPr="004E0415">
        <w:rPr>
          <w:rFonts w:ascii="Times New Roman" w:hAnsi="Times New Roman"/>
          <w:szCs w:val="24"/>
        </w:rPr>
        <w:t xml:space="preserve"> for the purpose of </w:t>
      </w:r>
      <w:r w:rsidRPr="00BF33EF">
        <w:rPr>
          <w:rFonts w:ascii="Times New Roman" w:hAnsi="Times New Roman"/>
          <w:szCs w:val="24"/>
        </w:rPr>
        <w:t>determining the product’s intended age</w:t>
      </w:r>
      <w:r w:rsidRPr="00BF33EF" w:rsidR="002029F7">
        <w:rPr>
          <w:rFonts w:ascii="Times New Roman" w:hAnsi="Times New Roman"/>
          <w:szCs w:val="24"/>
        </w:rPr>
        <w:t xml:space="preserve"> and what types of testing the product should undergo</w:t>
      </w:r>
      <w:r w:rsidRPr="00BF33EF">
        <w:rPr>
          <w:rFonts w:ascii="Times New Roman" w:hAnsi="Times New Roman"/>
          <w:szCs w:val="24"/>
        </w:rPr>
        <w:t xml:space="preserve">. </w:t>
      </w:r>
    </w:p>
    <w:p w:rsidR="00994218" w:rsidRPr="00BF33EF" w:rsidP="00994218" w14:paraId="4F739667" w14:textId="77777777"/>
    <w:p w:rsidR="00994218" w:rsidRPr="004E0415" w:rsidP="005F2D9A" w14:paraId="4778AEBF" w14:textId="70EF0D5D">
      <w:pPr>
        <w:tabs>
          <w:tab w:val="left" w:pos="1800"/>
        </w:tabs>
      </w:pPr>
      <w:r w:rsidRPr="004E0415">
        <w:t>In addition,</w:t>
      </w:r>
      <w:r w:rsidRPr="004E0415" w:rsidR="00FD1DC9">
        <w:t xml:space="preserve"> information related to the </w:t>
      </w:r>
      <w:r w:rsidRPr="004E0415">
        <w:t>a</w:t>
      </w:r>
      <w:r w:rsidRPr="004E0415">
        <w:t>ge</w:t>
      </w:r>
      <w:r w:rsidR="00E42BFB">
        <w:t xml:space="preserve"> determination </w:t>
      </w:r>
      <w:r w:rsidRPr="004E0415" w:rsidR="004E0415">
        <w:t>of</w:t>
      </w:r>
      <w:r w:rsidRPr="004E0415">
        <w:t xml:space="preserve"> toys </w:t>
      </w:r>
      <w:r w:rsidRPr="004E0415" w:rsidR="0082101E">
        <w:t>is</w:t>
      </w:r>
      <w:r w:rsidRPr="004E0415">
        <w:t xml:space="preserve"> important for </w:t>
      </w:r>
      <w:r w:rsidR="00EA72C2">
        <w:t xml:space="preserve">enhancing </w:t>
      </w:r>
      <w:r w:rsidRPr="004E0415">
        <w:t xml:space="preserve">the physical, intellectual, and socioemotional development of children. </w:t>
      </w:r>
      <w:r w:rsidRPr="004E0415" w:rsidR="00FD1DC9">
        <w:t xml:space="preserve">Providing children with </w:t>
      </w:r>
      <w:r w:rsidRPr="004E0415" w:rsidR="00273A77">
        <w:t>age-appropriate</w:t>
      </w:r>
      <w:r w:rsidRPr="004E0415" w:rsidR="00FD1DC9">
        <w:t xml:space="preserve"> toys</w:t>
      </w:r>
      <w:r w:rsidRPr="004E0415">
        <w:t xml:space="preserve"> can help </w:t>
      </w:r>
      <w:r w:rsidRPr="004E0415" w:rsidR="00FD1DC9">
        <w:t xml:space="preserve">them </w:t>
      </w:r>
      <w:r w:rsidRPr="004E0415">
        <w:t xml:space="preserve">learn, develop imaginative capacities, and refine motor coordination. </w:t>
      </w:r>
      <w:r w:rsidRPr="004E0415" w:rsidR="00CA51D5">
        <w:t>Interacting with age-appropriate t</w:t>
      </w:r>
      <w:r w:rsidRPr="004E0415" w:rsidR="00CA51D5">
        <w:rPr>
          <w:shd w:val="clear" w:color="auto" w:fill="FFFFFF"/>
        </w:rPr>
        <w:t xml:space="preserve">oys </w:t>
      </w:r>
      <w:r w:rsidRPr="004E0415" w:rsidR="00CA51D5">
        <w:rPr>
          <w:bCs/>
          <w:shd w:val="clear" w:color="auto" w:fill="FFFFFF"/>
        </w:rPr>
        <w:t>provide</w:t>
      </w:r>
      <w:r w:rsidRPr="004E0415" w:rsidR="00FD1DC9">
        <w:rPr>
          <w:bCs/>
          <w:shd w:val="clear" w:color="auto" w:fill="FFFFFF"/>
        </w:rPr>
        <w:t>s</w:t>
      </w:r>
      <w:r w:rsidRPr="004E0415" w:rsidR="00CA51D5">
        <w:rPr>
          <w:bCs/>
          <w:shd w:val="clear" w:color="auto" w:fill="FFFFFF"/>
        </w:rPr>
        <w:t xml:space="preserve"> opportunities for the child to practice different thinking skills, such as imitation, cause and effect, problem solving, and symbolic thinking</w:t>
      </w:r>
      <w:r w:rsidRPr="004E0415" w:rsidR="005F2D9A">
        <w:rPr>
          <w:bCs/>
          <w:shd w:val="clear" w:color="auto" w:fill="FFFFFF"/>
        </w:rPr>
        <w:t xml:space="preserve">, </w:t>
      </w:r>
      <w:r w:rsidRPr="004E0415" w:rsidR="005F2D9A">
        <w:rPr>
          <w:shd w:val="clear" w:color="auto" w:fill="FFFFFF"/>
        </w:rPr>
        <w:t>and nurtures their creativity and imagination</w:t>
      </w:r>
      <w:r w:rsidRPr="004E0415" w:rsidR="00CA51D5">
        <w:rPr>
          <w:rFonts w:ascii="Arial" w:hAnsi="Arial" w:cs="Arial"/>
          <w:shd w:val="clear" w:color="auto" w:fill="FFFFFF"/>
        </w:rPr>
        <w:t xml:space="preserve">. </w:t>
      </w:r>
      <w:r w:rsidRPr="004E0415" w:rsidR="005F2D9A">
        <w:rPr>
          <w:shd w:val="clear" w:color="auto" w:fill="FFFFFF"/>
        </w:rPr>
        <w:t>It also helps develop their fine and gross motor skills. Conversely, interacting with toys that are not age</w:t>
      </w:r>
      <w:r w:rsidR="00273A77">
        <w:rPr>
          <w:shd w:val="clear" w:color="auto" w:fill="FFFFFF"/>
        </w:rPr>
        <w:t>-</w:t>
      </w:r>
      <w:r w:rsidRPr="004E0415" w:rsidR="005F2D9A">
        <w:rPr>
          <w:shd w:val="clear" w:color="auto" w:fill="FFFFFF"/>
        </w:rPr>
        <w:t xml:space="preserve">appropriate may expose the child to injuries </w:t>
      </w:r>
      <w:r w:rsidR="00EA72C2">
        <w:rPr>
          <w:shd w:val="clear" w:color="auto" w:fill="FFFFFF"/>
        </w:rPr>
        <w:t>resulting from</w:t>
      </w:r>
      <w:r w:rsidRPr="004E0415" w:rsidR="005F2D9A">
        <w:rPr>
          <w:shd w:val="clear" w:color="auto" w:fill="FFFFFF"/>
        </w:rPr>
        <w:t xml:space="preserve"> </w:t>
      </w:r>
      <w:r w:rsidRPr="004E0415" w:rsidR="005F2D9A">
        <w:rPr>
          <w:bCs/>
          <w:shd w:val="clear" w:color="auto" w:fill="FFFFFF"/>
        </w:rPr>
        <w:t>falls, choking, strangulation, burns, drowning, and poisoning.</w:t>
      </w:r>
      <w:r w:rsidRPr="004E0415" w:rsidR="005F2D9A">
        <w:rPr>
          <w:shd w:val="clear" w:color="auto" w:fill="FFFFFF"/>
        </w:rPr>
        <w:t xml:space="preserve"> </w:t>
      </w:r>
      <w:r w:rsidRPr="004E0415">
        <w:t xml:space="preserve">Age determinations can be used to </w:t>
      </w:r>
      <w:r w:rsidRPr="004E0415" w:rsidR="00CA51D5">
        <w:t xml:space="preserve">assign </w:t>
      </w:r>
      <w:r w:rsidRPr="004E0415">
        <w:t xml:space="preserve">an intended age during a toy’s design phase and can be </w:t>
      </w:r>
      <w:r w:rsidRPr="004E0415">
        <w:t xml:space="preserve">used for age labeling a product accurately, thereby encouraging consumers to purchase and give a toy to a child who is most likely to </w:t>
      </w:r>
      <w:r w:rsidRPr="004E0415" w:rsidR="005644E3">
        <w:t xml:space="preserve">interact </w:t>
      </w:r>
      <w:r w:rsidRPr="004E0415">
        <w:t>with its features</w:t>
      </w:r>
      <w:r w:rsidR="00273A77">
        <w:t xml:space="preserve"> as intended</w:t>
      </w:r>
      <w:r w:rsidRPr="004E0415">
        <w:t xml:space="preserve">. </w:t>
      </w:r>
    </w:p>
    <w:p w:rsidR="00994218" w:rsidRPr="004E0415" w:rsidP="00EA44C6" w14:paraId="0A98C562" w14:textId="77777777"/>
    <w:p w:rsidR="00D829AF" w:rsidRPr="000D0FF4" w:rsidP="00D829AF" w14:paraId="3DD7E98A" w14:textId="77777777"/>
    <w:p w:rsidR="00D829AF" w:rsidRPr="000D0FF4" w:rsidP="00D829AF" w14:paraId="3DD7E99A" w14:textId="7613A35F">
      <w:pPr>
        <w:pStyle w:val="Heading2"/>
        <w:rPr>
          <w:rFonts w:cs="Times New Roman"/>
        </w:rPr>
      </w:pPr>
      <w:bookmarkStart w:id="2" w:name="_Toc267035195"/>
      <w:r w:rsidRPr="000D0FF4">
        <w:rPr>
          <w:rFonts w:cs="Times New Roman"/>
        </w:rPr>
        <w:t>A.3.</w:t>
      </w:r>
      <w:r w:rsidRPr="000D0FF4">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2"/>
    </w:p>
    <w:p w:rsidR="00D829AF" w:rsidRPr="000D0FF4" w:rsidP="00D829AF" w14:paraId="3DD7E99B" w14:textId="77777777">
      <w:pPr>
        <w:pStyle w:val="L1-FlLSp12"/>
      </w:pPr>
    </w:p>
    <w:p w:rsidR="004C44BF" w:rsidRPr="008F180C" w:rsidP="00D829AF" w14:paraId="3DD7E9B6" w14:textId="65F06939">
      <w:r w:rsidRPr="008F180C">
        <w:t xml:space="preserve">Data collection is primarily through direct human observations of </w:t>
      </w:r>
      <w:r w:rsidRPr="008F180C" w:rsidR="00947578">
        <w:t>children’s</w:t>
      </w:r>
      <w:r w:rsidRPr="008F180C">
        <w:t xml:space="preserve"> interactions with toys</w:t>
      </w:r>
      <w:r w:rsidRPr="008F180C" w:rsidR="006F1219">
        <w:t xml:space="preserve"> </w:t>
      </w:r>
      <w:r w:rsidRPr="008F180C">
        <w:t xml:space="preserve">and </w:t>
      </w:r>
      <w:r w:rsidR="000D7FB2">
        <w:t>caregiver</w:t>
      </w:r>
      <w:r w:rsidRPr="008F180C" w:rsidR="00676D06">
        <w:t xml:space="preserve">s’ </w:t>
      </w:r>
      <w:r w:rsidRPr="008F180C">
        <w:t>responses to questionnaires.</w:t>
      </w:r>
      <w:r w:rsidRPr="008F180C" w:rsidR="00C96336">
        <w:t xml:space="preserve"> W</w:t>
      </w:r>
      <w:r w:rsidRPr="008F180C">
        <w:t>e will video</w:t>
      </w:r>
      <w:r w:rsidRPr="008F180C" w:rsidR="0063284B">
        <w:t xml:space="preserve"> </w:t>
      </w:r>
      <w:r w:rsidRPr="008F180C">
        <w:t xml:space="preserve">record the child’s interaction with each of the toys through cameras </w:t>
      </w:r>
      <w:r w:rsidRPr="008F180C" w:rsidR="00CA2DD9">
        <w:t xml:space="preserve">located at discreet locations in the </w:t>
      </w:r>
      <w:r w:rsidRPr="008F180C" w:rsidR="00C96336">
        <w:t>lab.</w:t>
      </w:r>
      <w:r w:rsidRPr="008F180C">
        <w:t xml:space="preserve"> The video </w:t>
      </w:r>
      <w:r w:rsidRPr="008F180C" w:rsidR="00CA2DD9">
        <w:t xml:space="preserve">will be used </w:t>
      </w:r>
      <w:r w:rsidRPr="008F180C">
        <w:t>as a backup reference</w:t>
      </w:r>
      <w:r w:rsidRPr="008F180C" w:rsidR="00AC333E">
        <w:t xml:space="preserve"> for </w:t>
      </w:r>
      <w:r w:rsidRPr="008F180C" w:rsidR="00994218">
        <w:t xml:space="preserve">real time </w:t>
      </w:r>
      <w:r w:rsidRPr="008F180C" w:rsidR="00AC333E">
        <w:t>coding</w:t>
      </w:r>
      <w:r w:rsidRPr="008F180C" w:rsidR="00994218">
        <w:t>. That is,</w:t>
      </w:r>
      <w:r w:rsidRPr="008F180C" w:rsidR="006F1219">
        <w:t xml:space="preserve"> </w:t>
      </w:r>
      <w:r w:rsidRPr="008F180C" w:rsidR="00AC333E">
        <w:t>if researchers need to confirm coding decisions made during the session</w:t>
      </w:r>
      <w:r w:rsidR="00273A77">
        <w:t>s</w:t>
      </w:r>
      <w:r w:rsidRPr="008F180C" w:rsidR="00994218">
        <w:t>, they will refer to the video captured during the sessions</w:t>
      </w:r>
      <w:r w:rsidRPr="008F180C" w:rsidR="00AC333E">
        <w:t xml:space="preserve">. </w:t>
      </w:r>
      <w:r w:rsidRPr="008F180C" w:rsidR="00C96336">
        <w:t>At the end of the session</w:t>
      </w:r>
      <w:r w:rsidR="00273A77">
        <w:t>s</w:t>
      </w:r>
      <w:r w:rsidRPr="008F180C" w:rsidR="00C96336">
        <w:t xml:space="preserve"> the video data will be saved to a secure server that will only be accessible to project staff. </w:t>
      </w:r>
      <w:r w:rsidRPr="008F180C" w:rsidR="00A030DB">
        <w:t xml:space="preserve">Observations of </w:t>
      </w:r>
      <w:r w:rsidRPr="008F180C" w:rsidR="00463464">
        <w:t>children</w:t>
      </w:r>
      <w:r w:rsidRPr="008F180C" w:rsidR="00947578">
        <w:t>’</w:t>
      </w:r>
      <w:r w:rsidRPr="008F180C" w:rsidR="00463464">
        <w:t xml:space="preserve">s </w:t>
      </w:r>
      <w:r w:rsidRPr="008F180C" w:rsidR="00A030DB">
        <w:t xml:space="preserve">interactions and </w:t>
      </w:r>
      <w:r w:rsidRPr="008F180C" w:rsidR="0082101E">
        <w:t>caregivers’</w:t>
      </w:r>
      <w:r w:rsidRPr="008F180C" w:rsidR="00A030DB">
        <w:t xml:space="preserve"> responses to questions about the toys will be recorded on paper </w:t>
      </w:r>
      <w:r w:rsidRPr="008F180C" w:rsidR="00C96336">
        <w:t xml:space="preserve">forms. </w:t>
      </w:r>
      <w:r w:rsidRPr="008F180C" w:rsidR="00A030DB">
        <w:t>At the end of each session</w:t>
      </w:r>
      <w:r w:rsidRPr="008F180C" w:rsidR="00FD04AA">
        <w:t>,</w:t>
      </w:r>
      <w:r w:rsidRPr="008F180C" w:rsidR="00A030DB">
        <w:t xml:space="preserve"> data recorded on the paper forms will be entered into a secure Access database</w:t>
      </w:r>
      <w:r w:rsidRPr="008F180C" w:rsidR="00463464">
        <w:t>,</w:t>
      </w:r>
      <w:r w:rsidRPr="008F180C" w:rsidR="00A030DB">
        <w:t xml:space="preserve"> which will be kept on a secure server</w:t>
      </w:r>
      <w:r w:rsidRPr="008F180C" w:rsidR="00CA2DD9">
        <w:t>.</w:t>
      </w:r>
      <w:r w:rsidRPr="008F180C" w:rsidR="006741ED">
        <w:t xml:space="preserve"> </w:t>
      </w:r>
      <w:r w:rsidRPr="008F180C" w:rsidR="00484C53">
        <w:t xml:space="preserve">The paper forms will be kept in a locked filing cabinet in a secured room </w:t>
      </w:r>
      <w:r w:rsidR="00636E68">
        <w:t xml:space="preserve">for </w:t>
      </w:r>
      <w:r w:rsidR="00636E68">
        <w:t>3-months</w:t>
      </w:r>
      <w:r w:rsidR="00636E68">
        <w:t xml:space="preserve"> after the </w:t>
      </w:r>
      <w:r w:rsidRPr="008F180C" w:rsidR="00484C53">
        <w:t>end of the study, at which time they will be destroyed.</w:t>
      </w:r>
    </w:p>
    <w:p w:rsidR="00A030DB" w:rsidRPr="000D0FF4" w:rsidP="00D829AF" w14:paraId="19AF28F0" w14:textId="77777777"/>
    <w:p w:rsidR="006F1219" w:rsidRPr="000D0FF4" w:rsidP="006F1219" w14:paraId="0B323FEF" w14:textId="69090C8C">
      <w:pPr>
        <w:pStyle w:val="Heading2"/>
        <w:rPr>
          <w:rFonts w:cs="Times New Roman"/>
        </w:rPr>
      </w:pPr>
      <w:bookmarkStart w:id="3" w:name="_Toc267035196"/>
      <w:r w:rsidRPr="000D0FF4">
        <w:rPr>
          <w:rFonts w:cs="Times New Roman"/>
        </w:rPr>
        <w:t>A.4.</w:t>
      </w:r>
      <w:r w:rsidRPr="000D0FF4">
        <w:rPr>
          <w:rFonts w:cs="Times New Roman"/>
        </w:rPr>
        <w:tab/>
        <w:t>Describe efforts to identify duplication. Show specifically why any similar information already available cannot be used or modified for use for the purposes described in Item 2 above.</w:t>
      </w:r>
      <w:bookmarkEnd w:id="3"/>
    </w:p>
    <w:p w:rsidR="00563089" w:rsidRPr="000D0FF4" w:rsidP="00563089" w14:paraId="1B335318" w14:textId="3BA09768"/>
    <w:p w:rsidR="00563089" w:rsidRPr="00273A77" w:rsidP="00563089" w14:paraId="1ADD48F0" w14:textId="5C2EA99B">
      <w:r w:rsidRPr="004702D6">
        <w:t xml:space="preserve">The </w:t>
      </w:r>
      <w:r w:rsidRPr="004702D6" w:rsidR="0082101E">
        <w:t>toys</w:t>
      </w:r>
      <w:r w:rsidRPr="004702D6" w:rsidR="00310170">
        <w:t xml:space="preserve"> selected for this study</w:t>
      </w:r>
      <w:r w:rsidRPr="004702D6">
        <w:t xml:space="preserve"> belong to </w:t>
      </w:r>
      <w:r w:rsidRPr="004702D6" w:rsidR="00310170">
        <w:t xml:space="preserve">toy </w:t>
      </w:r>
      <w:r w:rsidRPr="004702D6">
        <w:t xml:space="preserve">categories </w:t>
      </w:r>
      <w:r w:rsidRPr="004702D6" w:rsidR="002A6ECF">
        <w:t xml:space="preserve">that were </w:t>
      </w:r>
      <w:r w:rsidRPr="004702D6" w:rsidR="00E07E74">
        <w:t xml:space="preserve">not addressed in the </w:t>
      </w:r>
      <w:r w:rsidRPr="004702D6" w:rsidR="002A6ECF">
        <w:t xml:space="preserve">2020 </w:t>
      </w:r>
      <w:r w:rsidRPr="004702D6" w:rsidR="002A6ECF">
        <w:rPr>
          <w:i/>
        </w:rPr>
        <w:t>Guidelines</w:t>
      </w:r>
      <w:r w:rsidRPr="004702D6" w:rsidR="002A6ECF">
        <w:t xml:space="preserve"> </w:t>
      </w:r>
      <w:r w:rsidRPr="004702D6">
        <w:t xml:space="preserve">or </w:t>
      </w:r>
      <w:r w:rsidRPr="004702D6" w:rsidR="00273A77">
        <w:t>need</w:t>
      </w:r>
      <w:r w:rsidRPr="004702D6">
        <w:t xml:space="preserve"> additional information based on the research</w:t>
      </w:r>
      <w:r w:rsidRPr="004702D6" w:rsidR="00676D06">
        <w:t xml:space="preserve"> and feedback from various stakeholders</w:t>
      </w:r>
      <w:r w:rsidRPr="004702D6">
        <w:t xml:space="preserve">. </w:t>
      </w:r>
      <w:r w:rsidRPr="004702D6" w:rsidR="00E07E74">
        <w:t>D</w:t>
      </w:r>
      <w:r w:rsidRPr="004702D6">
        <w:t>ata</w:t>
      </w:r>
      <w:r w:rsidRPr="004702D6" w:rsidR="00500113">
        <w:t xml:space="preserve"> </w:t>
      </w:r>
      <w:r w:rsidRPr="004702D6" w:rsidR="00081F72">
        <w:t>needed</w:t>
      </w:r>
      <w:r w:rsidRPr="004702D6" w:rsidR="00500113">
        <w:t xml:space="preserve"> for age determination</w:t>
      </w:r>
      <w:r w:rsidRPr="004702D6">
        <w:t xml:space="preserve"> on the </w:t>
      </w:r>
      <w:r w:rsidRPr="004702D6" w:rsidR="00E07E74">
        <w:t>s</w:t>
      </w:r>
      <w:r w:rsidRPr="004702D6" w:rsidR="004B47CA">
        <w:t>e</w:t>
      </w:r>
      <w:r w:rsidRPr="004702D6" w:rsidR="00E07E74">
        <w:t xml:space="preserve">lected </w:t>
      </w:r>
      <w:r w:rsidRPr="004702D6">
        <w:t>toys</w:t>
      </w:r>
      <w:r w:rsidRPr="004702D6" w:rsidR="00E07E74">
        <w:t xml:space="preserve"> </w:t>
      </w:r>
      <w:r w:rsidRPr="004702D6" w:rsidR="00081F72">
        <w:t>is</w:t>
      </w:r>
      <w:r w:rsidRPr="004702D6" w:rsidR="00E07E74">
        <w:t xml:space="preserve"> currently</w:t>
      </w:r>
      <w:r w:rsidRPr="004702D6">
        <w:t xml:space="preserve"> not available. </w:t>
      </w:r>
      <w:r w:rsidRPr="004702D6" w:rsidR="00E07E74">
        <w:t>That is, t</w:t>
      </w:r>
      <w:r w:rsidRPr="004702D6">
        <w:t>here has been no</w:t>
      </w:r>
      <w:r w:rsidRPr="004702D6">
        <w:t xml:space="preserve"> objective </w:t>
      </w:r>
      <w:r w:rsidRPr="004702D6">
        <w:t>data collected</w:t>
      </w:r>
      <w:r w:rsidRPr="004702D6" w:rsidR="00500113">
        <w:t xml:space="preserve"> by CPSC</w:t>
      </w:r>
      <w:r w:rsidRPr="004702D6">
        <w:t xml:space="preserve"> </w:t>
      </w:r>
      <w:r w:rsidRPr="004702D6" w:rsidR="00E07E74">
        <w:t xml:space="preserve">from </w:t>
      </w:r>
      <w:r w:rsidRPr="004702D6" w:rsidR="00463464">
        <w:t>children ages 2 – 4 and their</w:t>
      </w:r>
      <w:r w:rsidRPr="004702D6">
        <w:t xml:space="preserve"> interactions with these toys. As such, this study is intended to obtain information that will give researchers</w:t>
      </w:r>
      <w:r w:rsidRPr="004702D6" w:rsidR="00463464">
        <w:t>,</w:t>
      </w:r>
      <w:r w:rsidRPr="004702D6">
        <w:t xml:space="preserve"> stakeholders, safety advocates and caregivers a better understanding of the </w:t>
      </w:r>
      <w:r w:rsidRPr="004702D6" w:rsidR="00E07E74">
        <w:t>ages of children who are interested in these toys, the fine motor or other physical skills required by the child to fully utilize the toy, and what age group can use them as the manufacturer intended.</w:t>
      </w:r>
    </w:p>
    <w:p w:rsidR="00295D0D" w:rsidRPr="000D0FF4" w:rsidP="00EA44C6" w14:paraId="6A36569F" w14:textId="0B811C87">
      <w:r w:rsidRPr="000D0FF4">
        <w:rPr>
          <w:b/>
        </w:rPr>
        <w:tab/>
      </w:r>
      <w:bookmarkStart w:id="4" w:name="_Toc267035197"/>
    </w:p>
    <w:p w:rsidR="00D829AF" w:rsidRPr="000D0FF4" w:rsidP="00D829AF" w14:paraId="3DD7E9BC" w14:textId="77777777">
      <w:pPr>
        <w:pStyle w:val="Heading2"/>
        <w:rPr>
          <w:rFonts w:cs="Times New Roman"/>
        </w:rPr>
      </w:pPr>
      <w:r w:rsidRPr="000D0FF4">
        <w:rPr>
          <w:rFonts w:cs="Times New Roman"/>
        </w:rPr>
        <w:t>A.5.</w:t>
      </w:r>
      <w:r w:rsidRPr="000D0FF4">
        <w:rPr>
          <w:rFonts w:cs="Times New Roman"/>
        </w:rPr>
        <w:tab/>
        <w:t>If the collection of information impacts small businesses or other small entities, describe methods used to minimize burden.</w:t>
      </w:r>
      <w:bookmarkEnd w:id="4"/>
    </w:p>
    <w:p w:rsidR="00D829AF" w:rsidRPr="000D0FF4" w:rsidP="00D829AF" w14:paraId="3DD7E9BD" w14:textId="77777777">
      <w:pPr>
        <w:widowControl w:val="0"/>
      </w:pPr>
    </w:p>
    <w:p w:rsidR="00D829AF" w:rsidRPr="004702D6" w:rsidP="00D829AF" w14:paraId="3DD7E9BE" w14:textId="77777777">
      <w:pPr>
        <w:widowControl w:val="0"/>
        <w:rPr>
          <w:bCs/>
        </w:rPr>
      </w:pPr>
      <w:r w:rsidRPr="004702D6">
        <w:t>There will be no impact on small businesses or other small entities.</w:t>
      </w:r>
    </w:p>
    <w:p w:rsidR="00D829AF" w:rsidRPr="000D0FF4" w:rsidP="00D829AF" w14:paraId="3DD7E9BF" w14:textId="77777777"/>
    <w:p w:rsidR="00D829AF" w:rsidRPr="000D0FF4" w:rsidP="00D829AF" w14:paraId="3DD7E9C1" w14:textId="73E611C2">
      <w:pPr>
        <w:pStyle w:val="Heading2"/>
        <w:rPr>
          <w:rFonts w:cs="Times New Roman"/>
        </w:rPr>
      </w:pPr>
      <w:bookmarkStart w:id="5" w:name="_Toc267035198"/>
      <w:r w:rsidRPr="000D0FF4">
        <w:rPr>
          <w:rFonts w:cs="Times New Roman"/>
        </w:rPr>
        <w:t>A.6.</w:t>
      </w:r>
      <w:r w:rsidRPr="000D0FF4">
        <w:rPr>
          <w:rFonts w:cs="Times New Roman"/>
        </w:rPr>
        <w:tab/>
        <w:t>Describe the consequence to Federal program or policy activities if the collection is not conducted or is conducted less frequently, as well as any technical or legal obstacles to reducing burden.</w:t>
      </w:r>
      <w:bookmarkEnd w:id="5"/>
    </w:p>
    <w:p w:rsidR="004C1642" w:rsidRPr="000D0FF4" w:rsidP="004C1642" w14:paraId="59C366BB" w14:textId="77777777">
      <w:pPr>
        <w:pStyle w:val="L1-FlLSp12"/>
      </w:pPr>
    </w:p>
    <w:p w:rsidR="00A02798" w:rsidRPr="004702D6" w:rsidP="0073613A" w14:paraId="607D9A1D" w14:textId="62237A5F">
      <w:r w:rsidRPr="004702D6">
        <w:t>This request is for a one-time study.</w:t>
      </w:r>
      <w:r w:rsidRPr="004702D6" w:rsidR="002029F7">
        <w:t xml:space="preserve"> Numerous </w:t>
      </w:r>
      <w:r w:rsidRPr="004702D6" w:rsidR="0073613A">
        <w:t>factors</w:t>
      </w:r>
      <w:r w:rsidRPr="004702D6" w:rsidR="002029F7">
        <w:t xml:space="preserve"> are considered when making an age determination. These include the physical characteristics of the toy (e.g., size and weight), </w:t>
      </w:r>
      <w:r w:rsidRPr="004702D6" w:rsidR="00F25916">
        <w:t xml:space="preserve">the </w:t>
      </w:r>
      <w:r w:rsidRPr="004702D6" w:rsidR="002029F7">
        <w:t>cognitive requirements</w:t>
      </w:r>
      <w:r w:rsidRPr="004702D6" w:rsidR="00F25916">
        <w:t xml:space="preserve"> needed to interact with the toy,</w:t>
      </w:r>
      <w:r w:rsidRPr="004702D6" w:rsidR="002029F7">
        <w:t xml:space="preserve"> </w:t>
      </w:r>
      <w:r w:rsidRPr="004702D6" w:rsidR="0044057A">
        <w:t>the fine motor or other physical skills required to use</w:t>
      </w:r>
      <w:r w:rsidRPr="004702D6" w:rsidR="002029F7">
        <w:t xml:space="preserve"> the toy as intended, </w:t>
      </w:r>
      <w:r w:rsidRPr="004702D6" w:rsidR="00F25916">
        <w:t xml:space="preserve">as well as </w:t>
      </w:r>
      <w:r w:rsidRPr="004702D6" w:rsidR="002029F7">
        <w:t xml:space="preserve">the toy’s theme and appearance. The </w:t>
      </w:r>
      <w:r w:rsidRPr="004702D6" w:rsidR="005D0652">
        <w:rPr>
          <w:i/>
        </w:rPr>
        <w:t>G</w:t>
      </w:r>
      <w:r w:rsidRPr="004702D6" w:rsidR="002029F7">
        <w:rPr>
          <w:i/>
        </w:rPr>
        <w:t xml:space="preserve">uidelines </w:t>
      </w:r>
      <w:r w:rsidRPr="004702D6" w:rsidR="002029F7">
        <w:t xml:space="preserve">provide details and examples </w:t>
      </w:r>
      <w:r w:rsidRPr="004702D6" w:rsidR="00076F10">
        <w:t xml:space="preserve">of the </w:t>
      </w:r>
      <w:r w:rsidR="004702D6">
        <w:t xml:space="preserve">cognitive and physical </w:t>
      </w:r>
      <w:r w:rsidRPr="004702D6" w:rsidR="00076F10">
        <w:t xml:space="preserve">skills needed </w:t>
      </w:r>
      <w:r w:rsidRPr="004702D6" w:rsidR="002029F7">
        <w:t xml:space="preserve">for each of </w:t>
      </w:r>
      <w:r w:rsidRPr="004702D6" w:rsidR="00076F10">
        <w:t>the toy categories addressed</w:t>
      </w:r>
      <w:r w:rsidRPr="004702D6" w:rsidR="004702D6">
        <w:t xml:space="preserve"> </w:t>
      </w:r>
      <w:r w:rsidRPr="004702D6" w:rsidR="00076F10">
        <w:t>by</w:t>
      </w:r>
      <w:r w:rsidRPr="004702D6" w:rsidR="002029F7">
        <w:t xml:space="preserve"> age group. The challenge for the analyst is how to determine </w:t>
      </w:r>
      <w:r w:rsidRPr="004702D6" w:rsidR="00273A77">
        <w:t>the intended</w:t>
      </w:r>
      <w:r w:rsidRPr="004702D6" w:rsidR="002029F7">
        <w:t xml:space="preserve"> age. Studying the ways in which toys are marketed; consumer perceptions of age suitability </w:t>
      </w:r>
      <w:r w:rsidRPr="004702D6" w:rsidR="003E51E6">
        <w:t>for</w:t>
      </w:r>
      <w:r w:rsidRPr="004702D6" w:rsidR="002029F7">
        <w:t xml:space="preserve"> children who are given or use toys; and observations of children’s interests, behavior, and overall interactions with toys can inform the content of the </w:t>
      </w:r>
      <w:r w:rsidRPr="004702D6" w:rsidR="005D0652">
        <w:rPr>
          <w:i/>
        </w:rPr>
        <w:t>Guidelines</w:t>
      </w:r>
      <w:r w:rsidRPr="004702D6" w:rsidR="002029F7">
        <w:t xml:space="preserve"> and the age-</w:t>
      </w:r>
      <w:r w:rsidR="005B3318">
        <w:t>determinations</w:t>
      </w:r>
      <w:r w:rsidRPr="004702D6" w:rsidR="002029F7">
        <w:t xml:space="preserve"> made by those who rely on them. The findings from this </w:t>
      </w:r>
      <w:r w:rsidRPr="004702D6" w:rsidR="0073613A">
        <w:t xml:space="preserve">data collection </w:t>
      </w:r>
      <w:r w:rsidRPr="004702D6" w:rsidR="002029F7">
        <w:t xml:space="preserve">will add information about a limited number of selected toys from six toy categories and enrich CPSC’s understanding of the ages of children who are interested in these toys, as well as </w:t>
      </w:r>
      <w:r w:rsidRPr="004702D6" w:rsidR="001776DD">
        <w:t>identify which age groups</w:t>
      </w:r>
      <w:r w:rsidRPr="004702D6" w:rsidR="002029F7">
        <w:t xml:space="preserve"> </w:t>
      </w:r>
      <w:r w:rsidRPr="004702D6" w:rsidR="0073613A">
        <w:t>have the physical and cognitive skills to use</w:t>
      </w:r>
      <w:r w:rsidRPr="004702D6" w:rsidR="002029F7">
        <w:t xml:space="preserve"> the</w:t>
      </w:r>
      <w:r w:rsidRPr="004702D6" w:rsidR="001776DD">
        <w:t xml:space="preserve"> toys</w:t>
      </w:r>
      <w:r w:rsidRPr="004702D6" w:rsidR="002029F7">
        <w:t xml:space="preserve"> as the manufacturer intends</w:t>
      </w:r>
      <w:r w:rsidRPr="004702D6" w:rsidR="0073613A">
        <w:t xml:space="preserve">. </w:t>
      </w:r>
      <w:r w:rsidRPr="004702D6" w:rsidR="003F0726">
        <w:t>As previously noted, t</w:t>
      </w:r>
      <w:r w:rsidRPr="004702D6" w:rsidR="00921D78">
        <w:t xml:space="preserve">he specific toy categories </w:t>
      </w:r>
      <w:r w:rsidRPr="004702D6" w:rsidR="00F549D7">
        <w:t xml:space="preserve">investigated </w:t>
      </w:r>
      <w:r w:rsidRPr="004702D6" w:rsidR="004702D6">
        <w:t>for this data collection</w:t>
      </w:r>
      <w:r w:rsidRPr="004702D6" w:rsidR="00E82C27">
        <w:t xml:space="preserve"> </w:t>
      </w:r>
      <w:r w:rsidRPr="004702D6" w:rsidR="00E82C27">
        <w:t>include</w:t>
      </w:r>
      <w:r w:rsidRPr="004702D6" w:rsidR="0087779F">
        <w:t>:</w:t>
      </w:r>
      <w:r w:rsidRPr="004702D6" w:rsidR="0087779F">
        <w:t xml:space="preserve"> </w:t>
      </w:r>
      <w:r w:rsidRPr="004702D6" w:rsidR="00E82C27">
        <w:t>Smart Toys, Figurines, Interlocking-Connecting Building Sets, Musical Toys, Plush Toys with Electronic Components, and Manipulatives</w:t>
      </w:r>
      <w:r w:rsidRPr="004702D6">
        <w:t xml:space="preserve">. </w:t>
      </w:r>
    </w:p>
    <w:p w:rsidR="00F549D7" w:rsidRPr="004702D6" w:rsidP="00A02798" w14:paraId="548820CC" w14:textId="77777777">
      <w:pPr>
        <w:pStyle w:val="L1-FlLSp12"/>
        <w:rPr>
          <w:rFonts w:ascii="Times New Roman" w:hAnsi="Times New Roman"/>
          <w:szCs w:val="24"/>
        </w:rPr>
      </w:pPr>
    </w:p>
    <w:p w:rsidR="007E419D" w:rsidRPr="004702D6" w:rsidP="007E419D" w14:paraId="36228161" w14:textId="04D026C1">
      <w:pPr>
        <w:pStyle w:val="L1-FlLSp12"/>
        <w:spacing w:line="240" w:lineRule="auto"/>
        <w:rPr>
          <w:rFonts w:ascii="Times New Roman" w:hAnsi="Times New Roman"/>
          <w:szCs w:val="24"/>
        </w:rPr>
      </w:pPr>
      <w:r w:rsidRPr="004702D6">
        <w:rPr>
          <w:rFonts w:ascii="Times New Roman" w:hAnsi="Times New Roman"/>
          <w:szCs w:val="24"/>
        </w:rPr>
        <w:t>Smart Toys</w:t>
      </w:r>
      <w:r w:rsidRPr="004702D6">
        <w:rPr>
          <w:rFonts w:ascii="Times New Roman" w:hAnsi="Times New Roman"/>
          <w:szCs w:val="24"/>
        </w:rPr>
        <w:t>, in particular, were</w:t>
      </w:r>
      <w:r w:rsidRPr="004702D6">
        <w:rPr>
          <w:rFonts w:ascii="Times New Roman" w:hAnsi="Times New Roman"/>
          <w:szCs w:val="24"/>
        </w:rPr>
        <w:t xml:space="preserve"> identified</w:t>
      </w:r>
      <w:r w:rsidRPr="004702D6" w:rsidR="00E82C27">
        <w:rPr>
          <w:rFonts w:ascii="Times New Roman" w:hAnsi="Times New Roman"/>
          <w:szCs w:val="24"/>
        </w:rPr>
        <w:t xml:space="preserve"> by stakeholders as</w:t>
      </w:r>
      <w:r w:rsidRPr="004702D6">
        <w:rPr>
          <w:rFonts w:ascii="Times New Roman" w:hAnsi="Times New Roman"/>
          <w:szCs w:val="24"/>
        </w:rPr>
        <w:t xml:space="preserve"> a toy category in need of greater study. While Smart Toys are discussed in the </w:t>
      </w:r>
      <w:r w:rsidRPr="004702D6">
        <w:rPr>
          <w:rFonts w:ascii="Times New Roman" w:hAnsi="Times New Roman"/>
          <w:i/>
          <w:szCs w:val="24"/>
        </w:rPr>
        <w:t>Guidelines</w:t>
      </w:r>
      <w:r w:rsidRPr="004702D6">
        <w:rPr>
          <w:rFonts w:ascii="Times New Roman" w:hAnsi="Times New Roman"/>
          <w:szCs w:val="24"/>
        </w:rPr>
        <w:t>, these toys evolve rapidly so it is possible that the recommendations for these toys need</w:t>
      </w:r>
      <w:r w:rsidRPr="004702D6" w:rsidR="0073613A">
        <w:rPr>
          <w:rFonts w:ascii="Times New Roman" w:hAnsi="Times New Roman"/>
          <w:szCs w:val="24"/>
        </w:rPr>
        <w:t xml:space="preserve"> continuous</w:t>
      </w:r>
      <w:r w:rsidRPr="004702D6">
        <w:rPr>
          <w:rFonts w:ascii="Times New Roman" w:hAnsi="Times New Roman"/>
          <w:szCs w:val="24"/>
        </w:rPr>
        <w:t xml:space="preserve"> updating. The objective of the </w:t>
      </w:r>
      <w:r w:rsidRPr="004702D6" w:rsidR="00E82C27">
        <w:rPr>
          <w:rFonts w:ascii="Times New Roman" w:hAnsi="Times New Roman"/>
          <w:szCs w:val="24"/>
        </w:rPr>
        <w:t>proposed</w:t>
      </w:r>
      <w:r w:rsidRPr="004702D6">
        <w:rPr>
          <w:rFonts w:ascii="Times New Roman" w:hAnsi="Times New Roman"/>
          <w:szCs w:val="24"/>
        </w:rPr>
        <w:t xml:space="preserve"> </w:t>
      </w:r>
      <w:r w:rsidRPr="004702D6" w:rsidR="0073613A">
        <w:rPr>
          <w:rFonts w:ascii="Times New Roman" w:hAnsi="Times New Roman"/>
          <w:szCs w:val="24"/>
        </w:rPr>
        <w:t xml:space="preserve">data collection </w:t>
      </w:r>
      <w:r w:rsidRPr="004702D6">
        <w:rPr>
          <w:rFonts w:ascii="Times New Roman" w:hAnsi="Times New Roman"/>
          <w:szCs w:val="24"/>
        </w:rPr>
        <w:t xml:space="preserve">is to gather information about </w:t>
      </w:r>
      <w:r w:rsidRPr="004702D6" w:rsidR="0073613A">
        <w:rPr>
          <w:rFonts w:ascii="Times New Roman" w:hAnsi="Times New Roman"/>
          <w:szCs w:val="24"/>
        </w:rPr>
        <w:t xml:space="preserve">selected </w:t>
      </w:r>
      <w:r w:rsidRPr="004702D6">
        <w:rPr>
          <w:rFonts w:ascii="Times New Roman" w:hAnsi="Times New Roman"/>
          <w:szCs w:val="24"/>
        </w:rPr>
        <w:t>toys in the above categories</w:t>
      </w:r>
      <w:r w:rsidRPr="004702D6" w:rsidR="003F0726">
        <w:rPr>
          <w:rFonts w:ascii="Times New Roman" w:hAnsi="Times New Roman"/>
          <w:szCs w:val="24"/>
        </w:rPr>
        <w:t xml:space="preserve"> </w:t>
      </w:r>
      <w:r w:rsidRPr="004702D6" w:rsidR="00273A77">
        <w:rPr>
          <w:rFonts w:ascii="Times New Roman" w:hAnsi="Times New Roman"/>
          <w:szCs w:val="24"/>
        </w:rPr>
        <w:t>to</w:t>
      </w:r>
      <w:r w:rsidRPr="004702D6">
        <w:rPr>
          <w:rFonts w:ascii="Times New Roman" w:hAnsi="Times New Roman"/>
          <w:szCs w:val="24"/>
        </w:rPr>
        <w:t xml:space="preserve"> better understand the ages of children interested in these toys</w:t>
      </w:r>
      <w:r w:rsidRPr="004702D6" w:rsidR="003F4A99">
        <w:rPr>
          <w:rFonts w:ascii="Times New Roman" w:hAnsi="Times New Roman"/>
          <w:szCs w:val="24"/>
        </w:rPr>
        <w:t xml:space="preserve"> and </w:t>
      </w:r>
      <w:r w:rsidRPr="004702D6" w:rsidR="003F0726">
        <w:rPr>
          <w:rFonts w:ascii="Times New Roman" w:hAnsi="Times New Roman"/>
          <w:szCs w:val="24"/>
        </w:rPr>
        <w:t xml:space="preserve">the ages of children who </w:t>
      </w:r>
      <w:r w:rsidRPr="004702D6" w:rsidR="00840365">
        <w:rPr>
          <w:rFonts w:ascii="Times New Roman" w:hAnsi="Times New Roman"/>
          <w:szCs w:val="24"/>
        </w:rPr>
        <w:t>are capable of</w:t>
      </w:r>
      <w:r w:rsidRPr="004702D6" w:rsidR="004702D6">
        <w:rPr>
          <w:rFonts w:ascii="Times New Roman" w:hAnsi="Times New Roman"/>
          <w:szCs w:val="24"/>
        </w:rPr>
        <w:t xml:space="preserve"> </w:t>
      </w:r>
      <w:r w:rsidRPr="004702D6">
        <w:rPr>
          <w:rFonts w:ascii="Times New Roman" w:hAnsi="Times New Roman"/>
          <w:szCs w:val="24"/>
        </w:rPr>
        <w:t>us</w:t>
      </w:r>
      <w:r w:rsidRPr="004702D6" w:rsidR="00840365">
        <w:rPr>
          <w:rFonts w:ascii="Times New Roman" w:hAnsi="Times New Roman"/>
          <w:szCs w:val="24"/>
        </w:rPr>
        <w:t>ing</w:t>
      </w:r>
      <w:r w:rsidRPr="004702D6">
        <w:rPr>
          <w:rFonts w:ascii="Times New Roman" w:hAnsi="Times New Roman"/>
          <w:szCs w:val="24"/>
        </w:rPr>
        <w:t xml:space="preserve"> them as intended</w:t>
      </w:r>
      <w:r w:rsidRPr="004702D6" w:rsidR="003F0726">
        <w:rPr>
          <w:rFonts w:ascii="Times New Roman" w:hAnsi="Times New Roman"/>
          <w:szCs w:val="24"/>
        </w:rPr>
        <w:t>. Additionally, we will collect</w:t>
      </w:r>
      <w:r w:rsidRPr="004702D6" w:rsidR="00D31B9C">
        <w:rPr>
          <w:rFonts w:ascii="Times New Roman" w:hAnsi="Times New Roman"/>
          <w:szCs w:val="24"/>
        </w:rPr>
        <w:t xml:space="preserve"> </w:t>
      </w:r>
      <w:r w:rsidRPr="004702D6">
        <w:rPr>
          <w:rFonts w:ascii="Times New Roman" w:hAnsi="Times New Roman"/>
          <w:szCs w:val="24"/>
        </w:rPr>
        <w:t xml:space="preserve">consumer perceptions of age suitability and self-report about the ages of children </w:t>
      </w:r>
      <w:r w:rsidRPr="004702D6" w:rsidR="003F4A99">
        <w:rPr>
          <w:rFonts w:ascii="Times New Roman" w:hAnsi="Times New Roman"/>
          <w:szCs w:val="24"/>
        </w:rPr>
        <w:t>for whom th</w:t>
      </w:r>
      <w:r w:rsidRPr="004702D6" w:rsidR="000D1BE1">
        <w:rPr>
          <w:rFonts w:ascii="Times New Roman" w:hAnsi="Times New Roman"/>
          <w:szCs w:val="24"/>
        </w:rPr>
        <w:t>ey</w:t>
      </w:r>
      <w:r w:rsidRPr="004702D6" w:rsidR="003F4A99">
        <w:rPr>
          <w:rFonts w:ascii="Times New Roman" w:hAnsi="Times New Roman"/>
          <w:szCs w:val="24"/>
        </w:rPr>
        <w:t xml:space="preserve"> might purchase the toy</w:t>
      </w:r>
      <w:r w:rsidRPr="004702D6">
        <w:rPr>
          <w:rFonts w:ascii="Times New Roman" w:hAnsi="Times New Roman"/>
          <w:szCs w:val="24"/>
        </w:rPr>
        <w:t xml:space="preserve">. </w:t>
      </w:r>
    </w:p>
    <w:p w:rsidR="007E419D" w:rsidRPr="004702D6" w:rsidP="007E419D" w14:paraId="60062BD1" w14:textId="77777777">
      <w:pPr>
        <w:pStyle w:val="L1-FlLSp12"/>
        <w:spacing w:line="240" w:lineRule="auto"/>
        <w:rPr>
          <w:rFonts w:ascii="Times New Roman" w:hAnsi="Times New Roman"/>
          <w:szCs w:val="24"/>
        </w:rPr>
      </w:pPr>
    </w:p>
    <w:p w:rsidR="007E419D" w:rsidRPr="004702D6" w:rsidP="007E419D" w14:paraId="64CA428C" w14:textId="4CD9F3CB">
      <w:r w:rsidRPr="004702D6">
        <w:t>In addition, findings from th</w:t>
      </w:r>
      <w:r w:rsidRPr="004702D6" w:rsidR="005D0652">
        <w:t xml:space="preserve">is </w:t>
      </w:r>
      <w:r w:rsidRPr="004702D6" w:rsidR="00840365">
        <w:t xml:space="preserve">data collection </w:t>
      </w:r>
      <w:r w:rsidRPr="004702D6">
        <w:t xml:space="preserve">could be used to make recommendations to policy makers, </w:t>
      </w:r>
      <w:r w:rsidRPr="004702D6" w:rsidR="003F4A99">
        <w:t xml:space="preserve">toy </w:t>
      </w:r>
      <w:r w:rsidRPr="004702D6" w:rsidR="00921D78">
        <w:t>manufacturers</w:t>
      </w:r>
      <w:r w:rsidRPr="004702D6">
        <w:t xml:space="preserve">, child safety advocates and consumers; and to better </w:t>
      </w:r>
      <w:r w:rsidRPr="004702D6" w:rsidR="00921D78">
        <w:t>inform</w:t>
      </w:r>
      <w:r w:rsidRPr="004702D6">
        <w:t xml:space="preserve"> parents and </w:t>
      </w:r>
      <w:r w:rsidRPr="004702D6" w:rsidR="000D0FF4">
        <w:t>caregiver</w:t>
      </w:r>
      <w:r w:rsidRPr="004702D6">
        <w:t xml:space="preserve">s regarding the </w:t>
      </w:r>
      <w:r w:rsidRPr="004702D6" w:rsidR="003F4A99">
        <w:t xml:space="preserve">age appropriateness of </w:t>
      </w:r>
      <w:r w:rsidRPr="004702D6" w:rsidR="000D1BE1">
        <w:t>toys and the dangers</w:t>
      </w:r>
      <w:r w:rsidRPr="004702D6">
        <w:t xml:space="preserve">. There are no legal obstacles to </w:t>
      </w:r>
      <w:r w:rsidRPr="004702D6" w:rsidR="0082101E">
        <w:t>reducing</w:t>
      </w:r>
      <w:r w:rsidRPr="004702D6">
        <w:t xml:space="preserve"> the burden.</w:t>
      </w:r>
    </w:p>
    <w:p w:rsidR="001D7152" w:rsidRPr="004702D6" w:rsidP="007E419D" w14:paraId="355A1606" w14:textId="77777777"/>
    <w:p w:rsidR="008B598B" w:rsidRPr="004702D6" w:rsidP="007E419D" w14:paraId="2B52A1D1" w14:textId="1E5B6857">
      <w:pPr>
        <w:rPr>
          <w:b/>
        </w:rPr>
      </w:pPr>
      <w:r w:rsidRPr="004702D6">
        <w:t xml:space="preserve">The sample size and time duration projected for the </w:t>
      </w:r>
      <w:r w:rsidRPr="004702D6" w:rsidR="00840365">
        <w:t xml:space="preserve">data collection </w:t>
      </w:r>
      <w:r w:rsidRPr="004702D6">
        <w:t xml:space="preserve">represents the critical balance between the need to have rigorous and valid data, and the need to </w:t>
      </w:r>
      <w:r w:rsidRPr="004702D6" w:rsidR="00840365">
        <w:t xml:space="preserve">minimize the </w:t>
      </w:r>
      <w:r w:rsidRPr="004702D6">
        <w:t xml:space="preserve">burden </w:t>
      </w:r>
      <w:r w:rsidRPr="004702D6" w:rsidR="00840365">
        <w:t xml:space="preserve">on </w:t>
      </w:r>
      <w:r w:rsidRPr="004702D6">
        <w:t>participants in terms of the frequency and duration of data collected from them.</w:t>
      </w:r>
    </w:p>
    <w:p w:rsidR="007E419D" w:rsidRPr="000D0FF4" w:rsidP="007E419D" w14:paraId="7748CF95" w14:textId="20625CF9"/>
    <w:p w:rsidR="00D829AF" w:rsidRPr="000D0FF4" w:rsidP="00D829AF" w14:paraId="3DD7E9C8" w14:textId="77777777">
      <w:pPr>
        <w:pStyle w:val="Heading2"/>
        <w:rPr>
          <w:rFonts w:cs="Times New Roman"/>
        </w:rPr>
      </w:pPr>
      <w:bookmarkStart w:id="6" w:name="_Toc267035199"/>
      <w:r w:rsidRPr="000D0FF4">
        <w:rPr>
          <w:rFonts w:cs="Times New Roman"/>
        </w:rPr>
        <w:t>A.7.</w:t>
      </w:r>
      <w:r w:rsidRPr="000D0FF4">
        <w:rPr>
          <w:rFonts w:cs="Times New Roman"/>
        </w:rPr>
        <w:tab/>
        <w:t>Explain any special circumstances that would cause the information collection to be conducted in a manner inconsistent with the guidelines set forth in 5 CFR 1320.6.</w:t>
      </w:r>
      <w:bookmarkEnd w:id="6"/>
    </w:p>
    <w:p w:rsidR="00D829AF" w:rsidRPr="000D0FF4" w:rsidP="00D829AF" w14:paraId="3DD7E9C9" w14:textId="77777777">
      <w:pPr>
        <w:widowControl w:val="0"/>
      </w:pPr>
    </w:p>
    <w:p w:rsidR="00D829AF" w:rsidRPr="004702D6" w:rsidP="00D829AF" w14:paraId="3DD7E9CA" w14:textId="77777777">
      <w:pPr>
        <w:widowControl w:val="0"/>
      </w:pPr>
      <w:r w:rsidRPr="004702D6">
        <w:t>No special circumstances require the collection to be conducted in a manner inconsistent with the guidelines in 5 CFR 1320.6.</w:t>
      </w:r>
    </w:p>
    <w:p w:rsidR="00D829AF" w:rsidRPr="000D0FF4" w:rsidP="00D829AF" w14:paraId="3DD7E9CB" w14:textId="77777777">
      <w:pPr>
        <w:pStyle w:val="Default"/>
        <w:rPr>
          <w:rFonts w:ascii="Times New Roman" w:hAnsi="Times New Roman" w:cs="Times New Roman"/>
          <w:color w:val="auto"/>
        </w:rPr>
      </w:pPr>
    </w:p>
    <w:p w:rsidR="00D829AF" w:rsidRPr="000D0FF4" w:rsidP="00D829AF" w14:paraId="3DD7E9CC" w14:textId="77777777">
      <w:pPr>
        <w:ind w:left="720" w:hanging="720"/>
      </w:pPr>
    </w:p>
    <w:p w:rsidR="00D829AF" w:rsidRPr="000D0FF4" w:rsidP="00D829AF" w14:paraId="3DD7E9CD" w14:textId="77777777">
      <w:pPr>
        <w:pStyle w:val="Heading2"/>
        <w:rPr>
          <w:rFonts w:cs="Times New Roman"/>
        </w:rPr>
      </w:pPr>
      <w:bookmarkStart w:id="7" w:name="_Toc267035200"/>
      <w:r w:rsidRPr="000D0FF4">
        <w:rPr>
          <w:rFonts w:cs="Times New Roman"/>
        </w:rPr>
        <w:t>A.8.</w:t>
      </w:r>
      <w:r w:rsidRPr="000D0FF4">
        <w:rPr>
          <w:rFonts w:cs="Times New Roman"/>
        </w:rPr>
        <w:tab/>
        <w:t xml:space="preserve">Provide a copy and identify the date and page number of </w:t>
      </w:r>
      <w:r w:rsidRPr="000D0FF4">
        <w:rPr>
          <w:rFonts w:cs="Times New Roman"/>
        </w:rPr>
        <w:t>publication</w:t>
      </w:r>
      <w:r w:rsidRPr="000D0FF4">
        <w:rPr>
          <w:rFonts w:cs="Times New Roman"/>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w:t>
      </w:r>
      <w:r w:rsidRPr="000D0FF4">
        <w:rPr>
          <w:rFonts w:cs="Times New Roman"/>
        </w:rPr>
        <w:t>persons</w:t>
      </w:r>
      <w:r w:rsidRPr="000D0FF4">
        <w:rPr>
          <w:rFonts w:cs="Times New Roman"/>
        </w:rPr>
        <w:t xml:space="preserve"> outside the agency to obtain their views.</w:t>
      </w:r>
      <w:bookmarkEnd w:id="7"/>
    </w:p>
    <w:p w:rsidR="00D829AF" w:rsidRPr="000D0FF4" w:rsidP="00D829AF" w14:paraId="3DD7E9CE" w14:textId="77777777">
      <w:pPr>
        <w:ind w:left="720"/>
      </w:pPr>
    </w:p>
    <w:p w:rsidR="00D829AF" w:rsidRPr="008F180C" w:rsidP="00D829AF" w14:paraId="3DD7E9CF" w14:textId="7E1D64CA">
      <w:r w:rsidRPr="008F180C">
        <w:t xml:space="preserve">As required by the Paperwork Reduction Act of 1995, </w:t>
      </w:r>
      <w:r w:rsidRPr="008F180C" w:rsidR="00EE3D12">
        <w:t>CPSC</w:t>
      </w:r>
      <w:r w:rsidRPr="008F180C">
        <w:t xml:space="preserve"> published two notices in the </w:t>
      </w:r>
      <w:r w:rsidRPr="008F180C">
        <w:rPr>
          <w:i/>
          <w:iCs/>
        </w:rPr>
        <w:t>Federal Register</w:t>
      </w:r>
      <w:r w:rsidRPr="008F180C" w:rsidR="004C44BF">
        <w:rPr>
          <w:i/>
          <w:iCs/>
        </w:rPr>
        <w:t xml:space="preserve"> </w:t>
      </w:r>
      <w:r w:rsidRPr="008F180C">
        <w:rPr>
          <w:i/>
          <w:iCs/>
        </w:rPr>
        <w:t xml:space="preserve">(See </w:t>
      </w:r>
      <w:r w:rsidRPr="008F180C">
        <w:rPr>
          <w:b/>
          <w:i/>
          <w:iCs/>
        </w:rPr>
        <w:t xml:space="preserve">Appendix </w:t>
      </w:r>
      <w:r w:rsidRPr="008F180C" w:rsidR="008F180C">
        <w:rPr>
          <w:b/>
          <w:i/>
          <w:iCs/>
        </w:rPr>
        <w:t>A</w:t>
      </w:r>
      <w:r w:rsidRPr="008F180C">
        <w:rPr>
          <w:i/>
          <w:iCs/>
        </w:rPr>
        <w:t>)</w:t>
      </w:r>
      <w:r w:rsidRPr="008F180C">
        <w:rPr>
          <w:iCs/>
        </w:rPr>
        <w:t xml:space="preserve">, as noted below.  </w:t>
      </w:r>
      <w:r w:rsidRPr="008F180C">
        <w:t xml:space="preserve"> </w:t>
      </w:r>
    </w:p>
    <w:p w:rsidR="00D829AF" w:rsidRPr="008F180C" w:rsidP="00D829AF" w14:paraId="3DD7E9D0" w14:textId="77777777">
      <w:pPr>
        <w:widowControl w:val="0"/>
        <w:rPr>
          <w:rFonts w:ascii="Garamond" w:hAnsi="Garamond"/>
        </w:rPr>
      </w:pPr>
    </w:p>
    <w:p w:rsidR="00D829AF" w:rsidRPr="008F180C" w:rsidP="00D829AF" w14:paraId="3DD7E9D1" w14:textId="77777777">
      <w:pPr>
        <w:keepNext/>
        <w:widowControl w:val="0"/>
        <w:numPr>
          <w:ilvl w:val="0"/>
          <w:numId w:val="2"/>
        </w:numPr>
        <w:rPr>
          <w:rFonts w:ascii="Garamond" w:hAnsi="Garamond"/>
          <w:i/>
        </w:rPr>
      </w:pPr>
      <w:r w:rsidRPr="008F180C">
        <w:rPr>
          <w:rFonts w:ascii="Garamond" w:hAnsi="Garamond"/>
          <w:i/>
        </w:rPr>
        <w:t>Federal Register Notice</w:t>
      </w:r>
    </w:p>
    <w:p w:rsidR="00D829AF" w:rsidRPr="008F180C" w:rsidP="00D829AF" w14:paraId="3DD7E9D2" w14:textId="77777777">
      <w:pPr>
        <w:keepNext/>
        <w:widowControl w:val="0"/>
        <w:ind w:left="720"/>
        <w:rPr>
          <w:rFonts w:ascii="Garamond" w:hAnsi="Garamond"/>
        </w:rPr>
      </w:pPr>
    </w:p>
    <w:p w:rsidR="00D829AF" w:rsidRPr="008F180C" w:rsidP="00D829AF" w14:paraId="3DD7E9D3" w14:textId="137ECEFB">
      <w:pPr>
        <w:widowControl w:val="0"/>
        <w:ind w:left="720"/>
      </w:pPr>
      <w:r w:rsidRPr="008F180C">
        <w:t>CPSC</w:t>
      </w:r>
      <w:r w:rsidRPr="008F180C">
        <w:t xml:space="preserve"> published a notice in the </w:t>
      </w:r>
      <w:r w:rsidRPr="008F180C">
        <w:rPr>
          <w:i/>
        </w:rPr>
        <w:t>Federal Register</w:t>
      </w:r>
      <w:r w:rsidRPr="008F180C">
        <w:t xml:space="preserve"> with a 60-day public comment period to announce this proposed information collection on </w:t>
      </w:r>
      <w:r w:rsidR="00546D63">
        <w:t>August 7</w:t>
      </w:r>
      <w:r w:rsidRPr="008F180C">
        <w:t>,</w:t>
      </w:r>
      <w:r w:rsidR="00546D63">
        <w:t xml:space="preserve"> 2023 (88 FR 52142)</w:t>
      </w:r>
      <w:r w:rsidRPr="008F180C">
        <w:t xml:space="preserve">. </w:t>
      </w:r>
      <w:r w:rsidR="00546D63">
        <w:t>CPSC received one comment.</w:t>
      </w:r>
      <w:r w:rsidRPr="008F180C">
        <w:t xml:space="preserve">   </w:t>
      </w:r>
    </w:p>
    <w:p w:rsidR="00D829AF" w:rsidRPr="008F180C" w:rsidP="00D829AF" w14:paraId="3DD7E9D4" w14:textId="77777777">
      <w:pPr>
        <w:widowControl w:val="0"/>
        <w:ind w:left="720"/>
      </w:pPr>
    </w:p>
    <w:p w:rsidR="00D829AF" w:rsidRPr="008F180C" w:rsidP="00D829AF" w14:paraId="3DD7E9D5" w14:textId="6F186221">
      <w:pPr>
        <w:widowControl w:val="0"/>
        <w:ind w:left="720"/>
      </w:pPr>
      <w:r w:rsidRPr="008F180C">
        <w:t xml:space="preserve">CPSC </w:t>
      </w:r>
      <w:r w:rsidRPr="008F180C">
        <w:t xml:space="preserve">published a notice in the </w:t>
      </w:r>
      <w:r w:rsidRPr="008F180C">
        <w:rPr>
          <w:i/>
        </w:rPr>
        <w:t>Federal Register</w:t>
      </w:r>
      <w:r w:rsidRPr="008F180C">
        <w:t xml:space="preserve"> on </w:t>
      </w:r>
      <w:r w:rsidR="00546D63">
        <w:t>November 30, 2023</w:t>
      </w:r>
      <w:r w:rsidRPr="008F180C">
        <w:t xml:space="preserve"> (</w:t>
      </w:r>
      <w:r w:rsidR="00546D63">
        <w:t>88 FR 83533</w:t>
      </w:r>
      <w:r w:rsidRPr="008F180C">
        <w:t xml:space="preserve">) with a 30-day public comment period to announce that </w:t>
      </w:r>
      <w:r w:rsidRPr="008F180C">
        <w:t xml:space="preserve">CPSC </w:t>
      </w:r>
      <w:r w:rsidRPr="008F180C">
        <w:t xml:space="preserve">intended to forward the request for the proposed information collection to OMB.  </w:t>
      </w:r>
    </w:p>
    <w:p w:rsidR="00D829AF" w:rsidRPr="00273A77" w:rsidP="00D829AF" w14:paraId="3DD7E9D6" w14:textId="77777777">
      <w:pPr>
        <w:ind w:left="720"/>
        <w:rPr>
          <w:rFonts w:ascii="Garamond" w:hAnsi="Garamond"/>
        </w:rPr>
      </w:pPr>
    </w:p>
    <w:p w:rsidR="00D829AF" w:rsidRPr="00273A77" w:rsidP="00D829AF" w14:paraId="3DD7E9D7" w14:textId="77777777">
      <w:pPr>
        <w:rPr>
          <w:rFonts w:ascii="Garamond" w:hAnsi="Garamond"/>
        </w:rPr>
      </w:pPr>
    </w:p>
    <w:p w:rsidR="00D829AF" w:rsidRPr="00273A77" w:rsidP="00D829AF" w14:paraId="3DD7E9D8" w14:textId="002C32F6">
      <w:pPr>
        <w:widowControl w:val="0"/>
        <w:numPr>
          <w:ilvl w:val="0"/>
          <w:numId w:val="2"/>
        </w:numPr>
        <w:jc w:val="both"/>
        <w:rPr>
          <w:rFonts w:ascii="Garamond" w:hAnsi="Garamond"/>
          <w:i/>
        </w:rPr>
      </w:pPr>
      <w:r w:rsidRPr="00273A77">
        <w:rPr>
          <w:rFonts w:ascii="Garamond" w:hAnsi="Garamond"/>
          <w:i/>
        </w:rPr>
        <w:t>Responses to the Federal Register Notice</w:t>
      </w:r>
    </w:p>
    <w:p w:rsidR="00EE3D12" w:rsidRPr="00273A77" w:rsidP="00EE3D12" w14:paraId="3AABA663" w14:textId="7DFB4FE6">
      <w:pPr>
        <w:widowControl w:val="0"/>
        <w:jc w:val="both"/>
        <w:rPr>
          <w:i/>
        </w:rPr>
      </w:pPr>
    </w:p>
    <w:p w:rsidR="00EE3D12" w:rsidRPr="00546D63" w:rsidP="00EE3D12" w14:paraId="2D3535A0" w14:textId="1A9E00D4">
      <w:pPr>
        <w:widowControl w:val="0"/>
        <w:ind w:left="720"/>
        <w:jc w:val="both"/>
        <w:rPr>
          <w:iCs/>
        </w:rPr>
      </w:pPr>
      <w:r>
        <w:rPr>
          <w:iCs/>
        </w:rPr>
        <w:t>CPSC’s r</w:t>
      </w:r>
      <w:r w:rsidRPr="00546D63">
        <w:rPr>
          <w:iCs/>
        </w:rPr>
        <w:t xml:space="preserve">esponse </w:t>
      </w:r>
      <w:r>
        <w:rPr>
          <w:iCs/>
        </w:rPr>
        <w:t>to the comment received is</w:t>
      </w:r>
      <w:r w:rsidRPr="00546D63" w:rsidR="00840365">
        <w:rPr>
          <w:iCs/>
        </w:rPr>
        <w:t xml:space="preserve"> included </w:t>
      </w:r>
      <w:r>
        <w:rPr>
          <w:iCs/>
        </w:rPr>
        <w:t>in the 30-Day Federal Register notice</w:t>
      </w:r>
      <w:r w:rsidRPr="00546D63">
        <w:rPr>
          <w:iCs/>
        </w:rPr>
        <w:t xml:space="preserve">. </w:t>
      </w:r>
    </w:p>
    <w:p w:rsidR="00D829AF" w:rsidRPr="00273A77" w:rsidP="00D829AF" w14:paraId="3DD7E9D9" w14:textId="77777777">
      <w:pPr>
        <w:widowControl w:val="0"/>
        <w:tabs>
          <w:tab w:val="left" w:pos="2216"/>
        </w:tabs>
        <w:ind w:firstLine="720"/>
        <w:jc w:val="both"/>
        <w:rPr>
          <w:rFonts w:ascii="Garamond" w:hAnsi="Garamond"/>
        </w:rPr>
      </w:pPr>
      <w:r w:rsidRPr="00273A77">
        <w:rPr>
          <w:rFonts w:ascii="Garamond" w:hAnsi="Garamond"/>
        </w:rPr>
        <w:tab/>
      </w:r>
    </w:p>
    <w:p w:rsidR="00D829AF" w:rsidRPr="00273A77" w:rsidP="00D829AF" w14:paraId="3DD7E9DD" w14:textId="77777777">
      <w:pPr>
        <w:pStyle w:val="Default"/>
        <w:jc w:val="both"/>
        <w:rPr>
          <w:rFonts w:ascii="Times New Roman" w:hAnsi="Times New Roman" w:cs="Times New Roman"/>
          <w:color w:val="auto"/>
        </w:rPr>
      </w:pPr>
    </w:p>
    <w:p w:rsidR="00D829AF" w:rsidRPr="000D0FF4" w:rsidP="00D829AF" w14:paraId="3DD7E9DE" w14:textId="77777777">
      <w:pPr>
        <w:pStyle w:val="Heading2"/>
        <w:rPr>
          <w:rFonts w:cs="Times New Roman"/>
        </w:rPr>
      </w:pPr>
      <w:bookmarkStart w:id="8" w:name="_Toc267035201"/>
      <w:r w:rsidRPr="000D0FF4">
        <w:rPr>
          <w:rFonts w:cs="Times New Roman"/>
        </w:rPr>
        <w:t>A.9.</w:t>
      </w:r>
      <w:r w:rsidRPr="000D0FF4">
        <w:rPr>
          <w:rFonts w:cs="Times New Roman"/>
        </w:rPr>
        <w:tab/>
        <w:t>Explain any decision to provide any payment or gift to respondents, other than remuneration of contractors or grantees.</w:t>
      </w:r>
      <w:bookmarkEnd w:id="8"/>
    </w:p>
    <w:p w:rsidR="00D829AF" w:rsidRPr="000D0FF4" w:rsidP="003D495F" w14:paraId="3DD7E9DF" w14:textId="77777777">
      <w:pPr>
        <w:widowControl w:val="0"/>
      </w:pPr>
    </w:p>
    <w:p w:rsidR="00BE04BF" w:rsidRPr="000D0FF4" w:rsidP="001427A5" w14:paraId="3DD7E9E2" w14:textId="4A16969F">
      <w:r w:rsidRPr="000D0FF4">
        <w:t xml:space="preserve">No payment or gift will be provided to respondents for </w:t>
      </w:r>
      <w:r w:rsidRPr="000D0FF4" w:rsidR="001F1190">
        <w:t xml:space="preserve">completing the </w:t>
      </w:r>
      <w:r w:rsidRPr="000D0FF4">
        <w:t xml:space="preserve">recruitment screener. Those who qualify for </w:t>
      </w:r>
      <w:r w:rsidR="00840365">
        <w:t>data collection</w:t>
      </w:r>
      <w:r w:rsidRPr="000D0FF4">
        <w:t xml:space="preserve"> and choose to participate will receive a $</w:t>
      </w:r>
      <w:r w:rsidRPr="000D0FF4" w:rsidR="00840365">
        <w:t>1</w:t>
      </w:r>
      <w:r w:rsidR="00840365">
        <w:t>50</w:t>
      </w:r>
      <w:r w:rsidRPr="000D0FF4" w:rsidR="00840365">
        <w:t xml:space="preserve"> </w:t>
      </w:r>
      <w:r w:rsidRPr="000D0FF4">
        <w:t>pa</w:t>
      </w:r>
      <w:r w:rsidRPr="000D0FF4" w:rsidR="00C0782B">
        <w:t>yment</w:t>
      </w:r>
      <w:r w:rsidRPr="000D0FF4" w:rsidR="00A514B2">
        <w:t>.</w:t>
      </w:r>
      <w:r w:rsidRPr="000D0FF4" w:rsidR="00C0782B">
        <w:t xml:space="preserve"> </w:t>
      </w:r>
      <w:r w:rsidR="001317C2">
        <w:t>Given the age of the children and attention spans, we are proposing data collection over two separate</w:t>
      </w:r>
      <w:r w:rsidR="00273A77">
        <w:t xml:space="preserve"> in-person</w:t>
      </w:r>
      <w:r w:rsidR="001317C2">
        <w:t xml:space="preserve"> sessions. </w:t>
      </w:r>
      <w:r w:rsidR="000D7FB2">
        <w:t>Caregiver</w:t>
      </w:r>
      <w:r w:rsidR="00840365">
        <w:t>s</w:t>
      </w:r>
      <w:r w:rsidRPr="00726AA6" w:rsidR="00840365">
        <w:t xml:space="preserve"> will be </w:t>
      </w:r>
      <w:r w:rsidR="00840365">
        <w:t xml:space="preserve">reimbursed </w:t>
      </w:r>
      <w:r w:rsidRPr="00726AA6" w:rsidR="00840365">
        <w:t xml:space="preserve">$50 </w:t>
      </w:r>
      <w:r w:rsidR="00840365">
        <w:t xml:space="preserve">at the end of the first </w:t>
      </w:r>
      <w:r w:rsidR="00081F72">
        <w:t>75-minute</w:t>
      </w:r>
      <w:r w:rsidR="00725626">
        <w:t xml:space="preserve"> </w:t>
      </w:r>
      <w:r w:rsidR="00840365">
        <w:t xml:space="preserve">data collection </w:t>
      </w:r>
      <w:r w:rsidRPr="00726AA6" w:rsidR="00840365">
        <w:t xml:space="preserve">session and $100 </w:t>
      </w:r>
      <w:r w:rsidR="00840365">
        <w:t xml:space="preserve">at the end of the second </w:t>
      </w:r>
      <w:r w:rsidR="00081F72">
        <w:t>60-minute</w:t>
      </w:r>
      <w:r w:rsidR="00725626">
        <w:t xml:space="preserve"> </w:t>
      </w:r>
      <w:r w:rsidR="00840365">
        <w:t xml:space="preserve">data collection </w:t>
      </w:r>
      <w:r w:rsidRPr="00726AA6" w:rsidR="00840365">
        <w:t>session.</w:t>
      </w:r>
      <w:r w:rsidR="00840365">
        <w:t xml:space="preserve"> </w:t>
      </w:r>
      <w:r w:rsidRPr="000D0FF4" w:rsidR="00C0782B">
        <w:t>The $</w:t>
      </w:r>
      <w:r w:rsidRPr="000D0FF4" w:rsidR="00840365">
        <w:t>1</w:t>
      </w:r>
      <w:r w:rsidR="00840365">
        <w:t xml:space="preserve">50 </w:t>
      </w:r>
      <w:r w:rsidRPr="000D0FF4" w:rsidR="00C0782B">
        <w:t xml:space="preserve">incentive amount is based upon 1) the level of effort required by the participant, and 2) </w:t>
      </w:r>
      <w:r w:rsidR="00404DA7">
        <w:t>researchers</w:t>
      </w:r>
      <w:r w:rsidR="00726AA6">
        <w:t xml:space="preserve"> </w:t>
      </w:r>
      <w:r w:rsidRPr="000D0FF4" w:rsidR="00C0782B">
        <w:t xml:space="preserve">experience with prior studies. </w:t>
      </w:r>
    </w:p>
    <w:p w:rsidR="00BE04BF" w:rsidRPr="000D0FF4" w:rsidP="003D495F" w14:paraId="3DD7E9E3" w14:textId="77777777">
      <w:pPr>
        <w:widowControl w:val="0"/>
      </w:pPr>
    </w:p>
    <w:p w:rsidR="00BE04BF" w:rsidRPr="00725626" w:rsidP="003D495F" w14:paraId="3DD7E9E4" w14:textId="5512BD42">
      <w:pPr>
        <w:widowControl w:val="0"/>
      </w:pPr>
      <w:r w:rsidRPr="00725626">
        <w:t xml:space="preserve">Regarding the level of effort, participants must travel from </w:t>
      </w:r>
      <w:r w:rsidRPr="00725626" w:rsidR="00516DFC">
        <w:t xml:space="preserve">various locations in the greater </w:t>
      </w:r>
      <w:r w:rsidRPr="00725626">
        <w:t xml:space="preserve">Washington, DC </w:t>
      </w:r>
      <w:r w:rsidRPr="00725626" w:rsidR="00516DFC">
        <w:t xml:space="preserve">area </w:t>
      </w:r>
      <w:r w:rsidRPr="00725626">
        <w:t xml:space="preserve">to the testing lab in Rockville, MD to complete </w:t>
      </w:r>
      <w:r w:rsidRPr="00725626" w:rsidR="00404DA7">
        <w:t>2</w:t>
      </w:r>
      <w:r w:rsidR="00CA4623">
        <w:t xml:space="preserve"> in-person</w:t>
      </w:r>
      <w:r w:rsidRPr="00725626" w:rsidR="00404DA7">
        <w:t xml:space="preserve"> </w:t>
      </w:r>
      <w:r w:rsidRPr="00725626">
        <w:t>session</w:t>
      </w:r>
      <w:r w:rsidRPr="00725626" w:rsidR="00404DA7">
        <w:t>s</w:t>
      </w:r>
      <w:r w:rsidRPr="00725626">
        <w:t xml:space="preserve"> </w:t>
      </w:r>
      <w:r w:rsidRPr="00725626" w:rsidR="00404DA7">
        <w:t xml:space="preserve">totaling </w:t>
      </w:r>
      <w:r w:rsidR="00725626">
        <w:t>13</w:t>
      </w:r>
      <w:r w:rsidR="00CA4623">
        <w:t>5</w:t>
      </w:r>
      <w:r w:rsidRPr="00725626" w:rsidR="00725626">
        <w:t xml:space="preserve"> </w:t>
      </w:r>
      <w:r w:rsidRPr="00725626" w:rsidR="00404DA7">
        <w:t>minutes</w:t>
      </w:r>
      <w:r w:rsidRPr="00725626" w:rsidR="002D092E">
        <w:t xml:space="preserve">. During </w:t>
      </w:r>
      <w:r w:rsidRPr="00725626" w:rsidR="00404DA7">
        <w:t xml:space="preserve">each </w:t>
      </w:r>
      <w:r w:rsidRPr="00725626" w:rsidR="002D092E">
        <w:t xml:space="preserve">session, the </w:t>
      </w:r>
      <w:r w:rsidR="000D7FB2">
        <w:t>caregiver</w:t>
      </w:r>
      <w:r w:rsidRPr="00725626" w:rsidR="00404DA7">
        <w:t xml:space="preserve"> </w:t>
      </w:r>
      <w:r w:rsidRPr="00725626" w:rsidR="002D092E">
        <w:t xml:space="preserve">will complete a </w:t>
      </w:r>
      <w:r w:rsidRPr="00725626">
        <w:t>questionnaire</w:t>
      </w:r>
      <w:r w:rsidRPr="00725626" w:rsidR="00633A4C">
        <w:t xml:space="preserve"> </w:t>
      </w:r>
      <w:r w:rsidRPr="00725626" w:rsidR="00EF3D09">
        <w:t xml:space="preserve">and the child will interact with </w:t>
      </w:r>
      <w:r w:rsidR="00CA4623">
        <w:t>4 or 5</w:t>
      </w:r>
      <w:r w:rsidRPr="00725626" w:rsidR="000F5A34">
        <w:t xml:space="preserve"> different toys</w:t>
      </w:r>
      <w:r w:rsidRPr="00725626" w:rsidR="001427A5">
        <w:t xml:space="preserve"> while researchers document the interactions and behaviors</w:t>
      </w:r>
      <w:r w:rsidRPr="00725626">
        <w:t xml:space="preserve">. While researchers will make every effort to accommodate the participant’s schedule, </w:t>
      </w:r>
      <w:r w:rsidRPr="00725626" w:rsidR="002C7C55">
        <w:t xml:space="preserve">given that </w:t>
      </w:r>
      <w:r w:rsidRPr="00725626" w:rsidR="001427A5">
        <w:t>data collection</w:t>
      </w:r>
      <w:r w:rsidRPr="00725626" w:rsidR="002C7C55">
        <w:t xml:space="preserve"> requires a child’s participation</w:t>
      </w:r>
      <w:r w:rsidRPr="00725626" w:rsidR="006730CB">
        <w:t>,</w:t>
      </w:r>
      <w:r w:rsidRPr="00725626" w:rsidR="002C7C55">
        <w:t xml:space="preserve"> </w:t>
      </w:r>
      <w:r w:rsidRPr="00725626" w:rsidR="001427A5">
        <w:t>the</w:t>
      </w:r>
      <w:r w:rsidRPr="00725626">
        <w:t xml:space="preserve"> sessions will occur Monday-Friday between 9AM-</w:t>
      </w:r>
      <w:r w:rsidRPr="00725626" w:rsidR="006730CB">
        <w:t>4PM</w:t>
      </w:r>
      <w:r w:rsidRPr="00725626">
        <w:t xml:space="preserve">. </w:t>
      </w:r>
      <w:r w:rsidRPr="00725626" w:rsidR="001427A5">
        <w:t>This schedule may require</w:t>
      </w:r>
      <w:r w:rsidRPr="00725626">
        <w:t xml:space="preserve"> </w:t>
      </w:r>
      <w:r w:rsidRPr="00725626" w:rsidR="001427A5">
        <w:t xml:space="preserve">that caregivers </w:t>
      </w:r>
      <w:r w:rsidRPr="00725626">
        <w:t>take time off from work</w:t>
      </w:r>
      <w:r w:rsidRPr="00725626" w:rsidR="001427A5">
        <w:t xml:space="preserve"> </w:t>
      </w:r>
      <w:r w:rsidRPr="00725626" w:rsidR="00081F72">
        <w:t>to participate</w:t>
      </w:r>
      <w:r w:rsidRPr="00725626">
        <w:t>. The $</w:t>
      </w:r>
      <w:r w:rsidRPr="00725626" w:rsidR="001427A5">
        <w:t xml:space="preserve">150 </w:t>
      </w:r>
      <w:r w:rsidRPr="00725626">
        <w:t xml:space="preserve">incentive will offset lost work time and travel expenses. </w:t>
      </w:r>
    </w:p>
    <w:p w:rsidR="00BE04BF" w:rsidRPr="000D0FF4" w:rsidP="003D495F" w14:paraId="3DD7E9E5" w14:textId="77777777">
      <w:pPr>
        <w:widowControl w:val="0"/>
      </w:pPr>
    </w:p>
    <w:p w:rsidR="00DF0709" w:rsidRPr="00725626" w:rsidP="003D495F" w14:paraId="3DD7E9E6" w14:textId="1FC53E2F">
      <w:pPr>
        <w:widowControl w:val="0"/>
      </w:pPr>
      <w:r w:rsidRPr="00725626">
        <w:t>Regarding previous</w:t>
      </w:r>
      <w:r w:rsidRPr="00725626" w:rsidR="00BE04BF">
        <w:t xml:space="preserve"> research providing the basis for</w:t>
      </w:r>
      <w:r w:rsidRPr="00725626">
        <w:t xml:space="preserve"> the incentive amount, </w:t>
      </w:r>
      <w:r w:rsidRPr="00725626" w:rsidR="00BE04BF">
        <w:t>as part of the Program for the International Assessment of Adult Competencies (PIAAC) sponsored by the Organization for Economic Co-operation and Development (OECD), the Contractor for the information collection request</w:t>
      </w:r>
      <w:r w:rsidRPr="00725626" w:rsidR="001872F1">
        <w:t xml:space="preserve"> (Westat</w:t>
      </w:r>
      <w:r w:rsidRPr="00725626" w:rsidR="00BE04BF">
        <w:t>) was required by OMB to complete a field test respondent incentive experiment to examine the effect of increasing respondent incentives from $35 to $50</w:t>
      </w:r>
      <w:r w:rsidRPr="00725626" w:rsidR="001712E8">
        <w:t xml:space="preserve"> (see</w:t>
      </w:r>
      <w:r w:rsidR="00190F4D">
        <w:t xml:space="preserve">: </w:t>
      </w:r>
      <w:hyperlink r:id="rId9" w:history="1">
        <w:r w:rsidRPr="00725626" w:rsidR="00190F4D">
          <w:t>www.reginfo.gov/public/do/DownloadDocument?objectID=25766701</w:t>
        </w:r>
      </w:hyperlink>
      <w:r w:rsidRPr="00725626" w:rsidR="001712E8">
        <w:t>)</w:t>
      </w:r>
      <w:r w:rsidRPr="00725626" w:rsidR="00BE04BF">
        <w:t xml:space="preserve">. The </w:t>
      </w:r>
      <w:r w:rsidRPr="00725626" w:rsidR="00BE04BF">
        <w:t>rational</w:t>
      </w:r>
      <w:r w:rsidRPr="00725626" w:rsidR="00BE04BF">
        <w:t xml:space="preserve"> for the higher incentive was due to time burden </w:t>
      </w:r>
      <w:r w:rsidRPr="00725626" w:rsidR="000847C7">
        <w:t>associated with participating in the study</w:t>
      </w:r>
      <w:r w:rsidRPr="00725626" w:rsidR="00BE04BF">
        <w:t xml:space="preserve">, and inflation. Overall, the response rate for participants who received the $50 incentive was 5.2 percentage points higher than for those individuals who received $35. In addition, the overall refusal rates </w:t>
      </w:r>
      <w:r w:rsidRPr="00725626" w:rsidR="00BE04BF">
        <w:t>for the $50 group were 6.8 percentage points lower than the $35 group, providing evidence that higher incentive will increase response rates.</w:t>
      </w:r>
      <w:r w:rsidRPr="00725626" w:rsidR="001712E8">
        <w:t xml:space="preserve"> Because the </w:t>
      </w:r>
      <w:r w:rsidRPr="00725626" w:rsidR="00BE04BF">
        <w:t xml:space="preserve">study was conducted between August 25, </w:t>
      </w:r>
      <w:r w:rsidRPr="00725626" w:rsidR="00CA4623">
        <w:t>2011,</w:t>
      </w:r>
      <w:r w:rsidRPr="00725626" w:rsidR="00BE04BF">
        <w:t xml:space="preserve"> and April 3, 2012, further inflation would sup</w:t>
      </w:r>
      <w:r w:rsidRPr="00725626" w:rsidR="00516DFC">
        <w:t>port the proposed $</w:t>
      </w:r>
      <w:r w:rsidRPr="00725626" w:rsidR="00EF7A4F">
        <w:t xml:space="preserve">150 </w:t>
      </w:r>
      <w:r w:rsidRPr="00725626" w:rsidR="00516DFC">
        <w:t xml:space="preserve">incentive </w:t>
      </w:r>
      <w:r w:rsidRPr="00725626" w:rsidR="00BE04BF">
        <w:t>for the current information colle</w:t>
      </w:r>
      <w:r w:rsidRPr="00725626" w:rsidR="001712E8">
        <w:t>ction</w:t>
      </w:r>
      <w:r w:rsidRPr="00725626" w:rsidR="00EF7A4F">
        <w:t xml:space="preserve"> which requires </w:t>
      </w:r>
      <w:r w:rsidRPr="00725626" w:rsidR="00F3164E">
        <w:t xml:space="preserve">the caregiver and the child to </w:t>
      </w:r>
      <w:r w:rsidRPr="00725626" w:rsidR="00725626">
        <w:t>invest</w:t>
      </w:r>
      <w:r w:rsidRPr="00725626" w:rsidR="00EF7A4F">
        <w:t xml:space="preserve"> </w:t>
      </w:r>
      <w:r w:rsidRPr="00725626" w:rsidR="00725626">
        <w:t xml:space="preserve">more than </w:t>
      </w:r>
      <w:r w:rsidRPr="00725626" w:rsidR="00EF7A4F">
        <w:t>2 hours</w:t>
      </w:r>
      <w:r w:rsidR="00190F4D">
        <w:t xml:space="preserve"> of their</w:t>
      </w:r>
      <w:r w:rsidRPr="00725626" w:rsidR="00725626">
        <w:t xml:space="preserve"> time associated with travel and participation</w:t>
      </w:r>
      <w:r w:rsidRPr="00725626" w:rsidR="00BE04BF">
        <w:t xml:space="preserve">.  </w:t>
      </w:r>
    </w:p>
    <w:p w:rsidR="00DF0709" w:rsidRPr="000D0FF4" w:rsidP="003D495F" w14:paraId="3DD7E9E7" w14:textId="77777777">
      <w:pPr>
        <w:widowControl w:val="0"/>
      </w:pPr>
    </w:p>
    <w:p w:rsidR="00F06D90" w:rsidRPr="0097117F" w:rsidP="003D495F" w14:paraId="6F7B9990" w14:textId="1AD66159">
      <w:pPr>
        <w:widowControl w:val="0"/>
      </w:pPr>
      <w:r w:rsidRPr="0097117F">
        <w:t>In addition, the $</w:t>
      </w:r>
      <w:r w:rsidRPr="0097117F" w:rsidR="002C7C55">
        <w:t>1</w:t>
      </w:r>
      <w:r w:rsidRPr="0097117F" w:rsidR="00EF7A4F">
        <w:t>50</w:t>
      </w:r>
      <w:r w:rsidRPr="0097117F">
        <w:t xml:space="preserve"> incentive amount is based upon previous experience</w:t>
      </w:r>
      <w:r w:rsidRPr="0097117F" w:rsidR="002D092E">
        <w:t>.</w:t>
      </w:r>
      <w:r w:rsidRPr="0097117F">
        <w:t xml:space="preserve"> </w:t>
      </w:r>
      <w:r w:rsidRPr="0097117F" w:rsidR="00986BC6">
        <w:t xml:space="preserve">Westat, </w:t>
      </w:r>
      <w:r w:rsidRPr="0097117F" w:rsidR="002D092E">
        <w:t xml:space="preserve">the firm </w:t>
      </w:r>
      <w:r w:rsidRPr="0097117F" w:rsidR="00986BC6">
        <w:t xml:space="preserve">contracted by </w:t>
      </w:r>
      <w:r w:rsidRPr="0097117F">
        <w:t>CPSC</w:t>
      </w:r>
      <w:r w:rsidRPr="0097117F" w:rsidR="00986BC6">
        <w:t xml:space="preserve"> to complete the current </w:t>
      </w:r>
      <w:r w:rsidRPr="0097117F" w:rsidR="00F3164E">
        <w:t xml:space="preserve">data </w:t>
      </w:r>
      <w:r w:rsidRPr="0097117F" w:rsidR="00986BC6">
        <w:t xml:space="preserve">collection, </w:t>
      </w:r>
      <w:r w:rsidRPr="0097117F" w:rsidR="002D092E">
        <w:t xml:space="preserve">has run </w:t>
      </w:r>
      <w:r w:rsidRPr="0097117F">
        <w:t xml:space="preserve">studies similar in duration to the current information collection request, as detailed in the below table. </w:t>
      </w:r>
      <w:r w:rsidRPr="0097117F" w:rsidR="002029F7">
        <w:t>Note</w:t>
      </w:r>
      <w:r w:rsidRPr="0097117F" w:rsidR="00CB4ACF">
        <w:t>,</w:t>
      </w:r>
      <w:r w:rsidRPr="0097117F" w:rsidR="002029F7">
        <w:t xml:space="preserve"> none of the cited studies</w:t>
      </w:r>
      <w:r w:rsidRPr="0097117F" w:rsidR="0097117F">
        <w:t xml:space="preserve"> required 2 separate data collection sessions, totaling 135 minutes </w:t>
      </w:r>
      <w:r w:rsidRPr="0097117F" w:rsidR="0097117F">
        <w:t>participation</w:t>
      </w:r>
      <w:r w:rsidRPr="0097117F" w:rsidR="0097117F">
        <w:t xml:space="preserve"> and</w:t>
      </w:r>
      <w:r w:rsidRPr="0097117F" w:rsidR="002029F7">
        <w:t xml:space="preserve"> included 2 participants per session, one being a child</w:t>
      </w:r>
      <w:r w:rsidRPr="0097117F" w:rsidR="0097117F">
        <w:t>.</w:t>
      </w:r>
      <w:r w:rsidRPr="0097117F" w:rsidR="00F3164E">
        <w:t xml:space="preserve"> </w:t>
      </w:r>
      <w:r w:rsidR="0097117F">
        <w:t xml:space="preserve">The $150 incentive proposed for this data collection is based on the number of sessions required, the duration of each session, the number of participants (caregiver and child), </w:t>
      </w:r>
      <w:r w:rsidR="00190F4D">
        <w:t>cost</w:t>
      </w:r>
      <w:r w:rsidR="0097117F">
        <w:t xml:space="preserve"> associated with travel</w:t>
      </w:r>
      <w:r w:rsidR="00190F4D">
        <w:t xml:space="preserve"> (e.g., increased gas prices)</w:t>
      </w:r>
      <w:r w:rsidR="0097117F">
        <w:t xml:space="preserve">, and the need for the caregiver to take time away from their job. </w:t>
      </w:r>
    </w:p>
    <w:p w:rsidR="00DF0709" w:rsidRPr="000D0FF4" w:rsidP="00D829AF" w14:paraId="3DD7E9E8" w14:textId="4A30C224">
      <w:pPr>
        <w:widowControl w:val="0"/>
        <w:jc w:val="both"/>
      </w:pPr>
      <w:r w:rsidRPr="000D0FF4">
        <w:t xml:space="preserve"> </w:t>
      </w:r>
    </w:p>
    <w:tbl>
      <w:tblPr>
        <w:tblStyle w:val="TableGrid"/>
        <w:tblW w:w="9501" w:type="dxa"/>
        <w:jc w:val="center"/>
        <w:tblLayout w:type="fixed"/>
        <w:tblLook w:val="04A0"/>
      </w:tblPr>
      <w:tblGrid>
        <w:gridCol w:w="1435"/>
        <w:gridCol w:w="1350"/>
        <w:gridCol w:w="900"/>
        <w:gridCol w:w="1170"/>
        <w:gridCol w:w="990"/>
        <w:gridCol w:w="1170"/>
        <w:gridCol w:w="2486"/>
      </w:tblGrid>
      <w:tr w14:paraId="3DD7E9EF" w14:textId="77777777" w:rsidTr="00BE4663">
        <w:tblPrEx>
          <w:tblW w:w="9501" w:type="dxa"/>
          <w:jc w:val="center"/>
          <w:tblLayout w:type="fixed"/>
          <w:tblLook w:val="04A0"/>
        </w:tblPrEx>
        <w:trPr>
          <w:jc w:val="center"/>
        </w:trPr>
        <w:tc>
          <w:tcPr>
            <w:tcW w:w="1435" w:type="dxa"/>
            <w:shd w:val="clear" w:color="auto" w:fill="8DB3E2" w:themeFill="text2" w:themeFillTint="66"/>
          </w:tcPr>
          <w:p w:rsidR="002029F7" w:rsidRPr="00927655" w:rsidP="00BE4D5C" w14:paraId="3DD7E9E9" w14:textId="77777777">
            <w:pPr>
              <w:rPr>
                <w:rFonts w:asciiTheme="majorHAnsi" w:hAnsiTheme="majorHAnsi" w:cs="Arial"/>
                <w:b/>
                <w:sz w:val="22"/>
              </w:rPr>
            </w:pPr>
            <w:r w:rsidRPr="00927655">
              <w:rPr>
                <w:rFonts w:asciiTheme="majorHAnsi" w:hAnsiTheme="majorHAnsi" w:cs="Arial"/>
                <w:b/>
                <w:sz w:val="22"/>
              </w:rPr>
              <w:t>Study Name</w:t>
            </w:r>
          </w:p>
        </w:tc>
        <w:tc>
          <w:tcPr>
            <w:tcW w:w="1350" w:type="dxa"/>
            <w:shd w:val="clear" w:color="auto" w:fill="8DB3E2" w:themeFill="text2" w:themeFillTint="66"/>
          </w:tcPr>
          <w:p w:rsidR="002029F7" w:rsidRPr="00927655" w:rsidP="00BE4D5C" w14:paraId="23FDBD88" w14:textId="7C0182AE">
            <w:pPr>
              <w:rPr>
                <w:rFonts w:asciiTheme="majorHAnsi" w:hAnsiTheme="majorHAnsi" w:cs="Arial"/>
                <w:b/>
                <w:sz w:val="22"/>
              </w:rPr>
            </w:pPr>
            <w:r w:rsidRPr="00927655">
              <w:rPr>
                <w:rFonts w:asciiTheme="majorHAnsi" w:hAnsiTheme="majorHAnsi" w:cs="Arial"/>
                <w:b/>
                <w:sz w:val="22"/>
              </w:rPr>
              <w:t>Year Conducted</w:t>
            </w:r>
          </w:p>
        </w:tc>
        <w:tc>
          <w:tcPr>
            <w:tcW w:w="900" w:type="dxa"/>
            <w:shd w:val="clear" w:color="auto" w:fill="8DB3E2" w:themeFill="text2" w:themeFillTint="66"/>
          </w:tcPr>
          <w:p w:rsidR="002029F7" w:rsidRPr="00927655" w:rsidP="00BE4D5C" w14:paraId="3DD7E9EA" w14:textId="147D3F9A">
            <w:pPr>
              <w:rPr>
                <w:rFonts w:asciiTheme="majorHAnsi" w:hAnsiTheme="majorHAnsi" w:cs="Arial"/>
                <w:b/>
                <w:sz w:val="22"/>
              </w:rPr>
            </w:pPr>
            <w:r w:rsidRPr="00927655">
              <w:rPr>
                <w:rFonts w:asciiTheme="majorHAnsi" w:hAnsiTheme="majorHAnsi" w:cs="Arial"/>
                <w:b/>
                <w:sz w:val="22"/>
              </w:rPr>
              <w:t>Age Group</w:t>
            </w:r>
          </w:p>
        </w:tc>
        <w:tc>
          <w:tcPr>
            <w:tcW w:w="1170" w:type="dxa"/>
            <w:shd w:val="clear" w:color="auto" w:fill="8DB3E2" w:themeFill="text2" w:themeFillTint="66"/>
          </w:tcPr>
          <w:p w:rsidR="002029F7" w:rsidRPr="00927655" w:rsidP="00BE4D5C" w14:paraId="3DD7E9EB" w14:textId="77777777">
            <w:pPr>
              <w:rPr>
                <w:rFonts w:asciiTheme="majorHAnsi" w:hAnsiTheme="majorHAnsi" w:cs="Arial"/>
                <w:b/>
                <w:sz w:val="22"/>
              </w:rPr>
            </w:pPr>
            <w:r w:rsidRPr="00927655">
              <w:rPr>
                <w:rFonts w:asciiTheme="majorHAnsi" w:hAnsiTheme="majorHAnsi" w:cs="Arial"/>
                <w:b/>
                <w:sz w:val="22"/>
              </w:rPr>
              <w:t>Duration</w:t>
            </w:r>
          </w:p>
        </w:tc>
        <w:tc>
          <w:tcPr>
            <w:tcW w:w="990" w:type="dxa"/>
            <w:shd w:val="clear" w:color="auto" w:fill="8DB3E2" w:themeFill="text2" w:themeFillTint="66"/>
          </w:tcPr>
          <w:p w:rsidR="002029F7" w:rsidRPr="00927655" w:rsidP="00BE4D5C" w14:paraId="3DD7E9EC" w14:textId="77777777">
            <w:pPr>
              <w:rPr>
                <w:rFonts w:asciiTheme="majorHAnsi" w:hAnsiTheme="majorHAnsi" w:cs="Arial"/>
                <w:b/>
                <w:sz w:val="22"/>
              </w:rPr>
            </w:pPr>
            <w:r w:rsidRPr="00927655">
              <w:rPr>
                <w:rFonts w:asciiTheme="majorHAnsi" w:hAnsiTheme="majorHAnsi" w:cs="Arial"/>
                <w:b/>
                <w:sz w:val="22"/>
              </w:rPr>
              <w:t>Agency</w:t>
            </w:r>
          </w:p>
        </w:tc>
        <w:tc>
          <w:tcPr>
            <w:tcW w:w="1170" w:type="dxa"/>
            <w:shd w:val="clear" w:color="auto" w:fill="8DB3E2" w:themeFill="text2" w:themeFillTint="66"/>
          </w:tcPr>
          <w:p w:rsidR="002029F7" w:rsidRPr="00927655" w:rsidP="00BE4D5C" w14:paraId="3DD7E9ED" w14:textId="77777777">
            <w:pPr>
              <w:rPr>
                <w:rFonts w:asciiTheme="majorHAnsi" w:hAnsiTheme="majorHAnsi" w:cs="Arial"/>
                <w:b/>
                <w:sz w:val="22"/>
              </w:rPr>
            </w:pPr>
            <w:r w:rsidRPr="00927655">
              <w:rPr>
                <w:rFonts w:asciiTheme="majorHAnsi" w:hAnsiTheme="majorHAnsi" w:cs="Arial"/>
                <w:b/>
                <w:sz w:val="22"/>
              </w:rPr>
              <w:t>Incentive Amount</w:t>
            </w:r>
          </w:p>
        </w:tc>
        <w:tc>
          <w:tcPr>
            <w:tcW w:w="2486" w:type="dxa"/>
            <w:shd w:val="clear" w:color="auto" w:fill="8DB3E2" w:themeFill="text2" w:themeFillTint="66"/>
          </w:tcPr>
          <w:p w:rsidR="002029F7" w:rsidRPr="00927655" w:rsidP="00BE4D5C" w14:paraId="3DD7E9EE" w14:textId="77777777">
            <w:pPr>
              <w:rPr>
                <w:rFonts w:asciiTheme="majorHAnsi" w:hAnsiTheme="majorHAnsi" w:cs="Arial"/>
                <w:b/>
                <w:sz w:val="22"/>
              </w:rPr>
            </w:pPr>
            <w:r w:rsidRPr="00927655">
              <w:rPr>
                <w:rFonts w:asciiTheme="majorHAnsi" w:hAnsiTheme="majorHAnsi" w:cs="Arial"/>
                <w:b/>
                <w:sz w:val="22"/>
              </w:rPr>
              <w:t>Report</w:t>
            </w:r>
          </w:p>
        </w:tc>
      </w:tr>
      <w:tr w14:paraId="3DD7E9F7" w14:textId="77777777" w:rsidTr="00BE4663">
        <w:tblPrEx>
          <w:tblW w:w="9501" w:type="dxa"/>
          <w:jc w:val="center"/>
          <w:tblLayout w:type="fixed"/>
          <w:tblLook w:val="04A0"/>
        </w:tblPrEx>
        <w:trPr>
          <w:jc w:val="center"/>
        </w:trPr>
        <w:tc>
          <w:tcPr>
            <w:tcW w:w="1435" w:type="dxa"/>
            <w:vAlign w:val="center"/>
          </w:tcPr>
          <w:p w:rsidR="002029F7" w:rsidRPr="00927655" w:rsidP="00927655" w14:paraId="3DD7E9F0" w14:textId="77777777">
            <w:pPr>
              <w:pStyle w:val="Heading1"/>
              <w:tabs>
                <w:tab w:val="left" w:pos="0"/>
              </w:tabs>
              <w:spacing w:before="0"/>
              <w:rPr>
                <w:rFonts w:eastAsia="Times New Roman" w:cs="Arial"/>
                <w:b w:val="0"/>
                <w:bCs w:val="0"/>
                <w:color w:val="auto"/>
                <w:sz w:val="22"/>
                <w:szCs w:val="24"/>
              </w:rPr>
            </w:pPr>
            <w:r w:rsidRPr="00927655">
              <w:rPr>
                <w:rFonts w:eastAsia="Times New Roman" w:cs="Arial"/>
                <w:b w:val="0"/>
                <w:bCs w:val="0"/>
                <w:color w:val="auto"/>
                <w:sz w:val="22"/>
                <w:szCs w:val="24"/>
              </w:rPr>
              <w:t>User Acceptance and Effectiveness of Seat Belt Speed Limiters on Recreational Off-Highway vehicles</w:t>
            </w:r>
          </w:p>
          <w:p w:rsidR="002029F7" w:rsidRPr="00927655" w:rsidP="00927655" w14:paraId="3DD7E9F1" w14:textId="77777777">
            <w:pPr>
              <w:rPr>
                <w:rFonts w:asciiTheme="majorHAnsi" w:hAnsiTheme="majorHAnsi" w:cs="Arial"/>
                <w:sz w:val="22"/>
              </w:rPr>
            </w:pPr>
          </w:p>
        </w:tc>
        <w:tc>
          <w:tcPr>
            <w:tcW w:w="1350" w:type="dxa"/>
            <w:vAlign w:val="center"/>
          </w:tcPr>
          <w:p w:rsidR="002029F7" w:rsidRPr="00927655" w:rsidP="00190F4D" w14:paraId="798891C9" w14:textId="71D47F0B">
            <w:pPr>
              <w:rPr>
                <w:rFonts w:asciiTheme="majorHAnsi" w:hAnsiTheme="majorHAnsi" w:cs="Arial"/>
                <w:sz w:val="22"/>
              </w:rPr>
            </w:pPr>
            <w:r w:rsidRPr="00927655">
              <w:rPr>
                <w:rFonts w:asciiTheme="majorHAnsi" w:hAnsiTheme="majorHAnsi" w:cs="Arial"/>
                <w:sz w:val="22"/>
              </w:rPr>
              <w:t>2015</w:t>
            </w:r>
          </w:p>
        </w:tc>
        <w:tc>
          <w:tcPr>
            <w:tcW w:w="900" w:type="dxa"/>
            <w:vAlign w:val="center"/>
          </w:tcPr>
          <w:p w:rsidR="002029F7" w:rsidRPr="00927655" w:rsidP="00190F4D" w14:paraId="3DD7E9F2" w14:textId="344D582D">
            <w:pPr>
              <w:rPr>
                <w:rFonts w:asciiTheme="majorHAnsi" w:hAnsiTheme="majorHAnsi" w:cs="Arial"/>
                <w:sz w:val="22"/>
              </w:rPr>
            </w:pPr>
            <w:r w:rsidRPr="00927655">
              <w:rPr>
                <w:rFonts w:asciiTheme="majorHAnsi" w:hAnsiTheme="majorHAnsi" w:cs="Arial"/>
                <w:sz w:val="22"/>
              </w:rPr>
              <w:t xml:space="preserve">Adults only </w:t>
            </w:r>
          </w:p>
        </w:tc>
        <w:tc>
          <w:tcPr>
            <w:tcW w:w="1170" w:type="dxa"/>
            <w:vAlign w:val="center"/>
          </w:tcPr>
          <w:p w:rsidR="002029F7" w:rsidRPr="00927655" w:rsidP="00190F4D" w14:paraId="3DD7E9F3" w14:textId="77777777">
            <w:pPr>
              <w:rPr>
                <w:rFonts w:asciiTheme="majorHAnsi" w:hAnsiTheme="majorHAnsi" w:cs="Arial"/>
                <w:sz w:val="22"/>
              </w:rPr>
            </w:pPr>
            <w:r w:rsidRPr="00927655">
              <w:rPr>
                <w:rFonts w:asciiTheme="majorHAnsi" w:hAnsiTheme="majorHAnsi" w:cs="Arial"/>
                <w:sz w:val="22"/>
              </w:rPr>
              <w:t>90 minutes</w:t>
            </w:r>
          </w:p>
        </w:tc>
        <w:tc>
          <w:tcPr>
            <w:tcW w:w="990" w:type="dxa"/>
            <w:vAlign w:val="center"/>
          </w:tcPr>
          <w:p w:rsidR="002029F7" w:rsidRPr="00927655" w:rsidP="00190F4D" w14:paraId="3DD7E9F4" w14:textId="77777777">
            <w:pPr>
              <w:rPr>
                <w:rFonts w:asciiTheme="majorHAnsi" w:hAnsiTheme="majorHAnsi" w:cs="Arial"/>
                <w:sz w:val="22"/>
              </w:rPr>
            </w:pPr>
            <w:r w:rsidRPr="00927655">
              <w:rPr>
                <w:rFonts w:asciiTheme="majorHAnsi" w:hAnsiTheme="majorHAnsi" w:cs="Arial"/>
                <w:sz w:val="22"/>
              </w:rPr>
              <w:t>CPSC</w:t>
            </w:r>
          </w:p>
        </w:tc>
        <w:tc>
          <w:tcPr>
            <w:tcW w:w="1170" w:type="dxa"/>
            <w:vAlign w:val="center"/>
          </w:tcPr>
          <w:p w:rsidR="002029F7" w:rsidRPr="00927655" w:rsidP="00190F4D" w14:paraId="3DD7E9F5" w14:textId="77777777">
            <w:pPr>
              <w:rPr>
                <w:rFonts w:asciiTheme="majorHAnsi" w:hAnsiTheme="majorHAnsi" w:cs="Arial"/>
                <w:sz w:val="22"/>
              </w:rPr>
            </w:pPr>
            <w:r w:rsidRPr="00927655">
              <w:rPr>
                <w:rFonts w:asciiTheme="majorHAnsi" w:hAnsiTheme="majorHAnsi" w:cs="Arial"/>
                <w:sz w:val="22"/>
              </w:rPr>
              <w:t>$75</w:t>
            </w:r>
          </w:p>
        </w:tc>
        <w:tc>
          <w:tcPr>
            <w:tcW w:w="2486" w:type="dxa"/>
            <w:vAlign w:val="center"/>
          </w:tcPr>
          <w:p w:rsidR="002029F7" w:rsidRPr="00927655" w:rsidP="00190F4D" w14:paraId="3DD7E9F6" w14:textId="37806E13">
            <w:pPr>
              <w:rPr>
                <w:rFonts w:asciiTheme="majorHAnsi" w:hAnsiTheme="majorHAnsi" w:cs="Arial"/>
                <w:sz w:val="22"/>
              </w:rPr>
            </w:pPr>
            <w:r w:rsidRPr="00927655">
              <w:rPr>
                <w:rFonts w:asciiTheme="majorHAnsi" w:hAnsiTheme="majorHAnsi" w:cs="Arial"/>
                <w:sz w:val="22"/>
              </w:rPr>
              <w:t>Not Published</w:t>
            </w:r>
          </w:p>
        </w:tc>
      </w:tr>
      <w:tr w14:paraId="3DD7E9FE" w14:textId="77777777" w:rsidTr="00BE4663">
        <w:tblPrEx>
          <w:tblW w:w="9501" w:type="dxa"/>
          <w:jc w:val="center"/>
          <w:tblLayout w:type="fixed"/>
          <w:tblLook w:val="04A0"/>
        </w:tblPrEx>
        <w:trPr>
          <w:jc w:val="center"/>
        </w:trPr>
        <w:tc>
          <w:tcPr>
            <w:tcW w:w="1435" w:type="dxa"/>
            <w:vAlign w:val="center"/>
          </w:tcPr>
          <w:p w:rsidR="002029F7" w:rsidRPr="00927655" w:rsidP="00927655" w14:paraId="3DD7E9F8" w14:textId="77777777">
            <w:pPr>
              <w:rPr>
                <w:rFonts w:asciiTheme="majorHAnsi" w:hAnsiTheme="majorHAnsi" w:cs="Arial"/>
                <w:sz w:val="22"/>
              </w:rPr>
            </w:pPr>
            <w:r w:rsidRPr="00927655">
              <w:rPr>
                <w:rFonts w:asciiTheme="majorHAnsi" w:hAnsiTheme="majorHAnsi" w:cs="Arial"/>
                <w:sz w:val="22"/>
              </w:rPr>
              <w:t>Field Trial Focus Groups on the Feasibility of Seat belt-based Speed Limiters for Recreational Off-Road Vehicles</w:t>
            </w:r>
          </w:p>
        </w:tc>
        <w:tc>
          <w:tcPr>
            <w:tcW w:w="1350" w:type="dxa"/>
            <w:vAlign w:val="center"/>
          </w:tcPr>
          <w:p w:rsidR="002029F7" w:rsidRPr="00927655" w:rsidP="00190F4D" w14:paraId="4FB46C0A" w14:textId="47FFC14C">
            <w:pPr>
              <w:rPr>
                <w:rFonts w:asciiTheme="majorHAnsi" w:hAnsiTheme="majorHAnsi" w:cs="Arial"/>
                <w:sz w:val="22"/>
              </w:rPr>
            </w:pPr>
            <w:r w:rsidRPr="00927655">
              <w:rPr>
                <w:rFonts w:asciiTheme="majorHAnsi" w:hAnsiTheme="majorHAnsi" w:cs="Arial"/>
                <w:sz w:val="22"/>
              </w:rPr>
              <w:t>2016</w:t>
            </w:r>
          </w:p>
        </w:tc>
        <w:tc>
          <w:tcPr>
            <w:tcW w:w="900" w:type="dxa"/>
            <w:vAlign w:val="center"/>
          </w:tcPr>
          <w:p w:rsidR="002029F7" w:rsidRPr="00927655" w:rsidP="00190F4D" w14:paraId="3DD7E9F9" w14:textId="7DC29AD4">
            <w:pPr>
              <w:rPr>
                <w:rFonts w:asciiTheme="majorHAnsi" w:hAnsiTheme="majorHAnsi" w:cs="Arial"/>
                <w:sz w:val="22"/>
              </w:rPr>
            </w:pPr>
            <w:r w:rsidRPr="00927655">
              <w:rPr>
                <w:rFonts w:asciiTheme="majorHAnsi" w:hAnsiTheme="majorHAnsi" w:cs="Arial"/>
                <w:sz w:val="22"/>
              </w:rPr>
              <w:t>Adults only</w:t>
            </w:r>
          </w:p>
        </w:tc>
        <w:tc>
          <w:tcPr>
            <w:tcW w:w="1170" w:type="dxa"/>
            <w:vAlign w:val="center"/>
          </w:tcPr>
          <w:p w:rsidR="002029F7" w:rsidRPr="00927655" w:rsidP="00190F4D" w14:paraId="3DD7E9FA" w14:textId="77777777">
            <w:pPr>
              <w:rPr>
                <w:rFonts w:asciiTheme="majorHAnsi" w:hAnsiTheme="majorHAnsi" w:cs="Arial"/>
                <w:sz w:val="22"/>
              </w:rPr>
            </w:pPr>
            <w:r w:rsidRPr="00927655">
              <w:rPr>
                <w:rFonts w:asciiTheme="majorHAnsi" w:hAnsiTheme="majorHAnsi" w:cs="Arial"/>
                <w:sz w:val="22"/>
              </w:rPr>
              <w:t>120 minutes</w:t>
            </w:r>
          </w:p>
        </w:tc>
        <w:tc>
          <w:tcPr>
            <w:tcW w:w="990" w:type="dxa"/>
            <w:vAlign w:val="center"/>
          </w:tcPr>
          <w:p w:rsidR="002029F7" w:rsidRPr="00927655" w:rsidP="00190F4D" w14:paraId="3DD7E9FB" w14:textId="77777777">
            <w:pPr>
              <w:rPr>
                <w:rFonts w:asciiTheme="majorHAnsi" w:hAnsiTheme="majorHAnsi" w:cs="Arial"/>
                <w:sz w:val="22"/>
              </w:rPr>
            </w:pPr>
            <w:r w:rsidRPr="00927655">
              <w:rPr>
                <w:rFonts w:asciiTheme="majorHAnsi" w:hAnsiTheme="majorHAnsi" w:cs="Arial"/>
                <w:sz w:val="22"/>
              </w:rPr>
              <w:t>CPSC</w:t>
            </w:r>
          </w:p>
        </w:tc>
        <w:tc>
          <w:tcPr>
            <w:tcW w:w="1170" w:type="dxa"/>
            <w:vAlign w:val="center"/>
          </w:tcPr>
          <w:p w:rsidR="002029F7" w:rsidRPr="00927655" w:rsidP="00190F4D" w14:paraId="3DD7E9FC" w14:textId="77777777">
            <w:pPr>
              <w:rPr>
                <w:rFonts w:asciiTheme="majorHAnsi" w:hAnsiTheme="majorHAnsi" w:cs="Arial"/>
                <w:sz w:val="22"/>
              </w:rPr>
            </w:pPr>
            <w:r w:rsidRPr="00927655">
              <w:rPr>
                <w:rFonts w:asciiTheme="majorHAnsi" w:hAnsiTheme="majorHAnsi" w:cs="Arial"/>
                <w:sz w:val="22"/>
              </w:rPr>
              <w:t>$75</w:t>
            </w:r>
          </w:p>
        </w:tc>
        <w:tc>
          <w:tcPr>
            <w:tcW w:w="2486" w:type="dxa"/>
            <w:vAlign w:val="center"/>
          </w:tcPr>
          <w:p w:rsidR="002029F7" w:rsidRPr="00927655" w:rsidP="00190F4D" w14:paraId="3DD7E9FD" w14:textId="77777777">
            <w:pPr>
              <w:rPr>
                <w:rFonts w:asciiTheme="majorHAnsi" w:hAnsiTheme="majorHAnsi" w:cs="Arial"/>
                <w:sz w:val="22"/>
              </w:rPr>
            </w:pPr>
            <w:r w:rsidRPr="00927655">
              <w:rPr>
                <w:rFonts w:asciiTheme="majorHAnsi" w:hAnsiTheme="majorHAnsi" w:cs="Arial"/>
                <w:sz w:val="22"/>
              </w:rPr>
              <w:t>http://www.cpsc.gov/global/research-and-statistics/injury-statistics/sports-and-recreation/atvs/westat-phase-2-final-report---user-acceptance-of-seat-belt-speed-limiter-on-rovs.pdf</w:t>
            </w:r>
          </w:p>
        </w:tc>
      </w:tr>
      <w:tr w14:paraId="3DD7EA05" w14:textId="77777777" w:rsidTr="00BE4663">
        <w:tblPrEx>
          <w:tblW w:w="9501" w:type="dxa"/>
          <w:jc w:val="center"/>
          <w:tblLayout w:type="fixed"/>
          <w:tblLook w:val="04A0"/>
        </w:tblPrEx>
        <w:trPr>
          <w:trHeight w:val="2276"/>
          <w:jc w:val="center"/>
        </w:trPr>
        <w:tc>
          <w:tcPr>
            <w:tcW w:w="1435" w:type="dxa"/>
            <w:vAlign w:val="center"/>
          </w:tcPr>
          <w:p w:rsidR="002029F7" w:rsidRPr="00927655" w:rsidP="00190F4D" w14:paraId="3DD7E9FF" w14:textId="2112423F">
            <w:pPr>
              <w:pStyle w:val="Heading1"/>
              <w:rPr>
                <w:rFonts w:eastAsia="Times New Roman" w:cs="Arial"/>
                <w:b w:val="0"/>
                <w:bCs w:val="0"/>
                <w:color w:val="auto"/>
                <w:sz w:val="22"/>
                <w:szCs w:val="24"/>
              </w:rPr>
            </w:pPr>
            <w:r w:rsidRPr="00927655">
              <w:rPr>
                <w:rFonts w:cs="Times New Roman"/>
                <w:b w:val="0"/>
                <w:color w:val="auto"/>
                <w:sz w:val="22"/>
                <w:szCs w:val="24"/>
              </w:rPr>
              <w:t xml:space="preserve">Effectiveness of Safety Devices in Reducing the Risk of Child’s Access to Hazardous Cords and Loops Focus Groups </w:t>
            </w:r>
          </w:p>
        </w:tc>
        <w:tc>
          <w:tcPr>
            <w:tcW w:w="1350" w:type="dxa"/>
            <w:vAlign w:val="center"/>
          </w:tcPr>
          <w:p w:rsidR="002029F7" w:rsidRPr="00927655" w:rsidP="00190F4D" w14:paraId="6C1E3E11" w14:textId="548439C9">
            <w:pPr>
              <w:rPr>
                <w:rFonts w:asciiTheme="majorHAnsi" w:hAnsiTheme="majorHAnsi" w:cs="Arial"/>
                <w:sz w:val="22"/>
              </w:rPr>
            </w:pPr>
            <w:r w:rsidRPr="00927655">
              <w:rPr>
                <w:rFonts w:asciiTheme="majorHAnsi" w:hAnsiTheme="majorHAnsi" w:cs="Arial"/>
                <w:sz w:val="22"/>
              </w:rPr>
              <w:t>2016</w:t>
            </w:r>
          </w:p>
        </w:tc>
        <w:tc>
          <w:tcPr>
            <w:tcW w:w="900" w:type="dxa"/>
            <w:vAlign w:val="center"/>
          </w:tcPr>
          <w:p w:rsidR="002029F7" w:rsidRPr="00927655" w:rsidP="00190F4D" w14:paraId="3DD7EA00" w14:textId="6FA9B81F">
            <w:pPr>
              <w:rPr>
                <w:rFonts w:asciiTheme="majorHAnsi" w:hAnsiTheme="majorHAnsi" w:cs="Arial"/>
                <w:sz w:val="22"/>
              </w:rPr>
            </w:pPr>
            <w:r w:rsidRPr="00927655">
              <w:rPr>
                <w:rFonts w:asciiTheme="majorHAnsi" w:hAnsiTheme="majorHAnsi" w:cs="Arial"/>
                <w:sz w:val="22"/>
              </w:rPr>
              <w:t xml:space="preserve">Adults only </w:t>
            </w:r>
          </w:p>
        </w:tc>
        <w:tc>
          <w:tcPr>
            <w:tcW w:w="1170" w:type="dxa"/>
            <w:vAlign w:val="center"/>
          </w:tcPr>
          <w:p w:rsidR="002029F7" w:rsidRPr="00927655" w:rsidP="00190F4D" w14:paraId="3DD7EA01" w14:textId="5D0970E0">
            <w:pPr>
              <w:rPr>
                <w:rFonts w:asciiTheme="majorHAnsi" w:hAnsiTheme="majorHAnsi" w:cs="Arial"/>
                <w:sz w:val="22"/>
              </w:rPr>
            </w:pPr>
            <w:r w:rsidRPr="00927655">
              <w:rPr>
                <w:rFonts w:asciiTheme="majorHAnsi" w:hAnsiTheme="majorHAnsi" w:cs="Arial"/>
                <w:sz w:val="22"/>
              </w:rPr>
              <w:t>90 minutes</w:t>
            </w:r>
          </w:p>
        </w:tc>
        <w:tc>
          <w:tcPr>
            <w:tcW w:w="990" w:type="dxa"/>
            <w:vAlign w:val="center"/>
          </w:tcPr>
          <w:p w:rsidR="002029F7" w:rsidRPr="00927655" w:rsidP="00190F4D" w14:paraId="3DD7EA02" w14:textId="4E3C25B4">
            <w:pPr>
              <w:rPr>
                <w:rFonts w:asciiTheme="majorHAnsi" w:hAnsiTheme="majorHAnsi" w:cs="Arial"/>
                <w:sz w:val="22"/>
              </w:rPr>
            </w:pPr>
            <w:r w:rsidRPr="00927655">
              <w:rPr>
                <w:rFonts w:asciiTheme="majorHAnsi" w:hAnsiTheme="majorHAnsi" w:cs="Arial"/>
                <w:sz w:val="22"/>
              </w:rPr>
              <w:t>CPSC</w:t>
            </w:r>
          </w:p>
        </w:tc>
        <w:tc>
          <w:tcPr>
            <w:tcW w:w="1170" w:type="dxa"/>
            <w:vAlign w:val="center"/>
          </w:tcPr>
          <w:p w:rsidR="002029F7" w:rsidRPr="00927655" w:rsidP="00190F4D" w14:paraId="3DD7EA03" w14:textId="747F4C8B">
            <w:pPr>
              <w:rPr>
                <w:rFonts w:asciiTheme="majorHAnsi" w:hAnsiTheme="majorHAnsi" w:cs="Arial"/>
                <w:sz w:val="22"/>
              </w:rPr>
            </w:pPr>
            <w:r w:rsidRPr="00927655">
              <w:rPr>
                <w:rFonts w:asciiTheme="majorHAnsi" w:hAnsiTheme="majorHAnsi" w:cs="Arial"/>
                <w:sz w:val="22"/>
              </w:rPr>
              <w:t>$75</w:t>
            </w:r>
          </w:p>
        </w:tc>
        <w:tc>
          <w:tcPr>
            <w:tcW w:w="2486" w:type="dxa"/>
            <w:vAlign w:val="center"/>
          </w:tcPr>
          <w:p w:rsidR="002029F7" w:rsidRPr="00927655" w:rsidP="00190F4D" w14:paraId="3DD7EA04" w14:textId="52A86EC0">
            <w:pPr>
              <w:rPr>
                <w:rFonts w:asciiTheme="majorHAnsi" w:hAnsiTheme="majorHAnsi" w:cs="Arial"/>
                <w:sz w:val="22"/>
              </w:rPr>
            </w:pPr>
            <w:r w:rsidRPr="00927655">
              <w:rPr>
                <w:rFonts w:asciiTheme="majorHAnsi" w:hAnsiTheme="majorHAnsi" w:cs="Arial"/>
                <w:sz w:val="22"/>
              </w:rPr>
              <w:t>https://www.cpsc.gov/s3fs-public/Window%20Coverings%20Safety%20Devices%20Contractor%20Reports.pdf</w:t>
            </w:r>
          </w:p>
        </w:tc>
      </w:tr>
    </w:tbl>
    <w:p w:rsidR="00DF0709" w:rsidP="00D829AF" w14:paraId="3DD7EA0D" w14:textId="371B5DDE">
      <w:pPr>
        <w:widowControl w:val="0"/>
        <w:jc w:val="both"/>
        <w:rPr>
          <w:rFonts w:ascii="Garamond" w:hAnsi="Garamond"/>
        </w:rPr>
      </w:pPr>
    </w:p>
    <w:p w:rsidR="00927655" w:rsidRPr="000D0FF4" w:rsidP="00D829AF" w14:paraId="2FECCDCA" w14:textId="77777777">
      <w:pPr>
        <w:widowControl w:val="0"/>
        <w:jc w:val="both"/>
        <w:rPr>
          <w:rFonts w:ascii="Garamond" w:hAnsi="Garamond"/>
        </w:rPr>
      </w:pPr>
    </w:p>
    <w:p w:rsidR="00D829AF" w:rsidRPr="000D0FF4" w:rsidP="00D829AF" w14:paraId="3DD7EA0E" w14:textId="77777777">
      <w:pPr>
        <w:widowControl w:val="0"/>
        <w:jc w:val="both"/>
      </w:pPr>
    </w:p>
    <w:p w:rsidR="00D829AF" w:rsidRPr="000D0FF4" w:rsidP="00D829AF" w14:paraId="3DD7EA0F" w14:textId="77777777">
      <w:pPr>
        <w:pStyle w:val="Heading2"/>
        <w:rPr>
          <w:rFonts w:cs="Times New Roman"/>
        </w:rPr>
      </w:pPr>
      <w:bookmarkStart w:id="9" w:name="_Toc267035202"/>
      <w:r w:rsidRPr="000D0FF4">
        <w:rPr>
          <w:rFonts w:cs="Times New Roman"/>
        </w:rPr>
        <w:t>A.10.</w:t>
      </w:r>
      <w:r w:rsidRPr="000D0FF4">
        <w:rPr>
          <w:rFonts w:cs="Times New Roman"/>
        </w:rPr>
        <w:tab/>
        <w:t>Describe any assurance of confidentiality provided to respondents.</w:t>
      </w:r>
      <w:bookmarkEnd w:id="9"/>
    </w:p>
    <w:p w:rsidR="00D829AF" w:rsidRPr="000D0FF4" w:rsidP="00D829AF" w14:paraId="3DD7EA10" w14:textId="77777777"/>
    <w:p w:rsidR="00DE6C8B" w:rsidRPr="00E90CB0" w:rsidP="00612D27" w14:paraId="0EEBDA22" w14:textId="1D914A56">
      <w:r w:rsidRPr="00E90CB0">
        <w:t xml:space="preserve">All data will be treated with sensitivity and security considerations commensurate with its level of confidential content. </w:t>
      </w:r>
      <w:r w:rsidRPr="00E90CB0" w:rsidR="006261E3">
        <w:t>CPSC</w:t>
      </w:r>
      <w:r w:rsidRPr="00E90CB0">
        <w:t xml:space="preserve"> will not directly obtain data by intervening or interacting with participants and will not have access to identifiable private data.</w:t>
      </w:r>
    </w:p>
    <w:p w:rsidR="00DE6C8B" w:rsidRPr="00E90CB0" w:rsidP="00612D27" w14:paraId="31019BDC" w14:textId="77777777"/>
    <w:p w:rsidR="00E90CB0" w:rsidP="00612D27" w14:paraId="72AD33EA" w14:textId="627BD527">
      <w:r w:rsidRPr="00E90CB0">
        <w:t xml:space="preserve">For the proposed </w:t>
      </w:r>
      <w:r w:rsidRPr="00E90CB0" w:rsidR="0017450D">
        <w:t>data collection</w:t>
      </w:r>
      <w:r w:rsidRPr="00E90CB0">
        <w:t xml:space="preserve">, the criteria for IRB approval are: risks to participants are minimized; risks to participants are reasonable in relation to anticipated benefit; selection of participants is equitable; informed consent will be sought and documented for each </w:t>
      </w:r>
      <w:r w:rsidR="00CA4623">
        <w:t>adult participant and their child</w:t>
      </w:r>
      <w:r w:rsidRPr="00E90CB0">
        <w:t>; data collection will be adequately monitored to ensure the safety of participants; there are adequate provisions to protect the privacy of participants and to maintai</w:t>
      </w:r>
      <w:r w:rsidRPr="00E90CB0" w:rsidR="00E51AA0">
        <w:t xml:space="preserve">n the confidentiality of data. </w:t>
      </w:r>
      <w:r w:rsidRPr="00E90CB0" w:rsidR="00CB6285">
        <w:t xml:space="preserve">The Contractor’s Institutional Review Board (IRB) has reviewed all instruments, informed consent materials, and procedures to ensure that the rights of individuals participating in the study are safeguarded. </w:t>
      </w:r>
    </w:p>
    <w:p w:rsidR="00630EA9" w:rsidRPr="00CA4623" w:rsidP="00612D27" w14:paraId="481AD113" w14:textId="77777777"/>
    <w:p w:rsidR="00612D27" w:rsidRPr="00E90CB0" w:rsidP="00612D27" w14:paraId="37396222" w14:textId="5CD48876">
      <w:r w:rsidRPr="00E90CB0">
        <w:t xml:space="preserve">The Contractor holds a Multiple Project Assurance (MPA) from the Federal Office for Human Research Protections (OHRP). </w:t>
      </w:r>
      <w:r w:rsidRPr="00E90CB0" w:rsidR="00CC7879">
        <w:t>The contractors Federal Wide Assurance Number is FWA00005551. The IRB registration number listed with the OHRP is IRB00000695.</w:t>
      </w:r>
      <w:r w:rsidRPr="00E90CB0" w:rsidR="00FA58A0">
        <w:t xml:space="preserve"> </w:t>
      </w:r>
      <w:r w:rsidRPr="00E90CB0">
        <w:t xml:space="preserve">A copy of the IRB approval notice is included as </w:t>
      </w:r>
      <w:r w:rsidRPr="00E90CB0">
        <w:rPr>
          <w:b/>
        </w:rPr>
        <w:t xml:space="preserve">Appendix </w:t>
      </w:r>
      <w:r w:rsidRPr="00E90CB0" w:rsidR="00E90CB0">
        <w:rPr>
          <w:b/>
        </w:rPr>
        <w:t>B</w:t>
      </w:r>
      <w:r w:rsidRPr="00E90CB0">
        <w:rPr>
          <w:b/>
        </w:rPr>
        <w:t>.</w:t>
      </w:r>
      <w:r w:rsidRPr="00E90CB0">
        <w:t xml:space="preserve"> </w:t>
      </w:r>
    </w:p>
    <w:p w:rsidR="00FA58A0" w:rsidRPr="000D0FF4" w:rsidP="00D829AF" w14:paraId="480C9BFF" w14:textId="77777777"/>
    <w:p w:rsidR="00FA58A0" w:rsidRPr="00E90CB0" w:rsidP="00FA58A0" w14:paraId="55E80183" w14:textId="7E18429D">
      <w:pPr>
        <w:pStyle w:val="OMBbodytext"/>
        <w:rPr>
          <w:szCs w:val="24"/>
        </w:rPr>
      </w:pPr>
      <w:r w:rsidRPr="00E90CB0">
        <w:rPr>
          <w:szCs w:val="24"/>
        </w:rPr>
        <w:t xml:space="preserve">The proposed </w:t>
      </w:r>
      <w:r w:rsidR="00CA4623">
        <w:rPr>
          <w:szCs w:val="24"/>
        </w:rPr>
        <w:t xml:space="preserve">data </w:t>
      </w:r>
      <w:r w:rsidRPr="00E90CB0">
        <w:rPr>
          <w:szCs w:val="24"/>
        </w:rPr>
        <w:t xml:space="preserve">collection will have no impact on respondents’ privacy. The respondent’s name, email address, and phone number will be collected and only used to schedule data collection sessions as needed. </w:t>
      </w:r>
      <w:r w:rsidRPr="00E90CB0" w:rsidR="005702A8">
        <w:rPr>
          <w:szCs w:val="24"/>
        </w:rPr>
        <w:t xml:space="preserve">All procedures have been developed, in accordance with Federal, State, and local guidelines, to ensure that the rights and privacy of children and their </w:t>
      </w:r>
      <w:r w:rsidRPr="00E90CB0" w:rsidR="007F28AD">
        <w:rPr>
          <w:szCs w:val="24"/>
        </w:rPr>
        <w:t>caregivers</w:t>
      </w:r>
      <w:r w:rsidRPr="00E90CB0" w:rsidR="005702A8">
        <w:rPr>
          <w:szCs w:val="24"/>
        </w:rPr>
        <w:t xml:space="preserve"> are protected. </w:t>
      </w:r>
      <w:r w:rsidRPr="00E90CB0" w:rsidR="0017450D">
        <w:rPr>
          <w:szCs w:val="24"/>
        </w:rPr>
        <w:t>The c</w:t>
      </w:r>
      <w:r w:rsidRPr="00E90CB0" w:rsidR="007C44BF">
        <w:rPr>
          <w:szCs w:val="24"/>
        </w:rPr>
        <w:t>onsent form</w:t>
      </w:r>
      <w:r w:rsidRPr="00E90CB0">
        <w:rPr>
          <w:szCs w:val="24"/>
        </w:rPr>
        <w:t xml:space="preserve"> (</w:t>
      </w:r>
      <w:r w:rsidRPr="00E90CB0">
        <w:rPr>
          <w:b/>
          <w:szCs w:val="24"/>
        </w:rPr>
        <w:t>A</w:t>
      </w:r>
      <w:r w:rsidR="005459FE">
        <w:rPr>
          <w:b/>
          <w:szCs w:val="24"/>
        </w:rPr>
        <w:t>ppendix</w:t>
      </w:r>
      <w:r w:rsidRPr="00E90CB0">
        <w:rPr>
          <w:b/>
          <w:szCs w:val="24"/>
        </w:rPr>
        <w:t xml:space="preserve"> </w:t>
      </w:r>
      <w:r w:rsidRPr="00E90CB0" w:rsidR="00E90CB0">
        <w:rPr>
          <w:b/>
          <w:szCs w:val="24"/>
        </w:rPr>
        <w:t>C</w:t>
      </w:r>
      <w:r w:rsidRPr="00E90CB0">
        <w:rPr>
          <w:szCs w:val="24"/>
        </w:rPr>
        <w:t xml:space="preserve">) </w:t>
      </w:r>
      <w:r w:rsidR="0005632B">
        <w:rPr>
          <w:szCs w:val="24"/>
        </w:rPr>
        <w:t>and video release form (</w:t>
      </w:r>
      <w:r w:rsidRPr="0005632B" w:rsidR="0005632B">
        <w:rPr>
          <w:b/>
          <w:szCs w:val="24"/>
        </w:rPr>
        <w:t>Appendix D</w:t>
      </w:r>
      <w:r w:rsidR="0005632B">
        <w:rPr>
          <w:szCs w:val="24"/>
        </w:rPr>
        <w:t xml:space="preserve">) </w:t>
      </w:r>
      <w:r w:rsidRPr="00E90CB0">
        <w:rPr>
          <w:szCs w:val="24"/>
        </w:rPr>
        <w:t xml:space="preserve">must be signed by </w:t>
      </w:r>
      <w:r w:rsidRPr="00E90CB0" w:rsidR="007C44BF">
        <w:rPr>
          <w:szCs w:val="24"/>
        </w:rPr>
        <w:t>the</w:t>
      </w:r>
      <w:r w:rsidRPr="00E90CB0">
        <w:rPr>
          <w:szCs w:val="24"/>
        </w:rPr>
        <w:t xml:space="preserve"> </w:t>
      </w:r>
      <w:r w:rsidRPr="00E90CB0" w:rsidR="0006360D">
        <w:rPr>
          <w:szCs w:val="24"/>
        </w:rPr>
        <w:t>car</w:t>
      </w:r>
      <w:r w:rsidRPr="00E90CB0" w:rsidR="007F28AD">
        <w:rPr>
          <w:szCs w:val="24"/>
        </w:rPr>
        <w:t>e</w:t>
      </w:r>
      <w:r w:rsidRPr="00E90CB0" w:rsidR="0006360D">
        <w:rPr>
          <w:szCs w:val="24"/>
        </w:rPr>
        <w:t>giver</w:t>
      </w:r>
      <w:r w:rsidRPr="00E90CB0">
        <w:rPr>
          <w:szCs w:val="24"/>
        </w:rPr>
        <w:t xml:space="preserve">. </w:t>
      </w:r>
      <w:r w:rsidRPr="00E90CB0" w:rsidR="001A4931">
        <w:rPr>
          <w:szCs w:val="24"/>
        </w:rPr>
        <w:t xml:space="preserve">Given the age range of the children enrolled in the study will be 2-4-years old, caregivers will consent their child. </w:t>
      </w:r>
      <w:r w:rsidRPr="00E90CB0">
        <w:rPr>
          <w:szCs w:val="24"/>
        </w:rPr>
        <w:t>These documents will inform the respondents that their participation</w:t>
      </w:r>
      <w:r w:rsidRPr="00E90CB0" w:rsidR="001626BE">
        <w:rPr>
          <w:szCs w:val="24"/>
        </w:rPr>
        <w:t xml:space="preserve"> </w:t>
      </w:r>
      <w:r w:rsidRPr="00E90CB0" w:rsidR="00E90CB0">
        <w:rPr>
          <w:szCs w:val="24"/>
        </w:rPr>
        <w:t>and</w:t>
      </w:r>
      <w:r w:rsidRPr="00E90CB0" w:rsidR="001626BE">
        <w:rPr>
          <w:szCs w:val="24"/>
        </w:rPr>
        <w:t xml:space="preserve"> the</w:t>
      </w:r>
      <w:r w:rsidRPr="00E90CB0" w:rsidR="00E90CB0">
        <w:rPr>
          <w:szCs w:val="24"/>
        </w:rPr>
        <w:t>ir</w:t>
      </w:r>
      <w:r w:rsidRPr="00E90CB0" w:rsidR="001626BE">
        <w:rPr>
          <w:szCs w:val="24"/>
        </w:rPr>
        <w:t xml:space="preserve"> child’s</w:t>
      </w:r>
      <w:r w:rsidRPr="00E90CB0">
        <w:rPr>
          <w:szCs w:val="24"/>
        </w:rPr>
        <w:t xml:space="preserve"> </w:t>
      </w:r>
      <w:r w:rsidRPr="00E90CB0" w:rsidR="00036327">
        <w:rPr>
          <w:szCs w:val="24"/>
        </w:rPr>
        <w:t xml:space="preserve">participation </w:t>
      </w:r>
      <w:r w:rsidRPr="00E90CB0">
        <w:rPr>
          <w:szCs w:val="24"/>
        </w:rPr>
        <w:t xml:space="preserve">in the research study is completely voluntary. Any participant (child or adult </w:t>
      </w:r>
      <w:r w:rsidRPr="00E90CB0" w:rsidR="000D0FF4">
        <w:rPr>
          <w:szCs w:val="24"/>
        </w:rPr>
        <w:t>caregiver</w:t>
      </w:r>
      <w:r w:rsidRPr="00E90CB0">
        <w:rPr>
          <w:szCs w:val="24"/>
        </w:rPr>
        <w:t xml:space="preserve">) may agree or refuse to participate. If a participant initially agrees to participate, they are informed that they can elect to stop at any time during the study. </w:t>
      </w:r>
      <w:r w:rsidRPr="00E90CB0" w:rsidR="007C44BF">
        <w:rPr>
          <w:szCs w:val="24"/>
        </w:rPr>
        <w:t xml:space="preserve">The </w:t>
      </w:r>
      <w:r w:rsidRPr="00E90CB0" w:rsidR="0006360D">
        <w:rPr>
          <w:szCs w:val="24"/>
        </w:rPr>
        <w:t>caregiver</w:t>
      </w:r>
      <w:r w:rsidRPr="00E90CB0">
        <w:rPr>
          <w:szCs w:val="24"/>
        </w:rPr>
        <w:t xml:space="preserve"> will be notified that information obtained during the session</w:t>
      </w:r>
      <w:r w:rsidRPr="00E90CB0" w:rsidR="0017450D">
        <w:rPr>
          <w:szCs w:val="24"/>
        </w:rPr>
        <w:t>s</w:t>
      </w:r>
      <w:r w:rsidRPr="00E90CB0">
        <w:rPr>
          <w:szCs w:val="24"/>
        </w:rPr>
        <w:t xml:space="preserve"> will be </w:t>
      </w:r>
      <w:r w:rsidRPr="00E90CB0">
        <w:rPr>
          <w:szCs w:val="24"/>
        </w:rPr>
        <w:t xml:space="preserve">combined into a summary report so that details of individual responses and data observed from </w:t>
      </w:r>
      <w:r w:rsidRPr="00E90CB0" w:rsidR="0006360D">
        <w:rPr>
          <w:szCs w:val="24"/>
        </w:rPr>
        <w:t xml:space="preserve">the </w:t>
      </w:r>
      <w:r w:rsidRPr="00E90CB0">
        <w:rPr>
          <w:szCs w:val="24"/>
        </w:rPr>
        <w:t xml:space="preserve">child’s interactions with toys cannot be linked to a specific child or </w:t>
      </w:r>
      <w:r w:rsidRPr="00E90CB0" w:rsidR="0006360D">
        <w:rPr>
          <w:szCs w:val="24"/>
        </w:rPr>
        <w:t>caregiver</w:t>
      </w:r>
      <w:r w:rsidRPr="00E90CB0">
        <w:rPr>
          <w:szCs w:val="24"/>
        </w:rPr>
        <w:t xml:space="preserve">.  </w:t>
      </w:r>
    </w:p>
    <w:p w:rsidR="005702A8" w:rsidRPr="00E90CB0" w:rsidP="00F708EE" w14:paraId="7FE8E9DE" w14:textId="14132D54">
      <w:r w:rsidRPr="00E90CB0">
        <w:t xml:space="preserve">All respondents will be </w:t>
      </w:r>
      <w:r w:rsidRPr="00E90CB0" w:rsidR="00E90CB0">
        <w:t xml:space="preserve">advised </w:t>
      </w:r>
      <w:r w:rsidRPr="00E90CB0">
        <w:t>that the information they provide will be treated in a secure manner and will be used only for the purpose of this research. To ensure privacy, personal identifiable information (PII) will only be collected during the screener and maintained in the password-protected recruitment database on the Contractor's secure network server</w:t>
      </w:r>
      <w:r w:rsidRPr="00E90CB0" w:rsidR="00036327">
        <w:t>,</w:t>
      </w:r>
      <w:r w:rsidRPr="00E90CB0" w:rsidR="00E51AA0">
        <w:t xml:space="preserve"> </w:t>
      </w:r>
      <w:r w:rsidRPr="00E90CB0" w:rsidR="00E51AA0">
        <w:rPr>
          <w:spacing w:val="2"/>
        </w:rPr>
        <w:t>which has been configured to comply with the Federal Information Security Management Act (FISMA) of 2002</w:t>
      </w:r>
      <w:r w:rsidRPr="00E90CB0">
        <w:t xml:space="preserve">. </w:t>
      </w:r>
      <w:r w:rsidRPr="00E90CB0" w:rsidR="00F708EE">
        <w:rPr>
          <w:spacing w:val="2"/>
        </w:rPr>
        <w:t xml:space="preserve">Only </w:t>
      </w:r>
      <w:r w:rsidRPr="00E90CB0" w:rsidR="00036327">
        <w:rPr>
          <w:spacing w:val="2"/>
        </w:rPr>
        <w:t>recruitment staff</w:t>
      </w:r>
      <w:r w:rsidRPr="00E90CB0" w:rsidR="00F708EE">
        <w:rPr>
          <w:spacing w:val="2"/>
        </w:rPr>
        <w:t xml:space="preserve"> and senior project manage</w:t>
      </w:r>
      <w:r w:rsidRPr="00E90CB0" w:rsidR="001626BE">
        <w:rPr>
          <w:spacing w:val="2"/>
        </w:rPr>
        <w:t>ment</w:t>
      </w:r>
      <w:r w:rsidRPr="00E90CB0" w:rsidR="00F708EE">
        <w:rPr>
          <w:spacing w:val="2"/>
        </w:rPr>
        <w:t xml:space="preserve"> will have access to completed screener applications and/or be able to conduct screener interviews. The screener information will be kept separate from the data collected during the session since the screener contains </w:t>
      </w:r>
      <w:r w:rsidRPr="00E90CB0" w:rsidR="00036327">
        <w:rPr>
          <w:spacing w:val="2"/>
        </w:rPr>
        <w:t>PII</w:t>
      </w:r>
      <w:r w:rsidRPr="00E90CB0" w:rsidR="00F708EE">
        <w:rPr>
          <w:spacing w:val="2"/>
        </w:rPr>
        <w:t xml:space="preserve"> (e.g., names, phone numbers, and address). </w:t>
      </w:r>
      <w:r w:rsidRPr="00E90CB0">
        <w:t xml:space="preserve">A participant ID will be assigned to each </w:t>
      </w:r>
      <w:r w:rsidRPr="00E90CB0" w:rsidR="002F1F80">
        <w:t>participant</w:t>
      </w:r>
      <w:r w:rsidRPr="00E90CB0">
        <w:t xml:space="preserve">. </w:t>
      </w:r>
      <w:r w:rsidRPr="00E90CB0" w:rsidR="007F28AD">
        <w:t>An electronic list of participant names and ID numbers will be stored in a password-protected database on the Contractor's secure network server</w:t>
      </w:r>
      <w:r w:rsidRPr="00E90CB0" w:rsidR="001A4931">
        <w:t>.</w:t>
      </w:r>
      <w:r w:rsidRPr="00E90CB0" w:rsidR="007F28AD">
        <w:t xml:space="preserve"> O</w:t>
      </w:r>
      <w:r w:rsidRPr="00E90CB0">
        <w:t>nly the</w:t>
      </w:r>
      <w:r w:rsidRPr="00E90CB0" w:rsidR="007F28AD">
        <w:t xml:space="preserve"> participant</w:t>
      </w:r>
      <w:r w:rsidRPr="00E90CB0">
        <w:t xml:space="preserve"> ID and other (non-PII) categorical variables necessary for analysis will be available outside the screener database. Within 3 months of the end of the study period, Westat will destroy the link between the ID code and the participant’s personal identifiable information. No PII (names, addresses, or telephone numbers) will be delivered to C</w:t>
      </w:r>
      <w:r w:rsidRPr="00E90CB0" w:rsidR="002F1F80">
        <w:t>PSC</w:t>
      </w:r>
      <w:r w:rsidRPr="00E90CB0">
        <w:t xml:space="preserve">.  </w:t>
      </w:r>
    </w:p>
    <w:p w:rsidR="00F708EE" w:rsidRPr="000D0FF4" w:rsidP="00612D27" w14:paraId="662A25E9" w14:textId="556CDE31"/>
    <w:p w:rsidR="00F708EE" w:rsidRPr="00E90CB0" w:rsidP="00102F0D" w14:paraId="249B61FA" w14:textId="10129609">
      <w:pPr>
        <w:pStyle w:val="OMBbodytext"/>
        <w:rPr>
          <w:spacing w:val="2"/>
          <w:szCs w:val="24"/>
        </w:rPr>
      </w:pPr>
      <w:r w:rsidRPr="00E90CB0">
        <w:rPr>
          <w:szCs w:val="24"/>
        </w:rPr>
        <w:t xml:space="preserve">All data collection and data management staff will be well trained in maintaining information security at all stages of the data collection and data management process. Protocols for data collection will ensure that names, </w:t>
      </w:r>
      <w:r w:rsidRPr="00E90CB0" w:rsidR="007C44BF">
        <w:rPr>
          <w:szCs w:val="24"/>
        </w:rPr>
        <w:t>contact information</w:t>
      </w:r>
      <w:r w:rsidRPr="00E90CB0">
        <w:rPr>
          <w:szCs w:val="24"/>
        </w:rPr>
        <w:t xml:space="preserve">, and all other PII </w:t>
      </w:r>
      <w:r w:rsidRPr="00E90CB0" w:rsidR="00636E68">
        <w:rPr>
          <w:szCs w:val="24"/>
        </w:rPr>
        <w:t>are</w:t>
      </w:r>
      <w:r w:rsidRPr="00E90CB0">
        <w:rPr>
          <w:szCs w:val="24"/>
        </w:rPr>
        <w:t xml:space="preserve"> kept secure during all stages. </w:t>
      </w:r>
      <w:r w:rsidRPr="00E90CB0" w:rsidR="00102F0D">
        <w:rPr>
          <w:szCs w:val="24"/>
        </w:rPr>
        <w:t>Completed consent forms will be stored in separate locked filing cabinets only accessible to authorized personnel</w:t>
      </w:r>
      <w:r w:rsidRPr="00E90CB0" w:rsidR="00B26B8A">
        <w:rPr>
          <w:szCs w:val="24"/>
        </w:rPr>
        <w:t>.</w:t>
      </w:r>
      <w:r w:rsidRPr="00E90CB0" w:rsidR="00102F0D">
        <w:rPr>
          <w:szCs w:val="24"/>
        </w:rPr>
        <w:t xml:space="preserve"> </w:t>
      </w:r>
      <w:r w:rsidRPr="00E90CB0">
        <w:rPr>
          <w:spacing w:val="2"/>
          <w:szCs w:val="24"/>
        </w:rPr>
        <w:t xml:space="preserve">Non-PII categorical elements (gender, birthdate, etc.) will be extracted from the screener information </w:t>
      </w:r>
      <w:r w:rsidRPr="00E90CB0" w:rsidR="00102F0D">
        <w:rPr>
          <w:spacing w:val="2"/>
          <w:szCs w:val="24"/>
        </w:rPr>
        <w:t xml:space="preserve">only for use </w:t>
      </w:r>
      <w:r w:rsidRPr="00E90CB0">
        <w:rPr>
          <w:spacing w:val="2"/>
          <w:szCs w:val="24"/>
        </w:rPr>
        <w:t xml:space="preserve">in </w:t>
      </w:r>
      <w:r w:rsidRPr="00E90CB0" w:rsidR="00081F72">
        <w:rPr>
          <w:spacing w:val="2"/>
          <w:szCs w:val="24"/>
        </w:rPr>
        <w:t>analyzing</w:t>
      </w:r>
      <w:r w:rsidRPr="00E90CB0" w:rsidR="00965E23">
        <w:rPr>
          <w:spacing w:val="2"/>
          <w:szCs w:val="24"/>
        </w:rPr>
        <w:t xml:space="preserve"> the data collected during the session and reporting the findings.</w:t>
      </w:r>
      <w:r w:rsidRPr="00E90CB0">
        <w:rPr>
          <w:spacing w:val="2"/>
          <w:szCs w:val="24"/>
        </w:rPr>
        <w:t xml:space="preserve"> </w:t>
      </w:r>
    </w:p>
    <w:p w:rsidR="00965E23" w:rsidRPr="003B564A" w:rsidP="00965E23" w14:paraId="501BA2E4" w14:textId="270D4838">
      <w:r w:rsidRPr="00E90CB0">
        <w:t xml:space="preserve">In addition, data collection sessions will be conducted individually. That is, only one </w:t>
      </w:r>
      <w:r w:rsidRPr="00E90CB0" w:rsidR="004D696C">
        <w:t>caregiver</w:t>
      </w:r>
      <w:r w:rsidRPr="00E90CB0">
        <w:t xml:space="preserve">/child participant pair and the researcher(s) will be present for any given session. While the data collection protocol will be the same for all participants, this procedure will ensure that individual participants do not </w:t>
      </w:r>
      <w:r w:rsidRPr="00E90CB0" w:rsidR="00081F72">
        <w:t>interact,</w:t>
      </w:r>
      <w:r w:rsidRPr="00E90CB0">
        <w:t xml:space="preserve"> and their privacy is maintained. As stated previously, data collection sessions will use paper forms</w:t>
      </w:r>
      <w:r w:rsidRPr="00E90CB0" w:rsidR="007C44BF">
        <w:t xml:space="preserve"> </w:t>
      </w:r>
      <w:r w:rsidRPr="00E90CB0">
        <w:t>and video cameras. Paper forms will be used by the researcher to record objective information about the child’s interactions with each of the toys</w:t>
      </w:r>
      <w:r w:rsidR="003B564A">
        <w:t xml:space="preserve"> (See </w:t>
      </w:r>
      <w:r w:rsidRPr="005459FE" w:rsidR="003B564A">
        <w:rPr>
          <w:b/>
        </w:rPr>
        <w:t xml:space="preserve">Appendix </w:t>
      </w:r>
      <w:r w:rsidR="0005632B">
        <w:rPr>
          <w:b/>
        </w:rPr>
        <w:t>E</w:t>
      </w:r>
      <w:r w:rsidR="003B564A">
        <w:t>)</w:t>
      </w:r>
      <w:r w:rsidRPr="00E90CB0">
        <w:t xml:space="preserve">. </w:t>
      </w:r>
      <w:r w:rsidRPr="00E90CB0" w:rsidR="0017450D">
        <w:t xml:space="preserve">Caregivers </w:t>
      </w:r>
      <w:r w:rsidRPr="00E90CB0">
        <w:t>will also be asked to complete questionnaires about each of the toys</w:t>
      </w:r>
      <w:r w:rsidR="003B564A">
        <w:t xml:space="preserve"> </w:t>
      </w:r>
      <w:r w:rsidR="008571F4">
        <w:t>(</w:t>
      </w:r>
      <w:r w:rsidR="003B564A">
        <w:t xml:space="preserve">See </w:t>
      </w:r>
      <w:r w:rsidRPr="005459FE" w:rsidR="003B564A">
        <w:rPr>
          <w:b/>
        </w:rPr>
        <w:t xml:space="preserve">Appendix </w:t>
      </w:r>
      <w:r w:rsidR="0005632B">
        <w:rPr>
          <w:b/>
        </w:rPr>
        <w:t>F</w:t>
      </w:r>
      <w:r w:rsidR="003B564A">
        <w:t>)</w:t>
      </w:r>
      <w:r w:rsidRPr="00E90CB0" w:rsidR="00C91B58">
        <w:t>.</w:t>
      </w:r>
      <w:r w:rsidR="00636E68">
        <w:t xml:space="preserve"> </w:t>
      </w:r>
      <w:r w:rsidRPr="003B564A">
        <w:t xml:space="preserve">Video data recorded of the child interacting with the individual toys will be immediately transferred to a secure password protected server at the end of </w:t>
      </w:r>
      <w:r w:rsidRPr="003B564A" w:rsidR="00B26B8A">
        <w:t xml:space="preserve">each </w:t>
      </w:r>
      <w:r w:rsidRPr="003B564A">
        <w:t xml:space="preserve">session. The video data collected during the session will only be referred to </w:t>
      </w:r>
      <w:r w:rsidRPr="003B564A" w:rsidR="009E135C">
        <w:t xml:space="preserve">if researchers need to </w:t>
      </w:r>
      <w:r w:rsidRPr="003B564A">
        <w:t xml:space="preserve">confirm </w:t>
      </w:r>
      <w:r w:rsidRPr="003B564A" w:rsidR="00B26B8A">
        <w:t xml:space="preserve">study protocols and verify </w:t>
      </w:r>
      <w:r w:rsidRPr="003B564A">
        <w:t xml:space="preserve">coding decisions made during the session. </w:t>
      </w:r>
    </w:p>
    <w:p w:rsidR="007C44BF" w:rsidRPr="000D0FF4" w:rsidP="00965E23" w14:paraId="20E2E105" w14:textId="77777777"/>
    <w:p w:rsidR="00102F0D" w:rsidRPr="007623BE" w:rsidP="00965E23" w14:paraId="1FBF3211" w14:textId="19438741">
      <w:r w:rsidRPr="007623BE">
        <w:t xml:space="preserve">Upon completion of each session, all data </w:t>
      </w:r>
      <w:r w:rsidRPr="007623BE" w:rsidR="00965E23">
        <w:t xml:space="preserve">collected from the </w:t>
      </w:r>
      <w:r w:rsidRPr="007623BE" w:rsidR="000847C7">
        <w:t xml:space="preserve">caregiver </w:t>
      </w:r>
      <w:r w:rsidRPr="007623BE" w:rsidR="00965E23">
        <w:t xml:space="preserve">and the child </w:t>
      </w:r>
      <w:r w:rsidRPr="007623BE">
        <w:t>will be moved from paper forms to secure storage locations on the Contractor's internal network. Once the information from the paper forms have been entered in a secure database, the forms will be stored in separate locked filing cabinets only accessible to authorized personnel. This cabinet will be different from the one housing the consent forms.</w:t>
      </w:r>
      <w:r w:rsidRPr="007623BE" w:rsidR="001F1190">
        <w:t xml:space="preserve"> Data from </w:t>
      </w:r>
      <w:r w:rsidRPr="007623BE" w:rsidR="000847C7">
        <w:t>the caregiver</w:t>
      </w:r>
      <w:r w:rsidRPr="007623BE" w:rsidR="001F1190">
        <w:t xml:space="preserve"> questionnaire will be immediately transferred to a secure database</w:t>
      </w:r>
      <w:r w:rsidR="007623BE">
        <w:t xml:space="preserve"> located on the Contractor’s network</w:t>
      </w:r>
      <w:r w:rsidRPr="007623BE" w:rsidR="000847C7">
        <w:t xml:space="preserve"> as well</w:t>
      </w:r>
      <w:r w:rsidRPr="007623BE" w:rsidR="001F1190">
        <w:t>.</w:t>
      </w:r>
    </w:p>
    <w:p w:rsidR="00102F0D" w:rsidRPr="007623BE" w:rsidP="00612D27" w14:paraId="55883E1C" w14:textId="77777777"/>
    <w:p w:rsidR="00965E23" w:rsidRPr="007623BE" w:rsidP="00965E23" w14:paraId="32B97FE6" w14:textId="4ED931C0">
      <w:pPr>
        <w:pStyle w:val="OMBbodytext"/>
        <w:rPr>
          <w:szCs w:val="24"/>
        </w:rPr>
      </w:pPr>
      <w:r w:rsidRPr="007623BE">
        <w:rPr>
          <w:szCs w:val="24"/>
        </w:rPr>
        <w:t>The</w:t>
      </w:r>
      <w:r w:rsidR="007623BE">
        <w:rPr>
          <w:szCs w:val="24"/>
        </w:rPr>
        <w:t xml:space="preserve"> Contractor’s</w:t>
      </w:r>
      <w:r w:rsidRPr="007623BE">
        <w:rPr>
          <w:szCs w:val="24"/>
        </w:rPr>
        <w:t xml:space="preserve"> network is protected by multi-layer secure access control, allowing only those staff with pre-defined access authorization to interact with the data. The network is protected by government and industry best-practice facilities and procedures to ensure confidentiality and protection of </w:t>
      </w:r>
      <w:r w:rsidRPr="007623BE" w:rsidR="00081F72">
        <w:rPr>
          <w:szCs w:val="24"/>
        </w:rPr>
        <w:t>personally identifiable</w:t>
      </w:r>
      <w:r w:rsidRPr="007623BE">
        <w:rPr>
          <w:szCs w:val="24"/>
        </w:rPr>
        <w:t xml:space="preserve"> information from being exposed to unauthorized individuals.</w:t>
      </w:r>
    </w:p>
    <w:p w:rsidR="00965E23" w:rsidRPr="007623BE" w:rsidP="00965E23" w14:paraId="116C76DF" w14:textId="4262B063">
      <w:pPr>
        <w:pStyle w:val="OMBbodytext"/>
        <w:rPr>
          <w:szCs w:val="24"/>
        </w:rPr>
      </w:pPr>
      <w:r w:rsidRPr="007623BE">
        <w:rPr>
          <w:szCs w:val="24"/>
        </w:rPr>
        <w:t xml:space="preserve">The network is </w:t>
      </w:r>
      <w:r w:rsidRPr="007623BE">
        <w:rPr>
          <w:szCs w:val="24"/>
        </w:rPr>
        <w:t>firewall</w:t>
      </w:r>
      <w:r w:rsidRPr="007623BE">
        <w:rPr>
          <w:szCs w:val="24"/>
        </w:rPr>
        <w:t xml:space="preserve"> protected from outside invasion and credential controlled internally. On-site and off-site (non-cloud) backups of data on the network are made daily and recoverable within 24 hours as a need arises. All aspects of quality assurance, data coding, analysis, and reporting are limited to authorized individuals using the same access control for these data. No personal identifying information will be contained in public use data files that may be made available from the study, and no data will be released in a form that identifies individual participants.</w:t>
      </w:r>
    </w:p>
    <w:p w:rsidR="005702A8" w:rsidRPr="007623BE" w:rsidP="005702A8" w14:paraId="515B79AA" w14:textId="7B633E90">
      <w:pPr>
        <w:pStyle w:val="OMBbodytext"/>
        <w:rPr>
          <w:szCs w:val="24"/>
        </w:rPr>
      </w:pPr>
      <w:r w:rsidRPr="007623BE">
        <w:rPr>
          <w:szCs w:val="24"/>
        </w:rPr>
        <w:t>The results of the study will be used to develop a Final Report</w:t>
      </w:r>
      <w:r w:rsidRPr="007623BE" w:rsidR="007623BE">
        <w:rPr>
          <w:szCs w:val="24"/>
        </w:rPr>
        <w:t xml:space="preserve"> and </w:t>
      </w:r>
      <w:r w:rsidRPr="007623BE">
        <w:rPr>
          <w:szCs w:val="24"/>
        </w:rPr>
        <w:t>will be disseminated through the publication of manuscripts</w:t>
      </w:r>
      <w:r w:rsidRPr="007623BE" w:rsidR="00C811A2">
        <w:rPr>
          <w:szCs w:val="24"/>
        </w:rPr>
        <w:t xml:space="preserve"> on the CPSC website</w:t>
      </w:r>
      <w:r w:rsidRPr="007623BE">
        <w:rPr>
          <w:szCs w:val="24"/>
        </w:rPr>
        <w:t>. Finally, study findings may also be disseminated through oral presentations</w:t>
      </w:r>
      <w:r w:rsidRPr="007623BE" w:rsidR="007623BE">
        <w:rPr>
          <w:szCs w:val="24"/>
        </w:rPr>
        <w:t xml:space="preserve"> at conferences</w:t>
      </w:r>
      <w:r w:rsidRPr="007623BE">
        <w:rPr>
          <w:szCs w:val="24"/>
        </w:rPr>
        <w:t xml:space="preserve">. All data will be de-identified prior to analysis and the findings will be reported in aggregate. No published oral or written reports or presentations of the research will identify any participants.  </w:t>
      </w:r>
    </w:p>
    <w:p w:rsidR="00D829AF" w:rsidRPr="000D0FF4" w:rsidP="00D829AF" w14:paraId="3DD7EA1A" w14:textId="77777777">
      <w:pPr>
        <w:pStyle w:val="Heading2"/>
        <w:rPr>
          <w:rFonts w:cs="Times New Roman"/>
        </w:rPr>
      </w:pPr>
      <w:bookmarkStart w:id="10" w:name="_Toc267035203"/>
      <w:r w:rsidRPr="000D0FF4">
        <w:rPr>
          <w:rFonts w:cs="Times New Roman"/>
        </w:rPr>
        <w:t>A.11.</w:t>
      </w:r>
      <w:r w:rsidRPr="000D0FF4">
        <w:rPr>
          <w:rFonts w:cs="Times New Roman"/>
        </w:rPr>
        <w:tab/>
        <w:t>Provide additional justification for any questions of a sensitive nature, such as sexual behavior and attitudes, religious beliefs, and other matters that are commonly considered private.</w:t>
      </w:r>
      <w:bookmarkEnd w:id="10"/>
    </w:p>
    <w:p w:rsidR="00D829AF" w:rsidRPr="000D0FF4" w:rsidP="00D829AF" w14:paraId="3DD7EA1B" w14:textId="77777777">
      <w:pPr>
        <w:widowControl w:val="0"/>
        <w:jc w:val="both"/>
      </w:pPr>
    </w:p>
    <w:p w:rsidR="009E135C" w:rsidRPr="000D0FF4" w:rsidP="009E135C" w14:paraId="708BD90F" w14:textId="2EAB038C">
      <w:r w:rsidRPr="007623BE">
        <w:t xml:space="preserve">The </w:t>
      </w:r>
      <w:r w:rsidR="007623BE">
        <w:t xml:space="preserve">proposed </w:t>
      </w:r>
      <w:r w:rsidRPr="007623BE">
        <w:t xml:space="preserve">data collection does not contain any questions related to matters that are commonly considered sensitive or private. </w:t>
      </w:r>
      <w:r w:rsidRPr="007623BE" w:rsidR="00F53ECB">
        <w:t xml:space="preserve">Each </w:t>
      </w:r>
      <w:r w:rsidRPr="007623BE" w:rsidR="00B64017">
        <w:t xml:space="preserve">caregiver </w:t>
      </w:r>
      <w:r w:rsidRPr="007623BE" w:rsidR="00F53ECB">
        <w:t>will be given a</w:t>
      </w:r>
      <w:r w:rsidRPr="007623BE" w:rsidR="001927B9">
        <w:t xml:space="preserve"> questionnaire</w:t>
      </w:r>
      <w:r w:rsidRPr="007623BE" w:rsidR="00B64017">
        <w:t xml:space="preserve"> </w:t>
      </w:r>
      <w:r w:rsidRPr="007623BE" w:rsidR="00FF27EB">
        <w:t xml:space="preserve">that addresses </w:t>
      </w:r>
      <w:r w:rsidRPr="007623BE" w:rsidR="00C811A2">
        <w:t xml:space="preserve">characteristics of </w:t>
      </w:r>
      <w:r w:rsidRPr="007623BE" w:rsidR="00FF27EB">
        <w:t>the</w:t>
      </w:r>
      <w:r w:rsidRPr="007623BE" w:rsidR="00B64017">
        <w:t xml:space="preserve"> nine toys selected for the study</w:t>
      </w:r>
      <w:r w:rsidRPr="007623BE" w:rsidR="00C811A2">
        <w:t xml:space="preserve"> and whether they believe that their child could interact with the toy as manufacturers intended</w:t>
      </w:r>
      <w:r w:rsidRPr="007623BE">
        <w:t xml:space="preserve">. </w:t>
      </w:r>
      <w:r w:rsidRPr="007623BE" w:rsidR="001927B9">
        <w:t xml:space="preserve">The “toy centric” questions will focus on </w:t>
      </w:r>
      <w:r w:rsidRPr="007623BE" w:rsidR="00FF27EB">
        <w:t xml:space="preserve">caregiver </w:t>
      </w:r>
      <w:r w:rsidRPr="007623BE" w:rsidR="001927B9">
        <w:t>opinions on</w:t>
      </w:r>
      <w:r w:rsidRPr="007623BE">
        <w:t>: (1)</w:t>
      </w:r>
      <w:r w:rsidR="007623BE">
        <w:t xml:space="preserve"> </w:t>
      </w:r>
      <w:r w:rsidRPr="007623BE">
        <w:t>characteristics of the toy pertaining to safety, likeability, and likelihood of purchase, (2)</w:t>
      </w:r>
      <w:r w:rsidR="007623BE">
        <w:t xml:space="preserve"> </w:t>
      </w:r>
      <w:r w:rsidRPr="007623BE">
        <w:t>factors that would influence their decision whether to purchase the toy, (3)</w:t>
      </w:r>
      <w:r w:rsidR="007623BE">
        <w:t xml:space="preserve"> </w:t>
      </w:r>
      <w:r w:rsidRPr="007623BE">
        <w:t>age</w:t>
      </w:r>
      <w:r w:rsidRPr="007623BE" w:rsidR="008F554E">
        <w:t xml:space="preserve"> of</w:t>
      </w:r>
      <w:r w:rsidRPr="007623BE">
        <w:t xml:space="preserve"> child </w:t>
      </w:r>
      <w:r w:rsidRPr="007623BE" w:rsidR="008F554E">
        <w:t xml:space="preserve">they would </w:t>
      </w:r>
      <w:r w:rsidRPr="007623BE">
        <w:t xml:space="preserve">buy </w:t>
      </w:r>
      <w:r w:rsidRPr="007623BE" w:rsidR="008F554E">
        <w:t>the toy for</w:t>
      </w:r>
      <w:r w:rsidRPr="007623BE">
        <w:t xml:space="preserve"> (and skills needed to interact with the toy), (4)</w:t>
      </w:r>
      <w:r w:rsidR="007623BE">
        <w:t xml:space="preserve"> </w:t>
      </w:r>
      <w:r w:rsidRPr="007623BE" w:rsidR="00DE6C8B">
        <w:t xml:space="preserve">ability of their own child to partially or fully use the toy as the manufacturer intends, and (5) </w:t>
      </w:r>
      <w:r w:rsidRPr="007623BE">
        <w:t xml:space="preserve">likely response of their own children to the product (to determine if their perception is different from the observed interaction of their child with the toy). </w:t>
      </w:r>
    </w:p>
    <w:p w:rsidR="001927B9" w:rsidRPr="000D0FF4" w:rsidP="009E135C" w14:paraId="09013658" w14:textId="77777777"/>
    <w:p w:rsidR="009E135C" w:rsidP="008F554E" w14:paraId="090478FC" w14:textId="703E20E1">
      <w:r w:rsidRPr="007623BE">
        <w:t xml:space="preserve">The format of the questions will be </w:t>
      </w:r>
      <w:r w:rsidR="00630EA9">
        <w:t xml:space="preserve">predominantly </w:t>
      </w:r>
      <w:r w:rsidRPr="007623BE" w:rsidR="00081F72">
        <w:t>forced choice</w:t>
      </w:r>
      <w:r w:rsidRPr="007623BE">
        <w:t xml:space="preserve"> </w:t>
      </w:r>
      <w:r w:rsidR="00630EA9">
        <w:t>with some</w:t>
      </w:r>
      <w:r w:rsidRPr="007623BE">
        <w:t xml:space="preserve"> open-ended for </w:t>
      </w:r>
      <w:r w:rsidR="00630EA9">
        <w:t>the purpose of being able to elaborate</w:t>
      </w:r>
      <w:r w:rsidRPr="007623BE">
        <w:t>. The questions will be structured such that the main response of the caregiver (e.g.,</w:t>
      </w:r>
      <w:r w:rsidRPr="007623BE" w:rsidR="007623BE">
        <w:t xml:space="preserve"> </w:t>
      </w:r>
      <w:r w:rsidRPr="007623BE">
        <w:t xml:space="preserve">yes/no, age, rating on the scale, factors affecting the decision) is recorded, but also document any explanations offered by the caregiver. </w:t>
      </w:r>
    </w:p>
    <w:p w:rsidR="007623BE" w:rsidP="008F554E" w14:paraId="2987157A" w14:textId="13D744B5"/>
    <w:p w:rsidR="007623BE" w:rsidRPr="007623BE" w:rsidP="008F554E" w14:paraId="44737D1D" w14:textId="6FE334C6">
      <w:r>
        <w:t xml:space="preserve">No questions will be asked of the child. The researcher will introduce </w:t>
      </w:r>
      <w:r w:rsidR="00636E68">
        <w:t>each</w:t>
      </w:r>
      <w:r>
        <w:t xml:space="preserve"> toy to the child and document their behavior </w:t>
      </w:r>
      <w:r w:rsidR="008571F4">
        <w:t xml:space="preserve">by observing them playing with the toys. </w:t>
      </w:r>
    </w:p>
    <w:p w:rsidR="009E135C" w:rsidRPr="000D0FF4" w:rsidP="00D829AF" w14:paraId="60701E2A" w14:textId="77777777">
      <w:pPr>
        <w:widowControl w:val="0"/>
        <w:rPr>
          <w:rFonts w:ascii="Garamond" w:hAnsi="Garamond" w:cs="Arial"/>
        </w:rPr>
      </w:pPr>
    </w:p>
    <w:p w:rsidR="00D829AF" w:rsidRPr="000D0FF4" w:rsidP="00D829AF" w14:paraId="3DD7EA21" w14:textId="77777777">
      <w:pPr>
        <w:pStyle w:val="Heading2"/>
        <w:widowControl/>
        <w:rPr>
          <w:rFonts w:cs="Times New Roman"/>
        </w:rPr>
      </w:pPr>
      <w:bookmarkStart w:id="11" w:name="_Toc267035204"/>
      <w:r w:rsidRPr="000D0FF4">
        <w:rPr>
          <w:rFonts w:cs="Times New Roman"/>
        </w:rPr>
        <w:t>A.12.</w:t>
      </w:r>
      <w:r w:rsidRPr="000D0FF4">
        <w:rPr>
          <w:rFonts w:cs="Times New Roman"/>
        </w:rPr>
        <w:tab/>
        <w:t>Provide estimates of the hour burden of the collection of information on the respondents.</w:t>
      </w:r>
      <w:bookmarkEnd w:id="11"/>
    </w:p>
    <w:p w:rsidR="00D829AF" w:rsidRPr="000D0FF4" w:rsidP="00D829AF" w14:paraId="3DD7EA22" w14:textId="77777777">
      <w:pPr>
        <w:rPr>
          <w:bCs/>
        </w:rPr>
      </w:pPr>
    </w:p>
    <w:p w:rsidR="00DE7F19" w:rsidRPr="008571F4" w:rsidP="00D829AF" w14:paraId="47782E9E" w14:textId="23B8EF15">
      <w:pPr>
        <w:rPr>
          <w:bCs/>
        </w:rPr>
      </w:pPr>
      <w:r w:rsidRPr="008571F4">
        <w:rPr>
          <w:bCs/>
        </w:rPr>
        <w:t xml:space="preserve">CPSC </w:t>
      </w:r>
      <w:r w:rsidRPr="008571F4" w:rsidR="00AA7962">
        <w:rPr>
          <w:bCs/>
        </w:rPr>
        <w:t xml:space="preserve">estimates that </w:t>
      </w:r>
      <w:r w:rsidRPr="008571F4" w:rsidR="008F554E">
        <w:rPr>
          <w:bCs/>
        </w:rPr>
        <w:t>100</w:t>
      </w:r>
      <w:r w:rsidRPr="008571F4" w:rsidR="00AA7962">
        <w:rPr>
          <w:bCs/>
        </w:rPr>
        <w:t xml:space="preserve"> potential </w:t>
      </w:r>
      <w:r w:rsidRPr="008571F4" w:rsidR="003B0B8E">
        <w:rPr>
          <w:bCs/>
        </w:rPr>
        <w:t xml:space="preserve">caregivers </w:t>
      </w:r>
      <w:r w:rsidRPr="008571F4" w:rsidR="00AA7962">
        <w:rPr>
          <w:bCs/>
        </w:rPr>
        <w:t xml:space="preserve">will </w:t>
      </w:r>
      <w:r w:rsidRPr="008571F4" w:rsidR="00FF27EB">
        <w:rPr>
          <w:bCs/>
        </w:rPr>
        <w:t xml:space="preserve">be </w:t>
      </w:r>
      <w:r w:rsidRPr="008571F4" w:rsidR="00AA7962">
        <w:rPr>
          <w:bCs/>
        </w:rPr>
        <w:t xml:space="preserve">screened for eligibility before </w:t>
      </w:r>
      <w:r w:rsidRPr="008571F4" w:rsidR="00FF27EB">
        <w:rPr>
          <w:bCs/>
        </w:rPr>
        <w:t>i</w:t>
      </w:r>
      <w:r w:rsidRPr="008571F4" w:rsidR="00F77A04">
        <w:rPr>
          <w:bCs/>
        </w:rPr>
        <w:t xml:space="preserve">dentifying the 60 caregivers </w:t>
      </w:r>
      <w:r w:rsidRPr="008571F4" w:rsidR="00FF27EB">
        <w:rPr>
          <w:bCs/>
        </w:rPr>
        <w:t>and 60 child partici</w:t>
      </w:r>
      <w:r w:rsidRPr="008571F4" w:rsidR="00F77A04">
        <w:rPr>
          <w:bCs/>
        </w:rPr>
        <w:t>pants (N = 120)</w:t>
      </w:r>
      <w:r w:rsidRPr="008571F4" w:rsidR="00FF27EB">
        <w:rPr>
          <w:bCs/>
        </w:rPr>
        <w:t xml:space="preserve"> that are eligible to participate. </w:t>
      </w:r>
      <w:r w:rsidRPr="008571F4" w:rsidR="002A473A">
        <w:rPr>
          <w:bCs/>
        </w:rPr>
        <w:t>Th</w:t>
      </w:r>
      <w:r w:rsidRPr="008571F4" w:rsidR="008571F4">
        <w:rPr>
          <w:bCs/>
        </w:rPr>
        <w:t xml:space="preserve">e number </w:t>
      </w:r>
      <w:r w:rsidRPr="008571F4" w:rsidR="008571F4">
        <w:rPr>
          <w:bCs/>
        </w:rPr>
        <w:t xml:space="preserve">for eligible participants </w:t>
      </w:r>
      <w:r w:rsidRPr="008571F4" w:rsidR="002A473A">
        <w:rPr>
          <w:bCs/>
        </w:rPr>
        <w:t xml:space="preserve">reflects </w:t>
      </w:r>
      <w:r w:rsidRPr="008571F4" w:rsidR="004A486C">
        <w:rPr>
          <w:bCs/>
        </w:rPr>
        <w:t xml:space="preserve">100 </w:t>
      </w:r>
      <w:r w:rsidRPr="008571F4" w:rsidR="002A473A">
        <w:rPr>
          <w:bCs/>
        </w:rPr>
        <w:t>study participants</w:t>
      </w:r>
      <w:r w:rsidRPr="008571F4" w:rsidR="003B0B8E">
        <w:rPr>
          <w:bCs/>
        </w:rPr>
        <w:t xml:space="preserve"> (</w:t>
      </w:r>
      <w:r w:rsidRPr="008571F4">
        <w:rPr>
          <w:bCs/>
        </w:rPr>
        <w:t>5</w:t>
      </w:r>
      <w:r w:rsidRPr="008571F4" w:rsidR="003B0B8E">
        <w:rPr>
          <w:bCs/>
        </w:rPr>
        <w:t xml:space="preserve">0 caregivers and </w:t>
      </w:r>
      <w:r w:rsidRPr="008571F4">
        <w:rPr>
          <w:bCs/>
        </w:rPr>
        <w:t>5</w:t>
      </w:r>
      <w:r w:rsidRPr="008571F4" w:rsidR="003B0B8E">
        <w:rPr>
          <w:bCs/>
        </w:rPr>
        <w:t>0 children)</w:t>
      </w:r>
      <w:r w:rsidRPr="008571F4" w:rsidR="002A473A">
        <w:rPr>
          <w:bCs/>
        </w:rPr>
        <w:t xml:space="preserve">, </w:t>
      </w:r>
      <w:r w:rsidRPr="008571F4" w:rsidR="004A486C">
        <w:rPr>
          <w:bCs/>
        </w:rPr>
        <w:t xml:space="preserve">4 </w:t>
      </w:r>
      <w:r w:rsidRPr="008571F4" w:rsidR="002A473A">
        <w:rPr>
          <w:bCs/>
        </w:rPr>
        <w:t>pilot participants</w:t>
      </w:r>
      <w:r w:rsidRPr="008571F4" w:rsidR="003B0B8E">
        <w:rPr>
          <w:bCs/>
        </w:rPr>
        <w:t xml:space="preserve"> (2 caregivers and 2 children)</w:t>
      </w:r>
      <w:r w:rsidRPr="008571F4" w:rsidR="002A473A">
        <w:rPr>
          <w:bCs/>
        </w:rPr>
        <w:t xml:space="preserve">, and </w:t>
      </w:r>
      <w:r w:rsidRPr="008571F4" w:rsidR="004A486C">
        <w:rPr>
          <w:bCs/>
        </w:rPr>
        <w:t xml:space="preserve">6 </w:t>
      </w:r>
      <w:r w:rsidRPr="008571F4" w:rsidR="002A473A">
        <w:rPr>
          <w:bCs/>
        </w:rPr>
        <w:t>back up participants</w:t>
      </w:r>
      <w:r w:rsidRPr="008571F4" w:rsidR="003B0B8E">
        <w:rPr>
          <w:bCs/>
        </w:rPr>
        <w:t xml:space="preserve"> (</w:t>
      </w:r>
      <w:r w:rsidR="004359FB">
        <w:rPr>
          <w:bCs/>
        </w:rPr>
        <w:t>3</w:t>
      </w:r>
      <w:r w:rsidRPr="008571F4" w:rsidR="003B0B8E">
        <w:rPr>
          <w:bCs/>
        </w:rPr>
        <w:t xml:space="preserve"> caregivers and </w:t>
      </w:r>
      <w:r w:rsidR="004359FB">
        <w:rPr>
          <w:bCs/>
        </w:rPr>
        <w:t>3</w:t>
      </w:r>
      <w:r w:rsidRPr="008571F4" w:rsidR="003B0B8E">
        <w:rPr>
          <w:bCs/>
        </w:rPr>
        <w:t xml:space="preserve"> children</w:t>
      </w:r>
      <w:r w:rsidRPr="008571F4" w:rsidR="00F77A04">
        <w:rPr>
          <w:bCs/>
        </w:rPr>
        <w:t>)</w:t>
      </w:r>
      <w:r w:rsidRPr="008571F4" w:rsidR="002217EE">
        <w:rPr>
          <w:bCs/>
        </w:rPr>
        <w:t>.</w:t>
      </w:r>
      <w:r w:rsidRPr="008571F4" w:rsidR="00F77A04">
        <w:rPr>
          <w:bCs/>
        </w:rPr>
        <w:t xml:space="preserve"> The screener will be a 15-minute questionnaire</w:t>
      </w:r>
      <w:r w:rsidRPr="008571F4" w:rsidR="002A473A">
        <w:rPr>
          <w:bCs/>
        </w:rPr>
        <w:t xml:space="preserve">. </w:t>
      </w:r>
      <w:r w:rsidRPr="008571F4" w:rsidR="004C44BF">
        <w:rPr>
          <w:bCs/>
        </w:rPr>
        <w:t xml:space="preserve">(The screening questionnaire is provided in </w:t>
      </w:r>
      <w:r w:rsidRPr="005459FE" w:rsidR="004C44BF">
        <w:rPr>
          <w:b/>
          <w:bCs/>
        </w:rPr>
        <w:t xml:space="preserve">Appendix </w:t>
      </w:r>
      <w:r w:rsidR="0005632B">
        <w:rPr>
          <w:b/>
          <w:bCs/>
        </w:rPr>
        <w:t>G</w:t>
      </w:r>
      <w:r w:rsidRPr="008571F4" w:rsidR="004C44BF">
        <w:rPr>
          <w:bCs/>
        </w:rPr>
        <w:t>)</w:t>
      </w:r>
      <w:r w:rsidRPr="008571F4">
        <w:rPr>
          <w:bCs/>
        </w:rPr>
        <w:t>.</w:t>
      </w:r>
      <w:r w:rsidRPr="008571F4" w:rsidR="00AA7962">
        <w:rPr>
          <w:bCs/>
        </w:rPr>
        <w:t xml:space="preserve"> </w:t>
      </w:r>
    </w:p>
    <w:p w:rsidR="00DE7F19" w:rsidRPr="000D0FF4" w:rsidP="00D829AF" w14:paraId="2A1B9704" w14:textId="77777777">
      <w:pPr>
        <w:rPr>
          <w:bCs/>
        </w:rPr>
      </w:pPr>
    </w:p>
    <w:p w:rsidR="008571F4" w:rsidP="00D829AF" w14:paraId="757B9CF8" w14:textId="43C50B5F">
      <w:r w:rsidRPr="000D0FF4">
        <w:rPr>
          <w:bCs/>
        </w:rPr>
        <w:t>CPSC</w:t>
      </w:r>
      <w:r w:rsidRPr="000D0FF4" w:rsidR="00786DE5">
        <w:rPr>
          <w:bCs/>
        </w:rPr>
        <w:t xml:space="preserve"> plans to pilot test the study with </w:t>
      </w:r>
      <w:r w:rsidRPr="000D0FF4" w:rsidR="004A486C">
        <w:rPr>
          <w:bCs/>
        </w:rPr>
        <w:t xml:space="preserve">4 </w:t>
      </w:r>
      <w:r w:rsidRPr="000D0FF4" w:rsidR="00786DE5">
        <w:rPr>
          <w:bCs/>
        </w:rPr>
        <w:t>participants</w:t>
      </w:r>
      <w:r w:rsidRPr="000D0FF4" w:rsidR="003B0B8E">
        <w:rPr>
          <w:bCs/>
        </w:rPr>
        <w:t xml:space="preserve"> (2 caregivers and 2 children)</w:t>
      </w:r>
      <w:r w:rsidRPr="000D0FF4" w:rsidR="00786DE5">
        <w:rPr>
          <w:bCs/>
        </w:rPr>
        <w:t xml:space="preserve"> with each pilot test </w:t>
      </w:r>
      <w:r w:rsidR="002217EE">
        <w:rPr>
          <w:bCs/>
        </w:rPr>
        <w:t>taking place over 2</w:t>
      </w:r>
      <w:r w:rsidR="004359FB">
        <w:rPr>
          <w:bCs/>
        </w:rPr>
        <w:t xml:space="preserve"> in-person</w:t>
      </w:r>
      <w:r w:rsidR="002217EE">
        <w:rPr>
          <w:bCs/>
        </w:rPr>
        <w:t xml:space="preserve"> </w:t>
      </w:r>
      <w:r w:rsidRPr="000D0FF4" w:rsidR="00786DE5">
        <w:rPr>
          <w:bCs/>
        </w:rPr>
        <w:t>session</w:t>
      </w:r>
      <w:r w:rsidR="002217EE">
        <w:rPr>
          <w:bCs/>
        </w:rPr>
        <w:t xml:space="preserve">s. </w:t>
      </w:r>
      <w:r w:rsidR="002217EE">
        <w:t xml:space="preserve">The first session </w:t>
      </w:r>
      <w:r w:rsidRPr="009F15AA" w:rsidR="002217EE">
        <w:t>will take up to 75 minutes to complete</w:t>
      </w:r>
      <w:r w:rsidR="002217EE">
        <w:t xml:space="preserve"> and the second session will take up to 60 minutes to complete</w:t>
      </w:r>
      <w:r w:rsidRPr="009F15AA" w:rsidR="002217EE">
        <w:t>.</w:t>
      </w:r>
      <w:r w:rsidR="002217EE">
        <w:t xml:space="preserve"> </w:t>
      </w:r>
      <w:r w:rsidR="002217EE">
        <w:rPr>
          <w:bCs/>
        </w:rPr>
        <w:t>H</w:t>
      </w:r>
      <w:r w:rsidRPr="000D0FF4" w:rsidR="007847A9">
        <w:rPr>
          <w:bCs/>
        </w:rPr>
        <w:t xml:space="preserve">owever, because pilot testing could determine that </w:t>
      </w:r>
      <w:r>
        <w:rPr>
          <w:bCs/>
        </w:rPr>
        <w:t>each</w:t>
      </w:r>
      <w:r w:rsidRPr="000D0FF4">
        <w:rPr>
          <w:bCs/>
        </w:rPr>
        <w:t xml:space="preserve"> </w:t>
      </w:r>
      <w:r w:rsidRPr="000D0FF4" w:rsidR="007847A9">
        <w:rPr>
          <w:bCs/>
        </w:rPr>
        <w:t xml:space="preserve">session time needs to be lengthened to a maximum of </w:t>
      </w:r>
      <w:r w:rsidR="00630EA9">
        <w:rPr>
          <w:bCs/>
        </w:rPr>
        <w:t>8</w:t>
      </w:r>
      <w:r w:rsidRPr="000D0FF4">
        <w:rPr>
          <w:bCs/>
        </w:rPr>
        <w:t>0 minutes</w:t>
      </w:r>
      <w:r w:rsidRPr="000D0FF4" w:rsidR="007847A9">
        <w:rPr>
          <w:bCs/>
        </w:rPr>
        <w:t xml:space="preserve">, </w:t>
      </w:r>
      <w:r w:rsidRPr="000D0FF4">
        <w:rPr>
          <w:bCs/>
        </w:rPr>
        <w:t xml:space="preserve">CPSC </w:t>
      </w:r>
      <w:r w:rsidRPr="000D0FF4" w:rsidR="007847A9">
        <w:rPr>
          <w:bCs/>
        </w:rPr>
        <w:t xml:space="preserve">is calculating the overall possible information collection </w:t>
      </w:r>
      <w:r w:rsidRPr="000D0FF4" w:rsidR="00183706">
        <w:rPr>
          <w:bCs/>
        </w:rPr>
        <w:t xml:space="preserve">participant </w:t>
      </w:r>
      <w:r w:rsidRPr="000D0FF4" w:rsidR="007847A9">
        <w:rPr>
          <w:bCs/>
        </w:rPr>
        <w:t xml:space="preserve">burden based upon a </w:t>
      </w:r>
      <w:r>
        <w:rPr>
          <w:bCs/>
        </w:rPr>
        <w:t>1</w:t>
      </w:r>
      <w:r w:rsidR="00630EA9">
        <w:rPr>
          <w:bCs/>
        </w:rPr>
        <w:t>60</w:t>
      </w:r>
      <w:r w:rsidR="004359FB">
        <w:rPr>
          <w:bCs/>
        </w:rPr>
        <w:t>-</w:t>
      </w:r>
      <w:r w:rsidRPr="000D0FF4" w:rsidR="004359FB">
        <w:rPr>
          <w:bCs/>
        </w:rPr>
        <w:t>minute</w:t>
      </w:r>
      <w:r w:rsidR="00630EA9">
        <w:rPr>
          <w:bCs/>
        </w:rPr>
        <w:t xml:space="preserve"> maximum</w:t>
      </w:r>
      <w:r w:rsidRPr="000D0FF4">
        <w:rPr>
          <w:bCs/>
        </w:rPr>
        <w:t xml:space="preserve"> </w:t>
      </w:r>
      <w:r w:rsidRPr="000D0FF4" w:rsidR="007847A9">
        <w:rPr>
          <w:bCs/>
        </w:rPr>
        <w:t>burden</w:t>
      </w:r>
      <w:r w:rsidRPr="000D0FF4" w:rsidR="00D829AF">
        <w:rPr>
          <w:bCs/>
        </w:rPr>
        <w:t xml:space="preserve">. </w:t>
      </w:r>
      <w:r w:rsidRPr="000D0FF4" w:rsidR="00D829AF">
        <w:t>During the data collection session</w:t>
      </w:r>
      <w:r w:rsidR="004359FB">
        <w:t>s</w:t>
      </w:r>
      <w:r w:rsidRPr="000D0FF4" w:rsidR="00D829AF">
        <w:t xml:space="preserve">, </w:t>
      </w:r>
      <w:r w:rsidRPr="000D0FF4" w:rsidR="00C00F3B">
        <w:t xml:space="preserve">caregivers will be asked to complete a brief questionnaire </w:t>
      </w:r>
      <w:r w:rsidR="00A65873">
        <w:t>discussing the nine</w:t>
      </w:r>
      <w:r w:rsidRPr="000D0FF4" w:rsidR="00C00F3B">
        <w:t xml:space="preserve"> toy</w:t>
      </w:r>
      <w:r w:rsidR="00A65873">
        <w:t>s</w:t>
      </w:r>
      <w:r w:rsidR="00630EA9">
        <w:t xml:space="preserve"> (t</w:t>
      </w:r>
      <w:r w:rsidRPr="000D0FF4" w:rsidR="00C00F3B">
        <w:t xml:space="preserve">he questions are provided in </w:t>
      </w:r>
      <w:r w:rsidRPr="005459FE" w:rsidR="00C00F3B">
        <w:rPr>
          <w:b/>
        </w:rPr>
        <w:t>Appendi</w:t>
      </w:r>
      <w:r w:rsidRPr="005459FE">
        <w:rPr>
          <w:b/>
        </w:rPr>
        <w:t>x</w:t>
      </w:r>
      <w:r w:rsidRPr="005459FE" w:rsidR="00C00F3B">
        <w:rPr>
          <w:b/>
        </w:rPr>
        <w:t xml:space="preserve"> </w:t>
      </w:r>
      <w:r w:rsidR="0005632B">
        <w:rPr>
          <w:b/>
        </w:rPr>
        <w:t>F</w:t>
      </w:r>
      <w:r w:rsidRPr="000D0FF4" w:rsidR="00C00F3B">
        <w:t xml:space="preserve">; justifications for all questions are provided in </w:t>
      </w:r>
      <w:r w:rsidRPr="005459FE" w:rsidR="005459FE">
        <w:rPr>
          <w:b/>
        </w:rPr>
        <w:t xml:space="preserve">Appendix </w:t>
      </w:r>
      <w:r w:rsidR="0005632B">
        <w:rPr>
          <w:b/>
        </w:rPr>
        <w:t>H</w:t>
      </w:r>
      <w:r w:rsidRPr="000D0FF4" w:rsidR="00C00F3B">
        <w:t xml:space="preserve">). While the caregiver is filling out the questionnaires, researchers will be stepping the child </w:t>
      </w:r>
      <w:r w:rsidRPr="000D0FF4" w:rsidR="00D829AF">
        <w:t>participant</w:t>
      </w:r>
      <w:r w:rsidRPr="000D0FF4" w:rsidR="00C00F3B">
        <w:t xml:space="preserve"> through their interactions</w:t>
      </w:r>
      <w:r w:rsidRPr="000D0FF4" w:rsidR="00D829AF">
        <w:t xml:space="preserve"> </w:t>
      </w:r>
      <w:r w:rsidRPr="000D0FF4" w:rsidR="00C00F3B">
        <w:t>with each of the toys</w:t>
      </w:r>
      <w:r w:rsidRPr="000D0FF4" w:rsidR="004C44BF">
        <w:t>.</w:t>
      </w:r>
      <w:r w:rsidRPr="000D0FF4" w:rsidR="00C00F3B">
        <w:t xml:space="preserve"> </w:t>
      </w:r>
    </w:p>
    <w:p w:rsidR="008571F4" w:rsidP="00D829AF" w14:paraId="7BF16B90" w14:textId="77777777"/>
    <w:p w:rsidR="00D829AF" w:rsidRPr="000D0FF4" w:rsidP="00D829AF" w14:paraId="3DD7EA23" w14:textId="23F1C963">
      <w:r w:rsidRPr="000D0FF4">
        <w:rPr>
          <w:bCs/>
        </w:rPr>
        <w:t xml:space="preserve">Assuming </w:t>
      </w:r>
      <w:r w:rsidRPr="000D0FF4" w:rsidR="00AA7962">
        <w:rPr>
          <w:bCs/>
        </w:rPr>
        <w:t xml:space="preserve">a </w:t>
      </w:r>
      <w:r w:rsidRPr="000D0FF4" w:rsidR="000362B7">
        <w:rPr>
          <w:bCs/>
        </w:rPr>
        <w:t>15-minute</w:t>
      </w:r>
      <w:r w:rsidRPr="000D0FF4" w:rsidR="00AA7962">
        <w:rPr>
          <w:bCs/>
        </w:rPr>
        <w:t xml:space="preserve"> completion time for the recruitment screener questionnaire</w:t>
      </w:r>
      <w:r w:rsidRPr="000D0FF4" w:rsidR="00735E3E">
        <w:rPr>
          <w:bCs/>
        </w:rPr>
        <w:t xml:space="preserve">, </w:t>
      </w:r>
      <w:r w:rsidR="006A3B9C">
        <w:rPr>
          <w:bCs/>
        </w:rPr>
        <w:t>10.68 hours</w:t>
      </w:r>
      <w:r w:rsidR="008571F4">
        <w:rPr>
          <w:bCs/>
        </w:rPr>
        <w:t xml:space="preserve"> </w:t>
      </w:r>
      <w:r w:rsidRPr="000D0FF4" w:rsidR="00735E3E">
        <w:rPr>
          <w:bCs/>
        </w:rPr>
        <w:t>for completing the pilot study,</w:t>
      </w:r>
      <w:r w:rsidRPr="000D0FF4" w:rsidR="00AA7962">
        <w:rPr>
          <w:bCs/>
        </w:rPr>
        <w:t xml:space="preserve"> and </w:t>
      </w:r>
      <w:r w:rsidR="008571F4">
        <w:rPr>
          <w:bCs/>
        </w:rPr>
        <w:t>1</w:t>
      </w:r>
      <w:r w:rsidR="00630EA9">
        <w:rPr>
          <w:bCs/>
        </w:rPr>
        <w:t xml:space="preserve">60 </w:t>
      </w:r>
      <w:r w:rsidR="005E0FB7">
        <w:rPr>
          <w:bCs/>
        </w:rPr>
        <w:t>minutes</w:t>
      </w:r>
      <w:r w:rsidR="008A48FA">
        <w:rPr>
          <w:bCs/>
        </w:rPr>
        <w:t xml:space="preserve"> per respondent</w:t>
      </w:r>
      <w:r w:rsidRPr="000D0FF4" w:rsidR="00AA7962">
        <w:rPr>
          <w:bCs/>
        </w:rPr>
        <w:t xml:space="preserve"> for the study session</w:t>
      </w:r>
      <w:r w:rsidRPr="000D0FF4">
        <w:rPr>
          <w:bCs/>
        </w:rPr>
        <w:t xml:space="preserve">, the total hour burden is </w:t>
      </w:r>
      <w:r w:rsidR="008A48FA">
        <w:rPr>
          <w:bCs/>
        </w:rPr>
        <w:t>356 hours</w:t>
      </w:r>
      <w:r w:rsidRPr="000D0FF4">
        <w:rPr>
          <w:bCs/>
        </w:rPr>
        <w:t xml:space="preserve">. </w:t>
      </w:r>
      <w:r w:rsidRPr="000D0FF4">
        <w:t xml:space="preserve">The total estimated </w:t>
      </w:r>
      <w:r w:rsidR="008A48FA">
        <w:t xml:space="preserve">hourly </w:t>
      </w:r>
      <w:r w:rsidRPr="000D0FF4">
        <w:t>burden is shown in Table 1.</w:t>
      </w:r>
    </w:p>
    <w:p w:rsidR="00D829AF" w:rsidRPr="000D0FF4" w:rsidP="00D829AF" w14:paraId="3DD7EA24" w14:textId="77777777">
      <w:pPr>
        <w:rPr>
          <w:bCs/>
        </w:rPr>
      </w:pPr>
    </w:p>
    <w:p w:rsidR="00D829AF" w:rsidRPr="000D0FF4" w:rsidP="00D829AF" w14:paraId="3DD7EA25" w14:textId="77777777">
      <w:pPr>
        <w:widowControl w:val="0"/>
        <w:jc w:val="center"/>
        <w:rPr>
          <w:b/>
          <w:bCs/>
        </w:rPr>
      </w:pPr>
      <w:r w:rsidRPr="000D0FF4">
        <w:rPr>
          <w:b/>
          <w:bCs/>
        </w:rPr>
        <w:t>TABLE 1</w:t>
      </w:r>
    </w:p>
    <w:p w:rsidR="00D829AF" w:rsidRPr="000D0FF4" w:rsidP="00D829AF" w14:paraId="3DD7EA26" w14:textId="77777777">
      <w:pPr>
        <w:widowControl w:val="0"/>
        <w:jc w:val="center"/>
        <w:rPr>
          <w:b/>
          <w:bCs/>
        </w:rPr>
      </w:pPr>
      <w:r w:rsidRPr="000D0FF4">
        <w:rPr>
          <w:b/>
          <w:bCs/>
        </w:rPr>
        <w:t>ESTIMATED BURDEN HOURS</w:t>
      </w:r>
    </w:p>
    <w:p w:rsidR="00310454" w:rsidRPr="000D0FF4" w:rsidP="00D829AF" w14:paraId="3470DE17" w14:textId="106FF3BE">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2610"/>
        <w:gridCol w:w="1715"/>
        <w:gridCol w:w="1080"/>
      </w:tblGrid>
      <w:tr w14:paraId="374CF945" w14:textId="77777777" w:rsidTr="006A3B9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695" w:type="dxa"/>
            <w:shd w:val="clear" w:color="auto" w:fill="8DB3E2" w:themeFill="text2" w:themeFillTint="66"/>
          </w:tcPr>
          <w:p w:rsidR="006A3B9C" w:rsidRPr="000D0FF4" w:rsidP="00CD455E" w14:paraId="439FFA1F" w14:textId="77777777">
            <w:pPr>
              <w:widowControl w:val="0"/>
              <w:rPr>
                <w:b/>
                <w:bCs/>
              </w:rPr>
            </w:pPr>
          </w:p>
        </w:tc>
        <w:tc>
          <w:tcPr>
            <w:tcW w:w="2610" w:type="dxa"/>
            <w:shd w:val="clear" w:color="auto" w:fill="8DB3E2" w:themeFill="text2" w:themeFillTint="66"/>
          </w:tcPr>
          <w:p w:rsidR="006A3B9C" w:rsidRPr="000D0FF4" w:rsidP="00CD455E" w14:paraId="6B4B5359" w14:textId="475B1106">
            <w:pPr>
              <w:widowControl w:val="0"/>
              <w:rPr>
                <w:b/>
                <w:bCs/>
              </w:rPr>
            </w:pPr>
            <w:r>
              <w:rPr>
                <w:b/>
                <w:bCs/>
              </w:rPr>
              <w:t>Number of participants</w:t>
            </w:r>
          </w:p>
        </w:tc>
        <w:tc>
          <w:tcPr>
            <w:tcW w:w="1715" w:type="dxa"/>
            <w:shd w:val="clear" w:color="auto" w:fill="8DB3E2" w:themeFill="text2" w:themeFillTint="66"/>
          </w:tcPr>
          <w:p w:rsidR="006A3B9C" w:rsidRPr="000D0FF4" w:rsidP="00CD455E" w14:paraId="43C9603D" w14:textId="251C48F0">
            <w:pPr>
              <w:widowControl w:val="0"/>
              <w:rPr>
                <w:b/>
                <w:bCs/>
              </w:rPr>
            </w:pPr>
            <w:r>
              <w:rPr>
                <w:b/>
                <w:bCs/>
              </w:rPr>
              <w:t>Burden per participant (hours)</w:t>
            </w:r>
          </w:p>
        </w:tc>
        <w:tc>
          <w:tcPr>
            <w:tcW w:w="1080" w:type="dxa"/>
            <w:shd w:val="clear" w:color="auto" w:fill="8DB3E2" w:themeFill="text2" w:themeFillTint="66"/>
          </w:tcPr>
          <w:p w:rsidR="006A3B9C" w:rsidRPr="000D0FF4" w:rsidP="00CD455E" w14:paraId="6D8C37FE" w14:textId="77777777">
            <w:pPr>
              <w:widowControl w:val="0"/>
              <w:rPr>
                <w:b/>
                <w:bCs/>
              </w:rPr>
            </w:pPr>
            <w:r w:rsidRPr="000D0FF4">
              <w:rPr>
                <w:b/>
                <w:bCs/>
              </w:rPr>
              <w:t>TOTAL</w:t>
            </w:r>
          </w:p>
        </w:tc>
      </w:tr>
      <w:tr w14:paraId="30EBA01A" w14:textId="77777777" w:rsidTr="006A3B9C">
        <w:tblPrEx>
          <w:tblW w:w="0" w:type="auto"/>
          <w:jc w:val="center"/>
          <w:tblLayout w:type="fixed"/>
          <w:tblLook w:val="01E0"/>
        </w:tblPrEx>
        <w:trPr>
          <w:jc w:val="center"/>
        </w:trPr>
        <w:tc>
          <w:tcPr>
            <w:tcW w:w="2695" w:type="dxa"/>
          </w:tcPr>
          <w:p w:rsidR="008A48FA" w:rsidRPr="000D0FF4" w:rsidP="008A48FA" w14:paraId="1F03986C" w14:textId="518D22D3">
            <w:pPr>
              <w:widowControl w:val="0"/>
            </w:pPr>
            <w:r>
              <w:t>Recruitment</w:t>
            </w:r>
          </w:p>
        </w:tc>
        <w:tc>
          <w:tcPr>
            <w:tcW w:w="2610" w:type="dxa"/>
          </w:tcPr>
          <w:p w:rsidR="008A48FA" w:rsidRPr="000D0FF4" w:rsidP="008A48FA" w14:paraId="67FB1E3B" w14:textId="2E7DD9FC">
            <w:pPr>
              <w:widowControl w:val="0"/>
              <w:jc w:val="right"/>
            </w:pPr>
            <w:r>
              <w:t>100</w:t>
            </w:r>
          </w:p>
        </w:tc>
        <w:tc>
          <w:tcPr>
            <w:tcW w:w="1715" w:type="dxa"/>
          </w:tcPr>
          <w:p w:rsidR="008A48FA" w:rsidRPr="000D0FF4" w:rsidP="008A48FA" w14:paraId="27C3A3B6" w14:textId="2D207084">
            <w:pPr>
              <w:widowControl w:val="0"/>
              <w:jc w:val="right"/>
            </w:pPr>
            <w:r>
              <w:t>.25</w:t>
            </w:r>
          </w:p>
        </w:tc>
        <w:tc>
          <w:tcPr>
            <w:tcW w:w="1080" w:type="dxa"/>
          </w:tcPr>
          <w:p w:rsidR="008A48FA" w:rsidRPr="000D0FF4" w:rsidP="008A48FA" w14:paraId="055BE1A1" w14:textId="508934DF">
            <w:pPr>
              <w:widowControl w:val="0"/>
              <w:jc w:val="right"/>
            </w:pPr>
            <w:r>
              <w:t xml:space="preserve">25 </w:t>
            </w:r>
          </w:p>
        </w:tc>
      </w:tr>
      <w:tr w14:paraId="5CDA9AAE" w14:textId="77777777" w:rsidTr="006A3B9C">
        <w:tblPrEx>
          <w:tblW w:w="0" w:type="auto"/>
          <w:jc w:val="center"/>
          <w:tblLayout w:type="fixed"/>
          <w:tblLook w:val="01E0"/>
        </w:tblPrEx>
        <w:trPr>
          <w:jc w:val="center"/>
        </w:trPr>
        <w:tc>
          <w:tcPr>
            <w:tcW w:w="2695" w:type="dxa"/>
          </w:tcPr>
          <w:p w:rsidR="008A48FA" w:rsidP="008A48FA" w14:paraId="5351AC31" w14:textId="3300148A">
            <w:pPr>
              <w:widowControl w:val="0"/>
            </w:pPr>
            <w:r>
              <w:t>Pilot Test</w:t>
            </w:r>
          </w:p>
        </w:tc>
        <w:tc>
          <w:tcPr>
            <w:tcW w:w="2610" w:type="dxa"/>
          </w:tcPr>
          <w:p w:rsidR="008A48FA" w:rsidP="008A48FA" w14:paraId="7F47C35E" w14:textId="2520C647">
            <w:pPr>
              <w:widowControl w:val="0"/>
              <w:jc w:val="right"/>
            </w:pPr>
            <w:r>
              <w:t>4</w:t>
            </w:r>
          </w:p>
        </w:tc>
        <w:tc>
          <w:tcPr>
            <w:tcW w:w="1715" w:type="dxa"/>
          </w:tcPr>
          <w:p w:rsidR="008A48FA" w:rsidP="008A48FA" w14:paraId="7F1ED8BE" w14:textId="75636AF4">
            <w:pPr>
              <w:widowControl w:val="0"/>
              <w:jc w:val="right"/>
            </w:pPr>
            <w:r w:rsidRPr="000D0FF4">
              <w:t>2</w:t>
            </w:r>
            <w:r>
              <w:t>.67</w:t>
            </w:r>
          </w:p>
        </w:tc>
        <w:tc>
          <w:tcPr>
            <w:tcW w:w="1080" w:type="dxa"/>
          </w:tcPr>
          <w:p w:rsidR="008A48FA" w:rsidP="008A48FA" w14:paraId="5D6DEAEE" w14:textId="020B18B1">
            <w:pPr>
              <w:widowControl w:val="0"/>
              <w:jc w:val="right"/>
            </w:pPr>
            <w:r>
              <w:t>10.68</w:t>
            </w:r>
          </w:p>
        </w:tc>
      </w:tr>
      <w:tr w14:paraId="34D64450" w14:textId="77777777" w:rsidTr="006A3B9C">
        <w:tblPrEx>
          <w:tblW w:w="0" w:type="auto"/>
          <w:jc w:val="center"/>
          <w:tblLayout w:type="fixed"/>
          <w:tblLook w:val="01E0"/>
        </w:tblPrEx>
        <w:trPr>
          <w:jc w:val="center"/>
        </w:trPr>
        <w:tc>
          <w:tcPr>
            <w:tcW w:w="2695" w:type="dxa"/>
          </w:tcPr>
          <w:p w:rsidR="008A48FA" w:rsidRPr="000D0FF4" w:rsidP="008A48FA" w14:paraId="7FF9FB20" w14:textId="17BD625F">
            <w:pPr>
              <w:widowControl w:val="0"/>
            </w:pPr>
            <w:r>
              <w:t>Study Participation</w:t>
            </w:r>
          </w:p>
        </w:tc>
        <w:tc>
          <w:tcPr>
            <w:tcW w:w="2610" w:type="dxa"/>
          </w:tcPr>
          <w:p w:rsidR="008A48FA" w:rsidRPr="000D0FF4" w:rsidP="008A48FA" w14:paraId="3423F4AF" w14:textId="59671C11">
            <w:pPr>
              <w:widowControl w:val="0"/>
              <w:jc w:val="right"/>
            </w:pPr>
            <w:r>
              <w:t>120</w:t>
            </w:r>
          </w:p>
        </w:tc>
        <w:tc>
          <w:tcPr>
            <w:tcW w:w="1715" w:type="dxa"/>
          </w:tcPr>
          <w:p w:rsidR="008A48FA" w:rsidRPr="000D0FF4" w:rsidP="008A48FA" w14:paraId="626EB35E" w14:textId="1B0C7200">
            <w:pPr>
              <w:widowControl w:val="0"/>
              <w:jc w:val="right"/>
            </w:pPr>
            <w:r>
              <w:t>2.67</w:t>
            </w:r>
          </w:p>
        </w:tc>
        <w:tc>
          <w:tcPr>
            <w:tcW w:w="1080" w:type="dxa"/>
          </w:tcPr>
          <w:p w:rsidR="008A48FA" w:rsidRPr="005E0FB7" w:rsidP="008A48FA" w14:paraId="33E6B5B9" w14:textId="311880D2">
            <w:pPr>
              <w:widowControl w:val="0"/>
              <w:jc w:val="right"/>
            </w:pPr>
            <w:r>
              <w:rPr>
                <w:rStyle w:val="CommentReference"/>
                <w:sz w:val="24"/>
                <w:szCs w:val="24"/>
              </w:rPr>
              <w:t>320.32</w:t>
            </w:r>
          </w:p>
        </w:tc>
      </w:tr>
      <w:tr w14:paraId="4E982A14" w14:textId="77777777" w:rsidTr="006A3B9C">
        <w:tblPrEx>
          <w:tblW w:w="0" w:type="auto"/>
          <w:jc w:val="center"/>
          <w:tblLayout w:type="fixed"/>
          <w:tblLook w:val="01E0"/>
        </w:tblPrEx>
        <w:trPr>
          <w:jc w:val="center"/>
        </w:trPr>
        <w:tc>
          <w:tcPr>
            <w:tcW w:w="2695" w:type="dxa"/>
          </w:tcPr>
          <w:p w:rsidR="008A48FA" w:rsidRPr="006A3B9C" w:rsidP="008A48FA" w14:paraId="0074CADD" w14:textId="1DAC4780">
            <w:pPr>
              <w:widowControl w:val="0"/>
              <w:rPr>
                <w:b/>
                <w:bCs/>
              </w:rPr>
            </w:pPr>
            <w:r w:rsidRPr="006A3B9C">
              <w:rPr>
                <w:b/>
                <w:bCs/>
              </w:rPr>
              <w:t>Total Hourly Burden</w:t>
            </w:r>
          </w:p>
        </w:tc>
        <w:tc>
          <w:tcPr>
            <w:tcW w:w="2610" w:type="dxa"/>
          </w:tcPr>
          <w:p w:rsidR="008A48FA" w:rsidRPr="006A3B9C" w:rsidP="008A48FA" w14:paraId="1B973C75" w14:textId="0A7214C7">
            <w:pPr>
              <w:widowControl w:val="0"/>
              <w:jc w:val="right"/>
              <w:rPr>
                <w:b/>
                <w:bCs/>
              </w:rPr>
            </w:pPr>
            <w:r w:rsidRPr="006A3B9C">
              <w:rPr>
                <w:b/>
                <w:bCs/>
              </w:rPr>
              <w:t>–</w:t>
            </w:r>
          </w:p>
        </w:tc>
        <w:tc>
          <w:tcPr>
            <w:tcW w:w="1715" w:type="dxa"/>
          </w:tcPr>
          <w:p w:rsidR="008A48FA" w:rsidRPr="006A3B9C" w:rsidP="008A48FA" w14:paraId="13F70284" w14:textId="5593DAED">
            <w:pPr>
              <w:widowControl w:val="0"/>
              <w:jc w:val="right"/>
              <w:rPr>
                <w:b/>
                <w:bCs/>
              </w:rPr>
            </w:pPr>
            <w:r w:rsidRPr="006A3B9C">
              <w:rPr>
                <w:b/>
                <w:bCs/>
              </w:rPr>
              <w:t>–</w:t>
            </w:r>
          </w:p>
        </w:tc>
        <w:tc>
          <w:tcPr>
            <w:tcW w:w="1080" w:type="dxa"/>
          </w:tcPr>
          <w:p w:rsidR="008A48FA" w:rsidRPr="006A3B9C" w:rsidP="008A48FA" w14:paraId="06282ECD" w14:textId="3630D542">
            <w:pPr>
              <w:widowControl w:val="0"/>
              <w:jc w:val="right"/>
              <w:rPr>
                <w:rStyle w:val="CommentReference"/>
                <w:b/>
                <w:bCs/>
                <w:sz w:val="24"/>
                <w:szCs w:val="24"/>
              </w:rPr>
            </w:pPr>
            <w:r w:rsidRPr="006A3B9C">
              <w:rPr>
                <w:rStyle w:val="CommentReference"/>
                <w:b/>
                <w:bCs/>
                <w:sz w:val="24"/>
                <w:szCs w:val="24"/>
              </w:rPr>
              <w:t xml:space="preserve">356 </w:t>
            </w:r>
          </w:p>
        </w:tc>
      </w:tr>
    </w:tbl>
    <w:p w:rsidR="00310454" w:rsidRPr="000D0FF4" w:rsidP="00D829AF" w14:paraId="1A0A5590" w14:textId="77777777">
      <w:pPr>
        <w:widowControl w:val="0"/>
      </w:pPr>
    </w:p>
    <w:p w:rsidR="002070DB" w:rsidP="002070DB" w14:paraId="3DD7EA47" w14:textId="5DC67FBB">
      <w:pPr>
        <w:rPr>
          <w:bCs/>
        </w:rPr>
      </w:pPr>
      <w:r w:rsidRPr="000D0FF4">
        <w:rPr>
          <w:bCs/>
        </w:rPr>
        <w:t>Costs associated with the burden hours f</w:t>
      </w:r>
      <w:r w:rsidRPr="000D0FF4">
        <w:rPr>
          <w:bCs/>
        </w:rPr>
        <w:t xml:space="preserve">or the planned collection of qualifying information by </w:t>
      </w:r>
      <w:r w:rsidRPr="000D0FF4" w:rsidR="00C311A9">
        <w:rPr>
          <w:bCs/>
        </w:rPr>
        <w:t>CPSC</w:t>
      </w:r>
      <w:r w:rsidRPr="000D0FF4">
        <w:rPr>
          <w:bCs/>
        </w:rPr>
        <w:t xml:space="preserve"> can be calculated based on mean hourly wages provided by the Bureau of Labor Statistics for All Occup</w:t>
      </w:r>
      <w:r w:rsidR="008A48FA">
        <w:rPr>
          <w:bCs/>
        </w:rPr>
        <w:t>ations</w:t>
      </w:r>
      <w:r w:rsidRPr="000D0FF4">
        <w:rPr>
          <w:bCs/>
        </w:rPr>
        <w:t xml:space="preserve"> (see </w:t>
      </w:r>
      <w:hyperlink r:id="rId10" w:anchor="00-0000" w:history="1">
        <w:r w:rsidRPr="000D0FF4">
          <w:rPr>
            <w:rStyle w:val="Hyperlink"/>
            <w:bCs/>
            <w:color w:val="auto"/>
          </w:rPr>
          <w:t>http://</w:t>
        </w:r>
        <w:r w:rsidRPr="000D0FF4">
          <w:rPr>
            <w:rStyle w:val="Hyperlink"/>
            <w:bCs/>
            <w:color w:val="auto"/>
          </w:rPr>
          <w:t>www.bls.gov</w:t>
        </w:r>
        <w:r w:rsidRPr="000D0FF4">
          <w:rPr>
            <w:rStyle w:val="Hyperlink"/>
            <w:bCs/>
            <w:color w:val="auto"/>
          </w:rPr>
          <w:t>/</w:t>
        </w:r>
        <w:r w:rsidRPr="000D0FF4">
          <w:rPr>
            <w:rStyle w:val="Hyperlink"/>
            <w:bCs/>
            <w:color w:val="auto"/>
          </w:rPr>
          <w:t>oes</w:t>
        </w:r>
        <w:r w:rsidRPr="000D0FF4">
          <w:rPr>
            <w:rStyle w:val="Hyperlink"/>
            <w:bCs/>
            <w:color w:val="auto"/>
          </w:rPr>
          <w:t>/current/</w:t>
        </w:r>
        <w:r w:rsidRPr="000D0FF4">
          <w:rPr>
            <w:rStyle w:val="Hyperlink"/>
            <w:bCs/>
            <w:color w:val="auto"/>
          </w:rPr>
          <w:t>oes_va.h</w:t>
        </w:r>
        <w:r w:rsidRPr="000D0FF4">
          <w:rPr>
            <w:rStyle w:val="Hyperlink"/>
            <w:bCs/>
            <w:color w:val="auto"/>
          </w:rPr>
          <w:t>t</w:t>
        </w:r>
        <w:r w:rsidRPr="000D0FF4">
          <w:rPr>
            <w:rStyle w:val="Hyperlink"/>
            <w:bCs/>
            <w:color w:val="auto"/>
          </w:rPr>
          <w:t>m#00-0000</w:t>
        </w:r>
      </w:hyperlink>
      <w:r w:rsidRPr="000D0FF4">
        <w:rPr>
          <w:bCs/>
        </w:rPr>
        <w:t>). This source indicated mean hourly wage equals $</w:t>
      </w:r>
      <w:r w:rsidR="008A48FA">
        <w:rPr>
          <w:bCs/>
        </w:rPr>
        <w:t>31.54</w:t>
      </w:r>
      <w:r w:rsidRPr="000D0FF4">
        <w:rPr>
          <w:bCs/>
        </w:rPr>
        <w:t>. The total cost to respondents would be a maximum of $</w:t>
      </w:r>
      <w:r w:rsidR="008A48FA">
        <w:rPr>
          <w:bCs/>
        </w:rPr>
        <w:t>11,228.24</w:t>
      </w:r>
      <w:r w:rsidRPr="000D0FF4">
        <w:rPr>
          <w:bCs/>
        </w:rPr>
        <w:t xml:space="preserve"> according to the calculation below:</w:t>
      </w:r>
    </w:p>
    <w:p w:rsidR="008A48FA" w:rsidP="002070DB" w14:paraId="3D5CA374" w14:textId="77777777">
      <w:pPr>
        <w:rPr>
          <w:bCs/>
        </w:rPr>
      </w:pPr>
    </w:p>
    <w:p w:rsidR="002070DB" w:rsidRPr="000D0FF4" w:rsidP="002070DB" w14:paraId="3DD7EA49" w14:textId="2302ACFD">
      <w:pPr>
        <w:rPr>
          <w:bCs/>
        </w:rPr>
      </w:pPr>
      <w:bookmarkStart w:id="12" w:name="_Hlk137979538"/>
      <w:r w:rsidRPr="000D0FF4">
        <w:rPr>
          <w:bCs/>
        </w:rPr>
        <w:t>$</w:t>
      </w:r>
      <w:r w:rsidR="008A48FA">
        <w:rPr>
          <w:bCs/>
        </w:rPr>
        <w:t>31.54</w:t>
      </w:r>
      <w:r w:rsidRPr="000D0FF4">
        <w:rPr>
          <w:bCs/>
        </w:rPr>
        <w:t xml:space="preserve">/hr. </w:t>
      </w:r>
      <w:r w:rsidR="008A48FA">
        <w:rPr>
          <w:bCs/>
        </w:rPr>
        <w:t>× 356</w:t>
      </w:r>
      <w:r w:rsidRPr="000D0FF4" w:rsidR="00DD6677">
        <w:rPr>
          <w:bCs/>
        </w:rPr>
        <w:t xml:space="preserve"> </w:t>
      </w:r>
      <w:r w:rsidRPr="000D0FF4">
        <w:rPr>
          <w:bCs/>
        </w:rPr>
        <w:t xml:space="preserve">hours = </w:t>
      </w:r>
      <w:r w:rsidR="00BB1E51">
        <w:rPr>
          <w:bCs/>
        </w:rPr>
        <w:t>$</w:t>
      </w:r>
      <w:r w:rsidR="008A48FA">
        <w:rPr>
          <w:bCs/>
        </w:rPr>
        <w:t>11,228.24.</w:t>
      </w:r>
    </w:p>
    <w:p w:rsidR="002070DB" w:rsidRPr="000D0FF4" w:rsidP="00672FF2" w14:paraId="3DD7EA4A" w14:textId="77777777">
      <w:bookmarkStart w:id="13" w:name="_Toc267035205"/>
      <w:bookmarkEnd w:id="12"/>
    </w:p>
    <w:p w:rsidR="00D829AF" w:rsidRPr="000D0FF4" w:rsidP="00D829AF" w14:paraId="3DD7EA4B" w14:textId="77777777">
      <w:pPr>
        <w:pStyle w:val="Heading2"/>
        <w:rPr>
          <w:rFonts w:cs="Times New Roman"/>
        </w:rPr>
      </w:pPr>
      <w:r w:rsidRPr="000D0FF4">
        <w:rPr>
          <w:rFonts w:cs="Times New Roman"/>
        </w:rPr>
        <w:t>A.13.</w:t>
      </w:r>
      <w:r w:rsidRPr="000D0FF4">
        <w:rPr>
          <w:rFonts w:cs="Times New Roman"/>
        </w:rPr>
        <w:tab/>
        <w:t>Provide an estimate of the total annual cost burden to respondents or record keepers resulting from the collection of information.</w:t>
      </w:r>
      <w:bookmarkEnd w:id="13"/>
    </w:p>
    <w:p w:rsidR="002070DB" w:rsidRPr="000D0FF4" w:rsidP="002070DB" w14:paraId="3DD7EA4C" w14:textId="77777777"/>
    <w:p w:rsidR="002070DB" w:rsidRPr="00BB1E51" w:rsidP="002070DB" w14:paraId="3DD7EA4D" w14:textId="79A89D51">
      <w:r w:rsidRPr="00BB1E51">
        <w:t>There are no record-keeping costs</w:t>
      </w:r>
      <w:r w:rsidRPr="00BB1E51">
        <w:t>.</w:t>
      </w:r>
    </w:p>
    <w:p w:rsidR="00D829AF" w:rsidRPr="000D0FF4" w:rsidP="00D829AF" w14:paraId="3DD7EA4F" w14:textId="1DEAB940">
      <w:pPr>
        <w:rPr>
          <w:bCs/>
        </w:rPr>
      </w:pPr>
      <w:r w:rsidRPr="000D0FF4">
        <w:rPr>
          <w:rFonts w:ascii="Garamond" w:hAnsi="Garamond"/>
          <w:bCs/>
        </w:rPr>
        <w:t xml:space="preserve">  </w:t>
      </w:r>
    </w:p>
    <w:p w:rsidR="00D829AF" w:rsidRPr="000D0FF4" w:rsidP="00D829AF" w14:paraId="3DD7EA50" w14:textId="25CF10CD">
      <w:pPr>
        <w:pStyle w:val="Heading2"/>
        <w:rPr>
          <w:rFonts w:cs="Times New Roman"/>
        </w:rPr>
      </w:pPr>
      <w:bookmarkStart w:id="14" w:name="_Toc267035206"/>
      <w:r w:rsidRPr="000D0FF4">
        <w:rPr>
          <w:rFonts w:cs="Times New Roman"/>
        </w:rPr>
        <w:t>A.14.</w:t>
      </w:r>
      <w:r w:rsidRPr="000D0FF4">
        <w:rPr>
          <w:rFonts w:cs="Times New Roman"/>
        </w:rPr>
        <w:tab/>
        <w:t>Provide estimates of annualized cost to the Federal government.</w:t>
      </w:r>
      <w:bookmarkEnd w:id="14"/>
      <w:r w:rsidRPr="000D0FF4" w:rsidR="001E79E9">
        <w:rPr>
          <w:rFonts w:cs="Times New Roman"/>
        </w:rPr>
        <w:t xml:space="preserve"> </w:t>
      </w:r>
      <w:r w:rsidRPr="000D0FF4" w:rsidR="001E79E9">
        <w:t xml:space="preserve">Also, provide a description of the method used to estimate cost, which should include quantification </w:t>
      </w:r>
      <w:r w:rsidRPr="000D0FF4" w:rsidR="001E79E9">
        <w:t>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829AF" w:rsidRPr="000D0FF4" w:rsidP="00D829AF" w14:paraId="3DD7EA51" w14:textId="77777777">
      <w:pPr>
        <w:rPr>
          <w:b/>
          <w:bCs/>
        </w:rPr>
      </w:pPr>
    </w:p>
    <w:p w:rsidR="0082308A" w:rsidP="0082308A" w14:paraId="78A30D0E" w14:textId="77777777">
      <w:pPr>
        <w:pStyle w:val="Default"/>
        <w:rPr>
          <w:rFonts w:ascii="Calibri" w:hAnsi="Calibri" w:cs="Calibri"/>
          <w:sz w:val="23"/>
          <w:szCs w:val="23"/>
        </w:rPr>
      </w:pPr>
      <w:r w:rsidRPr="000D0FF4">
        <w:rPr>
          <w:bCs/>
        </w:rPr>
        <w:tab/>
      </w:r>
    </w:p>
    <w:p w:rsidR="0082308A" w:rsidRPr="00546D63" w:rsidP="0082308A" w14:paraId="7895E044" w14:textId="7C469E97">
      <w:pPr>
        <w:pStyle w:val="Default"/>
        <w:rPr>
          <w:rFonts w:ascii="Times New Roman" w:hAnsi="Times New Roman" w:cs="Times New Roman"/>
        </w:rPr>
      </w:pPr>
      <w:r w:rsidRPr="00546D63">
        <w:rPr>
          <w:rFonts w:ascii="Times New Roman" w:hAnsi="Times New Roman" w:cs="Times New Roman"/>
        </w:rPr>
        <w:t>The total cost of this collection to the federal government is $93,345. This represents 6 months of staff time annually. This amount includes federal employee salaries and benefits. No travel costs are associated with the collection. This estimate uses an annual salary of $126,949 (the equivalent of a GS-13, Step 5 employee, in the Washington D.C. area in 2023)</w:t>
      </w:r>
      <w:r>
        <w:rPr>
          <w:rStyle w:val="FootnoteReference"/>
          <w:rFonts w:ascii="Times New Roman" w:hAnsi="Times New Roman" w:cs="Times New Roman"/>
        </w:rPr>
        <w:footnoteReference w:id="3"/>
      </w:r>
      <w:r w:rsidRPr="00546D63">
        <w:rPr>
          <w:rFonts w:ascii="Times New Roman" w:hAnsi="Times New Roman" w:cs="Times New Roman"/>
        </w:rPr>
        <w:t xml:space="preserve"> which represents 68.0 percent of the employer costs for employee compensation. The remaining 32.0 percent of employer costs are added for benefits (U.S. Bureau of Labor Statistics, “Employer Costs for Employee Compensation,” March 2023, percentage of wages and salaries for all civilian management, professional, and related employees)</w:t>
      </w:r>
      <w:r>
        <w:rPr>
          <w:rStyle w:val="FootnoteReference"/>
          <w:rFonts w:ascii="Times New Roman" w:hAnsi="Times New Roman" w:cs="Times New Roman"/>
        </w:rPr>
        <w:footnoteReference w:id="4"/>
      </w:r>
      <w:r w:rsidRPr="00546D63">
        <w:rPr>
          <w:rFonts w:ascii="Times New Roman" w:hAnsi="Times New Roman" w:cs="Times New Roman"/>
        </w:rPr>
        <w:t>, for a total annual compensation per FTE of $186,690.</w:t>
      </w:r>
    </w:p>
    <w:p w:rsidR="0082308A" w:rsidP="0082308A" w14:paraId="28C977C5" w14:textId="77777777">
      <w:pPr>
        <w:pStyle w:val="Default"/>
        <w:rPr>
          <w:rFonts w:ascii="Calibri" w:hAnsi="Calibri" w:cs="Calibri"/>
        </w:rPr>
      </w:pPr>
    </w:p>
    <w:p w:rsidR="00D829AF" w:rsidRPr="000D0FF4" w:rsidP="00D829AF" w14:paraId="3DD7EA53" w14:textId="77777777">
      <w:pPr>
        <w:widowControl w:val="0"/>
        <w:tabs>
          <w:tab w:val="left" w:pos="540"/>
        </w:tabs>
        <w:ind w:hanging="720"/>
        <w:jc w:val="both"/>
        <w:rPr>
          <w:b/>
          <w:bCs/>
        </w:rPr>
      </w:pPr>
    </w:p>
    <w:p w:rsidR="00D829AF" w:rsidRPr="000D0FF4" w:rsidP="00BE4663" w14:paraId="3DD7EA54" w14:textId="77777777">
      <w:pPr>
        <w:pStyle w:val="Heading2"/>
      </w:pPr>
      <w:r w:rsidRPr="000D0FF4">
        <w:t>A.15.</w:t>
      </w:r>
      <w:r w:rsidRPr="000D0FF4">
        <w:tab/>
        <w:t>Explain the reasons for any program changes or adjustments reported in Items 13 or 14 of the OMB Form 83-1.</w:t>
      </w:r>
    </w:p>
    <w:p w:rsidR="00D829AF" w:rsidRPr="000D0FF4" w:rsidP="00D829AF" w14:paraId="3DD7EA55" w14:textId="77777777">
      <w:pPr>
        <w:ind w:left="720" w:hanging="720"/>
      </w:pPr>
    </w:p>
    <w:p w:rsidR="00D829AF" w:rsidRPr="000D0FF4" w:rsidP="00D829AF" w14:paraId="3DD7EA56" w14:textId="67DE2B2E">
      <w:r w:rsidRPr="000D0FF4">
        <w:t xml:space="preserve">This study will result in a program change of adding </w:t>
      </w:r>
      <w:r w:rsidRPr="000D0FF4" w:rsidR="00EA721E">
        <w:t>1</w:t>
      </w:r>
      <w:r w:rsidR="00441EB1">
        <w:t>60</w:t>
      </w:r>
      <w:r w:rsidRPr="000D0FF4" w:rsidR="00EA721E">
        <w:t xml:space="preserve"> </w:t>
      </w:r>
      <w:r w:rsidRPr="000D0FF4">
        <w:t xml:space="preserve">hours of </w:t>
      </w:r>
      <w:r w:rsidRPr="000D0FF4" w:rsidR="00C311A9">
        <w:t>CPSC</w:t>
      </w:r>
      <w:r w:rsidRPr="000D0FF4">
        <w:t xml:space="preserve"> overall burden hours.</w:t>
      </w:r>
    </w:p>
    <w:p w:rsidR="00D829AF" w:rsidRPr="000D0FF4" w:rsidP="00D829AF" w14:paraId="3DD7EA57" w14:textId="77777777">
      <w:pPr>
        <w:ind w:left="720" w:hanging="720"/>
        <w:rPr>
          <w:b/>
          <w:bCs/>
        </w:rPr>
      </w:pPr>
    </w:p>
    <w:p w:rsidR="00D829AF" w:rsidRPr="000D0FF4" w:rsidP="00D829AF" w14:paraId="3DD7EA58" w14:textId="77777777">
      <w:pPr>
        <w:ind w:left="720" w:hanging="720"/>
      </w:pPr>
    </w:p>
    <w:p w:rsidR="00D829AF" w:rsidRPr="000D0FF4" w:rsidP="00D829AF" w14:paraId="3DD7EA59" w14:textId="46AE2812">
      <w:pPr>
        <w:pStyle w:val="Heading2"/>
        <w:rPr>
          <w:rFonts w:cs="Times New Roman"/>
        </w:rPr>
      </w:pPr>
      <w:bookmarkStart w:id="15" w:name="_Toc267035207"/>
      <w:r w:rsidRPr="000D0FF4">
        <w:rPr>
          <w:rFonts w:cs="Times New Roman"/>
        </w:rPr>
        <w:t>A.16.</w:t>
      </w:r>
      <w:r w:rsidRPr="000D0FF4">
        <w:rPr>
          <w:rFonts w:cs="Times New Roman"/>
        </w:rPr>
        <w:tab/>
        <w:t>For collections of information whose results will be published, outline plans for tabulation, and publication.</w:t>
      </w:r>
      <w:bookmarkEnd w:id="15"/>
      <w:r w:rsidRPr="000D0FF4" w:rsidR="00820384">
        <w:rPr>
          <w:rFonts w:cs="Times New Roman"/>
        </w:rPr>
        <w:t xml:space="preserve"> </w:t>
      </w:r>
      <w:r w:rsidRPr="000D0FF4" w:rsidR="00820384">
        <w:t>Address any complex analytical techniques that will be used. Provide the time schedule for the entire project, including beginning and ending dates of the collection of information, completion of report, publication dates, and other actions.</w:t>
      </w:r>
    </w:p>
    <w:p w:rsidR="00D829AF" w:rsidRPr="000D0FF4" w:rsidP="00D829AF" w14:paraId="3DD7EA5A" w14:textId="77777777">
      <w:pPr>
        <w:ind w:left="720" w:hanging="720"/>
      </w:pPr>
    </w:p>
    <w:p w:rsidR="00D829AF" w:rsidRPr="00BB1E51" w:rsidP="00D829AF" w14:paraId="3DD7EA5B" w14:textId="2F0FC81C">
      <w:r w:rsidRPr="00BB1E51">
        <w:t xml:space="preserve">The contractor </w:t>
      </w:r>
      <w:r w:rsidRPr="00BB1E51">
        <w:t>will develop a Final Report that presents the findings from the data collection effort. The Report will include an Executive Summary, Background, Introduction, Methodology, Results, and Conclusions sections. In addition, the report will include discussion of lessons learned and recommendations</w:t>
      </w:r>
      <w:r w:rsidRPr="00BB1E51" w:rsidR="007F154C">
        <w:t xml:space="preserve"> for future research on this topic</w:t>
      </w:r>
      <w:r w:rsidRPr="00BB1E51">
        <w:t>. It is important to note that individual data will not be identified in the report; data will be reported only in aggregate form as part of the findings.</w:t>
      </w:r>
    </w:p>
    <w:p w:rsidR="00D829AF" w:rsidRPr="00BB1E51" w:rsidP="00D829AF" w14:paraId="3DD7EA5C" w14:textId="77777777"/>
    <w:p w:rsidR="006E1711" w:rsidRPr="00D46139" w:rsidP="006E1711" w14:paraId="564E9D1F" w14:textId="0EBE73AE">
      <w:r w:rsidRPr="00D46139">
        <w:t xml:space="preserve">The analysis will be “toy-centric” and provide an overall synopsis by age group for each toy. For toys that were manipulated for at least 15 seconds, we will tabulate descriptive statistics on the coded metrics for each age group, toy, and caregiver responses. </w:t>
      </w:r>
    </w:p>
    <w:p w:rsidR="00EA721E" w:rsidRPr="00D46139" w:rsidP="006E1711" w14:paraId="2A4EBE3E" w14:textId="77777777"/>
    <w:p w:rsidR="006E1711" w:rsidRPr="000D0FF4" w:rsidP="006E1711" w14:paraId="20EE8B8D" w14:textId="5558B8FE">
      <w:r w:rsidRPr="000D0FF4">
        <w:t xml:space="preserve">We will examine the extent to which the </w:t>
      </w:r>
      <w:r w:rsidR="00625FEC">
        <w:t xml:space="preserve">children </w:t>
      </w:r>
      <w:r w:rsidR="001826AD">
        <w:t xml:space="preserve">across the predefined </w:t>
      </w:r>
      <w:r w:rsidR="00625FEC">
        <w:t xml:space="preserve">age groups </w:t>
      </w:r>
      <w:r w:rsidR="001826AD">
        <w:t xml:space="preserve">are able to use the </w:t>
      </w:r>
      <w:r w:rsidRPr="000D0FF4">
        <w:t>toy</w:t>
      </w:r>
      <w:r w:rsidR="001826AD">
        <w:t>s</w:t>
      </w:r>
      <w:r w:rsidRPr="000D0FF4">
        <w:t xml:space="preserve"> </w:t>
      </w:r>
      <w:r w:rsidR="001826AD">
        <w:t>as the manufacturer intended</w:t>
      </w:r>
      <w:r w:rsidRPr="000D0FF4">
        <w:t xml:space="preserve">. We will use the </w:t>
      </w:r>
      <w:r w:rsidR="001826AD">
        <w:t xml:space="preserve">behavior </w:t>
      </w:r>
      <w:r w:rsidRPr="000D0FF4">
        <w:t xml:space="preserve">data </w:t>
      </w:r>
      <w:r w:rsidR="001826AD">
        <w:t>collected from</w:t>
      </w:r>
      <w:r w:rsidRPr="000D0FF4">
        <w:t xml:space="preserve"> child/toy interaction</w:t>
      </w:r>
      <w:r w:rsidR="00C46191">
        <w:t>s</w:t>
      </w:r>
      <w:r w:rsidRPr="000D0FF4">
        <w:t xml:space="preserve"> and the </w:t>
      </w:r>
      <w:r w:rsidRPr="000D0FF4" w:rsidR="000D0FF4">
        <w:t>caregiver</w:t>
      </w:r>
      <w:r w:rsidRPr="000D0FF4" w:rsidR="002029F7">
        <w:t xml:space="preserve"> </w:t>
      </w:r>
      <w:r w:rsidRPr="000D0FF4">
        <w:t>questionnaire responses to</w:t>
      </w:r>
      <w:r w:rsidR="00C46191">
        <w:t>:</w:t>
      </w:r>
      <w:r w:rsidRPr="000D0FF4">
        <w:t xml:space="preserve"> (a)</w:t>
      </w:r>
      <w:r w:rsidR="001E3AE5">
        <w:t xml:space="preserve"> </w:t>
      </w:r>
      <w:r w:rsidR="00C46191">
        <w:t xml:space="preserve">inform our </w:t>
      </w:r>
      <w:r w:rsidRPr="000D0FF4">
        <w:t>age</w:t>
      </w:r>
      <w:r w:rsidR="00C46191">
        <w:t xml:space="preserve"> determinations</w:t>
      </w:r>
      <w:r w:rsidRPr="000D0FF4">
        <w:t xml:space="preserve"> of </w:t>
      </w:r>
      <w:r w:rsidRPr="000D0FF4">
        <w:t xml:space="preserve">the toy and whether there are discrepancies between our </w:t>
      </w:r>
      <w:r w:rsidR="00220A4C">
        <w:t xml:space="preserve">age determination </w:t>
      </w:r>
      <w:r w:rsidRPr="000D0FF4">
        <w:t xml:space="preserve">and the manufacturer’s </w:t>
      </w:r>
      <w:r w:rsidR="001E3AE5">
        <w:t xml:space="preserve">recommended </w:t>
      </w:r>
      <w:r w:rsidRPr="000D0FF4">
        <w:t>age</w:t>
      </w:r>
      <w:r w:rsidR="00441EB1">
        <w:t xml:space="preserve"> </w:t>
      </w:r>
      <w:r w:rsidR="001E3AE5">
        <w:t>for a toy</w:t>
      </w:r>
      <w:r w:rsidRPr="000D0FF4">
        <w:t>; and (b)</w:t>
      </w:r>
      <w:r w:rsidR="00220A4C">
        <w:t xml:space="preserve"> </w:t>
      </w:r>
      <w:r w:rsidRPr="000D0FF4">
        <w:t xml:space="preserve">a summary of </w:t>
      </w:r>
      <w:r w:rsidRPr="000D0FF4" w:rsidR="000D0FF4">
        <w:t>caregiver</w:t>
      </w:r>
      <w:r w:rsidRPr="000D0FF4" w:rsidR="002029F7">
        <w:t>s</w:t>
      </w:r>
      <w:r w:rsidRPr="000D0FF4">
        <w:t xml:space="preserve">’ impressions of the toys and </w:t>
      </w:r>
      <w:r w:rsidR="00C46191">
        <w:t xml:space="preserve">their assessment of its </w:t>
      </w:r>
      <w:r w:rsidRPr="000D0FF4">
        <w:t xml:space="preserve">age appropriateness for their child as well as the most important decision-making factors that </w:t>
      </w:r>
      <w:r w:rsidRPr="000D0FF4" w:rsidR="000D0FF4">
        <w:t>caregiver</w:t>
      </w:r>
      <w:r w:rsidRPr="000D0FF4">
        <w:t xml:space="preserve">s use for each of the age groups when purchasing a toy. We will also compare whether the </w:t>
      </w:r>
      <w:r w:rsidRPr="000D0FF4" w:rsidR="000D0FF4">
        <w:t>caregiver</w:t>
      </w:r>
      <w:r w:rsidRPr="000D0FF4" w:rsidR="002029F7">
        <w:t>s</w:t>
      </w:r>
      <w:r w:rsidRPr="000D0FF4">
        <w:t>’ impressions are consistent with the child’s behavior.</w:t>
      </w:r>
    </w:p>
    <w:p w:rsidR="00D36ED3" w:rsidRPr="000D0FF4" w:rsidP="006E1711" w14:paraId="631A974A" w14:textId="77777777"/>
    <w:p w:rsidR="006E1711" w:rsidRPr="000D0FF4" w:rsidP="006E1711" w14:paraId="7A6C592A" w14:textId="1C502748">
      <w:r w:rsidRPr="000D0FF4">
        <w:t>The above analysis will be based on simple statistical techniques such as crosstabs, to test whether the levels of play differed by age categories, and t-tests and Analysis of Variance (ANOVAs) to test whether quantitative variables such as duration of play and level of interest differed by age categories.</w:t>
      </w:r>
    </w:p>
    <w:p w:rsidR="00EA721E" w:rsidRPr="000D0FF4" w:rsidP="006E1711" w14:paraId="49FFB991" w14:textId="77777777"/>
    <w:p w:rsidR="006E1711" w:rsidRPr="000D0FF4" w:rsidP="006E1711" w14:paraId="29A5A243" w14:textId="2EC5CF9F">
      <w:r w:rsidRPr="000D0FF4">
        <w:t xml:space="preserve">We will tabulate and produce visual presentations using descriptive statistics, such as means and frequency plots and descriptive bar graphs of use patterns by age for toy play; final age recommendation for each toy; and analysis of any discrepancies with final age recommendations for products. For the categorical variables, examples of tabulation (or graphical representation) are the percentage of children in each age group who </w:t>
      </w:r>
      <w:r w:rsidRPr="000D0FF4">
        <w:t>play</w:t>
      </w:r>
      <w:r w:rsidRPr="000D0FF4">
        <w:t xml:space="preserve"> with the toy as intended, the percentage of children in each age group who </w:t>
      </w:r>
      <w:r w:rsidRPr="000D0FF4" w:rsidR="00AB0085">
        <w:t>did</w:t>
      </w:r>
      <w:r w:rsidRPr="000D0FF4">
        <w:t xml:space="preserve"> not </w:t>
      </w:r>
      <w:r w:rsidRPr="000D0FF4" w:rsidR="00A76581">
        <w:t>engage</w:t>
      </w:r>
      <w:r w:rsidRPr="000D0FF4">
        <w:t xml:space="preserve"> with the toy, </w:t>
      </w:r>
      <w:r w:rsidRPr="000D0FF4">
        <w:rPr>
          <w:iCs/>
        </w:rPr>
        <w:t xml:space="preserve">and so on. For the continuous variables, the tabulation could consist of tables (or graphs) showing average play duration for boys and girls, or age categories, for the toys. Similar analyses as those conducted for the observation data will be conducted on the </w:t>
      </w:r>
      <w:r w:rsidRPr="000D0FF4" w:rsidR="000D0FF4">
        <w:t>caregiver</w:t>
      </w:r>
      <w:r w:rsidRPr="000D0FF4">
        <w:t xml:space="preserve"> questionnaires. That is, the percentage of </w:t>
      </w:r>
      <w:r w:rsidRPr="000D0FF4" w:rsidR="000D0FF4">
        <w:t>caregiver</w:t>
      </w:r>
      <w:r w:rsidRPr="000D0FF4" w:rsidR="002029F7">
        <w:t>s</w:t>
      </w:r>
      <w:r w:rsidRPr="000D0FF4">
        <w:t xml:space="preserve"> who were likely to buy the toy for their child, and percentage of </w:t>
      </w:r>
      <w:r w:rsidRPr="000D0FF4" w:rsidR="000D0FF4">
        <w:t>caregiver</w:t>
      </w:r>
      <w:r w:rsidRPr="000D0FF4" w:rsidR="002029F7">
        <w:t xml:space="preserve">s </w:t>
      </w:r>
      <w:r w:rsidRPr="000D0FF4">
        <w:t xml:space="preserve">who felt the toy was appropriate for their child; the percentage of </w:t>
      </w:r>
      <w:r w:rsidRPr="000D0FF4" w:rsidR="000D0FF4">
        <w:t>caregiver</w:t>
      </w:r>
      <w:r w:rsidRPr="000D0FF4" w:rsidR="002029F7">
        <w:t>s</w:t>
      </w:r>
      <w:r w:rsidRPr="000D0FF4">
        <w:t xml:space="preserve"> who mentioned a given factor considered when purchasing, etc. </w:t>
      </w:r>
      <w:r w:rsidRPr="000D0FF4" w:rsidR="002029F7">
        <w:t xml:space="preserve">The percentage of </w:t>
      </w:r>
      <w:r w:rsidRPr="000D0FF4" w:rsidR="000D0FF4">
        <w:t>caregiver</w:t>
      </w:r>
      <w:r w:rsidRPr="000D0FF4" w:rsidR="002029F7">
        <w:t xml:space="preserve">s who believe that the child could use the toy as the manufacturer intended. </w:t>
      </w:r>
      <w:r w:rsidRPr="000D0FF4">
        <w:t>We will tabulate and produce visual presentations of the quantitative data using descriptive statistics, such as means and frequency plots.</w:t>
      </w:r>
    </w:p>
    <w:p w:rsidR="006E1711" w:rsidP="006E1711" w14:paraId="524E9D82" w14:textId="45F5FE76"/>
    <w:p w:rsidR="00441EB1" w:rsidRPr="000D0FF4" w:rsidP="006E1711" w14:paraId="092FE1AB" w14:textId="77777777"/>
    <w:p w:rsidR="00D96EC6" w:rsidRPr="0011646B" w:rsidP="00D829AF" w14:paraId="73212C79" w14:textId="4D8F202C">
      <w:pPr>
        <w:ind w:left="720" w:hanging="720"/>
        <w:rPr>
          <w:b/>
        </w:rPr>
      </w:pPr>
      <w:r w:rsidRPr="0011646B">
        <w:rPr>
          <w:b/>
        </w:rPr>
        <w:t>Timeline:</w:t>
      </w:r>
    </w:p>
    <w:tbl>
      <w:tblPr>
        <w:tblW w:w="8440" w:type="dxa"/>
        <w:tblInd w:w="113" w:type="dxa"/>
        <w:tblLook w:val="04A0"/>
      </w:tblPr>
      <w:tblGrid>
        <w:gridCol w:w="4500"/>
        <w:gridCol w:w="1104"/>
        <w:gridCol w:w="55"/>
        <w:gridCol w:w="2781"/>
      </w:tblGrid>
      <w:tr w14:paraId="00F84018" w14:textId="77777777" w:rsidTr="00F9060A">
        <w:tblPrEx>
          <w:tblW w:w="8440" w:type="dxa"/>
          <w:tblInd w:w="113" w:type="dxa"/>
          <w:tblLook w:val="04A0"/>
        </w:tblPrEx>
        <w:trPr>
          <w:trHeight w:val="300"/>
        </w:trPr>
        <w:tc>
          <w:tcPr>
            <w:tcW w:w="45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546EBC" w:rsidRPr="0011646B" w:rsidP="00CD455E" w14:paraId="349A1FF4" w14:textId="77777777">
            <w:pPr>
              <w:jc w:val="center"/>
              <w:rPr>
                <w:b/>
                <w:bCs/>
              </w:rPr>
            </w:pPr>
            <w:r w:rsidRPr="0011646B">
              <w:rPr>
                <w:b/>
                <w:bCs/>
              </w:rPr>
              <w:t xml:space="preserve">Item </w:t>
            </w:r>
          </w:p>
        </w:tc>
        <w:tc>
          <w:tcPr>
            <w:tcW w:w="1159"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546EBC" w:rsidRPr="0011646B" w:rsidP="00CD455E" w14:paraId="17C89043" w14:textId="77777777">
            <w:pPr>
              <w:jc w:val="center"/>
              <w:rPr>
                <w:b/>
                <w:bCs/>
              </w:rPr>
            </w:pPr>
            <w:r w:rsidRPr="0011646B">
              <w:rPr>
                <w:b/>
                <w:bCs/>
              </w:rPr>
              <w:t>Quantity</w:t>
            </w:r>
          </w:p>
        </w:tc>
        <w:tc>
          <w:tcPr>
            <w:tcW w:w="2781" w:type="dxa"/>
            <w:tcBorders>
              <w:top w:val="single" w:sz="4" w:space="0" w:color="auto"/>
              <w:left w:val="nil"/>
              <w:bottom w:val="single" w:sz="4" w:space="0" w:color="auto"/>
              <w:right w:val="single" w:sz="4" w:space="0" w:color="auto"/>
            </w:tcBorders>
            <w:shd w:val="clear" w:color="000000" w:fill="D0CECE"/>
            <w:vAlign w:val="bottom"/>
            <w:hideMark/>
          </w:tcPr>
          <w:p w:rsidR="00546EBC" w:rsidRPr="0011646B" w:rsidP="00CD455E" w14:paraId="04530BCC" w14:textId="77777777">
            <w:pPr>
              <w:jc w:val="center"/>
              <w:rPr>
                <w:b/>
                <w:bCs/>
              </w:rPr>
            </w:pPr>
            <w:r w:rsidRPr="0011646B">
              <w:rPr>
                <w:b/>
                <w:bCs/>
              </w:rPr>
              <w:t>Delivery/Performance</w:t>
            </w:r>
          </w:p>
        </w:tc>
      </w:tr>
      <w:tr w14:paraId="75A69634" w14:textId="77777777" w:rsidTr="00F9060A">
        <w:tblPrEx>
          <w:tblW w:w="8440" w:type="dxa"/>
          <w:tblInd w:w="113" w:type="dxa"/>
          <w:tblLook w:val="04A0"/>
        </w:tblPrEx>
        <w:trPr>
          <w:trHeight w:val="6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0E0397" w:rsidRPr="0011646B" w:rsidP="00F9060A" w14:paraId="3D1EBF5B" w14:textId="339F41E9">
            <w:pPr>
              <w:rPr>
                <w:bCs/>
              </w:rPr>
            </w:pPr>
            <w:r w:rsidRPr="0011646B">
              <w:rPr>
                <w:bCs/>
              </w:rPr>
              <w:t>Conduct Study</w:t>
            </w:r>
          </w:p>
        </w:tc>
        <w:tc>
          <w:tcPr>
            <w:tcW w:w="1104" w:type="dxa"/>
            <w:tcBorders>
              <w:top w:val="nil"/>
              <w:left w:val="nil"/>
              <w:bottom w:val="single" w:sz="4" w:space="0" w:color="auto"/>
              <w:right w:val="single" w:sz="4" w:space="0" w:color="auto"/>
            </w:tcBorders>
            <w:shd w:val="clear" w:color="auto" w:fill="auto"/>
            <w:noWrap/>
            <w:vAlign w:val="center"/>
            <w:hideMark/>
          </w:tcPr>
          <w:p w:rsidR="000E0397" w:rsidRPr="0011646B" w:rsidP="00CD455E" w14:paraId="5F9FD51B" w14:textId="77777777">
            <w:pPr>
              <w:jc w:val="center"/>
            </w:pPr>
            <w:r w:rsidRPr="0011646B">
              <w:t>1</w:t>
            </w:r>
          </w:p>
        </w:tc>
        <w:tc>
          <w:tcPr>
            <w:tcW w:w="2836" w:type="dxa"/>
            <w:gridSpan w:val="2"/>
            <w:tcBorders>
              <w:top w:val="nil"/>
              <w:left w:val="nil"/>
              <w:bottom w:val="single" w:sz="4" w:space="0" w:color="auto"/>
              <w:right w:val="single" w:sz="4" w:space="0" w:color="auto"/>
            </w:tcBorders>
            <w:shd w:val="clear" w:color="auto" w:fill="auto"/>
            <w:vAlign w:val="bottom"/>
            <w:hideMark/>
          </w:tcPr>
          <w:p w:rsidR="000E0397" w:rsidRPr="0011646B" w:rsidP="00CD455E" w14:paraId="11BF5EDA" w14:textId="77777777">
            <w:r w:rsidRPr="0011646B">
              <w:t>Begin 4 weeks following OMB approval</w:t>
            </w:r>
          </w:p>
        </w:tc>
      </w:tr>
      <w:tr w14:paraId="472CAF77" w14:textId="77777777" w:rsidTr="00F9060A">
        <w:tblPrEx>
          <w:tblW w:w="8440" w:type="dxa"/>
          <w:tblInd w:w="113" w:type="dxa"/>
          <w:tblLook w:val="04A0"/>
        </w:tblPrEx>
        <w:trPr>
          <w:trHeight w:val="6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0E0397" w:rsidRPr="0011646B" w:rsidP="00F9060A" w14:paraId="12DD2DE6" w14:textId="59ABF04E">
            <w:pPr>
              <w:rPr>
                <w:bCs/>
              </w:rPr>
            </w:pPr>
            <w:r w:rsidRPr="0011646B">
              <w:rPr>
                <w:bCs/>
              </w:rPr>
              <w:t>Initial Finding from Study</w:t>
            </w:r>
          </w:p>
        </w:tc>
        <w:tc>
          <w:tcPr>
            <w:tcW w:w="1104" w:type="dxa"/>
            <w:tcBorders>
              <w:top w:val="nil"/>
              <w:left w:val="nil"/>
              <w:bottom w:val="single" w:sz="4" w:space="0" w:color="auto"/>
              <w:right w:val="single" w:sz="4" w:space="0" w:color="auto"/>
            </w:tcBorders>
            <w:shd w:val="clear" w:color="auto" w:fill="auto"/>
            <w:noWrap/>
            <w:vAlign w:val="center"/>
            <w:hideMark/>
          </w:tcPr>
          <w:p w:rsidR="000E0397" w:rsidRPr="0011646B" w:rsidP="00CD455E" w14:paraId="4A367E56" w14:textId="77777777">
            <w:pPr>
              <w:jc w:val="center"/>
            </w:pPr>
            <w:r w:rsidRPr="0011646B">
              <w:t>1</w:t>
            </w:r>
          </w:p>
        </w:tc>
        <w:tc>
          <w:tcPr>
            <w:tcW w:w="2836" w:type="dxa"/>
            <w:gridSpan w:val="2"/>
            <w:tcBorders>
              <w:top w:val="nil"/>
              <w:left w:val="nil"/>
              <w:bottom w:val="single" w:sz="4" w:space="0" w:color="auto"/>
              <w:right w:val="single" w:sz="4" w:space="0" w:color="auto"/>
            </w:tcBorders>
            <w:shd w:val="clear" w:color="auto" w:fill="auto"/>
            <w:vAlign w:val="bottom"/>
            <w:hideMark/>
          </w:tcPr>
          <w:p w:rsidR="000E0397" w:rsidRPr="0011646B" w:rsidP="00CD455E" w14:paraId="27998269" w14:textId="77777777">
            <w:r w:rsidRPr="0011646B">
              <w:t>20 weeks following OMB Approval</w:t>
            </w:r>
          </w:p>
        </w:tc>
      </w:tr>
      <w:tr w14:paraId="246B6171" w14:textId="77777777" w:rsidTr="00F9060A">
        <w:tblPrEx>
          <w:tblW w:w="8440" w:type="dxa"/>
          <w:tblInd w:w="113" w:type="dxa"/>
          <w:tblLook w:val="04A0"/>
        </w:tblPrEx>
        <w:trPr>
          <w:trHeight w:val="6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0E0397" w:rsidRPr="0011646B" w:rsidP="00CD455E" w14:paraId="18544059" w14:textId="77777777">
            <w:pPr>
              <w:rPr>
                <w:bCs/>
              </w:rPr>
            </w:pPr>
            <w:r w:rsidRPr="0011646B">
              <w:rPr>
                <w:bCs/>
              </w:rPr>
              <w:t>Draft Final Report</w:t>
            </w:r>
          </w:p>
        </w:tc>
        <w:tc>
          <w:tcPr>
            <w:tcW w:w="1104" w:type="dxa"/>
            <w:tcBorders>
              <w:top w:val="nil"/>
              <w:left w:val="nil"/>
              <w:bottom w:val="single" w:sz="4" w:space="0" w:color="auto"/>
              <w:right w:val="single" w:sz="4" w:space="0" w:color="auto"/>
            </w:tcBorders>
            <w:shd w:val="clear" w:color="auto" w:fill="auto"/>
            <w:noWrap/>
            <w:vAlign w:val="center"/>
            <w:hideMark/>
          </w:tcPr>
          <w:p w:rsidR="000E0397" w:rsidRPr="0011646B" w:rsidP="00CD455E" w14:paraId="7335612F" w14:textId="77777777">
            <w:pPr>
              <w:jc w:val="center"/>
            </w:pPr>
            <w:r w:rsidRPr="0011646B">
              <w:t>1</w:t>
            </w:r>
          </w:p>
        </w:tc>
        <w:tc>
          <w:tcPr>
            <w:tcW w:w="2836" w:type="dxa"/>
            <w:gridSpan w:val="2"/>
            <w:tcBorders>
              <w:top w:val="nil"/>
              <w:left w:val="nil"/>
              <w:bottom w:val="single" w:sz="4" w:space="0" w:color="auto"/>
              <w:right w:val="single" w:sz="4" w:space="0" w:color="auto"/>
            </w:tcBorders>
            <w:shd w:val="clear" w:color="auto" w:fill="auto"/>
            <w:vAlign w:val="bottom"/>
            <w:hideMark/>
          </w:tcPr>
          <w:p w:rsidR="000E0397" w:rsidRPr="0011646B" w:rsidP="00CD455E" w14:paraId="61DE3385" w14:textId="77777777">
            <w:r w:rsidRPr="0011646B">
              <w:t>26 Weeks following OMB Approval</w:t>
            </w:r>
          </w:p>
        </w:tc>
      </w:tr>
      <w:tr w14:paraId="13164C64" w14:textId="77777777" w:rsidTr="00F9060A">
        <w:tblPrEx>
          <w:tblW w:w="8440" w:type="dxa"/>
          <w:tblInd w:w="113" w:type="dxa"/>
          <w:tblLook w:val="04A0"/>
        </w:tblPrEx>
        <w:trPr>
          <w:trHeight w:val="6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0E0397" w:rsidRPr="0011646B" w:rsidP="00CD455E" w14:paraId="4685E3A6" w14:textId="77777777">
            <w:pPr>
              <w:rPr>
                <w:bCs/>
              </w:rPr>
            </w:pPr>
            <w:r w:rsidRPr="0011646B">
              <w:rPr>
                <w:bCs/>
              </w:rPr>
              <w:t>CPSC provides draft on Draft Final Report</w:t>
            </w:r>
          </w:p>
        </w:tc>
        <w:tc>
          <w:tcPr>
            <w:tcW w:w="1104" w:type="dxa"/>
            <w:tcBorders>
              <w:top w:val="nil"/>
              <w:left w:val="nil"/>
              <w:bottom w:val="single" w:sz="4" w:space="0" w:color="auto"/>
              <w:right w:val="single" w:sz="4" w:space="0" w:color="auto"/>
            </w:tcBorders>
            <w:shd w:val="clear" w:color="auto" w:fill="auto"/>
            <w:noWrap/>
            <w:vAlign w:val="center"/>
            <w:hideMark/>
          </w:tcPr>
          <w:p w:rsidR="000E0397" w:rsidRPr="0011646B" w:rsidP="00CD455E" w14:paraId="197B289B" w14:textId="77777777">
            <w:pPr>
              <w:jc w:val="center"/>
            </w:pPr>
            <w:r w:rsidRPr="0011646B">
              <w:t>1</w:t>
            </w:r>
          </w:p>
        </w:tc>
        <w:tc>
          <w:tcPr>
            <w:tcW w:w="2836" w:type="dxa"/>
            <w:gridSpan w:val="2"/>
            <w:tcBorders>
              <w:top w:val="nil"/>
              <w:left w:val="nil"/>
              <w:bottom w:val="single" w:sz="4" w:space="0" w:color="auto"/>
              <w:right w:val="single" w:sz="4" w:space="0" w:color="auto"/>
            </w:tcBorders>
            <w:shd w:val="clear" w:color="auto" w:fill="auto"/>
            <w:vAlign w:val="bottom"/>
            <w:hideMark/>
          </w:tcPr>
          <w:p w:rsidR="000E0397" w:rsidRPr="0011646B" w:rsidP="00CD455E" w14:paraId="24D178DC" w14:textId="77777777">
            <w:r w:rsidRPr="0011646B">
              <w:t>28 Weeks following OMB approval</w:t>
            </w:r>
          </w:p>
        </w:tc>
      </w:tr>
      <w:tr w14:paraId="75C4533F" w14:textId="77777777" w:rsidTr="00F9060A">
        <w:tblPrEx>
          <w:tblW w:w="8440" w:type="dxa"/>
          <w:tblInd w:w="113" w:type="dxa"/>
          <w:tblLook w:val="04A0"/>
        </w:tblPrEx>
        <w:trPr>
          <w:trHeight w:val="600"/>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0E0397" w:rsidRPr="0011646B" w:rsidP="00CD455E" w14:paraId="597D6235" w14:textId="77777777">
            <w:pPr>
              <w:rPr>
                <w:bCs/>
              </w:rPr>
            </w:pPr>
            <w:r w:rsidRPr="0011646B">
              <w:rPr>
                <w:bCs/>
              </w:rPr>
              <w:t>Final Report</w:t>
            </w:r>
          </w:p>
        </w:tc>
        <w:tc>
          <w:tcPr>
            <w:tcW w:w="1104" w:type="dxa"/>
            <w:tcBorders>
              <w:top w:val="nil"/>
              <w:left w:val="nil"/>
              <w:bottom w:val="single" w:sz="4" w:space="0" w:color="auto"/>
              <w:right w:val="single" w:sz="4" w:space="0" w:color="auto"/>
            </w:tcBorders>
            <w:shd w:val="clear" w:color="auto" w:fill="auto"/>
            <w:noWrap/>
            <w:vAlign w:val="center"/>
            <w:hideMark/>
          </w:tcPr>
          <w:p w:rsidR="000E0397" w:rsidRPr="0011646B" w:rsidP="00CD455E" w14:paraId="3A2D68D7" w14:textId="77777777">
            <w:pPr>
              <w:jc w:val="center"/>
            </w:pPr>
            <w:r w:rsidRPr="0011646B">
              <w:t>1</w:t>
            </w:r>
          </w:p>
        </w:tc>
        <w:tc>
          <w:tcPr>
            <w:tcW w:w="2836" w:type="dxa"/>
            <w:gridSpan w:val="2"/>
            <w:tcBorders>
              <w:top w:val="nil"/>
              <w:left w:val="nil"/>
              <w:bottom w:val="single" w:sz="4" w:space="0" w:color="auto"/>
              <w:right w:val="single" w:sz="4" w:space="0" w:color="auto"/>
            </w:tcBorders>
            <w:shd w:val="clear" w:color="auto" w:fill="auto"/>
            <w:vAlign w:val="bottom"/>
            <w:hideMark/>
          </w:tcPr>
          <w:p w:rsidR="000E0397" w:rsidRPr="0011646B" w:rsidP="00CD455E" w14:paraId="7B1BD4EC" w14:textId="77777777">
            <w:r w:rsidRPr="0011646B">
              <w:t>30 Weeks following OMB Approval</w:t>
            </w:r>
          </w:p>
        </w:tc>
      </w:tr>
    </w:tbl>
    <w:p w:rsidR="000E0397" w:rsidRPr="0011646B" w:rsidP="00D829AF" w14:paraId="06D21A85" w14:textId="77777777">
      <w:pPr>
        <w:ind w:left="720" w:hanging="720"/>
      </w:pPr>
    </w:p>
    <w:p w:rsidR="00D829AF" w:rsidRPr="0011646B" w:rsidP="00D829AF" w14:paraId="3DD7EA65" w14:textId="77777777">
      <w:pPr>
        <w:pStyle w:val="Heading2"/>
        <w:rPr>
          <w:rFonts w:cs="Times New Roman"/>
        </w:rPr>
      </w:pPr>
      <w:bookmarkStart w:id="16" w:name="_Toc267035208"/>
      <w:r w:rsidRPr="00D46139">
        <w:rPr>
          <w:rFonts w:cs="Times New Roman"/>
        </w:rPr>
        <w:t>A.17.</w:t>
      </w:r>
      <w:r w:rsidRPr="00D46139">
        <w:rPr>
          <w:rFonts w:cs="Times New Roman"/>
        </w:rPr>
        <w:tab/>
        <w:t>If seeking approval to not display the expiration date for OMB approval of the information collection, explain the reasons that display would be inappropriate.</w:t>
      </w:r>
      <w:bookmarkEnd w:id="16"/>
    </w:p>
    <w:p w:rsidR="00D829AF" w:rsidRPr="0011646B" w:rsidP="00D829AF" w14:paraId="3DD7EA66" w14:textId="77777777">
      <w:pPr>
        <w:ind w:left="720" w:hanging="720"/>
      </w:pPr>
    </w:p>
    <w:p w:rsidR="00D829AF" w:rsidRPr="0011646B" w:rsidP="00E31042" w14:paraId="3DD7EA67" w14:textId="2D6A263F">
      <w:pPr>
        <w:rPr>
          <w:b/>
          <w:bCs/>
        </w:rPr>
      </w:pPr>
      <w:r w:rsidRPr="0011646B">
        <w:t xml:space="preserve">No such approval is sought. The OMB survey number and expiration date will be displayed on the initial recruitment </w:t>
      </w:r>
      <w:r w:rsidRPr="0011646B" w:rsidR="00601778">
        <w:t xml:space="preserve">documents, </w:t>
      </w:r>
      <w:r w:rsidRPr="0011646B" w:rsidR="00E31042">
        <w:t>informed consent</w:t>
      </w:r>
      <w:r w:rsidRPr="0011646B" w:rsidR="00F9060A">
        <w:t>s</w:t>
      </w:r>
      <w:r w:rsidRPr="0011646B" w:rsidR="00601778">
        <w:t>, and the caregiver questionnaire</w:t>
      </w:r>
      <w:r w:rsidRPr="0011646B" w:rsidR="00E31042">
        <w:t>.</w:t>
      </w:r>
    </w:p>
    <w:p w:rsidR="00D829AF" w:rsidRPr="0011646B" w:rsidP="00D829AF" w14:paraId="3DD7EA68" w14:textId="35DD6D87"/>
    <w:p w:rsidR="00EA721E" w:rsidRPr="000D0FF4" w:rsidP="00D829AF" w14:paraId="0ABFAF89" w14:textId="77777777"/>
    <w:p w:rsidR="00D829AF" w:rsidRPr="000D0FF4" w:rsidP="00D829AF" w14:paraId="3DD7EA69" w14:textId="77777777">
      <w:pPr>
        <w:pStyle w:val="Heading2"/>
        <w:rPr>
          <w:rFonts w:cs="Times New Roman"/>
        </w:rPr>
      </w:pPr>
      <w:bookmarkStart w:id="17" w:name="_Toc267035209"/>
      <w:r w:rsidRPr="000D0FF4">
        <w:rPr>
          <w:rFonts w:cs="Times New Roman"/>
        </w:rPr>
        <w:t>A.18.</w:t>
      </w:r>
      <w:r w:rsidRPr="000D0FF4">
        <w:rPr>
          <w:rFonts w:cs="Times New Roman"/>
        </w:rPr>
        <w:tab/>
        <w:t>Explain each exception to the certification statement identified in Item 19, Certification for Paperwork Reduction Act Submissions,” of OMB Form 83-1.</w:t>
      </w:r>
      <w:bookmarkEnd w:id="17"/>
    </w:p>
    <w:p w:rsidR="00D829AF" w:rsidRPr="000D0FF4" w:rsidP="00D829AF" w14:paraId="3DD7EA6A" w14:textId="77777777">
      <w:pPr>
        <w:widowControl w:val="0"/>
        <w:jc w:val="both"/>
      </w:pPr>
    </w:p>
    <w:p w:rsidR="002F55B8" w:rsidP="00D829AF" w14:paraId="3DD7EA6B" w14:textId="0DB949A0">
      <w:pPr>
        <w:widowControl w:val="0"/>
        <w:jc w:val="both"/>
      </w:pPr>
      <w:r w:rsidRPr="005E0FB7">
        <w:t>No exceptions to the certification statement are made.</w:t>
      </w:r>
    </w:p>
    <w:p w:rsidR="00672FF2" w:rsidP="008A48FA" w14:paraId="26F42F17" w14:textId="4D629449">
      <w:pPr>
        <w:autoSpaceDE/>
        <w:autoSpaceDN/>
        <w:adjustRightInd/>
        <w:spacing w:after="200" w:line="276" w:lineRule="auto"/>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E86" w14:paraId="3DD7EA70" w14:textId="06E966EE">
    <w:pPr>
      <w:pStyle w:val="Footer"/>
      <w:jc w:val="center"/>
    </w:pPr>
    <w:r>
      <w:fldChar w:fldCharType="begin"/>
    </w:r>
    <w:r>
      <w:instrText xml:space="preserve"> PAGE   \* MERGEFORMAT </w:instrText>
    </w:r>
    <w:r>
      <w:fldChar w:fldCharType="separate"/>
    </w:r>
    <w:r>
      <w:rPr>
        <w:noProof/>
      </w:rPr>
      <w:t>5</w:t>
    </w:r>
    <w:r>
      <w:rPr>
        <w:noProof/>
      </w:rPr>
      <w:fldChar w:fldCharType="end"/>
    </w:r>
  </w:p>
  <w:p w:rsidR="00281E86" w:rsidP="006447F6" w14:paraId="3DD7EA71" w14:textId="77777777">
    <w:pP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E86" w:rsidP="00D829AF" w14:paraId="628F1B71" w14:textId="77777777">
      <w:r>
        <w:separator/>
      </w:r>
    </w:p>
  </w:footnote>
  <w:footnote w:type="continuationSeparator" w:id="1">
    <w:p w:rsidR="00281E86" w:rsidP="00D829AF" w14:paraId="1190F9C2" w14:textId="77777777">
      <w:r>
        <w:continuationSeparator/>
      </w:r>
    </w:p>
  </w:footnote>
  <w:footnote w:id="2">
    <w:p w:rsidR="00281E86" w14:paraId="16C546E8" w14:textId="5D03265D">
      <w:pPr>
        <w:pStyle w:val="FootnoteText"/>
      </w:pPr>
      <w:r>
        <w:rPr>
          <w:rStyle w:val="FootnoteReference"/>
        </w:rPr>
        <w:footnoteRef/>
      </w:r>
      <w:r>
        <w:t xml:space="preserve"> </w:t>
      </w:r>
      <w:r w:rsidRPr="00C232B4">
        <w:rPr>
          <w:sz w:val="18"/>
          <w:szCs w:val="18"/>
        </w:rPr>
        <w:t xml:space="preserve">The Consumer Product Safety Commission: </w:t>
      </w:r>
      <w:hyperlink r:id="rId1" w:history="1">
        <w:r w:rsidRPr="00723199">
          <w:rPr>
            <w:rStyle w:val="Hyperlink"/>
            <w:sz w:val="18"/>
            <w:szCs w:val="18"/>
          </w:rPr>
          <w:t>Toy-Related Deaths and Injuries, Calendar Year 202</w:t>
        </w:r>
        <w:r>
          <w:rPr>
            <w:rStyle w:val="Hyperlink"/>
            <w:sz w:val="18"/>
            <w:szCs w:val="18"/>
          </w:rPr>
          <w:t>1</w:t>
        </w:r>
        <w:r w:rsidRPr="00723199">
          <w:rPr>
            <w:rStyle w:val="Hyperlink"/>
            <w:sz w:val="18"/>
            <w:szCs w:val="18"/>
          </w:rPr>
          <w:t xml:space="preserve">. </w:t>
        </w:r>
        <w:r>
          <w:rPr>
            <w:rStyle w:val="Hyperlink"/>
            <w:sz w:val="18"/>
            <w:szCs w:val="18"/>
          </w:rPr>
          <w:t>November</w:t>
        </w:r>
        <w:r w:rsidRPr="00723199">
          <w:rPr>
            <w:rStyle w:val="Hyperlink"/>
            <w:sz w:val="18"/>
            <w:szCs w:val="18"/>
          </w:rPr>
          <w:t>, 202</w:t>
        </w:r>
        <w:r>
          <w:rPr>
            <w:rStyle w:val="Hyperlink"/>
            <w:sz w:val="18"/>
            <w:szCs w:val="18"/>
          </w:rPr>
          <w:t>2</w:t>
        </w:r>
        <w:r w:rsidRPr="00723199">
          <w:rPr>
            <w:rStyle w:val="Hyperlink"/>
            <w:sz w:val="18"/>
            <w:szCs w:val="18"/>
          </w:rPr>
          <w:t xml:space="preserve">: </w:t>
        </w:r>
      </w:hyperlink>
      <w:hyperlink r:id="rId2" w:history="1">
        <w:r>
          <w:rPr>
            <w:rStyle w:val="Hyperlink"/>
          </w:rPr>
          <w:t>Toy-Related Deaths and Injuries, Calendar Year 2021 (cpsc.gov)</w:t>
        </w:r>
      </w:hyperlink>
      <w:r>
        <w:rPr>
          <w:sz w:val="24"/>
          <w:szCs w:val="24"/>
        </w:rPr>
        <w:t xml:space="preserve"> </w:t>
      </w:r>
    </w:p>
  </w:footnote>
  <w:footnote w:id="3">
    <w:p w:rsidR="0082308A" w:rsidP="0082308A" w14:paraId="376273B3" w14:textId="77777777">
      <w:pPr>
        <w:pStyle w:val="FootnoteText"/>
        <w:rPr>
          <w:rFonts w:ascii="Calibri" w:hAnsi="Calibri" w:cs="Calibri"/>
        </w:rPr>
      </w:pPr>
      <w:r>
        <w:rPr>
          <w:rStyle w:val="FootnoteReference"/>
        </w:rPr>
        <w:footnoteRef/>
      </w:r>
      <w:r>
        <w:t xml:space="preserve"> </w:t>
      </w:r>
      <w:hyperlink r:id="rId3" w:history="1">
        <w:r>
          <w:rPr>
            <w:rStyle w:val="Hyperlink"/>
          </w:rPr>
          <w:t>https://www.opm.gov/policy-data-oversight/pay-leave/salaries-wages/salary-tables/pdf/2023/DCB.pdf</w:t>
        </w:r>
      </w:hyperlink>
    </w:p>
    <w:p w:rsidR="0082308A" w14:paraId="2805B296" w14:textId="56FD58AB">
      <w:pPr>
        <w:pStyle w:val="FootnoteText"/>
      </w:pPr>
    </w:p>
  </w:footnote>
  <w:footnote w:id="4">
    <w:p w:rsidR="0082308A" w14:paraId="3C3F08B5" w14:textId="72DD2CC1">
      <w:pPr>
        <w:pStyle w:val="FootnoteText"/>
      </w:pPr>
      <w:r>
        <w:rPr>
          <w:rStyle w:val="FootnoteReference"/>
        </w:rPr>
        <w:footnoteRef/>
      </w:r>
      <w:r>
        <w:t xml:space="preserve"> </w:t>
      </w:r>
      <w:hyperlink r:id="rId4" w:history="1">
        <w:r>
          <w:rPr>
            <w:rStyle w:val="Hyperlink"/>
          </w:rPr>
          <w:t>https://</w:t>
        </w:r>
        <w:r>
          <w:rPr>
            <w:rStyle w:val="Hyperlink"/>
          </w:rPr>
          <w:t>www.bls.gov</w:t>
        </w:r>
        <w:r>
          <w:rPr>
            <w:rStyle w:val="Hyperlink"/>
          </w:rPr>
          <w:t>/</w:t>
        </w:r>
        <w:r>
          <w:rPr>
            <w:rStyle w:val="Hyperlink"/>
          </w:rPr>
          <w:t>news.release</w:t>
        </w:r>
        <w:r>
          <w:rPr>
            <w:rStyle w:val="Hyperlink"/>
          </w:rPr>
          <w:t>/archives/</w:t>
        </w:r>
        <w:r>
          <w:rPr>
            <w:rStyle w:val="Hyperlink"/>
          </w:rPr>
          <w:t>ecec_06162023.pdf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157"/>
    <w:multiLevelType w:val="hybridMultilevel"/>
    <w:tmpl w:val="70FE26B4"/>
    <w:lvl w:ilvl="0">
      <w:start w:val="87"/>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071C3"/>
    <w:multiLevelType w:val="hybridMultilevel"/>
    <w:tmpl w:val="27787F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0718AE"/>
    <w:multiLevelType w:val="hybridMultilevel"/>
    <w:tmpl w:val="F6A0D994"/>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D3F5DBF"/>
    <w:multiLevelType w:val="hybridMultilevel"/>
    <w:tmpl w:val="8DAA4EE2"/>
    <w:lvl w:ilvl="0">
      <w:start w:val="1"/>
      <w:numFmt w:val="decimal"/>
      <w:lvlText w:val="%1."/>
      <w:lvlJc w:val="left"/>
      <w:pPr>
        <w:ind w:left="720" w:hanging="360"/>
      </w:pPr>
      <w:rPr>
        <w:rFonts w:hint="default"/>
        <w:b/>
        <w:i w:val="0"/>
        <w:sz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hybridMultilevel"/>
    <w:tmpl w:val="A1604D32"/>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663A18"/>
    <w:multiLevelType w:val="hybridMultilevel"/>
    <w:tmpl w:val="5C7091AA"/>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01929"/>
    <w:multiLevelType w:val="hybridMultilevel"/>
    <w:tmpl w:val="F8BE14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15C30A83"/>
    <w:multiLevelType w:val="hybridMultilevel"/>
    <w:tmpl w:val="102E10A0"/>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1F2E4DE9"/>
    <w:multiLevelType w:val="hybridMultilevel"/>
    <w:tmpl w:val="62CC8C0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EB01BE"/>
    <w:multiLevelType w:val="hybridMultilevel"/>
    <w:tmpl w:val="118EC3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1EA484C"/>
    <w:multiLevelType w:val="hybridMultilevel"/>
    <w:tmpl w:val="96A0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67EF5"/>
    <w:multiLevelType w:val="hybridMultilevel"/>
    <w:tmpl w:val="A02098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6378C"/>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664894"/>
    <w:multiLevelType w:val="hybridMultilevel"/>
    <w:tmpl w:val="5852A9E0"/>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80318D5"/>
    <w:multiLevelType w:val="hybridMultilevel"/>
    <w:tmpl w:val="B2A8663A"/>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526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F93352"/>
    <w:multiLevelType w:val="hybridMultilevel"/>
    <w:tmpl w:val="9A7E82A8"/>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80E74"/>
    <w:multiLevelType w:val="hybridMultilevel"/>
    <w:tmpl w:val="3AC87F24"/>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8581B47"/>
    <w:multiLevelType w:val="hybridMultilevel"/>
    <w:tmpl w:val="2B500ADE"/>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rFonts w:asciiTheme="minorHAnsi" w:hAnsiTheme="minorHAnsi" w:cstheme="minorHAnsi"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9266A3D"/>
    <w:multiLevelType w:val="hybridMultilevel"/>
    <w:tmpl w:val="DD965CE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498F2653"/>
    <w:multiLevelType w:val="hybridMultilevel"/>
    <w:tmpl w:val="CED666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544B6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ACE129F"/>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E96CC3"/>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D78372E"/>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E566BF9"/>
    <w:multiLevelType w:val="hybridMultilevel"/>
    <w:tmpl w:val="D7B6F766"/>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14912E2"/>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B42222"/>
    <w:multiLevelType w:val="hybridMultilevel"/>
    <w:tmpl w:val="55483CBE"/>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5368131E"/>
    <w:multiLevelType w:val="hybridMultilevel"/>
    <w:tmpl w:val="2C7ABAC8"/>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027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454B95"/>
    <w:multiLevelType w:val="hybridMultilevel"/>
    <w:tmpl w:val="23525C3E"/>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595E2A18"/>
    <w:multiLevelType w:val="hybridMultilevel"/>
    <w:tmpl w:val="CFCC4FF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C2121EF"/>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DB5565"/>
    <w:multiLevelType w:val="hybridMultilevel"/>
    <w:tmpl w:val="23525C3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5F8236FC"/>
    <w:multiLevelType w:val="hybridMultilevel"/>
    <w:tmpl w:val="34C0161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09B5CBD"/>
    <w:multiLevelType w:val="hybridMultilevel"/>
    <w:tmpl w:val="ABF08AB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1E26504"/>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E46E57"/>
    <w:multiLevelType w:val="hybridMultilevel"/>
    <w:tmpl w:val="C3063860"/>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1">
    <w:nsid w:val="6B196010"/>
    <w:multiLevelType w:val="hybridMultilevel"/>
    <w:tmpl w:val="0FDEF458"/>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6BBD05A9"/>
    <w:multiLevelType w:val="hybridMultilevel"/>
    <w:tmpl w:val="ABF08AB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6BDC160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6E5F0F2E"/>
    <w:multiLevelType w:val="hybridMultilevel"/>
    <w:tmpl w:val="0C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E4240"/>
    <w:multiLevelType w:val="hybridMultilevel"/>
    <w:tmpl w:val="26CE2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2857970">
    <w:abstractNumId w:val="12"/>
  </w:num>
  <w:num w:numId="2" w16cid:durableId="993147563">
    <w:abstractNumId w:val="34"/>
  </w:num>
  <w:num w:numId="3" w16cid:durableId="1361735921">
    <w:abstractNumId w:val="45"/>
  </w:num>
  <w:num w:numId="4" w16cid:durableId="723061537">
    <w:abstractNumId w:val="16"/>
  </w:num>
  <w:num w:numId="5" w16cid:durableId="710768412">
    <w:abstractNumId w:val="4"/>
  </w:num>
  <w:num w:numId="6" w16cid:durableId="2031174997">
    <w:abstractNumId w:val="1"/>
  </w:num>
  <w:num w:numId="7" w16cid:durableId="1988127530">
    <w:abstractNumId w:val="11"/>
  </w:num>
  <w:num w:numId="8" w16cid:durableId="1802844467">
    <w:abstractNumId w:val="10"/>
  </w:num>
  <w:num w:numId="9" w16cid:durableId="948395503">
    <w:abstractNumId w:val="23"/>
  </w:num>
  <w:num w:numId="10" w16cid:durableId="1170413828">
    <w:abstractNumId w:val="44"/>
  </w:num>
  <w:num w:numId="11" w16cid:durableId="1008600918">
    <w:abstractNumId w:val="15"/>
  </w:num>
  <w:num w:numId="12" w16cid:durableId="314140903">
    <w:abstractNumId w:val="8"/>
  </w:num>
  <w:num w:numId="13" w16cid:durableId="2121021224">
    <w:abstractNumId w:val="3"/>
  </w:num>
  <w:num w:numId="14" w16cid:durableId="1403675937">
    <w:abstractNumId w:val="31"/>
  </w:num>
  <w:num w:numId="15" w16cid:durableId="1226449373">
    <w:abstractNumId w:val="6"/>
  </w:num>
  <w:num w:numId="16" w16cid:durableId="1764565274">
    <w:abstractNumId w:val="21"/>
  </w:num>
  <w:num w:numId="17" w16cid:durableId="224990942">
    <w:abstractNumId w:val="42"/>
  </w:num>
  <w:num w:numId="18" w16cid:durableId="81069651">
    <w:abstractNumId w:val="39"/>
  </w:num>
  <w:num w:numId="19" w16cid:durableId="988481651">
    <w:abstractNumId w:val="32"/>
  </w:num>
  <w:num w:numId="20" w16cid:durableId="1545554094">
    <w:abstractNumId w:val="35"/>
  </w:num>
  <w:num w:numId="21" w16cid:durableId="1699355103">
    <w:abstractNumId w:val="9"/>
  </w:num>
  <w:num w:numId="22" w16cid:durableId="77754354">
    <w:abstractNumId w:val="41"/>
  </w:num>
  <w:num w:numId="23" w16cid:durableId="1794907090">
    <w:abstractNumId w:val="37"/>
  </w:num>
  <w:num w:numId="24" w16cid:durableId="813958486">
    <w:abstractNumId w:val="22"/>
  </w:num>
  <w:num w:numId="25" w16cid:durableId="802307350">
    <w:abstractNumId w:val="2"/>
  </w:num>
  <w:num w:numId="26" w16cid:durableId="71851532">
    <w:abstractNumId w:val="7"/>
  </w:num>
  <w:num w:numId="27" w16cid:durableId="1447575668">
    <w:abstractNumId w:val="29"/>
  </w:num>
  <w:num w:numId="28" w16cid:durableId="1919365390">
    <w:abstractNumId w:val="17"/>
  </w:num>
  <w:num w:numId="29" w16cid:durableId="811289908">
    <w:abstractNumId w:val="18"/>
  </w:num>
  <w:num w:numId="30" w16cid:durableId="1290554348">
    <w:abstractNumId w:val="20"/>
  </w:num>
  <w:num w:numId="31" w16cid:durableId="1589148244">
    <w:abstractNumId w:val="38"/>
  </w:num>
  <w:num w:numId="32" w16cid:durableId="1253271536">
    <w:abstractNumId w:val="14"/>
  </w:num>
  <w:num w:numId="33" w16cid:durableId="1870727299">
    <w:abstractNumId w:val="40"/>
  </w:num>
  <w:num w:numId="34" w16cid:durableId="1329870642">
    <w:abstractNumId w:val="25"/>
  </w:num>
  <w:num w:numId="35" w16cid:durableId="1600211092">
    <w:abstractNumId w:val="30"/>
  </w:num>
  <w:num w:numId="36" w16cid:durableId="1907109840">
    <w:abstractNumId w:val="0"/>
  </w:num>
  <w:num w:numId="37" w16cid:durableId="1066609311">
    <w:abstractNumId w:val="27"/>
  </w:num>
  <w:num w:numId="38" w16cid:durableId="2126847423">
    <w:abstractNumId w:val="13"/>
  </w:num>
  <w:num w:numId="39" w16cid:durableId="1254512584">
    <w:abstractNumId w:val="33"/>
  </w:num>
  <w:num w:numId="40" w16cid:durableId="1402365730">
    <w:abstractNumId w:val="26"/>
  </w:num>
  <w:num w:numId="41" w16cid:durableId="1384988201">
    <w:abstractNumId w:val="36"/>
  </w:num>
  <w:num w:numId="42" w16cid:durableId="1983657507">
    <w:abstractNumId w:val="43"/>
  </w:num>
  <w:num w:numId="43" w16cid:durableId="1409229977">
    <w:abstractNumId w:val="24"/>
  </w:num>
  <w:num w:numId="44" w16cid:durableId="1377508793">
    <w:abstractNumId w:val="28"/>
  </w:num>
  <w:num w:numId="45" w16cid:durableId="1107890211">
    <w:abstractNumId w:val="19"/>
  </w:num>
  <w:num w:numId="46" w16cid:durableId="155492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AF"/>
    <w:rsid w:val="00001987"/>
    <w:rsid w:val="00014956"/>
    <w:rsid w:val="00016269"/>
    <w:rsid w:val="0002663F"/>
    <w:rsid w:val="000331C4"/>
    <w:rsid w:val="000362B7"/>
    <w:rsid w:val="00036327"/>
    <w:rsid w:val="00053246"/>
    <w:rsid w:val="00054E94"/>
    <w:rsid w:val="0005632B"/>
    <w:rsid w:val="00061D26"/>
    <w:rsid w:val="0006360D"/>
    <w:rsid w:val="00073432"/>
    <w:rsid w:val="00075F5F"/>
    <w:rsid w:val="0007655F"/>
    <w:rsid w:val="00076F10"/>
    <w:rsid w:val="00077489"/>
    <w:rsid w:val="00081F72"/>
    <w:rsid w:val="000847C7"/>
    <w:rsid w:val="000B6D3B"/>
    <w:rsid w:val="000C092E"/>
    <w:rsid w:val="000C64D2"/>
    <w:rsid w:val="000D09E1"/>
    <w:rsid w:val="000D0FF4"/>
    <w:rsid w:val="000D1BE1"/>
    <w:rsid w:val="000D1EE7"/>
    <w:rsid w:val="000D7FB2"/>
    <w:rsid w:val="000E0397"/>
    <w:rsid w:val="000E1429"/>
    <w:rsid w:val="000E5219"/>
    <w:rsid w:val="000E7663"/>
    <w:rsid w:val="000F5A34"/>
    <w:rsid w:val="00102F0D"/>
    <w:rsid w:val="001044E5"/>
    <w:rsid w:val="00110956"/>
    <w:rsid w:val="0011646B"/>
    <w:rsid w:val="001317C2"/>
    <w:rsid w:val="0013486A"/>
    <w:rsid w:val="001427A5"/>
    <w:rsid w:val="0014533B"/>
    <w:rsid w:val="00145E6F"/>
    <w:rsid w:val="00151FAD"/>
    <w:rsid w:val="001579FA"/>
    <w:rsid w:val="001626BE"/>
    <w:rsid w:val="001712E8"/>
    <w:rsid w:val="00171A81"/>
    <w:rsid w:val="00172876"/>
    <w:rsid w:val="0017450D"/>
    <w:rsid w:val="001753CF"/>
    <w:rsid w:val="001776DD"/>
    <w:rsid w:val="001826AD"/>
    <w:rsid w:val="00182D72"/>
    <w:rsid w:val="00183706"/>
    <w:rsid w:val="001872F1"/>
    <w:rsid w:val="00190F4D"/>
    <w:rsid w:val="001927B9"/>
    <w:rsid w:val="0019449A"/>
    <w:rsid w:val="001A42FC"/>
    <w:rsid w:val="001A4931"/>
    <w:rsid w:val="001B0942"/>
    <w:rsid w:val="001B5D27"/>
    <w:rsid w:val="001D021B"/>
    <w:rsid w:val="001D3881"/>
    <w:rsid w:val="001D5DF9"/>
    <w:rsid w:val="001D7152"/>
    <w:rsid w:val="001E2C72"/>
    <w:rsid w:val="001E3AE5"/>
    <w:rsid w:val="001E79E9"/>
    <w:rsid w:val="001F1190"/>
    <w:rsid w:val="002029F7"/>
    <w:rsid w:val="002070DB"/>
    <w:rsid w:val="0021658B"/>
    <w:rsid w:val="002166B3"/>
    <w:rsid w:val="00220A4C"/>
    <w:rsid w:val="002217EE"/>
    <w:rsid w:val="002250A0"/>
    <w:rsid w:val="00234ADC"/>
    <w:rsid w:val="00242F3A"/>
    <w:rsid w:val="00267F62"/>
    <w:rsid w:val="00273A77"/>
    <w:rsid w:val="00281E86"/>
    <w:rsid w:val="0028649C"/>
    <w:rsid w:val="00293D88"/>
    <w:rsid w:val="00295D0D"/>
    <w:rsid w:val="002A0268"/>
    <w:rsid w:val="002A473A"/>
    <w:rsid w:val="002A6CE3"/>
    <w:rsid w:val="002A6ECF"/>
    <w:rsid w:val="002C4AA8"/>
    <w:rsid w:val="002C7C55"/>
    <w:rsid w:val="002D092E"/>
    <w:rsid w:val="002D59A3"/>
    <w:rsid w:val="002E686D"/>
    <w:rsid w:val="002F1F80"/>
    <w:rsid w:val="002F3568"/>
    <w:rsid w:val="002F3D91"/>
    <w:rsid w:val="002F4EE4"/>
    <w:rsid w:val="002F55B8"/>
    <w:rsid w:val="002F6132"/>
    <w:rsid w:val="002F6778"/>
    <w:rsid w:val="00310170"/>
    <w:rsid w:val="00310454"/>
    <w:rsid w:val="00322D75"/>
    <w:rsid w:val="003239A9"/>
    <w:rsid w:val="00324E38"/>
    <w:rsid w:val="00325DCE"/>
    <w:rsid w:val="00326C4D"/>
    <w:rsid w:val="003361A6"/>
    <w:rsid w:val="003364D7"/>
    <w:rsid w:val="00342643"/>
    <w:rsid w:val="00346DFB"/>
    <w:rsid w:val="00364D71"/>
    <w:rsid w:val="00365AD3"/>
    <w:rsid w:val="00380928"/>
    <w:rsid w:val="0038665E"/>
    <w:rsid w:val="00397CD8"/>
    <w:rsid w:val="003A1DB9"/>
    <w:rsid w:val="003B0B8E"/>
    <w:rsid w:val="003B564A"/>
    <w:rsid w:val="003C2511"/>
    <w:rsid w:val="003D0AA8"/>
    <w:rsid w:val="003D495F"/>
    <w:rsid w:val="003E167D"/>
    <w:rsid w:val="003E51E6"/>
    <w:rsid w:val="003F0726"/>
    <w:rsid w:val="003F161F"/>
    <w:rsid w:val="003F4A99"/>
    <w:rsid w:val="003F7198"/>
    <w:rsid w:val="00402586"/>
    <w:rsid w:val="00404DA7"/>
    <w:rsid w:val="004208B9"/>
    <w:rsid w:val="0042241F"/>
    <w:rsid w:val="004359FB"/>
    <w:rsid w:val="00436D66"/>
    <w:rsid w:val="0044057A"/>
    <w:rsid w:val="00441EB1"/>
    <w:rsid w:val="00444A05"/>
    <w:rsid w:val="00444C1B"/>
    <w:rsid w:val="004620AA"/>
    <w:rsid w:val="00463464"/>
    <w:rsid w:val="004702D6"/>
    <w:rsid w:val="00472295"/>
    <w:rsid w:val="00480BBC"/>
    <w:rsid w:val="00484C53"/>
    <w:rsid w:val="004A04FB"/>
    <w:rsid w:val="004A0D07"/>
    <w:rsid w:val="004A4465"/>
    <w:rsid w:val="004A486C"/>
    <w:rsid w:val="004B47CA"/>
    <w:rsid w:val="004C1642"/>
    <w:rsid w:val="004C2741"/>
    <w:rsid w:val="004C44BF"/>
    <w:rsid w:val="004D004C"/>
    <w:rsid w:val="004D632F"/>
    <w:rsid w:val="004D638D"/>
    <w:rsid w:val="004D696C"/>
    <w:rsid w:val="004E0415"/>
    <w:rsid w:val="00500113"/>
    <w:rsid w:val="00501690"/>
    <w:rsid w:val="005061EF"/>
    <w:rsid w:val="00516DFC"/>
    <w:rsid w:val="00522ACA"/>
    <w:rsid w:val="005264F8"/>
    <w:rsid w:val="005374F0"/>
    <w:rsid w:val="005459FE"/>
    <w:rsid w:val="00546D63"/>
    <w:rsid w:val="00546EBC"/>
    <w:rsid w:val="00563089"/>
    <w:rsid w:val="005644E3"/>
    <w:rsid w:val="005702A8"/>
    <w:rsid w:val="00581A1E"/>
    <w:rsid w:val="00590F85"/>
    <w:rsid w:val="00592CBA"/>
    <w:rsid w:val="005A733F"/>
    <w:rsid w:val="005B3318"/>
    <w:rsid w:val="005B3F94"/>
    <w:rsid w:val="005D0652"/>
    <w:rsid w:val="005E0121"/>
    <w:rsid w:val="005E0FB7"/>
    <w:rsid w:val="005E43E7"/>
    <w:rsid w:val="005E565E"/>
    <w:rsid w:val="005F1151"/>
    <w:rsid w:val="005F2D9A"/>
    <w:rsid w:val="00601778"/>
    <w:rsid w:val="00612D27"/>
    <w:rsid w:val="00616B6E"/>
    <w:rsid w:val="00625FEC"/>
    <w:rsid w:val="006261E3"/>
    <w:rsid w:val="00630EA9"/>
    <w:rsid w:val="00631844"/>
    <w:rsid w:val="0063284B"/>
    <w:rsid w:val="00633A4C"/>
    <w:rsid w:val="00633F13"/>
    <w:rsid w:val="00635C35"/>
    <w:rsid w:val="00636E68"/>
    <w:rsid w:val="00642AD1"/>
    <w:rsid w:val="006447F6"/>
    <w:rsid w:val="006611F1"/>
    <w:rsid w:val="00670611"/>
    <w:rsid w:val="00671292"/>
    <w:rsid w:val="00672FF2"/>
    <w:rsid w:val="006730CB"/>
    <w:rsid w:val="006741ED"/>
    <w:rsid w:val="00676D06"/>
    <w:rsid w:val="00683A5F"/>
    <w:rsid w:val="006A0CC0"/>
    <w:rsid w:val="006A3154"/>
    <w:rsid w:val="006A3B9C"/>
    <w:rsid w:val="006B4536"/>
    <w:rsid w:val="006B5050"/>
    <w:rsid w:val="006B6C7C"/>
    <w:rsid w:val="006C3DF0"/>
    <w:rsid w:val="006D25DE"/>
    <w:rsid w:val="006D5B30"/>
    <w:rsid w:val="006E1711"/>
    <w:rsid w:val="006E1A22"/>
    <w:rsid w:val="006F1219"/>
    <w:rsid w:val="006F13A3"/>
    <w:rsid w:val="006F3850"/>
    <w:rsid w:val="006F6A85"/>
    <w:rsid w:val="00723199"/>
    <w:rsid w:val="00725626"/>
    <w:rsid w:val="00726AA6"/>
    <w:rsid w:val="00735E3E"/>
    <w:rsid w:val="0073613A"/>
    <w:rsid w:val="007415C7"/>
    <w:rsid w:val="00742FD2"/>
    <w:rsid w:val="007434A6"/>
    <w:rsid w:val="007436FC"/>
    <w:rsid w:val="00745573"/>
    <w:rsid w:val="007509C8"/>
    <w:rsid w:val="007623BE"/>
    <w:rsid w:val="00773976"/>
    <w:rsid w:val="007776F2"/>
    <w:rsid w:val="00782938"/>
    <w:rsid w:val="007847A9"/>
    <w:rsid w:val="00786DE5"/>
    <w:rsid w:val="007909ED"/>
    <w:rsid w:val="007A5DDB"/>
    <w:rsid w:val="007B7608"/>
    <w:rsid w:val="007C44BF"/>
    <w:rsid w:val="007E07A2"/>
    <w:rsid w:val="007E419D"/>
    <w:rsid w:val="007F0A45"/>
    <w:rsid w:val="007F0D06"/>
    <w:rsid w:val="007F0E08"/>
    <w:rsid w:val="007F154C"/>
    <w:rsid w:val="007F28AD"/>
    <w:rsid w:val="007F76DC"/>
    <w:rsid w:val="0081628A"/>
    <w:rsid w:val="00820384"/>
    <w:rsid w:val="0082101E"/>
    <w:rsid w:val="0082308A"/>
    <w:rsid w:val="00840365"/>
    <w:rsid w:val="0084051D"/>
    <w:rsid w:val="00844EC6"/>
    <w:rsid w:val="00845A0A"/>
    <w:rsid w:val="008571F4"/>
    <w:rsid w:val="00867528"/>
    <w:rsid w:val="008742D2"/>
    <w:rsid w:val="0087779F"/>
    <w:rsid w:val="008954FB"/>
    <w:rsid w:val="00896F34"/>
    <w:rsid w:val="008A0B2A"/>
    <w:rsid w:val="008A3808"/>
    <w:rsid w:val="008A48FA"/>
    <w:rsid w:val="008A657D"/>
    <w:rsid w:val="008B598B"/>
    <w:rsid w:val="008C2343"/>
    <w:rsid w:val="008C6688"/>
    <w:rsid w:val="008E52A7"/>
    <w:rsid w:val="008F0715"/>
    <w:rsid w:val="008F180C"/>
    <w:rsid w:val="008F554E"/>
    <w:rsid w:val="008F57EF"/>
    <w:rsid w:val="0090582B"/>
    <w:rsid w:val="009061A2"/>
    <w:rsid w:val="009152C5"/>
    <w:rsid w:val="00921D78"/>
    <w:rsid w:val="009226CC"/>
    <w:rsid w:val="009256BC"/>
    <w:rsid w:val="00927655"/>
    <w:rsid w:val="00930B7C"/>
    <w:rsid w:val="00937C00"/>
    <w:rsid w:val="00946D84"/>
    <w:rsid w:val="00947578"/>
    <w:rsid w:val="0095507D"/>
    <w:rsid w:val="009576E4"/>
    <w:rsid w:val="00965E23"/>
    <w:rsid w:val="0097117F"/>
    <w:rsid w:val="00986BC6"/>
    <w:rsid w:val="00990D3C"/>
    <w:rsid w:val="00994218"/>
    <w:rsid w:val="00994E8E"/>
    <w:rsid w:val="009B21AE"/>
    <w:rsid w:val="009B4D58"/>
    <w:rsid w:val="009B4F33"/>
    <w:rsid w:val="009D2FD9"/>
    <w:rsid w:val="009D34A9"/>
    <w:rsid w:val="009E0C2F"/>
    <w:rsid w:val="009E135C"/>
    <w:rsid w:val="009F15AA"/>
    <w:rsid w:val="009F1B49"/>
    <w:rsid w:val="009F51E6"/>
    <w:rsid w:val="00A01008"/>
    <w:rsid w:val="00A02798"/>
    <w:rsid w:val="00A030DB"/>
    <w:rsid w:val="00A05A72"/>
    <w:rsid w:val="00A11BE8"/>
    <w:rsid w:val="00A13B6A"/>
    <w:rsid w:val="00A14E45"/>
    <w:rsid w:val="00A16C16"/>
    <w:rsid w:val="00A2153B"/>
    <w:rsid w:val="00A334AC"/>
    <w:rsid w:val="00A3366A"/>
    <w:rsid w:val="00A40D16"/>
    <w:rsid w:val="00A514B2"/>
    <w:rsid w:val="00A55A83"/>
    <w:rsid w:val="00A569B6"/>
    <w:rsid w:val="00A65873"/>
    <w:rsid w:val="00A723AE"/>
    <w:rsid w:val="00A74742"/>
    <w:rsid w:val="00A76581"/>
    <w:rsid w:val="00A96BC5"/>
    <w:rsid w:val="00AA01BB"/>
    <w:rsid w:val="00AA7962"/>
    <w:rsid w:val="00AB0085"/>
    <w:rsid w:val="00AB08FF"/>
    <w:rsid w:val="00AC333E"/>
    <w:rsid w:val="00AD326A"/>
    <w:rsid w:val="00AF17A3"/>
    <w:rsid w:val="00AF543F"/>
    <w:rsid w:val="00AF7745"/>
    <w:rsid w:val="00B000A8"/>
    <w:rsid w:val="00B25AA6"/>
    <w:rsid w:val="00B26B8A"/>
    <w:rsid w:val="00B30281"/>
    <w:rsid w:val="00B43A73"/>
    <w:rsid w:val="00B441C2"/>
    <w:rsid w:val="00B46A52"/>
    <w:rsid w:val="00B53B29"/>
    <w:rsid w:val="00B61502"/>
    <w:rsid w:val="00B64017"/>
    <w:rsid w:val="00B64468"/>
    <w:rsid w:val="00B72E7C"/>
    <w:rsid w:val="00B913B6"/>
    <w:rsid w:val="00B946AB"/>
    <w:rsid w:val="00BB1E51"/>
    <w:rsid w:val="00BD1BDF"/>
    <w:rsid w:val="00BD3438"/>
    <w:rsid w:val="00BE04BF"/>
    <w:rsid w:val="00BE4663"/>
    <w:rsid w:val="00BE4D5C"/>
    <w:rsid w:val="00BF2BF2"/>
    <w:rsid w:val="00BF33EF"/>
    <w:rsid w:val="00C00F3B"/>
    <w:rsid w:val="00C04C3D"/>
    <w:rsid w:val="00C05775"/>
    <w:rsid w:val="00C0782B"/>
    <w:rsid w:val="00C12326"/>
    <w:rsid w:val="00C232B4"/>
    <w:rsid w:val="00C240E7"/>
    <w:rsid w:val="00C311A9"/>
    <w:rsid w:val="00C40A4E"/>
    <w:rsid w:val="00C46191"/>
    <w:rsid w:val="00C7308D"/>
    <w:rsid w:val="00C80C09"/>
    <w:rsid w:val="00C811A2"/>
    <w:rsid w:val="00C87225"/>
    <w:rsid w:val="00C91B58"/>
    <w:rsid w:val="00C92CCE"/>
    <w:rsid w:val="00C93C9B"/>
    <w:rsid w:val="00C96336"/>
    <w:rsid w:val="00CA1259"/>
    <w:rsid w:val="00CA2338"/>
    <w:rsid w:val="00CA2DD9"/>
    <w:rsid w:val="00CA4623"/>
    <w:rsid w:val="00CA51D5"/>
    <w:rsid w:val="00CA6156"/>
    <w:rsid w:val="00CB07B8"/>
    <w:rsid w:val="00CB0CBE"/>
    <w:rsid w:val="00CB0CD7"/>
    <w:rsid w:val="00CB2A28"/>
    <w:rsid w:val="00CB4ACF"/>
    <w:rsid w:val="00CB6285"/>
    <w:rsid w:val="00CC158E"/>
    <w:rsid w:val="00CC319B"/>
    <w:rsid w:val="00CC4B36"/>
    <w:rsid w:val="00CC7879"/>
    <w:rsid w:val="00CD177F"/>
    <w:rsid w:val="00CD455E"/>
    <w:rsid w:val="00CF6F32"/>
    <w:rsid w:val="00D15BE3"/>
    <w:rsid w:val="00D16F14"/>
    <w:rsid w:val="00D31B9C"/>
    <w:rsid w:val="00D36ED3"/>
    <w:rsid w:val="00D414B9"/>
    <w:rsid w:val="00D46139"/>
    <w:rsid w:val="00D61400"/>
    <w:rsid w:val="00D725AD"/>
    <w:rsid w:val="00D73466"/>
    <w:rsid w:val="00D829AF"/>
    <w:rsid w:val="00D96EC6"/>
    <w:rsid w:val="00DC69CE"/>
    <w:rsid w:val="00DD6677"/>
    <w:rsid w:val="00DE519E"/>
    <w:rsid w:val="00DE6C8B"/>
    <w:rsid w:val="00DE7F19"/>
    <w:rsid w:val="00DF0709"/>
    <w:rsid w:val="00DF13CB"/>
    <w:rsid w:val="00DF4FE8"/>
    <w:rsid w:val="00E07E74"/>
    <w:rsid w:val="00E215FE"/>
    <w:rsid w:val="00E23545"/>
    <w:rsid w:val="00E31042"/>
    <w:rsid w:val="00E34398"/>
    <w:rsid w:val="00E352B1"/>
    <w:rsid w:val="00E42BFB"/>
    <w:rsid w:val="00E51AA0"/>
    <w:rsid w:val="00E57860"/>
    <w:rsid w:val="00E71A59"/>
    <w:rsid w:val="00E72C34"/>
    <w:rsid w:val="00E82C27"/>
    <w:rsid w:val="00E84DA3"/>
    <w:rsid w:val="00E865D1"/>
    <w:rsid w:val="00E90CB0"/>
    <w:rsid w:val="00EA1021"/>
    <w:rsid w:val="00EA44C6"/>
    <w:rsid w:val="00EA5B83"/>
    <w:rsid w:val="00EA721E"/>
    <w:rsid w:val="00EA72C2"/>
    <w:rsid w:val="00EB7211"/>
    <w:rsid w:val="00EC7A11"/>
    <w:rsid w:val="00ED1B87"/>
    <w:rsid w:val="00EE3D12"/>
    <w:rsid w:val="00EE6CF8"/>
    <w:rsid w:val="00EF3D09"/>
    <w:rsid w:val="00EF7A4F"/>
    <w:rsid w:val="00F06211"/>
    <w:rsid w:val="00F06D90"/>
    <w:rsid w:val="00F122B3"/>
    <w:rsid w:val="00F14BA6"/>
    <w:rsid w:val="00F25916"/>
    <w:rsid w:val="00F26730"/>
    <w:rsid w:val="00F3164E"/>
    <w:rsid w:val="00F42D8A"/>
    <w:rsid w:val="00F53ECB"/>
    <w:rsid w:val="00F549D7"/>
    <w:rsid w:val="00F60807"/>
    <w:rsid w:val="00F708EE"/>
    <w:rsid w:val="00F72519"/>
    <w:rsid w:val="00F77A04"/>
    <w:rsid w:val="00F9060A"/>
    <w:rsid w:val="00F9120A"/>
    <w:rsid w:val="00FA13D8"/>
    <w:rsid w:val="00FA53CF"/>
    <w:rsid w:val="00FA58A0"/>
    <w:rsid w:val="00FB3518"/>
    <w:rsid w:val="00FC3A59"/>
    <w:rsid w:val="00FC6694"/>
    <w:rsid w:val="00FC780A"/>
    <w:rsid w:val="00FD04AA"/>
    <w:rsid w:val="00FD1DC9"/>
    <w:rsid w:val="00FD2A2E"/>
    <w:rsid w:val="00FE472A"/>
    <w:rsid w:val="00FF2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E962"/>
  <w15:docId w15:val="{8664650E-8FEE-4F42-8A21-7596D8B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paragraph" w:styleId="Heading3">
    <w:name w:val="heading 3"/>
    <w:aliases w:val="H3-Sec. Head"/>
    <w:basedOn w:val="Normal"/>
    <w:next w:val="Normal"/>
    <w:link w:val="Heading3Char"/>
    <w:unhideWhenUsed/>
    <w:qFormat/>
    <w:rsid w:val="00B913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num" w:pos="576"/>
        <w:tab w:val="clear" w:pos="1152"/>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unhideWhenUsed/>
    <w:rsid w:val="00BE04BF"/>
    <w:rPr>
      <w:sz w:val="16"/>
      <w:szCs w:val="16"/>
    </w:rPr>
  </w:style>
  <w:style w:type="paragraph" w:styleId="CommentText">
    <w:name w:val="annotation text"/>
    <w:basedOn w:val="Normal"/>
    <w:link w:val="CommentTextChar"/>
    <w:uiPriority w:val="99"/>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aliases w:val="H1-Sec.Head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B913B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C7C5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C7C55"/>
    <w:rPr>
      <w:rFonts w:ascii="Times New Roman" w:eastAsia="Times New Roman" w:hAnsi="Times New Roman" w:cs="Times New Roman"/>
      <w:b/>
      <w:bCs/>
      <w:sz w:val="20"/>
      <w:szCs w:val="20"/>
    </w:rPr>
  </w:style>
  <w:style w:type="paragraph" w:styleId="NoSpacing">
    <w:name w:val="No Spacing"/>
    <w:uiPriority w:val="1"/>
    <w:qFormat/>
    <w:rsid w:val="005702A8"/>
    <w:pPr>
      <w:spacing w:after="0" w:line="240" w:lineRule="auto"/>
    </w:pPr>
    <w:rPr>
      <w:rFonts w:eastAsiaTheme="minorEastAsia"/>
    </w:rPr>
  </w:style>
  <w:style w:type="character" w:styleId="FollowedHyperlink">
    <w:name w:val="FollowedHyperlink"/>
    <w:basedOn w:val="DefaultParagraphFont"/>
    <w:uiPriority w:val="99"/>
    <w:semiHidden/>
    <w:unhideWhenUsed/>
    <w:rsid w:val="001D3881"/>
    <w:rPr>
      <w:color w:val="800080" w:themeColor="followedHyperlink"/>
      <w:u w:val="single"/>
    </w:rPr>
  </w:style>
  <w:style w:type="paragraph" w:styleId="Revision">
    <w:name w:val="Revision"/>
    <w:hidden/>
    <w:uiPriority w:val="99"/>
    <w:semiHidden/>
    <w:rsid w:val="00325DCE"/>
    <w:pPr>
      <w:spacing w:after="0" w:line="240" w:lineRule="auto"/>
    </w:pPr>
    <w:rPr>
      <w:rFonts w:ascii="Times New Roman" w:eastAsia="Times New Roman" w:hAnsi="Times New Roman" w:cs="Times New Roman"/>
      <w:sz w:val="24"/>
      <w:szCs w:val="24"/>
    </w:rPr>
  </w:style>
  <w:style w:type="paragraph" w:customStyle="1" w:styleId="SL-FlLftSgl">
    <w:name w:val="SL-Fl Lft Sgl"/>
    <w:rsid w:val="002F55B8"/>
    <w:pPr>
      <w:spacing w:after="0" w:line="240" w:lineRule="atLeast"/>
      <w:jc w:val="both"/>
    </w:pPr>
    <w:rPr>
      <w:rFonts w:ascii="Times New Roman" w:eastAsia="Times New Roman" w:hAnsi="Times New Roman" w:cs="Times New Roman"/>
      <w:szCs w:val="20"/>
    </w:rPr>
  </w:style>
  <w:style w:type="paragraph" w:styleId="BodyText2">
    <w:name w:val="Body Text 2"/>
    <w:basedOn w:val="Normal"/>
    <w:link w:val="BodyText2Char"/>
    <w:rsid w:val="002F55B8"/>
    <w:pPr>
      <w:autoSpaceDE/>
      <w:autoSpaceDN/>
      <w:adjustRightInd/>
      <w:spacing w:line="240" w:lineRule="atLeast"/>
    </w:pPr>
    <w:rPr>
      <w:sz w:val="22"/>
      <w:szCs w:val="22"/>
      <w:lang w:bidi="he-IL"/>
    </w:rPr>
  </w:style>
  <w:style w:type="character" w:customStyle="1" w:styleId="BodyText2Char">
    <w:name w:val="Body Text 2 Char"/>
    <w:basedOn w:val="DefaultParagraphFont"/>
    <w:link w:val="BodyText2"/>
    <w:rsid w:val="002F55B8"/>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va.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public/do/DownloadDocument?objectID=257667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file:///\\WESTAT.COM\DFS\CPSC_CHILDS_PLAY\OMB\Toy-Related%20Deaths%20and%20Injuries,%20Calendar%20Year%202020.%20July,%202021:%20https:\www.cpsc.gov\s3fs-public\Toy-Related-Deaths-and-Injuries-2019.pdf?v6yNSJjbr4hygVOEEUztk3cSm9pc8et0" TargetMode="External" /><Relationship Id="rId2" Type="http://schemas.openxmlformats.org/officeDocument/2006/relationships/hyperlink" Target="https://www.cpsc.gov/s3fs-public/Toy-Related-Deaths-and-Injuries-2020.pdf" TargetMode="External" /><Relationship Id="rId3" Type="http://schemas.openxmlformats.org/officeDocument/2006/relationships/hyperlink" Target="https://www.opm.gov/policy-data-oversight/pay-leave/salaries-wages/salary-tables/pdf/2023/DCB.pdf" TargetMode="External" /><Relationship Id="rId4" Type="http://schemas.openxmlformats.org/officeDocument/2006/relationships/hyperlink" Target="https://www.bls.gov/news.release/archives/ecec_0616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432AF69B29744BABD8D8AC940A935" ma:contentTypeVersion="18" ma:contentTypeDescription="Create a new document." ma:contentTypeScope="" ma:versionID="46ce2fd99cf93c4e8596d1ff2a0bf7bd">
  <xsd:schema xmlns:xsd="http://www.w3.org/2001/XMLSchema" xmlns:xs="http://www.w3.org/2001/XMLSchema" xmlns:p="http://schemas.microsoft.com/office/2006/metadata/properties" xmlns:ns1="http://schemas.microsoft.com/sharepoint/v3" xmlns:ns2="f10c586e-5cf7-4ce0-902a-0e4a3b8618bf" xmlns:ns3="5543a251-b5db-4dfb-8fc6-8121fead7242" xmlns:ns4="e26bce84-032d-4246-9689-426d14b10d21" targetNamespace="http://schemas.microsoft.com/office/2006/metadata/properties" ma:root="true" ma:fieldsID="da7b7dbee9a6e58ec061369a01d5077d" ns1:_="" ns2:_="" ns3:_="" ns4:_="">
    <xsd:import namespace="http://schemas.microsoft.com/sharepoint/v3"/>
    <xsd:import namespace="f10c586e-5cf7-4ce0-902a-0e4a3b8618bf"/>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586e-5cf7-4ce0-902a-0e4a3b861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c586e-5cf7-4ce0-902a-0e4a3b8618bf">
      <Terms xmlns="http://schemas.microsoft.com/office/infopath/2007/PartnerControls"/>
    </lcf76f155ced4ddcb4097134ff3c332f>
    <PublishingExpirationDate xmlns="http://schemas.microsoft.com/sharepoint/v3" xsi:nil="true"/>
    <PublishingStartDate xmlns="http://schemas.microsoft.com/sharepoint/v3" xsi:nil="true"/>
    <TaxCatchAll xmlns="e26bce84-032d-4246-9689-426d14b10d21" xsi:nil="true"/>
  </documentManagement>
</p:properties>
</file>

<file path=customXml/itemProps1.xml><?xml version="1.0" encoding="utf-8"?>
<ds:datastoreItem xmlns:ds="http://schemas.openxmlformats.org/officeDocument/2006/customXml" ds:itemID="{9AF87279-2072-4956-9334-7C09E73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0c586e-5cf7-4ce0-902a-0e4a3b8618bf"/>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381F7-58CC-4210-ABE2-B9779899B260}">
  <ds:schemaRefs>
    <ds:schemaRef ds:uri="http://schemas.microsoft.com/sharepoint/v3/contenttype/forms"/>
  </ds:schemaRefs>
</ds:datastoreItem>
</file>

<file path=customXml/itemProps3.xml><?xml version="1.0" encoding="utf-8"?>
<ds:datastoreItem xmlns:ds="http://schemas.openxmlformats.org/officeDocument/2006/customXml" ds:itemID="{A66BF936-9D4C-4C90-AD70-CF623AF9AF64}">
  <ds:schemaRefs>
    <ds:schemaRef ds:uri="http://schemas.openxmlformats.org/officeDocument/2006/bibliography"/>
  </ds:schemaRefs>
</ds:datastoreItem>
</file>

<file path=customXml/itemProps4.xml><?xml version="1.0" encoding="utf-8"?>
<ds:datastoreItem xmlns:ds="http://schemas.openxmlformats.org/officeDocument/2006/customXml" ds:itemID="{393673C7-78E7-4E83-98A0-9A671FD81D49}">
  <ds:schemaRefs>
    <ds:schemaRef ds:uri="http://purl.org/dc/dcmitype/"/>
    <ds:schemaRef ds:uri="http://purl.org/dc/terms/"/>
    <ds:schemaRef ds:uri="http://schemas.microsoft.com/office/2006/metadata/properties"/>
    <ds:schemaRef ds:uri="http://schemas.microsoft.com/office/infopath/2007/PartnerControls"/>
    <ds:schemaRef ds:uri="5543a251-b5db-4dfb-8fc6-8121fead7242"/>
    <ds:schemaRef ds:uri="http://schemas.microsoft.com/office/2006/documentManagement/types"/>
    <ds:schemaRef ds:uri="http://purl.org/dc/elements/1.1/"/>
    <ds:schemaRef ds:uri="f10c586e-5cf7-4ce0-902a-0e4a3b8618bf"/>
    <ds:schemaRef ds:uri="http://schemas.openxmlformats.org/package/2006/metadata/core-properties"/>
    <ds:schemaRef ds:uri="e26bce84-032d-4246-9689-426d14b10d2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6185</Words>
  <Characters>35257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Gillham, Cynthia</cp:lastModifiedBy>
  <cp:revision>3</cp:revision>
  <cp:lastPrinted>2021-08-02T15:49:00Z</cp:lastPrinted>
  <dcterms:created xsi:type="dcterms:W3CDTF">2023-11-30T17:00:00Z</dcterms:created>
  <dcterms:modified xsi:type="dcterms:W3CDTF">2023-11-30T17:40:00Z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0x01010032E432AF69B29744BABD8D8AC940A935</vt:lpwstr>
  </property>
  <property fmtid="{D5CDD505-2E9C-101B-9397-08002B2CF9AE}" pid="3" name="MediaServiceImageTags">
    <vt:lpwstr/>
  </property>
  <property fmtid="{D5CDD505-2E9C-101B-9397-08002B2CF9AE}" pid="4" name="_dlc_DocId">
    <vt:lpwstr>JUTQ4KDNFYTT-291-28537</vt:lpwstr>
  </property>
  <property fmtid="{D5CDD505-2E9C-101B-9397-08002B2CF9AE}" pid="5" name="_dlc_DocIdItemGuid">
    <vt:lpwstr>7ab0109c-2627-4a61-a8da-581bcbe330cf</vt:lpwstr>
  </property>
  <property fmtid="{D5CDD505-2E9C-101B-9397-08002B2CF9AE}" pid="6" name="_dlc_DocIdUrl">
    <vt:lpwstr>http://one10.dot.gov/office/nhtsa/_layouts/DocIdRedir.aspx?ID=JUTQ4KDNFYTT-291-28537, JUTQ4KDNFYTT-291-28537</vt:lpwstr>
  </property>
</Properties>
</file>