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59B" w:rsidRPr="00AB674F" w:rsidP="00E2213C" w14:paraId="020542E7" w14:textId="4AF4C85A">
      <w:pPr>
        <w:rPr>
          <w:b/>
          <w:bCs/>
        </w:rPr>
      </w:pPr>
      <w:r>
        <w:rPr>
          <w:b/>
          <w:szCs w:val="22"/>
        </w:rPr>
        <w:t xml:space="preserve">Inmate Calling Services (ICS) </w:t>
      </w:r>
      <w:r>
        <w:rPr>
          <w:b/>
          <w:szCs w:val="22"/>
        </w:rPr>
        <w:tab/>
        <w:t xml:space="preserve">Provider Annual </w:t>
      </w:r>
      <w:r>
        <w:rPr>
          <w:b/>
          <w:szCs w:val="22"/>
        </w:rPr>
        <w:tab/>
      </w:r>
      <w:r w:rsidR="008D485D">
        <w:rPr>
          <w:b/>
          <w:szCs w:val="22"/>
        </w:rPr>
        <w:tab/>
      </w:r>
      <w:r w:rsidR="008D485D">
        <w:rPr>
          <w:b/>
          <w:szCs w:val="22"/>
        </w:rPr>
        <w:tab/>
      </w:r>
      <w:r w:rsidR="008D485D">
        <w:rPr>
          <w:b/>
          <w:szCs w:val="22"/>
        </w:rPr>
        <w:tab/>
        <w:t xml:space="preserve">    </w:t>
      </w:r>
      <w:r w:rsidR="000A56A0">
        <w:rPr>
          <w:b/>
          <w:szCs w:val="22"/>
        </w:rPr>
        <w:t xml:space="preserve"> </w:t>
      </w:r>
      <w:r w:rsidR="008D485D">
        <w:rPr>
          <w:b/>
          <w:szCs w:val="22"/>
        </w:rPr>
        <w:t xml:space="preserve"> </w:t>
      </w:r>
      <w:r w:rsidR="00F821D6">
        <w:rPr>
          <w:b/>
          <w:szCs w:val="22"/>
        </w:rPr>
        <w:t xml:space="preserve">    </w:t>
      </w:r>
      <w:r w:rsidR="008D485D">
        <w:rPr>
          <w:b/>
          <w:szCs w:val="22"/>
        </w:rPr>
        <w:t>3060-1222</w:t>
      </w:r>
      <w:r>
        <w:rPr>
          <w:b/>
          <w:szCs w:val="22"/>
        </w:rPr>
        <w:t xml:space="preserve"> </w:t>
      </w:r>
      <w:r w:rsidRPr="004460F4" w:rsidR="008E558A">
        <w:rPr>
          <w:b/>
          <w:szCs w:val="22"/>
        </w:rPr>
        <w:t>Reporting</w:t>
      </w:r>
      <w:r>
        <w:rPr>
          <w:b/>
          <w:szCs w:val="22"/>
        </w:rPr>
        <w:t xml:space="preserve">, </w:t>
      </w:r>
      <w:r w:rsidR="00AE08EA">
        <w:rPr>
          <w:b/>
          <w:szCs w:val="22"/>
        </w:rPr>
        <w:t>Certification</w:t>
      </w:r>
      <w:r>
        <w:rPr>
          <w:b/>
          <w:szCs w:val="22"/>
        </w:rPr>
        <w:t>, and Other</w:t>
      </w:r>
      <w:r w:rsidR="00AE08EA">
        <w:rPr>
          <w:b/>
          <w:szCs w:val="22"/>
        </w:rPr>
        <w:t xml:space="preserve"> Requirements,</w:t>
      </w:r>
      <w:r w:rsidR="008D485D">
        <w:tab/>
      </w:r>
      <w:r w:rsidR="00AE08EA">
        <w:tab/>
      </w:r>
      <w:r w:rsidR="00AE08EA">
        <w:tab/>
      </w:r>
      <w:r w:rsidR="00F821D6">
        <w:tab/>
        <w:t xml:space="preserve"> </w:t>
      </w:r>
      <w:r w:rsidR="00F821D6">
        <w:rPr>
          <w:b/>
          <w:bCs/>
        </w:rPr>
        <w:t xml:space="preserve">November </w:t>
      </w:r>
      <w:r w:rsidRPr="00AB674F" w:rsidR="00AB674F">
        <w:rPr>
          <w:b/>
          <w:bCs/>
        </w:rPr>
        <w:t>2023</w:t>
      </w:r>
    </w:p>
    <w:p w:rsidR="00E2213C" w:rsidRPr="004460F4" w:rsidP="00E2213C" w14:paraId="30A8553A" w14:textId="12D513D5">
      <w:pPr>
        <w:rPr>
          <w:b/>
          <w:szCs w:val="22"/>
        </w:rPr>
      </w:pPr>
      <w:r w:rsidRPr="004460F4">
        <w:rPr>
          <w:b/>
          <w:szCs w:val="22"/>
        </w:rPr>
        <w:t>WC Docket No</w:t>
      </w:r>
      <w:r w:rsidR="00DC1491">
        <w:rPr>
          <w:b/>
          <w:szCs w:val="22"/>
        </w:rPr>
        <w:t xml:space="preserve">s. 23-62, 12-375, </w:t>
      </w:r>
      <w:r w:rsidR="003B76AF">
        <w:rPr>
          <w:b/>
          <w:szCs w:val="22"/>
        </w:rPr>
        <w:t xml:space="preserve">DA </w:t>
      </w:r>
      <w:r w:rsidRPr="0060301A" w:rsidR="003B76AF">
        <w:rPr>
          <w:b/>
          <w:szCs w:val="22"/>
        </w:rPr>
        <w:t>23-</w:t>
      </w:r>
      <w:r w:rsidRPr="0060301A" w:rsidR="00A670E8">
        <w:rPr>
          <w:b/>
          <w:szCs w:val="22"/>
        </w:rPr>
        <w:t>656</w:t>
      </w:r>
      <w:r w:rsidR="008D485D">
        <w:rPr>
          <w:b/>
          <w:szCs w:val="22"/>
        </w:rPr>
        <w:tab/>
      </w:r>
      <w:r w:rsidR="008D485D">
        <w:rPr>
          <w:b/>
          <w:szCs w:val="22"/>
        </w:rPr>
        <w:tab/>
      </w:r>
      <w:r w:rsidR="008D485D">
        <w:rPr>
          <w:b/>
          <w:szCs w:val="22"/>
        </w:rPr>
        <w:tab/>
      </w:r>
      <w:r w:rsidR="008D485D">
        <w:rPr>
          <w:b/>
          <w:szCs w:val="22"/>
        </w:rPr>
        <w:tab/>
      </w:r>
      <w:r w:rsidR="008D485D">
        <w:rPr>
          <w:b/>
          <w:szCs w:val="22"/>
        </w:rPr>
        <w:tab/>
      </w:r>
      <w:r w:rsidR="008D485D">
        <w:rPr>
          <w:b/>
          <w:szCs w:val="22"/>
        </w:rPr>
        <w:tab/>
      </w:r>
      <w:r w:rsidR="008D485D">
        <w:rPr>
          <w:b/>
          <w:szCs w:val="22"/>
        </w:rPr>
        <w:tab/>
      </w:r>
      <w:r w:rsidR="008D485D">
        <w:rPr>
          <w:b/>
          <w:szCs w:val="22"/>
        </w:rPr>
        <w:tab/>
      </w:r>
    </w:p>
    <w:p w:rsidR="00810818" w:rsidRPr="004460F4" w:rsidP="00E2213C" w14:paraId="44DA6B76" w14:textId="77777777">
      <w:pPr>
        <w:jc w:val="right"/>
        <w:rPr>
          <w:b/>
          <w:szCs w:val="22"/>
          <w:u w:val="single"/>
        </w:rPr>
      </w:pPr>
    </w:p>
    <w:p w:rsidR="007E0735" w:rsidRPr="004367FD" w:rsidP="00A2413C" w14:paraId="0A595C19" w14:textId="77777777">
      <w:pPr>
        <w:jc w:val="center"/>
        <w:rPr>
          <w:b/>
          <w:bCs/>
        </w:rPr>
      </w:pPr>
      <w:r w:rsidRPr="004367FD">
        <w:rPr>
          <w:b/>
          <w:bCs/>
        </w:rPr>
        <w:t>SUPPORTING STATEMENT</w:t>
      </w:r>
    </w:p>
    <w:p w:rsidR="007A4A45" w:rsidRPr="004460F4" w:rsidP="007A4A45" w14:paraId="212ED079" w14:textId="77777777">
      <w:pPr>
        <w:rPr>
          <w:szCs w:val="22"/>
        </w:rPr>
      </w:pPr>
    </w:p>
    <w:p w:rsidR="00262EFF" w:rsidP="00262EFF" w14:paraId="2DEB273E" w14:textId="3D802D17">
      <w:pPr>
        <w:pStyle w:val="Numberedparagraphs"/>
        <w:numPr>
          <w:ilvl w:val="0"/>
          <w:numId w:val="0"/>
        </w:numPr>
        <w:tabs>
          <w:tab w:val="left" w:pos="720"/>
          <w:tab w:val="clear" w:pos="1440"/>
        </w:tabs>
        <w:rPr>
          <w:szCs w:val="22"/>
        </w:rPr>
      </w:pPr>
      <w:r>
        <w:rPr>
          <w:szCs w:val="22"/>
        </w:rPr>
        <w:tab/>
      </w:r>
      <w:r w:rsidRPr="004460F4" w:rsidR="007A4A45">
        <w:rPr>
          <w:szCs w:val="22"/>
        </w:rPr>
        <w:t>This submission is being made pursuant to 44 U.S.C. §</w:t>
      </w:r>
      <w:r w:rsidRPr="004460F4" w:rsidR="007A7A22">
        <w:rPr>
          <w:szCs w:val="22"/>
        </w:rPr>
        <w:t xml:space="preserve"> </w:t>
      </w:r>
      <w:r w:rsidRPr="004460F4" w:rsidR="007A4A45">
        <w:rPr>
          <w:szCs w:val="22"/>
        </w:rPr>
        <w:t>3507 of</w:t>
      </w:r>
      <w:r w:rsidRPr="004460F4" w:rsidR="004153C5">
        <w:rPr>
          <w:szCs w:val="22"/>
        </w:rPr>
        <w:t xml:space="preserve"> the</w:t>
      </w:r>
      <w:r w:rsidRPr="004460F4" w:rsidR="007A4A45">
        <w:rPr>
          <w:szCs w:val="22"/>
        </w:rPr>
        <w:t xml:space="preserve"> Paperwork Reduction Act of 1995 to </w:t>
      </w:r>
      <w:r w:rsidR="00845E1B">
        <w:rPr>
          <w:szCs w:val="22"/>
        </w:rPr>
        <w:t xml:space="preserve">revise an </w:t>
      </w:r>
      <w:r w:rsidRPr="004460F4" w:rsidR="007A4A45">
        <w:rPr>
          <w:szCs w:val="22"/>
        </w:rPr>
        <w:t xml:space="preserve">existing </w:t>
      </w:r>
      <w:r w:rsidR="00845E1B">
        <w:rPr>
          <w:szCs w:val="22"/>
        </w:rPr>
        <w:t xml:space="preserve">information collection in order to obtain </w:t>
      </w:r>
      <w:r w:rsidRPr="004460F4" w:rsidR="007A4A45">
        <w:rPr>
          <w:szCs w:val="22"/>
        </w:rPr>
        <w:t xml:space="preserve">Office of Management and Budget (OMB) approval </w:t>
      </w:r>
      <w:r w:rsidR="00845E1B">
        <w:rPr>
          <w:szCs w:val="22"/>
        </w:rPr>
        <w:t xml:space="preserve">for </w:t>
      </w:r>
      <w:r w:rsidRPr="004460F4" w:rsidR="007A4A45">
        <w:rPr>
          <w:szCs w:val="22"/>
        </w:rPr>
        <w:t>the full three-year clearance.</w:t>
      </w:r>
      <w:r w:rsidR="00B84D20">
        <w:rPr>
          <w:szCs w:val="22"/>
        </w:rPr>
        <w:t xml:space="preserve">  </w:t>
      </w:r>
      <w:r w:rsidRPr="00B84D20" w:rsidR="00B84D20">
        <w:rPr>
          <w:szCs w:val="22"/>
        </w:rPr>
        <w:t xml:space="preserve">The Commission is changing the title of this information collection from </w:t>
      </w:r>
      <w:r w:rsidR="006932F8">
        <w:rPr>
          <w:szCs w:val="22"/>
        </w:rPr>
        <w:t>“</w:t>
      </w:r>
      <w:r w:rsidR="00DC544A">
        <w:rPr>
          <w:szCs w:val="22"/>
        </w:rPr>
        <w:t xml:space="preserve">Inmate Calling Services (ICS) Provider Annual Reporting, Certification, </w:t>
      </w:r>
      <w:r w:rsidR="00C72338">
        <w:rPr>
          <w:szCs w:val="22"/>
        </w:rPr>
        <w:t>Consumer Disclosure, and Waiver Request Reporting Requirements</w:t>
      </w:r>
      <w:r w:rsidR="00F06875">
        <w:rPr>
          <w:szCs w:val="22"/>
        </w:rPr>
        <w:t>, WC Docket No. 12-375</w:t>
      </w:r>
      <w:r w:rsidRPr="00B84D20" w:rsidR="00B84D20">
        <w:rPr>
          <w:szCs w:val="22"/>
        </w:rPr>
        <w:t>” to</w:t>
      </w:r>
      <w:r w:rsidR="001601F3">
        <w:rPr>
          <w:szCs w:val="22"/>
        </w:rPr>
        <w:t xml:space="preserve"> </w:t>
      </w:r>
      <w:r w:rsidRPr="001601F3" w:rsidR="001601F3">
        <w:rPr>
          <w:szCs w:val="22"/>
        </w:rPr>
        <w:t>“Inmate Calling Services (ICS) Provider Annual Reporting, Certification, and Other Requirements</w:t>
      </w:r>
      <w:r w:rsidR="00F06875">
        <w:rPr>
          <w:szCs w:val="22"/>
        </w:rPr>
        <w:t>, WC Docket Nos. 23-62, 12-375</w:t>
      </w:r>
      <w:r w:rsidR="00CA2DC1">
        <w:rPr>
          <w:szCs w:val="22"/>
        </w:rPr>
        <w:t>, DA 23-656</w:t>
      </w:r>
      <w:r w:rsidRPr="001601F3" w:rsidR="001601F3">
        <w:rPr>
          <w:szCs w:val="22"/>
        </w:rPr>
        <w:t xml:space="preserve">.”  </w:t>
      </w:r>
    </w:p>
    <w:p w:rsidR="00B9212C" w:rsidRPr="00AB1E80" w:rsidP="00262EFF" w14:paraId="59EC1AB5" w14:textId="3E21B35F">
      <w:pPr>
        <w:pStyle w:val="Numberedparagraphs"/>
        <w:numPr>
          <w:ilvl w:val="0"/>
          <w:numId w:val="0"/>
        </w:numPr>
        <w:tabs>
          <w:tab w:val="left" w:pos="720"/>
          <w:tab w:val="clear" w:pos="1440"/>
        </w:tabs>
        <w:rPr>
          <w:b/>
          <w:szCs w:val="22"/>
          <w:u w:val="single"/>
        </w:rPr>
      </w:pPr>
      <w:r w:rsidRPr="00AB1E80">
        <w:rPr>
          <w:b/>
          <w:szCs w:val="22"/>
          <w:u w:val="single"/>
        </w:rPr>
        <w:t>Justification:</w:t>
      </w:r>
    </w:p>
    <w:p w:rsidR="00F358ED" w:rsidRPr="00AC68A8" w:rsidP="00BA50EC" w14:paraId="36656113" w14:textId="77777777">
      <w:pPr>
        <w:rPr>
          <w:b/>
          <w:szCs w:val="22"/>
        </w:rPr>
      </w:pPr>
      <w:r w:rsidRPr="00AC68A8">
        <w:rPr>
          <w:b/>
          <w:i/>
          <w:szCs w:val="22"/>
        </w:rPr>
        <w:t>Circumstances that make the collection necessary</w:t>
      </w:r>
      <w:r w:rsidRPr="00AC68A8">
        <w:rPr>
          <w:b/>
          <w:szCs w:val="22"/>
        </w:rPr>
        <w:t>:</w:t>
      </w:r>
    </w:p>
    <w:p w:rsidR="007E0735" w:rsidRPr="004460F4" w:rsidP="007E0735" w14:paraId="6A49E0FA" w14:textId="77777777">
      <w:pPr>
        <w:pStyle w:val="ParaNum"/>
        <w:numPr>
          <w:ilvl w:val="0"/>
          <w:numId w:val="0"/>
        </w:numPr>
        <w:tabs>
          <w:tab w:val="left" w:pos="1440"/>
        </w:tabs>
        <w:spacing w:after="0"/>
        <w:rPr>
          <w:szCs w:val="22"/>
        </w:rPr>
      </w:pPr>
    </w:p>
    <w:p w:rsidR="00B826D4" w:rsidP="006A0474" w14:paraId="72F5D21D" w14:textId="1939854B">
      <w:pPr>
        <w:widowControl/>
        <w:spacing w:after="120"/>
        <w:ind w:firstLine="720"/>
      </w:pPr>
      <w:r>
        <w:rPr>
          <w:szCs w:val="22"/>
        </w:rPr>
        <w:t>1.</w:t>
      </w:r>
      <w:r>
        <w:rPr>
          <w:szCs w:val="22"/>
        </w:rPr>
        <w:tab/>
      </w:r>
      <w:r w:rsidR="00D43C24">
        <w:t xml:space="preserve">In 2015, pursuant </w:t>
      </w:r>
      <w:r w:rsidRPr="00A327B4" w:rsidR="00D43C24">
        <w:t>to delegated authority,</w:t>
      </w:r>
      <w:r>
        <w:rPr>
          <w:vertAlign w:val="superscript"/>
        </w:rPr>
        <w:footnoteReference w:id="3"/>
      </w:r>
      <w:r w:rsidRPr="00A327B4" w:rsidR="00D43C24">
        <w:t xml:space="preserve"> the </w:t>
      </w:r>
      <w:r w:rsidR="00D43C24">
        <w:t xml:space="preserve">Wireline Competition </w:t>
      </w:r>
      <w:r w:rsidRPr="00A327B4" w:rsidR="00D43C24">
        <w:t xml:space="preserve">Bureau </w:t>
      </w:r>
      <w:r w:rsidR="00D43C24">
        <w:t xml:space="preserve">(WCB) </w:t>
      </w:r>
      <w:r w:rsidRPr="00A327B4" w:rsidR="00D43C24">
        <w:t xml:space="preserve">created standardized reporting </w:t>
      </w:r>
      <w:r w:rsidRPr="00A327B4" w:rsidR="00D43C24">
        <w:rPr>
          <w:bCs/>
        </w:rPr>
        <w:t>templates (FCC Form 2301(a))</w:t>
      </w:r>
      <w:r>
        <w:rPr>
          <w:rStyle w:val="FootnoteReference"/>
          <w:bCs/>
        </w:rPr>
        <w:footnoteReference w:id="4"/>
      </w:r>
      <w:r w:rsidRPr="00A327B4" w:rsidR="00D43C24">
        <w:rPr>
          <w:bCs/>
        </w:rPr>
        <w:t xml:space="preserve"> for the </w:t>
      </w:r>
      <w:r w:rsidR="00D43C24">
        <w:rPr>
          <w:bCs/>
        </w:rPr>
        <w:t>Annual Report</w:t>
      </w:r>
      <w:r w:rsidR="004C0126">
        <w:rPr>
          <w:bCs/>
        </w:rPr>
        <w:t xml:space="preserve">s, </w:t>
      </w:r>
      <w:r w:rsidRPr="00A327B4" w:rsidR="00D43C24">
        <w:rPr>
          <w:bCs/>
        </w:rPr>
        <w:t xml:space="preserve">a related certification of accuracy (FCC Form 2301(b)), </w:t>
      </w:r>
      <w:r w:rsidR="00331B48">
        <w:rPr>
          <w:bCs/>
        </w:rPr>
        <w:t xml:space="preserve">and </w:t>
      </w:r>
      <w:r w:rsidR="004C0126">
        <w:rPr>
          <w:bCs/>
        </w:rPr>
        <w:t xml:space="preserve">a set of </w:t>
      </w:r>
      <w:r w:rsidRPr="00A327B4" w:rsidR="00D43C24">
        <w:rPr>
          <w:bCs/>
        </w:rPr>
        <w:t>instructions</w:t>
      </w:r>
      <w:r w:rsidR="003307C7">
        <w:rPr>
          <w:bCs/>
        </w:rPr>
        <w:t>.</w:t>
      </w:r>
      <w:r>
        <w:rPr>
          <w:bCs/>
          <w:vertAlign w:val="superscript"/>
        </w:rPr>
        <w:footnoteReference w:id="5"/>
      </w:r>
      <w:r w:rsidRPr="00A327B4" w:rsidR="00D43C24">
        <w:rPr>
          <w:bCs/>
        </w:rPr>
        <w:t xml:space="preserve">  </w:t>
      </w:r>
      <w:r w:rsidR="003D44AC">
        <w:t>IPCS</w:t>
      </w:r>
      <w:r w:rsidRPr="00A327B4" w:rsidR="003D44AC">
        <w:t xml:space="preserve"> providers </w:t>
      </w:r>
      <w:r w:rsidR="003D44AC">
        <w:t>that are classified as inmate calling services (ICS)</w:t>
      </w:r>
      <w:r w:rsidRPr="00A327B4" w:rsidR="003D44AC">
        <w:t xml:space="preserve"> providers </w:t>
      </w:r>
      <w:r w:rsidR="003D44AC">
        <w:t>under the Commission’s rules</w:t>
      </w:r>
      <w:r w:rsidRPr="00A327B4" w:rsidR="003D44AC">
        <w:t xml:space="preserve"> </w:t>
      </w:r>
      <w:r w:rsidR="003D44AC">
        <w:t>are required</w:t>
      </w:r>
      <w:r w:rsidRPr="00A327B4" w:rsidR="003D44AC">
        <w:t xml:space="preserve"> to make these filings to enable the Commission to monitor </w:t>
      </w:r>
      <w:bookmarkStart w:id="1" w:name="_Hlk27407176"/>
      <w:r w:rsidRPr="00A327B4" w:rsidR="003D44AC">
        <w:t xml:space="preserve">and track trends in the </w:t>
      </w:r>
      <w:r w:rsidR="003D44AC">
        <w:t>IPCS</w:t>
      </w:r>
      <w:r w:rsidRPr="00A327B4" w:rsidR="003D44AC">
        <w:t xml:space="preserve"> marketplace, increase provider transparency, and ensure compliance with the Commission’s rules</w:t>
      </w:r>
      <w:bookmarkEnd w:id="1"/>
      <w:r w:rsidRPr="00A327B4" w:rsidR="003D44AC">
        <w:t>.</w:t>
      </w:r>
      <w:r>
        <w:rPr>
          <w:vertAlign w:val="superscript"/>
        </w:rPr>
        <w:footnoteReference w:id="6"/>
      </w:r>
      <w:r w:rsidR="003D44AC">
        <w:t xml:space="preserve">  </w:t>
      </w:r>
      <w:r w:rsidR="00D43C24">
        <w:t>WCB amended the instructions, reporting templates, and certification form in 2020 in order to improve</w:t>
      </w:r>
      <w:r w:rsidRPr="00A327B4" w:rsidR="00D43C24">
        <w:t xml:space="preserve"> the type and quality </w:t>
      </w:r>
      <w:r w:rsidRPr="00A327B4" w:rsidR="00D43C24">
        <w:t>of the information collected.</w:t>
      </w:r>
      <w:r>
        <w:rPr>
          <w:vertAlign w:val="superscript"/>
        </w:rPr>
        <w:footnoteReference w:id="7"/>
      </w:r>
      <w:r w:rsidR="00D43C24">
        <w:t xml:space="preserve">  In 202</w:t>
      </w:r>
      <w:r w:rsidR="004118B1">
        <w:t>2</w:t>
      </w:r>
      <w:r w:rsidR="00D43C24">
        <w:t xml:space="preserve">, WCB again amended the instructions, reporting templates, and certification form to reflect significant reforms to the ICS rules adopted in the </w:t>
      </w:r>
      <w:r w:rsidRPr="002330F9" w:rsidR="00D43C24">
        <w:rPr>
          <w:i/>
        </w:rPr>
        <w:t>2021 ICS Order</w:t>
      </w:r>
      <w:r w:rsidR="00D43C24">
        <w:t>,</w:t>
      </w:r>
      <w:r>
        <w:rPr>
          <w:rStyle w:val="FootnoteReference"/>
        </w:rPr>
        <w:footnoteReference w:id="8"/>
      </w:r>
      <w:r w:rsidR="00D43C24">
        <w:t xml:space="preserve"> including </w:t>
      </w:r>
      <w:r w:rsidR="00D43C24">
        <w:rPr>
          <w:szCs w:val="22"/>
        </w:rPr>
        <w:t>lower interim rate caps for interstate ICS calls, new interim rate caps for international I</w:t>
      </w:r>
      <w:r w:rsidR="00D43C24">
        <w:rPr>
          <w:szCs w:val="22"/>
        </w:rPr>
        <w:t>C</w:t>
      </w:r>
      <w:r w:rsidR="00D43C24">
        <w:rPr>
          <w:szCs w:val="22"/>
        </w:rPr>
        <w:t>S calls, and a rate cap structure that requires providers to differentiate between legally mandated and contractually required site commissions</w:t>
      </w:r>
      <w:r w:rsidR="00D43C24">
        <w:t>.</w:t>
      </w:r>
      <w:r>
        <w:rPr>
          <w:rStyle w:val="FootnoteReference"/>
        </w:rPr>
        <w:footnoteReference w:id="9"/>
      </w:r>
      <w:r w:rsidR="00D43C24">
        <w:t xml:space="preserve"> </w:t>
      </w:r>
    </w:p>
    <w:p w:rsidR="00DC4D90" w:rsidP="00DC4D90" w14:paraId="0D2E3223" w14:textId="3CFA3258">
      <w:pPr>
        <w:widowControl/>
        <w:spacing w:after="120"/>
        <w:ind w:firstLine="720"/>
      </w:pPr>
      <w:r>
        <w:t xml:space="preserve">In the </w:t>
      </w:r>
      <w:r w:rsidRPr="00883075">
        <w:rPr>
          <w:i/>
          <w:iCs/>
        </w:rPr>
        <w:t>2022 ICS Order</w:t>
      </w:r>
      <w:r>
        <w:t>, the Commission</w:t>
      </w:r>
      <w:r w:rsidRPr="006419FB">
        <w:t xml:space="preserve"> adopted </w:t>
      </w:r>
      <w:r w:rsidR="00EE51C3">
        <w:t xml:space="preserve">numerous </w:t>
      </w:r>
      <w:r w:rsidRPr="00883075">
        <w:t xml:space="preserve">requirements </w:t>
      </w:r>
      <w:r w:rsidR="00F76597">
        <w:t xml:space="preserve">that </w:t>
      </w:r>
      <w:r w:rsidR="007F7E51">
        <w:t xml:space="preserve">necessitate additional changes to </w:t>
      </w:r>
      <w:r w:rsidRPr="007F7E51" w:rsidR="007F7E51">
        <w:t>the instructions, reporting template</w:t>
      </w:r>
      <w:r w:rsidR="00984A82">
        <w:t>s</w:t>
      </w:r>
      <w:r w:rsidRPr="007F7E51" w:rsidR="007F7E51">
        <w:t>, and certification form</w:t>
      </w:r>
      <w:r w:rsidR="007F7E51">
        <w:t>.  The</w:t>
      </w:r>
      <w:r w:rsidR="00B80DAA">
        <w:t>se</w:t>
      </w:r>
      <w:r w:rsidR="007F7E51">
        <w:t xml:space="preserve"> requirements </w:t>
      </w:r>
      <w:r w:rsidRPr="00883075">
        <w:t xml:space="preserve">improve access to communications services for </w:t>
      </w:r>
      <w:bookmarkStart w:id="4" w:name="_Hlk148617986"/>
      <w:r w:rsidRPr="00883075">
        <w:t>incarcerated people with communication disabilities</w:t>
      </w:r>
      <w:bookmarkEnd w:id="4"/>
      <w:r w:rsidR="00217713">
        <w:t xml:space="preserve"> and expand</w:t>
      </w:r>
      <w:r w:rsidR="00DA26C3">
        <w:t xml:space="preserve"> </w:t>
      </w:r>
      <w:r w:rsidR="00217713">
        <w:t>the scope of the Annual Reports to reflect these new requirements</w:t>
      </w:r>
      <w:r>
        <w:t>.</w:t>
      </w:r>
      <w:r>
        <w:rPr>
          <w:rStyle w:val="FootnoteReference"/>
        </w:rPr>
        <w:footnoteReference w:id="10"/>
      </w:r>
      <w:r>
        <w:t xml:space="preserve">  </w:t>
      </w:r>
      <w:bookmarkStart w:id="6" w:name="_Hlk141453487"/>
      <w:r w:rsidR="007D78AE">
        <w:t>For example, p</w:t>
      </w:r>
      <w:r>
        <w:t xml:space="preserve">ursuant to section 64.6040(c), the Commission requires that, as part of its obligation to provide access to </w:t>
      </w:r>
      <w:r w:rsidR="00140066">
        <w:t>Telecommunications Relay Service (</w:t>
      </w:r>
      <w:r w:rsidR="002C4467">
        <w:t>TRS</w:t>
      </w:r>
      <w:r w:rsidR="00140066">
        <w:t>)</w:t>
      </w:r>
      <w:r w:rsidR="002C4467">
        <w:t xml:space="preserve">, </w:t>
      </w:r>
      <w:r>
        <w:t>a provider shall:</w:t>
      </w:r>
    </w:p>
    <w:p w:rsidR="00DC4D90" w:rsidP="00DC4D90" w14:paraId="40461213" w14:textId="77777777">
      <w:pPr>
        <w:widowControl/>
        <w:spacing w:after="120"/>
        <w:ind w:left="720"/>
      </w:pPr>
      <w:r>
        <w:t>(1) Make all necessary contractual and technical arrangements to ensure that, consistent with the security needs of a correctional facility, incarcerated individuals eligible to use TRS can access at least one certified provider of each form of TRS required by this section;</w:t>
      </w:r>
    </w:p>
    <w:p w:rsidR="00DC4D90" w:rsidP="00DC4D90" w14:paraId="5B3046EE" w14:textId="77777777">
      <w:pPr>
        <w:widowControl/>
        <w:spacing w:after="120"/>
        <w:ind w:left="720"/>
      </w:pPr>
      <w:r>
        <w:t>(2) Work with correctional authorities, equipment vendors, and TRS providers to e</w:t>
      </w:r>
      <w:r w:rsidRPr="00301F32">
        <w:t>nsur</w:t>
      </w:r>
      <w:r>
        <w:t>e</w:t>
      </w:r>
      <w:r w:rsidRPr="00301F32">
        <w:t xml:space="preserve"> that </w:t>
      </w:r>
      <w:r>
        <w:t xml:space="preserve">screen-equipped </w:t>
      </w:r>
      <w:r w:rsidRPr="00F320AA">
        <w:t xml:space="preserve">communications devices </w:t>
      </w:r>
      <w:r>
        <w:t xml:space="preserve">such as </w:t>
      </w:r>
      <w:r w:rsidRPr="00301F32">
        <w:t xml:space="preserve">tablets, smartphones, </w:t>
      </w:r>
      <w:r>
        <w:t xml:space="preserve">or </w:t>
      </w:r>
      <w:r w:rsidRPr="00301F32">
        <w:t xml:space="preserve">videophones </w:t>
      </w:r>
      <w:r>
        <w:t xml:space="preserve">are </w:t>
      </w:r>
      <w:r w:rsidRPr="00301F32">
        <w:t xml:space="preserve">available </w:t>
      </w:r>
      <w:r>
        <w:t>to incarcerated people</w:t>
      </w:r>
      <w:r w:rsidRPr="00301F32">
        <w:t xml:space="preserve"> </w:t>
      </w:r>
      <w:r>
        <w:t xml:space="preserve">who need </w:t>
      </w:r>
      <w:r w:rsidRPr="00301F32">
        <w:t xml:space="preserve">to </w:t>
      </w:r>
      <w:r>
        <w:t xml:space="preserve">use </w:t>
      </w:r>
      <w:r w:rsidRPr="00301F32">
        <w:t>TRS</w:t>
      </w:r>
      <w:r>
        <w:t xml:space="preserve"> for effective communication</w:t>
      </w:r>
      <w:r w:rsidRPr="00301F32">
        <w:t xml:space="preserve">, </w:t>
      </w:r>
      <w:r>
        <w:t xml:space="preserve">and all necessary </w:t>
      </w:r>
      <w:r w:rsidRPr="00301F32">
        <w:t>TRS provider software applications</w:t>
      </w:r>
      <w:r>
        <w:t xml:space="preserve"> are included, with any adjustments needed to meet </w:t>
      </w:r>
      <w:r w:rsidRPr="00301F32">
        <w:t>the security needs of the institution</w:t>
      </w:r>
      <w:r>
        <w:t xml:space="preserve">, provide compatibility with institutional communication systems, and allow operability over the inmate calling services </w:t>
      </w:r>
      <w:r w:rsidRPr="00465B51">
        <w:t>provider’s</w:t>
      </w:r>
      <w:r>
        <w:t xml:space="preserve"> network; </w:t>
      </w:r>
    </w:p>
    <w:p w:rsidR="00DC4D90" w:rsidP="00DC4D90" w14:paraId="661E051B" w14:textId="77777777">
      <w:pPr>
        <w:widowControl/>
        <w:spacing w:after="120"/>
        <w:ind w:left="720"/>
      </w:pPr>
      <w:r>
        <w:t>(3) Provide any assistance needed by TRS providers in collecting the registration information and documentation required by § 64.611 from incarcerated users and correctional authorities; and</w:t>
      </w:r>
    </w:p>
    <w:p w:rsidR="00C165C5" w:rsidP="007D78AE" w14:paraId="0490170E" w14:textId="2438D385">
      <w:pPr>
        <w:widowControl/>
        <w:spacing w:after="120"/>
        <w:ind w:left="720"/>
      </w:pPr>
      <w:r>
        <w:t xml:space="preserve">(4) When an incarcerated person who has individually registered to use </w:t>
      </w:r>
      <w:r w:rsidRPr="00EC249C">
        <w:t>VRS, IP Relay, or IP CTS</w:t>
      </w:r>
      <w:r>
        <w:t xml:space="preserve"> is released from incarceration or transferred to another correctional authority</w:t>
      </w:r>
      <w:r w:rsidRPr="00EC249C">
        <w:t xml:space="preserve">, notify the TRS provider(s) with which the incarcerated person </w:t>
      </w:r>
      <w:r>
        <w:t>has</w:t>
      </w:r>
      <w:r w:rsidRPr="00EC249C">
        <w:t xml:space="preserve"> registered</w:t>
      </w:r>
      <w:r>
        <w:t>.</w:t>
      </w:r>
      <w:r>
        <w:rPr>
          <w:rStyle w:val="FootnoteReference"/>
        </w:rPr>
        <w:footnoteReference w:id="11"/>
      </w:r>
    </w:p>
    <w:bookmarkEnd w:id="6"/>
    <w:p w:rsidR="002938E4" w:rsidP="00AD3932" w14:paraId="551B25F8" w14:textId="7015F7D1">
      <w:pPr>
        <w:widowControl/>
        <w:spacing w:after="120"/>
        <w:ind w:firstLine="720"/>
      </w:pPr>
      <w:r>
        <w:t xml:space="preserve">The Commission </w:t>
      </w:r>
      <w:r w:rsidRPr="005D31F7">
        <w:t xml:space="preserve">expanded the scope of the Annual Reports </w:t>
      </w:r>
      <w:r w:rsidR="00CB595A">
        <w:t>and delegated authority to the Bureaus to implement the expanded reporting obligations</w:t>
      </w:r>
      <w:r w:rsidR="00BB6FFC">
        <w:t xml:space="preserve"> and </w:t>
      </w:r>
      <w:r w:rsidR="00FE4FF7">
        <w:t xml:space="preserve">to </w:t>
      </w:r>
      <w:r w:rsidR="00BB6FFC">
        <w:t xml:space="preserve">develop a reporting form that will most effectively and efficiently </w:t>
      </w:r>
      <w:r w:rsidR="00871E1B">
        <w:t>elicit the required information</w:t>
      </w:r>
      <w:r w:rsidR="00415ADB">
        <w:t>.</w:t>
      </w:r>
      <w:r>
        <w:rPr>
          <w:rStyle w:val="FootnoteReference"/>
        </w:rPr>
        <w:footnoteReference w:id="12"/>
      </w:r>
      <w:r w:rsidR="00CB595A">
        <w:t xml:space="preserve">  </w:t>
      </w:r>
      <w:r w:rsidR="00022ECD">
        <w:t>S</w:t>
      </w:r>
      <w:r w:rsidR="00A3424A">
        <w:t>ection 64.6060(a)(5</w:t>
      </w:r>
      <w:r w:rsidR="00022ECD">
        <w:t>)</w:t>
      </w:r>
      <w:r w:rsidR="00A3424A">
        <w:t>-</w:t>
      </w:r>
      <w:r w:rsidR="00022ECD">
        <w:t>(</w:t>
      </w:r>
      <w:r w:rsidR="00A3424A">
        <w:t>7)</w:t>
      </w:r>
      <w:r w:rsidR="00022ECD">
        <w:t xml:space="preserve"> amends the annual reporting and certification requirement to now include</w:t>
      </w:r>
      <w:r w:rsidR="00AD3932">
        <w:t>:</w:t>
      </w:r>
    </w:p>
    <w:p w:rsidR="002938E4" w:rsidRPr="004775E2" w:rsidP="00AD3932" w14:paraId="398D9594" w14:textId="66C7A690">
      <w:pPr>
        <w:widowControl/>
        <w:spacing w:after="120"/>
        <w:ind w:left="720"/>
      </w:pPr>
      <w:r w:rsidRPr="004775E2">
        <w:t>(</w:t>
      </w:r>
      <w:r w:rsidR="000C43C9">
        <w:t>5</w:t>
      </w:r>
      <w:r w:rsidRPr="004775E2">
        <w:t>) For each facility served, the kinds of TRS that may be accessed from the facility;</w:t>
      </w:r>
    </w:p>
    <w:p w:rsidR="002938E4" w:rsidRPr="004775E2" w:rsidP="00AD3932" w14:paraId="07B02E9A" w14:textId="77777777">
      <w:pPr>
        <w:widowControl/>
        <w:spacing w:after="120"/>
        <w:ind w:left="720"/>
      </w:pPr>
      <w:r w:rsidRPr="004775E2">
        <w:t>(6)</w:t>
      </w:r>
      <w:r>
        <w:t xml:space="preserve"> </w:t>
      </w:r>
      <w:r w:rsidRPr="004775E2">
        <w:t>For each facility served, the number of calls completed during the reporting period in each of the following categories:</w:t>
      </w:r>
    </w:p>
    <w:p w:rsidR="002938E4" w:rsidRPr="004775E2" w:rsidP="00AD3932" w14:paraId="0CF889A3" w14:textId="77777777">
      <w:pPr>
        <w:widowControl/>
        <w:spacing w:after="120"/>
        <w:ind w:left="720"/>
      </w:pPr>
      <w:r w:rsidRPr="004775E2">
        <w:t>(i)</w:t>
      </w:r>
      <w:r>
        <w:t xml:space="preserve"> </w:t>
      </w:r>
      <w:r w:rsidRPr="004775E2">
        <w:t>TTY-to-TTY calls;</w:t>
      </w:r>
    </w:p>
    <w:p w:rsidR="002938E4" w:rsidRPr="004775E2" w:rsidP="00AD3932" w14:paraId="35C4F4D4" w14:textId="77777777">
      <w:pPr>
        <w:widowControl/>
        <w:spacing w:after="120"/>
        <w:ind w:left="720"/>
      </w:pPr>
      <w:r w:rsidRPr="004775E2">
        <w:t xml:space="preserve">(ii) </w:t>
      </w:r>
      <w:r>
        <w:t>Point-to-point</w:t>
      </w:r>
      <w:r w:rsidRPr="004775E2">
        <w:t xml:space="preserve"> video calls placed or received by ASL users</w:t>
      </w:r>
      <w:r>
        <w:t xml:space="preserve"> as those terms are defined in § 64.601(a) of this chapter</w:t>
      </w:r>
      <w:r w:rsidRPr="004775E2">
        <w:t>;</w:t>
      </w:r>
      <w:r>
        <w:t xml:space="preserve"> and</w:t>
      </w:r>
    </w:p>
    <w:p w:rsidR="002938E4" w:rsidP="00AD3932" w14:paraId="5FF12ED9" w14:textId="77777777">
      <w:pPr>
        <w:widowControl/>
        <w:spacing w:after="120"/>
        <w:ind w:firstLine="720"/>
      </w:pPr>
      <w:r w:rsidRPr="004775E2">
        <w:t>(iii) TRS</w:t>
      </w:r>
      <w:r>
        <w:t xml:space="preserve"> calls, broken down by each form of TRS that can be accessed from the facility; and</w:t>
      </w:r>
    </w:p>
    <w:p w:rsidR="00A95C1D" w:rsidP="007501E2" w14:paraId="15541897" w14:textId="77777777">
      <w:pPr>
        <w:widowControl/>
        <w:spacing w:after="120"/>
        <w:ind w:firstLine="720"/>
      </w:pPr>
      <w:r>
        <w:t>(7) For each facility served, the number of complaints that the reporting Provider received in each of the categories set forth in paragraph (a)(6) of this section.</w:t>
      </w:r>
      <w:r>
        <w:rPr>
          <w:rStyle w:val="FootnoteReference"/>
        </w:rPr>
        <w:footnoteReference w:id="13"/>
      </w:r>
    </w:p>
    <w:p w:rsidR="00E22F01" w:rsidP="007501E2" w14:paraId="6D044FAF" w14:textId="4C45CF54">
      <w:pPr>
        <w:widowControl/>
        <w:spacing w:after="120"/>
        <w:ind w:firstLine="720"/>
      </w:pPr>
      <w:r>
        <w:t xml:space="preserve">The rules </w:t>
      </w:r>
      <w:r w:rsidR="00662694">
        <w:t xml:space="preserve">adopted in the </w:t>
      </w:r>
      <w:r w:rsidRPr="00A95552" w:rsidR="00662694">
        <w:rPr>
          <w:i/>
          <w:iCs/>
        </w:rPr>
        <w:t>2022 ICS Order</w:t>
      </w:r>
      <w:r w:rsidR="00662694">
        <w:t xml:space="preserve"> </w:t>
      </w:r>
      <w:r>
        <w:t xml:space="preserve">became effective on January 9, 2023, with the exception of sections </w:t>
      </w:r>
      <w:r w:rsidRPr="00A365E6">
        <w:t>64.6040(c), 64.6060(a)(5)-(7)</w:t>
      </w:r>
      <w:r w:rsidR="00C6049B">
        <w:t xml:space="preserve">, </w:t>
      </w:r>
      <w:r w:rsidR="00B30313">
        <w:t xml:space="preserve">and </w:t>
      </w:r>
      <w:r w:rsidRPr="00B30313" w:rsidR="00B30313">
        <w:t xml:space="preserve">64.611(k)(1)(i)-(iii), </w:t>
      </w:r>
      <w:r w:rsidR="00C6049B">
        <w:t xml:space="preserve">which are subject to OMB </w:t>
      </w:r>
      <w:r w:rsidR="007B44CC">
        <w:t>review</w:t>
      </w:r>
      <w:r w:rsidRPr="00A365E6">
        <w:t>.</w:t>
      </w:r>
      <w:r>
        <w:rPr>
          <w:rStyle w:val="FootnoteReference"/>
        </w:rPr>
        <w:footnoteReference w:id="14"/>
      </w:r>
      <w:r>
        <w:t xml:space="preserve"> Section </w:t>
      </w:r>
      <w:r w:rsidRPr="00594AFB">
        <w:t xml:space="preserve">64.6040(c) </w:t>
      </w:r>
      <w:r w:rsidR="00C418D3">
        <w:t xml:space="preserve">is </w:t>
      </w:r>
      <w:r>
        <w:t>part of the current revision of this information collection</w:t>
      </w:r>
      <w:r w:rsidR="000507AC">
        <w:t>;</w:t>
      </w:r>
      <w:r w:rsidR="00477B10">
        <w:t xml:space="preserve"> </w:t>
      </w:r>
      <w:r w:rsidR="000507AC">
        <w:t xml:space="preserve">section </w:t>
      </w:r>
      <w:r w:rsidR="002D2376">
        <w:t>6</w:t>
      </w:r>
      <w:r w:rsidRPr="00C6049B" w:rsidR="00C6049B">
        <w:t>4.6060(a)(5)-(7)</w:t>
      </w:r>
      <w:r w:rsidR="00C6049B">
        <w:t xml:space="preserve"> will be </w:t>
      </w:r>
      <w:r w:rsidR="003D18AE">
        <w:t xml:space="preserve">included </w:t>
      </w:r>
      <w:r w:rsidR="00FB553B">
        <w:t xml:space="preserve">in </w:t>
      </w:r>
      <w:r w:rsidR="00C6049B">
        <w:t>a subsequent revision.</w:t>
      </w:r>
      <w:r>
        <w:rPr>
          <w:rStyle w:val="FootnoteReference"/>
        </w:rPr>
        <w:footnoteReference w:id="15"/>
      </w:r>
      <w:r w:rsidR="00C6049B">
        <w:t xml:space="preserve">  </w:t>
      </w:r>
      <w:r>
        <w:t xml:space="preserve">The Consumer and Governmental Affairs Bureau (CGB) </w:t>
      </w:r>
      <w:r w:rsidR="00307470">
        <w:t xml:space="preserve">is </w:t>
      </w:r>
      <w:r>
        <w:t>address</w:t>
      </w:r>
      <w:r w:rsidR="00307470">
        <w:t>ing</w:t>
      </w:r>
      <w:r>
        <w:t xml:space="preserve"> </w:t>
      </w:r>
      <w:r w:rsidRPr="009F3CD0">
        <w:t>section 64.611(k)(1)(i)-(iii)</w:t>
      </w:r>
      <w:r>
        <w:t xml:space="preserve"> separately. </w:t>
      </w:r>
    </w:p>
    <w:p w:rsidR="000C43C9" w:rsidP="000C43C9" w14:paraId="54D713D4" w14:textId="52BB0D91">
      <w:pPr>
        <w:pStyle w:val="ParaNum"/>
        <w:widowControl/>
        <w:numPr>
          <w:ilvl w:val="0"/>
          <w:numId w:val="0"/>
        </w:numPr>
        <w:ind w:firstLine="720"/>
      </w:pPr>
      <w:r>
        <w:t xml:space="preserve">On January 5, 2023, the </w:t>
      </w:r>
      <w:r w:rsidR="00482878">
        <w:t>President</w:t>
      </w:r>
      <w:r w:rsidR="00F6079C">
        <w:t xml:space="preserve"> </w:t>
      </w:r>
      <w:r w:rsidR="00DA79E3">
        <w:t>s</w:t>
      </w:r>
      <w:r w:rsidR="00D43C24">
        <w:t xml:space="preserve">igned into law the </w:t>
      </w:r>
      <w:r w:rsidR="00D43C24">
        <w:t xml:space="preserve">Martha Wright-Reed </w:t>
      </w:r>
      <w:r w:rsidR="00D43C24">
        <w:t xml:space="preserve">Act, </w:t>
      </w:r>
      <w:r w:rsidR="00482878">
        <w:t xml:space="preserve">which expanded </w:t>
      </w:r>
      <w:r w:rsidR="00D43C24">
        <w:t>the Commission’s statutory authority</w:t>
      </w:r>
      <w:r w:rsidRPr="0021492C" w:rsidR="00D43C24">
        <w:t xml:space="preserve"> </w:t>
      </w:r>
      <w:r w:rsidR="00D43C24">
        <w:t xml:space="preserve">over communications between incarcerated people and the non-incarcerated to include </w:t>
      </w:r>
      <w:r w:rsidRPr="00A01B32" w:rsidR="00D43C24">
        <w:t>“any audio or video communications service used by inmates</w:t>
      </w:r>
      <w:r w:rsidR="00D43C24">
        <w:t xml:space="preserve"> </w:t>
      </w:r>
      <w:r w:rsidRPr="00A01B32" w:rsidR="00D43C24">
        <w:t>. . . regardless of technology used.”</w:t>
      </w:r>
      <w:r>
        <w:rPr>
          <w:sz w:val="20"/>
          <w:vertAlign w:val="superscript"/>
        </w:rPr>
        <w:footnoteReference w:id="16"/>
      </w:r>
      <w:r w:rsidR="00D43C24">
        <w:t xml:space="preserve">  The new Act also amends section 2(b) of the Communications Act of 1934, as amended (the Communications Act), to make clear that the Commission’s authority extends to intrastate </w:t>
      </w:r>
      <w:r w:rsidRPr="001A4524" w:rsidR="00D43C24">
        <w:t xml:space="preserve">as well as interstate and international </w:t>
      </w:r>
      <w:r w:rsidR="00D43C24">
        <w:t>communications services used by incarcerated people.</w:t>
      </w:r>
      <w:r>
        <w:rPr>
          <w:rStyle w:val="FootnoteReference"/>
        </w:rPr>
        <w:footnoteReference w:id="17"/>
      </w:r>
      <w:r w:rsidR="00D43C24">
        <w:t xml:space="preserve">  </w:t>
      </w:r>
    </w:p>
    <w:p w:rsidR="001712A9" w:rsidP="001712A9" w14:paraId="0808D414" w14:textId="7BF1D183">
      <w:pPr>
        <w:pStyle w:val="ParaNum"/>
        <w:widowControl/>
        <w:numPr>
          <w:ilvl w:val="0"/>
          <w:numId w:val="0"/>
        </w:numPr>
        <w:ind w:firstLine="720"/>
      </w:pPr>
      <w:r>
        <w:t>The Act directs the Commission to “promulgate any regulations necessary to implement” the Act, including its mandate that the Commission establish a “compensation plan” ensuring that all rates and charges for IPCS “are just and reasonable,” not earlier than 18 months and not later than 24 months after the Act’s January 5, 2023 enactment date.</w:t>
      </w:r>
      <w:r>
        <w:rPr>
          <w:sz w:val="20"/>
          <w:vertAlign w:val="superscript"/>
        </w:rPr>
        <w:footnoteReference w:id="18"/>
      </w:r>
      <w:r>
        <w:t xml:space="preserve">  The Act also requires the Commission to consider, as part of its implementation, the costs of “necessary” safety and security measures, as well as “differences in costs” </w:t>
      </w:r>
      <w:r>
        <w:t>based on facility size, or “other characteristics.”</w:t>
      </w:r>
      <w:r w:rsidRPr="00E51080">
        <w:rPr>
          <w:sz w:val="20"/>
          <w:vertAlign w:val="superscript"/>
        </w:rPr>
        <w:t xml:space="preserve"> </w:t>
      </w:r>
      <w:r>
        <w:rPr>
          <w:sz w:val="20"/>
          <w:vertAlign w:val="superscript"/>
        </w:rPr>
        <w:footnoteReference w:id="19"/>
      </w:r>
      <w:r>
        <w:t xml:space="preserve">  It also allows the Commission to “use industry-wide average costs of telephone service and advanced communications services and the average costs of service of a communications service provider” in determining just and reasonable rates.</w:t>
      </w:r>
      <w:r w:rsidRPr="00426E3A">
        <w:rPr>
          <w:sz w:val="20"/>
          <w:vertAlign w:val="superscript"/>
        </w:rPr>
        <w:t xml:space="preserve"> </w:t>
      </w:r>
      <w:r>
        <w:rPr>
          <w:sz w:val="20"/>
          <w:vertAlign w:val="superscript"/>
        </w:rPr>
        <w:footnoteReference w:id="20"/>
      </w:r>
    </w:p>
    <w:p w:rsidR="000C43C9" w:rsidP="000C43C9" w14:paraId="30006E99" w14:textId="7E1A00BA">
      <w:pPr>
        <w:pStyle w:val="ParaNum"/>
        <w:numPr>
          <w:ilvl w:val="0"/>
          <w:numId w:val="0"/>
        </w:numPr>
        <w:ind w:firstLine="720"/>
      </w:pPr>
      <w:r>
        <w:t xml:space="preserve">Pursuant to the directive that the Commission </w:t>
      </w:r>
      <w:r>
        <w:rPr>
          <w:rFonts w:asciiTheme="majorBidi" w:hAnsiTheme="majorBidi" w:cstheme="majorBidi"/>
        </w:rPr>
        <w:t xml:space="preserve">implement the </w:t>
      </w:r>
      <w:r>
        <w:t xml:space="preserve">new Act and establish just and reasonable rates for IPCS services, the Commission released the </w:t>
      </w:r>
      <w:r w:rsidRPr="00B62883">
        <w:rPr>
          <w:i/>
          <w:iCs/>
        </w:rPr>
        <w:t>2023 IPCS Notice</w:t>
      </w:r>
      <w:r>
        <w:t>, seeking comment on how to interpret the Act’s language to ensure that the Commission implements the statute in a manner that fulfills Congress’s intent.</w:t>
      </w:r>
      <w:r>
        <w:rPr>
          <w:rStyle w:val="FootnoteReference"/>
        </w:rPr>
        <w:footnoteReference w:id="21"/>
      </w:r>
      <w:r w:rsidRPr="00287809">
        <w:t xml:space="preserve"> </w:t>
      </w:r>
      <w:r>
        <w:t xml:space="preserve"> </w:t>
      </w:r>
      <w:bookmarkStart w:id="7" w:name="_Hlk141453867"/>
      <w:r>
        <w:t>Because the Commission is now required or allowed to consider certain types of costs, the Act contemplates that it would undertake an additional data collection.</w:t>
      </w:r>
      <w:r>
        <w:rPr>
          <w:rStyle w:val="FootnoteReference"/>
        </w:rPr>
        <w:footnoteReference w:id="22"/>
      </w:r>
      <w:r>
        <w:t xml:space="preserve">  </w:t>
      </w:r>
      <w:bookmarkStart w:id="8" w:name="_Hlk141456925"/>
      <w:r>
        <w:t xml:space="preserve">To ensure that it has the data necessary to meet its substantive and procedural responsibilities under the Act, the Commission adopted the </w:t>
      </w:r>
      <w:r w:rsidRPr="006F4654">
        <w:rPr>
          <w:i/>
          <w:iCs/>
        </w:rPr>
        <w:t>2023 IPCS Order</w:t>
      </w:r>
      <w:r w:rsidR="0027069A">
        <w:t>,</w:t>
      </w:r>
      <w:r>
        <w:t xml:space="preserve"> delegating authority to WCB and the Office of Economics and Analytics (OEA) to modify the template and instructions for the most recent data collection to the extent appropriate to timely collect such information to cover the additional services and providers now subject to the Commission’s authority.</w:t>
      </w:r>
      <w:r>
        <w:rPr>
          <w:rStyle w:val="FootnoteReference"/>
        </w:rPr>
        <w:footnoteReference w:id="23"/>
      </w:r>
      <w:r>
        <w:t xml:space="preserve"> </w:t>
      </w:r>
      <w:r w:rsidR="0027069A">
        <w:t xml:space="preserve"> In accordance with this delegation, WCB and OEA developed proposals for instructions, a reporting template, and a certification form for the 2023 Mandatory Data Collection.  On April 28, 2023, WCB and OEA issued a Public Notice seeking comment on all aspects of the proposed </w:t>
      </w:r>
      <w:r w:rsidR="009D3B7A">
        <w:t xml:space="preserve">data </w:t>
      </w:r>
      <w:r w:rsidR="0027069A">
        <w:t>collection.</w:t>
      </w:r>
      <w:bookmarkStart w:id="9" w:name="_Hlk141453069"/>
      <w:r>
        <w:rPr>
          <w:rStyle w:val="FootnoteReference"/>
        </w:rPr>
        <w:footnoteReference w:id="24"/>
      </w:r>
      <w:r w:rsidR="0027069A">
        <w:t xml:space="preserve">  </w:t>
      </w:r>
      <w:r>
        <w:t>On July 26, 2023, WCB and OEA released an Order adopting instructions, a reporting template, and a certification form to implement the 2023 Mandatory Data Collection</w:t>
      </w:r>
      <w:bookmarkEnd w:id="9"/>
      <w:r>
        <w:t>.</w:t>
      </w:r>
      <w:r>
        <w:rPr>
          <w:rStyle w:val="FootnoteReference"/>
        </w:rPr>
        <w:footnoteReference w:id="25"/>
      </w:r>
    </w:p>
    <w:p w:rsidR="001712A9" w:rsidP="001712A9" w14:paraId="6D7FAF32" w14:textId="4BBFC824">
      <w:pPr>
        <w:pStyle w:val="ParaNum"/>
        <w:widowControl/>
        <w:numPr>
          <w:ilvl w:val="0"/>
          <w:numId w:val="0"/>
        </w:numPr>
        <w:ind w:firstLine="720"/>
      </w:pPr>
      <w:r>
        <w:t xml:space="preserve">In the </w:t>
      </w:r>
      <w:r w:rsidRPr="006F4654">
        <w:rPr>
          <w:i/>
          <w:iCs/>
        </w:rPr>
        <w:t>2023 IPCS Order</w:t>
      </w:r>
      <w:r>
        <w:t xml:space="preserve">, the Commission also reaffirmed and updated its prior delegation of authority to </w:t>
      </w:r>
      <w:r w:rsidR="00334EB7">
        <w:t>WCB and CGB (collectively, the Bureaus)</w:t>
      </w:r>
      <w:r>
        <w:t xml:space="preserve"> to revise the instructions and reporting templates for the Annual Reports.</w:t>
      </w:r>
      <w:r>
        <w:rPr>
          <w:rStyle w:val="FootnoteReference"/>
        </w:rPr>
        <w:footnoteReference w:id="26"/>
      </w:r>
      <w:r>
        <w:t xml:space="preserve">  </w:t>
      </w:r>
      <w:r w:rsidRPr="00154433">
        <w:t xml:space="preserve">Specifically, </w:t>
      </w:r>
      <w:r>
        <w:t xml:space="preserve">the Commission delegated </w:t>
      </w:r>
      <w:r w:rsidRPr="00154433">
        <w:t xml:space="preserve">to </w:t>
      </w:r>
      <w:r>
        <w:t xml:space="preserve">the Bureaus authority </w:t>
      </w:r>
      <w:r w:rsidRPr="00154433">
        <w:t xml:space="preserve">to modify, supplement, and update </w:t>
      </w:r>
      <w:r>
        <w:t xml:space="preserve">the </w:t>
      </w:r>
      <w:r w:rsidRPr="00154433">
        <w:t>instructions and template</w:t>
      </w:r>
      <w:r>
        <w:t>s</w:t>
      </w:r>
      <w:r w:rsidRPr="00154433">
        <w:t xml:space="preserve"> </w:t>
      </w:r>
      <w:r>
        <w:t>for the Annual Report</w:t>
      </w:r>
      <w:r w:rsidR="00B109FF">
        <w:t>.</w:t>
      </w:r>
      <w:r>
        <w:rPr>
          <w:rStyle w:val="FootnoteReference"/>
        </w:rPr>
        <w:footnoteReference w:id="27"/>
      </w:r>
      <w:r w:rsidRPr="00154433">
        <w:t xml:space="preserve"> </w:t>
      </w:r>
    </w:p>
    <w:bookmarkEnd w:id="7"/>
    <w:p w:rsidR="00090669" w:rsidP="002C0976" w14:paraId="3743AC64" w14:textId="2D2F9DF6">
      <w:pPr>
        <w:spacing w:after="120"/>
        <w:ind w:firstLine="720"/>
      </w:pPr>
      <w:r>
        <w:rPr>
          <w:szCs w:val="22"/>
        </w:rPr>
        <w:t xml:space="preserve">On August </w:t>
      </w:r>
      <w:r w:rsidR="009F6816">
        <w:rPr>
          <w:szCs w:val="22"/>
        </w:rPr>
        <w:t>3</w:t>
      </w:r>
      <w:r w:rsidR="003D017E">
        <w:rPr>
          <w:szCs w:val="22"/>
        </w:rPr>
        <w:t>,</w:t>
      </w:r>
      <w:r>
        <w:rPr>
          <w:szCs w:val="22"/>
        </w:rPr>
        <w:t xml:space="preserve"> 2023, the Bureau</w:t>
      </w:r>
      <w:r w:rsidR="00334EB7">
        <w:rPr>
          <w:szCs w:val="22"/>
        </w:rPr>
        <w:t>s</w:t>
      </w:r>
      <w:r>
        <w:rPr>
          <w:szCs w:val="22"/>
        </w:rPr>
        <w:t xml:space="preserve"> </w:t>
      </w:r>
      <w:r w:rsidR="005850E0">
        <w:rPr>
          <w:szCs w:val="22"/>
        </w:rPr>
        <w:t xml:space="preserve">released </w:t>
      </w:r>
      <w:r w:rsidR="00B36BA2">
        <w:rPr>
          <w:szCs w:val="22"/>
        </w:rPr>
        <w:t xml:space="preserve">the </w:t>
      </w:r>
      <w:r w:rsidRPr="00B36BA2" w:rsidR="00B36BA2">
        <w:rPr>
          <w:i/>
          <w:iCs/>
          <w:szCs w:val="22"/>
        </w:rPr>
        <w:t xml:space="preserve">2023 Annual Reports </w:t>
      </w:r>
      <w:r w:rsidRPr="00B36BA2">
        <w:rPr>
          <w:i/>
          <w:iCs/>
          <w:szCs w:val="22"/>
        </w:rPr>
        <w:t>Public Notice</w:t>
      </w:r>
      <w:r w:rsidR="00A50CB8">
        <w:rPr>
          <w:szCs w:val="22"/>
        </w:rPr>
        <w:t>,</w:t>
      </w:r>
      <w:r>
        <w:rPr>
          <w:szCs w:val="22"/>
        </w:rPr>
        <w:t xml:space="preserve"> seeking comment on </w:t>
      </w:r>
      <w:r w:rsidRPr="000052FF">
        <w:rPr>
          <w:szCs w:val="22"/>
        </w:rPr>
        <w:t>proposed revisions to the instructions</w:t>
      </w:r>
      <w:r w:rsidR="00B02BE3">
        <w:rPr>
          <w:szCs w:val="22"/>
        </w:rPr>
        <w:t xml:space="preserve">, </w:t>
      </w:r>
      <w:r w:rsidRPr="000052FF">
        <w:rPr>
          <w:szCs w:val="22"/>
        </w:rPr>
        <w:t>templates</w:t>
      </w:r>
      <w:r w:rsidR="00B02BE3">
        <w:rPr>
          <w:szCs w:val="22"/>
        </w:rPr>
        <w:t>, and certification form</w:t>
      </w:r>
      <w:r w:rsidRPr="000052FF">
        <w:rPr>
          <w:szCs w:val="22"/>
        </w:rPr>
        <w:t xml:space="preserve"> for the Annual Reports</w:t>
      </w:r>
      <w:r w:rsidR="00D43C24">
        <w:t>.</w:t>
      </w:r>
      <w:r>
        <w:rPr>
          <w:rStyle w:val="FootnoteReference"/>
        </w:rPr>
        <w:footnoteReference w:id="28"/>
      </w:r>
      <w:r w:rsidR="005850E0">
        <w:rPr>
          <w:szCs w:val="22"/>
        </w:rPr>
        <w:t xml:space="preserve">  In issuing the Public Notice, the Bureaus </w:t>
      </w:r>
      <w:r w:rsidR="006B0C4C">
        <w:rPr>
          <w:szCs w:val="22"/>
        </w:rPr>
        <w:t xml:space="preserve">proposed changes </w:t>
      </w:r>
      <w:r w:rsidR="00B431A8">
        <w:rPr>
          <w:szCs w:val="22"/>
        </w:rPr>
        <w:t>to</w:t>
      </w:r>
      <w:r w:rsidR="006B0C4C">
        <w:rPr>
          <w:szCs w:val="22"/>
        </w:rPr>
        <w:t xml:space="preserve"> reflect</w:t>
      </w:r>
      <w:r w:rsidRPr="00791B57" w:rsidR="00791B57">
        <w:t xml:space="preserve"> </w:t>
      </w:r>
      <w:r w:rsidRPr="00791B57" w:rsidR="008A3EB5">
        <w:rPr>
          <w:szCs w:val="22"/>
        </w:rPr>
        <w:t>the addition of video IPCS data to help implement the Martha Wright-Reed Act</w:t>
      </w:r>
      <w:r w:rsidR="008A3EB5">
        <w:t>,</w:t>
      </w:r>
      <w:r w:rsidRPr="007B4934" w:rsidR="008A3EB5">
        <w:t xml:space="preserve"> </w:t>
      </w:r>
      <w:r w:rsidR="008A3EB5">
        <w:t>as well as the</w:t>
      </w:r>
      <w:r w:rsidR="00EA2C7E">
        <w:rPr>
          <w:szCs w:val="22"/>
        </w:rPr>
        <w:t xml:space="preserve"> </w:t>
      </w:r>
      <w:r w:rsidRPr="0037200C" w:rsidR="00EA2C7E">
        <w:t xml:space="preserve">expanded reporting requirements regarding access to </w:t>
      </w:r>
      <w:r w:rsidRPr="007035D8" w:rsidR="00EA2C7E">
        <w:rPr>
          <w:szCs w:val="22"/>
        </w:rPr>
        <w:t>IPCS</w:t>
      </w:r>
      <w:r w:rsidRPr="0037200C" w:rsidR="00EA2C7E">
        <w:t xml:space="preserve"> by persons with communication disabilities</w:t>
      </w:r>
      <w:r w:rsidR="00EA2C7E">
        <w:t xml:space="preserve"> that were</w:t>
      </w:r>
      <w:r w:rsidRPr="0037200C" w:rsidR="00EA2C7E">
        <w:t xml:space="preserve"> adopted in </w:t>
      </w:r>
      <w:r w:rsidR="00EA2C7E">
        <w:t xml:space="preserve">the </w:t>
      </w:r>
      <w:r w:rsidRPr="00A16E9F" w:rsidR="00EA2C7E">
        <w:rPr>
          <w:i/>
          <w:iCs/>
        </w:rPr>
        <w:t>2022 ICS</w:t>
      </w:r>
      <w:r w:rsidR="00EA2C7E">
        <w:rPr>
          <w:i/>
          <w:iCs/>
        </w:rPr>
        <w:t xml:space="preserve"> Order</w:t>
      </w:r>
      <w:r w:rsidR="008A3EB5">
        <w:t>.</w:t>
      </w:r>
      <w:bookmarkEnd w:id="8"/>
      <w:r>
        <w:rPr>
          <w:rStyle w:val="FootnoteReference"/>
        </w:rPr>
        <w:footnoteReference w:id="29"/>
      </w:r>
    </w:p>
    <w:p w:rsidR="00D91474" w:rsidRPr="00D91474" w:rsidP="00915F36" w14:paraId="291A0191" w14:textId="16CBB50B">
      <w:pPr>
        <w:spacing w:after="120"/>
        <w:ind w:firstLine="720"/>
      </w:pPr>
      <w:r w:rsidRPr="00090669">
        <w:t xml:space="preserve">We estimate that approximately </w:t>
      </w:r>
      <w:r w:rsidRPr="00090669" w:rsidR="00A755D2">
        <w:t>3</w:t>
      </w:r>
      <w:r w:rsidRPr="00090669">
        <w:t xml:space="preserve">0 providers </w:t>
      </w:r>
      <w:r w:rsidRPr="00090669">
        <w:t xml:space="preserve">will be required to </w:t>
      </w:r>
      <w:r w:rsidRPr="00090669" w:rsidR="00203DA7">
        <w:t xml:space="preserve">comply with the </w:t>
      </w:r>
      <w:r w:rsidRPr="00090669" w:rsidR="00F120D2">
        <w:t xml:space="preserve">information </w:t>
      </w:r>
      <w:r w:rsidRPr="00090669" w:rsidR="00653F21">
        <w:t xml:space="preserve">requirements </w:t>
      </w:r>
      <w:r w:rsidRPr="00090669" w:rsidR="00F120D2">
        <w:t>of this collection.</w:t>
      </w:r>
    </w:p>
    <w:p w:rsidR="005F3CA5" w:rsidRPr="00917CE6" w:rsidP="00915F36" w14:paraId="3CFF3E8A" w14:textId="2831D6C8">
      <w:pPr>
        <w:spacing w:after="120"/>
        <w:ind w:firstLine="720"/>
      </w:pPr>
      <w:r w:rsidRPr="00090669">
        <w:t xml:space="preserve">Statutory authority for this information collection is contained in </w:t>
      </w:r>
      <w:r w:rsidRPr="00090669" w:rsidR="006C3295">
        <w:t>sections</w:t>
      </w:r>
      <w:r w:rsidRPr="00090669">
        <w:t xml:space="preserve"> </w:t>
      </w:r>
      <w:r w:rsidRPr="00917CE6">
        <w:t xml:space="preserve">1, 2, 4(i)-(j), </w:t>
      </w:r>
      <w:r>
        <w:t xml:space="preserve">5(c), </w:t>
      </w:r>
      <w:r w:rsidRPr="00917CE6">
        <w:t xml:space="preserve">201(b), 218, 220, </w:t>
      </w:r>
      <w:r>
        <w:t xml:space="preserve">225, 255, </w:t>
      </w:r>
      <w:r w:rsidRPr="00917CE6">
        <w:t xml:space="preserve">276, </w:t>
      </w:r>
      <w:r>
        <w:t xml:space="preserve">403, </w:t>
      </w:r>
      <w:r w:rsidRPr="00917CE6">
        <w:t xml:space="preserve">and </w:t>
      </w:r>
      <w:r>
        <w:t>716</w:t>
      </w:r>
      <w:r w:rsidRPr="00917CE6">
        <w:t xml:space="preserve"> of the Communications Act of 1934, as amended, 47 U.S.C. §§ 151, 152, 154(i)-(j), </w:t>
      </w:r>
      <w:r>
        <w:t xml:space="preserve">155(c), </w:t>
      </w:r>
      <w:r w:rsidRPr="00917CE6">
        <w:t xml:space="preserve">201(b), 218, 220, </w:t>
      </w:r>
      <w:r>
        <w:t xml:space="preserve">225, 255, </w:t>
      </w:r>
      <w:r w:rsidRPr="00917CE6">
        <w:t xml:space="preserve">276, </w:t>
      </w:r>
      <w:r>
        <w:t xml:space="preserve">403, </w:t>
      </w:r>
      <w:r w:rsidRPr="00917CE6">
        <w:t xml:space="preserve">and </w:t>
      </w:r>
      <w:r>
        <w:t>617,</w:t>
      </w:r>
      <w:r w:rsidRPr="00A01B32">
        <w:t xml:space="preserve"> and the Martha Wright-Reed Act, Pub. L. No. 117-338, 136 Stat</w:t>
      </w:r>
      <w:r>
        <w:t>.</w:t>
      </w:r>
      <w:r w:rsidRPr="00A01B32">
        <w:t xml:space="preserve"> 6156 (2022).</w:t>
      </w:r>
    </w:p>
    <w:p w:rsidR="00E2213C" w:rsidRPr="004460F4" w:rsidP="00AB4BAF" w14:paraId="0EE1A5A2" w14:textId="77777777">
      <w:pPr>
        <w:spacing w:after="120"/>
        <w:ind w:firstLine="720"/>
        <w:rPr>
          <w:szCs w:val="22"/>
        </w:rPr>
      </w:pPr>
      <w:r w:rsidRPr="004460F4">
        <w:rPr>
          <w:szCs w:val="22"/>
        </w:rPr>
        <w:t>This information collection does not affect individuals or households; thus, there are no impacts under the Privacy Act.</w:t>
      </w:r>
    </w:p>
    <w:p w:rsidR="007E0735" w:rsidRPr="00AB1E80" w:rsidP="009279ED" w14:paraId="589F44A8" w14:textId="4C48DB4D">
      <w:pPr>
        <w:pStyle w:val="Numberedparagraphs"/>
        <w:widowControl/>
        <w:numPr>
          <w:ilvl w:val="0"/>
          <w:numId w:val="0"/>
        </w:numPr>
        <w:tabs>
          <w:tab w:val="left" w:pos="720"/>
          <w:tab w:val="clear" w:pos="1440"/>
        </w:tabs>
      </w:pPr>
      <w:r w:rsidRPr="004460F4">
        <w:rPr>
          <w:szCs w:val="22"/>
        </w:rPr>
        <w:tab/>
        <w:t xml:space="preserve">2.  </w:t>
      </w:r>
      <w:bookmarkStart w:id="13" w:name="_Hlk14172746"/>
      <w:r w:rsidRPr="004460F4" w:rsidR="0029304C">
        <w:rPr>
          <w:szCs w:val="22"/>
        </w:rPr>
        <w:t xml:space="preserve">The information requirements set forth below ensure that the Commission </w:t>
      </w:r>
      <w:r w:rsidR="00ED2242">
        <w:rPr>
          <w:szCs w:val="22"/>
        </w:rPr>
        <w:t xml:space="preserve">will have </w:t>
      </w:r>
      <w:r w:rsidRPr="004460F4" w:rsidR="0029304C">
        <w:rPr>
          <w:szCs w:val="22"/>
        </w:rPr>
        <w:t>access to the information it needs to fulfill its</w:t>
      </w:r>
      <w:r w:rsidR="00EF19DE">
        <w:rPr>
          <w:szCs w:val="22"/>
        </w:rPr>
        <w:t xml:space="preserve"> statutory and</w:t>
      </w:r>
      <w:r w:rsidRPr="004460F4" w:rsidR="0029304C">
        <w:rPr>
          <w:szCs w:val="22"/>
        </w:rPr>
        <w:t xml:space="preserve"> regulatory duties</w:t>
      </w:r>
      <w:r w:rsidRPr="004460F4" w:rsidR="003D4CB7">
        <w:rPr>
          <w:szCs w:val="22"/>
        </w:rPr>
        <w:t>,</w:t>
      </w:r>
      <w:r w:rsidRPr="004460F4" w:rsidR="0029304C">
        <w:rPr>
          <w:szCs w:val="22"/>
        </w:rPr>
        <w:t xml:space="preserve"> while minimizing the burden on providers.</w:t>
      </w:r>
      <w:r w:rsidRPr="004460F4" w:rsidR="006D646C">
        <w:rPr>
          <w:szCs w:val="22"/>
        </w:rPr>
        <w:t xml:space="preserve"> </w:t>
      </w:r>
      <w:r w:rsidR="00C007D9">
        <w:rPr>
          <w:szCs w:val="22"/>
        </w:rPr>
        <w:t xml:space="preserve"> </w:t>
      </w:r>
      <w:r w:rsidR="00923478">
        <w:rPr>
          <w:szCs w:val="22"/>
        </w:rPr>
        <w:t>Continuing to require</w:t>
      </w:r>
      <w:r w:rsidR="0020686C">
        <w:rPr>
          <w:szCs w:val="22"/>
        </w:rPr>
        <w:t xml:space="preserve"> </w:t>
      </w:r>
      <w:r w:rsidRPr="004460F4" w:rsidR="006D646C">
        <w:rPr>
          <w:szCs w:val="22"/>
        </w:rPr>
        <w:t xml:space="preserve">providers to file </w:t>
      </w:r>
      <w:r w:rsidR="00E620BC">
        <w:rPr>
          <w:szCs w:val="22"/>
        </w:rPr>
        <w:t>A</w:t>
      </w:r>
      <w:r w:rsidRPr="004460F4" w:rsidR="006D646C">
        <w:rPr>
          <w:szCs w:val="22"/>
        </w:rPr>
        <w:t xml:space="preserve">nnual </w:t>
      </w:r>
      <w:r w:rsidR="00E620BC">
        <w:rPr>
          <w:szCs w:val="22"/>
        </w:rPr>
        <w:t>Re</w:t>
      </w:r>
      <w:r w:rsidRPr="004460F4" w:rsidR="006D646C">
        <w:rPr>
          <w:szCs w:val="22"/>
        </w:rPr>
        <w:t xml:space="preserve">ports </w:t>
      </w:r>
      <w:r w:rsidRPr="004460F4" w:rsidR="00D039F8">
        <w:rPr>
          <w:szCs w:val="22"/>
        </w:rPr>
        <w:t xml:space="preserve">and </w:t>
      </w:r>
      <w:r w:rsidR="00E620BC">
        <w:rPr>
          <w:szCs w:val="22"/>
        </w:rPr>
        <w:t>C</w:t>
      </w:r>
      <w:r w:rsidRPr="004460F4" w:rsidR="00D039F8">
        <w:rPr>
          <w:szCs w:val="22"/>
        </w:rPr>
        <w:t xml:space="preserve">ertifications </w:t>
      </w:r>
      <w:r w:rsidRPr="00035D86" w:rsidR="00194C59">
        <w:rPr>
          <w:szCs w:val="22"/>
        </w:rPr>
        <w:t xml:space="preserve">will help the Commission discharge </w:t>
      </w:r>
      <w:r w:rsidRPr="00035D86" w:rsidR="006D646C">
        <w:rPr>
          <w:szCs w:val="22"/>
        </w:rPr>
        <w:t>its</w:t>
      </w:r>
      <w:r w:rsidRPr="00035D86" w:rsidR="007A7A22">
        <w:rPr>
          <w:szCs w:val="22"/>
        </w:rPr>
        <w:t xml:space="preserve"> statutory</w:t>
      </w:r>
      <w:r w:rsidRPr="00035D86" w:rsidR="006D646C">
        <w:rPr>
          <w:szCs w:val="22"/>
        </w:rPr>
        <w:t xml:space="preserve"> mandate</w:t>
      </w:r>
      <w:r w:rsidRPr="00035D86" w:rsidR="007A7A22">
        <w:rPr>
          <w:szCs w:val="22"/>
        </w:rPr>
        <w:t>s</w:t>
      </w:r>
      <w:r w:rsidRPr="00035D86" w:rsidR="006D646C">
        <w:rPr>
          <w:szCs w:val="22"/>
        </w:rPr>
        <w:t xml:space="preserve"> </w:t>
      </w:r>
      <w:r w:rsidR="00C934E5">
        <w:rPr>
          <w:szCs w:val="22"/>
        </w:rPr>
        <w:t xml:space="preserve">regarding </w:t>
      </w:r>
      <w:r w:rsidRPr="00035D86" w:rsidR="007A7A22">
        <w:rPr>
          <w:szCs w:val="22"/>
        </w:rPr>
        <w:t>I</w:t>
      </w:r>
      <w:r w:rsidR="00A755D2">
        <w:rPr>
          <w:szCs w:val="22"/>
        </w:rPr>
        <w:t>P</w:t>
      </w:r>
      <w:r w:rsidRPr="00035D86" w:rsidR="007A7A22">
        <w:rPr>
          <w:szCs w:val="22"/>
        </w:rPr>
        <w:t>CS</w:t>
      </w:r>
      <w:r w:rsidRPr="00EC3A4C" w:rsidR="006D646C">
        <w:rPr>
          <w:szCs w:val="22"/>
        </w:rPr>
        <w:t>.</w:t>
      </w:r>
      <w:r w:rsidRPr="00EC3A4C" w:rsidR="00E67A94">
        <w:rPr>
          <w:szCs w:val="22"/>
        </w:rPr>
        <w:t xml:space="preserve"> </w:t>
      </w:r>
      <w:bookmarkEnd w:id="13"/>
      <w:r w:rsidR="007846D0">
        <w:rPr>
          <w:szCs w:val="22"/>
        </w:rPr>
        <w:t xml:space="preserve"> The information requirements in section 64.6040(c) will </w:t>
      </w:r>
      <w:r w:rsidR="006D6482">
        <w:rPr>
          <w:szCs w:val="22"/>
        </w:rPr>
        <w:t>improve access</w:t>
      </w:r>
      <w:r w:rsidR="007846D0">
        <w:rPr>
          <w:szCs w:val="22"/>
        </w:rPr>
        <w:t xml:space="preserve"> </w:t>
      </w:r>
      <w:r w:rsidR="00705E6F">
        <w:rPr>
          <w:szCs w:val="22"/>
        </w:rPr>
        <w:t>to communications services for</w:t>
      </w:r>
      <w:r w:rsidR="007846D0">
        <w:rPr>
          <w:szCs w:val="22"/>
        </w:rPr>
        <w:t xml:space="preserve"> incarcerated people with communications disabilities </w:t>
      </w:r>
      <w:r w:rsidR="00705E6F">
        <w:rPr>
          <w:szCs w:val="22"/>
        </w:rPr>
        <w:t>by expanding the rules for advanced TRS.</w:t>
      </w:r>
    </w:p>
    <w:p w:rsidR="007E0735" w:rsidRPr="004460F4" w:rsidP="007E0735" w14:paraId="04E625D9" w14:textId="496CFF7C">
      <w:pPr>
        <w:pStyle w:val="Numberedparagraphs"/>
        <w:numPr>
          <w:ilvl w:val="0"/>
          <w:numId w:val="0"/>
        </w:numPr>
        <w:tabs>
          <w:tab w:val="left" w:pos="720"/>
          <w:tab w:val="clear" w:pos="1440"/>
        </w:tabs>
        <w:rPr>
          <w:szCs w:val="22"/>
        </w:rPr>
      </w:pPr>
      <w:r w:rsidRPr="004460F4">
        <w:rPr>
          <w:szCs w:val="22"/>
        </w:rPr>
        <w:tab/>
        <w:t xml:space="preserve">3.  </w:t>
      </w:r>
      <w:r w:rsidR="005145B1">
        <w:rPr>
          <w:szCs w:val="22"/>
        </w:rPr>
        <w:t xml:space="preserve">This collection involves the use of </w:t>
      </w:r>
      <w:r w:rsidR="003B1F05">
        <w:rPr>
          <w:szCs w:val="22"/>
        </w:rPr>
        <w:t xml:space="preserve">informational technology </w:t>
      </w:r>
      <w:r w:rsidR="005145B1">
        <w:rPr>
          <w:szCs w:val="22"/>
        </w:rPr>
        <w:t xml:space="preserve">to permit the electronic submission of </w:t>
      </w:r>
      <w:r w:rsidR="003B1F05">
        <w:rPr>
          <w:szCs w:val="22"/>
        </w:rPr>
        <w:t xml:space="preserve">responses.  In particular, the Commission </w:t>
      </w:r>
      <w:r w:rsidR="00923478">
        <w:rPr>
          <w:szCs w:val="22"/>
        </w:rPr>
        <w:t xml:space="preserve">developed </w:t>
      </w:r>
      <w:r w:rsidR="003B1F05">
        <w:rPr>
          <w:szCs w:val="22"/>
        </w:rPr>
        <w:t>standardized template</w:t>
      </w:r>
      <w:r w:rsidR="001D30FB">
        <w:rPr>
          <w:szCs w:val="22"/>
        </w:rPr>
        <w:t>s</w:t>
      </w:r>
      <w:r w:rsidR="003B1F05">
        <w:rPr>
          <w:szCs w:val="22"/>
        </w:rPr>
        <w:t xml:space="preserve"> for the submission of </w:t>
      </w:r>
      <w:r w:rsidR="00C669FB">
        <w:rPr>
          <w:szCs w:val="22"/>
        </w:rPr>
        <w:t xml:space="preserve">the </w:t>
      </w:r>
      <w:r w:rsidR="0055474E">
        <w:rPr>
          <w:szCs w:val="22"/>
        </w:rPr>
        <w:t>A</w:t>
      </w:r>
      <w:r w:rsidR="00C669FB">
        <w:rPr>
          <w:szCs w:val="22"/>
        </w:rPr>
        <w:t xml:space="preserve">nnual </w:t>
      </w:r>
      <w:r w:rsidR="0055474E">
        <w:rPr>
          <w:szCs w:val="22"/>
        </w:rPr>
        <w:t>R</w:t>
      </w:r>
      <w:r w:rsidR="00C669FB">
        <w:rPr>
          <w:szCs w:val="22"/>
        </w:rPr>
        <w:t>eports</w:t>
      </w:r>
      <w:r w:rsidR="003B1F05">
        <w:rPr>
          <w:szCs w:val="22"/>
        </w:rPr>
        <w:t xml:space="preserve"> and to provide instructions to simplify compliance with, and reduce the burden of, the information requirements</w:t>
      </w:r>
      <w:r w:rsidR="00C669FB">
        <w:rPr>
          <w:szCs w:val="22"/>
        </w:rPr>
        <w:t xml:space="preserve"> related to those reports</w:t>
      </w:r>
      <w:r w:rsidR="003B1F05">
        <w:rPr>
          <w:szCs w:val="22"/>
        </w:rPr>
        <w:t xml:space="preserve">.  The template includes instructions and </w:t>
      </w:r>
      <w:r w:rsidR="004974DF">
        <w:rPr>
          <w:szCs w:val="22"/>
        </w:rPr>
        <w:t xml:space="preserve">both </w:t>
      </w:r>
      <w:r w:rsidR="003B1F05">
        <w:rPr>
          <w:szCs w:val="22"/>
        </w:rPr>
        <w:t>text fields</w:t>
      </w:r>
      <w:r w:rsidR="004974DF">
        <w:rPr>
          <w:szCs w:val="22"/>
        </w:rPr>
        <w:t xml:space="preserve"> and spreadsheet cells</w:t>
      </w:r>
      <w:r w:rsidR="003B1F05">
        <w:rPr>
          <w:szCs w:val="22"/>
        </w:rPr>
        <w:t xml:space="preserve"> for respondents to use to report the required data.  Providers are directed to file their </w:t>
      </w:r>
      <w:r w:rsidR="0055474E">
        <w:rPr>
          <w:szCs w:val="22"/>
        </w:rPr>
        <w:t>A</w:t>
      </w:r>
      <w:r w:rsidR="003B1F05">
        <w:rPr>
          <w:szCs w:val="22"/>
        </w:rPr>
        <w:t xml:space="preserve">nnual </w:t>
      </w:r>
      <w:r w:rsidR="0055474E">
        <w:rPr>
          <w:szCs w:val="22"/>
        </w:rPr>
        <w:t>R</w:t>
      </w:r>
      <w:r w:rsidR="003B1F05">
        <w:rPr>
          <w:szCs w:val="22"/>
        </w:rPr>
        <w:t>eports and certifications electronically using the Commission’s Electronic Comment Filing System (ECFS)</w:t>
      </w:r>
      <w:r w:rsidR="0086577C">
        <w:rPr>
          <w:szCs w:val="22"/>
        </w:rPr>
        <w:t>.</w:t>
      </w:r>
    </w:p>
    <w:p w:rsidR="007E0735" w:rsidRPr="004460F4" w:rsidP="00C42275" w14:paraId="0C46A604" w14:textId="49D0AFF7">
      <w:pPr>
        <w:pStyle w:val="Numberedparagraphs"/>
        <w:widowControl/>
        <w:numPr>
          <w:ilvl w:val="0"/>
          <w:numId w:val="0"/>
        </w:numPr>
        <w:tabs>
          <w:tab w:val="left" w:pos="720"/>
          <w:tab w:val="clear" w:pos="1440"/>
        </w:tabs>
        <w:rPr>
          <w:szCs w:val="22"/>
        </w:rPr>
      </w:pPr>
      <w:r w:rsidRPr="004460F4">
        <w:rPr>
          <w:szCs w:val="22"/>
        </w:rPr>
        <w:tab/>
        <w:t xml:space="preserve">4.  The Commission is not aware of any similar information already available that </w:t>
      </w:r>
      <w:r w:rsidR="00276AED">
        <w:rPr>
          <w:szCs w:val="22"/>
        </w:rPr>
        <w:t xml:space="preserve">can be used or </w:t>
      </w:r>
      <w:r w:rsidRPr="004460F4">
        <w:rPr>
          <w:szCs w:val="22"/>
        </w:rPr>
        <w:t xml:space="preserve">modified for the purposes described in Item 2 above. </w:t>
      </w:r>
      <w:r w:rsidR="0058708E">
        <w:rPr>
          <w:szCs w:val="22"/>
        </w:rPr>
        <w:t xml:space="preserve"> The</w:t>
      </w:r>
      <w:r w:rsidR="003F7F1C">
        <w:rPr>
          <w:szCs w:val="22"/>
        </w:rPr>
        <w:t xml:space="preserve"> </w:t>
      </w:r>
      <w:r w:rsidR="00DF46D7">
        <w:rPr>
          <w:szCs w:val="22"/>
        </w:rPr>
        <w:t>A</w:t>
      </w:r>
      <w:r w:rsidR="003F7F1C">
        <w:rPr>
          <w:szCs w:val="22"/>
        </w:rPr>
        <w:t>nnual</w:t>
      </w:r>
      <w:r w:rsidR="00964EC2">
        <w:rPr>
          <w:szCs w:val="22"/>
        </w:rPr>
        <w:t xml:space="preserve"> </w:t>
      </w:r>
      <w:r w:rsidR="00DF46D7">
        <w:rPr>
          <w:szCs w:val="22"/>
        </w:rPr>
        <w:t>R</w:t>
      </w:r>
      <w:r w:rsidR="00964EC2">
        <w:rPr>
          <w:szCs w:val="22"/>
        </w:rPr>
        <w:t>eports</w:t>
      </w:r>
      <w:r w:rsidR="00C6632E">
        <w:rPr>
          <w:szCs w:val="22"/>
        </w:rPr>
        <w:t xml:space="preserve"> will</w:t>
      </w:r>
      <w:r w:rsidR="00964EC2">
        <w:rPr>
          <w:szCs w:val="22"/>
        </w:rPr>
        <w:t xml:space="preserve"> provide the Commission, its state counterparts, and the public with a more complete picture of  providers’ operations </w:t>
      </w:r>
      <w:r w:rsidR="00BD289E">
        <w:rPr>
          <w:szCs w:val="22"/>
        </w:rPr>
        <w:t xml:space="preserve">and will not </w:t>
      </w:r>
      <w:r w:rsidR="00964EC2">
        <w:rPr>
          <w:szCs w:val="22"/>
        </w:rPr>
        <w:t>unduly increas</w:t>
      </w:r>
      <w:r w:rsidR="00BD289E">
        <w:rPr>
          <w:szCs w:val="22"/>
        </w:rPr>
        <w:t>e</w:t>
      </w:r>
      <w:r w:rsidR="00964EC2">
        <w:rPr>
          <w:szCs w:val="22"/>
        </w:rPr>
        <w:t xml:space="preserve"> the burdens on providers.</w:t>
      </w:r>
    </w:p>
    <w:p w:rsidR="00845E1B" w:rsidP="006437B7" w14:paraId="0D5B9311" w14:textId="3066389C">
      <w:pPr>
        <w:pStyle w:val="Numberedparagraphs"/>
        <w:numPr>
          <w:ilvl w:val="0"/>
          <w:numId w:val="0"/>
        </w:numPr>
        <w:tabs>
          <w:tab w:val="left" w:pos="720"/>
        </w:tabs>
        <w:ind w:left="180"/>
        <w:rPr>
          <w:szCs w:val="22"/>
        </w:rPr>
      </w:pPr>
      <w:r>
        <w:rPr>
          <w:szCs w:val="22"/>
        </w:rPr>
        <w:tab/>
      </w:r>
      <w:r w:rsidRPr="004460F4" w:rsidR="007E0735">
        <w:rPr>
          <w:szCs w:val="22"/>
        </w:rPr>
        <w:t>5.  Because the Commission</w:t>
      </w:r>
      <w:r w:rsidR="005008B4">
        <w:rPr>
          <w:szCs w:val="22"/>
        </w:rPr>
        <w:t xml:space="preserve"> </w:t>
      </w:r>
      <w:r w:rsidRPr="004460F4" w:rsidR="007E0735">
        <w:rPr>
          <w:szCs w:val="22"/>
        </w:rPr>
        <w:t>requir</w:t>
      </w:r>
      <w:r w:rsidR="005008B4">
        <w:rPr>
          <w:szCs w:val="22"/>
        </w:rPr>
        <w:t>es</w:t>
      </w:r>
      <w:r w:rsidRPr="004460F4" w:rsidR="007E0735">
        <w:rPr>
          <w:szCs w:val="22"/>
        </w:rPr>
        <w:t xml:space="preserve"> all </w:t>
      </w:r>
      <w:r w:rsidR="00D44198">
        <w:rPr>
          <w:szCs w:val="22"/>
        </w:rPr>
        <w:t xml:space="preserve">ICS </w:t>
      </w:r>
      <w:r w:rsidRPr="004460F4" w:rsidR="007E0735">
        <w:rPr>
          <w:szCs w:val="22"/>
        </w:rPr>
        <w:t xml:space="preserve">providers to </w:t>
      </w:r>
      <w:r w:rsidR="009E5E9C">
        <w:rPr>
          <w:szCs w:val="22"/>
        </w:rPr>
        <w:t xml:space="preserve">comply with </w:t>
      </w:r>
      <w:r w:rsidR="0048570E">
        <w:rPr>
          <w:szCs w:val="22"/>
        </w:rPr>
        <w:t xml:space="preserve">the Annual Report and </w:t>
      </w:r>
      <w:r w:rsidR="008711E3">
        <w:rPr>
          <w:szCs w:val="22"/>
        </w:rPr>
        <w:t>c</w:t>
      </w:r>
      <w:r w:rsidR="0048570E">
        <w:rPr>
          <w:szCs w:val="22"/>
        </w:rPr>
        <w:t>ertification requirements</w:t>
      </w:r>
      <w:r w:rsidRPr="004460F4" w:rsidR="007E0735">
        <w:rPr>
          <w:szCs w:val="22"/>
        </w:rPr>
        <w:t xml:space="preserve">, </w:t>
      </w:r>
      <w:r w:rsidR="0048570E">
        <w:rPr>
          <w:szCs w:val="22"/>
        </w:rPr>
        <w:t xml:space="preserve">this information collection </w:t>
      </w:r>
      <w:r w:rsidRPr="004460F4" w:rsidR="007E0735">
        <w:rPr>
          <w:szCs w:val="22"/>
        </w:rPr>
        <w:t xml:space="preserve">will affect smaller as well as larger providers.  </w:t>
      </w:r>
      <w:r w:rsidR="0048570E">
        <w:rPr>
          <w:szCs w:val="22"/>
        </w:rPr>
        <w:t>The Commission has taken steps to ensure that the reporting templates are competitively neutral and not unduly burdensome for any set of providers</w:t>
      </w:r>
      <w:r w:rsidRPr="004460F4" w:rsidR="007E0735">
        <w:rPr>
          <w:szCs w:val="22"/>
        </w:rPr>
        <w:t xml:space="preserve">. </w:t>
      </w:r>
    </w:p>
    <w:p w:rsidR="00F531AA" w:rsidP="00F531AA" w14:paraId="438320FB" w14:textId="1DE30D26">
      <w:pPr>
        <w:pStyle w:val="Numberedparagraphs"/>
        <w:numPr>
          <w:ilvl w:val="0"/>
          <w:numId w:val="0"/>
        </w:numPr>
        <w:tabs>
          <w:tab w:val="left" w:pos="720"/>
        </w:tabs>
        <w:ind w:left="180"/>
        <w:rPr>
          <w:szCs w:val="22"/>
        </w:rPr>
      </w:pPr>
      <w:r>
        <w:rPr>
          <w:szCs w:val="22"/>
        </w:rPr>
        <w:tab/>
      </w:r>
      <w:r w:rsidRPr="004460F4" w:rsidR="007E0735">
        <w:rPr>
          <w:szCs w:val="22"/>
        </w:rPr>
        <w:t xml:space="preserve">6.  </w:t>
      </w:r>
      <w:r w:rsidRPr="004460F4" w:rsidR="00387192">
        <w:rPr>
          <w:szCs w:val="22"/>
        </w:rPr>
        <w:t>Collecting</w:t>
      </w:r>
      <w:r w:rsidRPr="004460F4" w:rsidR="007E0735">
        <w:rPr>
          <w:szCs w:val="22"/>
        </w:rPr>
        <w:t xml:space="preserve"> the </w:t>
      </w:r>
      <w:r w:rsidR="00646C17">
        <w:rPr>
          <w:szCs w:val="22"/>
        </w:rPr>
        <w:t>information</w:t>
      </w:r>
      <w:r w:rsidRPr="004460F4" w:rsidR="007E0735">
        <w:rPr>
          <w:szCs w:val="22"/>
        </w:rPr>
        <w:t xml:space="preserve"> on a less frequent basis</w:t>
      </w:r>
      <w:r w:rsidRPr="004460F4" w:rsidR="00FF3566">
        <w:rPr>
          <w:szCs w:val="22"/>
        </w:rPr>
        <w:t>,</w:t>
      </w:r>
      <w:r w:rsidRPr="004460F4" w:rsidR="007E0735">
        <w:rPr>
          <w:szCs w:val="22"/>
        </w:rPr>
        <w:t xml:space="preserve"> or not at all</w:t>
      </w:r>
      <w:r w:rsidRPr="004460F4" w:rsidR="00FF3566">
        <w:rPr>
          <w:szCs w:val="22"/>
        </w:rPr>
        <w:t>,</w:t>
      </w:r>
      <w:r w:rsidRPr="004460F4" w:rsidR="007E0735">
        <w:rPr>
          <w:szCs w:val="22"/>
        </w:rPr>
        <w:t xml:space="preserve"> would undermine the Commission’s efforts to ensure</w:t>
      </w:r>
      <w:r w:rsidRPr="004460F4" w:rsidR="003F701F">
        <w:rPr>
          <w:szCs w:val="22"/>
        </w:rPr>
        <w:t xml:space="preserve"> that I</w:t>
      </w:r>
      <w:r w:rsidR="00174F81">
        <w:rPr>
          <w:szCs w:val="22"/>
        </w:rPr>
        <w:t>PCS</w:t>
      </w:r>
      <w:r w:rsidRPr="004460F4" w:rsidR="003F701F">
        <w:rPr>
          <w:szCs w:val="22"/>
        </w:rPr>
        <w:t xml:space="preserve"> </w:t>
      </w:r>
      <w:r w:rsidRPr="00085F84" w:rsidR="003F701F">
        <w:rPr>
          <w:szCs w:val="22"/>
        </w:rPr>
        <w:t>is provided at</w:t>
      </w:r>
      <w:r w:rsidRPr="00085F84" w:rsidR="007E0735">
        <w:rPr>
          <w:szCs w:val="22"/>
        </w:rPr>
        <w:t xml:space="preserve"> </w:t>
      </w:r>
      <w:r w:rsidRPr="00085F84" w:rsidR="00152BFD">
        <w:rPr>
          <w:szCs w:val="22"/>
        </w:rPr>
        <w:t>just</w:t>
      </w:r>
      <w:r w:rsidRPr="00085F84" w:rsidR="009E5E9C">
        <w:rPr>
          <w:szCs w:val="22"/>
        </w:rPr>
        <w:t xml:space="preserve"> and </w:t>
      </w:r>
      <w:r w:rsidRPr="00085F84" w:rsidR="00152BFD">
        <w:rPr>
          <w:szCs w:val="22"/>
        </w:rPr>
        <w:t>reasonable</w:t>
      </w:r>
      <w:r w:rsidRPr="00085F84" w:rsidR="009E5E9C">
        <w:rPr>
          <w:szCs w:val="22"/>
        </w:rPr>
        <w:t xml:space="preserve"> </w:t>
      </w:r>
      <w:r w:rsidRPr="00085F84" w:rsidR="003F701F">
        <w:rPr>
          <w:szCs w:val="22"/>
        </w:rPr>
        <w:t>rates</w:t>
      </w:r>
      <w:r w:rsidRPr="00085F84" w:rsidR="00D137E9">
        <w:rPr>
          <w:szCs w:val="22"/>
        </w:rPr>
        <w:t xml:space="preserve"> and</w:t>
      </w:r>
      <w:r w:rsidRPr="00085F84" w:rsidR="003F701F">
        <w:rPr>
          <w:szCs w:val="22"/>
        </w:rPr>
        <w:t xml:space="preserve"> to ensure that any ancillary services charges associated with I</w:t>
      </w:r>
      <w:r w:rsidR="00174F81">
        <w:rPr>
          <w:szCs w:val="22"/>
        </w:rPr>
        <w:t>PCS</w:t>
      </w:r>
      <w:r w:rsidRPr="00085F84" w:rsidR="003F701F">
        <w:rPr>
          <w:szCs w:val="22"/>
        </w:rPr>
        <w:t xml:space="preserve"> are also </w:t>
      </w:r>
      <w:r w:rsidRPr="00085F84" w:rsidR="00152BFD">
        <w:rPr>
          <w:szCs w:val="22"/>
        </w:rPr>
        <w:t>just</w:t>
      </w:r>
      <w:r w:rsidRPr="00085F84" w:rsidR="009E5E9C">
        <w:rPr>
          <w:szCs w:val="22"/>
        </w:rPr>
        <w:t xml:space="preserve"> and </w:t>
      </w:r>
      <w:r w:rsidRPr="00085F84" w:rsidR="003F701F">
        <w:rPr>
          <w:szCs w:val="22"/>
        </w:rPr>
        <w:t>reasonable</w:t>
      </w:r>
      <w:r w:rsidRPr="00085F84" w:rsidR="007E0735">
        <w:rPr>
          <w:szCs w:val="22"/>
        </w:rPr>
        <w:t>.  It would also deprive consumers and other affected parties of the ability to monitor I</w:t>
      </w:r>
      <w:r w:rsidR="00174F81">
        <w:rPr>
          <w:szCs w:val="22"/>
        </w:rPr>
        <w:t>PCS</w:t>
      </w:r>
      <w:r w:rsidR="0054180C">
        <w:rPr>
          <w:szCs w:val="22"/>
        </w:rPr>
        <w:t xml:space="preserve"> rates and charges</w:t>
      </w:r>
      <w:r w:rsidRPr="00085F84" w:rsidR="00873901">
        <w:rPr>
          <w:szCs w:val="22"/>
        </w:rPr>
        <w:t>.</w:t>
      </w:r>
      <w:r w:rsidRPr="00085F84" w:rsidR="00937004">
        <w:rPr>
          <w:szCs w:val="22"/>
        </w:rPr>
        <w:t xml:space="preserve"> </w:t>
      </w:r>
      <w:r w:rsidR="00DD51D6">
        <w:rPr>
          <w:szCs w:val="22"/>
        </w:rPr>
        <w:t xml:space="preserve"> </w:t>
      </w:r>
      <w:r w:rsidR="00623A44">
        <w:rPr>
          <w:szCs w:val="22"/>
        </w:rPr>
        <w:t>N</w:t>
      </w:r>
      <w:r>
        <w:rPr>
          <w:szCs w:val="22"/>
        </w:rPr>
        <w:t>ot</w:t>
      </w:r>
      <w:r w:rsidRPr="00085F84" w:rsidR="00B136F6">
        <w:rPr>
          <w:szCs w:val="22"/>
        </w:rPr>
        <w:t xml:space="preserve"> requiring</w:t>
      </w:r>
      <w:r w:rsidR="0084092E">
        <w:rPr>
          <w:szCs w:val="22"/>
        </w:rPr>
        <w:t xml:space="preserve"> </w:t>
      </w:r>
      <w:r w:rsidRPr="00085F84" w:rsidR="00B136F6">
        <w:rPr>
          <w:szCs w:val="22"/>
        </w:rPr>
        <w:t xml:space="preserve">providers to </w:t>
      </w:r>
      <w:r w:rsidR="009C6AC2">
        <w:rPr>
          <w:szCs w:val="22"/>
        </w:rPr>
        <w:t>disclose their charges</w:t>
      </w:r>
      <w:r w:rsidR="00101BE9">
        <w:rPr>
          <w:szCs w:val="22"/>
        </w:rPr>
        <w:t xml:space="preserve"> would prevent customers from making informed decisions before deciding whether or how to use the provider’s services.</w:t>
      </w:r>
      <w:r w:rsidRPr="00085F84" w:rsidR="00101BE9">
        <w:rPr>
          <w:szCs w:val="22"/>
        </w:rPr>
        <w:t xml:space="preserve"> </w:t>
      </w:r>
    </w:p>
    <w:p w:rsidR="007E0735" w:rsidRPr="004817AC" w:rsidP="00101BE9" w14:paraId="76D37938" w14:textId="77777777">
      <w:pPr>
        <w:pStyle w:val="Numberedparagraphs"/>
        <w:numPr>
          <w:ilvl w:val="0"/>
          <w:numId w:val="0"/>
        </w:numPr>
        <w:tabs>
          <w:tab w:val="left" w:pos="720"/>
        </w:tabs>
        <w:ind w:left="180"/>
        <w:rPr>
          <w:szCs w:val="22"/>
        </w:rPr>
      </w:pPr>
      <w:r>
        <w:rPr>
          <w:szCs w:val="22"/>
        </w:rPr>
        <w:tab/>
      </w:r>
      <w:r w:rsidRPr="004817AC">
        <w:rPr>
          <w:szCs w:val="22"/>
        </w:rPr>
        <w:t xml:space="preserve">7.  No other special circumstances will apply to this information collection. </w:t>
      </w:r>
    </w:p>
    <w:p w:rsidR="00080428" w:rsidRPr="00E1433B" w:rsidP="00387747" w14:paraId="3561FE7F" w14:textId="0A7F0F98">
      <w:pPr>
        <w:pStyle w:val="Numberedparagraphs"/>
        <w:widowControl/>
        <w:numPr>
          <w:ilvl w:val="0"/>
          <w:numId w:val="0"/>
        </w:numPr>
        <w:tabs>
          <w:tab w:val="left" w:pos="720"/>
          <w:tab w:val="clear" w:pos="1440"/>
        </w:tabs>
        <w:rPr>
          <w:szCs w:val="22"/>
        </w:rPr>
      </w:pPr>
      <w:r w:rsidRPr="00937004">
        <w:rPr>
          <w:szCs w:val="22"/>
        </w:rPr>
        <w:tab/>
        <w:t>8.  Pursuant to 5 C.F.R. § 1320.8 (d),</w:t>
      </w:r>
      <w:r w:rsidRPr="00A23058" w:rsidR="00A23058">
        <w:rPr>
          <w:szCs w:val="22"/>
        </w:rPr>
        <w:t xml:space="preserve"> </w:t>
      </w:r>
      <w:r w:rsidR="003808BD">
        <w:rPr>
          <w:szCs w:val="22"/>
        </w:rPr>
        <w:t xml:space="preserve">on </w:t>
      </w:r>
      <w:r w:rsidRPr="00D0012A" w:rsidR="00174F81">
        <w:rPr>
          <w:szCs w:val="22"/>
        </w:rPr>
        <w:t xml:space="preserve">August </w:t>
      </w:r>
      <w:r w:rsidR="001110C7">
        <w:rPr>
          <w:szCs w:val="22"/>
        </w:rPr>
        <w:t xml:space="preserve">10 </w:t>
      </w:r>
      <w:r w:rsidRPr="00D0012A" w:rsidR="00DB2E88">
        <w:rPr>
          <w:szCs w:val="22"/>
        </w:rPr>
        <w:t>,</w:t>
      </w:r>
      <w:r w:rsidR="00174F81">
        <w:rPr>
          <w:szCs w:val="22"/>
        </w:rPr>
        <w:t xml:space="preserve"> </w:t>
      </w:r>
      <w:r w:rsidR="003808BD">
        <w:rPr>
          <w:szCs w:val="22"/>
        </w:rPr>
        <w:t>202</w:t>
      </w:r>
      <w:r w:rsidR="00174F81">
        <w:rPr>
          <w:szCs w:val="22"/>
        </w:rPr>
        <w:t>3</w:t>
      </w:r>
      <w:r w:rsidR="003808BD">
        <w:rPr>
          <w:szCs w:val="22"/>
        </w:rPr>
        <w:t xml:space="preserve"> </w:t>
      </w:r>
      <w:r w:rsidRPr="00937004">
        <w:rPr>
          <w:szCs w:val="22"/>
        </w:rPr>
        <w:t xml:space="preserve">the Commission </w:t>
      </w:r>
      <w:r w:rsidRPr="00937004" w:rsidR="000C5AE1">
        <w:rPr>
          <w:szCs w:val="22"/>
        </w:rPr>
        <w:t>publish</w:t>
      </w:r>
      <w:r w:rsidRPr="00937004" w:rsidR="001946D2">
        <w:rPr>
          <w:szCs w:val="22"/>
        </w:rPr>
        <w:t>ed</w:t>
      </w:r>
      <w:r w:rsidRPr="00937004">
        <w:rPr>
          <w:szCs w:val="22"/>
        </w:rPr>
        <w:t xml:space="preserve"> a </w:t>
      </w:r>
      <w:bookmarkStart w:id="14" w:name="_Hlk102471039"/>
      <w:r w:rsidRPr="00937004">
        <w:rPr>
          <w:szCs w:val="22"/>
        </w:rPr>
        <w:t xml:space="preserve">60-day notice in the Federal Register </w:t>
      </w:r>
      <w:r w:rsidR="009F1A3F">
        <w:rPr>
          <w:szCs w:val="22"/>
        </w:rPr>
        <w:t>seeking public comment</w:t>
      </w:r>
      <w:r w:rsidR="00E81BE8">
        <w:rPr>
          <w:szCs w:val="22"/>
        </w:rPr>
        <w:t xml:space="preserve">.  </w:t>
      </w:r>
      <w:r w:rsidRPr="006D0C44" w:rsidR="00E81BE8">
        <w:rPr>
          <w:i/>
          <w:iCs/>
          <w:szCs w:val="22"/>
        </w:rPr>
        <w:t>See</w:t>
      </w:r>
      <w:r w:rsidR="00E81BE8">
        <w:rPr>
          <w:szCs w:val="22"/>
        </w:rPr>
        <w:t xml:space="preserve"> </w:t>
      </w:r>
      <w:r w:rsidR="001110C7">
        <w:rPr>
          <w:szCs w:val="22"/>
        </w:rPr>
        <w:t>88 FR 5431</w:t>
      </w:r>
      <w:r w:rsidR="00CE2713">
        <w:rPr>
          <w:szCs w:val="22"/>
        </w:rPr>
        <w:t>8</w:t>
      </w:r>
      <w:r w:rsidR="001110C7">
        <w:rPr>
          <w:szCs w:val="22"/>
        </w:rPr>
        <w:t xml:space="preserve"> </w:t>
      </w:r>
      <w:r w:rsidR="004B2C0A">
        <w:rPr>
          <w:szCs w:val="22"/>
        </w:rPr>
        <w:t>(</w:t>
      </w:r>
      <w:r w:rsidR="00174F81">
        <w:rPr>
          <w:szCs w:val="22"/>
        </w:rPr>
        <w:t>Aug</w:t>
      </w:r>
      <w:r w:rsidR="00CE2713">
        <w:rPr>
          <w:szCs w:val="22"/>
        </w:rPr>
        <w:t>ust</w:t>
      </w:r>
      <w:r w:rsidR="004B2C0A">
        <w:rPr>
          <w:szCs w:val="22"/>
        </w:rPr>
        <w:t xml:space="preserve"> </w:t>
      </w:r>
      <w:r w:rsidR="001110C7">
        <w:rPr>
          <w:szCs w:val="22"/>
        </w:rPr>
        <w:t>10</w:t>
      </w:r>
      <w:r w:rsidR="00DB2E88">
        <w:rPr>
          <w:szCs w:val="22"/>
        </w:rPr>
        <w:t>,</w:t>
      </w:r>
      <w:r w:rsidR="004B2C0A">
        <w:rPr>
          <w:szCs w:val="22"/>
        </w:rPr>
        <w:t xml:space="preserve"> 202</w:t>
      </w:r>
      <w:r w:rsidR="00174F81">
        <w:rPr>
          <w:szCs w:val="22"/>
        </w:rPr>
        <w:t>3</w:t>
      </w:r>
      <w:r w:rsidR="004B2C0A">
        <w:rPr>
          <w:szCs w:val="22"/>
        </w:rPr>
        <w:t>)</w:t>
      </w:r>
      <w:r w:rsidR="00056B3D">
        <w:rPr>
          <w:szCs w:val="22"/>
        </w:rPr>
        <w:t xml:space="preserve">. </w:t>
      </w:r>
      <w:r w:rsidR="003808BD">
        <w:rPr>
          <w:szCs w:val="22"/>
        </w:rPr>
        <w:t xml:space="preserve"> </w:t>
      </w:r>
      <w:bookmarkStart w:id="15" w:name="_Hlk26368662"/>
      <w:r w:rsidR="00270CD9">
        <w:rPr>
          <w:szCs w:val="22"/>
        </w:rPr>
        <w:t xml:space="preserve">No PRA comments were received. </w:t>
      </w:r>
    </w:p>
    <w:bookmarkEnd w:id="14"/>
    <w:bookmarkEnd w:id="15"/>
    <w:p w:rsidR="007E0735" w:rsidRPr="004460F4" w:rsidP="007E0735" w14:paraId="503B3755" w14:textId="77777777">
      <w:pPr>
        <w:pStyle w:val="Numberedparagraphs"/>
        <w:numPr>
          <w:ilvl w:val="0"/>
          <w:numId w:val="0"/>
        </w:numPr>
        <w:tabs>
          <w:tab w:val="left" w:pos="720"/>
          <w:tab w:val="clear" w:pos="1440"/>
        </w:tabs>
        <w:rPr>
          <w:szCs w:val="22"/>
        </w:rPr>
      </w:pPr>
      <w:r w:rsidRPr="004460F4">
        <w:rPr>
          <w:szCs w:val="22"/>
        </w:rPr>
        <w:tab/>
        <w:t>9.  The Commission does not anticipate providing any payment or gift to respondents.</w:t>
      </w:r>
    </w:p>
    <w:p w:rsidR="007E0735" w:rsidRPr="004460F4" w:rsidP="007E0735" w14:paraId="0AC69A0A" w14:textId="29C6827E">
      <w:pPr>
        <w:pStyle w:val="Numberedparagraphs"/>
        <w:numPr>
          <w:ilvl w:val="0"/>
          <w:numId w:val="0"/>
        </w:numPr>
        <w:tabs>
          <w:tab w:val="left" w:pos="720"/>
          <w:tab w:val="clear" w:pos="1440"/>
        </w:tabs>
        <w:rPr>
          <w:szCs w:val="22"/>
        </w:rPr>
      </w:pPr>
      <w:r w:rsidRPr="004460F4">
        <w:rPr>
          <w:szCs w:val="22"/>
        </w:rPr>
        <w:tab/>
        <w:t>10.  The</w:t>
      </w:r>
      <w:r w:rsidR="0063588A">
        <w:rPr>
          <w:szCs w:val="22"/>
        </w:rPr>
        <w:t xml:space="preserve"> </w:t>
      </w:r>
      <w:r w:rsidR="0063588A">
        <w:rPr>
          <w:i/>
          <w:szCs w:val="22"/>
        </w:rPr>
        <w:t>P</w:t>
      </w:r>
      <w:r w:rsidRPr="004460F4" w:rsidR="00CF71C4">
        <w:rPr>
          <w:i/>
          <w:szCs w:val="22"/>
        </w:rPr>
        <w:t>r</w:t>
      </w:r>
      <w:r w:rsidRPr="004460F4" w:rsidR="00884782">
        <w:rPr>
          <w:i/>
          <w:szCs w:val="22"/>
        </w:rPr>
        <w:t xml:space="preserve">otective </w:t>
      </w:r>
      <w:r w:rsidRPr="004460F4" w:rsidR="00CF71C4">
        <w:rPr>
          <w:i/>
          <w:szCs w:val="22"/>
        </w:rPr>
        <w:t>O</w:t>
      </w:r>
      <w:r w:rsidRPr="004460F4" w:rsidR="00884782">
        <w:rPr>
          <w:i/>
          <w:szCs w:val="22"/>
        </w:rPr>
        <w:t>rder</w:t>
      </w:r>
      <w:r w:rsidRPr="00AB1E80" w:rsidR="00884782">
        <w:rPr>
          <w:szCs w:val="22"/>
        </w:rPr>
        <w:t xml:space="preserve"> </w:t>
      </w:r>
      <w:r w:rsidR="009146C2">
        <w:rPr>
          <w:szCs w:val="22"/>
        </w:rPr>
        <w:t xml:space="preserve">adopted </w:t>
      </w:r>
      <w:r w:rsidRPr="00AB1E80" w:rsidR="00884782">
        <w:rPr>
          <w:szCs w:val="22"/>
        </w:rPr>
        <w:t xml:space="preserve">in </w:t>
      </w:r>
      <w:r w:rsidR="00146B94">
        <w:rPr>
          <w:szCs w:val="22"/>
        </w:rPr>
        <w:t>the Commission’s I</w:t>
      </w:r>
      <w:r w:rsidR="00AF1A5D">
        <w:rPr>
          <w:szCs w:val="22"/>
        </w:rPr>
        <w:t>P</w:t>
      </w:r>
      <w:r w:rsidR="00146B94">
        <w:rPr>
          <w:szCs w:val="22"/>
        </w:rPr>
        <w:t>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treatment for the proprietary information submitted </w:t>
      </w:r>
      <w:r w:rsidRPr="004460F4">
        <w:rPr>
          <w:szCs w:val="22"/>
        </w:rPr>
        <w:t xml:space="preserve">by </w:t>
      </w:r>
      <w:r w:rsidRPr="004460F4">
        <w:rPr>
          <w:szCs w:val="22"/>
        </w:rPr>
        <w:t xml:space="preserve">providers in response </w:t>
      </w:r>
      <w:r w:rsidR="00A60F59">
        <w:rPr>
          <w:szCs w:val="22"/>
        </w:rPr>
        <w:t>to Commission directives</w:t>
      </w:r>
      <w:r w:rsidRPr="004460F4">
        <w:rPr>
          <w:szCs w:val="22"/>
        </w:rPr>
        <w:t>.</w:t>
      </w:r>
      <w:r>
        <w:rPr>
          <w:rStyle w:val="FootnoteReference"/>
        </w:rPr>
        <w:footnoteReference w:id="30"/>
      </w:r>
      <w:r w:rsidRPr="00B60941">
        <w:rPr>
          <w:sz w:val="20"/>
        </w:rPr>
        <w:t xml:space="preserve"> </w:t>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9146C2">
        <w:rPr>
          <w:szCs w:val="22"/>
        </w:rPr>
        <w:t>,</w:t>
      </w:r>
      <w:r w:rsidR="00CF71C4">
        <w:rPr>
          <w:szCs w:val="22"/>
        </w:rPr>
        <w:t xml:space="preserve"> in accordance with </w:t>
      </w:r>
      <w:r w:rsidRPr="00AB1E80" w:rsidR="00AC7A68">
        <w:rPr>
          <w:szCs w:val="22"/>
        </w:rPr>
        <w:t>the Freedom of Information Act and 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4460F4" w:rsidR="00884782">
        <w:rPr>
          <w:i/>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00A92A86" w:rsidRPr="004460F4" w:rsidP="007E0735" w14:paraId="0010232A" w14:textId="77777777">
      <w:pPr>
        <w:pStyle w:val="Numberedparagraphs"/>
        <w:numPr>
          <w:ilvl w:val="0"/>
          <w:numId w:val="0"/>
        </w:numPr>
        <w:tabs>
          <w:tab w:val="left" w:pos="720"/>
          <w:tab w:val="clear" w:pos="1440"/>
        </w:tabs>
        <w:rPr>
          <w:szCs w:val="22"/>
        </w:rPr>
      </w:pPr>
      <w:r w:rsidRPr="004460F4">
        <w:rPr>
          <w:szCs w:val="22"/>
        </w:rPr>
        <w:tab/>
        <w:t>11.  The information collection does not address any matters of a sensitive nature.</w:t>
      </w:r>
      <w:r w:rsidRPr="004460F4">
        <w:rPr>
          <w:szCs w:val="22"/>
        </w:rPr>
        <w:tab/>
      </w:r>
    </w:p>
    <w:p w:rsidR="009A513E" w:rsidP="00C6632E" w14:paraId="2628F5AF" w14:textId="28FE4E28">
      <w:pPr>
        <w:pStyle w:val="Numberedparagraphs"/>
        <w:widowControl/>
        <w:numPr>
          <w:ilvl w:val="0"/>
          <w:numId w:val="0"/>
        </w:numPr>
        <w:tabs>
          <w:tab w:val="left" w:pos="720"/>
          <w:tab w:val="clear" w:pos="1440"/>
        </w:tabs>
        <w:rPr>
          <w:szCs w:val="22"/>
        </w:rPr>
      </w:pPr>
      <w:r w:rsidRPr="004460F4">
        <w:rPr>
          <w:szCs w:val="22"/>
        </w:rPr>
        <w:tab/>
      </w:r>
      <w:r w:rsidRPr="004460F4" w:rsidR="007E0735">
        <w:rPr>
          <w:szCs w:val="22"/>
        </w:rPr>
        <w:t xml:space="preserve">12.  The following </w:t>
      </w:r>
      <w:r w:rsidR="009146C2">
        <w:rPr>
          <w:szCs w:val="22"/>
        </w:rPr>
        <w:t xml:space="preserve">describes </w:t>
      </w:r>
      <w:r w:rsidRPr="004460F4" w:rsidR="007E0735">
        <w:rPr>
          <w:szCs w:val="22"/>
        </w:rPr>
        <w:t xml:space="preserve">the </w:t>
      </w:r>
      <w:r w:rsidR="008C2814">
        <w:rPr>
          <w:szCs w:val="22"/>
        </w:rPr>
        <w:t>burden hours</w:t>
      </w:r>
      <w:r w:rsidRPr="004460F4" w:rsidR="007E0735">
        <w:rPr>
          <w:szCs w:val="22"/>
        </w:rPr>
        <w:t xml:space="preserve"> </w:t>
      </w:r>
      <w:r w:rsidR="009146C2">
        <w:rPr>
          <w:szCs w:val="22"/>
        </w:rPr>
        <w:t xml:space="preserve">associated with </w:t>
      </w:r>
      <w:r w:rsidRPr="004460F4" w:rsidR="007E0735">
        <w:rPr>
          <w:szCs w:val="22"/>
        </w:rPr>
        <w:t>the collections of information discussed herein</w:t>
      </w:r>
      <w:r w:rsidR="00992065">
        <w:rPr>
          <w:szCs w:val="22"/>
        </w:rPr>
        <w:t>.</w:t>
      </w:r>
    </w:p>
    <w:p w:rsidR="00E80D71" w:rsidP="007E0735" w14:paraId="627E290E" w14:textId="13614AFC">
      <w:pPr>
        <w:pStyle w:val="Numberedparagraphs"/>
        <w:numPr>
          <w:ilvl w:val="0"/>
          <w:numId w:val="0"/>
        </w:numPr>
        <w:tabs>
          <w:tab w:val="left" w:pos="720"/>
          <w:tab w:val="clear" w:pos="1440"/>
        </w:tabs>
        <w:rPr>
          <w:b/>
          <w:bCs/>
          <w:szCs w:val="22"/>
          <w:u w:val="single"/>
        </w:rPr>
      </w:pPr>
      <w:r w:rsidRPr="009A513E">
        <w:rPr>
          <w:b/>
          <w:bCs/>
          <w:szCs w:val="22"/>
          <w:u w:val="single"/>
        </w:rPr>
        <w:t>Previously-Approved</w:t>
      </w:r>
      <w:r>
        <w:rPr>
          <w:szCs w:val="22"/>
        </w:rPr>
        <w:t xml:space="preserve"> </w:t>
      </w:r>
      <w:r w:rsidRPr="0055282B">
        <w:rPr>
          <w:b/>
          <w:bCs/>
          <w:szCs w:val="22"/>
          <w:u w:val="single"/>
        </w:rPr>
        <w:t>Information Collection Requirement</w:t>
      </w:r>
      <w:r w:rsidR="001D33C2">
        <w:rPr>
          <w:b/>
          <w:bCs/>
          <w:szCs w:val="22"/>
          <w:u w:val="single"/>
        </w:rPr>
        <w:t>s</w:t>
      </w:r>
      <w:r w:rsidRPr="00915F36" w:rsidR="005C4C4E">
        <w:rPr>
          <w:b/>
          <w:bCs/>
          <w:szCs w:val="22"/>
        </w:rPr>
        <w:t>:</w:t>
      </w:r>
      <w:r>
        <w:rPr>
          <w:rStyle w:val="FootnoteReference"/>
        </w:rPr>
        <w:footnoteReference w:id="31"/>
      </w:r>
    </w:p>
    <w:p w:rsidR="00451894" w:rsidRPr="00487608" w:rsidP="00487608" w14:paraId="191A01A9" w14:textId="26B580A3">
      <w:pPr>
        <w:pStyle w:val="Numberedparagraphs"/>
        <w:numPr>
          <w:ilvl w:val="0"/>
          <w:numId w:val="0"/>
        </w:numPr>
        <w:tabs>
          <w:tab w:val="left" w:pos="720"/>
          <w:tab w:val="clear" w:pos="1440"/>
        </w:tabs>
        <w:rPr>
          <w:szCs w:val="22"/>
        </w:rPr>
      </w:pPr>
      <w:r w:rsidRPr="00A07DEC">
        <w:rPr>
          <w:b/>
          <w:bCs/>
          <w:szCs w:val="22"/>
        </w:rPr>
        <w:t>a.</w:t>
      </w:r>
      <w:r>
        <w:rPr>
          <w:szCs w:val="22"/>
        </w:rPr>
        <w:tab/>
      </w:r>
      <w:r w:rsidRPr="00010C70">
        <w:rPr>
          <w:b/>
          <w:szCs w:val="22"/>
          <w:u w:val="single"/>
        </w:rPr>
        <w:t>Reporting Requirement (Annual Reports)</w:t>
      </w:r>
      <w:r w:rsidRPr="00E42DED">
        <w:rPr>
          <w:b/>
          <w:szCs w:val="22"/>
        </w:rPr>
        <w:t>:</w:t>
      </w:r>
    </w:p>
    <w:p w:rsidR="00451894" w:rsidRPr="00B91FFE" w:rsidP="00451894" w14:paraId="15BE6D77" w14:textId="77777777">
      <w:pPr>
        <w:pStyle w:val="Numberedparagraphs"/>
        <w:numPr>
          <w:ilvl w:val="0"/>
          <w:numId w:val="0"/>
        </w:numPr>
        <w:tabs>
          <w:tab w:val="left" w:pos="720"/>
          <w:tab w:val="clear" w:pos="1440"/>
        </w:tabs>
        <w:rPr>
          <w:bCs/>
          <w:szCs w:val="22"/>
        </w:rPr>
      </w:pPr>
      <w:r>
        <w:rPr>
          <w:bCs/>
          <w:szCs w:val="22"/>
        </w:rPr>
        <w:tab/>
      </w:r>
      <w:r w:rsidRPr="00B91FFE">
        <w:rPr>
          <w:bCs/>
          <w:szCs w:val="22"/>
        </w:rPr>
        <w:t xml:space="preserve">(1)  </w:t>
      </w:r>
      <w:r w:rsidRPr="00B91FFE">
        <w:rPr>
          <w:bCs/>
          <w:szCs w:val="22"/>
          <w:u w:val="single"/>
        </w:rPr>
        <w:t>Number of respondents</w:t>
      </w:r>
      <w:r w:rsidRPr="00B91FFE">
        <w:rPr>
          <w:bCs/>
          <w:szCs w:val="22"/>
        </w:rPr>
        <w:t>:  Approximately</w:t>
      </w:r>
      <w:r>
        <w:rPr>
          <w:bCs/>
          <w:szCs w:val="22"/>
        </w:rPr>
        <w:t xml:space="preserve"> 30.</w:t>
      </w:r>
    </w:p>
    <w:p w:rsidR="00451894" w:rsidRPr="00B91FFE" w:rsidP="00451894" w14:paraId="457A2321" w14:textId="77777777">
      <w:pPr>
        <w:pStyle w:val="Numberedparagraphs"/>
        <w:numPr>
          <w:ilvl w:val="0"/>
          <w:numId w:val="0"/>
        </w:numPr>
        <w:tabs>
          <w:tab w:val="left" w:pos="720"/>
          <w:tab w:val="clear" w:pos="1440"/>
        </w:tabs>
        <w:rPr>
          <w:bCs/>
          <w:szCs w:val="22"/>
        </w:rPr>
      </w:pPr>
      <w:r w:rsidRPr="00B91FFE">
        <w:rPr>
          <w:bCs/>
          <w:szCs w:val="22"/>
        </w:rPr>
        <w:tab/>
        <w:t xml:space="preserve">(2)  </w:t>
      </w:r>
      <w:r w:rsidRPr="00B91FFE">
        <w:rPr>
          <w:bCs/>
          <w:szCs w:val="22"/>
          <w:u w:val="single"/>
        </w:rPr>
        <w:t>Frequency of response</w:t>
      </w:r>
      <w:r w:rsidRPr="00B91FFE">
        <w:rPr>
          <w:bCs/>
          <w:szCs w:val="22"/>
        </w:rPr>
        <w:t>:  Annual.</w:t>
      </w:r>
    </w:p>
    <w:p w:rsidR="00451894" w:rsidRPr="00B91FFE" w:rsidP="00451894" w14:paraId="79A28BF7" w14:textId="77777777">
      <w:pPr>
        <w:pStyle w:val="Numberedparagraphs"/>
        <w:numPr>
          <w:ilvl w:val="0"/>
          <w:numId w:val="0"/>
        </w:numPr>
        <w:tabs>
          <w:tab w:val="left" w:pos="720"/>
          <w:tab w:val="clear" w:pos="144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Pr>
          <w:bCs/>
          <w:szCs w:val="22"/>
        </w:rPr>
        <w:t>30</w:t>
      </w:r>
      <w:r w:rsidRPr="00B91FFE">
        <w:rPr>
          <w:bCs/>
          <w:szCs w:val="22"/>
        </w:rPr>
        <w:t>.</w:t>
      </w:r>
    </w:p>
    <w:p w:rsidR="00451894" w:rsidRPr="00B91FFE" w:rsidP="00451894" w14:paraId="6BE080E8" w14:textId="3F122183">
      <w:pPr>
        <w:pStyle w:val="Numberedparagraphs"/>
        <w:numPr>
          <w:ilvl w:val="0"/>
          <w:numId w:val="0"/>
        </w:numPr>
        <w:tabs>
          <w:tab w:val="left" w:pos="720"/>
          <w:tab w:val="clear" w:pos="1440"/>
        </w:tabs>
        <w:rPr>
          <w:bCs/>
          <w:szCs w:val="22"/>
        </w:rPr>
      </w:pPr>
      <w:r w:rsidRPr="00B91FFE">
        <w:rPr>
          <w:bCs/>
          <w:szCs w:val="22"/>
        </w:rPr>
        <w:tab/>
        <w:t xml:space="preserve">(4)  </w:t>
      </w:r>
      <w:r w:rsidRPr="00B91FFE">
        <w:rPr>
          <w:bCs/>
          <w:szCs w:val="22"/>
          <w:u w:val="single"/>
        </w:rPr>
        <w:t>Estimated Time per Response</w:t>
      </w:r>
      <w:r w:rsidRPr="00B91FFE">
        <w:rPr>
          <w:bCs/>
          <w:szCs w:val="22"/>
        </w:rPr>
        <w:t xml:space="preserve">:  </w:t>
      </w:r>
      <w:r w:rsidRPr="000251A5">
        <w:rPr>
          <w:bCs/>
          <w:szCs w:val="22"/>
        </w:rPr>
        <w:t>Approximately</w:t>
      </w:r>
      <w:r w:rsidR="00BF2075">
        <w:rPr>
          <w:bCs/>
          <w:szCs w:val="22"/>
        </w:rPr>
        <w:t xml:space="preserve"> 120</w:t>
      </w:r>
      <w:r>
        <w:rPr>
          <w:bCs/>
          <w:szCs w:val="22"/>
        </w:rPr>
        <w:t xml:space="preserve"> hours.</w:t>
      </w:r>
    </w:p>
    <w:p w:rsidR="00451894" w:rsidRPr="00B91FFE" w:rsidP="00451894" w14:paraId="1EBE3FFD" w14:textId="7688DFFE">
      <w:pPr>
        <w:pStyle w:val="Numberedparagraphs"/>
        <w:numPr>
          <w:ilvl w:val="0"/>
          <w:numId w:val="0"/>
        </w:numPr>
        <w:tabs>
          <w:tab w:val="left" w:pos="720"/>
          <w:tab w:val="clear" w:pos="1440"/>
        </w:tabs>
        <w:ind w:left="1440"/>
        <w:rPr>
          <w:bCs/>
          <w:szCs w:val="22"/>
        </w:rPr>
      </w:pPr>
      <w:r>
        <w:rPr>
          <w:bCs/>
          <w:szCs w:val="22"/>
        </w:rPr>
        <w:t>30</w:t>
      </w:r>
      <w:r w:rsidRPr="00B91FFE">
        <w:rPr>
          <w:bCs/>
          <w:szCs w:val="22"/>
        </w:rPr>
        <w:t xml:space="preserve"> </w:t>
      </w:r>
      <w:r>
        <w:rPr>
          <w:bCs/>
          <w:szCs w:val="22"/>
        </w:rPr>
        <w:t xml:space="preserve">respondents </w:t>
      </w:r>
      <w:r w:rsidRPr="00B91FFE">
        <w:rPr>
          <w:bCs/>
          <w:szCs w:val="22"/>
        </w:rPr>
        <w:t xml:space="preserve">x </w:t>
      </w:r>
      <w:r>
        <w:rPr>
          <w:bCs/>
          <w:szCs w:val="22"/>
        </w:rPr>
        <w:t xml:space="preserve">approximately </w:t>
      </w:r>
      <w:r w:rsidR="00BF2075">
        <w:rPr>
          <w:bCs/>
          <w:szCs w:val="22"/>
        </w:rPr>
        <w:t>12</w:t>
      </w:r>
      <w:r>
        <w:rPr>
          <w:bCs/>
          <w:szCs w:val="22"/>
        </w:rPr>
        <w:t xml:space="preserve">0 </w:t>
      </w:r>
      <w:r w:rsidRPr="00B91FFE">
        <w:rPr>
          <w:bCs/>
          <w:szCs w:val="22"/>
        </w:rPr>
        <w:t xml:space="preserve">hours per response x 1 response </w:t>
      </w:r>
      <w:r>
        <w:rPr>
          <w:bCs/>
          <w:szCs w:val="22"/>
        </w:rPr>
        <w:t xml:space="preserve">per respondent </w:t>
      </w:r>
      <w:r w:rsidRPr="00B91FFE">
        <w:rPr>
          <w:bCs/>
          <w:szCs w:val="22"/>
        </w:rPr>
        <w:t xml:space="preserve">= </w:t>
      </w:r>
      <w:r>
        <w:rPr>
          <w:bCs/>
          <w:szCs w:val="22"/>
        </w:rPr>
        <w:t xml:space="preserve">  </w:t>
      </w:r>
      <w:r w:rsidR="00CB3819">
        <w:rPr>
          <w:bCs/>
          <w:szCs w:val="22"/>
        </w:rPr>
        <w:t>3</w:t>
      </w:r>
      <w:r>
        <w:rPr>
          <w:bCs/>
          <w:szCs w:val="22"/>
        </w:rPr>
        <w:t>,600 hours</w:t>
      </w:r>
      <w:r w:rsidRPr="00B91FFE">
        <w:rPr>
          <w:bCs/>
          <w:szCs w:val="22"/>
        </w:rPr>
        <w:t>.</w:t>
      </w:r>
    </w:p>
    <w:p w:rsidR="00451894" w:rsidRPr="00B91FFE" w:rsidP="00451894" w14:paraId="03A9A28F" w14:textId="4C3CF06E">
      <w:pPr>
        <w:pStyle w:val="Numberedparagraphs"/>
        <w:numPr>
          <w:ilvl w:val="0"/>
          <w:numId w:val="0"/>
        </w:numPr>
        <w:tabs>
          <w:tab w:val="left" w:pos="720"/>
          <w:tab w:val="clear" w:pos="144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sidRPr="006D4EBC" w:rsidR="00FD76E3">
        <w:rPr>
          <w:b/>
          <w:szCs w:val="22"/>
        </w:rPr>
        <w:t>3,600</w:t>
      </w:r>
      <w:r>
        <w:rPr>
          <w:b/>
          <w:szCs w:val="22"/>
        </w:rPr>
        <w:t xml:space="preserve"> </w:t>
      </w:r>
      <w:r w:rsidRPr="004C0C38">
        <w:rPr>
          <w:b/>
          <w:szCs w:val="22"/>
        </w:rPr>
        <w:t>hours</w:t>
      </w:r>
      <w:r>
        <w:rPr>
          <w:bCs/>
          <w:szCs w:val="22"/>
        </w:rPr>
        <w:t>.</w:t>
      </w:r>
    </w:p>
    <w:p w:rsidR="00451894" w:rsidRPr="00B91FFE" w:rsidP="00451894" w14:paraId="1DCDECAB" w14:textId="5A4E788C">
      <w:pPr>
        <w:pStyle w:val="Numberedparagraphs"/>
        <w:numPr>
          <w:ilvl w:val="0"/>
          <w:numId w:val="0"/>
        </w:numPr>
        <w:tabs>
          <w:tab w:val="left" w:pos="720"/>
          <w:tab w:val="clear" w:pos="1440"/>
        </w:tabs>
        <w:ind w:left="1440"/>
        <w:rPr>
          <w:bCs/>
          <w:szCs w:val="22"/>
        </w:rPr>
      </w:pPr>
      <w:r w:rsidRPr="00B91FFE">
        <w:rPr>
          <w:bCs/>
          <w:szCs w:val="22"/>
        </w:rPr>
        <w:t xml:space="preserve">The Commission estimates that approximate </w:t>
      </w:r>
      <w:r>
        <w:rPr>
          <w:bCs/>
          <w:szCs w:val="22"/>
        </w:rPr>
        <w:t>30</w:t>
      </w:r>
      <w:r w:rsidRPr="00B91FFE">
        <w:rPr>
          <w:bCs/>
          <w:szCs w:val="22"/>
        </w:rPr>
        <w:t xml:space="preserve"> providers will </w:t>
      </w:r>
      <w:r>
        <w:rPr>
          <w:bCs/>
          <w:szCs w:val="22"/>
        </w:rPr>
        <w:t xml:space="preserve">each </w:t>
      </w:r>
      <w:r w:rsidRPr="00B91FFE">
        <w:rPr>
          <w:bCs/>
          <w:szCs w:val="22"/>
        </w:rPr>
        <w:t xml:space="preserve">require </w:t>
      </w:r>
      <w:r>
        <w:rPr>
          <w:bCs/>
          <w:szCs w:val="22"/>
        </w:rPr>
        <w:t xml:space="preserve">approximately </w:t>
      </w:r>
      <w:r w:rsidR="003A0F70">
        <w:rPr>
          <w:bCs/>
          <w:szCs w:val="22"/>
        </w:rPr>
        <w:t>120</w:t>
      </w:r>
      <w:r>
        <w:rPr>
          <w:bCs/>
          <w:szCs w:val="22"/>
        </w:rPr>
        <w:t xml:space="preserve"> </w:t>
      </w:r>
      <w:r w:rsidRPr="00B91FFE">
        <w:rPr>
          <w:bCs/>
          <w:szCs w:val="22"/>
        </w:rPr>
        <w:t xml:space="preserve">hours </w:t>
      </w:r>
      <w:r>
        <w:rPr>
          <w:bCs/>
          <w:szCs w:val="22"/>
        </w:rPr>
        <w:t>to comply with the reporting requirements.</w:t>
      </w:r>
    </w:p>
    <w:p w:rsidR="00451894" w:rsidRPr="00B91FFE" w:rsidP="00451894" w14:paraId="7FFD0FBE" w14:textId="23AD3CAC">
      <w:pPr>
        <w:pStyle w:val="Numberedparagraphs"/>
        <w:numPr>
          <w:ilvl w:val="0"/>
          <w:numId w:val="0"/>
        </w:numPr>
        <w:tabs>
          <w:tab w:val="left" w:pos="720"/>
          <w:tab w:val="clear" w:pos="1440"/>
        </w:tabs>
        <w:ind w:left="720"/>
        <w:rPr>
          <w:bCs/>
          <w:szCs w:val="22"/>
        </w:rPr>
      </w:pPr>
      <w:r w:rsidRPr="00B91FFE">
        <w:rPr>
          <w:bCs/>
          <w:szCs w:val="22"/>
        </w:rPr>
        <w:t xml:space="preserve">(6)  </w:t>
      </w:r>
      <w:r w:rsidRPr="00B91FFE">
        <w:rPr>
          <w:bCs/>
          <w:szCs w:val="22"/>
          <w:u w:val="single"/>
        </w:rPr>
        <w:t>Total estimate of “in-house” costs to respondents</w:t>
      </w:r>
      <w:r w:rsidRPr="00915F36">
        <w:rPr>
          <w:bCs/>
          <w:szCs w:val="22"/>
        </w:rPr>
        <w:t>:</w:t>
      </w:r>
      <w:r w:rsidRPr="00CC3072">
        <w:rPr>
          <w:b/>
          <w:szCs w:val="22"/>
        </w:rPr>
        <w:t xml:space="preserve">  </w:t>
      </w:r>
      <w:r w:rsidRPr="00381099">
        <w:rPr>
          <w:b/>
          <w:szCs w:val="22"/>
        </w:rPr>
        <w:t>$</w:t>
      </w:r>
      <w:r w:rsidR="00EB4203">
        <w:rPr>
          <w:b/>
          <w:szCs w:val="22"/>
        </w:rPr>
        <w:t>218,988.</w:t>
      </w:r>
    </w:p>
    <w:p w:rsidR="00451894" w:rsidRPr="00B91FFE" w:rsidP="00451894" w14:paraId="2A51F1FF" w14:textId="77777777">
      <w:pPr>
        <w:pStyle w:val="Numberedparagraphs"/>
        <w:numPr>
          <w:ilvl w:val="0"/>
          <w:numId w:val="0"/>
        </w:numPr>
        <w:tabs>
          <w:tab w:val="left" w:pos="720"/>
          <w:tab w:val="clear" w:pos="1440"/>
        </w:tabs>
        <w:ind w:left="720"/>
        <w:rPr>
          <w:bCs/>
          <w:szCs w:val="22"/>
        </w:rPr>
      </w:pPr>
      <w:r w:rsidRPr="00B91FFE">
        <w:rPr>
          <w:bCs/>
          <w:szCs w:val="22"/>
        </w:rPr>
        <w:t xml:space="preserve">(7)  </w:t>
      </w:r>
      <w:r w:rsidRPr="00B91FFE">
        <w:rPr>
          <w:bCs/>
          <w:szCs w:val="22"/>
          <w:u w:val="single"/>
        </w:rPr>
        <w:t>Explanation of calculation</w:t>
      </w:r>
      <w:r w:rsidRPr="00B91FFE">
        <w:rPr>
          <w:bCs/>
          <w:szCs w:val="22"/>
        </w:rPr>
        <w:t>:</w:t>
      </w:r>
    </w:p>
    <w:p w:rsidR="00451894" w:rsidRPr="00B91FFE" w:rsidP="00387747" w14:paraId="24BD94C9" w14:textId="77777777">
      <w:pPr>
        <w:pStyle w:val="Numberedparagraphs"/>
        <w:widowControl/>
        <w:numPr>
          <w:ilvl w:val="0"/>
          <w:numId w:val="0"/>
        </w:numPr>
        <w:tabs>
          <w:tab w:val="left" w:pos="720"/>
          <w:tab w:val="clear" w:pos="1440"/>
        </w:tabs>
        <w:ind w:left="1440"/>
        <w:rPr>
          <w:bCs/>
          <w:szCs w:val="22"/>
        </w:rPr>
      </w:pPr>
      <w:r w:rsidRPr="00B91FFE">
        <w:rPr>
          <w:bCs/>
          <w:szCs w:val="22"/>
        </w:rPr>
        <w:t xml:space="preserve">The Commission estimates that approximately </w:t>
      </w:r>
      <w:r>
        <w:rPr>
          <w:bCs/>
          <w:szCs w:val="22"/>
        </w:rPr>
        <w:t>30</w:t>
      </w:r>
      <w:r w:rsidRPr="00B91FFE">
        <w:rPr>
          <w:bCs/>
          <w:szCs w:val="22"/>
        </w:rPr>
        <w:t xml:space="preserve"> providers will be subject to this reporting requirement.</w:t>
      </w:r>
    </w:p>
    <w:p w:rsidR="00451894" w:rsidP="00451894" w14:paraId="1801B1FF" w14:textId="77777777">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 xml:space="preserve">comparable in pay to a </w:t>
      </w:r>
      <w:r w:rsidRPr="004C711A">
        <w:rPr>
          <w:bCs/>
          <w:szCs w:val="22"/>
        </w:rPr>
        <w:t>GS 13/Step 5 employee earning $</w:t>
      </w:r>
      <w:r>
        <w:rPr>
          <w:bCs/>
          <w:szCs w:val="22"/>
        </w:rPr>
        <w:t>60.83</w:t>
      </w:r>
      <w:r w:rsidRPr="004C711A">
        <w:rPr>
          <w:bCs/>
          <w:szCs w:val="22"/>
        </w:rPr>
        <w:t xml:space="preserve"> per hou</w:t>
      </w:r>
      <w:r>
        <w:rPr>
          <w:bCs/>
          <w:szCs w:val="22"/>
        </w:rPr>
        <w:t>r.</w:t>
      </w:r>
    </w:p>
    <w:p w:rsidR="00A07DEC" w:rsidP="00644A46" w14:paraId="05465958" w14:textId="256E17FC">
      <w:pPr>
        <w:keepLines/>
        <w:tabs>
          <w:tab w:val="left" w:pos="-720"/>
        </w:tabs>
        <w:suppressAutoHyphens/>
        <w:rPr>
          <w:bCs/>
          <w:szCs w:val="22"/>
        </w:rPr>
      </w:pPr>
      <w:r>
        <w:rPr>
          <w:bCs/>
          <w:szCs w:val="22"/>
        </w:rPr>
        <w:tab/>
      </w:r>
      <w:r>
        <w:rPr>
          <w:bCs/>
          <w:szCs w:val="22"/>
        </w:rPr>
        <w:tab/>
      </w:r>
      <w:r w:rsidRPr="00B91FFE" w:rsidR="00451894">
        <w:rPr>
          <w:bCs/>
          <w:szCs w:val="22"/>
        </w:rPr>
        <w:t xml:space="preserve">Thus, </w:t>
      </w:r>
      <w:r w:rsidR="005D2F60">
        <w:rPr>
          <w:bCs/>
          <w:szCs w:val="22"/>
        </w:rPr>
        <w:t xml:space="preserve">3,600 </w:t>
      </w:r>
      <w:r w:rsidRPr="00B91FFE" w:rsidR="00451894">
        <w:rPr>
          <w:bCs/>
          <w:szCs w:val="22"/>
        </w:rPr>
        <w:t>hours x $</w:t>
      </w:r>
      <w:r w:rsidR="00451894">
        <w:rPr>
          <w:bCs/>
          <w:szCs w:val="22"/>
        </w:rPr>
        <w:t>60.83 per hour</w:t>
      </w:r>
      <w:r w:rsidRPr="00B91FFE" w:rsidR="00451894">
        <w:rPr>
          <w:bCs/>
          <w:szCs w:val="22"/>
        </w:rPr>
        <w:t xml:space="preserve"> = </w:t>
      </w:r>
      <w:r w:rsidR="00451894">
        <w:rPr>
          <w:bCs/>
          <w:szCs w:val="22"/>
        </w:rPr>
        <w:t>$</w:t>
      </w:r>
      <w:r w:rsidR="0095792C">
        <w:rPr>
          <w:bCs/>
          <w:szCs w:val="22"/>
        </w:rPr>
        <w:t>218,988</w:t>
      </w:r>
      <w:r w:rsidR="00451894">
        <w:rPr>
          <w:bCs/>
          <w:szCs w:val="22"/>
        </w:rPr>
        <w:t>.</w:t>
      </w:r>
    </w:p>
    <w:p w:rsidR="00A07DEC" w:rsidP="00644A46" w14:paraId="4350FFCE" w14:textId="77777777">
      <w:pPr>
        <w:keepLines/>
        <w:tabs>
          <w:tab w:val="left" w:pos="-720"/>
        </w:tabs>
        <w:suppressAutoHyphens/>
        <w:rPr>
          <w:bCs/>
          <w:szCs w:val="22"/>
        </w:rPr>
      </w:pPr>
    </w:p>
    <w:p w:rsidR="00644A46" w:rsidRPr="00A07DEC" w:rsidP="00644A46" w14:paraId="282547AF" w14:textId="76DE257C">
      <w:pPr>
        <w:keepLines/>
        <w:tabs>
          <w:tab w:val="left" w:pos="-720"/>
        </w:tabs>
        <w:suppressAutoHyphens/>
        <w:rPr>
          <w:b/>
          <w:spacing w:val="-3"/>
          <w:szCs w:val="22"/>
        </w:rPr>
      </w:pPr>
      <w:r w:rsidRPr="00A07DEC">
        <w:rPr>
          <w:b/>
          <w:spacing w:val="-3"/>
          <w:szCs w:val="22"/>
        </w:rPr>
        <w:t>b.</w:t>
      </w:r>
      <w:r w:rsidRPr="00A07DEC">
        <w:rPr>
          <w:b/>
          <w:spacing w:val="-3"/>
          <w:szCs w:val="22"/>
        </w:rPr>
        <w:tab/>
      </w:r>
      <w:r w:rsidRPr="00A07DEC">
        <w:rPr>
          <w:b/>
          <w:spacing w:val="-3"/>
          <w:szCs w:val="22"/>
          <w:u w:val="single"/>
        </w:rPr>
        <w:t>Certification of Information and Data in the Annual Reports</w:t>
      </w:r>
      <w:r w:rsidRPr="00A07DEC">
        <w:rPr>
          <w:b/>
          <w:spacing w:val="-3"/>
          <w:szCs w:val="22"/>
        </w:rPr>
        <w:t>:</w:t>
      </w:r>
    </w:p>
    <w:p w:rsidR="00644A46" w:rsidRPr="004460F4" w:rsidP="00644A46" w14:paraId="393BBE92" w14:textId="77777777">
      <w:pPr>
        <w:keepLines/>
        <w:tabs>
          <w:tab w:val="left" w:pos="-720"/>
        </w:tabs>
        <w:suppressAutoHyphens/>
        <w:rPr>
          <w:spacing w:val="-3"/>
          <w:szCs w:val="22"/>
        </w:rPr>
      </w:pPr>
    </w:p>
    <w:p w:rsidR="00644A46" w:rsidRPr="00F46FB3" w:rsidP="00644A46" w14:paraId="440AB125" w14:textId="3566C380">
      <w:pPr>
        <w:pStyle w:val="ListParagraph"/>
        <w:keepLines/>
        <w:numPr>
          <w:ilvl w:val="0"/>
          <w:numId w:val="2"/>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Pr>
          <w:spacing w:val="-3"/>
          <w:szCs w:val="22"/>
        </w:rPr>
        <w:t>30</w:t>
      </w:r>
      <w:r w:rsidRPr="00F46FB3">
        <w:rPr>
          <w:spacing w:val="-3"/>
          <w:szCs w:val="22"/>
        </w:rPr>
        <w:t>.</w:t>
      </w:r>
    </w:p>
    <w:p w:rsidR="00644A46" w:rsidRPr="004460F4" w:rsidP="00644A46" w14:paraId="693AA491" w14:textId="77777777">
      <w:pPr>
        <w:keepLines/>
        <w:tabs>
          <w:tab w:val="left" w:pos="-720"/>
        </w:tabs>
        <w:suppressAutoHyphens/>
        <w:rPr>
          <w:spacing w:val="-3"/>
          <w:szCs w:val="22"/>
        </w:rPr>
      </w:pPr>
    </w:p>
    <w:p w:rsidR="00644A46" w:rsidRPr="004460F4" w:rsidP="00644A46" w14:paraId="09C83D80"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Annual.  </w:t>
      </w:r>
    </w:p>
    <w:p w:rsidR="00644A46" w:rsidRPr="004460F4" w:rsidP="00644A46" w14:paraId="61EBFD69" w14:textId="77777777">
      <w:pPr>
        <w:tabs>
          <w:tab w:val="left" w:pos="-720"/>
        </w:tabs>
        <w:suppressAutoHyphens/>
        <w:rPr>
          <w:spacing w:val="-3"/>
          <w:szCs w:val="22"/>
        </w:rPr>
      </w:pPr>
    </w:p>
    <w:p w:rsidR="00644A46" w:rsidRPr="004460F4" w:rsidP="00644A46" w14:paraId="3565A1E7" w14:textId="06D67818">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Pr>
          <w:spacing w:val="-3"/>
          <w:szCs w:val="22"/>
        </w:rPr>
        <w:t>30</w:t>
      </w:r>
      <w:r w:rsidRPr="004460F4">
        <w:rPr>
          <w:spacing w:val="-3"/>
          <w:szCs w:val="22"/>
        </w:rPr>
        <w:t>.</w:t>
      </w:r>
    </w:p>
    <w:p w:rsidR="00644A46" w:rsidRPr="004460F4" w:rsidP="00644A46" w14:paraId="1700DEF5" w14:textId="77777777">
      <w:pPr>
        <w:tabs>
          <w:tab w:val="left" w:pos="-720"/>
        </w:tabs>
        <w:suppressAutoHyphens/>
        <w:rPr>
          <w:spacing w:val="-3"/>
          <w:szCs w:val="22"/>
        </w:rPr>
      </w:pPr>
    </w:p>
    <w:p w:rsidR="00644A46" w:rsidRPr="004460F4" w:rsidP="00644A46" w14:paraId="17760DC9" w14:textId="77777777">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Pr>
          <w:spacing w:val="-3"/>
          <w:szCs w:val="22"/>
        </w:rPr>
        <w:t xml:space="preserve">Approximately 5 </w:t>
      </w:r>
      <w:r w:rsidRPr="004460F4">
        <w:rPr>
          <w:spacing w:val="-3"/>
          <w:szCs w:val="22"/>
        </w:rPr>
        <w:t>hours.</w:t>
      </w:r>
    </w:p>
    <w:p w:rsidR="00644A46" w:rsidRPr="004460F4" w:rsidP="00644A46" w14:paraId="26FB9503" w14:textId="77777777">
      <w:pPr>
        <w:tabs>
          <w:tab w:val="left" w:pos="-720"/>
        </w:tabs>
        <w:suppressAutoHyphens/>
        <w:rPr>
          <w:spacing w:val="-3"/>
          <w:szCs w:val="22"/>
        </w:rPr>
      </w:pPr>
    </w:p>
    <w:p w:rsidR="00644A46" w:rsidRPr="004460F4" w:rsidP="00644A46" w14:paraId="1C906863" w14:textId="178AB805">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30</w:t>
      </w:r>
      <w:r w:rsidRPr="004460F4">
        <w:rPr>
          <w:spacing w:val="-3"/>
          <w:szCs w:val="22"/>
        </w:rPr>
        <w:t xml:space="preserve"> </w:t>
      </w:r>
      <w:r>
        <w:rPr>
          <w:spacing w:val="-3"/>
          <w:szCs w:val="22"/>
        </w:rPr>
        <w:t xml:space="preserve">respondents </w:t>
      </w:r>
      <w:r w:rsidRPr="004460F4">
        <w:rPr>
          <w:spacing w:val="-3"/>
          <w:szCs w:val="22"/>
        </w:rPr>
        <w:t xml:space="preserve">x 5 hours per response x 1 response per year per respondent = </w:t>
      </w:r>
      <w:r>
        <w:rPr>
          <w:spacing w:val="-3"/>
          <w:szCs w:val="22"/>
        </w:rPr>
        <w:t>150 hours.</w:t>
      </w:r>
    </w:p>
    <w:p w:rsidR="00644A46" w:rsidRPr="004460F4" w:rsidP="00644A46" w14:paraId="6B015EB3" w14:textId="77777777">
      <w:pPr>
        <w:tabs>
          <w:tab w:val="left" w:pos="-720"/>
        </w:tabs>
        <w:suppressAutoHyphens/>
        <w:rPr>
          <w:spacing w:val="-3"/>
          <w:szCs w:val="22"/>
        </w:rPr>
      </w:pPr>
    </w:p>
    <w:p w:rsidR="00644A46" w:rsidRPr="004460F4" w:rsidP="00644A46" w14:paraId="2E9AF6D5" w14:textId="1A071006">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Pr>
          <w:b/>
          <w:spacing w:val="-3"/>
          <w:szCs w:val="22"/>
        </w:rPr>
        <w:t xml:space="preserve">150 </w:t>
      </w:r>
      <w:r w:rsidRPr="004460F4">
        <w:rPr>
          <w:b/>
          <w:spacing w:val="-3"/>
          <w:szCs w:val="22"/>
        </w:rPr>
        <w:t>hours</w:t>
      </w:r>
      <w:r w:rsidRPr="004460F4">
        <w:rPr>
          <w:spacing w:val="-3"/>
          <w:szCs w:val="22"/>
        </w:rPr>
        <w:t>.</w:t>
      </w:r>
    </w:p>
    <w:p w:rsidR="00644A46" w:rsidRPr="004460F4" w:rsidP="00644A46" w14:paraId="09FC2253" w14:textId="77777777">
      <w:pPr>
        <w:tabs>
          <w:tab w:val="left" w:pos="-720"/>
        </w:tabs>
        <w:suppressAutoHyphens/>
        <w:rPr>
          <w:spacing w:val="-3"/>
          <w:szCs w:val="22"/>
        </w:rPr>
      </w:pPr>
    </w:p>
    <w:p w:rsidR="00644A46" w:rsidRPr="004460F4" w:rsidP="00644A46" w14:paraId="28BD6E92" w14:textId="40251276">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30</w:t>
      </w:r>
      <w:r w:rsidRPr="004460F4">
        <w:rPr>
          <w:spacing w:val="-3"/>
          <w:szCs w:val="22"/>
        </w:rPr>
        <w:t xml:space="preserve"> ICS providers will require </w:t>
      </w:r>
      <w:r>
        <w:rPr>
          <w:spacing w:val="-3"/>
          <w:szCs w:val="22"/>
        </w:rPr>
        <w:t>approximately 5</w:t>
      </w:r>
      <w:r w:rsidRPr="004460F4">
        <w:rPr>
          <w:spacing w:val="-3"/>
          <w:szCs w:val="22"/>
        </w:rPr>
        <w:t xml:space="preserve"> hours of time per annual filing.  </w:t>
      </w:r>
    </w:p>
    <w:p w:rsidR="00644A46" w:rsidRPr="004460F4" w:rsidP="00644A46" w14:paraId="06479529" w14:textId="77777777">
      <w:pPr>
        <w:tabs>
          <w:tab w:val="left" w:pos="-720"/>
        </w:tabs>
        <w:suppressAutoHyphens/>
        <w:ind w:left="1440"/>
        <w:rPr>
          <w:spacing w:val="-3"/>
          <w:szCs w:val="22"/>
        </w:rPr>
      </w:pPr>
    </w:p>
    <w:p w:rsidR="00644A46" w:rsidRPr="004460F4" w:rsidP="00644A46" w14:paraId="0331E944" w14:textId="7F7EA3BF">
      <w:pPr>
        <w:tabs>
          <w:tab w:val="left" w:pos="-720"/>
        </w:tabs>
        <w:suppressAutoHyphens/>
        <w:ind w:left="1440"/>
        <w:rPr>
          <w:spacing w:val="-3"/>
          <w:szCs w:val="22"/>
        </w:rPr>
      </w:pPr>
      <w:r w:rsidRPr="004460F4">
        <w:rPr>
          <w:spacing w:val="-3"/>
          <w:szCs w:val="22"/>
        </w:rPr>
        <w:t xml:space="preserve">Approximately </w:t>
      </w:r>
      <w:r>
        <w:rPr>
          <w:spacing w:val="-3"/>
          <w:szCs w:val="22"/>
        </w:rPr>
        <w:t>30</w:t>
      </w:r>
      <w:r w:rsidRPr="004460F4">
        <w:rPr>
          <w:spacing w:val="-3"/>
          <w:szCs w:val="22"/>
        </w:rPr>
        <w:t xml:space="preserve"> respondents annually x 1 response annually x </w:t>
      </w:r>
      <w:r>
        <w:rPr>
          <w:spacing w:val="-3"/>
          <w:szCs w:val="22"/>
        </w:rPr>
        <w:t>5</w:t>
      </w:r>
      <w:r w:rsidRPr="004460F4">
        <w:rPr>
          <w:spacing w:val="-3"/>
          <w:szCs w:val="22"/>
        </w:rPr>
        <w:t xml:space="preserve"> hours per response = </w:t>
      </w:r>
      <w:r>
        <w:rPr>
          <w:spacing w:val="-3"/>
          <w:szCs w:val="22"/>
        </w:rPr>
        <w:t xml:space="preserve">150 </w:t>
      </w:r>
      <w:r w:rsidRPr="004460F4">
        <w:rPr>
          <w:spacing w:val="-3"/>
          <w:szCs w:val="22"/>
        </w:rPr>
        <w:t>hours.</w:t>
      </w:r>
    </w:p>
    <w:p w:rsidR="00644A46" w:rsidRPr="004460F4" w:rsidP="00644A46" w14:paraId="2CCE7EFD" w14:textId="77777777">
      <w:pPr>
        <w:tabs>
          <w:tab w:val="left" w:pos="-720"/>
        </w:tabs>
        <w:suppressAutoHyphens/>
        <w:rPr>
          <w:spacing w:val="-3"/>
          <w:szCs w:val="22"/>
        </w:rPr>
      </w:pPr>
    </w:p>
    <w:p w:rsidR="00644A46" w:rsidP="00644A46" w14:paraId="08EA8CFA" w14:textId="75415CE8">
      <w:pPr>
        <w:tabs>
          <w:tab w:val="left" w:pos="-720"/>
        </w:tabs>
        <w:suppressAutoHyphens/>
        <w:rPr>
          <w:szCs w:val="22"/>
        </w:rPr>
      </w:pPr>
      <w:r w:rsidRPr="004460F4">
        <w:rPr>
          <w:spacing w:val="-3"/>
          <w:szCs w:val="22"/>
        </w:rPr>
        <w:tab/>
        <w:t xml:space="preserve">(6)  </w:t>
      </w:r>
      <w:r w:rsidRPr="004460F4">
        <w:rPr>
          <w:spacing w:val="-3"/>
          <w:szCs w:val="22"/>
          <w:u w:val="single"/>
        </w:rPr>
        <w:t>Total estimate of “in-house” cost to respondents</w:t>
      </w:r>
      <w:r w:rsidRPr="00915F36">
        <w:rPr>
          <w:spacing w:val="-3"/>
          <w:szCs w:val="22"/>
        </w:rPr>
        <w:t>:</w:t>
      </w:r>
      <w:r w:rsidRPr="00CC3072">
        <w:rPr>
          <w:b/>
          <w:bCs/>
          <w:spacing w:val="-3"/>
          <w:szCs w:val="22"/>
        </w:rPr>
        <w:t xml:space="preserve">  </w:t>
      </w:r>
      <w:bookmarkStart w:id="16" w:name="_Hlk79444475"/>
      <w:r w:rsidRPr="00CC3072">
        <w:rPr>
          <w:b/>
          <w:bCs/>
          <w:szCs w:val="22"/>
        </w:rPr>
        <w:t>$</w:t>
      </w:r>
      <w:bookmarkEnd w:id="16"/>
      <w:r w:rsidR="00FA778F">
        <w:rPr>
          <w:b/>
          <w:bCs/>
          <w:szCs w:val="22"/>
        </w:rPr>
        <w:t>18,750</w:t>
      </w:r>
      <w:r>
        <w:rPr>
          <w:szCs w:val="22"/>
        </w:rPr>
        <w:t>.</w:t>
      </w:r>
    </w:p>
    <w:p w:rsidR="00FA778F" w:rsidRPr="004460F4" w:rsidP="00644A46" w14:paraId="6723027A" w14:textId="77777777">
      <w:pPr>
        <w:tabs>
          <w:tab w:val="left" w:pos="-720"/>
        </w:tabs>
        <w:suppressAutoHyphens/>
        <w:rPr>
          <w:spacing w:val="-3"/>
          <w:szCs w:val="22"/>
        </w:rPr>
      </w:pPr>
    </w:p>
    <w:p w:rsidR="00644A46" w:rsidRPr="004460F4" w:rsidP="00644A46" w14:paraId="292F0DDE"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644A46" w:rsidRPr="004460F4" w:rsidP="00644A46" w14:paraId="0D33B639" w14:textId="77777777">
      <w:pPr>
        <w:tabs>
          <w:tab w:val="left" w:pos="-720"/>
        </w:tabs>
        <w:suppressAutoHyphens/>
        <w:rPr>
          <w:szCs w:val="22"/>
        </w:rPr>
      </w:pPr>
    </w:p>
    <w:p w:rsidR="00644A46" w:rsidRPr="004460F4" w:rsidP="00644A46" w14:paraId="13E26181" w14:textId="16FD6285">
      <w:pPr>
        <w:tabs>
          <w:tab w:val="left" w:pos="-720"/>
        </w:tabs>
        <w:suppressAutoHyphens/>
        <w:ind w:left="1440"/>
        <w:rPr>
          <w:szCs w:val="22"/>
        </w:rPr>
      </w:pPr>
      <w:r w:rsidRPr="004460F4">
        <w:rPr>
          <w:szCs w:val="22"/>
        </w:rPr>
        <w:t xml:space="preserve">The Commission estimates that </w:t>
      </w:r>
      <w:r w:rsidR="00E10699">
        <w:rPr>
          <w:szCs w:val="22"/>
        </w:rPr>
        <w:t>3</w:t>
      </w:r>
      <w:r>
        <w:rPr>
          <w:szCs w:val="22"/>
        </w:rPr>
        <w:t>0</w:t>
      </w:r>
      <w:r w:rsidRPr="004460F4">
        <w:rPr>
          <w:szCs w:val="22"/>
        </w:rPr>
        <w:t xml:space="preserve"> ICS providers will be subject to this certification requirement.</w:t>
      </w:r>
    </w:p>
    <w:p w:rsidR="00644A46" w:rsidRPr="004460F4" w:rsidP="00644A46" w14:paraId="6EC35F90" w14:textId="77777777">
      <w:pPr>
        <w:tabs>
          <w:tab w:val="left" w:pos="-720"/>
        </w:tabs>
        <w:suppressAutoHyphens/>
        <w:rPr>
          <w:szCs w:val="22"/>
        </w:rPr>
      </w:pPr>
    </w:p>
    <w:p w:rsidR="00644A46" w:rsidP="00644A46" w14:paraId="5835FF03" w14:textId="77777777">
      <w:pPr>
        <w:tabs>
          <w:tab w:val="left" w:pos="-720"/>
        </w:tabs>
        <w:suppressAutoHyphens/>
        <w:ind w:left="1440"/>
        <w:rPr>
          <w:szCs w:val="22"/>
        </w:rPr>
      </w:pPr>
      <w:r w:rsidRPr="004460F4">
        <w:rPr>
          <w:szCs w:val="22"/>
        </w:rPr>
        <w:t xml:space="preserve">We </w:t>
      </w:r>
      <w:r>
        <w:rPr>
          <w:szCs w:val="22"/>
        </w:rPr>
        <w:t>estimate</w:t>
      </w:r>
      <w:r w:rsidRPr="004460F4">
        <w:rPr>
          <w:szCs w:val="22"/>
        </w:rPr>
        <w:t xml:space="preserve"> that respondents will use 5 hours of an officer </w:t>
      </w:r>
      <w:r>
        <w:rPr>
          <w:szCs w:val="22"/>
        </w:rPr>
        <w:t>of the company’s time (</w:t>
      </w:r>
      <w:r w:rsidRPr="004460F4">
        <w:rPr>
          <w:szCs w:val="22"/>
        </w:rPr>
        <w:t xml:space="preserve">rate of </w:t>
      </w:r>
      <w:r>
        <w:rPr>
          <w:szCs w:val="22"/>
        </w:rPr>
        <w:t xml:space="preserve">approximately </w:t>
      </w:r>
      <w:r w:rsidRPr="004460F4">
        <w:rPr>
          <w:szCs w:val="22"/>
        </w:rPr>
        <w:t xml:space="preserve">$125/hour) to satisfy this certification requirement.  </w:t>
      </w:r>
    </w:p>
    <w:p w:rsidR="00644A46" w:rsidP="00644A46" w14:paraId="147D55B0" w14:textId="77777777">
      <w:pPr>
        <w:tabs>
          <w:tab w:val="left" w:pos="-720"/>
        </w:tabs>
        <w:suppressAutoHyphens/>
        <w:ind w:left="1440"/>
        <w:rPr>
          <w:szCs w:val="22"/>
        </w:rPr>
      </w:pPr>
    </w:p>
    <w:p w:rsidR="00451894" w:rsidP="00A07DEC" w14:paraId="0590CA95" w14:textId="5A1C6280">
      <w:pPr>
        <w:tabs>
          <w:tab w:val="left" w:pos="-720"/>
        </w:tabs>
        <w:suppressAutoHyphens/>
        <w:ind w:left="1440"/>
        <w:rPr>
          <w:szCs w:val="22"/>
        </w:rPr>
      </w:pPr>
      <w:r>
        <w:rPr>
          <w:szCs w:val="22"/>
        </w:rPr>
        <w:t>Thus, approximately 150 hours per year x $125 = $</w:t>
      </w:r>
      <w:r w:rsidR="00FA778F">
        <w:rPr>
          <w:szCs w:val="22"/>
        </w:rPr>
        <w:t>18,750</w:t>
      </w:r>
      <w:r>
        <w:rPr>
          <w:szCs w:val="22"/>
        </w:rPr>
        <w:t>.</w:t>
      </w:r>
    </w:p>
    <w:p w:rsidR="00A07DEC" w:rsidRPr="00451894" w:rsidP="00A07DEC" w14:paraId="0DFF2232" w14:textId="77777777">
      <w:pPr>
        <w:tabs>
          <w:tab w:val="left" w:pos="-720"/>
        </w:tabs>
        <w:suppressAutoHyphens/>
        <w:ind w:left="1440"/>
        <w:rPr>
          <w:szCs w:val="22"/>
        </w:rPr>
      </w:pPr>
    </w:p>
    <w:p w:rsidR="001D33C2" w:rsidRPr="00A07DEC" w:rsidP="0095792C" w14:paraId="5351A2E5" w14:textId="728FD724">
      <w:pPr>
        <w:pStyle w:val="Numberedparagraphs"/>
        <w:numPr>
          <w:ilvl w:val="0"/>
          <w:numId w:val="0"/>
        </w:numPr>
        <w:tabs>
          <w:tab w:val="left" w:pos="720"/>
        </w:tabs>
        <w:ind w:left="360"/>
        <w:rPr>
          <w:szCs w:val="22"/>
        </w:rPr>
      </w:pPr>
      <w:r w:rsidRPr="00A07DEC">
        <w:rPr>
          <w:b/>
          <w:bCs/>
          <w:szCs w:val="22"/>
        </w:rPr>
        <w:t>c</w:t>
      </w:r>
      <w:r w:rsidRPr="00A07DEC" w:rsidR="0095792C">
        <w:rPr>
          <w:b/>
          <w:bCs/>
          <w:szCs w:val="22"/>
        </w:rPr>
        <w:t>.</w:t>
      </w:r>
      <w:r w:rsidRPr="00A07DEC" w:rsidR="0095792C">
        <w:rPr>
          <w:b/>
          <w:bCs/>
          <w:szCs w:val="22"/>
        </w:rPr>
        <w:tab/>
      </w:r>
      <w:r w:rsidR="009C50F0">
        <w:rPr>
          <w:b/>
          <w:bCs/>
          <w:szCs w:val="22"/>
        </w:rPr>
        <w:tab/>
      </w:r>
      <w:r w:rsidRPr="00A07DEC">
        <w:rPr>
          <w:b/>
          <w:bCs/>
          <w:szCs w:val="22"/>
          <w:u w:val="single"/>
        </w:rPr>
        <w:t>Consumer Disclosure Requiremen</w:t>
      </w:r>
      <w:r w:rsidRPr="001C0604">
        <w:rPr>
          <w:b/>
          <w:bCs/>
          <w:szCs w:val="22"/>
          <w:u w:val="single"/>
        </w:rPr>
        <w:t>t</w:t>
      </w:r>
      <w:r w:rsidRPr="00915F36">
        <w:rPr>
          <w:b/>
          <w:bCs/>
          <w:szCs w:val="22"/>
        </w:rPr>
        <w:t>:</w:t>
      </w:r>
    </w:p>
    <w:p w:rsidR="001D33C2" w:rsidP="001D33C2" w14:paraId="7DE30687" w14:textId="3BA52113">
      <w:pPr>
        <w:pStyle w:val="Numberedparagraphs"/>
        <w:numPr>
          <w:ilvl w:val="0"/>
          <w:numId w:val="4"/>
        </w:numPr>
        <w:tabs>
          <w:tab w:val="left" w:pos="720"/>
        </w:tabs>
        <w:rPr>
          <w:szCs w:val="22"/>
        </w:rPr>
      </w:pPr>
      <w:r w:rsidRPr="006247DF">
        <w:rPr>
          <w:b/>
          <w:bCs/>
          <w:szCs w:val="22"/>
          <w:u w:val="single"/>
        </w:rPr>
        <w:t>Consumer Disclosure of Rates and Ancillary Service Charges</w:t>
      </w:r>
      <w:r>
        <w:rPr>
          <w:szCs w:val="22"/>
        </w:rPr>
        <w:t>:</w:t>
      </w:r>
    </w:p>
    <w:p w:rsidR="001D33C2" w:rsidP="001D33C2" w14:paraId="097E52FF" w14:textId="77777777">
      <w:pPr>
        <w:pStyle w:val="Numberedparagraphs"/>
        <w:numPr>
          <w:ilvl w:val="0"/>
          <w:numId w:val="5"/>
        </w:numPr>
        <w:tabs>
          <w:tab w:val="left" w:pos="720"/>
        </w:tabs>
        <w:rPr>
          <w:szCs w:val="22"/>
        </w:rPr>
      </w:pPr>
      <w:r w:rsidRPr="000C304B">
        <w:rPr>
          <w:szCs w:val="22"/>
          <w:u w:val="single"/>
        </w:rPr>
        <w:t>Number of respondents</w:t>
      </w:r>
      <w:r>
        <w:rPr>
          <w:szCs w:val="22"/>
        </w:rPr>
        <w:t xml:space="preserve">:  Approximately </w:t>
      </w:r>
      <w:r w:rsidRPr="000251A5">
        <w:rPr>
          <w:szCs w:val="22"/>
        </w:rPr>
        <w:t>30</w:t>
      </w:r>
      <w:r>
        <w:rPr>
          <w:szCs w:val="22"/>
        </w:rPr>
        <w:t>.</w:t>
      </w:r>
    </w:p>
    <w:p w:rsidR="001D33C2" w:rsidP="001D33C2" w14:paraId="4E42AE1E" w14:textId="77777777">
      <w:pPr>
        <w:pStyle w:val="Numberedparagraphs"/>
        <w:numPr>
          <w:ilvl w:val="0"/>
          <w:numId w:val="5"/>
        </w:numPr>
        <w:tabs>
          <w:tab w:val="left" w:pos="720"/>
        </w:tabs>
        <w:rPr>
          <w:szCs w:val="22"/>
        </w:rPr>
      </w:pPr>
      <w:r w:rsidRPr="000C304B">
        <w:rPr>
          <w:szCs w:val="22"/>
          <w:u w:val="single"/>
        </w:rPr>
        <w:t>Frequency of response</w:t>
      </w:r>
      <w:r>
        <w:rPr>
          <w:szCs w:val="22"/>
        </w:rPr>
        <w:t>:  Ongoing third-party disclosure requirement.</w:t>
      </w:r>
    </w:p>
    <w:p w:rsidR="001D33C2" w:rsidP="001D33C2" w14:paraId="6F1E988D" w14:textId="0058F1C5">
      <w:pPr>
        <w:pStyle w:val="Numberedparagraphs"/>
        <w:numPr>
          <w:ilvl w:val="0"/>
          <w:numId w:val="5"/>
        </w:numPr>
        <w:tabs>
          <w:tab w:val="left" w:pos="720"/>
        </w:tabs>
        <w:rPr>
          <w:szCs w:val="22"/>
        </w:rPr>
      </w:pPr>
      <w:r w:rsidRPr="000C304B">
        <w:rPr>
          <w:szCs w:val="22"/>
          <w:u w:val="single"/>
        </w:rPr>
        <w:t>Total number of responses annually</w:t>
      </w:r>
      <w:r>
        <w:rPr>
          <w:szCs w:val="22"/>
        </w:rPr>
        <w:t xml:space="preserve">:  Approximately </w:t>
      </w:r>
      <w:r w:rsidR="00303836">
        <w:rPr>
          <w:szCs w:val="22"/>
        </w:rPr>
        <w:t>3</w:t>
      </w:r>
      <w:r>
        <w:rPr>
          <w:szCs w:val="22"/>
        </w:rPr>
        <w:t>0.</w:t>
      </w:r>
    </w:p>
    <w:p w:rsidR="001D33C2" w:rsidRPr="000251A5" w:rsidP="001D33C2" w14:paraId="03CF4965" w14:textId="495874A0">
      <w:pPr>
        <w:pStyle w:val="Numberedparagraphs"/>
        <w:numPr>
          <w:ilvl w:val="0"/>
          <w:numId w:val="5"/>
        </w:numPr>
        <w:tabs>
          <w:tab w:val="left" w:pos="720"/>
        </w:tabs>
        <w:rPr>
          <w:szCs w:val="22"/>
        </w:rPr>
      </w:pPr>
      <w:r w:rsidRPr="000C304B">
        <w:rPr>
          <w:szCs w:val="22"/>
          <w:u w:val="single"/>
        </w:rPr>
        <w:t>Estimated Time per Response</w:t>
      </w:r>
      <w:r>
        <w:rPr>
          <w:szCs w:val="22"/>
        </w:rPr>
        <w:t xml:space="preserve">:  </w:t>
      </w:r>
      <w:r w:rsidRPr="000251A5">
        <w:rPr>
          <w:szCs w:val="22"/>
        </w:rPr>
        <w:t xml:space="preserve">Approximately </w:t>
      </w:r>
      <w:r w:rsidRPr="000251A5" w:rsidR="00C12371">
        <w:rPr>
          <w:szCs w:val="22"/>
        </w:rPr>
        <w:t xml:space="preserve">20 </w:t>
      </w:r>
      <w:r w:rsidRPr="000251A5">
        <w:rPr>
          <w:szCs w:val="22"/>
        </w:rPr>
        <w:t>hours.</w:t>
      </w:r>
    </w:p>
    <w:p w:rsidR="001D33C2" w:rsidP="00EE4000" w14:paraId="132097BA" w14:textId="70F61E96">
      <w:pPr>
        <w:pStyle w:val="Numberedparagraphs"/>
        <w:numPr>
          <w:ilvl w:val="0"/>
          <w:numId w:val="0"/>
        </w:numPr>
        <w:tabs>
          <w:tab w:val="left" w:pos="720"/>
        </w:tabs>
        <w:ind w:left="1080"/>
        <w:rPr>
          <w:szCs w:val="22"/>
        </w:rPr>
      </w:pPr>
      <w:r>
        <w:rPr>
          <w:szCs w:val="22"/>
        </w:rPr>
        <w:t>We estimate that compliance will require approximately 20 hours per provider annually.</w:t>
      </w:r>
    </w:p>
    <w:p w:rsidR="001D33C2" w:rsidP="001D33C2" w14:paraId="6469813A" w14:textId="3724B115">
      <w:pPr>
        <w:pStyle w:val="Numberedparagraphs"/>
        <w:numPr>
          <w:ilvl w:val="0"/>
          <w:numId w:val="0"/>
        </w:numPr>
        <w:tabs>
          <w:tab w:val="left" w:pos="720"/>
        </w:tabs>
        <w:ind w:left="1080"/>
        <w:rPr>
          <w:szCs w:val="22"/>
        </w:rPr>
      </w:pPr>
      <w:r>
        <w:rPr>
          <w:szCs w:val="22"/>
        </w:rPr>
        <w:t xml:space="preserve">(5)  </w:t>
      </w:r>
      <w:r w:rsidRPr="000C304B">
        <w:rPr>
          <w:szCs w:val="22"/>
          <w:u w:val="single"/>
        </w:rPr>
        <w:t>Total annual burden</w:t>
      </w:r>
      <w:r>
        <w:rPr>
          <w:szCs w:val="22"/>
        </w:rPr>
        <w:t xml:space="preserve">:  </w:t>
      </w:r>
      <w:r w:rsidRPr="000C304B">
        <w:rPr>
          <w:b/>
          <w:bCs/>
          <w:szCs w:val="22"/>
        </w:rPr>
        <w:t xml:space="preserve">Approximately </w:t>
      </w:r>
      <w:r w:rsidR="008F3A49">
        <w:rPr>
          <w:b/>
          <w:bCs/>
          <w:szCs w:val="22"/>
        </w:rPr>
        <w:t xml:space="preserve">600 </w:t>
      </w:r>
      <w:r w:rsidRPr="000C304B">
        <w:rPr>
          <w:b/>
          <w:bCs/>
          <w:szCs w:val="22"/>
        </w:rPr>
        <w:t>hours</w:t>
      </w:r>
      <w:r>
        <w:rPr>
          <w:szCs w:val="22"/>
        </w:rPr>
        <w:t>.</w:t>
      </w:r>
    </w:p>
    <w:p w:rsidR="00EE4000" w:rsidP="00EE4000" w14:paraId="25E6C5A4" w14:textId="00C432D9">
      <w:pPr>
        <w:pStyle w:val="Numberedparagraphs"/>
        <w:numPr>
          <w:ilvl w:val="0"/>
          <w:numId w:val="0"/>
        </w:numPr>
        <w:tabs>
          <w:tab w:val="left" w:pos="720"/>
        </w:tabs>
        <w:ind w:left="1800"/>
        <w:rPr>
          <w:szCs w:val="22"/>
        </w:rPr>
      </w:pPr>
      <w:r>
        <w:rPr>
          <w:szCs w:val="22"/>
        </w:rPr>
        <w:t xml:space="preserve">The Commission estimates that approximately 30 providers will require </w:t>
      </w:r>
      <w:r>
        <w:rPr>
          <w:szCs w:val="22"/>
        </w:rPr>
        <w:t>approximately 20 hours each to comply with this requirement.</w:t>
      </w:r>
    </w:p>
    <w:p w:rsidR="001D33C2" w:rsidP="001D33C2" w14:paraId="2038B44F" w14:textId="0FD24D6C">
      <w:pPr>
        <w:pStyle w:val="Numberedparagraphs"/>
        <w:numPr>
          <w:ilvl w:val="0"/>
          <w:numId w:val="0"/>
        </w:numPr>
        <w:tabs>
          <w:tab w:val="left" w:pos="720"/>
        </w:tabs>
        <w:ind w:left="1440"/>
        <w:rPr>
          <w:szCs w:val="22"/>
        </w:rPr>
      </w:pPr>
      <w:r>
        <w:rPr>
          <w:szCs w:val="22"/>
        </w:rPr>
        <w:t xml:space="preserve">Approximately 30 respondents x approximately 1 response per year per respondent x approximately 20 hours per response = Approximately </w:t>
      </w:r>
      <w:r w:rsidR="00EE4000">
        <w:rPr>
          <w:szCs w:val="22"/>
        </w:rPr>
        <w:t>600</w:t>
      </w:r>
      <w:r>
        <w:rPr>
          <w:szCs w:val="22"/>
        </w:rPr>
        <w:t xml:space="preserve"> hours.</w:t>
      </w:r>
    </w:p>
    <w:p w:rsidR="001D33C2" w:rsidP="001D33C2" w14:paraId="3A69F5BE" w14:textId="774F4C6D">
      <w:pPr>
        <w:pStyle w:val="Numberedparagraphs"/>
        <w:numPr>
          <w:ilvl w:val="0"/>
          <w:numId w:val="5"/>
        </w:numPr>
        <w:tabs>
          <w:tab w:val="left" w:pos="720"/>
        </w:tabs>
        <w:rPr>
          <w:szCs w:val="22"/>
        </w:rPr>
      </w:pPr>
      <w:r w:rsidRPr="00206F15">
        <w:rPr>
          <w:szCs w:val="22"/>
          <w:u w:val="single"/>
        </w:rPr>
        <w:t>Total estimate of “in-house”</w:t>
      </w:r>
      <w:r>
        <w:rPr>
          <w:szCs w:val="22"/>
          <w:u w:val="single"/>
        </w:rPr>
        <w:t xml:space="preserve"> </w:t>
      </w:r>
      <w:r w:rsidRPr="00206F15">
        <w:rPr>
          <w:szCs w:val="22"/>
          <w:u w:val="single"/>
        </w:rPr>
        <w:t>cost to responde</w:t>
      </w:r>
      <w:r w:rsidRPr="001C0604">
        <w:rPr>
          <w:szCs w:val="22"/>
          <w:u w:val="single"/>
        </w:rPr>
        <w:t>n</w:t>
      </w:r>
      <w:r w:rsidRPr="00915F36">
        <w:rPr>
          <w:szCs w:val="22"/>
          <w:u w:val="single"/>
        </w:rPr>
        <w:t>ts</w:t>
      </w:r>
      <w:r>
        <w:rPr>
          <w:szCs w:val="22"/>
        </w:rPr>
        <w:t xml:space="preserve">:  </w:t>
      </w:r>
      <w:r w:rsidRPr="00501942">
        <w:rPr>
          <w:b/>
          <w:bCs/>
          <w:szCs w:val="22"/>
        </w:rPr>
        <w:t>$</w:t>
      </w:r>
      <w:r w:rsidR="00EE4000">
        <w:rPr>
          <w:b/>
          <w:bCs/>
          <w:szCs w:val="22"/>
        </w:rPr>
        <w:t>36,498.</w:t>
      </w:r>
    </w:p>
    <w:p w:rsidR="001D33C2" w:rsidP="001D33C2" w14:paraId="0E0558F6" w14:textId="77777777">
      <w:pPr>
        <w:pStyle w:val="Numberedparagraphs"/>
        <w:numPr>
          <w:ilvl w:val="0"/>
          <w:numId w:val="5"/>
        </w:numPr>
        <w:tabs>
          <w:tab w:val="left" w:pos="720"/>
        </w:tabs>
        <w:rPr>
          <w:szCs w:val="22"/>
        </w:rPr>
      </w:pPr>
      <w:r w:rsidRPr="00206F15">
        <w:rPr>
          <w:szCs w:val="22"/>
          <w:u w:val="single"/>
        </w:rPr>
        <w:t>Explanation of the calculation</w:t>
      </w:r>
      <w:r>
        <w:rPr>
          <w:szCs w:val="22"/>
        </w:rPr>
        <w:t xml:space="preserve">:  </w:t>
      </w:r>
    </w:p>
    <w:p w:rsidR="001D33C2" w:rsidP="001D33C2" w14:paraId="7E328E29" w14:textId="02EA693B">
      <w:pPr>
        <w:pStyle w:val="Numberedparagraphs"/>
        <w:numPr>
          <w:ilvl w:val="0"/>
          <w:numId w:val="0"/>
        </w:numPr>
        <w:tabs>
          <w:tab w:val="left" w:pos="720"/>
        </w:tabs>
        <w:ind w:left="1440"/>
        <w:rPr>
          <w:szCs w:val="22"/>
        </w:rPr>
      </w:pPr>
      <w:r>
        <w:rPr>
          <w:szCs w:val="22"/>
        </w:rPr>
        <w:t>The Commission estimates that 30 providers will be subject to the consumer disclosure requirement.</w:t>
      </w:r>
    </w:p>
    <w:p w:rsidR="001D33C2" w:rsidP="001D33C2" w14:paraId="7484AEF5" w14:textId="20A39F24">
      <w:pPr>
        <w:pStyle w:val="Numberedparagraphs"/>
        <w:numPr>
          <w:ilvl w:val="0"/>
          <w:numId w:val="0"/>
        </w:numPr>
        <w:tabs>
          <w:tab w:val="left" w:pos="720"/>
        </w:tabs>
        <w:ind w:left="1440"/>
        <w:rPr>
          <w:szCs w:val="22"/>
        </w:rPr>
      </w:pPr>
      <w:r>
        <w:rPr>
          <w:szCs w:val="22"/>
        </w:rPr>
        <w:t>The Commission estimates that respondents will use personnel comparable in pay to a GS 13/Step 5 employee earning $</w:t>
      </w:r>
      <w:r w:rsidR="001B657B">
        <w:rPr>
          <w:szCs w:val="22"/>
        </w:rPr>
        <w:t>60.83</w:t>
      </w:r>
      <w:r>
        <w:rPr>
          <w:szCs w:val="22"/>
        </w:rPr>
        <w:t xml:space="preserve"> per hour.  Thus:</w:t>
      </w:r>
    </w:p>
    <w:p w:rsidR="001D33C2" w:rsidP="001D33C2" w14:paraId="2138D4C8" w14:textId="4390134C">
      <w:pPr>
        <w:pStyle w:val="Numberedparagraphs"/>
        <w:numPr>
          <w:ilvl w:val="0"/>
          <w:numId w:val="0"/>
        </w:numPr>
        <w:tabs>
          <w:tab w:val="left" w:pos="720"/>
        </w:tabs>
        <w:ind w:left="1440"/>
        <w:rPr>
          <w:szCs w:val="22"/>
        </w:rPr>
      </w:pPr>
      <w:r>
        <w:rPr>
          <w:szCs w:val="22"/>
        </w:rPr>
        <w:t>600</w:t>
      </w:r>
      <w:r>
        <w:rPr>
          <w:szCs w:val="22"/>
        </w:rPr>
        <w:t xml:space="preserve"> hours x $</w:t>
      </w:r>
      <w:r w:rsidR="001B657B">
        <w:rPr>
          <w:szCs w:val="22"/>
        </w:rPr>
        <w:t>60.83</w:t>
      </w:r>
      <w:r>
        <w:rPr>
          <w:szCs w:val="22"/>
        </w:rPr>
        <w:t>= $</w:t>
      </w:r>
      <w:r>
        <w:rPr>
          <w:szCs w:val="22"/>
        </w:rPr>
        <w:t>36,498.</w:t>
      </w:r>
    </w:p>
    <w:p w:rsidR="001D33C2" w:rsidRPr="00F57AFA" w:rsidP="00F57AFA" w14:paraId="1C47C62A" w14:textId="0B06E088">
      <w:pPr>
        <w:pStyle w:val="Numberedparagraphs"/>
        <w:numPr>
          <w:ilvl w:val="0"/>
          <w:numId w:val="4"/>
        </w:numPr>
        <w:tabs>
          <w:tab w:val="left" w:pos="720"/>
        </w:tabs>
        <w:rPr>
          <w:szCs w:val="22"/>
        </w:rPr>
      </w:pPr>
      <w:r w:rsidRPr="006247DF">
        <w:rPr>
          <w:b/>
          <w:bCs/>
          <w:szCs w:val="22"/>
          <w:u w:val="single"/>
        </w:rPr>
        <w:t>Consumer Disclosure Billing Requirement</w:t>
      </w:r>
      <w:r w:rsidRPr="00F57AFA">
        <w:rPr>
          <w:szCs w:val="22"/>
        </w:rPr>
        <w:t>:</w:t>
      </w:r>
    </w:p>
    <w:p w:rsidR="001D33C2" w:rsidRPr="0055282B" w:rsidP="001D33C2" w14:paraId="0889F401" w14:textId="77777777">
      <w:pPr>
        <w:pStyle w:val="Numberedparagraphs"/>
        <w:numPr>
          <w:ilvl w:val="0"/>
          <w:numId w:val="6"/>
        </w:numPr>
        <w:tabs>
          <w:tab w:val="left" w:pos="720"/>
        </w:tabs>
        <w:rPr>
          <w:b/>
          <w:bCs/>
          <w:szCs w:val="22"/>
          <w:u w:val="single"/>
        </w:rPr>
      </w:pPr>
      <w:r w:rsidRPr="00206F15">
        <w:rPr>
          <w:szCs w:val="22"/>
          <w:u w:val="single"/>
        </w:rPr>
        <w:t>Number of respondents</w:t>
      </w:r>
      <w:r>
        <w:rPr>
          <w:szCs w:val="22"/>
        </w:rPr>
        <w:t>:  Approximately 30.</w:t>
      </w:r>
    </w:p>
    <w:p w:rsidR="001D33C2" w:rsidRPr="0055282B" w:rsidP="001D33C2" w14:paraId="2F628D6D" w14:textId="77777777">
      <w:pPr>
        <w:pStyle w:val="Numberedparagraphs"/>
        <w:numPr>
          <w:ilvl w:val="0"/>
          <w:numId w:val="6"/>
        </w:numPr>
        <w:tabs>
          <w:tab w:val="left" w:pos="720"/>
        </w:tabs>
        <w:rPr>
          <w:b/>
          <w:bCs/>
          <w:szCs w:val="22"/>
          <w:u w:val="single"/>
        </w:rPr>
      </w:pPr>
      <w:r w:rsidRPr="00206F15">
        <w:rPr>
          <w:szCs w:val="22"/>
          <w:u w:val="single"/>
        </w:rPr>
        <w:t>Frequency of response</w:t>
      </w:r>
      <w:r>
        <w:rPr>
          <w:szCs w:val="22"/>
        </w:rPr>
        <w:t>:  Third-party-disclosure requirement.</w:t>
      </w:r>
    </w:p>
    <w:p w:rsidR="001D33C2" w:rsidRPr="0055282B" w:rsidP="001D33C2" w14:paraId="72D857E0" w14:textId="77777777">
      <w:pPr>
        <w:pStyle w:val="Numberedparagraphs"/>
        <w:numPr>
          <w:ilvl w:val="0"/>
          <w:numId w:val="6"/>
        </w:numPr>
        <w:tabs>
          <w:tab w:val="left" w:pos="720"/>
        </w:tabs>
        <w:rPr>
          <w:b/>
          <w:bCs/>
          <w:szCs w:val="22"/>
          <w:u w:val="single"/>
        </w:rPr>
      </w:pPr>
      <w:r w:rsidRPr="00206F15">
        <w:rPr>
          <w:szCs w:val="22"/>
          <w:u w:val="single"/>
        </w:rPr>
        <w:t>Total number of responses annually</w:t>
      </w:r>
      <w:r>
        <w:rPr>
          <w:szCs w:val="22"/>
        </w:rPr>
        <w:t>:  Approximately 30.</w:t>
      </w:r>
    </w:p>
    <w:p w:rsidR="001D33C2" w:rsidP="001D33C2" w14:paraId="70B01EF0" w14:textId="30AF7698">
      <w:pPr>
        <w:pStyle w:val="Numberedparagraphs"/>
        <w:numPr>
          <w:ilvl w:val="0"/>
          <w:numId w:val="6"/>
        </w:numPr>
        <w:tabs>
          <w:tab w:val="left" w:pos="720"/>
        </w:tabs>
        <w:rPr>
          <w:b/>
          <w:bCs/>
          <w:szCs w:val="22"/>
          <w:u w:val="single"/>
        </w:rPr>
      </w:pPr>
      <w:r w:rsidRPr="00206F15">
        <w:rPr>
          <w:szCs w:val="22"/>
          <w:u w:val="single"/>
        </w:rPr>
        <w:t>Estimated time per response</w:t>
      </w:r>
      <w:r>
        <w:rPr>
          <w:szCs w:val="22"/>
        </w:rPr>
        <w:t xml:space="preserve">:  </w:t>
      </w:r>
      <w:r w:rsidRPr="000251A5">
        <w:rPr>
          <w:szCs w:val="22"/>
        </w:rPr>
        <w:t xml:space="preserve">Approximately </w:t>
      </w:r>
      <w:r w:rsidRPr="000251A5" w:rsidR="00C12371">
        <w:rPr>
          <w:szCs w:val="22"/>
        </w:rPr>
        <w:t>30</w:t>
      </w:r>
      <w:r w:rsidRPr="000251A5">
        <w:rPr>
          <w:szCs w:val="22"/>
        </w:rPr>
        <w:t xml:space="preserve"> hours</w:t>
      </w:r>
      <w:r>
        <w:rPr>
          <w:szCs w:val="22"/>
        </w:rPr>
        <w:t>.</w:t>
      </w:r>
    </w:p>
    <w:p w:rsidR="001D33C2" w:rsidP="005347DB" w14:paraId="2F9FD30D" w14:textId="77777777">
      <w:pPr>
        <w:pStyle w:val="Numberedparagraphs"/>
        <w:widowControl/>
        <w:numPr>
          <w:ilvl w:val="0"/>
          <w:numId w:val="0"/>
        </w:numPr>
        <w:tabs>
          <w:tab w:val="left" w:pos="720"/>
        </w:tabs>
        <w:ind w:left="1800"/>
        <w:rPr>
          <w:szCs w:val="22"/>
        </w:rPr>
      </w:pPr>
      <w:r w:rsidRPr="00242C65">
        <w:rPr>
          <w:szCs w:val="22"/>
        </w:rPr>
        <w:t>We estimate that</w:t>
      </w:r>
      <w:r>
        <w:rPr>
          <w:szCs w:val="22"/>
        </w:rPr>
        <w:t xml:space="preserve"> compliance will require approximately 30 hours per provider per year</w:t>
      </w:r>
      <w:r w:rsidRPr="00AB4149">
        <w:rPr>
          <w:szCs w:val="22"/>
        </w:rPr>
        <w:t>.</w:t>
      </w:r>
    </w:p>
    <w:p w:rsidR="001D33C2" w:rsidP="001D33C2" w14:paraId="217068ED" w14:textId="58D14632">
      <w:pPr>
        <w:pStyle w:val="Numberedparagraphs"/>
        <w:numPr>
          <w:ilvl w:val="0"/>
          <w:numId w:val="6"/>
        </w:numPr>
        <w:tabs>
          <w:tab w:val="left" w:pos="720"/>
        </w:tabs>
        <w:rPr>
          <w:szCs w:val="22"/>
        </w:rPr>
      </w:pPr>
      <w:r w:rsidRPr="005074ED">
        <w:rPr>
          <w:szCs w:val="22"/>
          <w:u w:val="single"/>
        </w:rPr>
        <w:t>Total annual burden</w:t>
      </w:r>
      <w:r>
        <w:rPr>
          <w:szCs w:val="22"/>
        </w:rPr>
        <w:t xml:space="preserve">:  </w:t>
      </w:r>
      <w:r w:rsidRPr="00501942">
        <w:rPr>
          <w:b/>
          <w:bCs/>
          <w:szCs w:val="22"/>
        </w:rPr>
        <w:t xml:space="preserve">Approximately </w:t>
      </w:r>
      <w:r w:rsidR="00EE4000">
        <w:rPr>
          <w:b/>
          <w:bCs/>
          <w:szCs w:val="22"/>
        </w:rPr>
        <w:t xml:space="preserve">900 </w:t>
      </w:r>
      <w:r w:rsidRPr="00501942">
        <w:rPr>
          <w:b/>
          <w:bCs/>
          <w:szCs w:val="22"/>
        </w:rPr>
        <w:t>hours</w:t>
      </w:r>
      <w:r>
        <w:rPr>
          <w:szCs w:val="22"/>
        </w:rPr>
        <w:t>.</w:t>
      </w:r>
    </w:p>
    <w:p w:rsidR="001D33C2" w:rsidP="001D33C2" w14:paraId="7075FF59" w14:textId="77777777">
      <w:pPr>
        <w:pStyle w:val="Numberedparagraphs"/>
        <w:numPr>
          <w:ilvl w:val="0"/>
          <w:numId w:val="0"/>
        </w:numPr>
        <w:tabs>
          <w:tab w:val="left" w:pos="720"/>
        </w:tabs>
        <w:ind w:left="1800"/>
        <w:rPr>
          <w:szCs w:val="22"/>
        </w:rPr>
      </w:pPr>
      <w:r>
        <w:rPr>
          <w:szCs w:val="22"/>
        </w:rPr>
        <w:t>The Commission estimates that approximately 30 providers will require approximately 30 hours each to comply with this requirement.</w:t>
      </w:r>
    </w:p>
    <w:p w:rsidR="001D33C2" w:rsidP="001D33C2" w14:paraId="79D1DC75" w14:textId="66827EB7">
      <w:pPr>
        <w:pStyle w:val="Numberedparagraphs"/>
        <w:numPr>
          <w:ilvl w:val="0"/>
          <w:numId w:val="0"/>
        </w:numPr>
        <w:tabs>
          <w:tab w:val="left" w:pos="720"/>
        </w:tabs>
        <w:ind w:left="1800"/>
        <w:rPr>
          <w:szCs w:val="22"/>
        </w:rPr>
      </w:pPr>
      <w:r>
        <w:rPr>
          <w:szCs w:val="22"/>
        </w:rPr>
        <w:t xml:space="preserve">Approximately 30 respondents x approximately 1 response per year per respondent x approximately 30 hours per response = approximately </w:t>
      </w:r>
      <w:r w:rsidR="00EE4000">
        <w:rPr>
          <w:szCs w:val="22"/>
        </w:rPr>
        <w:t>900</w:t>
      </w:r>
      <w:r>
        <w:rPr>
          <w:szCs w:val="22"/>
        </w:rPr>
        <w:t xml:space="preserve"> hours.</w:t>
      </w:r>
    </w:p>
    <w:p w:rsidR="001D33C2" w:rsidRPr="00501942" w:rsidP="001D33C2" w14:paraId="030380B3" w14:textId="47BEC17F">
      <w:pPr>
        <w:pStyle w:val="Numberedparagraphs"/>
        <w:numPr>
          <w:ilvl w:val="0"/>
          <w:numId w:val="6"/>
        </w:numPr>
        <w:tabs>
          <w:tab w:val="left" w:pos="720"/>
        </w:tabs>
        <w:rPr>
          <w:b/>
          <w:bCs/>
          <w:szCs w:val="22"/>
        </w:rPr>
      </w:pPr>
      <w:r w:rsidRPr="005074ED">
        <w:rPr>
          <w:szCs w:val="22"/>
          <w:u w:val="single"/>
        </w:rPr>
        <w:t>Total estimate of “in-house” cost to respondents</w:t>
      </w:r>
      <w:r>
        <w:rPr>
          <w:szCs w:val="22"/>
        </w:rPr>
        <w:t xml:space="preserve"> = </w:t>
      </w:r>
      <w:r w:rsidRPr="00501942">
        <w:rPr>
          <w:b/>
          <w:bCs/>
          <w:szCs w:val="22"/>
        </w:rPr>
        <w:t>$</w:t>
      </w:r>
      <w:r w:rsidR="00EE4000">
        <w:rPr>
          <w:b/>
          <w:bCs/>
          <w:szCs w:val="22"/>
        </w:rPr>
        <w:t>54,747.</w:t>
      </w:r>
    </w:p>
    <w:p w:rsidR="001D33C2" w:rsidP="001D33C2" w14:paraId="386D00CF" w14:textId="77777777">
      <w:pPr>
        <w:pStyle w:val="Numberedparagraphs"/>
        <w:numPr>
          <w:ilvl w:val="0"/>
          <w:numId w:val="6"/>
        </w:numPr>
        <w:tabs>
          <w:tab w:val="left" w:pos="720"/>
        </w:tabs>
        <w:rPr>
          <w:szCs w:val="22"/>
        </w:rPr>
      </w:pPr>
      <w:r w:rsidRPr="005074ED">
        <w:rPr>
          <w:szCs w:val="22"/>
          <w:u w:val="single"/>
        </w:rPr>
        <w:t>Explanation of this calculation</w:t>
      </w:r>
      <w:r>
        <w:rPr>
          <w:szCs w:val="22"/>
        </w:rPr>
        <w:t>:</w:t>
      </w:r>
    </w:p>
    <w:p w:rsidR="001D33C2" w:rsidP="001D33C2" w14:paraId="48C4DE5E" w14:textId="545E1756">
      <w:pPr>
        <w:pStyle w:val="Numberedparagraphs"/>
        <w:numPr>
          <w:ilvl w:val="0"/>
          <w:numId w:val="0"/>
        </w:numPr>
        <w:tabs>
          <w:tab w:val="left" w:pos="720"/>
        </w:tabs>
        <w:ind w:left="1800"/>
        <w:rPr>
          <w:szCs w:val="22"/>
        </w:rPr>
      </w:pPr>
      <w:r>
        <w:rPr>
          <w:szCs w:val="22"/>
        </w:rPr>
        <w:t>The Commission estimates that 30 providers will be subject to the consumer disclosure billing requirement.</w:t>
      </w:r>
    </w:p>
    <w:p w:rsidR="00E67CAD" w:rsidP="00E67CAD" w14:paraId="40177516" w14:textId="77777777">
      <w:pPr>
        <w:pStyle w:val="Numberedparagraphs"/>
        <w:numPr>
          <w:ilvl w:val="0"/>
          <w:numId w:val="0"/>
        </w:numPr>
        <w:tabs>
          <w:tab w:val="left" w:pos="720"/>
        </w:tabs>
        <w:ind w:left="1800"/>
        <w:rPr>
          <w:szCs w:val="22"/>
        </w:rPr>
      </w:pPr>
      <w:r>
        <w:rPr>
          <w:szCs w:val="22"/>
        </w:rPr>
        <w:t>The Commission estimates that respondents will use personnel comparable in pay to a GS 13/Step 5 employee earning $</w:t>
      </w:r>
      <w:r w:rsidR="001B657B">
        <w:rPr>
          <w:szCs w:val="22"/>
        </w:rPr>
        <w:t>60.83</w:t>
      </w:r>
      <w:r>
        <w:rPr>
          <w:szCs w:val="22"/>
        </w:rPr>
        <w:t xml:space="preserve"> per hour.</w:t>
      </w:r>
    </w:p>
    <w:p w:rsidR="00387747" w:rsidRPr="002023AB" w:rsidP="002023AB" w14:paraId="0CEDC361" w14:textId="04973FAF">
      <w:pPr>
        <w:pStyle w:val="Numberedparagraphs"/>
        <w:numPr>
          <w:ilvl w:val="0"/>
          <w:numId w:val="0"/>
        </w:numPr>
        <w:tabs>
          <w:tab w:val="left" w:pos="720"/>
        </w:tabs>
        <w:ind w:left="1800"/>
        <w:rPr>
          <w:b/>
          <w:bCs/>
          <w:szCs w:val="22"/>
        </w:rPr>
      </w:pPr>
      <w:r>
        <w:rPr>
          <w:szCs w:val="22"/>
        </w:rPr>
        <w:t xml:space="preserve">Thus, </w:t>
      </w:r>
      <w:r w:rsidR="00EE4000">
        <w:rPr>
          <w:szCs w:val="22"/>
        </w:rPr>
        <w:t>900</w:t>
      </w:r>
      <w:r>
        <w:rPr>
          <w:szCs w:val="22"/>
        </w:rPr>
        <w:t xml:space="preserve"> hours x $</w:t>
      </w:r>
      <w:r w:rsidR="001B657B">
        <w:rPr>
          <w:szCs w:val="22"/>
        </w:rPr>
        <w:t>60.83</w:t>
      </w:r>
      <w:r>
        <w:rPr>
          <w:szCs w:val="22"/>
        </w:rPr>
        <w:t xml:space="preserve">= </w:t>
      </w:r>
      <w:r w:rsidRPr="00501942">
        <w:rPr>
          <w:b/>
          <w:bCs/>
          <w:szCs w:val="22"/>
        </w:rPr>
        <w:t>$</w:t>
      </w:r>
      <w:r w:rsidR="00EE4000">
        <w:rPr>
          <w:b/>
          <w:bCs/>
          <w:szCs w:val="22"/>
        </w:rPr>
        <w:t>54,747</w:t>
      </w:r>
    </w:p>
    <w:p w:rsidR="00EC2F8C" w:rsidP="00470C66" w14:paraId="6A586559" w14:textId="1EFBC333">
      <w:pPr>
        <w:pStyle w:val="Numberedparagraphs"/>
        <w:numPr>
          <w:ilvl w:val="0"/>
          <w:numId w:val="0"/>
        </w:numPr>
        <w:tabs>
          <w:tab w:val="left" w:pos="720"/>
        </w:tabs>
        <w:rPr>
          <w:szCs w:val="22"/>
        </w:rPr>
      </w:pPr>
      <w:r w:rsidRPr="00E67CAD">
        <w:rPr>
          <w:b/>
          <w:bCs/>
          <w:szCs w:val="22"/>
        </w:rPr>
        <w:t>d</w:t>
      </w:r>
      <w:r w:rsidRPr="00E67CAD" w:rsidR="002F7532">
        <w:rPr>
          <w:b/>
          <w:bCs/>
          <w:szCs w:val="22"/>
        </w:rPr>
        <w:t>.</w:t>
      </w:r>
      <w:r w:rsidRPr="00E67CAD" w:rsidR="002F7532">
        <w:rPr>
          <w:b/>
          <w:bCs/>
          <w:szCs w:val="22"/>
        </w:rPr>
        <w:tab/>
      </w:r>
      <w:r w:rsidRPr="00E67CAD" w:rsidR="008E558A">
        <w:rPr>
          <w:b/>
          <w:bCs/>
          <w:szCs w:val="22"/>
          <w:u w:val="single"/>
        </w:rPr>
        <w:t>Waiver Request Reporting Requiremen</w:t>
      </w:r>
      <w:r w:rsidRPr="006B2098" w:rsidR="008E558A">
        <w:rPr>
          <w:b/>
          <w:bCs/>
          <w:szCs w:val="22"/>
          <w:u w:val="single"/>
        </w:rPr>
        <w:t>t</w:t>
      </w:r>
      <w:r w:rsidRPr="00915F36" w:rsidR="008E558A">
        <w:rPr>
          <w:b/>
          <w:bCs/>
          <w:szCs w:val="22"/>
        </w:rPr>
        <w:t>:</w:t>
      </w:r>
    </w:p>
    <w:p w:rsidR="004E68B1" w14:paraId="614C9120" w14:textId="4F04409E">
      <w:pPr>
        <w:pStyle w:val="Numberedparagraphs"/>
        <w:numPr>
          <w:ilvl w:val="0"/>
          <w:numId w:val="7"/>
        </w:numPr>
        <w:tabs>
          <w:tab w:val="left" w:pos="720"/>
          <w:tab w:val="clear" w:pos="1440"/>
        </w:tabs>
        <w:rPr>
          <w:szCs w:val="22"/>
        </w:rPr>
      </w:pPr>
      <w:r>
        <w:rPr>
          <w:szCs w:val="22"/>
        </w:rPr>
        <w:t>Number of respondents:  Approximately 3.</w:t>
      </w:r>
    </w:p>
    <w:p w:rsidR="004E68B1" w14:paraId="712FBD1F" w14:textId="1D01FB5A">
      <w:pPr>
        <w:pStyle w:val="Numberedparagraphs"/>
        <w:numPr>
          <w:ilvl w:val="0"/>
          <w:numId w:val="7"/>
        </w:numPr>
        <w:tabs>
          <w:tab w:val="left" w:pos="720"/>
          <w:tab w:val="clear" w:pos="1440"/>
        </w:tabs>
        <w:rPr>
          <w:szCs w:val="22"/>
        </w:rPr>
      </w:pPr>
      <w:r>
        <w:rPr>
          <w:szCs w:val="22"/>
        </w:rPr>
        <w:t>Frequency of response:  On occasion reporting requirement as requested by filer.</w:t>
      </w:r>
    </w:p>
    <w:p w:rsidR="00E80818" w14:paraId="701476C5" w14:textId="3FC975EB">
      <w:pPr>
        <w:pStyle w:val="Numberedparagraphs"/>
        <w:numPr>
          <w:ilvl w:val="0"/>
          <w:numId w:val="7"/>
        </w:numPr>
        <w:tabs>
          <w:tab w:val="left" w:pos="720"/>
          <w:tab w:val="clear" w:pos="1440"/>
        </w:tabs>
        <w:rPr>
          <w:szCs w:val="22"/>
        </w:rPr>
      </w:pPr>
      <w:r>
        <w:rPr>
          <w:szCs w:val="22"/>
        </w:rPr>
        <w:t>Total number or responses annually:  Approximately 3.</w:t>
      </w:r>
    </w:p>
    <w:p w:rsidR="00E80818" w:rsidRPr="00EE4000" w14:paraId="2EBD9595" w14:textId="2ED521A3">
      <w:pPr>
        <w:pStyle w:val="Numberedparagraphs"/>
        <w:numPr>
          <w:ilvl w:val="0"/>
          <w:numId w:val="7"/>
        </w:numPr>
        <w:tabs>
          <w:tab w:val="left" w:pos="720"/>
          <w:tab w:val="clear" w:pos="1440"/>
        </w:tabs>
        <w:rPr>
          <w:szCs w:val="22"/>
        </w:rPr>
      </w:pPr>
      <w:r>
        <w:rPr>
          <w:szCs w:val="22"/>
        </w:rPr>
        <w:t xml:space="preserve">Estimated Time per Response:  </w:t>
      </w:r>
      <w:r w:rsidRPr="00EE4000">
        <w:rPr>
          <w:szCs w:val="22"/>
        </w:rPr>
        <w:t>Approximately 80 hours per provider.</w:t>
      </w:r>
    </w:p>
    <w:p w:rsidR="008A603C" w:rsidRPr="0022685D" w14:paraId="41783DC3" w14:textId="26AE726D">
      <w:pPr>
        <w:pStyle w:val="Numberedparagraphs"/>
        <w:numPr>
          <w:ilvl w:val="0"/>
          <w:numId w:val="7"/>
        </w:numPr>
        <w:tabs>
          <w:tab w:val="left" w:pos="720"/>
          <w:tab w:val="clear" w:pos="1440"/>
        </w:tabs>
        <w:rPr>
          <w:b/>
          <w:bCs/>
          <w:szCs w:val="22"/>
        </w:rPr>
      </w:pPr>
      <w:r>
        <w:rPr>
          <w:szCs w:val="22"/>
        </w:rPr>
        <w:t xml:space="preserve">Total annual burden:  Approximately </w:t>
      </w:r>
      <w:r w:rsidRPr="0022685D">
        <w:rPr>
          <w:b/>
          <w:bCs/>
          <w:szCs w:val="22"/>
        </w:rPr>
        <w:t>240 hours.</w:t>
      </w:r>
    </w:p>
    <w:p w:rsidR="008A603C" w:rsidP="008A603C" w14:paraId="0D687CAB" w14:textId="38B221AC">
      <w:pPr>
        <w:pStyle w:val="Numberedparagraphs"/>
        <w:numPr>
          <w:ilvl w:val="0"/>
          <w:numId w:val="0"/>
        </w:numPr>
        <w:tabs>
          <w:tab w:val="left" w:pos="720"/>
          <w:tab w:val="clear" w:pos="1440"/>
        </w:tabs>
        <w:ind w:left="1080"/>
        <w:rPr>
          <w:szCs w:val="22"/>
        </w:rPr>
      </w:pPr>
      <w:r>
        <w:rPr>
          <w:szCs w:val="22"/>
        </w:rPr>
        <w:t>The Commission estimates that approximately three providers will require approximately 80 hours each to comply with this requirement annually.</w:t>
      </w:r>
    </w:p>
    <w:p w:rsidR="008A603C" w:rsidP="008A603C" w14:paraId="3CBA2F37" w14:textId="5CC79495">
      <w:pPr>
        <w:pStyle w:val="Numberedparagraphs"/>
        <w:numPr>
          <w:ilvl w:val="0"/>
          <w:numId w:val="0"/>
        </w:numPr>
        <w:tabs>
          <w:tab w:val="left" w:pos="720"/>
          <w:tab w:val="clear" w:pos="1440"/>
        </w:tabs>
        <w:ind w:left="1080"/>
        <w:rPr>
          <w:szCs w:val="22"/>
        </w:rPr>
      </w:pPr>
      <w:r>
        <w:rPr>
          <w:szCs w:val="22"/>
        </w:rPr>
        <w:t>Approximately 3 respondents x approximately 1 response annually x approximately 80 hours per response = approximately 240 hours.</w:t>
      </w:r>
    </w:p>
    <w:p w:rsidR="008A603C" w14:paraId="6F9C066C" w14:textId="6E5B388A">
      <w:pPr>
        <w:pStyle w:val="Numberedparagraphs"/>
        <w:numPr>
          <w:ilvl w:val="0"/>
          <w:numId w:val="7"/>
        </w:numPr>
        <w:tabs>
          <w:tab w:val="left" w:pos="720"/>
          <w:tab w:val="clear" w:pos="1440"/>
        </w:tabs>
        <w:rPr>
          <w:szCs w:val="22"/>
        </w:rPr>
      </w:pPr>
      <w:r>
        <w:rPr>
          <w:szCs w:val="22"/>
        </w:rPr>
        <w:t xml:space="preserve">Total estimate of “in-house” cost to respondents:  </w:t>
      </w:r>
      <w:r w:rsidRPr="00C93A47">
        <w:rPr>
          <w:b/>
          <w:bCs/>
          <w:szCs w:val="22"/>
        </w:rPr>
        <w:t>$30,000</w:t>
      </w:r>
      <w:r>
        <w:rPr>
          <w:szCs w:val="22"/>
        </w:rPr>
        <w:t>.</w:t>
      </w:r>
    </w:p>
    <w:p w:rsidR="008A603C" w:rsidP="008A1B9D" w14:paraId="7247643F" w14:textId="744C062D">
      <w:pPr>
        <w:pStyle w:val="Numberedparagraphs"/>
        <w:keepNext/>
        <w:widowControl/>
        <w:numPr>
          <w:ilvl w:val="0"/>
          <w:numId w:val="7"/>
        </w:numPr>
        <w:tabs>
          <w:tab w:val="left" w:pos="720"/>
          <w:tab w:val="clear" w:pos="1440"/>
        </w:tabs>
        <w:rPr>
          <w:szCs w:val="22"/>
        </w:rPr>
      </w:pPr>
      <w:r>
        <w:rPr>
          <w:szCs w:val="22"/>
        </w:rPr>
        <w:t>Explanation of the calculation:</w:t>
      </w:r>
    </w:p>
    <w:p w:rsidR="006247DF" w:rsidP="006247DF" w14:paraId="1C1FAA45" w14:textId="77777777">
      <w:pPr>
        <w:pStyle w:val="Numberedparagraphs"/>
        <w:numPr>
          <w:ilvl w:val="0"/>
          <w:numId w:val="0"/>
        </w:numPr>
        <w:tabs>
          <w:tab w:val="left" w:pos="720"/>
          <w:tab w:val="clear" w:pos="1440"/>
        </w:tabs>
        <w:ind w:left="1080"/>
        <w:rPr>
          <w:szCs w:val="22"/>
        </w:rPr>
      </w:pPr>
      <w:r>
        <w:rPr>
          <w:szCs w:val="22"/>
        </w:rPr>
        <w:t>We estimate that respondents will use approximately 80 hours of professional personnel (rate of approximately $125 per hour) to satisfy this waiver request requirement.</w:t>
      </w:r>
    </w:p>
    <w:p w:rsidR="005347DB" w:rsidRPr="006247DF" w:rsidP="006247DF" w14:paraId="3AA5F499" w14:textId="6764ABCC">
      <w:pPr>
        <w:pStyle w:val="Numberedparagraphs"/>
        <w:numPr>
          <w:ilvl w:val="0"/>
          <w:numId w:val="0"/>
        </w:numPr>
        <w:tabs>
          <w:tab w:val="left" w:pos="720"/>
          <w:tab w:val="clear" w:pos="1440"/>
        </w:tabs>
        <w:ind w:left="1080"/>
        <w:rPr>
          <w:szCs w:val="22"/>
        </w:rPr>
      </w:pPr>
      <w:r>
        <w:rPr>
          <w:szCs w:val="22"/>
        </w:rPr>
        <w:t>Thus, 240 hours per year x $125.00 = $30,000.00.</w:t>
      </w:r>
      <w:bookmarkStart w:id="17" w:name="_Hlk90909531"/>
    </w:p>
    <w:p w:rsidR="00925A06" w:rsidP="00925A06" w14:paraId="4DA7B762" w14:textId="77777777">
      <w:pPr>
        <w:pStyle w:val="Numberedparagraphs"/>
        <w:numPr>
          <w:ilvl w:val="0"/>
          <w:numId w:val="0"/>
        </w:numPr>
        <w:tabs>
          <w:tab w:val="left" w:pos="720"/>
          <w:tab w:val="clear" w:pos="1440"/>
        </w:tabs>
        <w:rPr>
          <w:b/>
          <w:bCs/>
          <w:szCs w:val="22"/>
          <w:u w:val="single"/>
        </w:rPr>
      </w:pPr>
      <w:r>
        <w:rPr>
          <w:b/>
          <w:bCs/>
          <w:szCs w:val="22"/>
          <w:u w:val="single"/>
        </w:rPr>
        <w:t xml:space="preserve">New </w:t>
      </w:r>
      <w:r w:rsidRPr="006770D4" w:rsidR="006770D4">
        <w:rPr>
          <w:b/>
          <w:bCs/>
          <w:szCs w:val="22"/>
          <w:u w:val="single"/>
        </w:rPr>
        <w:t xml:space="preserve">Information Collection </w:t>
      </w:r>
      <w:r w:rsidRPr="008B0876" w:rsidR="00905497">
        <w:rPr>
          <w:b/>
          <w:bCs/>
          <w:szCs w:val="22"/>
          <w:u w:val="single"/>
        </w:rPr>
        <w:t>Requirements</w:t>
      </w:r>
      <w:r w:rsidR="006770D4">
        <w:rPr>
          <w:b/>
          <w:bCs/>
          <w:szCs w:val="22"/>
          <w:u w:val="single"/>
        </w:rPr>
        <w:t>:</w:t>
      </w:r>
    </w:p>
    <w:p w:rsidR="00EF46D0" w:rsidRPr="006247DF" w:rsidP="006247DF" w14:paraId="32EA3ECE" w14:textId="5BA03776">
      <w:pPr>
        <w:pStyle w:val="Numberedparagraphs"/>
        <w:numPr>
          <w:ilvl w:val="0"/>
          <w:numId w:val="0"/>
        </w:numPr>
        <w:tabs>
          <w:tab w:val="left" w:pos="720"/>
          <w:tab w:val="clear" w:pos="1440"/>
        </w:tabs>
        <w:rPr>
          <w:b/>
          <w:bCs/>
          <w:szCs w:val="22"/>
          <w:u w:val="single"/>
        </w:rPr>
      </w:pPr>
      <w:r>
        <w:rPr>
          <w:b/>
          <w:szCs w:val="22"/>
        </w:rPr>
        <w:t>e.</w:t>
      </w:r>
      <w:r w:rsidR="008E558A">
        <w:rPr>
          <w:b/>
          <w:szCs w:val="22"/>
        </w:rPr>
        <w:tab/>
      </w:r>
      <w:bookmarkStart w:id="18" w:name="_Hlk141098363"/>
      <w:bookmarkStart w:id="19" w:name="_Hlk76650929"/>
      <w:r w:rsidR="00EC60F8">
        <w:rPr>
          <w:b/>
          <w:spacing w:val="-3"/>
          <w:szCs w:val="22"/>
          <w:u w:val="single"/>
        </w:rPr>
        <w:t>Sect</w:t>
      </w:r>
      <w:r w:rsidR="00D218B7">
        <w:rPr>
          <w:b/>
          <w:spacing w:val="-3"/>
          <w:szCs w:val="22"/>
          <w:u w:val="single"/>
        </w:rPr>
        <w:t xml:space="preserve">ion </w:t>
      </w:r>
      <w:r w:rsidR="00EC60F8">
        <w:rPr>
          <w:b/>
          <w:spacing w:val="-3"/>
          <w:szCs w:val="22"/>
          <w:u w:val="single"/>
        </w:rPr>
        <w:t>64.6040</w:t>
      </w:r>
      <w:r w:rsidR="00BC72D1">
        <w:rPr>
          <w:b/>
          <w:spacing w:val="-3"/>
          <w:szCs w:val="22"/>
          <w:u w:val="single"/>
        </w:rPr>
        <w:t>(c)</w:t>
      </w:r>
      <w:r w:rsidR="00EC60F8">
        <w:rPr>
          <w:b/>
          <w:spacing w:val="-3"/>
          <w:szCs w:val="22"/>
          <w:u w:val="single"/>
        </w:rPr>
        <w:t xml:space="preserve"> Requir</w:t>
      </w:r>
      <w:r w:rsidR="0002501F">
        <w:rPr>
          <w:b/>
          <w:spacing w:val="-3"/>
          <w:szCs w:val="22"/>
          <w:u w:val="single"/>
        </w:rPr>
        <w:t>e</w:t>
      </w:r>
      <w:r w:rsidR="00EC60F8">
        <w:rPr>
          <w:b/>
          <w:spacing w:val="-3"/>
          <w:szCs w:val="22"/>
          <w:u w:val="single"/>
        </w:rPr>
        <w:t>ments</w:t>
      </w:r>
      <w:r w:rsidR="002736C5">
        <w:rPr>
          <w:b/>
          <w:spacing w:val="-3"/>
          <w:szCs w:val="22"/>
        </w:rPr>
        <w:t>:</w:t>
      </w:r>
      <w:bookmarkEnd w:id="18"/>
    </w:p>
    <w:p w:rsidR="00525FF6" w:rsidP="00AA39A4" w14:paraId="249241A7" w14:textId="2842F26C">
      <w:pPr>
        <w:pStyle w:val="ListParagraph"/>
        <w:rPr>
          <w:spacing w:val="-3"/>
          <w:szCs w:val="22"/>
        </w:rPr>
      </w:pPr>
      <w:r>
        <w:rPr>
          <w:spacing w:val="-3"/>
          <w:szCs w:val="22"/>
        </w:rPr>
        <w:t>(1)</w:t>
      </w:r>
      <w:r w:rsidR="00214166">
        <w:rPr>
          <w:spacing w:val="-3"/>
          <w:szCs w:val="22"/>
        </w:rPr>
        <w:t xml:space="preserve">  </w:t>
      </w:r>
      <w:r w:rsidRPr="003F0249" w:rsidR="00EF46D0">
        <w:rPr>
          <w:spacing w:val="-3"/>
          <w:szCs w:val="22"/>
          <w:u w:val="single"/>
        </w:rPr>
        <w:t>Number of respondents</w:t>
      </w:r>
      <w:r w:rsidRPr="003F0249" w:rsidR="00EF46D0">
        <w:rPr>
          <w:spacing w:val="-3"/>
          <w:szCs w:val="22"/>
        </w:rPr>
        <w:t>:  Approximately 30.</w:t>
      </w:r>
    </w:p>
    <w:p w:rsidR="00525FF6" w:rsidP="00AA39A4" w14:paraId="431AC242" w14:textId="77777777">
      <w:pPr>
        <w:pStyle w:val="ListParagraph"/>
        <w:rPr>
          <w:spacing w:val="-3"/>
          <w:szCs w:val="22"/>
          <w:u w:val="single"/>
        </w:rPr>
      </w:pPr>
    </w:p>
    <w:p w:rsidR="00CB3819" w:rsidP="00BE5EDA" w14:paraId="0B99A4B0" w14:textId="3D3BE6EA">
      <w:pPr>
        <w:pStyle w:val="ListParagraph"/>
        <w:numPr>
          <w:ilvl w:val="0"/>
          <w:numId w:val="2"/>
        </w:numPr>
        <w:rPr>
          <w:spacing w:val="-3"/>
          <w:szCs w:val="22"/>
        </w:rPr>
      </w:pPr>
      <w:r w:rsidRPr="00AA39A4">
        <w:rPr>
          <w:spacing w:val="-3"/>
          <w:szCs w:val="22"/>
          <w:u w:val="single"/>
        </w:rPr>
        <w:t>Frequency of response</w:t>
      </w:r>
      <w:r w:rsidRPr="00AA39A4">
        <w:rPr>
          <w:spacing w:val="-3"/>
          <w:szCs w:val="22"/>
        </w:rPr>
        <w:t>:  Annual.</w:t>
      </w:r>
    </w:p>
    <w:p w:rsidR="00525FF6" w:rsidRPr="00AA39A4" w:rsidP="00AA39A4" w14:paraId="7C00EA5A" w14:textId="77777777">
      <w:pPr>
        <w:pStyle w:val="ListParagraph"/>
        <w:rPr>
          <w:spacing w:val="-3"/>
          <w:szCs w:val="22"/>
        </w:rPr>
      </w:pPr>
    </w:p>
    <w:p w:rsidR="00EF46D0" w:rsidRPr="00AA39A4" w:rsidP="00214166" w14:paraId="7C682823" w14:textId="591FCCFC">
      <w:pPr>
        <w:pStyle w:val="ListParagraph"/>
        <w:numPr>
          <w:ilvl w:val="0"/>
          <w:numId w:val="2"/>
        </w:numPr>
        <w:tabs>
          <w:tab w:val="left" w:pos="-720"/>
        </w:tabs>
        <w:suppressAutoHyphens/>
        <w:rPr>
          <w:spacing w:val="-3"/>
          <w:szCs w:val="22"/>
        </w:rPr>
      </w:pPr>
      <w:r w:rsidRPr="00AA39A4">
        <w:rPr>
          <w:spacing w:val="-3"/>
          <w:szCs w:val="22"/>
          <w:u w:val="single"/>
        </w:rPr>
        <w:t>Total number of responses annually</w:t>
      </w:r>
      <w:r w:rsidRPr="00AA39A4">
        <w:rPr>
          <w:spacing w:val="-3"/>
          <w:szCs w:val="22"/>
        </w:rPr>
        <w:t>:  Approximately 30.</w:t>
      </w:r>
    </w:p>
    <w:p w:rsidR="00EF46D0" w:rsidRPr="004460F4" w:rsidP="00EF46D0" w14:paraId="42D8CDBC" w14:textId="77777777">
      <w:pPr>
        <w:tabs>
          <w:tab w:val="left" w:pos="-720"/>
        </w:tabs>
        <w:suppressAutoHyphens/>
        <w:rPr>
          <w:spacing w:val="-3"/>
          <w:szCs w:val="22"/>
        </w:rPr>
      </w:pPr>
    </w:p>
    <w:p w:rsidR="00EF46D0" w:rsidRPr="004460F4" w:rsidP="00EF46D0" w14:paraId="12598B6D" w14:textId="4CB1D325">
      <w:pPr>
        <w:tabs>
          <w:tab w:val="left" w:pos="-720"/>
        </w:tabs>
        <w:suppressAutoHyphens/>
        <w:rPr>
          <w:spacing w:val="-3"/>
          <w:szCs w:val="22"/>
        </w:rPr>
      </w:pPr>
      <w:r w:rsidRPr="004460F4">
        <w:rPr>
          <w:spacing w:val="-3"/>
          <w:szCs w:val="22"/>
        </w:rPr>
        <w:tab/>
        <w:t xml:space="preserve">(4)  </w:t>
      </w:r>
      <w:r w:rsidRPr="004460F4">
        <w:rPr>
          <w:spacing w:val="-3"/>
          <w:szCs w:val="22"/>
          <w:u w:val="single"/>
        </w:rPr>
        <w:t>Estimated Time per Response</w:t>
      </w:r>
      <w:r w:rsidRPr="004460F4">
        <w:rPr>
          <w:spacing w:val="-3"/>
          <w:szCs w:val="22"/>
        </w:rPr>
        <w:t xml:space="preserve">:  </w:t>
      </w:r>
      <w:r w:rsidR="004A6C14">
        <w:rPr>
          <w:spacing w:val="-3"/>
          <w:szCs w:val="22"/>
        </w:rPr>
        <w:t xml:space="preserve">40 </w:t>
      </w:r>
      <w:r w:rsidR="002A78BC">
        <w:rPr>
          <w:spacing w:val="-3"/>
          <w:szCs w:val="22"/>
        </w:rPr>
        <w:t>hours.</w:t>
      </w:r>
    </w:p>
    <w:p w:rsidR="00EF46D0" w:rsidRPr="004460F4" w:rsidP="00EF46D0" w14:paraId="10469E2E" w14:textId="77777777">
      <w:pPr>
        <w:tabs>
          <w:tab w:val="left" w:pos="-720"/>
        </w:tabs>
        <w:suppressAutoHyphens/>
        <w:rPr>
          <w:spacing w:val="-3"/>
          <w:szCs w:val="22"/>
        </w:rPr>
      </w:pPr>
    </w:p>
    <w:p w:rsidR="00EF46D0" w:rsidRPr="004460F4" w:rsidP="00EF46D0" w14:paraId="002F0C6D" w14:textId="210F0E29">
      <w:pPr>
        <w:tabs>
          <w:tab w:val="left" w:pos="-720"/>
        </w:tabs>
        <w:suppressAutoHyphens/>
        <w:rPr>
          <w:spacing w:val="-3"/>
          <w:szCs w:val="22"/>
        </w:rPr>
      </w:pPr>
      <w:r w:rsidRPr="004460F4">
        <w:rPr>
          <w:spacing w:val="-3"/>
          <w:szCs w:val="22"/>
        </w:rPr>
        <w:tab/>
      </w:r>
      <w:r w:rsidRPr="004460F4">
        <w:rPr>
          <w:spacing w:val="-3"/>
          <w:szCs w:val="22"/>
        </w:rPr>
        <w:tab/>
      </w:r>
      <w:r>
        <w:rPr>
          <w:spacing w:val="-3"/>
          <w:szCs w:val="22"/>
        </w:rPr>
        <w:t>30</w:t>
      </w:r>
      <w:r w:rsidRPr="004460F4">
        <w:rPr>
          <w:spacing w:val="-3"/>
          <w:szCs w:val="22"/>
        </w:rPr>
        <w:t xml:space="preserve"> </w:t>
      </w:r>
      <w:r>
        <w:rPr>
          <w:spacing w:val="-3"/>
          <w:szCs w:val="22"/>
        </w:rPr>
        <w:t xml:space="preserve">respondents </w:t>
      </w:r>
      <w:r w:rsidRPr="004460F4">
        <w:rPr>
          <w:spacing w:val="-3"/>
          <w:szCs w:val="22"/>
        </w:rPr>
        <w:t xml:space="preserve">x </w:t>
      </w:r>
      <w:r w:rsidR="0069557A">
        <w:rPr>
          <w:spacing w:val="-3"/>
          <w:szCs w:val="22"/>
        </w:rPr>
        <w:t>40</w:t>
      </w:r>
      <w:r w:rsidRPr="004460F4">
        <w:rPr>
          <w:spacing w:val="-3"/>
          <w:szCs w:val="22"/>
        </w:rPr>
        <w:t xml:space="preserve"> hours per response x 1 response per year per respondent = </w:t>
      </w:r>
      <w:r>
        <w:rPr>
          <w:spacing w:val="-3"/>
          <w:szCs w:val="22"/>
        </w:rPr>
        <w:t xml:space="preserve"> </w:t>
      </w:r>
      <w:r w:rsidR="00F93DFE">
        <w:rPr>
          <w:spacing w:val="-3"/>
          <w:szCs w:val="22"/>
        </w:rPr>
        <w:t xml:space="preserve">1,200 </w:t>
      </w:r>
      <w:r>
        <w:rPr>
          <w:spacing w:val="-3"/>
          <w:szCs w:val="22"/>
        </w:rPr>
        <w:t>hours.</w:t>
      </w:r>
    </w:p>
    <w:p w:rsidR="00EF46D0" w:rsidRPr="004460F4" w:rsidP="00EF46D0" w14:paraId="27FC708A" w14:textId="77777777">
      <w:pPr>
        <w:tabs>
          <w:tab w:val="left" w:pos="-720"/>
        </w:tabs>
        <w:suppressAutoHyphens/>
        <w:rPr>
          <w:spacing w:val="-3"/>
          <w:szCs w:val="22"/>
        </w:rPr>
      </w:pPr>
    </w:p>
    <w:p w:rsidR="00EF46D0" w:rsidRPr="004460F4" w:rsidP="00EF46D0" w14:paraId="1A7627CB" w14:textId="050EC97C">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Pr>
          <w:spacing w:val="-3"/>
          <w:szCs w:val="22"/>
        </w:rPr>
        <w:t xml:space="preserve">Approximately </w:t>
      </w:r>
      <w:r w:rsidR="00F541C7">
        <w:rPr>
          <w:b/>
          <w:spacing w:val="-3"/>
          <w:szCs w:val="22"/>
        </w:rPr>
        <w:t>1,200</w:t>
      </w:r>
      <w:r w:rsidR="002A78BC">
        <w:rPr>
          <w:b/>
          <w:spacing w:val="-3"/>
          <w:szCs w:val="22"/>
        </w:rPr>
        <w:t xml:space="preserve"> </w:t>
      </w:r>
      <w:r w:rsidRPr="004460F4">
        <w:rPr>
          <w:b/>
          <w:spacing w:val="-3"/>
          <w:szCs w:val="22"/>
        </w:rPr>
        <w:t>hours</w:t>
      </w:r>
      <w:r w:rsidRPr="004460F4">
        <w:rPr>
          <w:spacing w:val="-3"/>
          <w:szCs w:val="22"/>
        </w:rPr>
        <w:t>.</w:t>
      </w:r>
    </w:p>
    <w:p w:rsidR="00EF46D0" w:rsidRPr="004460F4" w:rsidP="00EF46D0" w14:paraId="41E14773" w14:textId="77777777">
      <w:pPr>
        <w:tabs>
          <w:tab w:val="left" w:pos="-720"/>
        </w:tabs>
        <w:suppressAutoHyphens/>
        <w:rPr>
          <w:spacing w:val="-3"/>
          <w:szCs w:val="22"/>
        </w:rPr>
      </w:pPr>
    </w:p>
    <w:p w:rsidR="005C2D09" w:rsidP="006D7E8A" w14:paraId="6D4E1728" w14:textId="0FB64458">
      <w:pPr>
        <w:tabs>
          <w:tab w:val="left" w:pos="-720"/>
        </w:tabs>
        <w:suppressAutoHyphens/>
        <w:ind w:left="1440"/>
        <w:rPr>
          <w:spacing w:val="-3"/>
          <w:szCs w:val="22"/>
        </w:rPr>
      </w:pPr>
      <w:r w:rsidRPr="004460F4">
        <w:rPr>
          <w:spacing w:val="-3"/>
          <w:szCs w:val="22"/>
        </w:rPr>
        <w:t xml:space="preserve">The Commission estimates that approximately </w:t>
      </w:r>
      <w:r>
        <w:rPr>
          <w:spacing w:val="-3"/>
          <w:szCs w:val="22"/>
        </w:rPr>
        <w:t>30</w:t>
      </w:r>
      <w:r w:rsidRPr="004460F4">
        <w:rPr>
          <w:spacing w:val="-3"/>
          <w:szCs w:val="22"/>
        </w:rPr>
        <w:t xml:space="preserve"> providers will require </w:t>
      </w:r>
      <w:r>
        <w:rPr>
          <w:spacing w:val="-3"/>
          <w:szCs w:val="22"/>
        </w:rPr>
        <w:t xml:space="preserve">approximately </w:t>
      </w:r>
      <w:r w:rsidR="00F541C7">
        <w:rPr>
          <w:spacing w:val="-3"/>
          <w:szCs w:val="22"/>
        </w:rPr>
        <w:t>40</w:t>
      </w:r>
      <w:r w:rsidR="000D71DD">
        <w:rPr>
          <w:spacing w:val="-3"/>
          <w:szCs w:val="22"/>
        </w:rPr>
        <w:t xml:space="preserve"> hours of time to comply with the</w:t>
      </w:r>
      <w:r w:rsidR="00A70BAF">
        <w:rPr>
          <w:spacing w:val="-3"/>
          <w:szCs w:val="22"/>
        </w:rPr>
        <w:t xml:space="preserve"> </w:t>
      </w:r>
      <w:r w:rsidR="000D71DD">
        <w:rPr>
          <w:spacing w:val="-3"/>
          <w:szCs w:val="22"/>
        </w:rPr>
        <w:t>requirements</w:t>
      </w:r>
      <w:r w:rsidR="00A23DFC">
        <w:rPr>
          <w:spacing w:val="-3"/>
          <w:szCs w:val="22"/>
        </w:rPr>
        <w:t xml:space="preserve"> </w:t>
      </w:r>
      <w:r w:rsidR="00C646B6">
        <w:rPr>
          <w:spacing w:val="-3"/>
          <w:szCs w:val="22"/>
        </w:rPr>
        <w:t>of</w:t>
      </w:r>
      <w:r w:rsidR="00A23DFC">
        <w:rPr>
          <w:spacing w:val="-3"/>
          <w:szCs w:val="22"/>
        </w:rPr>
        <w:t xml:space="preserve"> </w:t>
      </w:r>
      <w:r w:rsidR="00882D1D">
        <w:rPr>
          <w:spacing w:val="-3"/>
          <w:szCs w:val="22"/>
        </w:rPr>
        <w:t xml:space="preserve">section </w:t>
      </w:r>
      <w:r w:rsidRPr="003C6578" w:rsidR="003C6578">
        <w:rPr>
          <w:spacing w:val="-3"/>
          <w:szCs w:val="22"/>
        </w:rPr>
        <w:t>64.6040(c)</w:t>
      </w:r>
      <w:r w:rsidR="004D5494">
        <w:rPr>
          <w:spacing w:val="-3"/>
          <w:szCs w:val="22"/>
        </w:rPr>
        <w:t>.</w:t>
      </w:r>
    </w:p>
    <w:p w:rsidR="009F745F" w:rsidP="006D7E8A" w14:paraId="09BC4E1E" w14:textId="77777777">
      <w:pPr>
        <w:tabs>
          <w:tab w:val="left" w:pos="-720"/>
        </w:tabs>
        <w:suppressAutoHyphens/>
        <w:ind w:left="1440"/>
        <w:rPr>
          <w:spacing w:val="-3"/>
          <w:szCs w:val="22"/>
        </w:rPr>
      </w:pPr>
    </w:p>
    <w:p w:rsidR="009F745F" w:rsidP="006D7E8A" w14:paraId="5BA2AC1F" w14:textId="1D2F71B3">
      <w:pPr>
        <w:tabs>
          <w:tab w:val="left" w:pos="-720"/>
        </w:tabs>
        <w:suppressAutoHyphens/>
        <w:ind w:left="1440"/>
        <w:rPr>
          <w:spacing w:val="-3"/>
          <w:szCs w:val="22"/>
        </w:rPr>
      </w:pPr>
      <w:r w:rsidRPr="009F745F">
        <w:rPr>
          <w:spacing w:val="-3"/>
          <w:szCs w:val="22"/>
        </w:rPr>
        <w:t>Approximately 30 respondents annually x 1 response annually x 40 hours per response = 1,200 hours)</w:t>
      </w:r>
      <w:r>
        <w:rPr>
          <w:spacing w:val="-3"/>
          <w:szCs w:val="22"/>
        </w:rPr>
        <w:t>.</w:t>
      </w:r>
      <w:r w:rsidRPr="009F745F">
        <w:rPr>
          <w:spacing w:val="-3"/>
          <w:szCs w:val="22"/>
        </w:rPr>
        <w:t xml:space="preserve">  </w:t>
      </w:r>
    </w:p>
    <w:p w:rsidR="00EF46D0" w:rsidRPr="004460F4" w:rsidP="00F21DE9" w14:paraId="70DD9AAC" w14:textId="77777777">
      <w:pPr>
        <w:tabs>
          <w:tab w:val="left" w:pos="-720"/>
        </w:tabs>
        <w:suppressAutoHyphens/>
        <w:rPr>
          <w:spacing w:val="-3"/>
          <w:szCs w:val="22"/>
        </w:rPr>
      </w:pPr>
    </w:p>
    <w:p w:rsidR="00BE3ABB" w:rsidP="007A06F4" w14:paraId="2F491F8B" w14:textId="77777777">
      <w:pPr>
        <w:pStyle w:val="ListParagraph"/>
        <w:tabs>
          <w:tab w:val="left" w:pos="-720"/>
        </w:tabs>
        <w:suppressAutoHyphens/>
        <w:ind w:left="1440"/>
        <w:rPr>
          <w:spacing w:val="-3"/>
          <w:szCs w:val="22"/>
        </w:rPr>
      </w:pPr>
    </w:p>
    <w:p w:rsidR="006A2D75" w:rsidP="006A2D75" w14:paraId="51A5D221" w14:textId="214295EC">
      <w:pPr>
        <w:tabs>
          <w:tab w:val="left" w:pos="-720"/>
        </w:tabs>
        <w:suppressAutoHyphens/>
        <w:rPr>
          <w:spacing w:val="-3"/>
          <w:szCs w:val="22"/>
        </w:rPr>
      </w:pPr>
      <w:r>
        <w:rPr>
          <w:spacing w:val="-3"/>
          <w:szCs w:val="22"/>
        </w:rPr>
        <w:tab/>
      </w:r>
      <w:r w:rsidRPr="006A2D75">
        <w:rPr>
          <w:spacing w:val="-3"/>
          <w:szCs w:val="22"/>
        </w:rPr>
        <w:t>(</w:t>
      </w:r>
      <w:r w:rsidR="004C465D">
        <w:rPr>
          <w:spacing w:val="-3"/>
          <w:szCs w:val="22"/>
        </w:rPr>
        <w:t>6</w:t>
      </w:r>
      <w:r w:rsidRPr="006A2D75">
        <w:rPr>
          <w:spacing w:val="-3"/>
          <w:szCs w:val="22"/>
        </w:rPr>
        <w:t>)</w:t>
      </w:r>
      <w:r w:rsidRPr="006A2D75">
        <w:rPr>
          <w:spacing w:val="-3"/>
          <w:szCs w:val="22"/>
        </w:rPr>
        <w:tab/>
      </w:r>
      <w:r w:rsidRPr="00F93018">
        <w:rPr>
          <w:spacing w:val="-3"/>
          <w:szCs w:val="22"/>
          <w:u w:val="single"/>
        </w:rPr>
        <w:t>Total estimate of “in-house” cost to respondents</w:t>
      </w:r>
      <w:r w:rsidRPr="006A2D75">
        <w:rPr>
          <w:spacing w:val="-3"/>
          <w:szCs w:val="22"/>
        </w:rPr>
        <w:t xml:space="preserve">:  </w:t>
      </w:r>
      <w:r w:rsidRPr="002523D4">
        <w:rPr>
          <w:b/>
          <w:bCs/>
          <w:spacing w:val="-3"/>
          <w:szCs w:val="22"/>
        </w:rPr>
        <w:t>$</w:t>
      </w:r>
      <w:r w:rsidRPr="002523D4" w:rsidR="002523D4">
        <w:rPr>
          <w:b/>
          <w:bCs/>
          <w:spacing w:val="-3"/>
          <w:szCs w:val="22"/>
        </w:rPr>
        <w:t>72,996</w:t>
      </w:r>
      <w:r w:rsidRPr="006A2D75">
        <w:rPr>
          <w:spacing w:val="-3"/>
          <w:szCs w:val="22"/>
        </w:rPr>
        <w:t>.</w:t>
      </w:r>
    </w:p>
    <w:p w:rsidR="004C465D" w:rsidRPr="006A2D75" w:rsidP="006A2D75" w14:paraId="2FE78243" w14:textId="77777777">
      <w:pPr>
        <w:tabs>
          <w:tab w:val="left" w:pos="-720"/>
        </w:tabs>
        <w:suppressAutoHyphens/>
        <w:rPr>
          <w:spacing w:val="-3"/>
          <w:szCs w:val="22"/>
        </w:rPr>
      </w:pPr>
    </w:p>
    <w:p w:rsidR="004C465D" w:rsidP="004C465D" w14:paraId="4D37A7C1" w14:textId="0338A711">
      <w:pPr>
        <w:tabs>
          <w:tab w:val="left" w:pos="-720"/>
        </w:tabs>
        <w:suppressAutoHyphens/>
        <w:rPr>
          <w:spacing w:val="-3"/>
          <w:szCs w:val="22"/>
        </w:rPr>
      </w:pPr>
      <w:r>
        <w:rPr>
          <w:spacing w:val="-3"/>
          <w:szCs w:val="22"/>
        </w:rPr>
        <w:tab/>
      </w:r>
      <w:r w:rsidRPr="006E7B40" w:rsidR="006E7B40">
        <w:rPr>
          <w:spacing w:val="-3"/>
          <w:szCs w:val="22"/>
        </w:rPr>
        <w:t>(</w:t>
      </w:r>
      <w:r w:rsidR="006E7B40">
        <w:rPr>
          <w:spacing w:val="-3"/>
          <w:szCs w:val="22"/>
        </w:rPr>
        <w:t>7</w:t>
      </w:r>
      <w:r w:rsidRPr="006E7B40" w:rsidR="006E7B40">
        <w:rPr>
          <w:spacing w:val="-3"/>
          <w:szCs w:val="22"/>
        </w:rPr>
        <w:t>)</w:t>
      </w:r>
      <w:r w:rsidRPr="006E7B40" w:rsidR="006E7B40">
        <w:rPr>
          <w:spacing w:val="-3"/>
          <w:szCs w:val="22"/>
        </w:rPr>
        <w:tab/>
      </w:r>
      <w:r w:rsidR="006E7B40">
        <w:rPr>
          <w:spacing w:val="-3"/>
          <w:szCs w:val="22"/>
        </w:rPr>
        <w:t>Explanation of the calculation:</w:t>
      </w:r>
    </w:p>
    <w:p w:rsidR="00EF46D0" w:rsidRPr="004460F4" w:rsidP="00EF46D0" w14:paraId="11747465" w14:textId="77777777">
      <w:pPr>
        <w:tabs>
          <w:tab w:val="left" w:pos="-720"/>
        </w:tabs>
        <w:suppressAutoHyphens/>
        <w:rPr>
          <w:szCs w:val="22"/>
        </w:rPr>
      </w:pPr>
    </w:p>
    <w:p w:rsidR="00EF46D0" w:rsidRPr="0022685D" w:rsidP="0022685D" w14:paraId="53207199" w14:textId="0372B31D">
      <w:pPr>
        <w:pStyle w:val="Numberedparagraphs"/>
        <w:numPr>
          <w:ilvl w:val="0"/>
          <w:numId w:val="0"/>
        </w:numPr>
        <w:tabs>
          <w:tab w:val="left" w:pos="720"/>
          <w:tab w:val="clear" w:pos="1440"/>
        </w:tabs>
        <w:ind w:left="1440"/>
      </w:pPr>
      <w:r w:rsidRPr="004C711A">
        <w:rPr>
          <w:bCs/>
          <w:szCs w:val="22"/>
        </w:rPr>
        <w:t>The Commission estimates that respondents will use</w:t>
      </w:r>
      <w:r>
        <w:rPr>
          <w:bCs/>
          <w:szCs w:val="22"/>
        </w:rPr>
        <w:t xml:space="preserve"> personnel </w:t>
      </w:r>
      <w:r w:rsidRPr="004C711A">
        <w:rPr>
          <w:bCs/>
          <w:szCs w:val="22"/>
        </w:rPr>
        <w:t>comparable in pay to a GS 13/Step 5 employee earning $</w:t>
      </w:r>
      <w:r>
        <w:rPr>
          <w:bCs/>
          <w:szCs w:val="22"/>
        </w:rPr>
        <w:t>60.83</w:t>
      </w:r>
      <w:r w:rsidRPr="004C711A">
        <w:rPr>
          <w:bCs/>
          <w:szCs w:val="22"/>
        </w:rPr>
        <w:t xml:space="preserve"> per hou</w:t>
      </w:r>
      <w:r>
        <w:rPr>
          <w:bCs/>
          <w:szCs w:val="22"/>
        </w:rPr>
        <w:t>r.</w:t>
      </w:r>
    </w:p>
    <w:p w:rsidR="006247DF" w:rsidP="008A1B9D" w14:paraId="1EE23153" w14:textId="2AAD7361">
      <w:pPr>
        <w:tabs>
          <w:tab w:val="left" w:pos="-720"/>
        </w:tabs>
        <w:suppressAutoHyphens/>
        <w:ind w:left="1440"/>
        <w:rPr>
          <w:szCs w:val="22"/>
        </w:rPr>
      </w:pPr>
      <w:r>
        <w:rPr>
          <w:szCs w:val="22"/>
        </w:rPr>
        <w:t xml:space="preserve">Thus, approximately </w:t>
      </w:r>
      <w:r w:rsidR="00F000CC">
        <w:rPr>
          <w:szCs w:val="22"/>
        </w:rPr>
        <w:t>1,200</w:t>
      </w:r>
      <w:r>
        <w:rPr>
          <w:szCs w:val="22"/>
        </w:rPr>
        <w:t xml:space="preserve"> hours per year x $</w:t>
      </w:r>
      <w:r w:rsidR="0022685D">
        <w:rPr>
          <w:szCs w:val="22"/>
        </w:rPr>
        <w:t>60.83</w:t>
      </w:r>
      <w:r>
        <w:rPr>
          <w:szCs w:val="22"/>
        </w:rPr>
        <w:t xml:space="preserve"> = $</w:t>
      </w:r>
      <w:r w:rsidR="003327C2">
        <w:rPr>
          <w:szCs w:val="22"/>
        </w:rPr>
        <w:t>72,996.</w:t>
      </w:r>
    </w:p>
    <w:p w:rsidR="008A1B9D" w:rsidP="008A1B9D" w14:paraId="5FD129B2" w14:textId="77777777">
      <w:pPr>
        <w:tabs>
          <w:tab w:val="left" w:pos="-720"/>
        </w:tabs>
        <w:suppressAutoHyphens/>
        <w:ind w:left="1440"/>
        <w:rPr>
          <w:szCs w:val="22"/>
        </w:rPr>
      </w:pPr>
    </w:p>
    <w:p w:rsidR="00930CF3" w:rsidP="00EF46D0" w14:paraId="102CA4A6" w14:textId="77777777">
      <w:pPr>
        <w:tabs>
          <w:tab w:val="left" w:pos="-720"/>
        </w:tabs>
        <w:suppressAutoHyphens/>
        <w:rPr>
          <w:szCs w:val="22"/>
        </w:rPr>
      </w:pPr>
    </w:p>
    <w:bookmarkEnd w:id="17"/>
    <w:bookmarkEnd w:id="19"/>
    <w:p w:rsidR="007E0735" w:rsidRPr="006E6E53" w:rsidP="00525FF6" w14:paraId="7D7AB5B5" w14:textId="2CB6ED68">
      <w:pPr>
        <w:widowControl/>
        <w:tabs>
          <w:tab w:val="left" w:pos="-720"/>
        </w:tabs>
        <w:suppressAutoHyphens/>
        <w:rPr>
          <w:szCs w:val="22"/>
        </w:rPr>
      </w:pPr>
      <w:r w:rsidRPr="004460F4">
        <w:rPr>
          <w:b/>
          <w:spacing w:val="-3"/>
          <w:szCs w:val="22"/>
          <w:u w:val="single"/>
        </w:rPr>
        <w:t>Total Annual Burden Hours</w:t>
      </w:r>
      <w:r w:rsidRPr="00915F36">
        <w:rPr>
          <w:b/>
          <w:spacing w:val="-3"/>
          <w:szCs w:val="22"/>
        </w:rPr>
        <w:t>:</w:t>
      </w:r>
    </w:p>
    <w:p w:rsidR="007E0735" w:rsidRPr="004460F4" w:rsidP="00525FF6" w14:paraId="6799D783" w14:textId="77777777">
      <w:pPr>
        <w:tabs>
          <w:tab w:val="left" w:pos="-720"/>
        </w:tabs>
        <w:suppressAutoHyphens/>
        <w:rPr>
          <w:b/>
          <w:spacing w:val="-3"/>
          <w:szCs w:val="22"/>
        </w:rPr>
      </w:pPr>
    </w:p>
    <w:p w:rsidR="00777DC3" w:rsidP="00321597" w14:paraId="375BD404" w14:textId="2108B404">
      <w:pPr>
        <w:tabs>
          <w:tab w:val="left" w:pos="-720"/>
        </w:tabs>
        <w:suppressAutoHyphens/>
        <w:rPr>
          <w:spacing w:val="-3"/>
          <w:szCs w:val="22"/>
        </w:rPr>
      </w:pPr>
      <w:r w:rsidRPr="004460F4">
        <w:rPr>
          <w:spacing w:val="-3"/>
          <w:szCs w:val="22"/>
        </w:rPr>
        <w:t xml:space="preserve"> (</w:t>
      </w:r>
      <w:r w:rsidRPr="004460F4" w:rsidR="00F41E80">
        <w:rPr>
          <w:spacing w:val="-3"/>
          <w:szCs w:val="22"/>
        </w:rPr>
        <w:t>a)</w:t>
      </w:r>
      <w:r w:rsidRPr="004460F4" w:rsidR="00F41E80">
        <w:rPr>
          <w:spacing w:val="-3"/>
          <w:szCs w:val="22"/>
        </w:rPr>
        <w:tab/>
        <w:t>Re</w:t>
      </w:r>
      <w:r w:rsidRPr="004460F4" w:rsidR="003B712A">
        <w:rPr>
          <w:spacing w:val="-3"/>
          <w:szCs w:val="22"/>
        </w:rPr>
        <w:t>porting</w:t>
      </w:r>
      <w:r w:rsidRPr="004460F4" w:rsidR="00F41E80">
        <w:rPr>
          <w:spacing w:val="-3"/>
          <w:szCs w:val="22"/>
        </w:rPr>
        <w:t xml:space="preserve"> Requirement</w:t>
      </w:r>
      <w:r w:rsidR="00C47AAF">
        <w:rPr>
          <w:spacing w:val="-3"/>
          <w:szCs w:val="22"/>
        </w:rPr>
        <w:t xml:space="preserve"> (Annual Reports)</w:t>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525667">
        <w:rPr>
          <w:spacing w:val="-3"/>
          <w:szCs w:val="22"/>
        </w:rPr>
        <w:t>3,600</w:t>
      </w:r>
      <w:r w:rsidR="00AF2F3A">
        <w:rPr>
          <w:spacing w:val="-3"/>
          <w:szCs w:val="22"/>
        </w:rPr>
        <w:tab/>
      </w:r>
      <w:r w:rsidR="00C64D05">
        <w:rPr>
          <w:spacing w:val="-3"/>
          <w:szCs w:val="22"/>
        </w:rPr>
        <w:tab/>
      </w:r>
      <w:r w:rsidR="00C64D05">
        <w:rPr>
          <w:spacing w:val="-3"/>
          <w:szCs w:val="22"/>
        </w:rPr>
        <w:tab/>
      </w:r>
      <w:r w:rsidR="003D2931">
        <w:rPr>
          <w:spacing w:val="-3"/>
          <w:szCs w:val="22"/>
        </w:rPr>
        <w:tab/>
      </w:r>
    </w:p>
    <w:p w:rsidR="007E0735" w:rsidRPr="00AB1E80" w:rsidP="00321597" w14:paraId="13EDB90C" w14:textId="3F7645AD">
      <w:pPr>
        <w:tabs>
          <w:tab w:val="left" w:pos="-720"/>
        </w:tabs>
        <w:suppressAutoHyphens/>
        <w:ind w:left="1440"/>
        <w:rPr>
          <w:spacing w:val="-3"/>
          <w:szCs w:val="22"/>
        </w:rPr>
      </w:pPr>
      <w:r w:rsidRPr="004460F4">
        <w:rPr>
          <w:spacing w:val="-3"/>
          <w:szCs w:val="22"/>
        </w:rPr>
        <w:t xml:space="preserve">  </w:t>
      </w:r>
      <w:r w:rsidR="00CF71C4">
        <w:rPr>
          <w:spacing w:val="-3"/>
          <w:szCs w:val="22"/>
        </w:rPr>
        <w:tab/>
      </w:r>
    </w:p>
    <w:p w:rsidR="002375FE" w:rsidP="00795EEF" w14:paraId="2B9F9A5D" w14:textId="624FE7C0">
      <w:pPr>
        <w:tabs>
          <w:tab w:val="left" w:pos="-720"/>
        </w:tabs>
        <w:suppressAutoHyphens/>
        <w:rPr>
          <w:spacing w:val="-3"/>
          <w:szCs w:val="22"/>
        </w:rPr>
      </w:pPr>
      <w:r w:rsidRPr="004460F4">
        <w:rPr>
          <w:spacing w:val="-3"/>
          <w:szCs w:val="22"/>
        </w:rPr>
        <w:t>(b)</w:t>
      </w:r>
      <w:r w:rsidRPr="004460F4">
        <w:rPr>
          <w:spacing w:val="-3"/>
          <w:szCs w:val="22"/>
        </w:rPr>
        <w:tab/>
      </w:r>
      <w:r w:rsidRPr="004460F4" w:rsidR="003B712A">
        <w:rPr>
          <w:spacing w:val="-3"/>
          <w:szCs w:val="22"/>
        </w:rPr>
        <w:t xml:space="preserve">Certification </w:t>
      </w:r>
      <w:r w:rsidRPr="004460F4">
        <w:rPr>
          <w:spacing w:val="-3"/>
          <w:szCs w:val="22"/>
        </w:rPr>
        <w:t>Require</w:t>
      </w:r>
      <w:r w:rsidR="006247DF">
        <w:rPr>
          <w:spacing w:val="-3"/>
          <w:szCs w:val="22"/>
        </w:rPr>
        <w:t>ment:</w:t>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t xml:space="preserve"> </w:t>
      </w:r>
      <w:r w:rsidR="00D8520E">
        <w:rPr>
          <w:spacing w:val="-3"/>
          <w:szCs w:val="22"/>
        </w:rPr>
        <w:t xml:space="preserve"> </w:t>
      </w:r>
      <w:r w:rsidR="00520079">
        <w:rPr>
          <w:spacing w:val="-3"/>
          <w:szCs w:val="22"/>
        </w:rPr>
        <w:t xml:space="preserve"> </w:t>
      </w:r>
      <w:r w:rsidR="006247DF">
        <w:rPr>
          <w:spacing w:val="-3"/>
          <w:szCs w:val="22"/>
        </w:rPr>
        <w:t>150</w:t>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247DF">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69062B">
        <w:rPr>
          <w:spacing w:val="-3"/>
          <w:szCs w:val="22"/>
        </w:rPr>
        <w:tab/>
      </w:r>
      <w:r w:rsidR="0022685D">
        <w:rPr>
          <w:spacing w:val="-3"/>
          <w:szCs w:val="22"/>
        </w:rPr>
        <w:tab/>
      </w:r>
      <w:r w:rsidR="0022685D">
        <w:rPr>
          <w:spacing w:val="-3"/>
          <w:szCs w:val="22"/>
        </w:rPr>
        <w:tab/>
      </w:r>
      <w:r w:rsidR="0022685D">
        <w:rPr>
          <w:spacing w:val="-3"/>
          <w:szCs w:val="22"/>
        </w:rPr>
        <w:tab/>
      </w:r>
      <w:r w:rsidR="0022685D">
        <w:rPr>
          <w:spacing w:val="-3"/>
          <w:szCs w:val="22"/>
        </w:rPr>
        <w:tab/>
      </w:r>
      <w:r w:rsidR="00C64D05">
        <w:rPr>
          <w:spacing w:val="-3"/>
          <w:szCs w:val="22"/>
        </w:rPr>
        <w:tab/>
      </w:r>
      <w:r w:rsidR="00C64D05">
        <w:rPr>
          <w:spacing w:val="-3"/>
          <w:szCs w:val="22"/>
        </w:rPr>
        <w:tab/>
      </w:r>
      <w:r w:rsidR="00F665C2">
        <w:rPr>
          <w:spacing w:val="-3"/>
          <w:szCs w:val="22"/>
        </w:rPr>
        <w:t xml:space="preserve">   </w:t>
      </w:r>
      <w:r w:rsidR="00C64D05">
        <w:rPr>
          <w:spacing w:val="-3"/>
          <w:szCs w:val="22"/>
        </w:rPr>
        <w:tab/>
      </w:r>
    </w:p>
    <w:p w:rsidR="00126AB9" w:rsidP="00715D7E" w14:paraId="7D83C35B" w14:textId="2A7BF340">
      <w:pPr>
        <w:tabs>
          <w:tab w:val="left" w:pos="-720"/>
        </w:tabs>
        <w:suppressAutoHyphens/>
        <w:ind w:left="1440"/>
        <w:rPr>
          <w:spacing w:val="-3"/>
          <w:szCs w:val="22"/>
        </w:rPr>
      </w:pPr>
    </w:p>
    <w:p w:rsidR="00126AB9" w:rsidP="008A1B9D" w14:paraId="3D9E291B" w14:textId="14FF2727">
      <w:pPr>
        <w:keepNext/>
        <w:widowControl/>
        <w:tabs>
          <w:tab w:val="left" w:pos="-720"/>
        </w:tabs>
        <w:suppressAutoHyphens/>
        <w:rPr>
          <w:spacing w:val="-3"/>
          <w:szCs w:val="22"/>
        </w:rPr>
      </w:pPr>
      <w:r>
        <w:rPr>
          <w:spacing w:val="-3"/>
          <w:szCs w:val="22"/>
        </w:rPr>
        <w:t>(c)</w:t>
      </w:r>
      <w:r>
        <w:rPr>
          <w:spacing w:val="-3"/>
          <w:szCs w:val="22"/>
        </w:rPr>
        <w:tab/>
        <w:t>Consumer Disclosure Requirements:</w:t>
      </w:r>
      <w:r w:rsidR="0069062B">
        <w:rPr>
          <w:spacing w:val="-3"/>
          <w:szCs w:val="22"/>
        </w:rPr>
        <w:tab/>
      </w:r>
      <w:r w:rsidR="0069062B">
        <w:rPr>
          <w:spacing w:val="-3"/>
          <w:szCs w:val="22"/>
        </w:rPr>
        <w:tab/>
      </w:r>
      <w:r w:rsidR="0069062B">
        <w:rPr>
          <w:spacing w:val="-3"/>
          <w:szCs w:val="22"/>
        </w:rPr>
        <w:tab/>
      </w:r>
    </w:p>
    <w:p w:rsidR="00126AB9" w:rsidP="008A1B9D" w14:paraId="7E7A80C5" w14:textId="3CAB0804">
      <w:pPr>
        <w:keepNext/>
        <w:widowControl/>
        <w:tabs>
          <w:tab w:val="left" w:pos="-720"/>
        </w:tabs>
        <w:suppressAutoHyphens/>
        <w:ind w:left="1440"/>
        <w:rPr>
          <w:spacing w:val="-3"/>
          <w:szCs w:val="22"/>
        </w:rPr>
      </w:pPr>
    </w:p>
    <w:p w:rsidR="00126AB9" w:rsidP="008A1B9D" w14:paraId="67143260" w14:textId="6325735C">
      <w:pPr>
        <w:pStyle w:val="ListParagraph"/>
        <w:keepNext/>
        <w:widowControl/>
        <w:numPr>
          <w:ilvl w:val="0"/>
          <w:numId w:val="8"/>
        </w:numPr>
        <w:tabs>
          <w:tab w:val="left" w:pos="-720"/>
        </w:tabs>
        <w:suppressAutoHyphens/>
        <w:rPr>
          <w:spacing w:val="-3"/>
          <w:szCs w:val="22"/>
        </w:rPr>
      </w:pPr>
      <w:r>
        <w:rPr>
          <w:spacing w:val="-3"/>
          <w:szCs w:val="22"/>
        </w:rPr>
        <w:t>Disclosure of Rates and Ancillary Service Charges</w:t>
      </w:r>
      <w:r w:rsidR="0069062B">
        <w:rPr>
          <w:spacing w:val="-3"/>
          <w:szCs w:val="22"/>
        </w:rPr>
        <w:t>:</w:t>
      </w:r>
      <w:r w:rsidR="0069062B">
        <w:rPr>
          <w:spacing w:val="-3"/>
          <w:szCs w:val="22"/>
        </w:rPr>
        <w:tab/>
      </w:r>
      <w:r w:rsidR="0069062B">
        <w:rPr>
          <w:spacing w:val="-3"/>
          <w:szCs w:val="22"/>
        </w:rPr>
        <w:tab/>
      </w:r>
      <w:r w:rsidR="00A56663">
        <w:rPr>
          <w:spacing w:val="-3"/>
          <w:szCs w:val="22"/>
        </w:rPr>
        <w:tab/>
        <w:t xml:space="preserve">   </w:t>
      </w:r>
      <w:r w:rsidR="005354A6">
        <w:rPr>
          <w:spacing w:val="-3"/>
          <w:szCs w:val="22"/>
        </w:rPr>
        <w:t xml:space="preserve"> </w:t>
      </w:r>
      <w:r w:rsidR="00A56663">
        <w:rPr>
          <w:spacing w:val="-3"/>
          <w:szCs w:val="22"/>
        </w:rPr>
        <w:t xml:space="preserve"> </w:t>
      </w:r>
      <w:r w:rsidR="003B304B">
        <w:rPr>
          <w:spacing w:val="-3"/>
          <w:szCs w:val="22"/>
        </w:rPr>
        <w:t>600</w:t>
      </w:r>
    </w:p>
    <w:p w:rsidR="00126AB9" w:rsidP="008A1B9D" w14:paraId="0B33FA89" w14:textId="4620AADD">
      <w:pPr>
        <w:keepNext/>
        <w:widowControl/>
        <w:tabs>
          <w:tab w:val="left" w:pos="-720"/>
        </w:tabs>
        <w:suppressAutoHyphens/>
        <w:rPr>
          <w:spacing w:val="-3"/>
          <w:szCs w:val="22"/>
        </w:rPr>
      </w:pPr>
    </w:p>
    <w:p w:rsidR="00126AB9" w:rsidRPr="00A165CA" w:rsidP="005354A6" w14:paraId="6E47C8A8" w14:textId="6BFC962A">
      <w:pPr>
        <w:pStyle w:val="ListParagraph"/>
      </w:pPr>
      <w:r w:rsidRPr="00AA39A4">
        <w:rPr>
          <w:spacing w:val="-3"/>
          <w:szCs w:val="22"/>
        </w:rPr>
        <w:t>Consumer Disclosure Billing Requirement:</w:t>
      </w:r>
      <w:r w:rsidRPr="00AA39A4" w:rsidR="00C64D05">
        <w:rPr>
          <w:spacing w:val="-3"/>
          <w:szCs w:val="22"/>
        </w:rPr>
        <w:tab/>
      </w:r>
      <w:r w:rsidRPr="00AA39A4" w:rsidR="00C64D05">
        <w:rPr>
          <w:spacing w:val="-3"/>
          <w:szCs w:val="22"/>
        </w:rPr>
        <w:tab/>
      </w:r>
      <w:r w:rsidRPr="00AA39A4" w:rsidR="003B304B">
        <w:rPr>
          <w:spacing w:val="-3"/>
          <w:szCs w:val="22"/>
        </w:rPr>
        <w:tab/>
      </w:r>
      <w:r w:rsidRPr="00AA39A4" w:rsidR="003B304B">
        <w:rPr>
          <w:spacing w:val="-3"/>
          <w:szCs w:val="22"/>
        </w:rPr>
        <w:tab/>
        <w:t xml:space="preserve">    </w:t>
      </w:r>
      <w:r w:rsidR="005354A6">
        <w:rPr>
          <w:spacing w:val="-3"/>
          <w:szCs w:val="22"/>
        </w:rPr>
        <w:tab/>
      </w:r>
      <w:r w:rsidR="005354A6">
        <w:rPr>
          <w:spacing w:val="-3"/>
          <w:szCs w:val="22"/>
        </w:rPr>
        <w:tab/>
      </w:r>
      <w:r w:rsidRPr="00AA39A4" w:rsidR="00AC0351">
        <w:rPr>
          <w:spacing w:val="-3"/>
          <w:szCs w:val="22"/>
        </w:rPr>
        <w:t xml:space="preserve"> </w:t>
      </w:r>
      <w:r w:rsidR="005354A6">
        <w:rPr>
          <w:spacing w:val="-3"/>
          <w:szCs w:val="22"/>
        </w:rPr>
        <w:t xml:space="preserve">    900</w:t>
      </w:r>
    </w:p>
    <w:p w:rsidR="00F665C2" w:rsidP="00F665C2" w14:paraId="0140BB13" w14:textId="77777777">
      <w:pPr>
        <w:pStyle w:val="ListParagraph"/>
        <w:tabs>
          <w:tab w:val="left" w:pos="-720"/>
        </w:tabs>
        <w:suppressAutoHyphens/>
        <w:ind w:left="2520"/>
        <w:rPr>
          <w:spacing w:val="-3"/>
          <w:szCs w:val="22"/>
        </w:rPr>
      </w:pPr>
    </w:p>
    <w:p w:rsidR="00126AB9" w:rsidP="00126AB9" w14:paraId="113DEA5B" w14:textId="606D38A8">
      <w:pPr>
        <w:tabs>
          <w:tab w:val="left" w:pos="-720"/>
        </w:tabs>
        <w:suppressAutoHyphens/>
        <w:rPr>
          <w:spacing w:val="-3"/>
          <w:szCs w:val="22"/>
        </w:rPr>
      </w:pPr>
      <w:r>
        <w:rPr>
          <w:spacing w:val="-3"/>
          <w:szCs w:val="22"/>
        </w:rPr>
        <w:t>(d)</w:t>
      </w:r>
      <w:r>
        <w:rPr>
          <w:spacing w:val="-3"/>
          <w:szCs w:val="22"/>
        </w:rPr>
        <w:tab/>
        <w:t>Waiver Request Reporting Requirement:</w:t>
      </w:r>
      <w:r w:rsidR="00C64D05">
        <w:rPr>
          <w:spacing w:val="-3"/>
          <w:szCs w:val="22"/>
        </w:rPr>
        <w:tab/>
      </w:r>
      <w:r w:rsidR="000269A8">
        <w:rPr>
          <w:spacing w:val="-3"/>
          <w:szCs w:val="22"/>
        </w:rPr>
        <w:tab/>
      </w:r>
      <w:r w:rsidR="000269A8">
        <w:rPr>
          <w:spacing w:val="-3"/>
          <w:szCs w:val="22"/>
        </w:rPr>
        <w:tab/>
      </w:r>
      <w:r w:rsidR="000269A8">
        <w:rPr>
          <w:spacing w:val="-3"/>
          <w:szCs w:val="22"/>
        </w:rPr>
        <w:tab/>
      </w:r>
      <w:r w:rsidR="000269A8">
        <w:rPr>
          <w:spacing w:val="-3"/>
          <w:szCs w:val="22"/>
        </w:rPr>
        <w:tab/>
      </w:r>
      <w:r w:rsidR="000269A8">
        <w:rPr>
          <w:spacing w:val="-3"/>
          <w:szCs w:val="22"/>
        </w:rPr>
        <w:tab/>
      </w:r>
      <w:r w:rsidR="000269A8">
        <w:rPr>
          <w:spacing w:val="-3"/>
          <w:szCs w:val="22"/>
        </w:rPr>
        <w:tab/>
      </w:r>
      <w:r w:rsidR="001F4388">
        <w:rPr>
          <w:spacing w:val="-3"/>
          <w:szCs w:val="22"/>
        </w:rPr>
        <w:t xml:space="preserve">     240</w:t>
      </w:r>
      <w:r w:rsidR="00C64D05">
        <w:rPr>
          <w:spacing w:val="-3"/>
          <w:szCs w:val="22"/>
        </w:rPr>
        <w:tab/>
      </w:r>
      <w:r w:rsidR="00C64D05">
        <w:rPr>
          <w:spacing w:val="-3"/>
          <w:szCs w:val="22"/>
        </w:rPr>
        <w:tab/>
      </w:r>
      <w:r w:rsidRPr="000D71DD" w:rsidR="00AC0351">
        <w:rPr>
          <w:spacing w:val="-3"/>
          <w:szCs w:val="22"/>
        </w:rPr>
        <w:t xml:space="preserve">   </w:t>
      </w:r>
      <w:r w:rsidR="0022685D">
        <w:rPr>
          <w:spacing w:val="-3"/>
          <w:szCs w:val="22"/>
        </w:rPr>
        <w:tab/>
      </w:r>
      <w:r w:rsidR="00795EEF">
        <w:rPr>
          <w:spacing w:val="-3"/>
          <w:szCs w:val="22"/>
        </w:rPr>
        <w:tab/>
      </w:r>
      <w:r w:rsidR="00795EEF">
        <w:rPr>
          <w:spacing w:val="-3"/>
          <w:szCs w:val="22"/>
        </w:rPr>
        <w:tab/>
      </w:r>
    </w:p>
    <w:p w:rsidR="009052CC" w:rsidP="00126AB9" w14:paraId="6849A15E" w14:textId="77777777">
      <w:pPr>
        <w:tabs>
          <w:tab w:val="left" w:pos="-720"/>
        </w:tabs>
        <w:suppressAutoHyphens/>
        <w:rPr>
          <w:spacing w:val="-3"/>
          <w:szCs w:val="22"/>
        </w:rPr>
      </w:pPr>
    </w:p>
    <w:p w:rsidR="000D71DD" w:rsidRPr="000D71DD" w:rsidP="00126AB9" w14:paraId="7F53C16B" w14:textId="77777777">
      <w:pPr>
        <w:tabs>
          <w:tab w:val="left" w:pos="-720"/>
        </w:tabs>
        <w:suppressAutoHyphens/>
        <w:rPr>
          <w:spacing w:val="-3"/>
          <w:szCs w:val="22"/>
        </w:rPr>
      </w:pPr>
    </w:p>
    <w:p w:rsidR="000D71DD" w:rsidRPr="004A6C14" w:rsidP="00126AB9" w14:paraId="57693D88" w14:textId="53D48E9F">
      <w:pPr>
        <w:tabs>
          <w:tab w:val="left" w:pos="-720"/>
        </w:tabs>
        <w:suppressAutoHyphens/>
        <w:rPr>
          <w:spacing w:val="-3"/>
          <w:szCs w:val="22"/>
          <w:u w:val="single"/>
        </w:rPr>
      </w:pPr>
      <w:r>
        <w:rPr>
          <w:spacing w:val="-3"/>
          <w:szCs w:val="22"/>
        </w:rPr>
        <w:t>(e)</w:t>
      </w:r>
      <w:r w:rsidR="00BD6195">
        <w:rPr>
          <w:spacing w:val="-3"/>
          <w:szCs w:val="22"/>
        </w:rPr>
        <w:tab/>
      </w:r>
      <w:r w:rsidR="00287AFF">
        <w:rPr>
          <w:spacing w:val="-3"/>
          <w:szCs w:val="22"/>
        </w:rPr>
        <w:t xml:space="preserve">Section 6040(c) </w:t>
      </w:r>
      <w:r w:rsidR="009052CC">
        <w:rPr>
          <w:spacing w:val="-3"/>
          <w:szCs w:val="22"/>
        </w:rPr>
        <w:t>Requirements</w:t>
      </w:r>
      <w:r w:rsidR="0065028E">
        <w:rPr>
          <w:spacing w:val="-3"/>
          <w:szCs w:val="22"/>
        </w:rPr>
        <w:t>:</w:t>
      </w:r>
      <w:r w:rsidR="00930CF3">
        <w:rPr>
          <w:spacing w:val="-3"/>
          <w:szCs w:val="22"/>
        </w:rPr>
        <w:tab/>
      </w:r>
      <w:r w:rsidR="00930CF3">
        <w:rPr>
          <w:spacing w:val="-3"/>
          <w:szCs w:val="22"/>
        </w:rPr>
        <w:tab/>
      </w:r>
      <w:r w:rsidR="00930CF3">
        <w:rPr>
          <w:spacing w:val="-3"/>
          <w:szCs w:val="22"/>
        </w:rPr>
        <w:tab/>
      </w:r>
      <w:r w:rsidR="00930CF3">
        <w:rPr>
          <w:spacing w:val="-3"/>
          <w:szCs w:val="22"/>
        </w:rPr>
        <w:tab/>
      </w:r>
      <w:r w:rsidR="00930CF3">
        <w:rPr>
          <w:spacing w:val="-3"/>
          <w:szCs w:val="22"/>
        </w:rPr>
        <w:tab/>
      </w:r>
      <w:r w:rsidR="00930CF3">
        <w:rPr>
          <w:spacing w:val="-3"/>
          <w:szCs w:val="22"/>
        </w:rPr>
        <w:tab/>
      </w:r>
      <w:r w:rsidR="00930CF3">
        <w:rPr>
          <w:spacing w:val="-3"/>
          <w:szCs w:val="22"/>
        </w:rPr>
        <w:tab/>
      </w:r>
      <w:r>
        <w:rPr>
          <w:spacing w:val="-3"/>
          <w:szCs w:val="22"/>
        </w:rPr>
        <w:tab/>
      </w:r>
      <w:r w:rsidRPr="006247DF" w:rsidR="001F4388">
        <w:rPr>
          <w:spacing w:val="-3"/>
          <w:szCs w:val="22"/>
          <w:u w:val="single"/>
        </w:rPr>
        <w:t xml:space="preserve">    1,200</w:t>
      </w:r>
      <w:r w:rsidRPr="006247DF">
        <w:rPr>
          <w:spacing w:val="-3"/>
          <w:szCs w:val="22"/>
          <w:u w:val="single"/>
        </w:rPr>
        <w:tab/>
      </w:r>
      <w:r w:rsidRPr="006247DF" w:rsidR="0022685D">
        <w:rPr>
          <w:spacing w:val="-3"/>
          <w:szCs w:val="22"/>
          <w:u w:val="single"/>
        </w:rPr>
        <w:t xml:space="preserve"> </w:t>
      </w:r>
      <w:r w:rsidR="0022685D">
        <w:rPr>
          <w:spacing w:val="-3"/>
          <w:szCs w:val="22"/>
        </w:rPr>
        <w:tab/>
      </w:r>
      <w:r w:rsidR="00287AFF">
        <w:rPr>
          <w:spacing w:val="-3"/>
          <w:szCs w:val="22"/>
        </w:rPr>
        <w:tab/>
      </w:r>
      <w:r w:rsidR="00287AFF">
        <w:rPr>
          <w:spacing w:val="-3"/>
          <w:szCs w:val="22"/>
        </w:rPr>
        <w:tab/>
      </w:r>
      <w:r w:rsidR="00795EEF">
        <w:rPr>
          <w:spacing w:val="-3"/>
          <w:szCs w:val="22"/>
        </w:rPr>
        <w:tab/>
      </w:r>
      <w:r w:rsidR="00795EEF">
        <w:rPr>
          <w:spacing w:val="-3"/>
          <w:szCs w:val="22"/>
        </w:rPr>
        <w:tab/>
      </w:r>
    </w:p>
    <w:p w:rsidR="0022685D" w:rsidRPr="006247DF" w:rsidP="00126AB9" w14:paraId="0F458319" w14:textId="37634B85">
      <w:pPr>
        <w:tabs>
          <w:tab w:val="left" w:pos="-720"/>
        </w:tabs>
        <w:suppressAutoHyphens/>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8A1B9D" w:rsidR="004A6C14">
        <w:rPr>
          <w:b/>
          <w:bCs/>
          <w:spacing w:val="-3"/>
          <w:szCs w:val="22"/>
          <w:u w:val="single"/>
        </w:rPr>
        <w:t>Total Hours</w:t>
      </w:r>
      <w:r w:rsidRPr="006247DF" w:rsidR="004A6C14">
        <w:rPr>
          <w:b/>
          <w:bCs/>
          <w:spacing w:val="-3"/>
          <w:szCs w:val="22"/>
        </w:rPr>
        <w:t>:</w:t>
      </w:r>
      <w:r w:rsidRPr="006247DF">
        <w:rPr>
          <w:b/>
          <w:bCs/>
          <w:spacing w:val="-3"/>
          <w:szCs w:val="22"/>
        </w:rPr>
        <w:tab/>
      </w:r>
      <w:r w:rsidRPr="006247DF" w:rsidR="003D2BC1">
        <w:rPr>
          <w:b/>
          <w:bCs/>
          <w:spacing w:val="-3"/>
          <w:szCs w:val="22"/>
        </w:rPr>
        <w:tab/>
        <w:t xml:space="preserve">    </w:t>
      </w:r>
      <w:r w:rsidRPr="008A1B9D" w:rsidR="003D2BC1">
        <w:rPr>
          <w:b/>
          <w:bCs/>
          <w:spacing w:val="-3"/>
          <w:szCs w:val="22"/>
          <w:u w:val="single"/>
        </w:rPr>
        <w:t>6,690</w:t>
      </w:r>
    </w:p>
    <w:p w:rsidR="000D71DD" w:rsidRPr="009A513E" w:rsidP="00126AB9" w14:paraId="3C103100" w14:textId="34739B9E">
      <w:pPr>
        <w:tabs>
          <w:tab w:val="left" w:pos="-720"/>
        </w:tabs>
        <w:suppressAutoHyphens/>
        <w:rPr>
          <w:spacing w:val="-3"/>
          <w:szCs w:val="22"/>
          <w:u w:val="single"/>
        </w:rPr>
      </w:pPr>
    </w:p>
    <w:p w:rsidR="00126AB9" w:rsidRPr="009869AE" w:rsidP="009869AE" w14:paraId="3DFA6994" w14:textId="44B9C501">
      <w:pPr>
        <w:pStyle w:val="ListParagraph"/>
        <w:tabs>
          <w:tab w:val="left" w:pos="-720"/>
        </w:tabs>
        <w:suppressAutoHyphens/>
        <w:ind w:left="2520"/>
        <w:rPr>
          <w:b/>
          <w:bCs/>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p>
    <w:p w:rsidR="001946D2" w:rsidRPr="00AB1E80" w:rsidP="007E0735" w14:paraId="2019BFB2" w14:textId="31388E79">
      <w:pPr>
        <w:tabs>
          <w:tab w:val="left" w:pos="-720"/>
        </w:tabs>
        <w:suppressAutoHyphens/>
        <w:ind w:left="720"/>
        <w:rPr>
          <w:b/>
          <w:spacing w:val="-3"/>
          <w:szCs w:val="22"/>
        </w:rPr>
      </w:pPr>
      <w:r w:rsidRPr="004460F4">
        <w:rPr>
          <w:b/>
          <w:spacing w:val="-3"/>
          <w:szCs w:val="22"/>
        </w:rPr>
        <w:t xml:space="preserve">Total Respondents:  </w:t>
      </w:r>
      <w:r w:rsidR="00356B66">
        <w:rPr>
          <w:b/>
          <w:spacing w:val="-3"/>
          <w:szCs w:val="22"/>
        </w:rPr>
        <w:t>3</w:t>
      </w:r>
      <w:r w:rsidR="00521B88">
        <w:rPr>
          <w:b/>
          <w:spacing w:val="-3"/>
          <w:szCs w:val="22"/>
        </w:rPr>
        <w:t>0</w:t>
      </w:r>
      <w:r w:rsidR="00715D7E">
        <w:rPr>
          <w:b/>
          <w:spacing w:val="-3"/>
          <w:szCs w:val="22"/>
        </w:rPr>
        <w:t>.</w:t>
      </w:r>
    </w:p>
    <w:p w:rsidR="00E34679" w:rsidP="007E0735" w14:paraId="387F1BE6" w14:textId="5D30FD57">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356B66">
        <w:rPr>
          <w:b/>
          <w:spacing w:val="-3"/>
          <w:szCs w:val="22"/>
        </w:rPr>
        <w:t>3</w:t>
      </w:r>
      <w:r w:rsidR="00CC17DB">
        <w:rPr>
          <w:b/>
          <w:spacing w:val="-3"/>
          <w:szCs w:val="22"/>
        </w:rPr>
        <w:t>0 +</w:t>
      </w:r>
      <w:r w:rsidR="006768D0">
        <w:rPr>
          <w:b/>
          <w:spacing w:val="-3"/>
          <w:szCs w:val="22"/>
        </w:rPr>
        <w:t xml:space="preserve"> </w:t>
      </w:r>
      <w:r w:rsidR="00CC17DB">
        <w:rPr>
          <w:b/>
          <w:spacing w:val="-3"/>
          <w:szCs w:val="22"/>
        </w:rPr>
        <w:t>3</w:t>
      </w:r>
      <w:r w:rsidR="001227B4">
        <w:rPr>
          <w:b/>
          <w:spacing w:val="-3"/>
          <w:szCs w:val="22"/>
        </w:rPr>
        <w:t xml:space="preserve"> </w:t>
      </w:r>
      <w:r w:rsidR="00CC17DB">
        <w:rPr>
          <w:b/>
          <w:spacing w:val="-3"/>
          <w:szCs w:val="22"/>
        </w:rPr>
        <w:t xml:space="preserve">= </w:t>
      </w:r>
      <w:r w:rsidR="00F8698C">
        <w:rPr>
          <w:b/>
          <w:spacing w:val="-3"/>
          <w:szCs w:val="22"/>
        </w:rPr>
        <w:t>3</w:t>
      </w:r>
      <w:r w:rsidR="00CC17DB">
        <w:rPr>
          <w:b/>
          <w:spacing w:val="-3"/>
          <w:szCs w:val="22"/>
        </w:rPr>
        <w:t>3</w:t>
      </w:r>
      <w:r w:rsidR="00715D7E">
        <w:rPr>
          <w:b/>
          <w:spacing w:val="-3"/>
          <w:szCs w:val="22"/>
        </w:rPr>
        <w:t>.</w:t>
      </w:r>
    </w:p>
    <w:p w:rsidR="001946D2" w:rsidRPr="00AB1E80" w:rsidP="00AA39A4" w14:paraId="0769F2CC" w14:textId="17B71548">
      <w:pPr>
        <w:tabs>
          <w:tab w:val="left" w:pos="-720"/>
        </w:tabs>
        <w:suppressAutoHyphens/>
        <w:ind w:left="720"/>
        <w:rPr>
          <w:spacing w:val="-3"/>
          <w:szCs w:val="22"/>
        </w:rPr>
      </w:pPr>
      <w:r w:rsidRPr="00AB1E80">
        <w:rPr>
          <w:b/>
          <w:spacing w:val="-3"/>
          <w:szCs w:val="22"/>
        </w:rPr>
        <w:t xml:space="preserve">Total In-House Costs:  </w:t>
      </w:r>
      <w:r w:rsidR="003B0ED9">
        <w:rPr>
          <w:b/>
          <w:spacing w:val="-3"/>
          <w:szCs w:val="22"/>
        </w:rPr>
        <w:t>$</w:t>
      </w:r>
      <w:r w:rsidR="00EA557A">
        <w:rPr>
          <w:b/>
          <w:spacing w:val="-3"/>
          <w:szCs w:val="22"/>
        </w:rPr>
        <w:t>218,988</w:t>
      </w:r>
      <w:r w:rsidR="00E905BA">
        <w:rPr>
          <w:b/>
          <w:spacing w:val="-3"/>
          <w:szCs w:val="22"/>
        </w:rPr>
        <w:t xml:space="preserve"> + $</w:t>
      </w:r>
      <w:r w:rsidR="00441FD8">
        <w:rPr>
          <w:b/>
          <w:spacing w:val="-3"/>
          <w:szCs w:val="22"/>
        </w:rPr>
        <w:t>18,750</w:t>
      </w:r>
      <w:r w:rsidR="00E905BA">
        <w:rPr>
          <w:b/>
          <w:spacing w:val="-3"/>
          <w:szCs w:val="22"/>
        </w:rPr>
        <w:t xml:space="preserve"> + </w:t>
      </w:r>
      <w:r w:rsidR="00203D29">
        <w:rPr>
          <w:b/>
          <w:spacing w:val="-3"/>
          <w:szCs w:val="22"/>
        </w:rPr>
        <w:t>$</w:t>
      </w:r>
      <w:r w:rsidR="00441FD8">
        <w:rPr>
          <w:b/>
          <w:spacing w:val="-3"/>
          <w:szCs w:val="22"/>
        </w:rPr>
        <w:t>36,498</w:t>
      </w:r>
      <w:r w:rsidR="00203D29">
        <w:rPr>
          <w:b/>
          <w:spacing w:val="-3"/>
          <w:szCs w:val="22"/>
        </w:rPr>
        <w:t xml:space="preserve"> + </w:t>
      </w:r>
      <w:r w:rsidR="00E905BA">
        <w:rPr>
          <w:b/>
          <w:spacing w:val="-3"/>
          <w:szCs w:val="22"/>
        </w:rPr>
        <w:t>$</w:t>
      </w:r>
      <w:r w:rsidR="00441FD8">
        <w:rPr>
          <w:b/>
          <w:spacing w:val="-3"/>
          <w:szCs w:val="22"/>
        </w:rPr>
        <w:t>54,747</w:t>
      </w:r>
      <w:r w:rsidR="00E905BA">
        <w:rPr>
          <w:b/>
          <w:spacing w:val="-3"/>
          <w:szCs w:val="22"/>
        </w:rPr>
        <w:t xml:space="preserve"> + </w:t>
      </w:r>
      <w:r w:rsidR="00CB3819">
        <w:rPr>
          <w:b/>
          <w:spacing w:val="-3"/>
          <w:szCs w:val="22"/>
        </w:rPr>
        <w:t xml:space="preserve">$30,000 + </w:t>
      </w:r>
      <w:r w:rsidR="00E905BA">
        <w:rPr>
          <w:b/>
          <w:spacing w:val="-3"/>
          <w:szCs w:val="22"/>
        </w:rPr>
        <w:t>$</w:t>
      </w:r>
      <w:r w:rsidR="00D32E55">
        <w:rPr>
          <w:b/>
          <w:spacing w:val="-3"/>
          <w:szCs w:val="22"/>
        </w:rPr>
        <w:t>72,996</w:t>
      </w:r>
      <w:r w:rsidR="00E905BA">
        <w:rPr>
          <w:b/>
          <w:spacing w:val="-3"/>
          <w:szCs w:val="22"/>
        </w:rPr>
        <w:t xml:space="preserve"> </w:t>
      </w:r>
      <w:r w:rsidR="006E0E8C">
        <w:rPr>
          <w:b/>
          <w:spacing w:val="-3"/>
          <w:szCs w:val="22"/>
        </w:rPr>
        <w:t xml:space="preserve"> = $</w:t>
      </w:r>
      <w:r w:rsidR="0041169A">
        <w:rPr>
          <w:b/>
          <w:spacing w:val="-3"/>
          <w:szCs w:val="22"/>
        </w:rPr>
        <w:t>4</w:t>
      </w:r>
      <w:r w:rsidR="00CB3819">
        <w:rPr>
          <w:b/>
          <w:spacing w:val="-3"/>
          <w:szCs w:val="22"/>
        </w:rPr>
        <w:t>3</w:t>
      </w:r>
      <w:r w:rsidR="0041169A">
        <w:rPr>
          <w:b/>
          <w:spacing w:val="-3"/>
          <w:szCs w:val="22"/>
        </w:rPr>
        <w:t>1,979</w:t>
      </w:r>
      <w:r w:rsidR="00831982">
        <w:rPr>
          <w:b/>
          <w:spacing w:val="-3"/>
          <w:szCs w:val="22"/>
        </w:rPr>
        <w:t>.</w:t>
      </w:r>
    </w:p>
    <w:p w:rsidR="007E0735" w:rsidP="004D3ABC" w14:paraId="7EF7F364" w14:textId="774F8B98">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6E0E8C">
        <w:rPr>
          <w:b/>
          <w:spacing w:val="-3"/>
          <w:szCs w:val="22"/>
        </w:rPr>
        <w:t xml:space="preserve"> </w:t>
      </w:r>
      <w:r w:rsidR="00027CAD">
        <w:rPr>
          <w:b/>
          <w:spacing w:val="-3"/>
          <w:szCs w:val="22"/>
        </w:rPr>
        <w:t xml:space="preserve"> </w:t>
      </w:r>
      <w:r w:rsidR="003D2BC1">
        <w:rPr>
          <w:b/>
          <w:spacing w:val="-3"/>
          <w:szCs w:val="22"/>
        </w:rPr>
        <w:t xml:space="preserve">6,690 </w:t>
      </w:r>
      <w:r w:rsidR="003847BE">
        <w:rPr>
          <w:b/>
          <w:spacing w:val="-3"/>
          <w:szCs w:val="22"/>
        </w:rPr>
        <w:t>hours.</w:t>
      </w:r>
    </w:p>
    <w:p w:rsidR="004D3ABC" w:rsidRPr="004460F4" w:rsidP="004D3ABC" w14:paraId="4900F5D1" w14:textId="77777777">
      <w:pPr>
        <w:tabs>
          <w:tab w:val="left" w:pos="-720"/>
        </w:tabs>
        <w:suppressAutoHyphens/>
        <w:ind w:left="720"/>
        <w:rPr>
          <w:b/>
          <w:spacing w:val="-3"/>
          <w:szCs w:val="22"/>
        </w:rPr>
      </w:pPr>
    </w:p>
    <w:p w:rsidR="007E0735" w:rsidRPr="004460F4" w:rsidP="007E0735" w14:paraId="09414BB4" w14:textId="77777777">
      <w:pPr>
        <w:pStyle w:val="Numberedparagraphs"/>
        <w:numPr>
          <w:ilvl w:val="0"/>
          <w:numId w:val="0"/>
        </w:numPr>
        <w:tabs>
          <w:tab w:val="clear" w:pos="1440"/>
        </w:tabs>
        <w:ind w:firstLine="720"/>
        <w:rPr>
          <w:szCs w:val="22"/>
        </w:rPr>
      </w:pPr>
      <w:r w:rsidRPr="004460F4">
        <w:rPr>
          <w:spacing w:val="-3"/>
          <w:szCs w:val="22"/>
        </w:rPr>
        <w:t>13.  E</w:t>
      </w:r>
      <w:r w:rsidRPr="004460F4">
        <w:rPr>
          <w:szCs w:val="22"/>
        </w:rPr>
        <w:t>stimated operations and maintenance (O&amp;M) costs of respondents resulting from the collection of information:</w:t>
      </w:r>
    </w:p>
    <w:p w:rsidR="00443F78" w:rsidRPr="004460F4" w:rsidP="007E0735" w14:paraId="2901DBFC" w14:textId="77777777">
      <w:pPr>
        <w:pStyle w:val="Numberedparagraphs"/>
        <w:numPr>
          <w:ilvl w:val="0"/>
          <w:numId w:val="0"/>
        </w:numPr>
        <w:tabs>
          <w:tab w:val="left" w:pos="720"/>
          <w:tab w:val="clear" w:pos="144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915F36">
        <w:rPr>
          <w:szCs w:val="22"/>
        </w:rPr>
        <w:t>:</w:t>
      </w:r>
      <w:r w:rsidRPr="00DC19D5">
        <w:rPr>
          <w:szCs w:val="22"/>
        </w:rPr>
        <w:t xml:space="preserve"> </w:t>
      </w:r>
      <w:r w:rsidRPr="00E63ED6">
        <w:rPr>
          <w:b/>
          <w:bCs/>
          <w:szCs w:val="22"/>
        </w:rPr>
        <w:t>$0</w:t>
      </w:r>
      <w:r w:rsidRPr="004460F4">
        <w:rPr>
          <w:szCs w:val="22"/>
        </w:rPr>
        <w:t xml:space="preserve">.  </w:t>
      </w:r>
    </w:p>
    <w:p w:rsidR="007E0735" w:rsidRPr="004460F4" w:rsidP="007E0735" w14:paraId="476110BD" w14:textId="76D328E1">
      <w:pPr>
        <w:pStyle w:val="Numberedparagraphs"/>
        <w:numPr>
          <w:ilvl w:val="0"/>
          <w:numId w:val="0"/>
        </w:numPr>
        <w:tabs>
          <w:tab w:val="left" w:pos="720"/>
          <w:tab w:val="clear" w:pos="1440"/>
        </w:tabs>
        <w:rPr>
          <w:szCs w:val="22"/>
        </w:rPr>
      </w:pPr>
      <w:r w:rsidRPr="004460F4">
        <w:rPr>
          <w:szCs w:val="22"/>
        </w:rPr>
        <w:tab/>
        <w:t xml:space="preserve">The collections will not result in additional capital expenditures such as computers or software. </w:t>
      </w:r>
      <w:r w:rsidR="00CE48BB">
        <w:rPr>
          <w:szCs w:val="22"/>
        </w:rPr>
        <w:t xml:space="preserve"> </w:t>
      </w:r>
      <w:r w:rsidR="007E3DFA">
        <w:rPr>
          <w:szCs w:val="22"/>
        </w:rPr>
        <w:t xml:space="preserve">Providers, however, may need to update existing software to comply with the </w:t>
      </w:r>
      <w:r w:rsidRPr="003E24F0" w:rsidR="007E3DFA">
        <w:rPr>
          <w:szCs w:val="22"/>
        </w:rPr>
        <w:t>requirement that I</w:t>
      </w:r>
      <w:r w:rsidR="007E3DFA">
        <w:rPr>
          <w:szCs w:val="22"/>
        </w:rPr>
        <w:t xml:space="preserve">PCS </w:t>
      </w:r>
      <w:r w:rsidRPr="003E24F0" w:rsidR="007E3DFA">
        <w:rPr>
          <w:szCs w:val="22"/>
        </w:rPr>
        <w:t xml:space="preserve">providers clearly label </w:t>
      </w:r>
      <w:r w:rsidR="007E3DFA">
        <w:rPr>
          <w:szCs w:val="22"/>
        </w:rPr>
        <w:t>certain</w:t>
      </w:r>
      <w:r w:rsidRPr="003E24F0" w:rsidR="007E3DFA">
        <w:rPr>
          <w:szCs w:val="22"/>
        </w:rPr>
        <w:t xml:space="preserve"> rate components as separate line items on consumer bills</w:t>
      </w:r>
      <w:r w:rsidR="007E3DFA">
        <w:rPr>
          <w:szCs w:val="22"/>
        </w:rPr>
        <w:t>.</w:t>
      </w:r>
    </w:p>
    <w:p w:rsidR="007E0735" w:rsidRPr="004460F4" w:rsidP="007E0735" w14:paraId="71CBF35B" w14:textId="77777777">
      <w:pPr>
        <w:pStyle w:val="Numberedparagraphs"/>
        <w:numPr>
          <w:ilvl w:val="0"/>
          <w:numId w:val="0"/>
        </w:numPr>
        <w:tabs>
          <w:tab w:val="left" w:pos="720"/>
          <w:tab w:val="clear" w:pos="144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915F36">
        <w:rPr>
          <w:szCs w:val="22"/>
        </w:rPr>
        <w:t>:</w:t>
      </w:r>
      <w:r w:rsidRPr="00DC19D5">
        <w:rPr>
          <w:szCs w:val="22"/>
        </w:rPr>
        <w:t xml:space="preserve"> </w:t>
      </w:r>
      <w:r w:rsidRPr="004460F4">
        <w:rPr>
          <w:szCs w:val="22"/>
        </w:rPr>
        <w:t xml:space="preserve"> </w:t>
      </w:r>
      <w:r w:rsidRPr="00E63ED6">
        <w:rPr>
          <w:b/>
          <w:bCs/>
          <w:szCs w:val="22"/>
        </w:rPr>
        <w:t>$0</w:t>
      </w:r>
      <w:r w:rsidRPr="004460F4">
        <w:rPr>
          <w:szCs w:val="22"/>
        </w:rPr>
        <w:t>.</w:t>
      </w:r>
    </w:p>
    <w:p w:rsidR="007E0735" w:rsidRPr="004460F4" w:rsidP="007E0735" w14:paraId="3843DBF3" w14:textId="77777777">
      <w:pPr>
        <w:pStyle w:val="Numberedparagraphs"/>
        <w:numPr>
          <w:ilvl w:val="0"/>
          <w:numId w:val="0"/>
        </w:numPr>
        <w:tabs>
          <w:tab w:val="left" w:pos="720"/>
          <w:tab w:val="clear" w:pos="144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007E0735" w:rsidRPr="004460F4" w:rsidP="007E0735" w14:paraId="1E59D6B7" w14:textId="7EDA8B98">
      <w:pPr>
        <w:pStyle w:val="Numberedparagraphs"/>
        <w:numPr>
          <w:ilvl w:val="0"/>
          <w:numId w:val="0"/>
        </w:numPr>
        <w:tabs>
          <w:tab w:val="clear" w:pos="1440"/>
        </w:tabs>
        <w:ind w:firstLine="720"/>
        <w:rPr>
          <w:szCs w:val="22"/>
        </w:rPr>
      </w:pPr>
      <w:r w:rsidRPr="004460F4">
        <w:rPr>
          <w:szCs w:val="22"/>
        </w:rPr>
        <w:t>14.  There are unlikely to be any additional costs to the Commission because the data will be submitted by I</w:t>
      </w:r>
      <w:r w:rsidR="008034DA">
        <w:rPr>
          <w:szCs w:val="22"/>
        </w:rPr>
        <w:t>CS</w:t>
      </w:r>
      <w:r w:rsidRPr="004460F4">
        <w:rPr>
          <w:szCs w:val="22"/>
        </w:rPr>
        <w:t xml:space="preserve"> providers in WC Docket No</w:t>
      </w:r>
      <w:r w:rsidR="00F92A26">
        <w:rPr>
          <w:szCs w:val="22"/>
        </w:rPr>
        <w:t>s</w:t>
      </w:r>
      <w:r w:rsidRPr="004460F4">
        <w:rPr>
          <w:szCs w:val="22"/>
        </w:rPr>
        <w:t xml:space="preserve">. </w:t>
      </w:r>
      <w:r w:rsidR="00F92A26">
        <w:rPr>
          <w:szCs w:val="22"/>
        </w:rPr>
        <w:t xml:space="preserve">23-62 and </w:t>
      </w:r>
      <w:r w:rsidRPr="004460F4">
        <w:rPr>
          <w:szCs w:val="22"/>
        </w:rPr>
        <w:t>12-375 via the Commission’s Electronic Comment Filing System, requiring no additional Commission resources to process or publish.</w:t>
      </w:r>
    </w:p>
    <w:p w:rsidR="0092121B" w:rsidP="005258E8" w14:paraId="4E1B96D1" w14:textId="40CED7D2">
      <w:pPr>
        <w:pStyle w:val="Numberedparagraphs"/>
        <w:numPr>
          <w:ilvl w:val="0"/>
          <w:numId w:val="0"/>
        </w:numPr>
        <w:tabs>
          <w:tab w:val="clear" w:pos="1440"/>
        </w:tabs>
        <w:ind w:firstLine="720"/>
        <w:rPr>
          <w:szCs w:val="22"/>
        </w:rPr>
      </w:pPr>
      <w:r w:rsidRPr="004460F4">
        <w:rPr>
          <w:szCs w:val="22"/>
        </w:rPr>
        <w:t xml:space="preserve">15.  </w:t>
      </w:r>
      <w:r w:rsidR="00845E1B">
        <w:rPr>
          <w:szCs w:val="22"/>
        </w:rPr>
        <w:t>Since the last submission to OMB, t</w:t>
      </w:r>
      <w:r w:rsidRPr="00BA594A" w:rsidR="003E4D0A">
        <w:rPr>
          <w:szCs w:val="22"/>
        </w:rPr>
        <w:t xml:space="preserve">he Commission </w:t>
      </w:r>
      <w:r w:rsidRPr="00715D7E" w:rsidR="003E4D0A">
        <w:rPr>
          <w:szCs w:val="22"/>
        </w:rPr>
        <w:t>is reporting a program change</w:t>
      </w:r>
      <w:r w:rsidRPr="00715D7E">
        <w:rPr>
          <w:szCs w:val="22"/>
        </w:rPr>
        <w:t>/increase</w:t>
      </w:r>
      <w:r w:rsidRPr="00715D7E" w:rsidR="003E4D0A">
        <w:rPr>
          <w:szCs w:val="22"/>
        </w:rPr>
        <w:t xml:space="preserve"> </w:t>
      </w:r>
      <w:r w:rsidR="0089497A">
        <w:rPr>
          <w:szCs w:val="22"/>
        </w:rPr>
        <w:t>because of t</w:t>
      </w:r>
      <w:r w:rsidR="00BC32CD">
        <w:rPr>
          <w:szCs w:val="22"/>
        </w:rPr>
        <w:t>he addition of a</w:t>
      </w:r>
      <w:r w:rsidR="007249F9">
        <w:rPr>
          <w:szCs w:val="22"/>
        </w:rPr>
        <w:t xml:space="preserve">n information </w:t>
      </w:r>
      <w:r w:rsidR="00BC32CD">
        <w:rPr>
          <w:szCs w:val="22"/>
        </w:rPr>
        <w:t xml:space="preserve">requirement </w:t>
      </w:r>
      <w:r w:rsidR="00CC53D5">
        <w:rPr>
          <w:szCs w:val="22"/>
        </w:rPr>
        <w:t>for TRS providers</w:t>
      </w:r>
      <w:r w:rsidRPr="007249F9" w:rsidR="007249F9">
        <w:t xml:space="preserve"> </w:t>
      </w:r>
      <w:r w:rsidR="007249F9">
        <w:rPr>
          <w:szCs w:val="22"/>
        </w:rPr>
        <w:t xml:space="preserve">serving </w:t>
      </w:r>
      <w:r w:rsidRPr="007249F9" w:rsidR="007249F9">
        <w:rPr>
          <w:szCs w:val="22"/>
        </w:rPr>
        <w:t xml:space="preserve">incarcerated people with </w:t>
      </w:r>
      <w:r w:rsidRPr="007249F9" w:rsidR="007249F9">
        <w:rPr>
          <w:szCs w:val="22"/>
        </w:rPr>
        <w:t xml:space="preserve">communication disabilities </w:t>
      </w:r>
      <w:r w:rsidR="007249F9">
        <w:rPr>
          <w:szCs w:val="22"/>
        </w:rPr>
        <w:t>(</w:t>
      </w:r>
      <w:r w:rsidR="00E06788">
        <w:rPr>
          <w:szCs w:val="22"/>
        </w:rPr>
        <w:t>+</w:t>
      </w:r>
      <w:r w:rsidR="002D6DB7">
        <w:rPr>
          <w:szCs w:val="22"/>
        </w:rPr>
        <w:t>1,200 hours</w:t>
      </w:r>
      <w:r w:rsidR="00E06788">
        <w:rPr>
          <w:szCs w:val="22"/>
        </w:rPr>
        <w:t>)</w:t>
      </w:r>
      <w:r w:rsidR="00AE6C7B">
        <w:rPr>
          <w:szCs w:val="22"/>
        </w:rPr>
        <w:t>.</w:t>
      </w:r>
      <w:r>
        <w:rPr>
          <w:rStyle w:val="FootnoteReference"/>
          <w:szCs w:val="22"/>
        </w:rPr>
        <w:footnoteReference w:id="32"/>
      </w:r>
      <w:r w:rsidR="00A21CE8">
        <w:rPr>
          <w:szCs w:val="22"/>
        </w:rPr>
        <w:t xml:space="preserve"> </w:t>
      </w:r>
      <w:r w:rsidR="00152147">
        <w:rPr>
          <w:szCs w:val="22"/>
        </w:rPr>
        <w:t xml:space="preserve"> </w:t>
      </w:r>
    </w:p>
    <w:p w:rsidR="005258E8" w:rsidRPr="00715D7E" w:rsidP="005258E8" w14:paraId="3789A029" w14:textId="3BEC2121">
      <w:pPr>
        <w:pStyle w:val="Numberedparagraphs"/>
        <w:numPr>
          <w:ilvl w:val="0"/>
          <w:numId w:val="0"/>
        </w:numPr>
        <w:tabs>
          <w:tab w:val="clear" w:pos="1440"/>
        </w:tabs>
        <w:ind w:firstLine="720"/>
        <w:rPr>
          <w:szCs w:val="22"/>
        </w:rPr>
      </w:pPr>
      <w:r>
        <w:rPr>
          <w:szCs w:val="22"/>
        </w:rPr>
        <w:t xml:space="preserve">Further, since </w:t>
      </w:r>
      <w:r>
        <w:rPr>
          <w:szCs w:val="22"/>
        </w:rPr>
        <w:t xml:space="preserve">the last submission, the </w:t>
      </w:r>
      <w:r w:rsidRPr="008E12B2">
        <w:rPr>
          <w:szCs w:val="22"/>
        </w:rPr>
        <w:t>number of providers has increased from 20 to 30</w:t>
      </w:r>
      <w:r>
        <w:rPr>
          <w:szCs w:val="22"/>
        </w:rPr>
        <w:t xml:space="preserve"> </w:t>
      </w:r>
      <w:r w:rsidR="00CB3819">
        <w:rPr>
          <w:szCs w:val="22"/>
        </w:rPr>
        <w:t xml:space="preserve">(+10) </w:t>
      </w:r>
      <w:r>
        <w:rPr>
          <w:szCs w:val="22"/>
        </w:rPr>
        <w:t>due to changes in the marketplace</w:t>
      </w:r>
      <w:r w:rsidR="005B0081">
        <w:rPr>
          <w:szCs w:val="22"/>
        </w:rPr>
        <w:t xml:space="preserve">; </w:t>
      </w:r>
      <w:r>
        <w:rPr>
          <w:szCs w:val="22"/>
        </w:rPr>
        <w:t>thus the number of responses has increased from 23 to 33</w:t>
      </w:r>
      <w:r w:rsidR="00CB3819">
        <w:rPr>
          <w:szCs w:val="22"/>
        </w:rPr>
        <w:t xml:space="preserve"> (+10)</w:t>
      </w:r>
      <w:r>
        <w:rPr>
          <w:szCs w:val="22"/>
        </w:rPr>
        <w:t xml:space="preserve">.  </w:t>
      </w:r>
      <w:r w:rsidRPr="006227C2">
        <w:rPr>
          <w:szCs w:val="22"/>
        </w:rPr>
        <w:t>As with the prior submission, the additional three responses relate to the waiver request reporting requirement.</w:t>
      </w:r>
    </w:p>
    <w:p w:rsidR="0065353D" w:rsidP="006A5A12" w14:paraId="684AB798" w14:textId="3DEDDE1E">
      <w:pPr>
        <w:pStyle w:val="Numberedparagraphs"/>
        <w:numPr>
          <w:ilvl w:val="0"/>
          <w:numId w:val="0"/>
        </w:numPr>
        <w:tabs>
          <w:tab w:val="clear" w:pos="1440"/>
        </w:tabs>
        <w:ind w:firstLine="720"/>
        <w:rPr>
          <w:szCs w:val="22"/>
        </w:rPr>
      </w:pPr>
      <w:r>
        <w:rPr>
          <w:szCs w:val="22"/>
        </w:rPr>
        <w:t>As a result</w:t>
      </w:r>
      <w:r w:rsidR="0028192B">
        <w:rPr>
          <w:szCs w:val="22"/>
        </w:rPr>
        <w:t xml:space="preserve"> of</w:t>
      </w:r>
      <w:r w:rsidR="0089497A">
        <w:rPr>
          <w:szCs w:val="22"/>
        </w:rPr>
        <w:t xml:space="preserve"> </w:t>
      </w:r>
      <w:r w:rsidR="0008532D">
        <w:rPr>
          <w:szCs w:val="22"/>
        </w:rPr>
        <w:t xml:space="preserve">both </w:t>
      </w:r>
      <w:r w:rsidR="0092121B">
        <w:rPr>
          <w:szCs w:val="22"/>
        </w:rPr>
        <w:t xml:space="preserve">the program change </w:t>
      </w:r>
      <w:r w:rsidR="001A6934">
        <w:rPr>
          <w:szCs w:val="22"/>
        </w:rPr>
        <w:t xml:space="preserve">(+1,200) </w:t>
      </w:r>
      <w:r w:rsidR="0092121B">
        <w:rPr>
          <w:szCs w:val="22"/>
        </w:rPr>
        <w:t>and the adjustment in the number of providers and responses</w:t>
      </w:r>
      <w:r w:rsidR="001A6934">
        <w:rPr>
          <w:szCs w:val="22"/>
        </w:rPr>
        <w:t xml:space="preserve"> (+ </w:t>
      </w:r>
      <w:r w:rsidR="00287A64">
        <w:rPr>
          <w:szCs w:val="22"/>
        </w:rPr>
        <w:t>1,7</w:t>
      </w:r>
      <w:r w:rsidR="003A48FC">
        <w:rPr>
          <w:szCs w:val="22"/>
        </w:rPr>
        <w:t>5</w:t>
      </w:r>
      <w:r w:rsidR="00287A64">
        <w:rPr>
          <w:szCs w:val="22"/>
        </w:rPr>
        <w:t>0)</w:t>
      </w:r>
      <w:r w:rsidR="0092121B">
        <w:rPr>
          <w:szCs w:val="22"/>
        </w:rPr>
        <w:t xml:space="preserve">, </w:t>
      </w:r>
      <w:r>
        <w:rPr>
          <w:szCs w:val="22"/>
        </w:rPr>
        <w:t>t</w:t>
      </w:r>
      <w:r>
        <w:rPr>
          <w:szCs w:val="22"/>
        </w:rPr>
        <w:t xml:space="preserve">he </w:t>
      </w:r>
      <w:r w:rsidR="003808E5">
        <w:rPr>
          <w:szCs w:val="22"/>
        </w:rPr>
        <w:t xml:space="preserve">total </w:t>
      </w:r>
      <w:r>
        <w:rPr>
          <w:szCs w:val="22"/>
        </w:rPr>
        <w:t xml:space="preserve">burden hours have increased from </w:t>
      </w:r>
      <w:r w:rsidR="00CC53D5">
        <w:rPr>
          <w:szCs w:val="22"/>
        </w:rPr>
        <w:t xml:space="preserve">3,740 to </w:t>
      </w:r>
      <w:r w:rsidR="008D15E9">
        <w:rPr>
          <w:szCs w:val="22"/>
        </w:rPr>
        <w:t xml:space="preserve">6,690 </w:t>
      </w:r>
      <w:r w:rsidR="00CC53D5">
        <w:rPr>
          <w:szCs w:val="22"/>
        </w:rPr>
        <w:t>(+</w:t>
      </w:r>
      <w:r w:rsidR="005258E8">
        <w:rPr>
          <w:szCs w:val="22"/>
        </w:rPr>
        <w:t>2,950</w:t>
      </w:r>
      <w:r w:rsidR="00CC53D5">
        <w:rPr>
          <w:szCs w:val="22"/>
        </w:rPr>
        <w:t>)</w:t>
      </w:r>
      <w:r>
        <w:rPr>
          <w:szCs w:val="22"/>
        </w:rPr>
        <w:t xml:space="preserve">. </w:t>
      </w:r>
    </w:p>
    <w:p w:rsidR="007E0735" w:rsidRPr="00AB1E80" w:rsidP="004460F4" w14:paraId="41CE502E" w14:textId="54A8EAEF">
      <w:pPr>
        <w:pStyle w:val="Numberedparagraphs"/>
        <w:numPr>
          <w:ilvl w:val="0"/>
          <w:numId w:val="0"/>
        </w:numPr>
        <w:tabs>
          <w:tab w:val="clear" w:pos="1440"/>
        </w:tabs>
        <w:ind w:firstLine="720"/>
        <w:rPr>
          <w:szCs w:val="22"/>
        </w:rPr>
      </w:pPr>
      <w:r w:rsidRPr="004460F4">
        <w:rPr>
          <w:szCs w:val="22"/>
        </w:rPr>
        <w:t>16.  The Commission does not anticipate publishing any of the information collected.  Rather, the provider</w:t>
      </w:r>
      <w:r w:rsidR="00AB1E80">
        <w:rPr>
          <w:szCs w:val="22"/>
        </w:rPr>
        <w:t xml:space="preserve">s’ </w:t>
      </w:r>
      <w:r w:rsidR="0055474E">
        <w:rPr>
          <w:szCs w:val="22"/>
        </w:rPr>
        <w:t>A</w:t>
      </w:r>
      <w:r w:rsidR="00AB1E80">
        <w:rPr>
          <w:szCs w:val="22"/>
        </w:rPr>
        <w:t xml:space="preserve">nnual </w:t>
      </w:r>
      <w:r w:rsidR="0055474E">
        <w:rPr>
          <w:szCs w:val="22"/>
        </w:rPr>
        <w:t>R</w:t>
      </w:r>
      <w:r w:rsidR="00AB1E80">
        <w:rPr>
          <w:szCs w:val="22"/>
        </w:rPr>
        <w:t>eports and</w:t>
      </w:r>
      <w:r w:rsidRPr="00AB1E80">
        <w:rPr>
          <w:szCs w:val="22"/>
        </w:rPr>
        <w:t xml:space="preserve"> </w:t>
      </w:r>
      <w:r w:rsidR="0055474E">
        <w:rPr>
          <w:szCs w:val="22"/>
        </w:rPr>
        <w:t>C</w:t>
      </w:r>
      <w:r w:rsidRPr="00AB1E80">
        <w:rPr>
          <w:szCs w:val="22"/>
        </w:rPr>
        <w:t>ertifications will be available for public review via the Commission’s ECFS.</w:t>
      </w:r>
    </w:p>
    <w:p w:rsidR="007E0735" w:rsidRPr="004460F4" w:rsidP="004460F4" w14:paraId="22E6D4FF" w14:textId="77777777">
      <w:pPr>
        <w:pStyle w:val="Numberedparagraphs"/>
        <w:numPr>
          <w:ilvl w:val="0"/>
          <w:numId w:val="0"/>
        </w:numPr>
        <w:tabs>
          <w:tab w:val="clear" w:pos="1440"/>
        </w:tabs>
        <w:ind w:firstLine="720"/>
        <w:rPr>
          <w:szCs w:val="22"/>
        </w:rPr>
      </w:pPr>
      <w:r w:rsidRPr="004460F4">
        <w:rPr>
          <w:szCs w:val="22"/>
        </w:rPr>
        <w:t>17.  The Commission is not seeking approval not to display an OMB expiration date.</w:t>
      </w:r>
    </w:p>
    <w:p w:rsidR="00BA7DEE" w:rsidP="00F4018E" w14:paraId="0C85FDC7" w14:textId="16587B6C">
      <w:pPr>
        <w:pStyle w:val="Numberedparagraphs"/>
        <w:numPr>
          <w:ilvl w:val="0"/>
          <w:numId w:val="0"/>
        </w:numPr>
        <w:tabs>
          <w:tab w:val="clear" w:pos="1440"/>
        </w:tabs>
        <w:ind w:firstLine="720"/>
        <w:rPr>
          <w:szCs w:val="22"/>
        </w:rPr>
      </w:pPr>
      <w:r w:rsidRPr="004460F4">
        <w:rPr>
          <w:szCs w:val="22"/>
        </w:rPr>
        <w:t xml:space="preserve">18.  </w:t>
      </w:r>
      <w:r w:rsidRPr="00954B68" w:rsidR="008B6726">
        <w:rPr>
          <w:szCs w:val="22"/>
        </w:rPr>
        <w:t xml:space="preserve">The Bureaus have not yet issued </w:t>
      </w:r>
      <w:r w:rsidRPr="00954B68" w:rsidR="009C20A8">
        <w:rPr>
          <w:szCs w:val="22"/>
        </w:rPr>
        <w:t>an Order adopting revisions</w:t>
      </w:r>
      <w:r w:rsidRPr="00954B68" w:rsidR="00F73682">
        <w:rPr>
          <w:szCs w:val="22"/>
        </w:rPr>
        <w:t xml:space="preserve"> to the instructions, templates, and certification form for the Annual Reports</w:t>
      </w:r>
      <w:r w:rsidR="009A4FE1">
        <w:rPr>
          <w:szCs w:val="22"/>
        </w:rPr>
        <w:t xml:space="preserve">, as </w:t>
      </w:r>
      <w:r w:rsidRPr="00954B68" w:rsidR="00954B68">
        <w:rPr>
          <w:szCs w:val="22"/>
        </w:rPr>
        <w:t xml:space="preserve">proposed in the </w:t>
      </w:r>
      <w:r w:rsidRPr="00954B68" w:rsidR="00954B68">
        <w:rPr>
          <w:i/>
          <w:iCs/>
          <w:szCs w:val="22"/>
        </w:rPr>
        <w:t>2023 IPCS Annual Reports Public Notice</w:t>
      </w:r>
      <w:r w:rsidRPr="00954B68" w:rsidR="00954B68">
        <w:rPr>
          <w:szCs w:val="22"/>
        </w:rPr>
        <w:t>.</w:t>
      </w:r>
      <w:r w:rsidRPr="00954B68" w:rsidR="005A03B5">
        <w:rPr>
          <w:szCs w:val="22"/>
        </w:rPr>
        <w:t xml:space="preserve">  </w:t>
      </w:r>
      <w:r w:rsidR="006332F4">
        <w:rPr>
          <w:szCs w:val="22"/>
        </w:rPr>
        <w:t xml:space="preserve">It is necessary, however, for the Commission to </w:t>
      </w:r>
      <w:r w:rsidR="00192E67">
        <w:rPr>
          <w:szCs w:val="22"/>
        </w:rPr>
        <w:t>e</w:t>
      </w:r>
      <w:r w:rsidR="00057E97">
        <w:rPr>
          <w:szCs w:val="22"/>
        </w:rPr>
        <w:t xml:space="preserve">ffectuate the </w:t>
      </w:r>
      <w:r w:rsidRPr="00883075" w:rsidR="00057E97">
        <w:t>improve</w:t>
      </w:r>
      <w:r w:rsidR="00057E97">
        <w:t>d</w:t>
      </w:r>
      <w:r w:rsidRPr="00883075" w:rsidR="00057E97">
        <w:t xml:space="preserve"> access to communications services for incarcerated people with communication disabilities</w:t>
      </w:r>
      <w:r w:rsidR="00AD4AB1">
        <w:t xml:space="preserve"> </w:t>
      </w:r>
      <w:r w:rsidR="0087257F">
        <w:t>required by section</w:t>
      </w:r>
      <w:r w:rsidR="00AD4AB1">
        <w:t xml:space="preserve"> 64.6040(c).</w:t>
      </w:r>
      <w:r w:rsidRPr="00954B68" w:rsidR="00057E97">
        <w:rPr>
          <w:szCs w:val="22"/>
        </w:rPr>
        <w:t xml:space="preserve"> </w:t>
      </w:r>
      <w:r w:rsidR="00AD4AB1">
        <w:rPr>
          <w:szCs w:val="22"/>
        </w:rPr>
        <w:t xml:space="preserve"> </w:t>
      </w:r>
      <w:r w:rsidRPr="00954B68" w:rsidR="00F73682">
        <w:rPr>
          <w:szCs w:val="22"/>
        </w:rPr>
        <w:t xml:space="preserve">Consequently, we are dividing the information requirements and burdens between two submissions to OMB.  In the instant submission, we </w:t>
      </w:r>
      <w:r w:rsidRPr="00954B68" w:rsidR="00326895">
        <w:rPr>
          <w:szCs w:val="22"/>
        </w:rPr>
        <w:t xml:space="preserve">seek OMB approval for </w:t>
      </w:r>
      <w:r w:rsidRPr="00954B68" w:rsidR="00D23F96">
        <w:rPr>
          <w:szCs w:val="22"/>
        </w:rPr>
        <w:t xml:space="preserve">the </w:t>
      </w:r>
      <w:r w:rsidRPr="00954B68" w:rsidR="00326895">
        <w:rPr>
          <w:szCs w:val="22"/>
        </w:rPr>
        <w:t xml:space="preserve">new information requirements in section 64.6040(c), </w:t>
      </w:r>
      <w:r w:rsidRPr="00954B68" w:rsidR="00D23F96">
        <w:rPr>
          <w:szCs w:val="22"/>
        </w:rPr>
        <w:t xml:space="preserve">which </w:t>
      </w:r>
      <w:r w:rsidRPr="00954B68" w:rsidR="000E6E70">
        <w:rPr>
          <w:szCs w:val="22"/>
        </w:rPr>
        <w:t xml:space="preserve">improves </w:t>
      </w:r>
      <w:r w:rsidRPr="00954B68" w:rsidR="00326895">
        <w:rPr>
          <w:szCs w:val="22"/>
        </w:rPr>
        <w:t xml:space="preserve">access </w:t>
      </w:r>
      <w:r w:rsidRPr="00954B68" w:rsidR="003822F7">
        <w:rPr>
          <w:szCs w:val="22"/>
        </w:rPr>
        <w:t xml:space="preserve">to </w:t>
      </w:r>
      <w:r w:rsidRPr="00954B68" w:rsidR="00326895">
        <w:rPr>
          <w:szCs w:val="22"/>
        </w:rPr>
        <w:t xml:space="preserve">communications </w:t>
      </w:r>
      <w:r w:rsidRPr="00954B68" w:rsidR="003822F7">
        <w:rPr>
          <w:szCs w:val="22"/>
        </w:rPr>
        <w:t>services</w:t>
      </w:r>
      <w:r w:rsidRPr="00954B68" w:rsidR="00271246">
        <w:rPr>
          <w:szCs w:val="22"/>
        </w:rPr>
        <w:t xml:space="preserve"> for</w:t>
      </w:r>
      <w:r w:rsidRPr="00954B68" w:rsidR="003822F7">
        <w:rPr>
          <w:szCs w:val="22"/>
        </w:rPr>
        <w:t xml:space="preserve"> incarcerated people with communications disabilities by expanding the rules for advanced TRS.  Upon release </w:t>
      </w:r>
      <w:r w:rsidRPr="00954B68" w:rsidR="00271246">
        <w:rPr>
          <w:szCs w:val="22"/>
        </w:rPr>
        <w:t>of</w:t>
      </w:r>
      <w:r w:rsidRPr="00954B68" w:rsidR="003822F7">
        <w:rPr>
          <w:szCs w:val="22"/>
        </w:rPr>
        <w:t xml:space="preserve"> an Order adopting revisions to the instructions, templates, and certification form for the Annual Reports, we will make a second submission to OMB, seeking approval of </w:t>
      </w:r>
      <w:r w:rsidR="000214E1">
        <w:rPr>
          <w:szCs w:val="22"/>
        </w:rPr>
        <w:t>any</w:t>
      </w:r>
      <w:r w:rsidRPr="00954B68" w:rsidR="003822F7">
        <w:rPr>
          <w:szCs w:val="22"/>
        </w:rPr>
        <w:t xml:space="preserve"> revised information requirements</w:t>
      </w:r>
      <w:r w:rsidR="000D03CD">
        <w:rPr>
          <w:szCs w:val="22"/>
        </w:rPr>
        <w:t xml:space="preserve"> adopted in that Order</w:t>
      </w:r>
      <w:r w:rsidRPr="00954B68" w:rsidR="003822F7">
        <w:rPr>
          <w:szCs w:val="22"/>
        </w:rPr>
        <w:t xml:space="preserve">, as well as </w:t>
      </w:r>
      <w:r w:rsidRPr="00954B68" w:rsidR="005A03B5">
        <w:rPr>
          <w:szCs w:val="22"/>
        </w:rPr>
        <w:t xml:space="preserve">of </w:t>
      </w:r>
      <w:r w:rsidRPr="00954B68" w:rsidR="003822F7">
        <w:rPr>
          <w:szCs w:val="22"/>
        </w:rPr>
        <w:t xml:space="preserve">the new requirements in </w:t>
      </w:r>
      <w:r w:rsidRPr="00954B68" w:rsidR="00AD6005">
        <w:rPr>
          <w:szCs w:val="22"/>
        </w:rPr>
        <w:t xml:space="preserve">section </w:t>
      </w:r>
      <w:r w:rsidRPr="00954B68" w:rsidR="003822F7">
        <w:rPr>
          <w:szCs w:val="22"/>
        </w:rPr>
        <w:t>64.6060(a)(5)-(7), which expand</w:t>
      </w:r>
      <w:r w:rsidR="00CC4EB6">
        <w:rPr>
          <w:szCs w:val="22"/>
        </w:rPr>
        <w:t>s</w:t>
      </w:r>
      <w:r w:rsidRPr="00954B68" w:rsidR="003822F7">
        <w:rPr>
          <w:szCs w:val="22"/>
        </w:rPr>
        <w:t xml:space="preserve"> the rule requiring the filing of Annual Reports</w:t>
      </w:r>
      <w:r w:rsidR="00AA30B5">
        <w:rPr>
          <w:szCs w:val="22"/>
        </w:rPr>
        <w:t xml:space="preserve"> to include </w:t>
      </w:r>
      <w:r w:rsidR="00C36A93">
        <w:rPr>
          <w:szCs w:val="22"/>
        </w:rPr>
        <w:t xml:space="preserve">additional data related to </w:t>
      </w:r>
      <w:r w:rsidRPr="00954B68" w:rsidR="00343CF2">
        <w:rPr>
          <w:szCs w:val="22"/>
        </w:rPr>
        <w:t>access to communications services for incarcerated people with communications disabilities</w:t>
      </w:r>
      <w:r w:rsidRPr="00954B68" w:rsidR="003822F7">
        <w:rPr>
          <w:szCs w:val="22"/>
        </w:rPr>
        <w:t>.</w:t>
      </w:r>
    </w:p>
    <w:p w:rsidR="00CB3819" w:rsidRPr="00AB1E80" w:rsidP="00F4018E" w14:paraId="54EC51AE" w14:textId="63C84647">
      <w:pPr>
        <w:pStyle w:val="Numberedparagraphs"/>
        <w:numPr>
          <w:ilvl w:val="0"/>
          <w:numId w:val="0"/>
        </w:numPr>
        <w:tabs>
          <w:tab w:val="clear" w:pos="1440"/>
        </w:tabs>
        <w:ind w:firstLine="720"/>
        <w:rPr>
          <w:szCs w:val="22"/>
        </w:rPr>
      </w:pPr>
      <w:r>
        <w:rPr>
          <w:szCs w:val="22"/>
        </w:rPr>
        <w:t xml:space="preserve">There are no other exceptions to the Certification Statement. </w:t>
      </w:r>
    </w:p>
    <w:p w:rsidR="007E0735" w:rsidRPr="004460F4" w:rsidP="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007E0735" w:rsidRPr="004460F4" w:rsidP="007E0735" w14:paraId="4BE75DCB" w14:textId="77777777">
      <w:pPr>
        <w:rPr>
          <w:szCs w:val="22"/>
        </w:rPr>
      </w:pPr>
    </w:p>
    <w:p w:rsidR="007E0735" w:rsidRPr="004460F4" w:rsidP="00B136F6" w14:paraId="0606048C" w14:textId="474C3A54">
      <w:pPr>
        <w:pStyle w:val="Numberedparagraphs"/>
        <w:numPr>
          <w:ilvl w:val="0"/>
          <w:numId w:val="0"/>
        </w:numPr>
        <w:tabs>
          <w:tab w:val="clear" w:pos="1440"/>
        </w:tabs>
        <w:ind w:firstLine="720"/>
        <w:rPr>
          <w:szCs w:val="22"/>
        </w:rPr>
      </w:pPr>
      <w:r>
        <w:rPr>
          <w:szCs w:val="22"/>
        </w:rPr>
        <w:t xml:space="preserve">19.  </w:t>
      </w:r>
      <w:r w:rsidRPr="004460F4">
        <w:rPr>
          <w:szCs w:val="22"/>
        </w:rPr>
        <w:t>The Commission does not anticipate that the proposed collection of information will employ statistical methods.</w:t>
      </w:r>
    </w:p>
    <w:sectPr w:rsidSect="00FF79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C17" w:rsidP="00432BAA" w14:paraId="5E5E2D40"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646C17" w:rsidP="001F7620" w14:paraId="5DFADB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5363962"/>
      <w:docPartObj>
        <w:docPartGallery w:val="Page Numbers (Bottom of Page)"/>
        <w:docPartUnique/>
      </w:docPartObj>
    </w:sdtPr>
    <w:sdtContent>
      <w:p w:rsidR="00646C17" w:rsidP="00432BAA" w14:paraId="068FA5EA" w14:textId="43B786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C17" w:rsidRPr="00CA240C" w:rsidP="001F7620" w14:paraId="4FDCB662" w14:textId="77777777">
    <w:pPr>
      <w:pStyle w:val="Footer"/>
      <w:ind w:right="360"/>
      <w:jc w:val="center"/>
      <w:rPr>
        <w:szCs w:val="22"/>
      </w:rPr>
    </w:pPr>
  </w:p>
  <w:p w:rsidR="00646C17" w:rsidRPr="00CA240C" w14:paraId="614DA62A" w14:textId="7777777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6D2B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113" w:rsidP="00C72C3F" w14:paraId="4BF0165D" w14:textId="77777777">
      <w:r>
        <w:separator/>
      </w:r>
    </w:p>
  </w:footnote>
  <w:footnote w:type="continuationSeparator" w:id="1">
    <w:p w:rsidR="00E51113" w:rsidP="00C72C3F" w14:paraId="3A85D37E" w14:textId="77777777">
      <w:r>
        <w:continuationSeparator/>
      </w:r>
    </w:p>
  </w:footnote>
  <w:footnote w:type="continuationNotice" w:id="2">
    <w:p w:rsidR="00E51113" w14:paraId="5655A914" w14:textId="77777777"/>
  </w:footnote>
  <w:footnote w:id="3">
    <w:p w:rsidR="00D43C24" w:rsidP="00D43C24" w14:paraId="22EDD6E8" w14:textId="0E18944F">
      <w:pPr>
        <w:pStyle w:val="FootnoteText"/>
      </w:pPr>
      <w:r>
        <w:rPr>
          <w:rStyle w:val="FootnoteReference"/>
        </w:rPr>
        <w:footnoteRef/>
      </w:r>
      <w:r>
        <w:t xml:space="preserve"> </w:t>
      </w:r>
      <w:r w:rsidR="00205F92">
        <w:rPr>
          <w:i/>
        </w:rPr>
        <w:t>Rates for</w:t>
      </w:r>
      <w:r w:rsidRPr="007834B7" w:rsidR="00205F92">
        <w:rPr>
          <w:i/>
        </w:rPr>
        <w:t xml:space="preserve"> Interstate Inmate Calling Services</w:t>
      </w:r>
      <w:r w:rsidRPr="007834B7" w:rsidR="00205F92">
        <w:t>, WC Docket No. 12-375, Second Report and Order and Third Further Notice of Proposed Rulemaking, 30 FCC Rcd 12763</w:t>
      </w:r>
      <w:r w:rsidRPr="00EC5015" w:rsidR="00205F92">
        <w:t>, 12769, 128</w:t>
      </w:r>
      <w:r w:rsidR="0012318A">
        <w:t>91-</w:t>
      </w:r>
      <w:r w:rsidRPr="00EC5015" w:rsidR="00205F92">
        <w:t>92</w:t>
      </w:r>
      <w:r w:rsidR="00205F92">
        <w:t>, paras. 9, 267-68</w:t>
      </w:r>
      <w:r w:rsidRPr="007834B7" w:rsidR="00205F92">
        <w:t xml:space="preserve"> (2015) </w:t>
      </w:r>
      <w:r w:rsidR="00205F92">
        <w:t>(</w:t>
      </w:r>
      <w:r w:rsidR="00205F92">
        <w:rPr>
          <w:i/>
        </w:rPr>
        <w:t xml:space="preserve">2015 ICS </w:t>
      </w:r>
      <w:r w:rsidRPr="007834B7" w:rsidR="00205F92">
        <w:rPr>
          <w:i/>
        </w:rPr>
        <w:t>Order</w:t>
      </w:r>
      <w:r w:rsidRPr="00CC3E29" w:rsidR="00205F92">
        <w:t>)</w:t>
      </w:r>
      <w:r w:rsidRPr="00A327B4" w:rsidR="00205F92">
        <w:rPr>
          <w:rFonts w:eastAsia="Calibri"/>
          <w:i/>
          <w:color w:val="231F20"/>
        </w:rPr>
        <w:t xml:space="preserve">; see also </w:t>
      </w:r>
      <w:r w:rsidRPr="00200589" w:rsidR="00205F92">
        <w:t>47 CFR §</w:t>
      </w:r>
      <w:r w:rsidR="00205F92">
        <w:t> </w:t>
      </w:r>
      <w:r w:rsidRPr="00200589" w:rsidR="00205F92">
        <w:t>64.6060</w:t>
      </w:r>
      <w:r w:rsidR="00590CA1">
        <w:t>(a)-(b)</w:t>
      </w:r>
      <w:r w:rsidR="00FF63BB">
        <w:t xml:space="preserve">. </w:t>
      </w:r>
      <w:r w:rsidR="00477396">
        <w:t xml:space="preserve"> </w:t>
      </w:r>
      <w:r w:rsidR="007A68B4">
        <w:t xml:space="preserve">The </w:t>
      </w:r>
      <w:r w:rsidR="00D45C9D">
        <w:t>a</w:t>
      </w:r>
      <w:r w:rsidRPr="00590CA1" w:rsidR="00D45C9D">
        <w:t xml:space="preserve">mendments to </w:t>
      </w:r>
      <w:bookmarkStart w:id="0" w:name="_Hlk149041590"/>
      <w:r w:rsidRPr="00590CA1" w:rsidR="00D45C9D">
        <w:t xml:space="preserve">section 64.6060(a)(5)-(7) </w:t>
      </w:r>
      <w:bookmarkEnd w:id="0"/>
      <w:r w:rsidRPr="00590CA1" w:rsidR="00D45C9D">
        <w:t xml:space="preserve">will not become effective until the Office of Management and Budget (OMB) completes </w:t>
      </w:r>
      <w:r w:rsidR="007A68B4">
        <w:t xml:space="preserve">its review under </w:t>
      </w:r>
      <w:r w:rsidRPr="00590CA1" w:rsidR="00D45C9D">
        <w:t>the Paperwork Reduction Act (PRA), and the Bureaus</w:t>
      </w:r>
      <w:r w:rsidR="00D45C9D">
        <w:t xml:space="preserve"> </w:t>
      </w:r>
      <w:r w:rsidRPr="00590CA1" w:rsidR="00D45C9D">
        <w:t>provide an effective date by subsequent Public Notice.</w:t>
      </w:r>
      <w:r w:rsidR="00D45C9D">
        <w:t xml:space="preserve"> </w:t>
      </w:r>
      <w:r w:rsidR="007A68B4">
        <w:t xml:space="preserve"> </w:t>
      </w:r>
      <w:r w:rsidRPr="00EE702F" w:rsidR="00EE702F">
        <w:rPr>
          <w:i/>
          <w:iCs/>
        </w:rPr>
        <w:t>See Rates for Interstate Inmate Calling Services,</w:t>
      </w:r>
      <w:r w:rsidRPr="00EE702F" w:rsidR="00EE702F">
        <w:t xml:space="preserve"> WC Docket No. 12-375, Fourth Report and Order and Sixth Further Notice of Proposed Rulemaking, FCC 22-76 (</w:t>
      </w:r>
      <w:r w:rsidRPr="00EE702F" w:rsidR="00EE702F">
        <w:rPr>
          <w:i/>
          <w:iCs/>
        </w:rPr>
        <w:t>2022 ICS Order</w:t>
      </w:r>
      <w:r w:rsidRPr="00EE702F" w:rsidR="00EE702F">
        <w:t>)</w:t>
      </w:r>
      <w:r w:rsidR="009D0E50">
        <w:t xml:space="preserve">; </w:t>
      </w:r>
      <w:r w:rsidRPr="00F2252B" w:rsidR="009D0E50">
        <w:rPr>
          <w:i/>
          <w:iCs/>
        </w:rPr>
        <w:t>see infra</w:t>
      </w:r>
      <w:r w:rsidR="009D0E50">
        <w:t xml:space="preserve"> page 3</w:t>
      </w:r>
      <w:r w:rsidR="008078A5">
        <w:t>.</w:t>
      </w:r>
    </w:p>
  </w:footnote>
  <w:footnote w:id="4">
    <w:p w:rsidR="00D43C24" w:rsidP="00D43C24" w14:paraId="195A55D4" w14:textId="77777777">
      <w:pPr>
        <w:pStyle w:val="FootnoteText"/>
      </w:pPr>
      <w:r>
        <w:rPr>
          <w:rStyle w:val="FootnoteReference"/>
        </w:rPr>
        <w:footnoteRef/>
      </w:r>
      <w:r>
        <w:t xml:space="preserve"> </w:t>
      </w:r>
      <w:r w:rsidRPr="00884B20">
        <w:t>Form 2301(a) is comprised of an Excel template and a Word template</w:t>
      </w:r>
      <w:r>
        <w:t xml:space="preserve">.  </w:t>
      </w:r>
    </w:p>
  </w:footnote>
  <w:footnote w:id="5">
    <w:p w:rsidR="00D43C24" w:rsidRPr="00252C4D" w:rsidP="00D43C24" w14:paraId="399B6DCC" w14:textId="63907952">
      <w:pPr>
        <w:pStyle w:val="FootnoteText"/>
      </w:pPr>
      <w:r>
        <w:rPr>
          <w:rStyle w:val="FootnoteReference"/>
        </w:rPr>
        <w:footnoteRef/>
      </w:r>
      <w:r>
        <w:t xml:space="preserve"> </w:t>
      </w:r>
      <w:r w:rsidRPr="00842139">
        <w:rPr>
          <w:i/>
        </w:rPr>
        <w:t>See generally</w:t>
      </w:r>
      <w:r>
        <w:t xml:space="preserve"> ICS Annual Reporting Form Word Template (</w:t>
      </w:r>
      <w:r w:rsidRPr="00233B12">
        <w:t>Appendix A</w:t>
      </w:r>
      <w:r>
        <w:t>) (Current), WC Docket No. 12-375</w:t>
      </w:r>
      <w:r w:rsidRPr="009863E0">
        <w:rPr>
          <w:color w:val="000000"/>
        </w:rPr>
        <w:t xml:space="preserve"> </w:t>
      </w:r>
      <w:hyperlink r:id="rId1" w:history="1">
        <w:r w:rsidRPr="009863E0">
          <w:rPr>
            <w:rStyle w:val="Hyperlink"/>
          </w:rPr>
          <w:t>https://www.fcc.gov/general/ics-data-collections</w:t>
        </w:r>
      </w:hyperlink>
      <w:r w:rsidRPr="009863E0">
        <w:rPr>
          <w:color w:val="0000FF"/>
        </w:rPr>
        <w:t xml:space="preserve"> </w:t>
      </w:r>
      <w:r w:rsidRPr="00130395">
        <w:t xml:space="preserve">(last visited </w:t>
      </w:r>
      <w:r w:rsidR="00BD2DFD">
        <w:t>October 2</w:t>
      </w:r>
      <w:r w:rsidR="00F538DE">
        <w:t>6</w:t>
      </w:r>
      <w:r w:rsidR="00503092">
        <w:t xml:space="preserve">, </w:t>
      </w:r>
      <w:r w:rsidRPr="00130395">
        <w:t>2023</w:t>
      </w:r>
      <w:r w:rsidRPr="001F350D">
        <w:t>) (</w:t>
      </w:r>
      <w:r>
        <w:t xml:space="preserve">Word </w:t>
      </w:r>
      <w:r w:rsidRPr="00F217A8">
        <w:t>Template); ICS</w:t>
      </w:r>
      <w:r>
        <w:t xml:space="preserve"> Annual Reporting Form Excel Template (</w:t>
      </w:r>
      <w:r w:rsidRPr="00233B12">
        <w:t>Appendix B</w:t>
      </w:r>
      <w:r>
        <w:t>) (Current), WC Docket No. 12-375,</w:t>
      </w:r>
      <w:r w:rsidRPr="009863E0">
        <w:rPr>
          <w:color w:val="000000"/>
        </w:rPr>
        <w:t xml:space="preserve"> </w:t>
      </w:r>
      <w:hyperlink r:id="rId1" w:history="1">
        <w:r w:rsidRPr="009863E0">
          <w:rPr>
            <w:rStyle w:val="Hyperlink"/>
          </w:rPr>
          <w:t>https://www.fcc.gov/general/ics-data-collections</w:t>
        </w:r>
      </w:hyperlink>
      <w:r w:rsidRPr="009863E0">
        <w:rPr>
          <w:color w:val="0000FF"/>
        </w:rPr>
        <w:t xml:space="preserve"> </w:t>
      </w:r>
      <w:r w:rsidRPr="00130395">
        <w:t xml:space="preserve">(last visited </w:t>
      </w:r>
      <w:r w:rsidR="00BD2DFD">
        <w:t>October 2</w:t>
      </w:r>
      <w:r w:rsidR="00F538DE">
        <w:t>6</w:t>
      </w:r>
      <w:r w:rsidR="00503092">
        <w:t xml:space="preserve">, </w:t>
      </w:r>
      <w:r w:rsidRPr="00130395">
        <w:t xml:space="preserve">2023) </w:t>
      </w:r>
      <w:r w:rsidRPr="001F350D">
        <w:t>(</w:t>
      </w:r>
      <w:r>
        <w:t>Excel Template); ICS Annual Reporting and Certification Instructions (Current), WC Docket No. 12-375</w:t>
      </w:r>
      <w:r w:rsidR="00081EC4">
        <w:t>,</w:t>
      </w:r>
      <w:r w:rsidRPr="009863E0">
        <w:rPr>
          <w:color w:val="000000"/>
        </w:rPr>
        <w:t xml:space="preserve"> </w:t>
      </w:r>
      <w:hyperlink r:id="rId1" w:history="1">
        <w:r w:rsidRPr="009863E0">
          <w:rPr>
            <w:rStyle w:val="Hyperlink"/>
          </w:rPr>
          <w:t>https://www.fcc.gov/general/ics-data-collections</w:t>
        </w:r>
      </w:hyperlink>
      <w:r w:rsidRPr="009863E0">
        <w:rPr>
          <w:color w:val="0000FF"/>
        </w:rPr>
        <w:t xml:space="preserve"> </w:t>
      </w:r>
      <w:r w:rsidRPr="00130395">
        <w:t xml:space="preserve">(last visited </w:t>
      </w:r>
      <w:r w:rsidR="00BD2DFD">
        <w:t>October 2</w:t>
      </w:r>
      <w:r w:rsidR="00F538DE">
        <w:t>6</w:t>
      </w:r>
      <w:r w:rsidR="00503092">
        <w:t>,</w:t>
      </w:r>
      <w:r w:rsidR="00AA4685">
        <w:t xml:space="preserve"> </w:t>
      </w:r>
      <w:r w:rsidRPr="00130395">
        <w:t xml:space="preserve">2023) </w:t>
      </w:r>
      <w:r w:rsidRPr="001F350D">
        <w:t>(</w:t>
      </w:r>
      <w:r>
        <w:t xml:space="preserve">Instructions) (Certification Instructions); ICS Annual </w:t>
      </w:r>
      <w:r w:rsidRPr="00F217A8">
        <w:t>Report C</w:t>
      </w:r>
      <w:r>
        <w:t>ertification Form (</w:t>
      </w:r>
      <w:r w:rsidRPr="00233B12">
        <w:t>Appendix C)</w:t>
      </w:r>
      <w:r>
        <w:t xml:space="preserve"> (Current), WC Docket No. 12-375,</w:t>
      </w:r>
      <w:r w:rsidRPr="009863E0">
        <w:rPr>
          <w:color w:val="000000"/>
        </w:rPr>
        <w:t xml:space="preserve"> </w:t>
      </w:r>
      <w:hyperlink r:id="rId1" w:history="1">
        <w:r w:rsidRPr="009863E0">
          <w:rPr>
            <w:rStyle w:val="Hyperlink"/>
          </w:rPr>
          <w:t>https://www.fcc.gov/general/ics-data-collections</w:t>
        </w:r>
      </w:hyperlink>
      <w:r w:rsidRPr="009863E0">
        <w:rPr>
          <w:color w:val="0000FF"/>
        </w:rPr>
        <w:t xml:space="preserve"> </w:t>
      </w:r>
      <w:r w:rsidRPr="00130395">
        <w:t>(last visited</w:t>
      </w:r>
      <w:r w:rsidR="00233B12">
        <w:t xml:space="preserve"> </w:t>
      </w:r>
      <w:r w:rsidR="00F538DE">
        <w:t>October 26</w:t>
      </w:r>
      <w:r w:rsidR="00300D02">
        <w:t>,</w:t>
      </w:r>
      <w:r w:rsidR="00503092">
        <w:t xml:space="preserve"> 2023</w:t>
      </w:r>
      <w:r w:rsidRPr="00130395">
        <w:t>) (Certification</w:t>
      </w:r>
      <w:r>
        <w:t xml:space="preserve"> Form). </w:t>
      </w:r>
    </w:p>
  </w:footnote>
  <w:footnote w:id="6">
    <w:p w:rsidR="003D44AC" w:rsidRPr="00E956D7" w:rsidP="003D44AC" w14:paraId="0AF66B56" w14:textId="76668F26">
      <w:pPr>
        <w:pStyle w:val="FootnoteText"/>
      </w:pPr>
      <w:r w:rsidRPr="00521EA5">
        <w:rPr>
          <w:rStyle w:val="FootnoteReference"/>
        </w:rPr>
        <w:footnoteRef/>
      </w:r>
      <w:r>
        <w:t xml:space="preserve"> </w:t>
      </w:r>
      <w:r w:rsidRPr="00A01B32">
        <w:t xml:space="preserve">With the Martha Wright-Reed Act’s expansion of the Commission’s authority beyond calling services to include all audio and video communications services used by incarcerated people, the Commission </w:t>
      </w:r>
      <w:r>
        <w:t xml:space="preserve">no longer uses the phrase “inmate calling services” and instead </w:t>
      </w:r>
      <w:r w:rsidRPr="00A01B32">
        <w:t>uses the term “incarcerated people’s communications services” or “IPCS” to refer to these broader service offerings.</w:t>
      </w:r>
      <w:r>
        <w:t xml:space="preserve">  </w:t>
      </w:r>
      <w:r w:rsidRPr="0034621B">
        <w:rPr>
          <w:i/>
          <w:iCs/>
        </w:rPr>
        <w:t xml:space="preserve">Incarcerated People’s Communications Services; Implementation of the Martha Wright-Reed Act; </w:t>
      </w:r>
      <w:r w:rsidRPr="000E3E0F">
        <w:rPr>
          <w:i/>
          <w:iCs/>
        </w:rPr>
        <w:t>Rates</w:t>
      </w:r>
      <w:r>
        <w:rPr>
          <w:i/>
        </w:rPr>
        <w:t xml:space="preserve"> for</w:t>
      </w:r>
      <w:r w:rsidRPr="007834B7">
        <w:rPr>
          <w:i/>
        </w:rPr>
        <w:t xml:space="preserve"> Interstate Inmate Calling Services</w:t>
      </w:r>
      <w:r w:rsidRPr="007834B7">
        <w:t xml:space="preserve">, </w:t>
      </w:r>
      <w:r>
        <w:t xml:space="preserve">WC Docket Nos. 23-62, 12-375, Notice of Proposed Rulemaking, at 32, para. 80 (2023);  </w:t>
      </w:r>
      <w:r w:rsidRPr="00620A54">
        <w:t>Martha Wright-Reed Just and Reasonable Communications Act of 2022, Pub. L. No. 117-338, 136 Stat. 6156 (Martha Wright-Reed Act or Act)</w:t>
      </w:r>
      <w:r>
        <w:t xml:space="preserve">; </w:t>
      </w:r>
      <w:r w:rsidRPr="00200589">
        <w:t>47 CFR §</w:t>
      </w:r>
      <w:r>
        <w:t> </w:t>
      </w:r>
      <w:r w:rsidRPr="00200589">
        <w:t>64.60</w:t>
      </w:r>
      <w:r>
        <w:t>00</w:t>
      </w:r>
      <w:r w:rsidRPr="00200589">
        <w:t>(</w:t>
      </w:r>
      <w:r>
        <w:t xml:space="preserve">s); </w:t>
      </w:r>
      <w:r w:rsidRPr="00A327B4">
        <w:rPr>
          <w:rFonts w:eastAsia="Calibri"/>
          <w:i/>
          <w:color w:val="231F20"/>
        </w:rPr>
        <w:t xml:space="preserve">see also </w:t>
      </w:r>
      <w:r w:rsidRPr="00200589">
        <w:t>47 CFR §§</w:t>
      </w:r>
      <w:r>
        <w:t> </w:t>
      </w:r>
      <w:r w:rsidRPr="00200589">
        <w:t>64.</w:t>
      </w:r>
      <w:r>
        <w:t xml:space="preserve">6000(j), </w:t>
      </w:r>
      <w:r w:rsidRPr="00200589">
        <w:t>64.6060(a</w:t>
      </w:r>
      <w:r>
        <w:t>)</w:t>
      </w:r>
      <w:r w:rsidRPr="00E956D7">
        <w:t>.</w:t>
      </w:r>
      <w:r>
        <w:t xml:space="preserve">  For ease of reference, we refer to carriers required to make these filings as “providers” throughout this Public Notice.</w:t>
      </w:r>
    </w:p>
  </w:footnote>
  <w:footnote w:id="7">
    <w:p w:rsidR="00D43C24" w:rsidRPr="00111422" w:rsidP="00D43C24" w14:paraId="1AD00567" w14:textId="466A8858">
      <w:pPr>
        <w:pStyle w:val="FootnoteText"/>
      </w:pPr>
      <w:r>
        <w:rPr>
          <w:rStyle w:val="FootnoteReference"/>
        </w:rPr>
        <w:footnoteRef/>
      </w:r>
      <w:r>
        <w:rPr>
          <w:szCs w:val="22"/>
        </w:rPr>
        <w:t xml:space="preserve"> </w:t>
      </w:r>
      <w:r w:rsidRPr="002375C3">
        <w:rPr>
          <w:i/>
          <w:iCs/>
          <w:szCs w:val="22"/>
        </w:rPr>
        <w:t>See</w:t>
      </w:r>
      <w:r>
        <w:rPr>
          <w:i/>
          <w:iCs/>
          <w:szCs w:val="22"/>
        </w:rPr>
        <w:t xml:space="preserve"> </w:t>
      </w:r>
      <w:r w:rsidRPr="002375C3">
        <w:rPr>
          <w:i/>
          <w:iCs/>
          <w:szCs w:val="22"/>
        </w:rPr>
        <w:t>Wireline Competition Bureau Announces OMB Renewal of Information Collection Concerning Inmate Calling Services</w:t>
      </w:r>
      <w:r w:rsidRPr="002375C3">
        <w:rPr>
          <w:szCs w:val="22"/>
        </w:rPr>
        <w:t>, WC Docket No. 12-375, Public Notice, 35 FCC Rcd 1456</w:t>
      </w:r>
      <w:r>
        <w:rPr>
          <w:szCs w:val="22"/>
        </w:rPr>
        <w:t xml:space="preserve"> </w:t>
      </w:r>
      <w:r w:rsidRPr="002375C3">
        <w:rPr>
          <w:szCs w:val="22"/>
        </w:rPr>
        <w:t xml:space="preserve">(WCB </w:t>
      </w:r>
      <w:r w:rsidR="008E5BA5">
        <w:rPr>
          <w:szCs w:val="22"/>
        </w:rPr>
        <w:t xml:space="preserve">Feb. 19, </w:t>
      </w:r>
      <w:r w:rsidRPr="002375C3">
        <w:rPr>
          <w:szCs w:val="22"/>
        </w:rPr>
        <w:t>2020) (</w:t>
      </w:r>
      <w:r w:rsidRPr="002375C3">
        <w:rPr>
          <w:i/>
          <w:iCs/>
          <w:szCs w:val="22"/>
        </w:rPr>
        <w:t>2020 OMB Renewal Public Notice</w:t>
      </w:r>
      <w:r>
        <w:rPr>
          <w:szCs w:val="22"/>
        </w:rPr>
        <w:t>).</w:t>
      </w:r>
    </w:p>
  </w:footnote>
  <w:footnote w:id="8">
    <w:p w:rsidR="00FD6735" w14:paraId="4EBB459E" w14:textId="108A2E1D">
      <w:pPr>
        <w:pStyle w:val="FootnoteText"/>
      </w:pPr>
      <w:r>
        <w:rPr>
          <w:rStyle w:val="FootnoteReference"/>
        </w:rPr>
        <w:footnoteRef/>
      </w:r>
      <w:r>
        <w:t xml:space="preserve"> </w:t>
      </w:r>
      <w:r w:rsidRPr="00770236">
        <w:rPr>
          <w:i/>
          <w:iCs/>
        </w:rPr>
        <w:t>Rates for Interstate Inmate Calling Services</w:t>
      </w:r>
      <w:r w:rsidRPr="00FD6735">
        <w:t>, WC Docket No. 12-375, Third Report and Order, Order on Reconsideration, and Fifth Further Notice of Proposed Rulemaking, 36 FCC Rcd 9519 (2021) (</w:t>
      </w:r>
      <w:r w:rsidRPr="00770236">
        <w:rPr>
          <w:i/>
          <w:iCs/>
        </w:rPr>
        <w:t>2021 ICS Order</w:t>
      </w:r>
      <w:r w:rsidRPr="00FD6735">
        <w:t>).</w:t>
      </w:r>
    </w:p>
  </w:footnote>
  <w:footnote w:id="9">
    <w:p w:rsidR="00D43C24" w:rsidRPr="00E10254" w:rsidP="00D43C24" w14:paraId="396BEF2D" w14:textId="6C532DB8">
      <w:pPr>
        <w:pStyle w:val="FootnoteText"/>
        <w:rPr>
          <w:b/>
          <w:bCs/>
        </w:rPr>
      </w:pPr>
      <w:r>
        <w:rPr>
          <w:rStyle w:val="FootnoteReference"/>
        </w:rPr>
        <w:footnoteRef/>
      </w:r>
      <w:r>
        <w:t xml:space="preserve"> </w:t>
      </w:r>
      <w:bookmarkStart w:id="2" w:name="_Hlk149216824"/>
      <w:r>
        <w:t xml:space="preserve">The reforms also included expanded consumer disclosure requirements, as well as new reporting requirements for providers seeking waiver of the Commission’s interstate and international rates.  </w:t>
      </w:r>
      <w:bookmarkStart w:id="3" w:name="_Hlk139578062"/>
      <w:r>
        <w:t xml:space="preserve">On December 15, 2021, the Bureau released a Public Notice reflecting the reforms adopted in the </w:t>
      </w:r>
      <w:r w:rsidRPr="00E10254">
        <w:rPr>
          <w:i/>
          <w:iCs/>
        </w:rPr>
        <w:t>2021 ICS Order</w:t>
      </w:r>
      <w:r>
        <w:t xml:space="preserve">.  </w:t>
      </w:r>
      <w:r>
        <w:rPr>
          <w:i/>
          <w:iCs/>
        </w:rPr>
        <w:t xml:space="preserve">See </w:t>
      </w:r>
      <w:r w:rsidRPr="000E120E">
        <w:rPr>
          <w:i/>
          <w:iCs/>
        </w:rPr>
        <w:t xml:space="preserve">Wireline Competition Bureau Seeks Comment on Revisions to </w:t>
      </w:r>
      <w:r>
        <w:rPr>
          <w:i/>
          <w:iCs/>
        </w:rPr>
        <w:t>Annual Report</w:t>
      </w:r>
      <w:r w:rsidRPr="000E120E">
        <w:rPr>
          <w:i/>
          <w:iCs/>
        </w:rPr>
        <w:t>ing and Certification Requirements for ICS Providers</w:t>
      </w:r>
      <w:r>
        <w:t xml:space="preserve">, WC Docket No. 12-375, Public Notice, DA 21-1583 (WCB Dec. 15, 2021).  After considering the comments and replies submitted in response to the Public Notice, WCB released the </w:t>
      </w:r>
      <w:r w:rsidRPr="00C41AF5">
        <w:rPr>
          <w:i/>
          <w:iCs/>
        </w:rPr>
        <w:t xml:space="preserve">Annual </w:t>
      </w:r>
      <w:r>
        <w:rPr>
          <w:i/>
          <w:iCs/>
        </w:rPr>
        <w:t>Reports</w:t>
      </w:r>
      <w:r w:rsidRPr="00266A5D">
        <w:rPr>
          <w:i/>
          <w:iCs/>
        </w:rPr>
        <w:t xml:space="preserve"> Adoption Order </w:t>
      </w:r>
      <w:r>
        <w:t xml:space="preserve">on June 24, 2022, revising the instructions, reporting template, and certification of accuracy.  </w:t>
      </w:r>
      <w:r w:rsidRPr="001D40BF">
        <w:rPr>
          <w:i/>
          <w:iCs/>
        </w:rPr>
        <w:t>Rates for Interstate Inmate Calling Services</w:t>
      </w:r>
      <w:r>
        <w:t>, WC Docket No. 12-375, Order, DA 22-676 (WCB June 24, 2022) (</w:t>
      </w:r>
      <w:r>
        <w:rPr>
          <w:i/>
          <w:iCs/>
        </w:rPr>
        <w:t>Annual Reports</w:t>
      </w:r>
      <w:r w:rsidRPr="00266A5D">
        <w:rPr>
          <w:i/>
          <w:iCs/>
        </w:rPr>
        <w:t xml:space="preserve"> Adoption Orde</w:t>
      </w:r>
      <w:r>
        <w:rPr>
          <w:i/>
          <w:iCs/>
        </w:rPr>
        <w:t>r</w:t>
      </w:r>
      <w:r>
        <w:t>).</w:t>
      </w:r>
      <w:bookmarkEnd w:id="3"/>
    </w:p>
    <w:bookmarkEnd w:id="2"/>
  </w:footnote>
  <w:footnote w:id="10">
    <w:p w:rsidR="00C165C5" w:rsidRPr="00B42AF3" w:rsidP="00C165C5" w14:paraId="26D11FB2" w14:textId="241A370A">
      <w:pPr>
        <w:pStyle w:val="FootnoteText"/>
      </w:pPr>
      <w:r>
        <w:rPr>
          <w:rStyle w:val="FootnoteReference"/>
        </w:rPr>
        <w:footnoteRef/>
      </w:r>
      <w:r>
        <w:t xml:space="preserve"> </w:t>
      </w:r>
      <w:bookmarkStart w:id="5" w:name="_Hlk139362084"/>
      <w:r w:rsidR="004A575D">
        <w:t>Among other things, the</w:t>
      </w:r>
      <w:r w:rsidR="007D78AE">
        <w:t xml:space="preserve"> Commission </w:t>
      </w:r>
      <w:r w:rsidR="00172BC7">
        <w:t xml:space="preserve">eliminated the safe harbor, adopted in 2015, that had exempted providers from any TRS-related reporting requirements if they either </w:t>
      </w:r>
      <w:r w:rsidRPr="00D8013D" w:rsidR="00EE0FE9">
        <w:t>(1)</w:t>
      </w:r>
      <w:r w:rsidR="00EE0FE9">
        <w:t> </w:t>
      </w:r>
      <w:r w:rsidRPr="00D8013D" w:rsidR="00EE0FE9">
        <w:t>operate</w:t>
      </w:r>
      <w:r w:rsidR="00EE0FE9">
        <w:t>d</w:t>
      </w:r>
      <w:r w:rsidRPr="00D8013D" w:rsidR="00EE0FE9">
        <w:t xml:space="preserve"> in a facility that allow</w:t>
      </w:r>
      <w:r w:rsidR="00EE0FE9">
        <w:t xml:space="preserve">ed </w:t>
      </w:r>
      <w:r w:rsidRPr="00D8013D" w:rsidR="00EE0FE9">
        <w:t>the offering of additional forms of TRS beyond those mandate</w:t>
      </w:r>
      <w:r w:rsidR="00EE0FE9">
        <w:t xml:space="preserve">d by the Commission </w:t>
      </w:r>
      <w:r w:rsidRPr="00D8013D" w:rsidR="00EE0FE9">
        <w:t>or (2)</w:t>
      </w:r>
      <w:r w:rsidR="00EE0FE9">
        <w:t> </w:t>
      </w:r>
      <w:r w:rsidRPr="00D8013D" w:rsidR="00EE0FE9">
        <w:t>ha</w:t>
      </w:r>
      <w:r w:rsidR="00EE0FE9">
        <w:t>d</w:t>
      </w:r>
      <w:r w:rsidRPr="00D8013D" w:rsidR="00EE0FE9">
        <w:t xml:space="preserve"> not received any complaints related to TRS calls</w:t>
      </w:r>
      <w:r w:rsidR="00EE0FE9">
        <w:t>.</w:t>
      </w:r>
      <w:r w:rsidR="003C76A7">
        <w:t xml:space="preserve">  </w:t>
      </w:r>
      <w:r w:rsidRPr="003C76A7" w:rsidR="003C76A7">
        <w:rPr>
          <w:i/>
          <w:iCs/>
        </w:rPr>
        <w:t>2022 ICS Order</w:t>
      </w:r>
      <w:r w:rsidR="00A33E2D">
        <w:t xml:space="preserve"> at 25, para. </w:t>
      </w:r>
      <w:r w:rsidR="002B2D6D">
        <w:t>51</w:t>
      </w:r>
      <w:r w:rsidR="00A31ECE">
        <w:t xml:space="preserve"> (citing the </w:t>
      </w:r>
      <w:r w:rsidRPr="006938DB" w:rsidR="00A31ECE">
        <w:rPr>
          <w:i/>
          <w:iCs/>
        </w:rPr>
        <w:t>2015 ICS Order</w:t>
      </w:r>
      <w:r w:rsidRPr="00D30263" w:rsidR="00A31ECE">
        <w:t>, 30 FCC Rcd at 1288</w:t>
      </w:r>
      <w:r w:rsidR="00A31ECE">
        <w:t>3</w:t>
      </w:r>
      <w:r w:rsidRPr="00D30263" w:rsidR="00A31ECE">
        <w:t>, para. 2</w:t>
      </w:r>
      <w:r w:rsidR="00A31ECE">
        <w:t>46)</w:t>
      </w:r>
      <w:r w:rsidRPr="00D30263" w:rsidR="00A31ECE">
        <w:t>.</w:t>
      </w:r>
      <w:r w:rsidR="00A31ECE">
        <w:t xml:space="preserve">  A provider that fell within the safe harbor was required to </w:t>
      </w:r>
      <w:r w:rsidRPr="00D8013D" w:rsidR="00A31ECE">
        <w:t>include a certification from an officer of the company stating which prong(s) of the safe harbor it ha</w:t>
      </w:r>
      <w:r w:rsidR="00A31ECE">
        <w:t>d</w:t>
      </w:r>
      <w:r w:rsidRPr="00D8013D" w:rsidR="00A31ECE">
        <w:t xml:space="preserve"> met</w:t>
      </w:r>
      <w:r w:rsidR="0053046E">
        <w:t xml:space="preserve">.  </w:t>
      </w:r>
      <w:r w:rsidRPr="001804D0" w:rsidR="00A31ECE">
        <w:rPr>
          <w:i/>
          <w:iCs/>
        </w:rPr>
        <w:t>Id</w:t>
      </w:r>
      <w:r w:rsidR="00A31ECE">
        <w:t>.</w:t>
      </w:r>
      <w:r w:rsidR="0053046E">
        <w:t xml:space="preserve">  </w:t>
      </w:r>
      <w:r w:rsidR="00C32301">
        <w:t>The Commission found that the safe harbor was no longer appropriate g</w:t>
      </w:r>
      <w:r w:rsidRPr="00D8013D" w:rsidR="00C32301">
        <w:t xml:space="preserve">iven the expanded reporting requirement for additional forms of TRS, and the importance of transparency </w:t>
      </w:r>
      <w:r w:rsidR="00C32301">
        <w:t xml:space="preserve">regarding </w:t>
      </w:r>
      <w:r w:rsidRPr="00D8013D" w:rsidR="00C32301">
        <w:t>the state of accessible communications in incarceration settings</w:t>
      </w:r>
      <w:r w:rsidR="00C32301">
        <w:t xml:space="preserve">.  </w:t>
      </w:r>
      <w:r w:rsidRPr="0053046E" w:rsidR="002342F9">
        <w:rPr>
          <w:i/>
          <w:iCs/>
        </w:rPr>
        <w:t>Id</w:t>
      </w:r>
      <w:r w:rsidR="002342F9">
        <w:t xml:space="preserve">.  </w:t>
      </w:r>
      <w:r w:rsidRPr="00211F06" w:rsidR="00B42AF3">
        <w:t xml:space="preserve">The rules adopted in the </w:t>
      </w:r>
      <w:r w:rsidRPr="00211F06" w:rsidR="00B42AF3">
        <w:rPr>
          <w:i/>
          <w:iCs/>
        </w:rPr>
        <w:t>2022 ICS Order</w:t>
      </w:r>
      <w:r w:rsidRPr="00211F06" w:rsidR="00B42AF3">
        <w:t xml:space="preserve"> did not become effective in time to implement changes to the 2023 Annual Report and Certifications.  </w:t>
      </w:r>
    </w:p>
    <w:bookmarkEnd w:id="5"/>
  </w:footnote>
  <w:footnote w:id="11">
    <w:p w:rsidR="00DC4D90" w:rsidP="00DC4D90" w14:paraId="4758C200" w14:textId="34060357">
      <w:pPr>
        <w:pStyle w:val="FootnoteText"/>
      </w:pPr>
      <w:r>
        <w:rPr>
          <w:rStyle w:val="FootnoteReference"/>
        </w:rPr>
        <w:footnoteRef/>
      </w:r>
      <w:r>
        <w:t xml:space="preserve"> </w:t>
      </w:r>
      <w:r w:rsidRPr="00A57247">
        <w:rPr>
          <w:i/>
          <w:iCs/>
        </w:rPr>
        <w:t>2022 ICS Order</w:t>
      </w:r>
      <w:r>
        <w:t>, Appx. B</w:t>
      </w:r>
      <w:r w:rsidR="007D57E0">
        <w:t xml:space="preserve"> (Final Rules)</w:t>
      </w:r>
      <w:r>
        <w:t xml:space="preserve">. </w:t>
      </w:r>
    </w:p>
  </w:footnote>
  <w:footnote w:id="12">
    <w:p w:rsidR="00CB595A" w:rsidP="00CB595A" w14:paraId="1A4809DC" w14:textId="4860D8B6">
      <w:pPr>
        <w:pStyle w:val="FootnoteText"/>
      </w:pPr>
      <w:r>
        <w:rPr>
          <w:rStyle w:val="FootnoteReference"/>
        </w:rPr>
        <w:footnoteRef/>
      </w:r>
      <w:r>
        <w:t xml:space="preserve"> </w:t>
      </w:r>
      <w:r w:rsidRPr="00CB595A">
        <w:rPr>
          <w:i/>
          <w:iCs/>
        </w:rPr>
        <w:t>Id</w:t>
      </w:r>
      <w:r>
        <w:t xml:space="preserve">. </w:t>
      </w:r>
      <w:r w:rsidRPr="00AB7F3E">
        <w:t>at</w:t>
      </w:r>
      <w:r w:rsidR="0064446A">
        <w:t xml:space="preserve"> 26,</w:t>
      </w:r>
      <w:r>
        <w:t xml:space="preserve"> para. 52.</w:t>
      </w:r>
      <w:r w:rsidR="00545094">
        <w:t xml:space="preserve">  </w:t>
      </w:r>
    </w:p>
  </w:footnote>
  <w:footnote w:id="13">
    <w:p w:rsidR="00AD3932" w14:paraId="6DA41945" w14:textId="1C50B7D6">
      <w:pPr>
        <w:pStyle w:val="FootnoteText"/>
      </w:pPr>
      <w:r>
        <w:rPr>
          <w:rStyle w:val="FootnoteReference"/>
        </w:rPr>
        <w:footnoteRef/>
      </w:r>
      <w:r>
        <w:t xml:space="preserve"> </w:t>
      </w:r>
      <w:r w:rsidRPr="006527B9" w:rsidR="00022ECD">
        <w:rPr>
          <w:i/>
          <w:iCs/>
        </w:rPr>
        <w:t>2022 ICS Order</w:t>
      </w:r>
      <w:r w:rsidR="00022ECD">
        <w:t>, Appx. B</w:t>
      </w:r>
      <w:r w:rsidR="007D57E0">
        <w:t xml:space="preserve"> (Final Rules)</w:t>
      </w:r>
      <w:r w:rsidR="00022ECD">
        <w:t xml:space="preserve">.  </w:t>
      </w:r>
      <w:r w:rsidR="008A687C">
        <w:t xml:space="preserve">This section </w:t>
      </w:r>
      <w:r w:rsidR="007B7051">
        <w:t xml:space="preserve">will be codified as </w:t>
      </w:r>
      <w:r w:rsidR="00E5206A">
        <w:t xml:space="preserve">47 CFR </w:t>
      </w:r>
      <w:r w:rsidRPr="00041A3C" w:rsidR="00041A3C">
        <w:t xml:space="preserve">§ </w:t>
      </w:r>
      <w:r w:rsidRPr="007B7051" w:rsidR="007B7051">
        <w:t>64.6060(a)(5)-(7</w:t>
      </w:r>
      <w:r w:rsidR="00041A3C">
        <w:t>)</w:t>
      </w:r>
      <w:r w:rsidRPr="007B7051" w:rsidR="007B7051">
        <w:t>.</w:t>
      </w:r>
      <w:r w:rsidRPr="00412155" w:rsidR="00412155">
        <w:t xml:space="preserve">  </w:t>
      </w:r>
      <w:r w:rsidR="008A687C">
        <w:t>Once the PRA process is completed, the Bureaus will provide an effective date by subsequent Public Notice</w:t>
      </w:r>
      <w:r w:rsidRPr="00412155" w:rsidR="00412155">
        <w:t>.</w:t>
      </w:r>
    </w:p>
  </w:footnote>
  <w:footnote w:id="14">
    <w:p w:rsidR="00CA62AD" w:rsidP="00CA62AD" w14:paraId="0D14823F" w14:textId="77777777">
      <w:pPr>
        <w:pStyle w:val="FootnoteText"/>
      </w:pPr>
      <w:r>
        <w:rPr>
          <w:rStyle w:val="FootnoteReference"/>
        </w:rPr>
        <w:footnoteRef/>
      </w:r>
      <w:r>
        <w:t xml:space="preserve"> </w:t>
      </w:r>
      <w:r w:rsidRPr="00DF3443">
        <w:t>47 CFR §§ 64.611(k)(1)(i)-(iii), 64.6040(c), and 64.6060(a)(5)-(7)</w:t>
      </w:r>
      <w:r>
        <w:t>.</w:t>
      </w:r>
    </w:p>
  </w:footnote>
  <w:footnote w:id="15">
    <w:p w:rsidR="000507AC" w14:paraId="540FF260" w14:textId="287BA353">
      <w:pPr>
        <w:pStyle w:val="FootnoteText"/>
      </w:pPr>
      <w:r>
        <w:rPr>
          <w:rStyle w:val="FootnoteReference"/>
        </w:rPr>
        <w:footnoteRef/>
      </w:r>
      <w:r>
        <w:t xml:space="preserve"> </w:t>
      </w:r>
      <w:r w:rsidRPr="009020C2" w:rsidR="002D5907">
        <w:rPr>
          <w:i/>
          <w:iCs/>
        </w:rPr>
        <w:t>See</w:t>
      </w:r>
      <w:r w:rsidR="002D5907">
        <w:t xml:space="preserve"> </w:t>
      </w:r>
      <w:r w:rsidRPr="009020C2" w:rsidR="00AE026A">
        <w:rPr>
          <w:i/>
          <w:iCs/>
        </w:rPr>
        <w:t>infra</w:t>
      </w:r>
      <w:r w:rsidR="003D18AE">
        <w:t xml:space="preserve"> Question</w:t>
      </w:r>
      <w:r w:rsidR="00444F9D">
        <w:t xml:space="preserve"> </w:t>
      </w:r>
      <w:r w:rsidR="00FB553B">
        <w:t>18.</w:t>
      </w:r>
    </w:p>
  </w:footnote>
  <w:footnote w:id="16">
    <w:p w:rsidR="00D43C24" w:rsidRPr="00F80DEE" w:rsidP="00D43C24" w14:paraId="5A44AA2C" w14:textId="3B8EDD1F">
      <w:pPr>
        <w:pStyle w:val="FootnoteText"/>
      </w:pPr>
      <w:r w:rsidRPr="00F80DEE">
        <w:rPr>
          <w:rStyle w:val="FootnoteReference"/>
        </w:rPr>
        <w:footnoteRef/>
      </w:r>
      <w:r w:rsidRPr="00F80DEE">
        <w:t xml:space="preserve"> </w:t>
      </w:r>
      <w:r w:rsidRPr="00E61235" w:rsidR="00E61235">
        <w:t>Martha Wright-Reed</w:t>
      </w:r>
      <w:r w:rsidR="00233B12">
        <w:t xml:space="preserve"> Act</w:t>
      </w:r>
      <w:r w:rsidRPr="00E61235" w:rsidR="00E61235">
        <w:t xml:space="preserve"> </w:t>
      </w:r>
      <w:r w:rsidRPr="00F80DEE">
        <w:t xml:space="preserve">§ 2(a)(2), (b).  </w:t>
      </w:r>
    </w:p>
  </w:footnote>
  <w:footnote w:id="17">
    <w:p w:rsidR="00D43C24" w:rsidRPr="00F80DEE" w:rsidP="00D43C24" w14:paraId="17414AFB" w14:textId="77777777">
      <w:pPr>
        <w:pStyle w:val="FootnoteText"/>
      </w:pPr>
      <w:r w:rsidRPr="00F80DEE">
        <w:rPr>
          <w:rStyle w:val="FootnoteReference"/>
        </w:rPr>
        <w:footnoteRef/>
      </w:r>
      <w:r w:rsidRPr="00F80DEE">
        <w:t xml:space="preserve"> </w:t>
      </w:r>
      <w:r w:rsidRPr="00F80DEE">
        <w:rPr>
          <w:i/>
          <w:iCs/>
        </w:rPr>
        <w:t>Id</w:t>
      </w:r>
      <w:r w:rsidRPr="00F80DEE">
        <w:t xml:space="preserve">. § 2(c). </w:t>
      </w:r>
    </w:p>
  </w:footnote>
  <w:footnote w:id="18">
    <w:p w:rsidR="000C43C9" w:rsidRPr="00620A54" w:rsidP="000C43C9" w14:paraId="11DCC287" w14:textId="77777777">
      <w:pPr>
        <w:pStyle w:val="FootnoteText"/>
      </w:pPr>
      <w:r w:rsidRPr="0049397B">
        <w:rPr>
          <w:rStyle w:val="FootnoteReference"/>
        </w:rPr>
        <w:footnoteRef/>
      </w:r>
      <w:r w:rsidRPr="00620A54">
        <w:t xml:space="preserve"> </w:t>
      </w:r>
      <w:r>
        <w:rPr>
          <w:i/>
          <w:iCs/>
        </w:rPr>
        <w:t>Id.</w:t>
      </w:r>
      <w:r w:rsidRPr="00F80DEE">
        <w:t xml:space="preserve"> </w:t>
      </w:r>
      <w:r w:rsidRPr="00620A54">
        <w:t>§</w:t>
      </w:r>
      <w:r>
        <w:t>§ 2,</w:t>
      </w:r>
      <w:r w:rsidRPr="00620A54">
        <w:t> 3(a)</w:t>
      </w:r>
      <w:r>
        <w:t xml:space="preserve">; 47 U.S.C. </w:t>
      </w:r>
      <w:r w:rsidRPr="00620A54">
        <w:t>§ </w:t>
      </w:r>
      <w:r>
        <w:t>276(b)(1)(A).</w:t>
      </w:r>
    </w:p>
  </w:footnote>
  <w:footnote w:id="19">
    <w:p w:rsidR="000C43C9" w:rsidRPr="00620A54" w:rsidP="000C43C9" w14:paraId="5D1F7794" w14:textId="6B13652F">
      <w:pPr>
        <w:pStyle w:val="FootnoteText"/>
      </w:pPr>
      <w:r w:rsidRPr="0049397B">
        <w:rPr>
          <w:rStyle w:val="FootnoteReference"/>
        </w:rPr>
        <w:footnoteRef/>
      </w:r>
      <w:r w:rsidRPr="00620A54">
        <w:t xml:space="preserve"> </w:t>
      </w:r>
      <w:r w:rsidRPr="00041A3C" w:rsidR="00041A3C">
        <w:rPr>
          <w:i/>
          <w:iCs/>
        </w:rPr>
        <w:t>Id</w:t>
      </w:r>
      <w:r w:rsidR="00041A3C">
        <w:t xml:space="preserve">. </w:t>
      </w:r>
      <w:r w:rsidRPr="00620A54">
        <w:t>§ 3(b)(2).</w:t>
      </w:r>
    </w:p>
  </w:footnote>
  <w:footnote w:id="20">
    <w:p w:rsidR="000C43C9" w:rsidRPr="00620A54" w:rsidP="000C43C9" w14:paraId="1B3B4DFF" w14:textId="77777777">
      <w:pPr>
        <w:pStyle w:val="FootnoteText"/>
      </w:pPr>
      <w:r w:rsidRPr="0049397B">
        <w:rPr>
          <w:rStyle w:val="FootnoteReference"/>
        </w:rPr>
        <w:footnoteRef/>
      </w:r>
      <w:r w:rsidRPr="00620A54">
        <w:t xml:space="preserve"> </w:t>
      </w:r>
      <w:r w:rsidRPr="00620A54">
        <w:rPr>
          <w:i/>
        </w:rPr>
        <w:t>Id</w:t>
      </w:r>
      <w:r w:rsidRPr="00620A54">
        <w:t>. § 3(b)(1).</w:t>
      </w:r>
    </w:p>
  </w:footnote>
  <w:footnote w:id="21">
    <w:p w:rsidR="000C43C9" w:rsidRPr="00061283" w:rsidP="000C43C9" w14:paraId="4D2BF253" w14:textId="13AB7643">
      <w:pPr>
        <w:pStyle w:val="FootnoteText"/>
      </w:pPr>
      <w:r>
        <w:rPr>
          <w:rStyle w:val="FootnoteReference"/>
        </w:rPr>
        <w:footnoteRef/>
      </w:r>
      <w:r>
        <w:t xml:space="preserve"> </w:t>
      </w:r>
      <w:r w:rsidRPr="006F4654">
        <w:rPr>
          <w:i/>
          <w:iCs/>
        </w:rPr>
        <w:t>Incarcerated People’s Communications Services; Implementation of the Martha Wright-Reed Act, Rates for Interstate Inmate Calling Services</w:t>
      </w:r>
      <w:r>
        <w:t>, WC Docket Nos. 23-62, 12-375, Notice of Proposed Rulemaking and Order, FCC 23-19 (Mar. 17, 2023) (</w:t>
      </w:r>
      <w:r w:rsidRPr="00A82504">
        <w:rPr>
          <w:i/>
          <w:iCs/>
        </w:rPr>
        <w:t>2023 IPCS Notice</w:t>
      </w:r>
      <w:r>
        <w:t xml:space="preserve"> or </w:t>
      </w:r>
      <w:r w:rsidRPr="00A82504">
        <w:rPr>
          <w:i/>
          <w:iCs/>
        </w:rPr>
        <w:t>2023 IPCS Order</w:t>
      </w:r>
      <w:r>
        <w:t>)</w:t>
      </w:r>
      <w:r w:rsidR="002C7D6E">
        <w:t>.</w:t>
      </w:r>
    </w:p>
  </w:footnote>
  <w:footnote w:id="22">
    <w:p w:rsidR="00DE54D9" w14:paraId="469ACCBE" w14:textId="4B225424">
      <w:pPr>
        <w:pStyle w:val="FootnoteText"/>
      </w:pPr>
      <w:r>
        <w:rPr>
          <w:rStyle w:val="FootnoteReference"/>
        </w:rPr>
        <w:footnoteRef/>
      </w:r>
      <w:r>
        <w:t xml:space="preserve"> </w:t>
      </w:r>
      <w:r w:rsidRPr="00DE54D9">
        <w:rPr>
          <w:i/>
          <w:iCs/>
        </w:rPr>
        <w:t>2023 IPCS Order</w:t>
      </w:r>
      <w:r>
        <w:t xml:space="preserve"> at 33</w:t>
      </w:r>
      <w:r w:rsidR="00402003">
        <w:t>,</w:t>
      </w:r>
      <w:r>
        <w:t xml:space="preserve"> para. 84.</w:t>
      </w:r>
    </w:p>
  </w:footnote>
  <w:footnote w:id="23">
    <w:p w:rsidR="000C43C9" w:rsidP="000C43C9" w14:paraId="496F3F73" w14:textId="39D1E712">
      <w:pPr>
        <w:pStyle w:val="FootnoteText"/>
      </w:pPr>
      <w:r>
        <w:rPr>
          <w:rStyle w:val="FootnoteReference"/>
        </w:rPr>
        <w:footnoteRef/>
      </w:r>
      <w:r w:rsidR="00B96E45">
        <w:t xml:space="preserve"> </w:t>
      </w:r>
      <w:r w:rsidRPr="00101EE9" w:rsidR="00B96E45">
        <w:rPr>
          <w:i/>
          <w:iCs/>
        </w:rPr>
        <w:t>Id</w:t>
      </w:r>
      <w:r w:rsidR="00B96E45">
        <w:t>.</w:t>
      </w:r>
    </w:p>
  </w:footnote>
  <w:footnote w:id="24">
    <w:p w:rsidR="0027069A" w14:paraId="41B1150D" w14:textId="3474F03D">
      <w:pPr>
        <w:pStyle w:val="FootnoteText"/>
      </w:pPr>
      <w:r>
        <w:rPr>
          <w:rStyle w:val="FootnoteReference"/>
        </w:rPr>
        <w:footnoteRef/>
      </w:r>
      <w:r>
        <w:t xml:space="preserve"> </w:t>
      </w:r>
      <w:r w:rsidR="00BA2DA2">
        <w:rPr>
          <w:i/>
          <w:iCs/>
        </w:rPr>
        <w:t xml:space="preserve">Wireline Competition Bureau and Office of Economics and Analytics </w:t>
      </w:r>
      <w:r w:rsidRPr="0027069A">
        <w:rPr>
          <w:i/>
          <w:iCs/>
        </w:rPr>
        <w:t>Seek Comment on Proposed 2023 Mandatory Data Collection for Incarcerated People’s Communication Services</w:t>
      </w:r>
      <w:r w:rsidRPr="0027069A">
        <w:t>, WC Docket Nos. 23-62, 12-375, Public Notice, DA 23-355 at 2 (WCB/OEA Apr. 28, 2023)</w:t>
      </w:r>
      <w:r w:rsidR="00D470A0">
        <w:t xml:space="preserve"> (</w:t>
      </w:r>
      <w:r w:rsidRPr="00D470A0" w:rsidR="00D470A0">
        <w:rPr>
          <w:i/>
          <w:iCs/>
        </w:rPr>
        <w:t>2023 IPCS Mandatory Data Collection Public Notice</w:t>
      </w:r>
      <w:r w:rsidR="00D470A0">
        <w:t>).</w:t>
      </w:r>
    </w:p>
  </w:footnote>
  <w:footnote w:id="25">
    <w:p w:rsidR="000C43C9" w:rsidP="000C43C9" w14:paraId="4BE1EC54" w14:textId="77777777">
      <w:pPr>
        <w:pStyle w:val="FootnoteText"/>
      </w:pPr>
      <w:r>
        <w:rPr>
          <w:rStyle w:val="FootnoteReference"/>
        </w:rPr>
        <w:footnoteRef/>
      </w:r>
      <w:r>
        <w:t xml:space="preserve"> </w:t>
      </w:r>
      <w:bookmarkStart w:id="10" w:name="_Hlk141453119"/>
      <w:r w:rsidRPr="00CF013A">
        <w:rPr>
          <w:i/>
          <w:iCs/>
        </w:rPr>
        <w:t>Incarcerated People’s Communications Services; Implementation of the Martha Wright-Reed Act, Rates for Interstate Inmate Calling Services</w:t>
      </w:r>
      <w:r w:rsidRPr="00CF013A">
        <w:t xml:space="preserve">, WC Docket Nos. 23-62, 12-375, Order, </w:t>
      </w:r>
      <w:r>
        <w:t xml:space="preserve">DA </w:t>
      </w:r>
      <w:r w:rsidRPr="006D6CEB">
        <w:t xml:space="preserve">23-638 </w:t>
      </w:r>
      <w:r w:rsidRPr="00CF013A">
        <w:t>(</w:t>
      </w:r>
      <w:r>
        <w:t>July</w:t>
      </w:r>
      <w:r w:rsidRPr="00CF013A">
        <w:t xml:space="preserve"> </w:t>
      </w:r>
      <w:r>
        <w:t>26</w:t>
      </w:r>
      <w:r w:rsidRPr="00CF013A">
        <w:t>, 2023) (</w:t>
      </w:r>
      <w:r w:rsidRPr="00CF013A">
        <w:rPr>
          <w:i/>
          <w:iCs/>
        </w:rPr>
        <w:t xml:space="preserve">2023 IPCS </w:t>
      </w:r>
      <w:r w:rsidRPr="000B23AC">
        <w:rPr>
          <w:i/>
          <w:iCs/>
        </w:rPr>
        <w:t>Mandatory Data Collection</w:t>
      </w:r>
      <w:r w:rsidRPr="00CF013A">
        <w:rPr>
          <w:i/>
          <w:iCs/>
        </w:rPr>
        <w:t xml:space="preserve"> Order</w:t>
      </w:r>
      <w:r w:rsidRPr="00CF013A">
        <w:t>).</w:t>
      </w:r>
    </w:p>
    <w:bookmarkEnd w:id="10"/>
  </w:footnote>
  <w:footnote w:id="26">
    <w:p w:rsidR="001712A9" w:rsidP="001712A9" w14:paraId="6F256D50" w14:textId="3275BB04">
      <w:pPr>
        <w:pStyle w:val="FootnoteText"/>
      </w:pPr>
      <w:r>
        <w:rPr>
          <w:rStyle w:val="FootnoteReference"/>
        </w:rPr>
        <w:footnoteRef/>
      </w:r>
      <w:r>
        <w:rPr>
          <w:i/>
          <w:iCs/>
        </w:rPr>
        <w:t xml:space="preserve"> </w:t>
      </w:r>
      <w:r w:rsidRPr="00AE47E5">
        <w:rPr>
          <w:i/>
          <w:iCs/>
        </w:rPr>
        <w:t>2023 Order</w:t>
      </w:r>
      <w:r>
        <w:t xml:space="preserve"> at 34, para. 86.</w:t>
      </w:r>
    </w:p>
  </w:footnote>
  <w:footnote w:id="27">
    <w:p w:rsidR="001712A9" w:rsidRPr="00653F0B" w:rsidP="001712A9" w14:paraId="09DF869C" w14:textId="77777777">
      <w:pPr>
        <w:pStyle w:val="FootnoteText"/>
      </w:pPr>
      <w:r>
        <w:rPr>
          <w:rStyle w:val="FootnoteReference"/>
        </w:rPr>
        <w:footnoteRef/>
      </w:r>
      <w:r>
        <w:t xml:space="preserve"> </w:t>
      </w:r>
      <w:r>
        <w:rPr>
          <w:i/>
          <w:iCs/>
        </w:rPr>
        <w:t>Id</w:t>
      </w:r>
      <w:r>
        <w:t xml:space="preserve">.; </w:t>
      </w:r>
      <w:r w:rsidRPr="000646DF">
        <w:rPr>
          <w:i/>
          <w:iCs/>
        </w:rPr>
        <w:t>see</w:t>
      </w:r>
      <w:r>
        <w:t xml:space="preserve"> </w:t>
      </w:r>
      <w:bookmarkStart w:id="11" w:name="_Hlk141459530"/>
      <w:r>
        <w:rPr>
          <w:i/>
          <w:iCs/>
        </w:rPr>
        <w:t>2023 IPCS Mandatory Data Collection Public Notice</w:t>
      </w:r>
      <w:r>
        <w:t xml:space="preserve"> </w:t>
      </w:r>
      <w:bookmarkEnd w:id="11"/>
      <w:r>
        <w:t>(seeking comment on the proposed mandatory data collection for IPCS).</w:t>
      </w:r>
    </w:p>
  </w:footnote>
  <w:footnote w:id="28">
    <w:p w:rsidR="00A34D6C" w14:paraId="429CD6DA" w14:textId="6EA50D63">
      <w:pPr>
        <w:pStyle w:val="FootnoteText"/>
      </w:pPr>
      <w:r>
        <w:rPr>
          <w:rStyle w:val="FootnoteReference"/>
        </w:rPr>
        <w:footnoteRef/>
      </w:r>
      <w:r>
        <w:t xml:space="preserve"> </w:t>
      </w:r>
      <w:r w:rsidRPr="00A34D6C">
        <w:rPr>
          <w:i/>
          <w:iCs/>
        </w:rPr>
        <w:t>Wireline Competition Bureau and Office of Economics and Analytics Seek Comment on Proposed 2023 Mandatory Data Collection for Incarcerated People’s Communications Services</w:t>
      </w:r>
      <w:r>
        <w:t xml:space="preserve">, </w:t>
      </w:r>
      <w:r w:rsidRPr="00A34D6C">
        <w:t>WC Docket Nos. 23-62, 12-375, Public Notice, DA 23</w:t>
      </w:r>
      <w:r w:rsidR="00B1051B">
        <w:t>-</w:t>
      </w:r>
      <w:r w:rsidR="00D51E77">
        <w:t>656</w:t>
      </w:r>
      <w:r>
        <w:t xml:space="preserve"> (WCB/OEA Aug. </w:t>
      </w:r>
      <w:r w:rsidR="00C71A2A">
        <w:t>3</w:t>
      </w:r>
      <w:r>
        <w:t>, 2023)</w:t>
      </w:r>
      <w:r w:rsidR="00DF0EDF">
        <w:t xml:space="preserve"> (</w:t>
      </w:r>
      <w:bookmarkStart w:id="12" w:name="_Hlk149063753"/>
      <w:r w:rsidRPr="00DF0EDF" w:rsidR="00DF0EDF">
        <w:rPr>
          <w:i/>
          <w:iCs/>
        </w:rPr>
        <w:t>2023 IPCS Annual Reports Public Notice</w:t>
      </w:r>
      <w:bookmarkEnd w:id="12"/>
      <w:r w:rsidR="00DF0EDF">
        <w:t>).</w:t>
      </w:r>
    </w:p>
  </w:footnote>
  <w:footnote w:id="29">
    <w:p w:rsidR="0059222B" w14:paraId="23A56B45" w14:textId="16961535">
      <w:pPr>
        <w:pStyle w:val="FootnoteText"/>
      </w:pPr>
      <w:r>
        <w:rPr>
          <w:rStyle w:val="FootnoteReference"/>
        </w:rPr>
        <w:footnoteRef/>
      </w:r>
      <w:r>
        <w:t xml:space="preserve"> </w:t>
      </w:r>
      <w:r w:rsidRPr="0059222B">
        <w:rPr>
          <w:i/>
          <w:iCs/>
        </w:rPr>
        <w:t>See id</w:t>
      </w:r>
      <w:r>
        <w:t>.</w:t>
      </w:r>
    </w:p>
  </w:footnote>
  <w:footnote w:id="30">
    <w:p w:rsidR="00646C17" w:rsidP="00D7761B" w14:paraId="3F4E1F95" w14:textId="58D33757">
      <w:pPr>
        <w:pStyle w:val="FootnoteText"/>
      </w:pPr>
      <w:r w:rsidRPr="004B1A9A">
        <w:rPr>
          <w:rStyle w:val="FootnoteReference"/>
        </w:rPr>
        <w:footnoteRef/>
      </w:r>
      <w:r w:rsidRPr="004B1A9A">
        <w:t xml:space="preserve"> </w:t>
      </w:r>
      <w:r w:rsidRPr="002B1C05" w:rsidR="00555485">
        <w:rPr>
          <w:i/>
          <w:iCs/>
        </w:rPr>
        <w:t>Incarcerated People’s Communications Services; Implementation of the Martha Wright-Reed Act; Rates for Inmate Calling Services</w:t>
      </w:r>
      <w:r w:rsidR="00555485">
        <w:t>, WC Docket Nos. 23-62, 12-375, Protective Order, DA 23-298 (WCB Apr. 5, 2023).</w:t>
      </w:r>
      <w:r w:rsidRPr="00917CE6" w:rsidR="00555485">
        <w:t xml:space="preserve"> </w:t>
      </w:r>
      <w:r w:rsidR="00555485">
        <w:t xml:space="preserve"> Filings that contain confidential information should be appropriately redacted and filed pursuant to the procedure described in that Order.  </w:t>
      </w:r>
      <w:r w:rsidRPr="00926709" w:rsidR="00555485">
        <w:rPr>
          <w:i/>
          <w:iCs/>
        </w:rPr>
        <w:t>See also Rates for Interstate Inmate Calling Services</w:t>
      </w:r>
      <w:r w:rsidR="00555485">
        <w:t>, WC Docket No. 12-375, Order, 35 FCC Rcd 9267 (WCB 2020) (clarifying non-confidential treatment for certain information)</w:t>
      </w:r>
      <w:r w:rsidR="00985DF6">
        <w:t>.</w:t>
      </w:r>
    </w:p>
  </w:footnote>
  <w:footnote w:id="31">
    <w:p w:rsidR="0043063C" w14:paraId="5A4D03D8" w14:textId="42DB4974">
      <w:pPr>
        <w:pStyle w:val="FootnoteText"/>
      </w:pPr>
      <w:r>
        <w:rPr>
          <w:rStyle w:val="FootnoteReference"/>
        </w:rPr>
        <w:footnoteRef/>
      </w:r>
      <w:r>
        <w:t xml:space="preserve"> </w:t>
      </w:r>
      <w:r w:rsidR="009558CD">
        <w:t>OMB</w:t>
      </w:r>
      <w:r w:rsidR="004E4FAA">
        <w:t xml:space="preserve"> </w:t>
      </w:r>
      <w:r w:rsidRPr="009558CD" w:rsidR="009558CD">
        <w:t xml:space="preserve">approved the </w:t>
      </w:r>
      <w:r w:rsidR="009558CD">
        <w:t>expan</w:t>
      </w:r>
      <w:r w:rsidR="001D2825">
        <w:t xml:space="preserve">ded </w:t>
      </w:r>
      <w:r w:rsidRPr="009558CD" w:rsidR="009558CD">
        <w:t>consumer disclosure requirements and new waiver request reporting requirements</w:t>
      </w:r>
      <w:r w:rsidR="00E759F9">
        <w:t xml:space="preserve"> on January 24, 2022</w:t>
      </w:r>
      <w:r w:rsidRPr="009558CD" w:rsidR="009558CD">
        <w:t xml:space="preserve">.  </w:t>
      </w:r>
      <w:r w:rsidRPr="009558CD" w:rsidR="009558CD">
        <w:rPr>
          <w:i/>
          <w:iCs/>
        </w:rPr>
        <w:t>See</w:t>
      </w:r>
      <w:r w:rsidRPr="009558CD" w:rsidR="009558CD">
        <w:t xml:space="preserve"> Federal Communications Commission, Information Collection Approved by the Office of Management and Budget, 87 FR 7955 (Feb. 11, 2022)</w:t>
      </w:r>
      <w:r w:rsidR="009558CD">
        <w:t>;</w:t>
      </w:r>
      <w:r w:rsidRPr="009558CD" w:rsidR="009558CD">
        <w:t xml:space="preserve"> </w:t>
      </w:r>
      <w:r w:rsidR="009A176D">
        <w:rPr>
          <w:i/>
          <w:iCs/>
        </w:rPr>
        <w:t>s</w:t>
      </w:r>
      <w:r w:rsidR="00D17713">
        <w:rPr>
          <w:i/>
          <w:iCs/>
        </w:rPr>
        <w:t xml:space="preserve">ee </w:t>
      </w:r>
      <w:r w:rsidRPr="002961AA" w:rsidR="00D17713">
        <w:t>47 CFR §§ 64.6110(a); 64.6110(b)(1)-(4);</w:t>
      </w:r>
      <w:r w:rsidR="00D17713">
        <w:t xml:space="preserve"> </w:t>
      </w:r>
      <w:r w:rsidRPr="002961AA" w:rsidR="00D17713">
        <w:t>64.6110(c)</w:t>
      </w:r>
      <w:r w:rsidR="00D17713">
        <w:t xml:space="preserve"> (expanded consumer disclosure requirements); </w:t>
      </w:r>
      <w:r w:rsidRPr="002961AA" w:rsidR="00D17713">
        <w:t>47 CFR § 64.6120</w:t>
      </w:r>
      <w:r w:rsidR="00D17713">
        <w:t xml:space="preserve"> (new waiver request reporting requirements).</w:t>
      </w:r>
    </w:p>
  </w:footnote>
  <w:footnote w:id="32">
    <w:p w:rsidR="00D83739" w14:paraId="59549ECF" w14:textId="79FEAC5D">
      <w:pPr>
        <w:pStyle w:val="FootnoteText"/>
      </w:pPr>
      <w:r>
        <w:rPr>
          <w:rStyle w:val="FootnoteReference"/>
        </w:rPr>
        <w:footnoteRef/>
      </w:r>
      <w:r>
        <w:t xml:space="preserve"> </w:t>
      </w:r>
      <w:r w:rsidRPr="003509CC" w:rsidR="003509CC">
        <w:rPr>
          <w:i/>
          <w:iCs/>
        </w:rPr>
        <w:t>See</w:t>
      </w:r>
      <w:r w:rsidR="003509CC">
        <w:t xml:space="preserve"> s</w:t>
      </w:r>
      <w:r>
        <w:t xml:space="preserve">ection </w:t>
      </w:r>
      <w:r w:rsidR="000222A5">
        <w:t xml:space="preserve">6040(c), </w:t>
      </w:r>
      <w:r w:rsidRPr="000A423B" w:rsidR="000A423B">
        <w:t>47 CFR § 64.6040(c)</w:t>
      </w:r>
      <w:r w:rsidR="0065668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70AB2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2D73B3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E3" w14:paraId="3E4FC5D7" w14:textId="3F338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96AE5"/>
    <w:multiLevelType w:val="hybridMultilevel"/>
    <w:tmpl w:val="F4B674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36F3D69"/>
    <w:multiLevelType w:val="hybridMultilevel"/>
    <w:tmpl w:val="8B28EAEC"/>
    <w:lvl w:ilvl="0">
      <w:start w:val="3"/>
      <w:numFmt w:val="bullet"/>
      <w:lvlText w:val="-"/>
      <w:lvlJc w:val="left"/>
      <w:pPr>
        <w:ind w:left="2520" w:hanging="360"/>
      </w:pPr>
      <w:rPr>
        <w:rFonts w:ascii="Times New Roman" w:eastAsia="Times New Roman"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E7F2A6E"/>
    <w:multiLevelType w:val="hybridMultilevel"/>
    <w:tmpl w:val="89003C46"/>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7D1455"/>
    <w:multiLevelType w:val="hybridMultilevel"/>
    <w:tmpl w:val="5A10997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617612"/>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287C59AB"/>
    <w:multiLevelType w:val="hybridMultilevel"/>
    <w:tmpl w:val="226021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5805D8"/>
    <w:multiLevelType w:val="hybridMultilevel"/>
    <w:tmpl w:val="712AD9F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DDB67FB"/>
    <w:multiLevelType w:val="hybridMultilevel"/>
    <w:tmpl w:val="88E89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D83D08"/>
    <w:multiLevelType w:val="multilevel"/>
    <w:tmpl w:val="781C6A3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3732290D"/>
    <w:multiLevelType w:val="hybridMultilevel"/>
    <w:tmpl w:val="2708B7BC"/>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96D7C"/>
    <w:multiLevelType w:val="hybridMultilevel"/>
    <w:tmpl w:val="A7249B8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B22719"/>
    <w:multiLevelType w:val="hybridMultilevel"/>
    <w:tmpl w:val="D8ACBCD0"/>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1B02597"/>
    <w:multiLevelType w:val="hybridMultilevel"/>
    <w:tmpl w:val="03089C92"/>
    <w:lvl w:ilvl="0">
      <w:start w:val="1"/>
      <w:numFmt w:val="decimal"/>
      <w:lvlText w:val="(%1)"/>
      <w:lvlJc w:val="left"/>
      <w:pPr>
        <w:ind w:left="1800" w:hanging="360"/>
      </w:pPr>
      <w:rPr>
        <w:rFonts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nsid w:val="6B52037E"/>
    <w:multiLevelType w:val="hybridMultilevel"/>
    <w:tmpl w:val="110AFD02"/>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EF7652"/>
    <w:multiLevelType w:val="hybridMultilevel"/>
    <w:tmpl w:val="0AFCCE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2751469">
    <w:abstractNumId w:val="9"/>
  </w:num>
  <w:num w:numId="2" w16cid:durableId="1512794961">
    <w:abstractNumId w:val="0"/>
  </w:num>
  <w:num w:numId="3" w16cid:durableId="1595474923">
    <w:abstractNumId w:val="8"/>
  </w:num>
  <w:num w:numId="4" w16cid:durableId="1983802738">
    <w:abstractNumId w:val="7"/>
  </w:num>
  <w:num w:numId="5" w16cid:durableId="1152798274">
    <w:abstractNumId w:val="6"/>
  </w:num>
  <w:num w:numId="6" w16cid:durableId="440809010">
    <w:abstractNumId w:val="13"/>
  </w:num>
  <w:num w:numId="7" w16cid:durableId="448283022">
    <w:abstractNumId w:val="12"/>
  </w:num>
  <w:num w:numId="8" w16cid:durableId="1665159017">
    <w:abstractNumId w:val="1"/>
  </w:num>
  <w:num w:numId="9" w16cid:durableId="667904123">
    <w:abstractNumId w:val="5"/>
  </w:num>
  <w:num w:numId="10" w16cid:durableId="294920366">
    <w:abstractNumId w:val="14"/>
  </w:num>
  <w:num w:numId="11" w16cid:durableId="1648784585">
    <w:abstractNumId w:val="4"/>
  </w:num>
  <w:num w:numId="12" w16cid:durableId="1058940701">
    <w:abstractNumId w:val="16"/>
  </w:num>
  <w:num w:numId="13" w16cid:durableId="1003052801">
    <w:abstractNumId w:val="10"/>
  </w:num>
  <w:num w:numId="14" w16cid:durableId="1187525115">
    <w:abstractNumId w:val="15"/>
  </w:num>
  <w:num w:numId="15" w16cid:durableId="1006397140">
    <w:abstractNumId w:val="2"/>
  </w:num>
  <w:num w:numId="16" w16cid:durableId="887105615">
    <w:abstractNumId w:val="3"/>
  </w:num>
  <w:num w:numId="17" w16cid:durableId="80839986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0589"/>
    <w:rsid w:val="000023F2"/>
    <w:rsid w:val="00002461"/>
    <w:rsid w:val="0000335D"/>
    <w:rsid w:val="00003469"/>
    <w:rsid w:val="00003BB0"/>
    <w:rsid w:val="00003C05"/>
    <w:rsid w:val="0000460F"/>
    <w:rsid w:val="00004634"/>
    <w:rsid w:val="000049C7"/>
    <w:rsid w:val="000052FF"/>
    <w:rsid w:val="00005EFC"/>
    <w:rsid w:val="000065DE"/>
    <w:rsid w:val="00007936"/>
    <w:rsid w:val="00010AF4"/>
    <w:rsid w:val="00010C70"/>
    <w:rsid w:val="00011F59"/>
    <w:rsid w:val="00012D3C"/>
    <w:rsid w:val="00013041"/>
    <w:rsid w:val="0001349F"/>
    <w:rsid w:val="0001401B"/>
    <w:rsid w:val="00014872"/>
    <w:rsid w:val="00015695"/>
    <w:rsid w:val="00015BEB"/>
    <w:rsid w:val="0001604C"/>
    <w:rsid w:val="0001755F"/>
    <w:rsid w:val="0001772A"/>
    <w:rsid w:val="00017734"/>
    <w:rsid w:val="000203C5"/>
    <w:rsid w:val="00020514"/>
    <w:rsid w:val="0002125D"/>
    <w:rsid w:val="000214E1"/>
    <w:rsid w:val="000219B7"/>
    <w:rsid w:val="000222A5"/>
    <w:rsid w:val="00022705"/>
    <w:rsid w:val="00022ECD"/>
    <w:rsid w:val="00023A56"/>
    <w:rsid w:val="00023FA5"/>
    <w:rsid w:val="000244DC"/>
    <w:rsid w:val="00024753"/>
    <w:rsid w:val="0002501F"/>
    <w:rsid w:val="000251A5"/>
    <w:rsid w:val="000256E9"/>
    <w:rsid w:val="00025B0D"/>
    <w:rsid w:val="00025B60"/>
    <w:rsid w:val="00025C91"/>
    <w:rsid w:val="0002641C"/>
    <w:rsid w:val="000268FE"/>
    <w:rsid w:val="000269A8"/>
    <w:rsid w:val="00026C7D"/>
    <w:rsid w:val="000270C4"/>
    <w:rsid w:val="0002737D"/>
    <w:rsid w:val="000278B1"/>
    <w:rsid w:val="00027CAD"/>
    <w:rsid w:val="0003039E"/>
    <w:rsid w:val="00030522"/>
    <w:rsid w:val="00030A44"/>
    <w:rsid w:val="00030AC2"/>
    <w:rsid w:val="00031A49"/>
    <w:rsid w:val="00032FBD"/>
    <w:rsid w:val="00033109"/>
    <w:rsid w:val="00033340"/>
    <w:rsid w:val="00033827"/>
    <w:rsid w:val="00033FD3"/>
    <w:rsid w:val="0003428C"/>
    <w:rsid w:val="00035B66"/>
    <w:rsid w:val="00035D86"/>
    <w:rsid w:val="0003674F"/>
    <w:rsid w:val="00036C3E"/>
    <w:rsid w:val="00037B6C"/>
    <w:rsid w:val="00040D88"/>
    <w:rsid w:val="00040EFD"/>
    <w:rsid w:val="00040F26"/>
    <w:rsid w:val="000410FE"/>
    <w:rsid w:val="0004162F"/>
    <w:rsid w:val="00041A3C"/>
    <w:rsid w:val="00042C29"/>
    <w:rsid w:val="000433ED"/>
    <w:rsid w:val="00044D32"/>
    <w:rsid w:val="00044FA7"/>
    <w:rsid w:val="00045055"/>
    <w:rsid w:val="0004511E"/>
    <w:rsid w:val="0004515D"/>
    <w:rsid w:val="0004610E"/>
    <w:rsid w:val="00046307"/>
    <w:rsid w:val="00046723"/>
    <w:rsid w:val="00046BF4"/>
    <w:rsid w:val="000476AD"/>
    <w:rsid w:val="00050097"/>
    <w:rsid w:val="000507AC"/>
    <w:rsid w:val="0005146E"/>
    <w:rsid w:val="0005170F"/>
    <w:rsid w:val="00051E08"/>
    <w:rsid w:val="0005258A"/>
    <w:rsid w:val="000534FD"/>
    <w:rsid w:val="000537D2"/>
    <w:rsid w:val="00053CCB"/>
    <w:rsid w:val="000558A8"/>
    <w:rsid w:val="00055E2D"/>
    <w:rsid w:val="00055E4A"/>
    <w:rsid w:val="000562CD"/>
    <w:rsid w:val="00056B3D"/>
    <w:rsid w:val="00057923"/>
    <w:rsid w:val="00057E97"/>
    <w:rsid w:val="000600B6"/>
    <w:rsid w:val="00060A89"/>
    <w:rsid w:val="00061055"/>
    <w:rsid w:val="00061283"/>
    <w:rsid w:val="00061546"/>
    <w:rsid w:val="000615E5"/>
    <w:rsid w:val="00061E3D"/>
    <w:rsid w:val="00062010"/>
    <w:rsid w:val="0006218A"/>
    <w:rsid w:val="00062562"/>
    <w:rsid w:val="00062944"/>
    <w:rsid w:val="00062BCA"/>
    <w:rsid w:val="00063A4F"/>
    <w:rsid w:val="0006415C"/>
    <w:rsid w:val="000646DF"/>
    <w:rsid w:val="00065AAD"/>
    <w:rsid w:val="000667DE"/>
    <w:rsid w:val="00066BD3"/>
    <w:rsid w:val="00066CCB"/>
    <w:rsid w:val="000676FB"/>
    <w:rsid w:val="00067718"/>
    <w:rsid w:val="00070841"/>
    <w:rsid w:val="000710CD"/>
    <w:rsid w:val="00071504"/>
    <w:rsid w:val="00071945"/>
    <w:rsid w:val="00071B2A"/>
    <w:rsid w:val="00071DD0"/>
    <w:rsid w:val="00072EA1"/>
    <w:rsid w:val="00072FE6"/>
    <w:rsid w:val="00073508"/>
    <w:rsid w:val="000740E9"/>
    <w:rsid w:val="000747A9"/>
    <w:rsid w:val="000759E2"/>
    <w:rsid w:val="00075D2E"/>
    <w:rsid w:val="00076120"/>
    <w:rsid w:val="00077520"/>
    <w:rsid w:val="00077780"/>
    <w:rsid w:val="00080428"/>
    <w:rsid w:val="00080E8D"/>
    <w:rsid w:val="000816E0"/>
    <w:rsid w:val="000819EF"/>
    <w:rsid w:val="00081A45"/>
    <w:rsid w:val="00081B8D"/>
    <w:rsid w:val="00081EC4"/>
    <w:rsid w:val="00082F91"/>
    <w:rsid w:val="000835A7"/>
    <w:rsid w:val="00083CE7"/>
    <w:rsid w:val="00084DE5"/>
    <w:rsid w:val="0008532D"/>
    <w:rsid w:val="000858BC"/>
    <w:rsid w:val="00085CCC"/>
    <w:rsid w:val="00085F84"/>
    <w:rsid w:val="000865F5"/>
    <w:rsid w:val="00086ADF"/>
    <w:rsid w:val="00087B72"/>
    <w:rsid w:val="00087C30"/>
    <w:rsid w:val="00087E84"/>
    <w:rsid w:val="000902A8"/>
    <w:rsid w:val="00090669"/>
    <w:rsid w:val="000909D3"/>
    <w:rsid w:val="00090BE3"/>
    <w:rsid w:val="000914FB"/>
    <w:rsid w:val="0009154E"/>
    <w:rsid w:val="0009284F"/>
    <w:rsid w:val="00092EC3"/>
    <w:rsid w:val="00094398"/>
    <w:rsid w:val="00094A8E"/>
    <w:rsid w:val="000959C2"/>
    <w:rsid w:val="000959D4"/>
    <w:rsid w:val="00095C2D"/>
    <w:rsid w:val="00095F19"/>
    <w:rsid w:val="00096821"/>
    <w:rsid w:val="000A0ABE"/>
    <w:rsid w:val="000A0B76"/>
    <w:rsid w:val="000A1EAE"/>
    <w:rsid w:val="000A3E3E"/>
    <w:rsid w:val="000A423B"/>
    <w:rsid w:val="000A43FB"/>
    <w:rsid w:val="000A4D0C"/>
    <w:rsid w:val="000A50AC"/>
    <w:rsid w:val="000A561B"/>
    <w:rsid w:val="000A56A0"/>
    <w:rsid w:val="000A56A3"/>
    <w:rsid w:val="000A5A22"/>
    <w:rsid w:val="000A6045"/>
    <w:rsid w:val="000A6111"/>
    <w:rsid w:val="000A73AF"/>
    <w:rsid w:val="000A7661"/>
    <w:rsid w:val="000A7B6C"/>
    <w:rsid w:val="000B0385"/>
    <w:rsid w:val="000B0F32"/>
    <w:rsid w:val="000B23AC"/>
    <w:rsid w:val="000B2C23"/>
    <w:rsid w:val="000B2D17"/>
    <w:rsid w:val="000B51F4"/>
    <w:rsid w:val="000B55ED"/>
    <w:rsid w:val="000B5DAE"/>
    <w:rsid w:val="000B5E04"/>
    <w:rsid w:val="000B696B"/>
    <w:rsid w:val="000B71A9"/>
    <w:rsid w:val="000B7CD1"/>
    <w:rsid w:val="000C0E75"/>
    <w:rsid w:val="000C1163"/>
    <w:rsid w:val="000C1C8F"/>
    <w:rsid w:val="000C1F87"/>
    <w:rsid w:val="000C2392"/>
    <w:rsid w:val="000C28F8"/>
    <w:rsid w:val="000C2921"/>
    <w:rsid w:val="000C304B"/>
    <w:rsid w:val="000C3256"/>
    <w:rsid w:val="000C4056"/>
    <w:rsid w:val="000C414E"/>
    <w:rsid w:val="000C43C9"/>
    <w:rsid w:val="000C480E"/>
    <w:rsid w:val="000C5AE1"/>
    <w:rsid w:val="000C6E5D"/>
    <w:rsid w:val="000C718B"/>
    <w:rsid w:val="000C7B92"/>
    <w:rsid w:val="000C7FE5"/>
    <w:rsid w:val="000D027F"/>
    <w:rsid w:val="000D03CD"/>
    <w:rsid w:val="000D08F4"/>
    <w:rsid w:val="000D14FC"/>
    <w:rsid w:val="000D1C0E"/>
    <w:rsid w:val="000D39D1"/>
    <w:rsid w:val="000D3A0E"/>
    <w:rsid w:val="000D4BE6"/>
    <w:rsid w:val="000D4C73"/>
    <w:rsid w:val="000D4E51"/>
    <w:rsid w:val="000D55EA"/>
    <w:rsid w:val="000D675B"/>
    <w:rsid w:val="000D6E50"/>
    <w:rsid w:val="000D71DD"/>
    <w:rsid w:val="000D7E22"/>
    <w:rsid w:val="000E08C1"/>
    <w:rsid w:val="000E120E"/>
    <w:rsid w:val="000E18BD"/>
    <w:rsid w:val="000E1E08"/>
    <w:rsid w:val="000E2777"/>
    <w:rsid w:val="000E2FCD"/>
    <w:rsid w:val="000E2FDB"/>
    <w:rsid w:val="000E3070"/>
    <w:rsid w:val="000E3225"/>
    <w:rsid w:val="000E3290"/>
    <w:rsid w:val="000E36B6"/>
    <w:rsid w:val="000E37EE"/>
    <w:rsid w:val="000E39EE"/>
    <w:rsid w:val="000E3C95"/>
    <w:rsid w:val="000E3E0F"/>
    <w:rsid w:val="000E5959"/>
    <w:rsid w:val="000E5E5A"/>
    <w:rsid w:val="000E6484"/>
    <w:rsid w:val="000E6A49"/>
    <w:rsid w:val="000E6E70"/>
    <w:rsid w:val="000E7967"/>
    <w:rsid w:val="000F0C41"/>
    <w:rsid w:val="000F0E1C"/>
    <w:rsid w:val="000F1303"/>
    <w:rsid w:val="000F15C0"/>
    <w:rsid w:val="000F2188"/>
    <w:rsid w:val="000F26DC"/>
    <w:rsid w:val="000F2994"/>
    <w:rsid w:val="000F2F62"/>
    <w:rsid w:val="000F328B"/>
    <w:rsid w:val="000F4C97"/>
    <w:rsid w:val="000F4D5E"/>
    <w:rsid w:val="000F4EBF"/>
    <w:rsid w:val="000F6908"/>
    <w:rsid w:val="000F75DE"/>
    <w:rsid w:val="000F7912"/>
    <w:rsid w:val="00100279"/>
    <w:rsid w:val="00100344"/>
    <w:rsid w:val="00101BE9"/>
    <w:rsid w:val="00101C6B"/>
    <w:rsid w:val="00101DEC"/>
    <w:rsid w:val="00101EE9"/>
    <w:rsid w:val="001026CB"/>
    <w:rsid w:val="00103F8D"/>
    <w:rsid w:val="0010660A"/>
    <w:rsid w:val="0010673F"/>
    <w:rsid w:val="00106CAF"/>
    <w:rsid w:val="00107142"/>
    <w:rsid w:val="00107296"/>
    <w:rsid w:val="0010760F"/>
    <w:rsid w:val="001076F9"/>
    <w:rsid w:val="0010798D"/>
    <w:rsid w:val="001110C7"/>
    <w:rsid w:val="00111422"/>
    <w:rsid w:val="001125FD"/>
    <w:rsid w:val="001130FC"/>
    <w:rsid w:val="00113419"/>
    <w:rsid w:val="00113C0C"/>
    <w:rsid w:val="00113DD9"/>
    <w:rsid w:val="001153CA"/>
    <w:rsid w:val="0011553F"/>
    <w:rsid w:val="00115A63"/>
    <w:rsid w:val="00115D06"/>
    <w:rsid w:val="00115EDD"/>
    <w:rsid w:val="00116F53"/>
    <w:rsid w:val="001172FA"/>
    <w:rsid w:val="0011791C"/>
    <w:rsid w:val="001203EF"/>
    <w:rsid w:val="00120860"/>
    <w:rsid w:val="001212F3"/>
    <w:rsid w:val="00121811"/>
    <w:rsid w:val="00121942"/>
    <w:rsid w:val="001227B4"/>
    <w:rsid w:val="0012318A"/>
    <w:rsid w:val="001237BE"/>
    <w:rsid w:val="001238E0"/>
    <w:rsid w:val="00125350"/>
    <w:rsid w:val="00125B7E"/>
    <w:rsid w:val="001263DB"/>
    <w:rsid w:val="00126861"/>
    <w:rsid w:val="00126AB9"/>
    <w:rsid w:val="00126F3E"/>
    <w:rsid w:val="00127EBB"/>
    <w:rsid w:val="00130322"/>
    <w:rsid w:val="00130395"/>
    <w:rsid w:val="00130CEA"/>
    <w:rsid w:val="00131FA8"/>
    <w:rsid w:val="001327A8"/>
    <w:rsid w:val="00132DD6"/>
    <w:rsid w:val="0013430A"/>
    <w:rsid w:val="001346E7"/>
    <w:rsid w:val="00135102"/>
    <w:rsid w:val="00135A53"/>
    <w:rsid w:val="00135C2F"/>
    <w:rsid w:val="001362E7"/>
    <w:rsid w:val="00137377"/>
    <w:rsid w:val="00137D84"/>
    <w:rsid w:val="00137F8C"/>
    <w:rsid w:val="00140066"/>
    <w:rsid w:val="0014049D"/>
    <w:rsid w:val="00140DD4"/>
    <w:rsid w:val="00141125"/>
    <w:rsid w:val="001414A9"/>
    <w:rsid w:val="0014369E"/>
    <w:rsid w:val="001436C9"/>
    <w:rsid w:val="001438B8"/>
    <w:rsid w:val="001450A4"/>
    <w:rsid w:val="001451E0"/>
    <w:rsid w:val="00145669"/>
    <w:rsid w:val="0014586D"/>
    <w:rsid w:val="001458D5"/>
    <w:rsid w:val="00145999"/>
    <w:rsid w:val="00145F7B"/>
    <w:rsid w:val="0014606F"/>
    <w:rsid w:val="0014675A"/>
    <w:rsid w:val="001467D9"/>
    <w:rsid w:val="00146B94"/>
    <w:rsid w:val="00146BB8"/>
    <w:rsid w:val="00146BD4"/>
    <w:rsid w:val="00146C4B"/>
    <w:rsid w:val="00147195"/>
    <w:rsid w:val="001476BC"/>
    <w:rsid w:val="00150D56"/>
    <w:rsid w:val="001511A4"/>
    <w:rsid w:val="00151538"/>
    <w:rsid w:val="00151825"/>
    <w:rsid w:val="001519B1"/>
    <w:rsid w:val="00151BD2"/>
    <w:rsid w:val="00152147"/>
    <w:rsid w:val="001523D8"/>
    <w:rsid w:val="00152796"/>
    <w:rsid w:val="00152831"/>
    <w:rsid w:val="00152BFD"/>
    <w:rsid w:val="00152EC3"/>
    <w:rsid w:val="00152FA5"/>
    <w:rsid w:val="0015371B"/>
    <w:rsid w:val="00153C31"/>
    <w:rsid w:val="00154025"/>
    <w:rsid w:val="001542A5"/>
    <w:rsid w:val="00154433"/>
    <w:rsid w:val="00154C4F"/>
    <w:rsid w:val="00154CB0"/>
    <w:rsid w:val="00154F0B"/>
    <w:rsid w:val="001562B6"/>
    <w:rsid w:val="001565D2"/>
    <w:rsid w:val="001579BD"/>
    <w:rsid w:val="001601F3"/>
    <w:rsid w:val="00160A05"/>
    <w:rsid w:val="00160F7A"/>
    <w:rsid w:val="0016241F"/>
    <w:rsid w:val="00162870"/>
    <w:rsid w:val="00162CC6"/>
    <w:rsid w:val="00162D0B"/>
    <w:rsid w:val="001645DE"/>
    <w:rsid w:val="00164A3E"/>
    <w:rsid w:val="00164A8B"/>
    <w:rsid w:val="00164B8F"/>
    <w:rsid w:val="00164C7C"/>
    <w:rsid w:val="001655D8"/>
    <w:rsid w:val="00165996"/>
    <w:rsid w:val="0016668B"/>
    <w:rsid w:val="00166DFE"/>
    <w:rsid w:val="00167824"/>
    <w:rsid w:val="00167ACD"/>
    <w:rsid w:val="00167BC1"/>
    <w:rsid w:val="001702C0"/>
    <w:rsid w:val="00170511"/>
    <w:rsid w:val="00170ABE"/>
    <w:rsid w:val="001712A9"/>
    <w:rsid w:val="00172BC7"/>
    <w:rsid w:val="001737FE"/>
    <w:rsid w:val="00174255"/>
    <w:rsid w:val="00174F81"/>
    <w:rsid w:val="00175166"/>
    <w:rsid w:val="001753C9"/>
    <w:rsid w:val="001755DC"/>
    <w:rsid w:val="001766E6"/>
    <w:rsid w:val="00176DDA"/>
    <w:rsid w:val="001770F8"/>
    <w:rsid w:val="00177BBE"/>
    <w:rsid w:val="00177F33"/>
    <w:rsid w:val="001804D0"/>
    <w:rsid w:val="00180AFD"/>
    <w:rsid w:val="001810F8"/>
    <w:rsid w:val="001814EE"/>
    <w:rsid w:val="001815AD"/>
    <w:rsid w:val="00181D64"/>
    <w:rsid w:val="00182113"/>
    <w:rsid w:val="00182782"/>
    <w:rsid w:val="00182C29"/>
    <w:rsid w:val="00183BA4"/>
    <w:rsid w:val="00183BF5"/>
    <w:rsid w:val="00184ACB"/>
    <w:rsid w:val="001851FA"/>
    <w:rsid w:val="00185D03"/>
    <w:rsid w:val="00185E13"/>
    <w:rsid w:val="00186BB8"/>
    <w:rsid w:val="00186CAC"/>
    <w:rsid w:val="001870FA"/>
    <w:rsid w:val="001872B4"/>
    <w:rsid w:val="0018790C"/>
    <w:rsid w:val="00187A67"/>
    <w:rsid w:val="00191042"/>
    <w:rsid w:val="001913BA"/>
    <w:rsid w:val="00191A36"/>
    <w:rsid w:val="00191AB8"/>
    <w:rsid w:val="00192E67"/>
    <w:rsid w:val="001946D2"/>
    <w:rsid w:val="001948F2"/>
    <w:rsid w:val="00194C59"/>
    <w:rsid w:val="00194E5E"/>
    <w:rsid w:val="00195FD3"/>
    <w:rsid w:val="001960CD"/>
    <w:rsid w:val="001963D3"/>
    <w:rsid w:val="00196CF0"/>
    <w:rsid w:val="00197A0E"/>
    <w:rsid w:val="001A0815"/>
    <w:rsid w:val="001A1A75"/>
    <w:rsid w:val="001A2055"/>
    <w:rsid w:val="001A28C2"/>
    <w:rsid w:val="001A3135"/>
    <w:rsid w:val="001A3239"/>
    <w:rsid w:val="001A35FE"/>
    <w:rsid w:val="001A394E"/>
    <w:rsid w:val="001A398B"/>
    <w:rsid w:val="001A4524"/>
    <w:rsid w:val="001A4AB1"/>
    <w:rsid w:val="001A5942"/>
    <w:rsid w:val="001A5DAE"/>
    <w:rsid w:val="001A60C3"/>
    <w:rsid w:val="001A60CA"/>
    <w:rsid w:val="001A61F5"/>
    <w:rsid w:val="001A6464"/>
    <w:rsid w:val="001A6934"/>
    <w:rsid w:val="001A7026"/>
    <w:rsid w:val="001B03B0"/>
    <w:rsid w:val="001B0DCC"/>
    <w:rsid w:val="001B1D60"/>
    <w:rsid w:val="001B24C4"/>
    <w:rsid w:val="001B31C0"/>
    <w:rsid w:val="001B395D"/>
    <w:rsid w:val="001B40C1"/>
    <w:rsid w:val="001B4CBF"/>
    <w:rsid w:val="001B54EF"/>
    <w:rsid w:val="001B567D"/>
    <w:rsid w:val="001B56E5"/>
    <w:rsid w:val="001B6000"/>
    <w:rsid w:val="001B657B"/>
    <w:rsid w:val="001B7B01"/>
    <w:rsid w:val="001B7ECF"/>
    <w:rsid w:val="001B7FB1"/>
    <w:rsid w:val="001C0604"/>
    <w:rsid w:val="001C1BF3"/>
    <w:rsid w:val="001C2215"/>
    <w:rsid w:val="001C2467"/>
    <w:rsid w:val="001C2FB8"/>
    <w:rsid w:val="001C3563"/>
    <w:rsid w:val="001C38DC"/>
    <w:rsid w:val="001C44C2"/>
    <w:rsid w:val="001C4554"/>
    <w:rsid w:val="001C4F67"/>
    <w:rsid w:val="001C5320"/>
    <w:rsid w:val="001C54B7"/>
    <w:rsid w:val="001C64C2"/>
    <w:rsid w:val="001C6A7F"/>
    <w:rsid w:val="001C78B5"/>
    <w:rsid w:val="001C7F2C"/>
    <w:rsid w:val="001D0EFA"/>
    <w:rsid w:val="001D126D"/>
    <w:rsid w:val="001D190E"/>
    <w:rsid w:val="001D2825"/>
    <w:rsid w:val="001D30FB"/>
    <w:rsid w:val="001D3176"/>
    <w:rsid w:val="001D33C2"/>
    <w:rsid w:val="001D39BB"/>
    <w:rsid w:val="001D3EA7"/>
    <w:rsid w:val="001D40BF"/>
    <w:rsid w:val="001D4AD7"/>
    <w:rsid w:val="001D4CA2"/>
    <w:rsid w:val="001D4CFC"/>
    <w:rsid w:val="001D5555"/>
    <w:rsid w:val="001D5677"/>
    <w:rsid w:val="001D5C33"/>
    <w:rsid w:val="001D6C17"/>
    <w:rsid w:val="001D6CD5"/>
    <w:rsid w:val="001E0039"/>
    <w:rsid w:val="001E057F"/>
    <w:rsid w:val="001E0801"/>
    <w:rsid w:val="001E0CB4"/>
    <w:rsid w:val="001E1339"/>
    <w:rsid w:val="001E1E0C"/>
    <w:rsid w:val="001E2BD7"/>
    <w:rsid w:val="001E3885"/>
    <w:rsid w:val="001E3B70"/>
    <w:rsid w:val="001E486B"/>
    <w:rsid w:val="001E50A2"/>
    <w:rsid w:val="001E5811"/>
    <w:rsid w:val="001E589B"/>
    <w:rsid w:val="001E609E"/>
    <w:rsid w:val="001E60F3"/>
    <w:rsid w:val="001E61C3"/>
    <w:rsid w:val="001E66B0"/>
    <w:rsid w:val="001F008E"/>
    <w:rsid w:val="001F0C91"/>
    <w:rsid w:val="001F0F0A"/>
    <w:rsid w:val="001F17D0"/>
    <w:rsid w:val="001F1A4C"/>
    <w:rsid w:val="001F1DBF"/>
    <w:rsid w:val="001F21CC"/>
    <w:rsid w:val="001F23C8"/>
    <w:rsid w:val="001F264B"/>
    <w:rsid w:val="001F2D7E"/>
    <w:rsid w:val="001F350D"/>
    <w:rsid w:val="001F3C2B"/>
    <w:rsid w:val="001F41DF"/>
    <w:rsid w:val="001F42E7"/>
    <w:rsid w:val="001F4388"/>
    <w:rsid w:val="001F4768"/>
    <w:rsid w:val="001F4D14"/>
    <w:rsid w:val="001F50AF"/>
    <w:rsid w:val="001F52CD"/>
    <w:rsid w:val="001F5803"/>
    <w:rsid w:val="001F7620"/>
    <w:rsid w:val="001F7E3E"/>
    <w:rsid w:val="002001B6"/>
    <w:rsid w:val="0020021D"/>
    <w:rsid w:val="00200589"/>
    <w:rsid w:val="002023AB"/>
    <w:rsid w:val="00203A8F"/>
    <w:rsid w:val="00203D29"/>
    <w:rsid w:val="00203DA7"/>
    <w:rsid w:val="00204475"/>
    <w:rsid w:val="00205709"/>
    <w:rsid w:val="00205F92"/>
    <w:rsid w:val="002063AC"/>
    <w:rsid w:val="0020686C"/>
    <w:rsid w:val="00206F15"/>
    <w:rsid w:val="002071F1"/>
    <w:rsid w:val="0021050B"/>
    <w:rsid w:val="00210FBD"/>
    <w:rsid w:val="00211000"/>
    <w:rsid w:val="002111D0"/>
    <w:rsid w:val="00211649"/>
    <w:rsid w:val="00211E8D"/>
    <w:rsid w:val="00211F06"/>
    <w:rsid w:val="002125C9"/>
    <w:rsid w:val="00212A21"/>
    <w:rsid w:val="00212C7D"/>
    <w:rsid w:val="00213392"/>
    <w:rsid w:val="00213406"/>
    <w:rsid w:val="00213BFE"/>
    <w:rsid w:val="0021411B"/>
    <w:rsid w:val="00214166"/>
    <w:rsid w:val="002141B2"/>
    <w:rsid w:val="00214667"/>
    <w:rsid w:val="0021492C"/>
    <w:rsid w:val="00214B66"/>
    <w:rsid w:val="00217713"/>
    <w:rsid w:val="002178B4"/>
    <w:rsid w:val="00220CED"/>
    <w:rsid w:val="00220F9B"/>
    <w:rsid w:val="00221A66"/>
    <w:rsid w:val="00221E38"/>
    <w:rsid w:val="0022274B"/>
    <w:rsid w:val="002229C4"/>
    <w:rsid w:val="0022325C"/>
    <w:rsid w:val="0022480A"/>
    <w:rsid w:val="00224EDC"/>
    <w:rsid w:val="00225054"/>
    <w:rsid w:val="00225529"/>
    <w:rsid w:val="00225F9F"/>
    <w:rsid w:val="0022685D"/>
    <w:rsid w:val="00226C84"/>
    <w:rsid w:val="00227391"/>
    <w:rsid w:val="0023096A"/>
    <w:rsid w:val="00231416"/>
    <w:rsid w:val="00231EBE"/>
    <w:rsid w:val="00232240"/>
    <w:rsid w:val="002327DA"/>
    <w:rsid w:val="002329CB"/>
    <w:rsid w:val="00232FCF"/>
    <w:rsid w:val="002330F9"/>
    <w:rsid w:val="00233B12"/>
    <w:rsid w:val="002342F9"/>
    <w:rsid w:val="00235977"/>
    <w:rsid w:val="002365C0"/>
    <w:rsid w:val="00237475"/>
    <w:rsid w:val="002375C3"/>
    <w:rsid w:val="002375FE"/>
    <w:rsid w:val="00240B54"/>
    <w:rsid w:val="00240EA1"/>
    <w:rsid w:val="002411AD"/>
    <w:rsid w:val="0024125D"/>
    <w:rsid w:val="0024198A"/>
    <w:rsid w:val="00241D9F"/>
    <w:rsid w:val="00241DC3"/>
    <w:rsid w:val="00241FD0"/>
    <w:rsid w:val="002428A2"/>
    <w:rsid w:val="00242C65"/>
    <w:rsid w:val="00243FA7"/>
    <w:rsid w:val="00244669"/>
    <w:rsid w:val="00245B94"/>
    <w:rsid w:val="00246B04"/>
    <w:rsid w:val="002470D7"/>
    <w:rsid w:val="002507CA"/>
    <w:rsid w:val="002515CE"/>
    <w:rsid w:val="002523D4"/>
    <w:rsid w:val="00252BBD"/>
    <w:rsid w:val="00252C4D"/>
    <w:rsid w:val="0025308F"/>
    <w:rsid w:val="0025377C"/>
    <w:rsid w:val="00254139"/>
    <w:rsid w:val="00255597"/>
    <w:rsid w:val="00255ECD"/>
    <w:rsid w:val="00256688"/>
    <w:rsid w:val="00256CE5"/>
    <w:rsid w:val="0025760D"/>
    <w:rsid w:val="00257667"/>
    <w:rsid w:val="0025778A"/>
    <w:rsid w:val="00257F0A"/>
    <w:rsid w:val="00257F3A"/>
    <w:rsid w:val="00260DE4"/>
    <w:rsid w:val="00261279"/>
    <w:rsid w:val="0026132B"/>
    <w:rsid w:val="00261E89"/>
    <w:rsid w:val="00261F1D"/>
    <w:rsid w:val="00262EFF"/>
    <w:rsid w:val="002644BA"/>
    <w:rsid w:val="00264AE7"/>
    <w:rsid w:val="00265DC2"/>
    <w:rsid w:val="00266A5D"/>
    <w:rsid w:val="002704ED"/>
    <w:rsid w:val="0027069A"/>
    <w:rsid w:val="00270ADC"/>
    <w:rsid w:val="00270CD9"/>
    <w:rsid w:val="00270D88"/>
    <w:rsid w:val="00270E40"/>
    <w:rsid w:val="00271246"/>
    <w:rsid w:val="002712EE"/>
    <w:rsid w:val="00271EB4"/>
    <w:rsid w:val="00272D08"/>
    <w:rsid w:val="002735A3"/>
    <w:rsid w:val="002736C5"/>
    <w:rsid w:val="00273820"/>
    <w:rsid w:val="00273B9F"/>
    <w:rsid w:val="002758B7"/>
    <w:rsid w:val="00275A13"/>
    <w:rsid w:val="00275AD1"/>
    <w:rsid w:val="00276033"/>
    <w:rsid w:val="00276AED"/>
    <w:rsid w:val="002774A2"/>
    <w:rsid w:val="00277C1B"/>
    <w:rsid w:val="00280689"/>
    <w:rsid w:val="00280DFE"/>
    <w:rsid w:val="00281529"/>
    <w:rsid w:val="0028192B"/>
    <w:rsid w:val="00281C59"/>
    <w:rsid w:val="0028251C"/>
    <w:rsid w:val="002831D7"/>
    <w:rsid w:val="00284012"/>
    <w:rsid w:val="002843B2"/>
    <w:rsid w:val="0028443B"/>
    <w:rsid w:val="002847F3"/>
    <w:rsid w:val="00284B0B"/>
    <w:rsid w:val="00284E18"/>
    <w:rsid w:val="00284F42"/>
    <w:rsid w:val="0028550E"/>
    <w:rsid w:val="0028571D"/>
    <w:rsid w:val="00285AC9"/>
    <w:rsid w:val="00286E70"/>
    <w:rsid w:val="00286F11"/>
    <w:rsid w:val="00287012"/>
    <w:rsid w:val="00287809"/>
    <w:rsid w:val="00287A64"/>
    <w:rsid w:val="00287AFF"/>
    <w:rsid w:val="00287FAB"/>
    <w:rsid w:val="0029063B"/>
    <w:rsid w:val="00291967"/>
    <w:rsid w:val="00292578"/>
    <w:rsid w:val="0029259B"/>
    <w:rsid w:val="00292BB3"/>
    <w:rsid w:val="0029304C"/>
    <w:rsid w:val="00293421"/>
    <w:rsid w:val="002938E4"/>
    <w:rsid w:val="002950C2"/>
    <w:rsid w:val="002961AA"/>
    <w:rsid w:val="00297313"/>
    <w:rsid w:val="0029774E"/>
    <w:rsid w:val="002979F9"/>
    <w:rsid w:val="002A1372"/>
    <w:rsid w:val="002A1695"/>
    <w:rsid w:val="002A1710"/>
    <w:rsid w:val="002A2C53"/>
    <w:rsid w:val="002A366E"/>
    <w:rsid w:val="002A51B1"/>
    <w:rsid w:val="002A591A"/>
    <w:rsid w:val="002A5CC3"/>
    <w:rsid w:val="002A69B7"/>
    <w:rsid w:val="002A702F"/>
    <w:rsid w:val="002A7108"/>
    <w:rsid w:val="002A74E2"/>
    <w:rsid w:val="002A78BC"/>
    <w:rsid w:val="002B001C"/>
    <w:rsid w:val="002B1958"/>
    <w:rsid w:val="002B1C05"/>
    <w:rsid w:val="002B1E45"/>
    <w:rsid w:val="002B2013"/>
    <w:rsid w:val="002B2B32"/>
    <w:rsid w:val="002B2D6D"/>
    <w:rsid w:val="002B4627"/>
    <w:rsid w:val="002B4A07"/>
    <w:rsid w:val="002B5381"/>
    <w:rsid w:val="002B53C6"/>
    <w:rsid w:val="002B65EC"/>
    <w:rsid w:val="002B6F3A"/>
    <w:rsid w:val="002C03EC"/>
    <w:rsid w:val="002C0455"/>
    <w:rsid w:val="002C0976"/>
    <w:rsid w:val="002C09DB"/>
    <w:rsid w:val="002C1448"/>
    <w:rsid w:val="002C25D2"/>
    <w:rsid w:val="002C2B76"/>
    <w:rsid w:val="002C3886"/>
    <w:rsid w:val="002C3D23"/>
    <w:rsid w:val="002C4467"/>
    <w:rsid w:val="002C4EF3"/>
    <w:rsid w:val="002C5590"/>
    <w:rsid w:val="002C6984"/>
    <w:rsid w:val="002C6D41"/>
    <w:rsid w:val="002C6F64"/>
    <w:rsid w:val="002C75AF"/>
    <w:rsid w:val="002C7A09"/>
    <w:rsid w:val="002C7B9A"/>
    <w:rsid w:val="002C7D6E"/>
    <w:rsid w:val="002C7E3E"/>
    <w:rsid w:val="002D1BF2"/>
    <w:rsid w:val="002D1FF3"/>
    <w:rsid w:val="002D2049"/>
    <w:rsid w:val="002D2376"/>
    <w:rsid w:val="002D28A9"/>
    <w:rsid w:val="002D4961"/>
    <w:rsid w:val="002D4BB7"/>
    <w:rsid w:val="002D4DC4"/>
    <w:rsid w:val="002D5907"/>
    <w:rsid w:val="002D593A"/>
    <w:rsid w:val="002D5C42"/>
    <w:rsid w:val="002D632F"/>
    <w:rsid w:val="002D67EF"/>
    <w:rsid w:val="002D6C0A"/>
    <w:rsid w:val="002D6DB7"/>
    <w:rsid w:val="002D71AF"/>
    <w:rsid w:val="002E04F2"/>
    <w:rsid w:val="002E078A"/>
    <w:rsid w:val="002E14B6"/>
    <w:rsid w:val="002E1B8D"/>
    <w:rsid w:val="002E2CB0"/>
    <w:rsid w:val="002E49C3"/>
    <w:rsid w:val="002E4B70"/>
    <w:rsid w:val="002E6FE6"/>
    <w:rsid w:val="002E781D"/>
    <w:rsid w:val="002E7907"/>
    <w:rsid w:val="002F0502"/>
    <w:rsid w:val="002F23A4"/>
    <w:rsid w:val="002F312B"/>
    <w:rsid w:val="002F3135"/>
    <w:rsid w:val="002F474E"/>
    <w:rsid w:val="002F4F13"/>
    <w:rsid w:val="002F5A50"/>
    <w:rsid w:val="002F69FE"/>
    <w:rsid w:val="002F7532"/>
    <w:rsid w:val="0030045E"/>
    <w:rsid w:val="00300D02"/>
    <w:rsid w:val="0030102E"/>
    <w:rsid w:val="003013C9"/>
    <w:rsid w:val="00301F32"/>
    <w:rsid w:val="003023B5"/>
    <w:rsid w:val="00303836"/>
    <w:rsid w:val="0030417E"/>
    <w:rsid w:val="0030464F"/>
    <w:rsid w:val="003068B6"/>
    <w:rsid w:val="00306CAB"/>
    <w:rsid w:val="00307470"/>
    <w:rsid w:val="00310023"/>
    <w:rsid w:val="003102A5"/>
    <w:rsid w:val="00310F72"/>
    <w:rsid w:val="00311987"/>
    <w:rsid w:val="00311B8F"/>
    <w:rsid w:val="003136C8"/>
    <w:rsid w:val="00313D68"/>
    <w:rsid w:val="00314C4E"/>
    <w:rsid w:val="00315030"/>
    <w:rsid w:val="00316292"/>
    <w:rsid w:val="00317379"/>
    <w:rsid w:val="00317654"/>
    <w:rsid w:val="00317C34"/>
    <w:rsid w:val="003201B3"/>
    <w:rsid w:val="00321493"/>
    <w:rsid w:val="00321597"/>
    <w:rsid w:val="00322228"/>
    <w:rsid w:val="003235EC"/>
    <w:rsid w:val="0032418C"/>
    <w:rsid w:val="003242FF"/>
    <w:rsid w:val="003250A2"/>
    <w:rsid w:val="0032658D"/>
    <w:rsid w:val="00326895"/>
    <w:rsid w:val="00326C66"/>
    <w:rsid w:val="00326E1C"/>
    <w:rsid w:val="00326FEB"/>
    <w:rsid w:val="003307C7"/>
    <w:rsid w:val="00331B48"/>
    <w:rsid w:val="00332008"/>
    <w:rsid w:val="003322C2"/>
    <w:rsid w:val="003323D3"/>
    <w:rsid w:val="003327C2"/>
    <w:rsid w:val="00332D41"/>
    <w:rsid w:val="003331EE"/>
    <w:rsid w:val="003345D4"/>
    <w:rsid w:val="003346B3"/>
    <w:rsid w:val="003348B9"/>
    <w:rsid w:val="00334EB7"/>
    <w:rsid w:val="00334EFE"/>
    <w:rsid w:val="00335744"/>
    <w:rsid w:val="0033578E"/>
    <w:rsid w:val="003357DD"/>
    <w:rsid w:val="00335D3D"/>
    <w:rsid w:val="00336959"/>
    <w:rsid w:val="00336972"/>
    <w:rsid w:val="00336E9D"/>
    <w:rsid w:val="00337264"/>
    <w:rsid w:val="003377FD"/>
    <w:rsid w:val="00337A48"/>
    <w:rsid w:val="00340BB2"/>
    <w:rsid w:val="00341160"/>
    <w:rsid w:val="00341B43"/>
    <w:rsid w:val="00341BEA"/>
    <w:rsid w:val="00342300"/>
    <w:rsid w:val="00343277"/>
    <w:rsid w:val="00343285"/>
    <w:rsid w:val="003439EC"/>
    <w:rsid w:val="00343CF2"/>
    <w:rsid w:val="00344AA7"/>
    <w:rsid w:val="0034621B"/>
    <w:rsid w:val="00346388"/>
    <w:rsid w:val="00346911"/>
    <w:rsid w:val="0034731A"/>
    <w:rsid w:val="00347810"/>
    <w:rsid w:val="00350171"/>
    <w:rsid w:val="003509CC"/>
    <w:rsid w:val="00352282"/>
    <w:rsid w:val="00352F56"/>
    <w:rsid w:val="003532AB"/>
    <w:rsid w:val="00353522"/>
    <w:rsid w:val="003541DB"/>
    <w:rsid w:val="00354239"/>
    <w:rsid w:val="00355F5A"/>
    <w:rsid w:val="00356317"/>
    <w:rsid w:val="003569D6"/>
    <w:rsid w:val="00356B66"/>
    <w:rsid w:val="003573B7"/>
    <w:rsid w:val="00357A72"/>
    <w:rsid w:val="00357CEA"/>
    <w:rsid w:val="00357D52"/>
    <w:rsid w:val="00361355"/>
    <w:rsid w:val="0036180E"/>
    <w:rsid w:val="00362151"/>
    <w:rsid w:val="00363591"/>
    <w:rsid w:val="0036407B"/>
    <w:rsid w:val="003641B2"/>
    <w:rsid w:val="0036430C"/>
    <w:rsid w:val="003648F1"/>
    <w:rsid w:val="00364F41"/>
    <w:rsid w:val="003650B1"/>
    <w:rsid w:val="00365281"/>
    <w:rsid w:val="00365DEF"/>
    <w:rsid w:val="00366145"/>
    <w:rsid w:val="00366CBA"/>
    <w:rsid w:val="00370080"/>
    <w:rsid w:val="00370ABC"/>
    <w:rsid w:val="0037145F"/>
    <w:rsid w:val="003715A5"/>
    <w:rsid w:val="0037183B"/>
    <w:rsid w:val="00371ADD"/>
    <w:rsid w:val="0037200C"/>
    <w:rsid w:val="0037256F"/>
    <w:rsid w:val="00373C59"/>
    <w:rsid w:val="00373FD2"/>
    <w:rsid w:val="00374D32"/>
    <w:rsid w:val="00374FDA"/>
    <w:rsid w:val="00375840"/>
    <w:rsid w:val="003759E7"/>
    <w:rsid w:val="00375B34"/>
    <w:rsid w:val="003760F0"/>
    <w:rsid w:val="00377037"/>
    <w:rsid w:val="0037793B"/>
    <w:rsid w:val="00377C35"/>
    <w:rsid w:val="00377CBC"/>
    <w:rsid w:val="003808BD"/>
    <w:rsid w:val="003808E5"/>
    <w:rsid w:val="00381099"/>
    <w:rsid w:val="003818BB"/>
    <w:rsid w:val="003819E2"/>
    <w:rsid w:val="00381CBD"/>
    <w:rsid w:val="003822F7"/>
    <w:rsid w:val="0038286E"/>
    <w:rsid w:val="00382BA5"/>
    <w:rsid w:val="003835FC"/>
    <w:rsid w:val="003836EE"/>
    <w:rsid w:val="00383D50"/>
    <w:rsid w:val="00384034"/>
    <w:rsid w:val="003840E4"/>
    <w:rsid w:val="003847BE"/>
    <w:rsid w:val="00385762"/>
    <w:rsid w:val="00385BDD"/>
    <w:rsid w:val="00385C0F"/>
    <w:rsid w:val="00387192"/>
    <w:rsid w:val="00387747"/>
    <w:rsid w:val="00390644"/>
    <w:rsid w:val="00390E1F"/>
    <w:rsid w:val="00390EA9"/>
    <w:rsid w:val="00390EB1"/>
    <w:rsid w:val="00390ED2"/>
    <w:rsid w:val="003919FD"/>
    <w:rsid w:val="00391E2B"/>
    <w:rsid w:val="0039281E"/>
    <w:rsid w:val="00393297"/>
    <w:rsid w:val="00393370"/>
    <w:rsid w:val="00394157"/>
    <w:rsid w:val="00394627"/>
    <w:rsid w:val="00394880"/>
    <w:rsid w:val="00396CB1"/>
    <w:rsid w:val="00397499"/>
    <w:rsid w:val="003978EC"/>
    <w:rsid w:val="003A0972"/>
    <w:rsid w:val="003A0F70"/>
    <w:rsid w:val="003A10F5"/>
    <w:rsid w:val="003A1813"/>
    <w:rsid w:val="003A1D2C"/>
    <w:rsid w:val="003A2166"/>
    <w:rsid w:val="003A2431"/>
    <w:rsid w:val="003A25C6"/>
    <w:rsid w:val="003A379A"/>
    <w:rsid w:val="003A48E4"/>
    <w:rsid w:val="003A48FC"/>
    <w:rsid w:val="003A4CE2"/>
    <w:rsid w:val="003A5F11"/>
    <w:rsid w:val="003A63DA"/>
    <w:rsid w:val="003A6944"/>
    <w:rsid w:val="003A78EA"/>
    <w:rsid w:val="003B07DA"/>
    <w:rsid w:val="003B0ED9"/>
    <w:rsid w:val="003B168F"/>
    <w:rsid w:val="003B1F05"/>
    <w:rsid w:val="003B2498"/>
    <w:rsid w:val="003B29A9"/>
    <w:rsid w:val="003B2A53"/>
    <w:rsid w:val="003B2CFC"/>
    <w:rsid w:val="003B304B"/>
    <w:rsid w:val="003B30BE"/>
    <w:rsid w:val="003B3488"/>
    <w:rsid w:val="003B56D1"/>
    <w:rsid w:val="003B5DBD"/>
    <w:rsid w:val="003B712A"/>
    <w:rsid w:val="003B76AF"/>
    <w:rsid w:val="003B7D4A"/>
    <w:rsid w:val="003C0D73"/>
    <w:rsid w:val="003C1BF8"/>
    <w:rsid w:val="003C2C08"/>
    <w:rsid w:val="003C42B3"/>
    <w:rsid w:val="003C4F41"/>
    <w:rsid w:val="003C4FF5"/>
    <w:rsid w:val="003C5D1D"/>
    <w:rsid w:val="003C6578"/>
    <w:rsid w:val="003C660C"/>
    <w:rsid w:val="003C6852"/>
    <w:rsid w:val="003C7385"/>
    <w:rsid w:val="003C76A7"/>
    <w:rsid w:val="003C7C87"/>
    <w:rsid w:val="003C7E0A"/>
    <w:rsid w:val="003C7F7D"/>
    <w:rsid w:val="003D017E"/>
    <w:rsid w:val="003D0DB9"/>
    <w:rsid w:val="003D0DDF"/>
    <w:rsid w:val="003D18AE"/>
    <w:rsid w:val="003D239C"/>
    <w:rsid w:val="003D25A5"/>
    <w:rsid w:val="003D2931"/>
    <w:rsid w:val="003D2BC1"/>
    <w:rsid w:val="003D2E01"/>
    <w:rsid w:val="003D44AC"/>
    <w:rsid w:val="003D49B2"/>
    <w:rsid w:val="003D4B90"/>
    <w:rsid w:val="003D4BC9"/>
    <w:rsid w:val="003D4CB7"/>
    <w:rsid w:val="003D56CE"/>
    <w:rsid w:val="003D6299"/>
    <w:rsid w:val="003D6CB8"/>
    <w:rsid w:val="003D6D05"/>
    <w:rsid w:val="003D771E"/>
    <w:rsid w:val="003E1632"/>
    <w:rsid w:val="003E1B10"/>
    <w:rsid w:val="003E24F0"/>
    <w:rsid w:val="003E2AF3"/>
    <w:rsid w:val="003E31BD"/>
    <w:rsid w:val="003E3674"/>
    <w:rsid w:val="003E38F8"/>
    <w:rsid w:val="003E3CAF"/>
    <w:rsid w:val="003E4D0A"/>
    <w:rsid w:val="003E59F8"/>
    <w:rsid w:val="003E6BC7"/>
    <w:rsid w:val="003E6CA2"/>
    <w:rsid w:val="003E7579"/>
    <w:rsid w:val="003E7D3A"/>
    <w:rsid w:val="003F012B"/>
    <w:rsid w:val="003F0249"/>
    <w:rsid w:val="003F027E"/>
    <w:rsid w:val="003F0561"/>
    <w:rsid w:val="003F069B"/>
    <w:rsid w:val="003F0792"/>
    <w:rsid w:val="003F098C"/>
    <w:rsid w:val="003F140B"/>
    <w:rsid w:val="003F143D"/>
    <w:rsid w:val="003F1A5A"/>
    <w:rsid w:val="003F3CB6"/>
    <w:rsid w:val="003F448E"/>
    <w:rsid w:val="003F4793"/>
    <w:rsid w:val="003F4911"/>
    <w:rsid w:val="003F5485"/>
    <w:rsid w:val="003F5D0F"/>
    <w:rsid w:val="003F5F43"/>
    <w:rsid w:val="003F63AF"/>
    <w:rsid w:val="003F701F"/>
    <w:rsid w:val="003F7029"/>
    <w:rsid w:val="003F7DA0"/>
    <w:rsid w:val="003F7F1C"/>
    <w:rsid w:val="00400915"/>
    <w:rsid w:val="004018F1"/>
    <w:rsid w:val="00402003"/>
    <w:rsid w:val="004020BA"/>
    <w:rsid w:val="00402382"/>
    <w:rsid w:val="00402416"/>
    <w:rsid w:val="0040259F"/>
    <w:rsid w:val="00402A00"/>
    <w:rsid w:val="00402A52"/>
    <w:rsid w:val="00402A53"/>
    <w:rsid w:val="00402C72"/>
    <w:rsid w:val="004036B3"/>
    <w:rsid w:val="004036D6"/>
    <w:rsid w:val="00403878"/>
    <w:rsid w:val="00403D23"/>
    <w:rsid w:val="0040403C"/>
    <w:rsid w:val="00404B60"/>
    <w:rsid w:val="00404BA3"/>
    <w:rsid w:val="00405121"/>
    <w:rsid w:val="004053DA"/>
    <w:rsid w:val="00406599"/>
    <w:rsid w:val="004067EE"/>
    <w:rsid w:val="004070FD"/>
    <w:rsid w:val="00407668"/>
    <w:rsid w:val="00407CD8"/>
    <w:rsid w:val="004105EE"/>
    <w:rsid w:val="004111EF"/>
    <w:rsid w:val="0041169A"/>
    <w:rsid w:val="004118B1"/>
    <w:rsid w:val="00412155"/>
    <w:rsid w:val="004123F4"/>
    <w:rsid w:val="004127AC"/>
    <w:rsid w:val="00412E8B"/>
    <w:rsid w:val="00413122"/>
    <w:rsid w:val="004134EC"/>
    <w:rsid w:val="00414451"/>
    <w:rsid w:val="0041464B"/>
    <w:rsid w:val="0041478A"/>
    <w:rsid w:val="0041496C"/>
    <w:rsid w:val="004151E8"/>
    <w:rsid w:val="004152E6"/>
    <w:rsid w:val="004153C5"/>
    <w:rsid w:val="00415A86"/>
    <w:rsid w:val="00415ADB"/>
    <w:rsid w:val="00415EA2"/>
    <w:rsid w:val="004166ED"/>
    <w:rsid w:val="00420ACA"/>
    <w:rsid w:val="00421736"/>
    <w:rsid w:val="00421C40"/>
    <w:rsid w:val="00422B67"/>
    <w:rsid w:val="00423B3E"/>
    <w:rsid w:val="00423F09"/>
    <w:rsid w:val="004259BB"/>
    <w:rsid w:val="0042624D"/>
    <w:rsid w:val="00426369"/>
    <w:rsid w:val="004267F3"/>
    <w:rsid w:val="00426E3A"/>
    <w:rsid w:val="0043063C"/>
    <w:rsid w:val="00430D37"/>
    <w:rsid w:val="0043125F"/>
    <w:rsid w:val="0043215D"/>
    <w:rsid w:val="004326E7"/>
    <w:rsid w:val="00432BAA"/>
    <w:rsid w:val="004330DF"/>
    <w:rsid w:val="0043319F"/>
    <w:rsid w:val="004358F7"/>
    <w:rsid w:val="004367FD"/>
    <w:rsid w:val="004369C7"/>
    <w:rsid w:val="004369E8"/>
    <w:rsid w:val="00436F39"/>
    <w:rsid w:val="0043766E"/>
    <w:rsid w:val="004412A3"/>
    <w:rsid w:val="00441524"/>
    <w:rsid w:val="004416B1"/>
    <w:rsid w:val="0044188B"/>
    <w:rsid w:val="00441954"/>
    <w:rsid w:val="00441FD8"/>
    <w:rsid w:val="00442C2D"/>
    <w:rsid w:val="00442E32"/>
    <w:rsid w:val="00443059"/>
    <w:rsid w:val="004433A4"/>
    <w:rsid w:val="0044340B"/>
    <w:rsid w:val="00443507"/>
    <w:rsid w:val="00443B0C"/>
    <w:rsid w:val="00443F5E"/>
    <w:rsid w:val="00443F78"/>
    <w:rsid w:val="00444714"/>
    <w:rsid w:val="00444860"/>
    <w:rsid w:val="00444942"/>
    <w:rsid w:val="00444F9D"/>
    <w:rsid w:val="004453A1"/>
    <w:rsid w:val="004460F4"/>
    <w:rsid w:val="00446781"/>
    <w:rsid w:val="00446B10"/>
    <w:rsid w:val="00447230"/>
    <w:rsid w:val="004475AC"/>
    <w:rsid w:val="00447638"/>
    <w:rsid w:val="00447925"/>
    <w:rsid w:val="00447E7B"/>
    <w:rsid w:val="0045046C"/>
    <w:rsid w:val="004505BF"/>
    <w:rsid w:val="0045078B"/>
    <w:rsid w:val="00450C62"/>
    <w:rsid w:val="00450FAE"/>
    <w:rsid w:val="00451894"/>
    <w:rsid w:val="00451AF1"/>
    <w:rsid w:val="00451BCD"/>
    <w:rsid w:val="00451EEA"/>
    <w:rsid w:val="00451FFC"/>
    <w:rsid w:val="0045218F"/>
    <w:rsid w:val="00452E1B"/>
    <w:rsid w:val="004532BE"/>
    <w:rsid w:val="004538D3"/>
    <w:rsid w:val="00453E91"/>
    <w:rsid w:val="00454112"/>
    <w:rsid w:val="00455662"/>
    <w:rsid w:val="00455DEF"/>
    <w:rsid w:val="00455DF7"/>
    <w:rsid w:val="0045729E"/>
    <w:rsid w:val="0046003D"/>
    <w:rsid w:val="0046043E"/>
    <w:rsid w:val="00460660"/>
    <w:rsid w:val="004610DC"/>
    <w:rsid w:val="00461969"/>
    <w:rsid w:val="0046233C"/>
    <w:rsid w:val="0046265D"/>
    <w:rsid w:val="00462A71"/>
    <w:rsid w:val="00462DD5"/>
    <w:rsid w:val="00462E09"/>
    <w:rsid w:val="00463080"/>
    <w:rsid w:val="004633B9"/>
    <w:rsid w:val="00464831"/>
    <w:rsid w:val="0046484D"/>
    <w:rsid w:val="0046497C"/>
    <w:rsid w:val="004649CC"/>
    <w:rsid w:val="004650FD"/>
    <w:rsid w:val="00465987"/>
    <w:rsid w:val="00465B51"/>
    <w:rsid w:val="0046616A"/>
    <w:rsid w:val="0046618B"/>
    <w:rsid w:val="00466382"/>
    <w:rsid w:val="00467235"/>
    <w:rsid w:val="004674AB"/>
    <w:rsid w:val="0046755C"/>
    <w:rsid w:val="0046762C"/>
    <w:rsid w:val="00467F0A"/>
    <w:rsid w:val="00467F55"/>
    <w:rsid w:val="00470809"/>
    <w:rsid w:val="00470C66"/>
    <w:rsid w:val="00471416"/>
    <w:rsid w:val="00472A28"/>
    <w:rsid w:val="00473340"/>
    <w:rsid w:val="00473B5E"/>
    <w:rsid w:val="00474266"/>
    <w:rsid w:val="00474DC0"/>
    <w:rsid w:val="0047516C"/>
    <w:rsid w:val="004757CB"/>
    <w:rsid w:val="0047588F"/>
    <w:rsid w:val="00475D86"/>
    <w:rsid w:val="004764B5"/>
    <w:rsid w:val="00477396"/>
    <w:rsid w:val="004775E2"/>
    <w:rsid w:val="00477B10"/>
    <w:rsid w:val="00480DB7"/>
    <w:rsid w:val="004812CA"/>
    <w:rsid w:val="004813D8"/>
    <w:rsid w:val="004817AC"/>
    <w:rsid w:val="004819DA"/>
    <w:rsid w:val="00482302"/>
    <w:rsid w:val="00482698"/>
    <w:rsid w:val="00482878"/>
    <w:rsid w:val="00482C71"/>
    <w:rsid w:val="004842B9"/>
    <w:rsid w:val="004844A3"/>
    <w:rsid w:val="00484ED9"/>
    <w:rsid w:val="0048570E"/>
    <w:rsid w:val="00486409"/>
    <w:rsid w:val="004864B3"/>
    <w:rsid w:val="004864C9"/>
    <w:rsid w:val="004866FE"/>
    <w:rsid w:val="004872DF"/>
    <w:rsid w:val="00487425"/>
    <w:rsid w:val="00487608"/>
    <w:rsid w:val="0048776F"/>
    <w:rsid w:val="0049030F"/>
    <w:rsid w:val="0049045A"/>
    <w:rsid w:val="00490A96"/>
    <w:rsid w:val="004914F0"/>
    <w:rsid w:val="0049182B"/>
    <w:rsid w:val="00491DA2"/>
    <w:rsid w:val="0049240C"/>
    <w:rsid w:val="00492713"/>
    <w:rsid w:val="00492D5A"/>
    <w:rsid w:val="00492E3D"/>
    <w:rsid w:val="0049317E"/>
    <w:rsid w:val="00494BAF"/>
    <w:rsid w:val="00496008"/>
    <w:rsid w:val="0049608E"/>
    <w:rsid w:val="0049646B"/>
    <w:rsid w:val="004974DF"/>
    <w:rsid w:val="004974E5"/>
    <w:rsid w:val="004974FE"/>
    <w:rsid w:val="00497504"/>
    <w:rsid w:val="00497727"/>
    <w:rsid w:val="004A069A"/>
    <w:rsid w:val="004A0C0A"/>
    <w:rsid w:val="004A3194"/>
    <w:rsid w:val="004A3D20"/>
    <w:rsid w:val="004A470C"/>
    <w:rsid w:val="004A4EB6"/>
    <w:rsid w:val="004A5223"/>
    <w:rsid w:val="004A5356"/>
    <w:rsid w:val="004A575D"/>
    <w:rsid w:val="004A6A8E"/>
    <w:rsid w:val="004A6C14"/>
    <w:rsid w:val="004B0E41"/>
    <w:rsid w:val="004B131C"/>
    <w:rsid w:val="004B132E"/>
    <w:rsid w:val="004B1A9A"/>
    <w:rsid w:val="004B1E0F"/>
    <w:rsid w:val="004B2786"/>
    <w:rsid w:val="004B2C0A"/>
    <w:rsid w:val="004B35EB"/>
    <w:rsid w:val="004B3DF9"/>
    <w:rsid w:val="004B4904"/>
    <w:rsid w:val="004B71D1"/>
    <w:rsid w:val="004B72D6"/>
    <w:rsid w:val="004B7714"/>
    <w:rsid w:val="004B78D6"/>
    <w:rsid w:val="004B7D01"/>
    <w:rsid w:val="004C0126"/>
    <w:rsid w:val="004C01E3"/>
    <w:rsid w:val="004C035A"/>
    <w:rsid w:val="004C04D2"/>
    <w:rsid w:val="004C0521"/>
    <w:rsid w:val="004C0565"/>
    <w:rsid w:val="004C0C38"/>
    <w:rsid w:val="004C16F9"/>
    <w:rsid w:val="004C175F"/>
    <w:rsid w:val="004C1CBF"/>
    <w:rsid w:val="004C1E05"/>
    <w:rsid w:val="004C2414"/>
    <w:rsid w:val="004C3FDD"/>
    <w:rsid w:val="004C403B"/>
    <w:rsid w:val="004C4593"/>
    <w:rsid w:val="004C465D"/>
    <w:rsid w:val="004C4797"/>
    <w:rsid w:val="004C4DBC"/>
    <w:rsid w:val="004C55BE"/>
    <w:rsid w:val="004C6DE4"/>
    <w:rsid w:val="004C707A"/>
    <w:rsid w:val="004C711A"/>
    <w:rsid w:val="004C720C"/>
    <w:rsid w:val="004D04BA"/>
    <w:rsid w:val="004D0D1F"/>
    <w:rsid w:val="004D22FA"/>
    <w:rsid w:val="004D2369"/>
    <w:rsid w:val="004D37DE"/>
    <w:rsid w:val="004D3A27"/>
    <w:rsid w:val="004D3ABC"/>
    <w:rsid w:val="004D4CB4"/>
    <w:rsid w:val="004D4D1D"/>
    <w:rsid w:val="004D4F40"/>
    <w:rsid w:val="004D4F59"/>
    <w:rsid w:val="004D5494"/>
    <w:rsid w:val="004D6E2D"/>
    <w:rsid w:val="004E1B0A"/>
    <w:rsid w:val="004E1E5C"/>
    <w:rsid w:val="004E35C0"/>
    <w:rsid w:val="004E464B"/>
    <w:rsid w:val="004E4CCF"/>
    <w:rsid w:val="004E4D76"/>
    <w:rsid w:val="004E4FAA"/>
    <w:rsid w:val="004E5362"/>
    <w:rsid w:val="004E6787"/>
    <w:rsid w:val="004E68B1"/>
    <w:rsid w:val="004E6998"/>
    <w:rsid w:val="004E72C1"/>
    <w:rsid w:val="004E7DBA"/>
    <w:rsid w:val="004F06C4"/>
    <w:rsid w:val="004F112E"/>
    <w:rsid w:val="004F1C95"/>
    <w:rsid w:val="004F3418"/>
    <w:rsid w:val="004F3846"/>
    <w:rsid w:val="004F3E5D"/>
    <w:rsid w:val="004F433D"/>
    <w:rsid w:val="004F4E11"/>
    <w:rsid w:val="004F4FE0"/>
    <w:rsid w:val="004F589C"/>
    <w:rsid w:val="004F597F"/>
    <w:rsid w:val="004F5A0C"/>
    <w:rsid w:val="004F5BA8"/>
    <w:rsid w:val="004F5E30"/>
    <w:rsid w:val="004F6878"/>
    <w:rsid w:val="004F73C4"/>
    <w:rsid w:val="004F756C"/>
    <w:rsid w:val="004F7A28"/>
    <w:rsid w:val="004F7DEA"/>
    <w:rsid w:val="00500677"/>
    <w:rsid w:val="005008B4"/>
    <w:rsid w:val="00500D40"/>
    <w:rsid w:val="005011EB"/>
    <w:rsid w:val="00501942"/>
    <w:rsid w:val="00501D65"/>
    <w:rsid w:val="0050284B"/>
    <w:rsid w:val="00502FCF"/>
    <w:rsid w:val="00503092"/>
    <w:rsid w:val="005046C1"/>
    <w:rsid w:val="005050BB"/>
    <w:rsid w:val="00505C1A"/>
    <w:rsid w:val="00505F2C"/>
    <w:rsid w:val="005066D3"/>
    <w:rsid w:val="0050689B"/>
    <w:rsid w:val="005070CD"/>
    <w:rsid w:val="0050725B"/>
    <w:rsid w:val="005074ED"/>
    <w:rsid w:val="00507BF4"/>
    <w:rsid w:val="00507DED"/>
    <w:rsid w:val="005104CC"/>
    <w:rsid w:val="0051080B"/>
    <w:rsid w:val="00510A8F"/>
    <w:rsid w:val="00510E02"/>
    <w:rsid w:val="005112CE"/>
    <w:rsid w:val="00511DE3"/>
    <w:rsid w:val="00512143"/>
    <w:rsid w:val="00512CF9"/>
    <w:rsid w:val="00514093"/>
    <w:rsid w:val="005145B1"/>
    <w:rsid w:val="005147EC"/>
    <w:rsid w:val="00514C29"/>
    <w:rsid w:val="00514C47"/>
    <w:rsid w:val="00514EDE"/>
    <w:rsid w:val="0051641F"/>
    <w:rsid w:val="005174B1"/>
    <w:rsid w:val="00520079"/>
    <w:rsid w:val="005205EC"/>
    <w:rsid w:val="00521908"/>
    <w:rsid w:val="00521A23"/>
    <w:rsid w:val="00521B88"/>
    <w:rsid w:val="00521EA5"/>
    <w:rsid w:val="00522820"/>
    <w:rsid w:val="0052287E"/>
    <w:rsid w:val="00522920"/>
    <w:rsid w:val="00522AC4"/>
    <w:rsid w:val="00522FC3"/>
    <w:rsid w:val="005232FD"/>
    <w:rsid w:val="0052356C"/>
    <w:rsid w:val="0052414F"/>
    <w:rsid w:val="00525667"/>
    <w:rsid w:val="005258E8"/>
    <w:rsid w:val="00525FF6"/>
    <w:rsid w:val="005261D0"/>
    <w:rsid w:val="00526EBF"/>
    <w:rsid w:val="00527902"/>
    <w:rsid w:val="0053046E"/>
    <w:rsid w:val="00530A9F"/>
    <w:rsid w:val="0053395C"/>
    <w:rsid w:val="00533EB5"/>
    <w:rsid w:val="0053403D"/>
    <w:rsid w:val="0053422E"/>
    <w:rsid w:val="005342CC"/>
    <w:rsid w:val="0053435B"/>
    <w:rsid w:val="005347DB"/>
    <w:rsid w:val="005351EE"/>
    <w:rsid w:val="005354A6"/>
    <w:rsid w:val="0053561F"/>
    <w:rsid w:val="00535D27"/>
    <w:rsid w:val="00536036"/>
    <w:rsid w:val="00540872"/>
    <w:rsid w:val="0054114F"/>
    <w:rsid w:val="005411F7"/>
    <w:rsid w:val="0054179D"/>
    <w:rsid w:val="005417E2"/>
    <w:rsid w:val="0054180C"/>
    <w:rsid w:val="00541F5D"/>
    <w:rsid w:val="005424F2"/>
    <w:rsid w:val="0054259E"/>
    <w:rsid w:val="00542E01"/>
    <w:rsid w:val="00542E05"/>
    <w:rsid w:val="00543391"/>
    <w:rsid w:val="005435C7"/>
    <w:rsid w:val="00544193"/>
    <w:rsid w:val="00544463"/>
    <w:rsid w:val="0054468E"/>
    <w:rsid w:val="00544A46"/>
    <w:rsid w:val="00544AC4"/>
    <w:rsid w:val="00544E9C"/>
    <w:rsid w:val="00545094"/>
    <w:rsid w:val="00545DAD"/>
    <w:rsid w:val="00546896"/>
    <w:rsid w:val="00546BE9"/>
    <w:rsid w:val="00546EDE"/>
    <w:rsid w:val="00547328"/>
    <w:rsid w:val="00547393"/>
    <w:rsid w:val="00551511"/>
    <w:rsid w:val="00551930"/>
    <w:rsid w:val="00552305"/>
    <w:rsid w:val="0055282B"/>
    <w:rsid w:val="00552BED"/>
    <w:rsid w:val="005535E0"/>
    <w:rsid w:val="005539D3"/>
    <w:rsid w:val="0055474E"/>
    <w:rsid w:val="0055532E"/>
    <w:rsid w:val="00555485"/>
    <w:rsid w:val="0055650A"/>
    <w:rsid w:val="00556A98"/>
    <w:rsid w:val="00560D1E"/>
    <w:rsid w:val="00561293"/>
    <w:rsid w:val="005613D9"/>
    <w:rsid w:val="00562134"/>
    <w:rsid w:val="0056302F"/>
    <w:rsid w:val="00563A4C"/>
    <w:rsid w:val="0056402B"/>
    <w:rsid w:val="005644C1"/>
    <w:rsid w:val="00565190"/>
    <w:rsid w:val="0056587B"/>
    <w:rsid w:val="00566AF3"/>
    <w:rsid w:val="00566B91"/>
    <w:rsid w:val="005674C0"/>
    <w:rsid w:val="00567EEE"/>
    <w:rsid w:val="00567FFD"/>
    <w:rsid w:val="0057069C"/>
    <w:rsid w:val="00570C88"/>
    <w:rsid w:val="00571687"/>
    <w:rsid w:val="00571984"/>
    <w:rsid w:val="0057275D"/>
    <w:rsid w:val="00572BA5"/>
    <w:rsid w:val="00572D41"/>
    <w:rsid w:val="0057355C"/>
    <w:rsid w:val="00573664"/>
    <w:rsid w:val="005736D0"/>
    <w:rsid w:val="00573747"/>
    <w:rsid w:val="00573CE8"/>
    <w:rsid w:val="00574811"/>
    <w:rsid w:val="00574E97"/>
    <w:rsid w:val="00574FD5"/>
    <w:rsid w:val="00575A7B"/>
    <w:rsid w:val="00576C47"/>
    <w:rsid w:val="00576CD1"/>
    <w:rsid w:val="00576FFE"/>
    <w:rsid w:val="00577580"/>
    <w:rsid w:val="00577724"/>
    <w:rsid w:val="00577A27"/>
    <w:rsid w:val="00577F39"/>
    <w:rsid w:val="0058004B"/>
    <w:rsid w:val="005802B9"/>
    <w:rsid w:val="00581178"/>
    <w:rsid w:val="00581906"/>
    <w:rsid w:val="005825A4"/>
    <w:rsid w:val="00582838"/>
    <w:rsid w:val="00583FCD"/>
    <w:rsid w:val="0058425A"/>
    <w:rsid w:val="005844D9"/>
    <w:rsid w:val="00584C93"/>
    <w:rsid w:val="005850E0"/>
    <w:rsid w:val="005851DA"/>
    <w:rsid w:val="00585311"/>
    <w:rsid w:val="00585747"/>
    <w:rsid w:val="00586D6A"/>
    <w:rsid w:val="00586F20"/>
    <w:rsid w:val="0058708E"/>
    <w:rsid w:val="0058710E"/>
    <w:rsid w:val="00587D66"/>
    <w:rsid w:val="005904D2"/>
    <w:rsid w:val="00590803"/>
    <w:rsid w:val="00590CA1"/>
    <w:rsid w:val="00590EE8"/>
    <w:rsid w:val="00591BAB"/>
    <w:rsid w:val="00591CAC"/>
    <w:rsid w:val="0059222B"/>
    <w:rsid w:val="00592815"/>
    <w:rsid w:val="00592B89"/>
    <w:rsid w:val="00592D03"/>
    <w:rsid w:val="0059336B"/>
    <w:rsid w:val="00594068"/>
    <w:rsid w:val="00594AFB"/>
    <w:rsid w:val="00594BEE"/>
    <w:rsid w:val="005953A0"/>
    <w:rsid w:val="005957F7"/>
    <w:rsid w:val="005958B5"/>
    <w:rsid w:val="00595BB8"/>
    <w:rsid w:val="0059607A"/>
    <w:rsid w:val="00596794"/>
    <w:rsid w:val="00596CA6"/>
    <w:rsid w:val="00597437"/>
    <w:rsid w:val="00597805"/>
    <w:rsid w:val="005A03B5"/>
    <w:rsid w:val="005A12B5"/>
    <w:rsid w:val="005A151D"/>
    <w:rsid w:val="005A2118"/>
    <w:rsid w:val="005A22D2"/>
    <w:rsid w:val="005A2BBD"/>
    <w:rsid w:val="005A404E"/>
    <w:rsid w:val="005A59F7"/>
    <w:rsid w:val="005A7A52"/>
    <w:rsid w:val="005A7E8A"/>
    <w:rsid w:val="005A7F71"/>
    <w:rsid w:val="005B0081"/>
    <w:rsid w:val="005B18A7"/>
    <w:rsid w:val="005B1C6B"/>
    <w:rsid w:val="005B265E"/>
    <w:rsid w:val="005B2848"/>
    <w:rsid w:val="005B3B7B"/>
    <w:rsid w:val="005B55D7"/>
    <w:rsid w:val="005B5BC0"/>
    <w:rsid w:val="005B5C20"/>
    <w:rsid w:val="005B619F"/>
    <w:rsid w:val="005B63CB"/>
    <w:rsid w:val="005B63F6"/>
    <w:rsid w:val="005B655C"/>
    <w:rsid w:val="005B722B"/>
    <w:rsid w:val="005B7D95"/>
    <w:rsid w:val="005C16CC"/>
    <w:rsid w:val="005C2778"/>
    <w:rsid w:val="005C29AC"/>
    <w:rsid w:val="005C2D09"/>
    <w:rsid w:val="005C3AE3"/>
    <w:rsid w:val="005C3D8A"/>
    <w:rsid w:val="005C3DC9"/>
    <w:rsid w:val="005C4331"/>
    <w:rsid w:val="005C4516"/>
    <w:rsid w:val="005C4C4E"/>
    <w:rsid w:val="005C5204"/>
    <w:rsid w:val="005C6569"/>
    <w:rsid w:val="005C6DA5"/>
    <w:rsid w:val="005D0320"/>
    <w:rsid w:val="005D0586"/>
    <w:rsid w:val="005D0730"/>
    <w:rsid w:val="005D0856"/>
    <w:rsid w:val="005D1E29"/>
    <w:rsid w:val="005D1E56"/>
    <w:rsid w:val="005D2027"/>
    <w:rsid w:val="005D2DD5"/>
    <w:rsid w:val="005D2F60"/>
    <w:rsid w:val="005D31F7"/>
    <w:rsid w:val="005D335E"/>
    <w:rsid w:val="005D3D2A"/>
    <w:rsid w:val="005D48CC"/>
    <w:rsid w:val="005D4D38"/>
    <w:rsid w:val="005D52B2"/>
    <w:rsid w:val="005D5D9B"/>
    <w:rsid w:val="005D5EA3"/>
    <w:rsid w:val="005D673F"/>
    <w:rsid w:val="005D689B"/>
    <w:rsid w:val="005D689E"/>
    <w:rsid w:val="005D72E8"/>
    <w:rsid w:val="005D78C7"/>
    <w:rsid w:val="005E1B35"/>
    <w:rsid w:val="005E1DD4"/>
    <w:rsid w:val="005E282B"/>
    <w:rsid w:val="005E4D25"/>
    <w:rsid w:val="005E71E7"/>
    <w:rsid w:val="005E7700"/>
    <w:rsid w:val="005E7C14"/>
    <w:rsid w:val="005F068C"/>
    <w:rsid w:val="005F0AC1"/>
    <w:rsid w:val="005F0ECE"/>
    <w:rsid w:val="005F0F13"/>
    <w:rsid w:val="005F1498"/>
    <w:rsid w:val="005F1761"/>
    <w:rsid w:val="005F1AB5"/>
    <w:rsid w:val="005F28EE"/>
    <w:rsid w:val="005F2FF3"/>
    <w:rsid w:val="005F3316"/>
    <w:rsid w:val="005F39B4"/>
    <w:rsid w:val="005F3CA5"/>
    <w:rsid w:val="005F3D0C"/>
    <w:rsid w:val="005F5AB2"/>
    <w:rsid w:val="005F671F"/>
    <w:rsid w:val="005F7197"/>
    <w:rsid w:val="005F7543"/>
    <w:rsid w:val="005F795A"/>
    <w:rsid w:val="005F7980"/>
    <w:rsid w:val="00600051"/>
    <w:rsid w:val="006000B0"/>
    <w:rsid w:val="0060073C"/>
    <w:rsid w:val="006008E8"/>
    <w:rsid w:val="0060163E"/>
    <w:rsid w:val="006024B6"/>
    <w:rsid w:val="00602678"/>
    <w:rsid w:val="006027EA"/>
    <w:rsid w:val="00602F17"/>
    <w:rsid w:val="0060301A"/>
    <w:rsid w:val="00603217"/>
    <w:rsid w:val="0060378D"/>
    <w:rsid w:val="00603D2E"/>
    <w:rsid w:val="00603E78"/>
    <w:rsid w:val="006046B5"/>
    <w:rsid w:val="00604BB4"/>
    <w:rsid w:val="00605888"/>
    <w:rsid w:val="00605A4F"/>
    <w:rsid w:val="00605EFA"/>
    <w:rsid w:val="006071D2"/>
    <w:rsid w:val="0060739A"/>
    <w:rsid w:val="006075C1"/>
    <w:rsid w:val="006108EE"/>
    <w:rsid w:val="0061092F"/>
    <w:rsid w:val="00611063"/>
    <w:rsid w:val="00611775"/>
    <w:rsid w:val="00611B6B"/>
    <w:rsid w:val="0061274C"/>
    <w:rsid w:val="0061287C"/>
    <w:rsid w:val="006129A5"/>
    <w:rsid w:val="00613A35"/>
    <w:rsid w:val="00613EC3"/>
    <w:rsid w:val="00614D56"/>
    <w:rsid w:val="00614E14"/>
    <w:rsid w:val="00615133"/>
    <w:rsid w:val="0061544B"/>
    <w:rsid w:val="00615662"/>
    <w:rsid w:val="006158A3"/>
    <w:rsid w:val="00615D1B"/>
    <w:rsid w:val="0061664D"/>
    <w:rsid w:val="00616653"/>
    <w:rsid w:val="006166E1"/>
    <w:rsid w:val="00616738"/>
    <w:rsid w:val="00617C12"/>
    <w:rsid w:val="006205BF"/>
    <w:rsid w:val="00620A54"/>
    <w:rsid w:val="006212CF"/>
    <w:rsid w:val="006215A5"/>
    <w:rsid w:val="00621DAE"/>
    <w:rsid w:val="00621F0F"/>
    <w:rsid w:val="0062207F"/>
    <w:rsid w:val="006227C2"/>
    <w:rsid w:val="00622B7B"/>
    <w:rsid w:val="006232B9"/>
    <w:rsid w:val="0062372B"/>
    <w:rsid w:val="00623A44"/>
    <w:rsid w:val="0062422A"/>
    <w:rsid w:val="0062432F"/>
    <w:rsid w:val="006247DF"/>
    <w:rsid w:val="0062598E"/>
    <w:rsid w:val="00625B20"/>
    <w:rsid w:val="00625D6A"/>
    <w:rsid w:val="00625F87"/>
    <w:rsid w:val="00627570"/>
    <w:rsid w:val="006276CB"/>
    <w:rsid w:val="00627ABE"/>
    <w:rsid w:val="00627FB7"/>
    <w:rsid w:val="006305F9"/>
    <w:rsid w:val="0063071F"/>
    <w:rsid w:val="00630BB3"/>
    <w:rsid w:val="006310EF"/>
    <w:rsid w:val="0063177E"/>
    <w:rsid w:val="00632469"/>
    <w:rsid w:val="00632F76"/>
    <w:rsid w:val="006332F4"/>
    <w:rsid w:val="006348C3"/>
    <w:rsid w:val="00635268"/>
    <w:rsid w:val="0063588A"/>
    <w:rsid w:val="0063599B"/>
    <w:rsid w:val="00635EFD"/>
    <w:rsid w:val="006362B7"/>
    <w:rsid w:val="00636522"/>
    <w:rsid w:val="00637086"/>
    <w:rsid w:val="00640B4E"/>
    <w:rsid w:val="00641208"/>
    <w:rsid w:val="006419FB"/>
    <w:rsid w:val="0064247A"/>
    <w:rsid w:val="00642872"/>
    <w:rsid w:val="006437B7"/>
    <w:rsid w:val="0064446A"/>
    <w:rsid w:val="00644A46"/>
    <w:rsid w:val="00644E7E"/>
    <w:rsid w:val="00645190"/>
    <w:rsid w:val="00645326"/>
    <w:rsid w:val="00645657"/>
    <w:rsid w:val="00645B9D"/>
    <w:rsid w:val="00646895"/>
    <w:rsid w:val="00646C17"/>
    <w:rsid w:val="0065028E"/>
    <w:rsid w:val="0065091B"/>
    <w:rsid w:val="006509C7"/>
    <w:rsid w:val="006516AB"/>
    <w:rsid w:val="006518C0"/>
    <w:rsid w:val="00651F35"/>
    <w:rsid w:val="006527B9"/>
    <w:rsid w:val="00652822"/>
    <w:rsid w:val="00652C97"/>
    <w:rsid w:val="00652D18"/>
    <w:rsid w:val="00652E88"/>
    <w:rsid w:val="00652F6D"/>
    <w:rsid w:val="0065353D"/>
    <w:rsid w:val="00653F0B"/>
    <w:rsid w:val="00653F21"/>
    <w:rsid w:val="0065525A"/>
    <w:rsid w:val="00656683"/>
    <w:rsid w:val="00656DA1"/>
    <w:rsid w:val="0065747C"/>
    <w:rsid w:val="00657D30"/>
    <w:rsid w:val="00657DB4"/>
    <w:rsid w:val="00660AA1"/>
    <w:rsid w:val="00661785"/>
    <w:rsid w:val="00661954"/>
    <w:rsid w:val="00661EC1"/>
    <w:rsid w:val="00662505"/>
    <w:rsid w:val="00662694"/>
    <w:rsid w:val="00662A40"/>
    <w:rsid w:val="00662BF2"/>
    <w:rsid w:val="00662C8F"/>
    <w:rsid w:val="00665964"/>
    <w:rsid w:val="00666C03"/>
    <w:rsid w:val="00666E5F"/>
    <w:rsid w:val="0066727F"/>
    <w:rsid w:val="00667923"/>
    <w:rsid w:val="006718D7"/>
    <w:rsid w:val="00671A6F"/>
    <w:rsid w:val="00671E70"/>
    <w:rsid w:val="00671F91"/>
    <w:rsid w:val="006724C0"/>
    <w:rsid w:val="00672AFB"/>
    <w:rsid w:val="00673056"/>
    <w:rsid w:val="006741B6"/>
    <w:rsid w:val="0067458D"/>
    <w:rsid w:val="0067485F"/>
    <w:rsid w:val="00674E55"/>
    <w:rsid w:val="006758D9"/>
    <w:rsid w:val="00675D51"/>
    <w:rsid w:val="006761D8"/>
    <w:rsid w:val="006768D0"/>
    <w:rsid w:val="006770D4"/>
    <w:rsid w:val="006773A2"/>
    <w:rsid w:val="0067765F"/>
    <w:rsid w:val="006779F8"/>
    <w:rsid w:val="00677CC2"/>
    <w:rsid w:val="00680C52"/>
    <w:rsid w:val="0068283D"/>
    <w:rsid w:val="0068301C"/>
    <w:rsid w:val="00683CEC"/>
    <w:rsid w:val="0068538A"/>
    <w:rsid w:val="00685A16"/>
    <w:rsid w:val="00685CB0"/>
    <w:rsid w:val="00685E31"/>
    <w:rsid w:val="006862BA"/>
    <w:rsid w:val="00686640"/>
    <w:rsid w:val="00687115"/>
    <w:rsid w:val="00687F9F"/>
    <w:rsid w:val="0069043D"/>
    <w:rsid w:val="0069062B"/>
    <w:rsid w:val="0069257D"/>
    <w:rsid w:val="006926C7"/>
    <w:rsid w:val="006932F8"/>
    <w:rsid w:val="006938DB"/>
    <w:rsid w:val="00693A4B"/>
    <w:rsid w:val="00693ACE"/>
    <w:rsid w:val="00693B30"/>
    <w:rsid w:val="0069557A"/>
    <w:rsid w:val="00695DAB"/>
    <w:rsid w:val="00696283"/>
    <w:rsid w:val="00696B34"/>
    <w:rsid w:val="006A0270"/>
    <w:rsid w:val="006A0474"/>
    <w:rsid w:val="006A0866"/>
    <w:rsid w:val="006A10B3"/>
    <w:rsid w:val="006A11A2"/>
    <w:rsid w:val="006A1757"/>
    <w:rsid w:val="006A1D73"/>
    <w:rsid w:val="006A1EF5"/>
    <w:rsid w:val="006A28E8"/>
    <w:rsid w:val="006A2D75"/>
    <w:rsid w:val="006A3091"/>
    <w:rsid w:val="006A32C4"/>
    <w:rsid w:val="006A4740"/>
    <w:rsid w:val="006A4A01"/>
    <w:rsid w:val="006A511A"/>
    <w:rsid w:val="006A5A12"/>
    <w:rsid w:val="006A6B9F"/>
    <w:rsid w:val="006A6BBB"/>
    <w:rsid w:val="006A6E50"/>
    <w:rsid w:val="006A70D1"/>
    <w:rsid w:val="006A736A"/>
    <w:rsid w:val="006A7F8B"/>
    <w:rsid w:val="006B0772"/>
    <w:rsid w:val="006B0C4C"/>
    <w:rsid w:val="006B0EB7"/>
    <w:rsid w:val="006B1746"/>
    <w:rsid w:val="006B1870"/>
    <w:rsid w:val="006B1DCC"/>
    <w:rsid w:val="006B2098"/>
    <w:rsid w:val="006B29E8"/>
    <w:rsid w:val="006B2AE3"/>
    <w:rsid w:val="006B2CED"/>
    <w:rsid w:val="006B5265"/>
    <w:rsid w:val="006B54B4"/>
    <w:rsid w:val="006B6AE4"/>
    <w:rsid w:val="006B7205"/>
    <w:rsid w:val="006B75E4"/>
    <w:rsid w:val="006C085F"/>
    <w:rsid w:val="006C1077"/>
    <w:rsid w:val="006C1385"/>
    <w:rsid w:val="006C1963"/>
    <w:rsid w:val="006C1DD8"/>
    <w:rsid w:val="006C2228"/>
    <w:rsid w:val="006C227A"/>
    <w:rsid w:val="006C2ABB"/>
    <w:rsid w:val="006C31C1"/>
    <w:rsid w:val="006C3295"/>
    <w:rsid w:val="006C364F"/>
    <w:rsid w:val="006C4481"/>
    <w:rsid w:val="006C494F"/>
    <w:rsid w:val="006C4AEC"/>
    <w:rsid w:val="006C4DF8"/>
    <w:rsid w:val="006C4ED5"/>
    <w:rsid w:val="006C5490"/>
    <w:rsid w:val="006C558D"/>
    <w:rsid w:val="006C6049"/>
    <w:rsid w:val="006C6745"/>
    <w:rsid w:val="006C685C"/>
    <w:rsid w:val="006C6C66"/>
    <w:rsid w:val="006C79CB"/>
    <w:rsid w:val="006D0C44"/>
    <w:rsid w:val="006D0E19"/>
    <w:rsid w:val="006D1310"/>
    <w:rsid w:val="006D1332"/>
    <w:rsid w:val="006D3167"/>
    <w:rsid w:val="006D335A"/>
    <w:rsid w:val="006D359B"/>
    <w:rsid w:val="006D46FD"/>
    <w:rsid w:val="006D4EBC"/>
    <w:rsid w:val="006D53F3"/>
    <w:rsid w:val="006D587E"/>
    <w:rsid w:val="006D5B47"/>
    <w:rsid w:val="006D637E"/>
    <w:rsid w:val="006D646C"/>
    <w:rsid w:val="006D6482"/>
    <w:rsid w:val="006D6924"/>
    <w:rsid w:val="006D6CEB"/>
    <w:rsid w:val="006D6E14"/>
    <w:rsid w:val="006D7336"/>
    <w:rsid w:val="006D7357"/>
    <w:rsid w:val="006D776C"/>
    <w:rsid w:val="006D7E8A"/>
    <w:rsid w:val="006E053B"/>
    <w:rsid w:val="006E0DF4"/>
    <w:rsid w:val="006E0E8C"/>
    <w:rsid w:val="006E0F7B"/>
    <w:rsid w:val="006E0F97"/>
    <w:rsid w:val="006E153A"/>
    <w:rsid w:val="006E1675"/>
    <w:rsid w:val="006E1EF0"/>
    <w:rsid w:val="006E2324"/>
    <w:rsid w:val="006E27BC"/>
    <w:rsid w:val="006E3DA3"/>
    <w:rsid w:val="006E41FE"/>
    <w:rsid w:val="006E4F20"/>
    <w:rsid w:val="006E65EE"/>
    <w:rsid w:val="006E6E53"/>
    <w:rsid w:val="006E6ED5"/>
    <w:rsid w:val="006E6F6A"/>
    <w:rsid w:val="006E735D"/>
    <w:rsid w:val="006E78ED"/>
    <w:rsid w:val="006E7B40"/>
    <w:rsid w:val="006F0097"/>
    <w:rsid w:val="006F020B"/>
    <w:rsid w:val="006F183D"/>
    <w:rsid w:val="006F1A9B"/>
    <w:rsid w:val="006F1C8D"/>
    <w:rsid w:val="006F2C6F"/>
    <w:rsid w:val="006F2C99"/>
    <w:rsid w:val="006F4654"/>
    <w:rsid w:val="006F52EA"/>
    <w:rsid w:val="006F545D"/>
    <w:rsid w:val="006F5586"/>
    <w:rsid w:val="006F5886"/>
    <w:rsid w:val="006F5F18"/>
    <w:rsid w:val="006F621E"/>
    <w:rsid w:val="006F78BE"/>
    <w:rsid w:val="006F7C73"/>
    <w:rsid w:val="00700AEA"/>
    <w:rsid w:val="0070114F"/>
    <w:rsid w:val="007013E6"/>
    <w:rsid w:val="0070245F"/>
    <w:rsid w:val="00702605"/>
    <w:rsid w:val="00702FC6"/>
    <w:rsid w:val="007035D8"/>
    <w:rsid w:val="00703F9F"/>
    <w:rsid w:val="00704BA0"/>
    <w:rsid w:val="00705A7B"/>
    <w:rsid w:val="00705BC0"/>
    <w:rsid w:val="00705E6F"/>
    <w:rsid w:val="00705EAD"/>
    <w:rsid w:val="0070626B"/>
    <w:rsid w:val="00706523"/>
    <w:rsid w:val="00706BCC"/>
    <w:rsid w:val="00706F27"/>
    <w:rsid w:val="00707D55"/>
    <w:rsid w:val="00710160"/>
    <w:rsid w:val="00710176"/>
    <w:rsid w:val="007103AF"/>
    <w:rsid w:val="007105F3"/>
    <w:rsid w:val="007108BA"/>
    <w:rsid w:val="00710FAE"/>
    <w:rsid w:val="00711BB9"/>
    <w:rsid w:val="00711FDE"/>
    <w:rsid w:val="00712F9F"/>
    <w:rsid w:val="00713040"/>
    <w:rsid w:val="00713380"/>
    <w:rsid w:val="00714162"/>
    <w:rsid w:val="007148FF"/>
    <w:rsid w:val="00715D7E"/>
    <w:rsid w:val="00717714"/>
    <w:rsid w:val="00717B14"/>
    <w:rsid w:val="007205C9"/>
    <w:rsid w:val="007207E4"/>
    <w:rsid w:val="00721191"/>
    <w:rsid w:val="00722107"/>
    <w:rsid w:val="007221FA"/>
    <w:rsid w:val="00722332"/>
    <w:rsid w:val="00723170"/>
    <w:rsid w:val="00724932"/>
    <w:rsid w:val="007249F9"/>
    <w:rsid w:val="0072532F"/>
    <w:rsid w:val="007253E1"/>
    <w:rsid w:val="007259E6"/>
    <w:rsid w:val="007268D5"/>
    <w:rsid w:val="00727861"/>
    <w:rsid w:val="00730349"/>
    <w:rsid w:val="007307D2"/>
    <w:rsid w:val="00730E82"/>
    <w:rsid w:val="00731097"/>
    <w:rsid w:val="00733934"/>
    <w:rsid w:val="007348AB"/>
    <w:rsid w:val="00734B1A"/>
    <w:rsid w:val="007365F4"/>
    <w:rsid w:val="007407CF"/>
    <w:rsid w:val="0074211D"/>
    <w:rsid w:val="007437AA"/>
    <w:rsid w:val="00743AAA"/>
    <w:rsid w:val="007446F6"/>
    <w:rsid w:val="00744FC6"/>
    <w:rsid w:val="00745159"/>
    <w:rsid w:val="007454ED"/>
    <w:rsid w:val="007463E2"/>
    <w:rsid w:val="007468E2"/>
    <w:rsid w:val="007501E2"/>
    <w:rsid w:val="00751022"/>
    <w:rsid w:val="00751AE4"/>
    <w:rsid w:val="00752728"/>
    <w:rsid w:val="007528B1"/>
    <w:rsid w:val="00752BC4"/>
    <w:rsid w:val="00753067"/>
    <w:rsid w:val="007534D3"/>
    <w:rsid w:val="00753632"/>
    <w:rsid w:val="0075369C"/>
    <w:rsid w:val="00754740"/>
    <w:rsid w:val="00755E1A"/>
    <w:rsid w:val="00755F9F"/>
    <w:rsid w:val="007577F6"/>
    <w:rsid w:val="00760034"/>
    <w:rsid w:val="007618C9"/>
    <w:rsid w:val="00762486"/>
    <w:rsid w:val="007624E1"/>
    <w:rsid w:val="00762DEB"/>
    <w:rsid w:val="0076313E"/>
    <w:rsid w:val="00763527"/>
    <w:rsid w:val="00763612"/>
    <w:rsid w:val="007640DA"/>
    <w:rsid w:val="00764457"/>
    <w:rsid w:val="007659EE"/>
    <w:rsid w:val="0076649C"/>
    <w:rsid w:val="00766733"/>
    <w:rsid w:val="00766B60"/>
    <w:rsid w:val="0076718C"/>
    <w:rsid w:val="00770236"/>
    <w:rsid w:val="00770470"/>
    <w:rsid w:val="00770E2D"/>
    <w:rsid w:val="00771493"/>
    <w:rsid w:val="0077264C"/>
    <w:rsid w:val="007726CC"/>
    <w:rsid w:val="0077321B"/>
    <w:rsid w:val="00773245"/>
    <w:rsid w:val="007735FE"/>
    <w:rsid w:val="00774458"/>
    <w:rsid w:val="007754E6"/>
    <w:rsid w:val="0077620F"/>
    <w:rsid w:val="007762DD"/>
    <w:rsid w:val="0077664D"/>
    <w:rsid w:val="00776B4C"/>
    <w:rsid w:val="007770F0"/>
    <w:rsid w:val="007776B4"/>
    <w:rsid w:val="00777DC3"/>
    <w:rsid w:val="0078013F"/>
    <w:rsid w:val="00781A36"/>
    <w:rsid w:val="007834B7"/>
    <w:rsid w:val="007838A0"/>
    <w:rsid w:val="007846D0"/>
    <w:rsid w:val="007851A5"/>
    <w:rsid w:val="0078739D"/>
    <w:rsid w:val="00787F33"/>
    <w:rsid w:val="00790B3A"/>
    <w:rsid w:val="007912EB"/>
    <w:rsid w:val="0079163B"/>
    <w:rsid w:val="007919EC"/>
    <w:rsid w:val="00791B03"/>
    <w:rsid w:val="00791B57"/>
    <w:rsid w:val="00792500"/>
    <w:rsid w:val="00792E84"/>
    <w:rsid w:val="0079341B"/>
    <w:rsid w:val="00793ABE"/>
    <w:rsid w:val="0079488E"/>
    <w:rsid w:val="007955A3"/>
    <w:rsid w:val="00795CC6"/>
    <w:rsid w:val="00795EEF"/>
    <w:rsid w:val="007961FB"/>
    <w:rsid w:val="00796D26"/>
    <w:rsid w:val="007972B2"/>
    <w:rsid w:val="007973F5"/>
    <w:rsid w:val="007A005D"/>
    <w:rsid w:val="007A06F4"/>
    <w:rsid w:val="007A1345"/>
    <w:rsid w:val="007A1491"/>
    <w:rsid w:val="007A180D"/>
    <w:rsid w:val="007A18BE"/>
    <w:rsid w:val="007A1EAE"/>
    <w:rsid w:val="007A25FF"/>
    <w:rsid w:val="007A3567"/>
    <w:rsid w:val="007A3B65"/>
    <w:rsid w:val="007A44C4"/>
    <w:rsid w:val="007A4A45"/>
    <w:rsid w:val="007A537B"/>
    <w:rsid w:val="007A57A8"/>
    <w:rsid w:val="007A64AC"/>
    <w:rsid w:val="007A6683"/>
    <w:rsid w:val="007A68B4"/>
    <w:rsid w:val="007A76A5"/>
    <w:rsid w:val="007A7A22"/>
    <w:rsid w:val="007A7F8C"/>
    <w:rsid w:val="007B02D8"/>
    <w:rsid w:val="007B0817"/>
    <w:rsid w:val="007B0852"/>
    <w:rsid w:val="007B0EC8"/>
    <w:rsid w:val="007B1AFB"/>
    <w:rsid w:val="007B2C55"/>
    <w:rsid w:val="007B3247"/>
    <w:rsid w:val="007B39AD"/>
    <w:rsid w:val="007B4093"/>
    <w:rsid w:val="007B427F"/>
    <w:rsid w:val="007B44CC"/>
    <w:rsid w:val="007B4934"/>
    <w:rsid w:val="007B4B53"/>
    <w:rsid w:val="007B4B95"/>
    <w:rsid w:val="007B520F"/>
    <w:rsid w:val="007B5725"/>
    <w:rsid w:val="007B5F3A"/>
    <w:rsid w:val="007B7051"/>
    <w:rsid w:val="007B72CA"/>
    <w:rsid w:val="007B74C2"/>
    <w:rsid w:val="007B760C"/>
    <w:rsid w:val="007B78AF"/>
    <w:rsid w:val="007B7E20"/>
    <w:rsid w:val="007C0E8E"/>
    <w:rsid w:val="007C13F8"/>
    <w:rsid w:val="007C1E7F"/>
    <w:rsid w:val="007C2EB5"/>
    <w:rsid w:val="007C425F"/>
    <w:rsid w:val="007C4600"/>
    <w:rsid w:val="007C468B"/>
    <w:rsid w:val="007C4950"/>
    <w:rsid w:val="007C5201"/>
    <w:rsid w:val="007C5296"/>
    <w:rsid w:val="007C5460"/>
    <w:rsid w:val="007C5703"/>
    <w:rsid w:val="007C5947"/>
    <w:rsid w:val="007C5C5A"/>
    <w:rsid w:val="007C5C81"/>
    <w:rsid w:val="007D0624"/>
    <w:rsid w:val="007D1E7D"/>
    <w:rsid w:val="007D1FAA"/>
    <w:rsid w:val="007D2758"/>
    <w:rsid w:val="007D37BE"/>
    <w:rsid w:val="007D494D"/>
    <w:rsid w:val="007D4E7C"/>
    <w:rsid w:val="007D5317"/>
    <w:rsid w:val="007D57E0"/>
    <w:rsid w:val="007D5857"/>
    <w:rsid w:val="007D6E9D"/>
    <w:rsid w:val="007D7054"/>
    <w:rsid w:val="007D78AE"/>
    <w:rsid w:val="007D7DDC"/>
    <w:rsid w:val="007E01FC"/>
    <w:rsid w:val="007E048E"/>
    <w:rsid w:val="007E0735"/>
    <w:rsid w:val="007E07E9"/>
    <w:rsid w:val="007E0CC4"/>
    <w:rsid w:val="007E0DF7"/>
    <w:rsid w:val="007E1F48"/>
    <w:rsid w:val="007E2525"/>
    <w:rsid w:val="007E2859"/>
    <w:rsid w:val="007E3DFA"/>
    <w:rsid w:val="007E43F8"/>
    <w:rsid w:val="007E4683"/>
    <w:rsid w:val="007E4A94"/>
    <w:rsid w:val="007E4C0B"/>
    <w:rsid w:val="007E52A5"/>
    <w:rsid w:val="007E5C81"/>
    <w:rsid w:val="007E6313"/>
    <w:rsid w:val="007E63C2"/>
    <w:rsid w:val="007E6614"/>
    <w:rsid w:val="007E73AB"/>
    <w:rsid w:val="007E7582"/>
    <w:rsid w:val="007E7F80"/>
    <w:rsid w:val="007F05B9"/>
    <w:rsid w:val="007F077C"/>
    <w:rsid w:val="007F14E5"/>
    <w:rsid w:val="007F17ED"/>
    <w:rsid w:val="007F1E71"/>
    <w:rsid w:val="007F1E7A"/>
    <w:rsid w:val="007F1F15"/>
    <w:rsid w:val="007F2213"/>
    <w:rsid w:val="007F2843"/>
    <w:rsid w:val="007F347C"/>
    <w:rsid w:val="007F3667"/>
    <w:rsid w:val="007F3D19"/>
    <w:rsid w:val="007F44FD"/>
    <w:rsid w:val="007F5109"/>
    <w:rsid w:val="007F58F3"/>
    <w:rsid w:val="007F5B9F"/>
    <w:rsid w:val="007F5DE4"/>
    <w:rsid w:val="007F5E65"/>
    <w:rsid w:val="007F6195"/>
    <w:rsid w:val="007F7976"/>
    <w:rsid w:val="007F7C87"/>
    <w:rsid w:val="007F7E51"/>
    <w:rsid w:val="008012F4"/>
    <w:rsid w:val="008016B9"/>
    <w:rsid w:val="008016D2"/>
    <w:rsid w:val="00801B34"/>
    <w:rsid w:val="00801DB2"/>
    <w:rsid w:val="00801FAE"/>
    <w:rsid w:val="0080228B"/>
    <w:rsid w:val="00802336"/>
    <w:rsid w:val="008025AF"/>
    <w:rsid w:val="008034DA"/>
    <w:rsid w:val="008035D4"/>
    <w:rsid w:val="00803BA9"/>
    <w:rsid w:val="00803DD9"/>
    <w:rsid w:val="00803E18"/>
    <w:rsid w:val="0080479D"/>
    <w:rsid w:val="008053C1"/>
    <w:rsid w:val="008058D3"/>
    <w:rsid w:val="00807250"/>
    <w:rsid w:val="00807703"/>
    <w:rsid w:val="008078A5"/>
    <w:rsid w:val="00810818"/>
    <w:rsid w:val="0081092F"/>
    <w:rsid w:val="00810E9A"/>
    <w:rsid w:val="0081123A"/>
    <w:rsid w:val="0081137B"/>
    <w:rsid w:val="00811381"/>
    <w:rsid w:val="00811E8B"/>
    <w:rsid w:val="0081348F"/>
    <w:rsid w:val="00813D40"/>
    <w:rsid w:val="0081559B"/>
    <w:rsid w:val="0081629A"/>
    <w:rsid w:val="0081640F"/>
    <w:rsid w:val="0081708C"/>
    <w:rsid w:val="0081720F"/>
    <w:rsid w:val="00817B06"/>
    <w:rsid w:val="00820664"/>
    <w:rsid w:val="008208A9"/>
    <w:rsid w:val="00820DED"/>
    <w:rsid w:val="008219B5"/>
    <w:rsid w:val="008220FF"/>
    <w:rsid w:val="008221B2"/>
    <w:rsid w:val="00823AA0"/>
    <w:rsid w:val="00824234"/>
    <w:rsid w:val="00824470"/>
    <w:rsid w:val="00824D29"/>
    <w:rsid w:val="00824E5E"/>
    <w:rsid w:val="00826139"/>
    <w:rsid w:val="0082643C"/>
    <w:rsid w:val="00826AB3"/>
    <w:rsid w:val="0082704C"/>
    <w:rsid w:val="00830057"/>
    <w:rsid w:val="00830484"/>
    <w:rsid w:val="00830C29"/>
    <w:rsid w:val="00830DDF"/>
    <w:rsid w:val="008310D5"/>
    <w:rsid w:val="00831982"/>
    <w:rsid w:val="00831B98"/>
    <w:rsid w:val="00831E96"/>
    <w:rsid w:val="00833341"/>
    <w:rsid w:val="00833C71"/>
    <w:rsid w:val="008345A4"/>
    <w:rsid w:val="00834D64"/>
    <w:rsid w:val="00835C81"/>
    <w:rsid w:val="008360A3"/>
    <w:rsid w:val="008360E2"/>
    <w:rsid w:val="00836218"/>
    <w:rsid w:val="008369A9"/>
    <w:rsid w:val="0083701F"/>
    <w:rsid w:val="0083716F"/>
    <w:rsid w:val="00837CF9"/>
    <w:rsid w:val="00837F7E"/>
    <w:rsid w:val="0084092E"/>
    <w:rsid w:val="00842139"/>
    <w:rsid w:val="008427B9"/>
    <w:rsid w:val="00842DB3"/>
    <w:rsid w:val="00843F5D"/>
    <w:rsid w:val="00844E13"/>
    <w:rsid w:val="008455B5"/>
    <w:rsid w:val="00845908"/>
    <w:rsid w:val="00845BC8"/>
    <w:rsid w:val="00845CB9"/>
    <w:rsid w:val="00845E1B"/>
    <w:rsid w:val="008463F9"/>
    <w:rsid w:val="00846419"/>
    <w:rsid w:val="00850A67"/>
    <w:rsid w:val="00850C3F"/>
    <w:rsid w:val="00850DB7"/>
    <w:rsid w:val="00851058"/>
    <w:rsid w:val="00851095"/>
    <w:rsid w:val="008513A1"/>
    <w:rsid w:val="00851AA0"/>
    <w:rsid w:val="00851CE0"/>
    <w:rsid w:val="008524E1"/>
    <w:rsid w:val="0085271E"/>
    <w:rsid w:val="008529D6"/>
    <w:rsid w:val="00852AC0"/>
    <w:rsid w:val="00852D58"/>
    <w:rsid w:val="00852D68"/>
    <w:rsid w:val="00853CE7"/>
    <w:rsid w:val="008552C5"/>
    <w:rsid w:val="008557D8"/>
    <w:rsid w:val="00856815"/>
    <w:rsid w:val="0085682B"/>
    <w:rsid w:val="0085703A"/>
    <w:rsid w:val="00857391"/>
    <w:rsid w:val="00857FBB"/>
    <w:rsid w:val="00860A21"/>
    <w:rsid w:val="00860F55"/>
    <w:rsid w:val="008615EA"/>
    <w:rsid w:val="0086266C"/>
    <w:rsid w:val="00862A56"/>
    <w:rsid w:val="0086386C"/>
    <w:rsid w:val="0086432D"/>
    <w:rsid w:val="00864877"/>
    <w:rsid w:val="0086577C"/>
    <w:rsid w:val="00865BE1"/>
    <w:rsid w:val="00866CF3"/>
    <w:rsid w:val="00866FA7"/>
    <w:rsid w:val="0086781C"/>
    <w:rsid w:val="00867F11"/>
    <w:rsid w:val="00870B60"/>
    <w:rsid w:val="008711E3"/>
    <w:rsid w:val="00871E1B"/>
    <w:rsid w:val="00872185"/>
    <w:rsid w:val="0087257F"/>
    <w:rsid w:val="00873901"/>
    <w:rsid w:val="00873CD8"/>
    <w:rsid w:val="00874770"/>
    <w:rsid w:val="00874CBF"/>
    <w:rsid w:val="00874D41"/>
    <w:rsid w:val="008759E9"/>
    <w:rsid w:val="00880557"/>
    <w:rsid w:val="00881843"/>
    <w:rsid w:val="00882189"/>
    <w:rsid w:val="00882D1D"/>
    <w:rsid w:val="00883075"/>
    <w:rsid w:val="00883222"/>
    <w:rsid w:val="008841F4"/>
    <w:rsid w:val="00884782"/>
    <w:rsid w:val="00884930"/>
    <w:rsid w:val="00884966"/>
    <w:rsid w:val="00884B20"/>
    <w:rsid w:val="008852A0"/>
    <w:rsid w:val="008852AE"/>
    <w:rsid w:val="0088598E"/>
    <w:rsid w:val="008865EA"/>
    <w:rsid w:val="00886BBD"/>
    <w:rsid w:val="00886EC2"/>
    <w:rsid w:val="00886FFE"/>
    <w:rsid w:val="00887BA5"/>
    <w:rsid w:val="0089018D"/>
    <w:rsid w:val="0089054A"/>
    <w:rsid w:val="00890556"/>
    <w:rsid w:val="00891482"/>
    <w:rsid w:val="00891A6F"/>
    <w:rsid w:val="00891BA4"/>
    <w:rsid w:val="00892464"/>
    <w:rsid w:val="00892B6C"/>
    <w:rsid w:val="0089429C"/>
    <w:rsid w:val="0089497A"/>
    <w:rsid w:val="00894BF9"/>
    <w:rsid w:val="00897451"/>
    <w:rsid w:val="008976A2"/>
    <w:rsid w:val="00897ACE"/>
    <w:rsid w:val="00897B87"/>
    <w:rsid w:val="008A06EB"/>
    <w:rsid w:val="008A1B9D"/>
    <w:rsid w:val="008A23F0"/>
    <w:rsid w:val="008A2F17"/>
    <w:rsid w:val="008A3652"/>
    <w:rsid w:val="008A3EB5"/>
    <w:rsid w:val="008A3FA3"/>
    <w:rsid w:val="008A402C"/>
    <w:rsid w:val="008A450D"/>
    <w:rsid w:val="008A4C4A"/>
    <w:rsid w:val="008A5248"/>
    <w:rsid w:val="008A53A5"/>
    <w:rsid w:val="008A577E"/>
    <w:rsid w:val="008A5AB1"/>
    <w:rsid w:val="008A5D63"/>
    <w:rsid w:val="008A5EA2"/>
    <w:rsid w:val="008A603C"/>
    <w:rsid w:val="008A687C"/>
    <w:rsid w:val="008A732D"/>
    <w:rsid w:val="008A7407"/>
    <w:rsid w:val="008A7527"/>
    <w:rsid w:val="008A7650"/>
    <w:rsid w:val="008A7AA3"/>
    <w:rsid w:val="008B04C3"/>
    <w:rsid w:val="008B0542"/>
    <w:rsid w:val="008B0876"/>
    <w:rsid w:val="008B08E4"/>
    <w:rsid w:val="008B1D1A"/>
    <w:rsid w:val="008B20F5"/>
    <w:rsid w:val="008B2CF2"/>
    <w:rsid w:val="008B3278"/>
    <w:rsid w:val="008B3F37"/>
    <w:rsid w:val="008B4243"/>
    <w:rsid w:val="008B4B47"/>
    <w:rsid w:val="008B4E66"/>
    <w:rsid w:val="008B5118"/>
    <w:rsid w:val="008B59D5"/>
    <w:rsid w:val="008B60CA"/>
    <w:rsid w:val="008B6272"/>
    <w:rsid w:val="008B6490"/>
    <w:rsid w:val="008B6597"/>
    <w:rsid w:val="008B65B9"/>
    <w:rsid w:val="008B6726"/>
    <w:rsid w:val="008B6A62"/>
    <w:rsid w:val="008B6C42"/>
    <w:rsid w:val="008B711B"/>
    <w:rsid w:val="008B715E"/>
    <w:rsid w:val="008B7301"/>
    <w:rsid w:val="008C0279"/>
    <w:rsid w:val="008C046C"/>
    <w:rsid w:val="008C12DE"/>
    <w:rsid w:val="008C2814"/>
    <w:rsid w:val="008C2B0B"/>
    <w:rsid w:val="008C3604"/>
    <w:rsid w:val="008C503C"/>
    <w:rsid w:val="008C5FD1"/>
    <w:rsid w:val="008C7F21"/>
    <w:rsid w:val="008D0424"/>
    <w:rsid w:val="008D15BF"/>
    <w:rsid w:val="008D15E9"/>
    <w:rsid w:val="008D1BD4"/>
    <w:rsid w:val="008D1C17"/>
    <w:rsid w:val="008D1D2A"/>
    <w:rsid w:val="008D2AA5"/>
    <w:rsid w:val="008D3CC2"/>
    <w:rsid w:val="008D3F1E"/>
    <w:rsid w:val="008D485D"/>
    <w:rsid w:val="008D4DD7"/>
    <w:rsid w:val="008D4F9A"/>
    <w:rsid w:val="008D5865"/>
    <w:rsid w:val="008D6033"/>
    <w:rsid w:val="008D60E4"/>
    <w:rsid w:val="008D6884"/>
    <w:rsid w:val="008D69FB"/>
    <w:rsid w:val="008D6DB6"/>
    <w:rsid w:val="008D71E9"/>
    <w:rsid w:val="008D7821"/>
    <w:rsid w:val="008E0038"/>
    <w:rsid w:val="008E1069"/>
    <w:rsid w:val="008E12B2"/>
    <w:rsid w:val="008E16F4"/>
    <w:rsid w:val="008E1B23"/>
    <w:rsid w:val="008E24AF"/>
    <w:rsid w:val="008E256D"/>
    <w:rsid w:val="008E28A5"/>
    <w:rsid w:val="008E3843"/>
    <w:rsid w:val="008E48A9"/>
    <w:rsid w:val="008E4932"/>
    <w:rsid w:val="008E548F"/>
    <w:rsid w:val="008E558A"/>
    <w:rsid w:val="008E5BA5"/>
    <w:rsid w:val="008E5ED5"/>
    <w:rsid w:val="008E6504"/>
    <w:rsid w:val="008E688F"/>
    <w:rsid w:val="008E701E"/>
    <w:rsid w:val="008E7113"/>
    <w:rsid w:val="008E72A0"/>
    <w:rsid w:val="008E73DB"/>
    <w:rsid w:val="008E7877"/>
    <w:rsid w:val="008E7E98"/>
    <w:rsid w:val="008F012C"/>
    <w:rsid w:val="008F03B2"/>
    <w:rsid w:val="008F09A3"/>
    <w:rsid w:val="008F0DB6"/>
    <w:rsid w:val="008F0DD4"/>
    <w:rsid w:val="008F0DF2"/>
    <w:rsid w:val="008F0F57"/>
    <w:rsid w:val="008F1016"/>
    <w:rsid w:val="008F1390"/>
    <w:rsid w:val="008F14A2"/>
    <w:rsid w:val="008F2677"/>
    <w:rsid w:val="008F2D04"/>
    <w:rsid w:val="008F3A49"/>
    <w:rsid w:val="008F3EA5"/>
    <w:rsid w:val="008F40F4"/>
    <w:rsid w:val="008F4E19"/>
    <w:rsid w:val="008F554E"/>
    <w:rsid w:val="008F5A9E"/>
    <w:rsid w:val="008F6B4A"/>
    <w:rsid w:val="008F71AD"/>
    <w:rsid w:val="008F749C"/>
    <w:rsid w:val="008F754F"/>
    <w:rsid w:val="008F7652"/>
    <w:rsid w:val="008F7AFE"/>
    <w:rsid w:val="008F7CA1"/>
    <w:rsid w:val="00900369"/>
    <w:rsid w:val="00900D9D"/>
    <w:rsid w:val="00901901"/>
    <w:rsid w:val="009020C2"/>
    <w:rsid w:val="00902747"/>
    <w:rsid w:val="00904581"/>
    <w:rsid w:val="00904DCA"/>
    <w:rsid w:val="00905014"/>
    <w:rsid w:val="009052CC"/>
    <w:rsid w:val="00905497"/>
    <w:rsid w:val="00905510"/>
    <w:rsid w:val="009063AF"/>
    <w:rsid w:val="0090652D"/>
    <w:rsid w:val="009068D9"/>
    <w:rsid w:val="009075C7"/>
    <w:rsid w:val="0091029E"/>
    <w:rsid w:val="00910698"/>
    <w:rsid w:val="0091075F"/>
    <w:rsid w:val="00910798"/>
    <w:rsid w:val="0091106A"/>
    <w:rsid w:val="0091113A"/>
    <w:rsid w:val="00911377"/>
    <w:rsid w:val="00911973"/>
    <w:rsid w:val="00911B11"/>
    <w:rsid w:val="00911DA8"/>
    <w:rsid w:val="009121A2"/>
    <w:rsid w:val="0091356E"/>
    <w:rsid w:val="00913AFB"/>
    <w:rsid w:val="00913CE8"/>
    <w:rsid w:val="009146C2"/>
    <w:rsid w:val="0091499A"/>
    <w:rsid w:val="00914AFC"/>
    <w:rsid w:val="00915530"/>
    <w:rsid w:val="00915CB7"/>
    <w:rsid w:val="00915F36"/>
    <w:rsid w:val="0091626F"/>
    <w:rsid w:val="009166BD"/>
    <w:rsid w:val="00917756"/>
    <w:rsid w:val="00917CE6"/>
    <w:rsid w:val="00917EBA"/>
    <w:rsid w:val="009202FD"/>
    <w:rsid w:val="0092041A"/>
    <w:rsid w:val="009209B0"/>
    <w:rsid w:val="00920F23"/>
    <w:rsid w:val="0092121B"/>
    <w:rsid w:val="00921BBC"/>
    <w:rsid w:val="009224A0"/>
    <w:rsid w:val="00923039"/>
    <w:rsid w:val="00923478"/>
    <w:rsid w:val="00924315"/>
    <w:rsid w:val="009247B2"/>
    <w:rsid w:val="009256BF"/>
    <w:rsid w:val="00925A06"/>
    <w:rsid w:val="00926709"/>
    <w:rsid w:val="00926D2E"/>
    <w:rsid w:val="00927783"/>
    <w:rsid w:val="009279ED"/>
    <w:rsid w:val="00927BB4"/>
    <w:rsid w:val="00927FE5"/>
    <w:rsid w:val="00930CF3"/>
    <w:rsid w:val="009316AA"/>
    <w:rsid w:val="009322E6"/>
    <w:rsid w:val="009328FE"/>
    <w:rsid w:val="00933F03"/>
    <w:rsid w:val="00933FAF"/>
    <w:rsid w:val="00934268"/>
    <w:rsid w:val="00934F62"/>
    <w:rsid w:val="00935187"/>
    <w:rsid w:val="009358CE"/>
    <w:rsid w:val="00935F0A"/>
    <w:rsid w:val="00936536"/>
    <w:rsid w:val="00936568"/>
    <w:rsid w:val="0093682A"/>
    <w:rsid w:val="00936D0F"/>
    <w:rsid w:val="00936EEA"/>
    <w:rsid w:val="00936F81"/>
    <w:rsid w:val="00937004"/>
    <w:rsid w:val="0093712D"/>
    <w:rsid w:val="0093767E"/>
    <w:rsid w:val="00937BF9"/>
    <w:rsid w:val="009404EC"/>
    <w:rsid w:val="00940ED7"/>
    <w:rsid w:val="0094100F"/>
    <w:rsid w:val="00941498"/>
    <w:rsid w:val="009421B0"/>
    <w:rsid w:val="00942801"/>
    <w:rsid w:val="009432C2"/>
    <w:rsid w:val="00944114"/>
    <w:rsid w:val="0094430D"/>
    <w:rsid w:val="009448B8"/>
    <w:rsid w:val="00945022"/>
    <w:rsid w:val="00945CFE"/>
    <w:rsid w:val="00945ED2"/>
    <w:rsid w:val="00946667"/>
    <w:rsid w:val="00946BAD"/>
    <w:rsid w:val="00946E43"/>
    <w:rsid w:val="00947C4C"/>
    <w:rsid w:val="00947DAB"/>
    <w:rsid w:val="00950B13"/>
    <w:rsid w:val="009520AB"/>
    <w:rsid w:val="00952B63"/>
    <w:rsid w:val="009546D0"/>
    <w:rsid w:val="00954B68"/>
    <w:rsid w:val="009552BA"/>
    <w:rsid w:val="00955806"/>
    <w:rsid w:val="009558CD"/>
    <w:rsid w:val="00955DB2"/>
    <w:rsid w:val="00955E57"/>
    <w:rsid w:val="0095669B"/>
    <w:rsid w:val="00956BD5"/>
    <w:rsid w:val="0095792C"/>
    <w:rsid w:val="009579FC"/>
    <w:rsid w:val="00957EFC"/>
    <w:rsid w:val="00960A39"/>
    <w:rsid w:val="00961CFD"/>
    <w:rsid w:val="00961EAD"/>
    <w:rsid w:val="009621B2"/>
    <w:rsid w:val="009628A4"/>
    <w:rsid w:val="00962D13"/>
    <w:rsid w:val="00963140"/>
    <w:rsid w:val="00963AC1"/>
    <w:rsid w:val="00963B2E"/>
    <w:rsid w:val="00963B60"/>
    <w:rsid w:val="00963F31"/>
    <w:rsid w:val="00964474"/>
    <w:rsid w:val="00964EC2"/>
    <w:rsid w:val="00965693"/>
    <w:rsid w:val="00965934"/>
    <w:rsid w:val="009668C0"/>
    <w:rsid w:val="00970247"/>
    <w:rsid w:val="00970669"/>
    <w:rsid w:val="0097077A"/>
    <w:rsid w:val="00970D03"/>
    <w:rsid w:val="00970F72"/>
    <w:rsid w:val="0097127B"/>
    <w:rsid w:val="00971611"/>
    <w:rsid w:val="00971881"/>
    <w:rsid w:val="00971D58"/>
    <w:rsid w:val="00973229"/>
    <w:rsid w:val="00973B0A"/>
    <w:rsid w:val="00973C62"/>
    <w:rsid w:val="00973E3D"/>
    <w:rsid w:val="009746B3"/>
    <w:rsid w:val="00974C06"/>
    <w:rsid w:val="0097585C"/>
    <w:rsid w:val="0097676F"/>
    <w:rsid w:val="0097700F"/>
    <w:rsid w:val="0098247C"/>
    <w:rsid w:val="00982927"/>
    <w:rsid w:val="00982BB6"/>
    <w:rsid w:val="00983B91"/>
    <w:rsid w:val="00984A82"/>
    <w:rsid w:val="0098596E"/>
    <w:rsid w:val="00985DF6"/>
    <w:rsid w:val="00985F5C"/>
    <w:rsid w:val="0098615E"/>
    <w:rsid w:val="009863E0"/>
    <w:rsid w:val="009869AE"/>
    <w:rsid w:val="009869E0"/>
    <w:rsid w:val="009869EF"/>
    <w:rsid w:val="00987390"/>
    <w:rsid w:val="009878B3"/>
    <w:rsid w:val="00987989"/>
    <w:rsid w:val="009909DE"/>
    <w:rsid w:val="00990E94"/>
    <w:rsid w:val="00990FAC"/>
    <w:rsid w:val="009913B1"/>
    <w:rsid w:val="00992065"/>
    <w:rsid w:val="00992196"/>
    <w:rsid w:val="00992387"/>
    <w:rsid w:val="00992695"/>
    <w:rsid w:val="00992B8D"/>
    <w:rsid w:val="009933F5"/>
    <w:rsid w:val="00993512"/>
    <w:rsid w:val="009935BD"/>
    <w:rsid w:val="00994A41"/>
    <w:rsid w:val="00994D20"/>
    <w:rsid w:val="0099582E"/>
    <w:rsid w:val="0099587A"/>
    <w:rsid w:val="0099601B"/>
    <w:rsid w:val="009962D8"/>
    <w:rsid w:val="00996A94"/>
    <w:rsid w:val="00997377"/>
    <w:rsid w:val="00997666"/>
    <w:rsid w:val="009979A3"/>
    <w:rsid w:val="00997B91"/>
    <w:rsid w:val="009A176D"/>
    <w:rsid w:val="009A1A37"/>
    <w:rsid w:val="009A1B8F"/>
    <w:rsid w:val="009A1CA3"/>
    <w:rsid w:val="009A3611"/>
    <w:rsid w:val="009A3735"/>
    <w:rsid w:val="009A37DD"/>
    <w:rsid w:val="009A415F"/>
    <w:rsid w:val="009A43C8"/>
    <w:rsid w:val="009A49C4"/>
    <w:rsid w:val="009A4A23"/>
    <w:rsid w:val="009A4C25"/>
    <w:rsid w:val="009A4FE1"/>
    <w:rsid w:val="009A513E"/>
    <w:rsid w:val="009A6500"/>
    <w:rsid w:val="009A6538"/>
    <w:rsid w:val="009A6D77"/>
    <w:rsid w:val="009A6E30"/>
    <w:rsid w:val="009A72D3"/>
    <w:rsid w:val="009B00D8"/>
    <w:rsid w:val="009B04F0"/>
    <w:rsid w:val="009B0753"/>
    <w:rsid w:val="009B2069"/>
    <w:rsid w:val="009B22E6"/>
    <w:rsid w:val="009B23EA"/>
    <w:rsid w:val="009B2693"/>
    <w:rsid w:val="009B26C3"/>
    <w:rsid w:val="009B2AE3"/>
    <w:rsid w:val="009B3139"/>
    <w:rsid w:val="009B3189"/>
    <w:rsid w:val="009B3C71"/>
    <w:rsid w:val="009B3D09"/>
    <w:rsid w:val="009B54AD"/>
    <w:rsid w:val="009B5614"/>
    <w:rsid w:val="009B5939"/>
    <w:rsid w:val="009B6A56"/>
    <w:rsid w:val="009B6DD8"/>
    <w:rsid w:val="009B759C"/>
    <w:rsid w:val="009C0056"/>
    <w:rsid w:val="009C064F"/>
    <w:rsid w:val="009C0658"/>
    <w:rsid w:val="009C1E8D"/>
    <w:rsid w:val="009C20A8"/>
    <w:rsid w:val="009C21C2"/>
    <w:rsid w:val="009C31F9"/>
    <w:rsid w:val="009C3C4C"/>
    <w:rsid w:val="009C50F0"/>
    <w:rsid w:val="009C55CC"/>
    <w:rsid w:val="009C5C3E"/>
    <w:rsid w:val="009C5F3A"/>
    <w:rsid w:val="009C6331"/>
    <w:rsid w:val="009C6AC2"/>
    <w:rsid w:val="009C6C93"/>
    <w:rsid w:val="009C73F6"/>
    <w:rsid w:val="009C7891"/>
    <w:rsid w:val="009C7983"/>
    <w:rsid w:val="009D013D"/>
    <w:rsid w:val="009D0A94"/>
    <w:rsid w:val="009D0CAF"/>
    <w:rsid w:val="009D0E50"/>
    <w:rsid w:val="009D1E3E"/>
    <w:rsid w:val="009D2639"/>
    <w:rsid w:val="009D38D4"/>
    <w:rsid w:val="009D3B7A"/>
    <w:rsid w:val="009D4B76"/>
    <w:rsid w:val="009D5858"/>
    <w:rsid w:val="009D630B"/>
    <w:rsid w:val="009D73AA"/>
    <w:rsid w:val="009D73CF"/>
    <w:rsid w:val="009D7612"/>
    <w:rsid w:val="009E0AE9"/>
    <w:rsid w:val="009E0C0C"/>
    <w:rsid w:val="009E0D9E"/>
    <w:rsid w:val="009E14F3"/>
    <w:rsid w:val="009E3915"/>
    <w:rsid w:val="009E403F"/>
    <w:rsid w:val="009E4351"/>
    <w:rsid w:val="009E4745"/>
    <w:rsid w:val="009E5BAD"/>
    <w:rsid w:val="009E5E9C"/>
    <w:rsid w:val="009E616B"/>
    <w:rsid w:val="009E6330"/>
    <w:rsid w:val="009E6891"/>
    <w:rsid w:val="009E6A40"/>
    <w:rsid w:val="009E725E"/>
    <w:rsid w:val="009E79DB"/>
    <w:rsid w:val="009F0373"/>
    <w:rsid w:val="009F1187"/>
    <w:rsid w:val="009F13BE"/>
    <w:rsid w:val="009F1A3F"/>
    <w:rsid w:val="009F23A4"/>
    <w:rsid w:val="009F2A3F"/>
    <w:rsid w:val="009F3235"/>
    <w:rsid w:val="009F38FA"/>
    <w:rsid w:val="009F3BD2"/>
    <w:rsid w:val="009F3C96"/>
    <w:rsid w:val="009F3CD0"/>
    <w:rsid w:val="009F4D26"/>
    <w:rsid w:val="009F5E31"/>
    <w:rsid w:val="009F616E"/>
    <w:rsid w:val="009F61FB"/>
    <w:rsid w:val="009F6549"/>
    <w:rsid w:val="009F6816"/>
    <w:rsid w:val="009F745F"/>
    <w:rsid w:val="009F785E"/>
    <w:rsid w:val="00A00EEE"/>
    <w:rsid w:val="00A00F7A"/>
    <w:rsid w:val="00A01079"/>
    <w:rsid w:val="00A011CA"/>
    <w:rsid w:val="00A019AC"/>
    <w:rsid w:val="00A01B32"/>
    <w:rsid w:val="00A01B8E"/>
    <w:rsid w:val="00A02472"/>
    <w:rsid w:val="00A02F7D"/>
    <w:rsid w:val="00A03AB8"/>
    <w:rsid w:val="00A03F5D"/>
    <w:rsid w:val="00A042E6"/>
    <w:rsid w:val="00A04D82"/>
    <w:rsid w:val="00A04E38"/>
    <w:rsid w:val="00A058FB"/>
    <w:rsid w:val="00A05C48"/>
    <w:rsid w:val="00A068B9"/>
    <w:rsid w:val="00A06C41"/>
    <w:rsid w:val="00A0711C"/>
    <w:rsid w:val="00A07144"/>
    <w:rsid w:val="00A07DEC"/>
    <w:rsid w:val="00A102A0"/>
    <w:rsid w:val="00A10546"/>
    <w:rsid w:val="00A10ECF"/>
    <w:rsid w:val="00A11417"/>
    <w:rsid w:val="00A11A17"/>
    <w:rsid w:val="00A11CA7"/>
    <w:rsid w:val="00A11D77"/>
    <w:rsid w:val="00A125C6"/>
    <w:rsid w:val="00A13721"/>
    <w:rsid w:val="00A1435B"/>
    <w:rsid w:val="00A14504"/>
    <w:rsid w:val="00A15A51"/>
    <w:rsid w:val="00A1616C"/>
    <w:rsid w:val="00A16349"/>
    <w:rsid w:val="00A165CA"/>
    <w:rsid w:val="00A16E9F"/>
    <w:rsid w:val="00A16EA9"/>
    <w:rsid w:val="00A176D6"/>
    <w:rsid w:val="00A210C2"/>
    <w:rsid w:val="00A21C05"/>
    <w:rsid w:val="00A21CE8"/>
    <w:rsid w:val="00A228D4"/>
    <w:rsid w:val="00A23058"/>
    <w:rsid w:val="00A2370C"/>
    <w:rsid w:val="00A239A0"/>
    <w:rsid w:val="00A23A44"/>
    <w:rsid w:val="00A23DFC"/>
    <w:rsid w:val="00A2413C"/>
    <w:rsid w:val="00A25460"/>
    <w:rsid w:val="00A2646E"/>
    <w:rsid w:val="00A26568"/>
    <w:rsid w:val="00A26F28"/>
    <w:rsid w:val="00A27BF5"/>
    <w:rsid w:val="00A30B1A"/>
    <w:rsid w:val="00A312B6"/>
    <w:rsid w:val="00A314E6"/>
    <w:rsid w:val="00A316CF"/>
    <w:rsid w:val="00A31B83"/>
    <w:rsid w:val="00A31ECE"/>
    <w:rsid w:val="00A327B4"/>
    <w:rsid w:val="00A327D4"/>
    <w:rsid w:val="00A32AAC"/>
    <w:rsid w:val="00A33A30"/>
    <w:rsid w:val="00A33E2D"/>
    <w:rsid w:val="00A3424A"/>
    <w:rsid w:val="00A34695"/>
    <w:rsid w:val="00A34B71"/>
    <w:rsid w:val="00A34D6C"/>
    <w:rsid w:val="00A3573E"/>
    <w:rsid w:val="00A35D56"/>
    <w:rsid w:val="00A365E6"/>
    <w:rsid w:val="00A36615"/>
    <w:rsid w:val="00A3739D"/>
    <w:rsid w:val="00A37432"/>
    <w:rsid w:val="00A37784"/>
    <w:rsid w:val="00A37C63"/>
    <w:rsid w:val="00A37CD0"/>
    <w:rsid w:val="00A4078D"/>
    <w:rsid w:val="00A409CD"/>
    <w:rsid w:val="00A415A7"/>
    <w:rsid w:val="00A41EBB"/>
    <w:rsid w:val="00A41F19"/>
    <w:rsid w:val="00A4433F"/>
    <w:rsid w:val="00A44C2D"/>
    <w:rsid w:val="00A44FD9"/>
    <w:rsid w:val="00A46770"/>
    <w:rsid w:val="00A46898"/>
    <w:rsid w:val="00A47701"/>
    <w:rsid w:val="00A47A5E"/>
    <w:rsid w:val="00A5024E"/>
    <w:rsid w:val="00A502CC"/>
    <w:rsid w:val="00A5038C"/>
    <w:rsid w:val="00A5043B"/>
    <w:rsid w:val="00A50732"/>
    <w:rsid w:val="00A50876"/>
    <w:rsid w:val="00A50CB8"/>
    <w:rsid w:val="00A510CA"/>
    <w:rsid w:val="00A519D9"/>
    <w:rsid w:val="00A52D6F"/>
    <w:rsid w:val="00A52DDD"/>
    <w:rsid w:val="00A52F06"/>
    <w:rsid w:val="00A52F8B"/>
    <w:rsid w:val="00A53797"/>
    <w:rsid w:val="00A537D0"/>
    <w:rsid w:val="00A54F78"/>
    <w:rsid w:val="00A5533F"/>
    <w:rsid w:val="00A560E4"/>
    <w:rsid w:val="00A56663"/>
    <w:rsid w:val="00A56CA4"/>
    <w:rsid w:val="00A57169"/>
    <w:rsid w:val="00A57247"/>
    <w:rsid w:val="00A5724B"/>
    <w:rsid w:val="00A5745A"/>
    <w:rsid w:val="00A5756D"/>
    <w:rsid w:val="00A578CA"/>
    <w:rsid w:val="00A60E8A"/>
    <w:rsid w:val="00A60F59"/>
    <w:rsid w:val="00A613AA"/>
    <w:rsid w:val="00A61E9D"/>
    <w:rsid w:val="00A622FD"/>
    <w:rsid w:val="00A63FFE"/>
    <w:rsid w:val="00A64064"/>
    <w:rsid w:val="00A640F9"/>
    <w:rsid w:val="00A64123"/>
    <w:rsid w:val="00A645CE"/>
    <w:rsid w:val="00A647EC"/>
    <w:rsid w:val="00A64DA9"/>
    <w:rsid w:val="00A65E9B"/>
    <w:rsid w:val="00A6612C"/>
    <w:rsid w:val="00A6619B"/>
    <w:rsid w:val="00A670E8"/>
    <w:rsid w:val="00A67DFF"/>
    <w:rsid w:val="00A706C9"/>
    <w:rsid w:val="00A70BAF"/>
    <w:rsid w:val="00A711EA"/>
    <w:rsid w:val="00A712E0"/>
    <w:rsid w:val="00A71407"/>
    <w:rsid w:val="00A71505"/>
    <w:rsid w:val="00A717B1"/>
    <w:rsid w:val="00A71821"/>
    <w:rsid w:val="00A7226F"/>
    <w:rsid w:val="00A722DA"/>
    <w:rsid w:val="00A723CE"/>
    <w:rsid w:val="00A72A30"/>
    <w:rsid w:val="00A72B28"/>
    <w:rsid w:val="00A72E4C"/>
    <w:rsid w:val="00A73032"/>
    <w:rsid w:val="00A7310F"/>
    <w:rsid w:val="00A743F3"/>
    <w:rsid w:val="00A74A4F"/>
    <w:rsid w:val="00A74AEB"/>
    <w:rsid w:val="00A74EFC"/>
    <w:rsid w:val="00A754F6"/>
    <w:rsid w:val="00A755D2"/>
    <w:rsid w:val="00A7570B"/>
    <w:rsid w:val="00A75989"/>
    <w:rsid w:val="00A7639E"/>
    <w:rsid w:val="00A767EB"/>
    <w:rsid w:val="00A769C1"/>
    <w:rsid w:val="00A77DB6"/>
    <w:rsid w:val="00A80909"/>
    <w:rsid w:val="00A81FA4"/>
    <w:rsid w:val="00A82195"/>
    <w:rsid w:val="00A82504"/>
    <w:rsid w:val="00A82656"/>
    <w:rsid w:val="00A827F7"/>
    <w:rsid w:val="00A82B74"/>
    <w:rsid w:val="00A8391D"/>
    <w:rsid w:val="00A83A75"/>
    <w:rsid w:val="00A844B1"/>
    <w:rsid w:val="00A848A7"/>
    <w:rsid w:val="00A84D6B"/>
    <w:rsid w:val="00A85268"/>
    <w:rsid w:val="00A86B0C"/>
    <w:rsid w:val="00A8792A"/>
    <w:rsid w:val="00A87E8D"/>
    <w:rsid w:val="00A90038"/>
    <w:rsid w:val="00A92A86"/>
    <w:rsid w:val="00A93AAF"/>
    <w:rsid w:val="00A94885"/>
    <w:rsid w:val="00A94CD2"/>
    <w:rsid w:val="00A9544C"/>
    <w:rsid w:val="00A95552"/>
    <w:rsid w:val="00A95C1D"/>
    <w:rsid w:val="00A95D7A"/>
    <w:rsid w:val="00A95EF0"/>
    <w:rsid w:val="00A96005"/>
    <w:rsid w:val="00A964E1"/>
    <w:rsid w:val="00AA01AD"/>
    <w:rsid w:val="00AA07CF"/>
    <w:rsid w:val="00AA0889"/>
    <w:rsid w:val="00AA0988"/>
    <w:rsid w:val="00AA15C9"/>
    <w:rsid w:val="00AA1FC5"/>
    <w:rsid w:val="00AA2F8D"/>
    <w:rsid w:val="00AA30B5"/>
    <w:rsid w:val="00AA30D5"/>
    <w:rsid w:val="00AA3245"/>
    <w:rsid w:val="00AA396E"/>
    <w:rsid w:val="00AA39A4"/>
    <w:rsid w:val="00AA4685"/>
    <w:rsid w:val="00AA4BC6"/>
    <w:rsid w:val="00AA5B0E"/>
    <w:rsid w:val="00AA5D7D"/>
    <w:rsid w:val="00AA67BA"/>
    <w:rsid w:val="00AA7005"/>
    <w:rsid w:val="00AA7716"/>
    <w:rsid w:val="00AB01F2"/>
    <w:rsid w:val="00AB0859"/>
    <w:rsid w:val="00AB1E80"/>
    <w:rsid w:val="00AB2E21"/>
    <w:rsid w:val="00AB38BF"/>
    <w:rsid w:val="00AB4149"/>
    <w:rsid w:val="00AB4BAF"/>
    <w:rsid w:val="00AB6551"/>
    <w:rsid w:val="00AB65B2"/>
    <w:rsid w:val="00AB674F"/>
    <w:rsid w:val="00AB6FF6"/>
    <w:rsid w:val="00AB737D"/>
    <w:rsid w:val="00AB7F3E"/>
    <w:rsid w:val="00AC0351"/>
    <w:rsid w:val="00AC1097"/>
    <w:rsid w:val="00AC19AC"/>
    <w:rsid w:val="00AC1B54"/>
    <w:rsid w:val="00AC2853"/>
    <w:rsid w:val="00AC2DD0"/>
    <w:rsid w:val="00AC306D"/>
    <w:rsid w:val="00AC33C0"/>
    <w:rsid w:val="00AC42ED"/>
    <w:rsid w:val="00AC536F"/>
    <w:rsid w:val="00AC68A8"/>
    <w:rsid w:val="00AC6B50"/>
    <w:rsid w:val="00AC706C"/>
    <w:rsid w:val="00AC781E"/>
    <w:rsid w:val="00AC7A68"/>
    <w:rsid w:val="00AC7B37"/>
    <w:rsid w:val="00AD0413"/>
    <w:rsid w:val="00AD05A4"/>
    <w:rsid w:val="00AD0D71"/>
    <w:rsid w:val="00AD1227"/>
    <w:rsid w:val="00AD1824"/>
    <w:rsid w:val="00AD1E31"/>
    <w:rsid w:val="00AD376D"/>
    <w:rsid w:val="00AD3932"/>
    <w:rsid w:val="00AD39C1"/>
    <w:rsid w:val="00AD42DA"/>
    <w:rsid w:val="00AD4AB1"/>
    <w:rsid w:val="00AD4F58"/>
    <w:rsid w:val="00AD59B2"/>
    <w:rsid w:val="00AD6005"/>
    <w:rsid w:val="00AD7059"/>
    <w:rsid w:val="00AD75C6"/>
    <w:rsid w:val="00AD7A92"/>
    <w:rsid w:val="00AD7ADA"/>
    <w:rsid w:val="00AE026A"/>
    <w:rsid w:val="00AE034D"/>
    <w:rsid w:val="00AE08EA"/>
    <w:rsid w:val="00AE094E"/>
    <w:rsid w:val="00AE098B"/>
    <w:rsid w:val="00AE1BD5"/>
    <w:rsid w:val="00AE23D2"/>
    <w:rsid w:val="00AE2773"/>
    <w:rsid w:val="00AE2F94"/>
    <w:rsid w:val="00AE47E5"/>
    <w:rsid w:val="00AE4984"/>
    <w:rsid w:val="00AE4A4D"/>
    <w:rsid w:val="00AE5789"/>
    <w:rsid w:val="00AE6C7B"/>
    <w:rsid w:val="00AE6DB4"/>
    <w:rsid w:val="00AE7DCB"/>
    <w:rsid w:val="00AE7EFF"/>
    <w:rsid w:val="00AE7F8A"/>
    <w:rsid w:val="00AF1A5D"/>
    <w:rsid w:val="00AF1F9B"/>
    <w:rsid w:val="00AF2F1D"/>
    <w:rsid w:val="00AF2F3A"/>
    <w:rsid w:val="00AF2FAB"/>
    <w:rsid w:val="00AF3351"/>
    <w:rsid w:val="00AF5339"/>
    <w:rsid w:val="00AF5817"/>
    <w:rsid w:val="00AF5C11"/>
    <w:rsid w:val="00AF5E66"/>
    <w:rsid w:val="00AF669B"/>
    <w:rsid w:val="00AF66AA"/>
    <w:rsid w:val="00AF70DB"/>
    <w:rsid w:val="00B020F6"/>
    <w:rsid w:val="00B02BBF"/>
    <w:rsid w:val="00B02BE3"/>
    <w:rsid w:val="00B02DAB"/>
    <w:rsid w:val="00B03177"/>
    <w:rsid w:val="00B031EF"/>
    <w:rsid w:val="00B03836"/>
    <w:rsid w:val="00B039F2"/>
    <w:rsid w:val="00B04131"/>
    <w:rsid w:val="00B0463C"/>
    <w:rsid w:val="00B05037"/>
    <w:rsid w:val="00B05097"/>
    <w:rsid w:val="00B05353"/>
    <w:rsid w:val="00B0598A"/>
    <w:rsid w:val="00B05CFF"/>
    <w:rsid w:val="00B063E4"/>
    <w:rsid w:val="00B0643B"/>
    <w:rsid w:val="00B067C7"/>
    <w:rsid w:val="00B067DE"/>
    <w:rsid w:val="00B06BB6"/>
    <w:rsid w:val="00B1051B"/>
    <w:rsid w:val="00B10929"/>
    <w:rsid w:val="00B109CC"/>
    <w:rsid w:val="00B109FF"/>
    <w:rsid w:val="00B10B6C"/>
    <w:rsid w:val="00B11EF0"/>
    <w:rsid w:val="00B136F6"/>
    <w:rsid w:val="00B13E33"/>
    <w:rsid w:val="00B14E49"/>
    <w:rsid w:val="00B15629"/>
    <w:rsid w:val="00B1567C"/>
    <w:rsid w:val="00B1569E"/>
    <w:rsid w:val="00B15A33"/>
    <w:rsid w:val="00B15BA9"/>
    <w:rsid w:val="00B1661A"/>
    <w:rsid w:val="00B16658"/>
    <w:rsid w:val="00B17096"/>
    <w:rsid w:val="00B17826"/>
    <w:rsid w:val="00B17A19"/>
    <w:rsid w:val="00B17EE2"/>
    <w:rsid w:val="00B219B5"/>
    <w:rsid w:val="00B21D58"/>
    <w:rsid w:val="00B22590"/>
    <w:rsid w:val="00B22E2D"/>
    <w:rsid w:val="00B22F10"/>
    <w:rsid w:val="00B23D94"/>
    <w:rsid w:val="00B23DA8"/>
    <w:rsid w:val="00B24A27"/>
    <w:rsid w:val="00B24D36"/>
    <w:rsid w:val="00B24D87"/>
    <w:rsid w:val="00B25F76"/>
    <w:rsid w:val="00B26740"/>
    <w:rsid w:val="00B26F30"/>
    <w:rsid w:val="00B2772C"/>
    <w:rsid w:val="00B27E58"/>
    <w:rsid w:val="00B30244"/>
    <w:rsid w:val="00B30313"/>
    <w:rsid w:val="00B30360"/>
    <w:rsid w:val="00B305EF"/>
    <w:rsid w:val="00B32969"/>
    <w:rsid w:val="00B32EAF"/>
    <w:rsid w:val="00B3300D"/>
    <w:rsid w:val="00B332EA"/>
    <w:rsid w:val="00B334CF"/>
    <w:rsid w:val="00B33E42"/>
    <w:rsid w:val="00B3446B"/>
    <w:rsid w:val="00B34996"/>
    <w:rsid w:val="00B34B3E"/>
    <w:rsid w:val="00B34F47"/>
    <w:rsid w:val="00B35B06"/>
    <w:rsid w:val="00B35C92"/>
    <w:rsid w:val="00B36BA2"/>
    <w:rsid w:val="00B4023C"/>
    <w:rsid w:val="00B407B3"/>
    <w:rsid w:val="00B409A9"/>
    <w:rsid w:val="00B4182C"/>
    <w:rsid w:val="00B41A52"/>
    <w:rsid w:val="00B42AF3"/>
    <w:rsid w:val="00B42E85"/>
    <w:rsid w:val="00B431A8"/>
    <w:rsid w:val="00B43B05"/>
    <w:rsid w:val="00B44021"/>
    <w:rsid w:val="00B44D24"/>
    <w:rsid w:val="00B45373"/>
    <w:rsid w:val="00B45470"/>
    <w:rsid w:val="00B45569"/>
    <w:rsid w:val="00B45BAD"/>
    <w:rsid w:val="00B45CCA"/>
    <w:rsid w:val="00B45EA7"/>
    <w:rsid w:val="00B45F9C"/>
    <w:rsid w:val="00B46B43"/>
    <w:rsid w:val="00B47021"/>
    <w:rsid w:val="00B47972"/>
    <w:rsid w:val="00B47C32"/>
    <w:rsid w:val="00B5032F"/>
    <w:rsid w:val="00B5163F"/>
    <w:rsid w:val="00B51CBA"/>
    <w:rsid w:val="00B53367"/>
    <w:rsid w:val="00B539B5"/>
    <w:rsid w:val="00B53E19"/>
    <w:rsid w:val="00B54043"/>
    <w:rsid w:val="00B5499A"/>
    <w:rsid w:val="00B55865"/>
    <w:rsid w:val="00B5589D"/>
    <w:rsid w:val="00B5629D"/>
    <w:rsid w:val="00B5700C"/>
    <w:rsid w:val="00B60330"/>
    <w:rsid w:val="00B607EE"/>
    <w:rsid w:val="00B60941"/>
    <w:rsid w:val="00B60F12"/>
    <w:rsid w:val="00B60FC9"/>
    <w:rsid w:val="00B61578"/>
    <w:rsid w:val="00B62883"/>
    <w:rsid w:val="00B631BD"/>
    <w:rsid w:val="00B63FCE"/>
    <w:rsid w:val="00B64F39"/>
    <w:rsid w:val="00B64FDD"/>
    <w:rsid w:val="00B65B50"/>
    <w:rsid w:val="00B6653E"/>
    <w:rsid w:val="00B66A61"/>
    <w:rsid w:val="00B66AB8"/>
    <w:rsid w:val="00B67B55"/>
    <w:rsid w:val="00B67B7C"/>
    <w:rsid w:val="00B67D48"/>
    <w:rsid w:val="00B709DF"/>
    <w:rsid w:val="00B70F61"/>
    <w:rsid w:val="00B710F8"/>
    <w:rsid w:val="00B71ED6"/>
    <w:rsid w:val="00B72278"/>
    <w:rsid w:val="00B72FED"/>
    <w:rsid w:val="00B7333E"/>
    <w:rsid w:val="00B73A68"/>
    <w:rsid w:val="00B74B77"/>
    <w:rsid w:val="00B770CC"/>
    <w:rsid w:val="00B7713E"/>
    <w:rsid w:val="00B77975"/>
    <w:rsid w:val="00B80DAA"/>
    <w:rsid w:val="00B81D03"/>
    <w:rsid w:val="00B81D7A"/>
    <w:rsid w:val="00B826D4"/>
    <w:rsid w:val="00B833AF"/>
    <w:rsid w:val="00B83F25"/>
    <w:rsid w:val="00B841DD"/>
    <w:rsid w:val="00B8498D"/>
    <w:rsid w:val="00B84A4F"/>
    <w:rsid w:val="00B84D20"/>
    <w:rsid w:val="00B85536"/>
    <w:rsid w:val="00B8583D"/>
    <w:rsid w:val="00B85B08"/>
    <w:rsid w:val="00B86398"/>
    <w:rsid w:val="00B86D40"/>
    <w:rsid w:val="00B871D6"/>
    <w:rsid w:val="00B871FD"/>
    <w:rsid w:val="00B87EDE"/>
    <w:rsid w:val="00B90205"/>
    <w:rsid w:val="00B90B7D"/>
    <w:rsid w:val="00B9102C"/>
    <w:rsid w:val="00B917C1"/>
    <w:rsid w:val="00B91D1F"/>
    <w:rsid w:val="00B91F5B"/>
    <w:rsid w:val="00B91FFE"/>
    <w:rsid w:val="00B9212C"/>
    <w:rsid w:val="00B9292D"/>
    <w:rsid w:val="00B929E9"/>
    <w:rsid w:val="00B92C6A"/>
    <w:rsid w:val="00B93508"/>
    <w:rsid w:val="00B93B40"/>
    <w:rsid w:val="00B93C7E"/>
    <w:rsid w:val="00B940CB"/>
    <w:rsid w:val="00B9439A"/>
    <w:rsid w:val="00B94519"/>
    <w:rsid w:val="00B94674"/>
    <w:rsid w:val="00B94732"/>
    <w:rsid w:val="00B95027"/>
    <w:rsid w:val="00B95856"/>
    <w:rsid w:val="00B964FC"/>
    <w:rsid w:val="00B969F0"/>
    <w:rsid w:val="00B96E45"/>
    <w:rsid w:val="00B978D7"/>
    <w:rsid w:val="00B97CBC"/>
    <w:rsid w:val="00B97D32"/>
    <w:rsid w:val="00B97F21"/>
    <w:rsid w:val="00BA010A"/>
    <w:rsid w:val="00BA190F"/>
    <w:rsid w:val="00BA20CD"/>
    <w:rsid w:val="00BA20FF"/>
    <w:rsid w:val="00BA23C0"/>
    <w:rsid w:val="00BA26AF"/>
    <w:rsid w:val="00BA2DA2"/>
    <w:rsid w:val="00BA3139"/>
    <w:rsid w:val="00BA3B6B"/>
    <w:rsid w:val="00BA4ABE"/>
    <w:rsid w:val="00BA4CD1"/>
    <w:rsid w:val="00BA50EC"/>
    <w:rsid w:val="00BA594A"/>
    <w:rsid w:val="00BA63E4"/>
    <w:rsid w:val="00BA6905"/>
    <w:rsid w:val="00BA69E2"/>
    <w:rsid w:val="00BA791D"/>
    <w:rsid w:val="00BA7DEE"/>
    <w:rsid w:val="00BB136F"/>
    <w:rsid w:val="00BB1AB7"/>
    <w:rsid w:val="00BB2D21"/>
    <w:rsid w:val="00BB304C"/>
    <w:rsid w:val="00BB3716"/>
    <w:rsid w:val="00BB3744"/>
    <w:rsid w:val="00BB4153"/>
    <w:rsid w:val="00BB4C23"/>
    <w:rsid w:val="00BB51C2"/>
    <w:rsid w:val="00BB5F7C"/>
    <w:rsid w:val="00BB5FBD"/>
    <w:rsid w:val="00BB6209"/>
    <w:rsid w:val="00BB66E1"/>
    <w:rsid w:val="00BB6FFC"/>
    <w:rsid w:val="00BB7A5B"/>
    <w:rsid w:val="00BC09EA"/>
    <w:rsid w:val="00BC2075"/>
    <w:rsid w:val="00BC240A"/>
    <w:rsid w:val="00BC243B"/>
    <w:rsid w:val="00BC26C2"/>
    <w:rsid w:val="00BC2D30"/>
    <w:rsid w:val="00BC2D3B"/>
    <w:rsid w:val="00BC310C"/>
    <w:rsid w:val="00BC32CD"/>
    <w:rsid w:val="00BC3330"/>
    <w:rsid w:val="00BC352C"/>
    <w:rsid w:val="00BC3AD5"/>
    <w:rsid w:val="00BC49E9"/>
    <w:rsid w:val="00BC55F4"/>
    <w:rsid w:val="00BC72D1"/>
    <w:rsid w:val="00BC764C"/>
    <w:rsid w:val="00BD1894"/>
    <w:rsid w:val="00BD244E"/>
    <w:rsid w:val="00BD289E"/>
    <w:rsid w:val="00BD2AD6"/>
    <w:rsid w:val="00BD2DFD"/>
    <w:rsid w:val="00BD3F7D"/>
    <w:rsid w:val="00BD4289"/>
    <w:rsid w:val="00BD5457"/>
    <w:rsid w:val="00BD577C"/>
    <w:rsid w:val="00BD5864"/>
    <w:rsid w:val="00BD6195"/>
    <w:rsid w:val="00BD6DC4"/>
    <w:rsid w:val="00BD6E08"/>
    <w:rsid w:val="00BD7551"/>
    <w:rsid w:val="00BD7554"/>
    <w:rsid w:val="00BD77CE"/>
    <w:rsid w:val="00BD7984"/>
    <w:rsid w:val="00BE0E62"/>
    <w:rsid w:val="00BE1FC3"/>
    <w:rsid w:val="00BE2715"/>
    <w:rsid w:val="00BE2A13"/>
    <w:rsid w:val="00BE2C2C"/>
    <w:rsid w:val="00BE2DF1"/>
    <w:rsid w:val="00BE3A6F"/>
    <w:rsid w:val="00BE3ABB"/>
    <w:rsid w:val="00BE5DD1"/>
    <w:rsid w:val="00BE5EDA"/>
    <w:rsid w:val="00BE6085"/>
    <w:rsid w:val="00BE6E56"/>
    <w:rsid w:val="00BE7343"/>
    <w:rsid w:val="00BE799F"/>
    <w:rsid w:val="00BF079A"/>
    <w:rsid w:val="00BF0B98"/>
    <w:rsid w:val="00BF1A99"/>
    <w:rsid w:val="00BF1D57"/>
    <w:rsid w:val="00BF2075"/>
    <w:rsid w:val="00BF2577"/>
    <w:rsid w:val="00BF4956"/>
    <w:rsid w:val="00BF6DB7"/>
    <w:rsid w:val="00BF7E6B"/>
    <w:rsid w:val="00C00158"/>
    <w:rsid w:val="00C0034F"/>
    <w:rsid w:val="00C007D9"/>
    <w:rsid w:val="00C011B0"/>
    <w:rsid w:val="00C02639"/>
    <w:rsid w:val="00C027E4"/>
    <w:rsid w:val="00C02BD2"/>
    <w:rsid w:val="00C02E1F"/>
    <w:rsid w:val="00C02FB7"/>
    <w:rsid w:val="00C03465"/>
    <w:rsid w:val="00C03E66"/>
    <w:rsid w:val="00C04F85"/>
    <w:rsid w:val="00C05186"/>
    <w:rsid w:val="00C057B2"/>
    <w:rsid w:val="00C05D4B"/>
    <w:rsid w:val="00C06CBE"/>
    <w:rsid w:val="00C07C65"/>
    <w:rsid w:val="00C1012D"/>
    <w:rsid w:val="00C102A8"/>
    <w:rsid w:val="00C102F4"/>
    <w:rsid w:val="00C108C1"/>
    <w:rsid w:val="00C10E96"/>
    <w:rsid w:val="00C1128E"/>
    <w:rsid w:val="00C115D3"/>
    <w:rsid w:val="00C12371"/>
    <w:rsid w:val="00C12C24"/>
    <w:rsid w:val="00C12D00"/>
    <w:rsid w:val="00C12D01"/>
    <w:rsid w:val="00C132A0"/>
    <w:rsid w:val="00C14195"/>
    <w:rsid w:val="00C14529"/>
    <w:rsid w:val="00C14EDC"/>
    <w:rsid w:val="00C15E53"/>
    <w:rsid w:val="00C165C5"/>
    <w:rsid w:val="00C16A3A"/>
    <w:rsid w:val="00C16EB1"/>
    <w:rsid w:val="00C16F9B"/>
    <w:rsid w:val="00C17A00"/>
    <w:rsid w:val="00C20C5E"/>
    <w:rsid w:val="00C2123A"/>
    <w:rsid w:val="00C2142B"/>
    <w:rsid w:val="00C21DF7"/>
    <w:rsid w:val="00C230BA"/>
    <w:rsid w:val="00C24520"/>
    <w:rsid w:val="00C247B0"/>
    <w:rsid w:val="00C25AC4"/>
    <w:rsid w:val="00C25B1D"/>
    <w:rsid w:val="00C260A2"/>
    <w:rsid w:val="00C2637D"/>
    <w:rsid w:val="00C26BF3"/>
    <w:rsid w:val="00C271F1"/>
    <w:rsid w:val="00C27202"/>
    <w:rsid w:val="00C275B6"/>
    <w:rsid w:val="00C27B59"/>
    <w:rsid w:val="00C27D18"/>
    <w:rsid w:val="00C3069B"/>
    <w:rsid w:val="00C30CA8"/>
    <w:rsid w:val="00C31413"/>
    <w:rsid w:val="00C3161E"/>
    <w:rsid w:val="00C3190C"/>
    <w:rsid w:val="00C32301"/>
    <w:rsid w:val="00C32330"/>
    <w:rsid w:val="00C32C90"/>
    <w:rsid w:val="00C32FBB"/>
    <w:rsid w:val="00C35CD4"/>
    <w:rsid w:val="00C36081"/>
    <w:rsid w:val="00C36A93"/>
    <w:rsid w:val="00C37218"/>
    <w:rsid w:val="00C37EC3"/>
    <w:rsid w:val="00C37F79"/>
    <w:rsid w:val="00C402FB"/>
    <w:rsid w:val="00C411A1"/>
    <w:rsid w:val="00C417EA"/>
    <w:rsid w:val="00C418D3"/>
    <w:rsid w:val="00C41AF5"/>
    <w:rsid w:val="00C421DB"/>
    <w:rsid w:val="00C42275"/>
    <w:rsid w:val="00C4347F"/>
    <w:rsid w:val="00C43E9C"/>
    <w:rsid w:val="00C44FF8"/>
    <w:rsid w:val="00C458FA"/>
    <w:rsid w:val="00C45B55"/>
    <w:rsid w:val="00C4637A"/>
    <w:rsid w:val="00C4678A"/>
    <w:rsid w:val="00C46CA7"/>
    <w:rsid w:val="00C46CF4"/>
    <w:rsid w:val="00C47AAF"/>
    <w:rsid w:val="00C50530"/>
    <w:rsid w:val="00C50AE6"/>
    <w:rsid w:val="00C51196"/>
    <w:rsid w:val="00C533A5"/>
    <w:rsid w:val="00C53A50"/>
    <w:rsid w:val="00C5474D"/>
    <w:rsid w:val="00C561BD"/>
    <w:rsid w:val="00C574C0"/>
    <w:rsid w:val="00C57D4F"/>
    <w:rsid w:val="00C6009E"/>
    <w:rsid w:val="00C6049B"/>
    <w:rsid w:val="00C60D63"/>
    <w:rsid w:val="00C61370"/>
    <w:rsid w:val="00C614D3"/>
    <w:rsid w:val="00C61632"/>
    <w:rsid w:val="00C62A51"/>
    <w:rsid w:val="00C62A5D"/>
    <w:rsid w:val="00C634BF"/>
    <w:rsid w:val="00C63BEC"/>
    <w:rsid w:val="00C645BB"/>
    <w:rsid w:val="00C646B6"/>
    <w:rsid w:val="00C64C49"/>
    <w:rsid w:val="00C64C56"/>
    <w:rsid w:val="00C64D05"/>
    <w:rsid w:val="00C65260"/>
    <w:rsid w:val="00C66140"/>
    <w:rsid w:val="00C6632E"/>
    <w:rsid w:val="00C669FB"/>
    <w:rsid w:val="00C678F4"/>
    <w:rsid w:val="00C67F17"/>
    <w:rsid w:val="00C70995"/>
    <w:rsid w:val="00C70BCC"/>
    <w:rsid w:val="00C7105A"/>
    <w:rsid w:val="00C71230"/>
    <w:rsid w:val="00C71A2A"/>
    <w:rsid w:val="00C72338"/>
    <w:rsid w:val="00C72C3F"/>
    <w:rsid w:val="00C7318F"/>
    <w:rsid w:val="00C73C58"/>
    <w:rsid w:val="00C74315"/>
    <w:rsid w:val="00C754D1"/>
    <w:rsid w:val="00C76118"/>
    <w:rsid w:val="00C773EA"/>
    <w:rsid w:val="00C8032C"/>
    <w:rsid w:val="00C8052A"/>
    <w:rsid w:val="00C80DDD"/>
    <w:rsid w:val="00C81473"/>
    <w:rsid w:val="00C81E17"/>
    <w:rsid w:val="00C81FDA"/>
    <w:rsid w:val="00C824ED"/>
    <w:rsid w:val="00C8251A"/>
    <w:rsid w:val="00C82790"/>
    <w:rsid w:val="00C82A34"/>
    <w:rsid w:val="00C83191"/>
    <w:rsid w:val="00C8337A"/>
    <w:rsid w:val="00C83558"/>
    <w:rsid w:val="00C84048"/>
    <w:rsid w:val="00C841D3"/>
    <w:rsid w:val="00C843B4"/>
    <w:rsid w:val="00C857D4"/>
    <w:rsid w:val="00C86178"/>
    <w:rsid w:val="00C8692F"/>
    <w:rsid w:val="00C86CF4"/>
    <w:rsid w:val="00C86D97"/>
    <w:rsid w:val="00C86ED4"/>
    <w:rsid w:val="00C86F52"/>
    <w:rsid w:val="00C90A0A"/>
    <w:rsid w:val="00C9121B"/>
    <w:rsid w:val="00C915F3"/>
    <w:rsid w:val="00C9179E"/>
    <w:rsid w:val="00C91960"/>
    <w:rsid w:val="00C91C7E"/>
    <w:rsid w:val="00C91C89"/>
    <w:rsid w:val="00C93094"/>
    <w:rsid w:val="00C934E5"/>
    <w:rsid w:val="00C93795"/>
    <w:rsid w:val="00C93A47"/>
    <w:rsid w:val="00C9452F"/>
    <w:rsid w:val="00C950D2"/>
    <w:rsid w:val="00C97A34"/>
    <w:rsid w:val="00C97B76"/>
    <w:rsid w:val="00CA0954"/>
    <w:rsid w:val="00CA09AF"/>
    <w:rsid w:val="00CA1DE6"/>
    <w:rsid w:val="00CA1EC0"/>
    <w:rsid w:val="00CA240C"/>
    <w:rsid w:val="00CA252E"/>
    <w:rsid w:val="00CA293A"/>
    <w:rsid w:val="00CA2DC1"/>
    <w:rsid w:val="00CA310F"/>
    <w:rsid w:val="00CA331F"/>
    <w:rsid w:val="00CA3358"/>
    <w:rsid w:val="00CA393B"/>
    <w:rsid w:val="00CA42D3"/>
    <w:rsid w:val="00CA439C"/>
    <w:rsid w:val="00CA4943"/>
    <w:rsid w:val="00CA4DFF"/>
    <w:rsid w:val="00CA51F1"/>
    <w:rsid w:val="00CA5A96"/>
    <w:rsid w:val="00CA5B05"/>
    <w:rsid w:val="00CA600D"/>
    <w:rsid w:val="00CA62AD"/>
    <w:rsid w:val="00CB04C5"/>
    <w:rsid w:val="00CB0A73"/>
    <w:rsid w:val="00CB0F98"/>
    <w:rsid w:val="00CB151A"/>
    <w:rsid w:val="00CB21C8"/>
    <w:rsid w:val="00CB2931"/>
    <w:rsid w:val="00CB2E83"/>
    <w:rsid w:val="00CB2F7C"/>
    <w:rsid w:val="00CB3197"/>
    <w:rsid w:val="00CB31AD"/>
    <w:rsid w:val="00CB3819"/>
    <w:rsid w:val="00CB401F"/>
    <w:rsid w:val="00CB420E"/>
    <w:rsid w:val="00CB4FBF"/>
    <w:rsid w:val="00CB520C"/>
    <w:rsid w:val="00CB591B"/>
    <w:rsid w:val="00CB595A"/>
    <w:rsid w:val="00CB7646"/>
    <w:rsid w:val="00CB7654"/>
    <w:rsid w:val="00CB77F2"/>
    <w:rsid w:val="00CB7CA2"/>
    <w:rsid w:val="00CB7CC3"/>
    <w:rsid w:val="00CB7FC6"/>
    <w:rsid w:val="00CC01B4"/>
    <w:rsid w:val="00CC06DD"/>
    <w:rsid w:val="00CC070C"/>
    <w:rsid w:val="00CC163B"/>
    <w:rsid w:val="00CC16CE"/>
    <w:rsid w:val="00CC16EE"/>
    <w:rsid w:val="00CC17DB"/>
    <w:rsid w:val="00CC18FF"/>
    <w:rsid w:val="00CC1966"/>
    <w:rsid w:val="00CC2DE2"/>
    <w:rsid w:val="00CC3072"/>
    <w:rsid w:val="00CC3086"/>
    <w:rsid w:val="00CC3E29"/>
    <w:rsid w:val="00CC4CE3"/>
    <w:rsid w:val="00CC4EB6"/>
    <w:rsid w:val="00CC5387"/>
    <w:rsid w:val="00CC53D5"/>
    <w:rsid w:val="00CC5CA5"/>
    <w:rsid w:val="00CC6159"/>
    <w:rsid w:val="00CC7A3E"/>
    <w:rsid w:val="00CD0066"/>
    <w:rsid w:val="00CD0EAF"/>
    <w:rsid w:val="00CD117F"/>
    <w:rsid w:val="00CD125E"/>
    <w:rsid w:val="00CD15E5"/>
    <w:rsid w:val="00CD163A"/>
    <w:rsid w:val="00CD16CE"/>
    <w:rsid w:val="00CD380F"/>
    <w:rsid w:val="00CD3B3A"/>
    <w:rsid w:val="00CD3BD3"/>
    <w:rsid w:val="00CD4133"/>
    <w:rsid w:val="00CD4643"/>
    <w:rsid w:val="00CD526A"/>
    <w:rsid w:val="00CD5EF5"/>
    <w:rsid w:val="00CD5F3B"/>
    <w:rsid w:val="00CD6333"/>
    <w:rsid w:val="00CD6BDD"/>
    <w:rsid w:val="00CD6E0E"/>
    <w:rsid w:val="00CD711F"/>
    <w:rsid w:val="00CD72C6"/>
    <w:rsid w:val="00CD72EB"/>
    <w:rsid w:val="00CD73E8"/>
    <w:rsid w:val="00CE042A"/>
    <w:rsid w:val="00CE063A"/>
    <w:rsid w:val="00CE08CA"/>
    <w:rsid w:val="00CE11DF"/>
    <w:rsid w:val="00CE120F"/>
    <w:rsid w:val="00CE1236"/>
    <w:rsid w:val="00CE12D7"/>
    <w:rsid w:val="00CE12E8"/>
    <w:rsid w:val="00CE1692"/>
    <w:rsid w:val="00CE1B36"/>
    <w:rsid w:val="00CE25AB"/>
    <w:rsid w:val="00CE2713"/>
    <w:rsid w:val="00CE2EB8"/>
    <w:rsid w:val="00CE48BB"/>
    <w:rsid w:val="00CE56BA"/>
    <w:rsid w:val="00CE6722"/>
    <w:rsid w:val="00CE730A"/>
    <w:rsid w:val="00CE7604"/>
    <w:rsid w:val="00CE76AA"/>
    <w:rsid w:val="00CE7BBD"/>
    <w:rsid w:val="00CE7D9E"/>
    <w:rsid w:val="00CF013A"/>
    <w:rsid w:val="00CF0A79"/>
    <w:rsid w:val="00CF21D0"/>
    <w:rsid w:val="00CF262D"/>
    <w:rsid w:val="00CF2A19"/>
    <w:rsid w:val="00CF2CD0"/>
    <w:rsid w:val="00CF3AA6"/>
    <w:rsid w:val="00CF3D52"/>
    <w:rsid w:val="00CF4112"/>
    <w:rsid w:val="00CF5B48"/>
    <w:rsid w:val="00CF61D8"/>
    <w:rsid w:val="00CF71C4"/>
    <w:rsid w:val="00CF7D5A"/>
    <w:rsid w:val="00D0012A"/>
    <w:rsid w:val="00D00281"/>
    <w:rsid w:val="00D00FEF"/>
    <w:rsid w:val="00D01027"/>
    <w:rsid w:val="00D0221D"/>
    <w:rsid w:val="00D0315C"/>
    <w:rsid w:val="00D0395F"/>
    <w:rsid w:val="00D039F8"/>
    <w:rsid w:val="00D04465"/>
    <w:rsid w:val="00D0488A"/>
    <w:rsid w:val="00D04A7A"/>
    <w:rsid w:val="00D04B4C"/>
    <w:rsid w:val="00D05A82"/>
    <w:rsid w:val="00D06092"/>
    <w:rsid w:val="00D06263"/>
    <w:rsid w:val="00D06391"/>
    <w:rsid w:val="00D063FA"/>
    <w:rsid w:val="00D067D4"/>
    <w:rsid w:val="00D0682B"/>
    <w:rsid w:val="00D06A2A"/>
    <w:rsid w:val="00D06D7F"/>
    <w:rsid w:val="00D07A7E"/>
    <w:rsid w:val="00D10420"/>
    <w:rsid w:val="00D111C6"/>
    <w:rsid w:val="00D12287"/>
    <w:rsid w:val="00D123F2"/>
    <w:rsid w:val="00D136C4"/>
    <w:rsid w:val="00D137E9"/>
    <w:rsid w:val="00D13BA5"/>
    <w:rsid w:val="00D13D96"/>
    <w:rsid w:val="00D13E06"/>
    <w:rsid w:val="00D1462D"/>
    <w:rsid w:val="00D14BEB"/>
    <w:rsid w:val="00D14D23"/>
    <w:rsid w:val="00D15538"/>
    <w:rsid w:val="00D15C96"/>
    <w:rsid w:val="00D1683E"/>
    <w:rsid w:val="00D16C2F"/>
    <w:rsid w:val="00D17273"/>
    <w:rsid w:val="00D17713"/>
    <w:rsid w:val="00D17D0B"/>
    <w:rsid w:val="00D17D63"/>
    <w:rsid w:val="00D17F49"/>
    <w:rsid w:val="00D208A2"/>
    <w:rsid w:val="00D20F4C"/>
    <w:rsid w:val="00D218B7"/>
    <w:rsid w:val="00D22517"/>
    <w:rsid w:val="00D22E21"/>
    <w:rsid w:val="00D22FD4"/>
    <w:rsid w:val="00D232F6"/>
    <w:rsid w:val="00D2345C"/>
    <w:rsid w:val="00D235A3"/>
    <w:rsid w:val="00D237E6"/>
    <w:rsid w:val="00D239A8"/>
    <w:rsid w:val="00D23B09"/>
    <w:rsid w:val="00D23DE6"/>
    <w:rsid w:val="00D23F96"/>
    <w:rsid w:val="00D244BC"/>
    <w:rsid w:val="00D24B99"/>
    <w:rsid w:val="00D24D60"/>
    <w:rsid w:val="00D25081"/>
    <w:rsid w:val="00D2541B"/>
    <w:rsid w:val="00D254A9"/>
    <w:rsid w:val="00D25625"/>
    <w:rsid w:val="00D25E2E"/>
    <w:rsid w:val="00D26196"/>
    <w:rsid w:val="00D261CA"/>
    <w:rsid w:val="00D2779E"/>
    <w:rsid w:val="00D30263"/>
    <w:rsid w:val="00D3043C"/>
    <w:rsid w:val="00D30B02"/>
    <w:rsid w:val="00D314C9"/>
    <w:rsid w:val="00D3169C"/>
    <w:rsid w:val="00D325E7"/>
    <w:rsid w:val="00D326D4"/>
    <w:rsid w:val="00D32E55"/>
    <w:rsid w:val="00D339CA"/>
    <w:rsid w:val="00D33B1B"/>
    <w:rsid w:val="00D33B57"/>
    <w:rsid w:val="00D33BE6"/>
    <w:rsid w:val="00D34D19"/>
    <w:rsid w:val="00D34D4E"/>
    <w:rsid w:val="00D350BF"/>
    <w:rsid w:val="00D3520F"/>
    <w:rsid w:val="00D3604C"/>
    <w:rsid w:val="00D36D7B"/>
    <w:rsid w:val="00D3758E"/>
    <w:rsid w:val="00D376B7"/>
    <w:rsid w:val="00D37AD6"/>
    <w:rsid w:val="00D37EC6"/>
    <w:rsid w:val="00D4021E"/>
    <w:rsid w:val="00D40299"/>
    <w:rsid w:val="00D416BB"/>
    <w:rsid w:val="00D41B3A"/>
    <w:rsid w:val="00D43C24"/>
    <w:rsid w:val="00D44198"/>
    <w:rsid w:val="00D45C9D"/>
    <w:rsid w:val="00D45D80"/>
    <w:rsid w:val="00D467B6"/>
    <w:rsid w:val="00D46FA5"/>
    <w:rsid w:val="00D470A0"/>
    <w:rsid w:val="00D47AC8"/>
    <w:rsid w:val="00D47EF2"/>
    <w:rsid w:val="00D50157"/>
    <w:rsid w:val="00D5016C"/>
    <w:rsid w:val="00D5146C"/>
    <w:rsid w:val="00D51B1E"/>
    <w:rsid w:val="00D51E77"/>
    <w:rsid w:val="00D535C3"/>
    <w:rsid w:val="00D53B96"/>
    <w:rsid w:val="00D54B67"/>
    <w:rsid w:val="00D54DB3"/>
    <w:rsid w:val="00D55DA4"/>
    <w:rsid w:val="00D55FEA"/>
    <w:rsid w:val="00D56E08"/>
    <w:rsid w:val="00D57102"/>
    <w:rsid w:val="00D5717B"/>
    <w:rsid w:val="00D57247"/>
    <w:rsid w:val="00D575B0"/>
    <w:rsid w:val="00D57D4C"/>
    <w:rsid w:val="00D57DC3"/>
    <w:rsid w:val="00D601EE"/>
    <w:rsid w:val="00D6061C"/>
    <w:rsid w:val="00D611ED"/>
    <w:rsid w:val="00D6195B"/>
    <w:rsid w:val="00D633B7"/>
    <w:rsid w:val="00D63B77"/>
    <w:rsid w:val="00D63B7F"/>
    <w:rsid w:val="00D640D0"/>
    <w:rsid w:val="00D64922"/>
    <w:rsid w:val="00D65905"/>
    <w:rsid w:val="00D65C27"/>
    <w:rsid w:val="00D67BDF"/>
    <w:rsid w:val="00D7015A"/>
    <w:rsid w:val="00D702B5"/>
    <w:rsid w:val="00D708AA"/>
    <w:rsid w:val="00D70AFB"/>
    <w:rsid w:val="00D70EA4"/>
    <w:rsid w:val="00D726C5"/>
    <w:rsid w:val="00D72747"/>
    <w:rsid w:val="00D72D11"/>
    <w:rsid w:val="00D7324D"/>
    <w:rsid w:val="00D73399"/>
    <w:rsid w:val="00D7465E"/>
    <w:rsid w:val="00D748FC"/>
    <w:rsid w:val="00D74AD5"/>
    <w:rsid w:val="00D74FFE"/>
    <w:rsid w:val="00D75778"/>
    <w:rsid w:val="00D7579A"/>
    <w:rsid w:val="00D75AAC"/>
    <w:rsid w:val="00D75C36"/>
    <w:rsid w:val="00D75DDF"/>
    <w:rsid w:val="00D76571"/>
    <w:rsid w:val="00D7761B"/>
    <w:rsid w:val="00D7782F"/>
    <w:rsid w:val="00D778E5"/>
    <w:rsid w:val="00D8013D"/>
    <w:rsid w:val="00D809A8"/>
    <w:rsid w:val="00D80B79"/>
    <w:rsid w:val="00D80CCB"/>
    <w:rsid w:val="00D810B2"/>
    <w:rsid w:val="00D8180D"/>
    <w:rsid w:val="00D81929"/>
    <w:rsid w:val="00D82691"/>
    <w:rsid w:val="00D82768"/>
    <w:rsid w:val="00D83668"/>
    <w:rsid w:val="00D83739"/>
    <w:rsid w:val="00D8520E"/>
    <w:rsid w:val="00D85A59"/>
    <w:rsid w:val="00D90236"/>
    <w:rsid w:val="00D91474"/>
    <w:rsid w:val="00D91DF9"/>
    <w:rsid w:val="00D92E01"/>
    <w:rsid w:val="00D93EB3"/>
    <w:rsid w:val="00D94296"/>
    <w:rsid w:val="00D94F0C"/>
    <w:rsid w:val="00D9503A"/>
    <w:rsid w:val="00D957BC"/>
    <w:rsid w:val="00D96394"/>
    <w:rsid w:val="00D97674"/>
    <w:rsid w:val="00D97BE7"/>
    <w:rsid w:val="00DA0FC4"/>
    <w:rsid w:val="00DA21D0"/>
    <w:rsid w:val="00DA26C3"/>
    <w:rsid w:val="00DA2A5C"/>
    <w:rsid w:val="00DA2BE4"/>
    <w:rsid w:val="00DA350D"/>
    <w:rsid w:val="00DA3536"/>
    <w:rsid w:val="00DA3A07"/>
    <w:rsid w:val="00DA5864"/>
    <w:rsid w:val="00DA70BF"/>
    <w:rsid w:val="00DA78E3"/>
    <w:rsid w:val="00DA79E3"/>
    <w:rsid w:val="00DA7D48"/>
    <w:rsid w:val="00DB003C"/>
    <w:rsid w:val="00DB1A0D"/>
    <w:rsid w:val="00DB1B35"/>
    <w:rsid w:val="00DB1D92"/>
    <w:rsid w:val="00DB23FF"/>
    <w:rsid w:val="00DB2E88"/>
    <w:rsid w:val="00DB32DE"/>
    <w:rsid w:val="00DB3658"/>
    <w:rsid w:val="00DB38F4"/>
    <w:rsid w:val="00DB391D"/>
    <w:rsid w:val="00DB3E37"/>
    <w:rsid w:val="00DB4614"/>
    <w:rsid w:val="00DB4AD1"/>
    <w:rsid w:val="00DB6143"/>
    <w:rsid w:val="00DB662A"/>
    <w:rsid w:val="00DB73E4"/>
    <w:rsid w:val="00DB76C2"/>
    <w:rsid w:val="00DC00C8"/>
    <w:rsid w:val="00DC025F"/>
    <w:rsid w:val="00DC1491"/>
    <w:rsid w:val="00DC17D9"/>
    <w:rsid w:val="00DC19D5"/>
    <w:rsid w:val="00DC1A4D"/>
    <w:rsid w:val="00DC20E5"/>
    <w:rsid w:val="00DC28AF"/>
    <w:rsid w:val="00DC2C1D"/>
    <w:rsid w:val="00DC2F9D"/>
    <w:rsid w:val="00DC3D08"/>
    <w:rsid w:val="00DC4B45"/>
    <w:rsid w:val="00DC4D90"/>
    <w:rsid w:val="00DC51B7"/>
    <w:rsid w:val="00DC538F"/>
    <w:rsid w:val="00DC544A"/>
    <w:rsid w:val="00DC5B8D"/>
    <w:rsid w:val="00DC69E8"/>
    <w:rsid w:val="00DC6C58"/>
    <w:rsid w:val="00DC7578"/>
    <w:rsid w:val="00DD04D9"/>
    <w:rsid w:val="00DD074D"/>
    <w:rsid w:val="00DD09BB"/>
    <w:rsid w:val="00DD18B7"/>
    <w:rsid w:val="00DD1A83"/>
    <w:rsid w:val="00DD1EC0"/>
    <w:rsid w:val="00DD2210"/>
    <w:rsid w:val="00DD234F"/>
    <w:rsid w:val="00DD2B63"/>
    <w:rsid w:val="00DD3067"/>
    <w:rsid w:val="00DD3995"/>
    <w:rsid w:val="00DD41D0"/>
    <w:rsid w:val="00DD4F07"/>
    <w:rsid w:val="00DD51D6"/>
    <w:rsid w:val="00DD6C3D"/>
    <w:rsid w:val="00DD6D12"/>
    <w:rsid w:val="00DD6E51"/>
    <w:rsid w:val="00DD740A"/>
    <w:rsid w:val="00DD7C9E"/>
    <w:rsid w:val="00DE138A"/>
    <w:rsid w:val="00DE1F3C"/>
    <w:rsid w:val="00DE1F76"/>
    <w:rsid w:val="00DE2D16"/>
    <w:rsid w:val="00DE36AA"/>
    <w:rsid w:val="00DE440F"/>
    <w:rsid w:val="00DE54D9"/>
    <w:rsid w:val="00DE6AC6"/>
    <w:rsid w:val="00DE6B7D"/>
    <w:rsid w:val="00DE6DFC"/>
    <w:rsid w:val="00DE7666"/>
    <w:rsid w:val="00DF04FD"/>
    <w:rsid w:val="00DF0A12"/>
    <w:rsid w:val="00DF0EDF"/>
    <w:rsid w:val="00DF1A36"/>
    <w:rsid w:val="00DF3261"/>
    <w:rsid w:val="00DF3443"/>
    <w:rsid w:val="00DF3669"/>
    <w:rsid w:val="00DF37B4"/>
    <w:rsid w:val="00DF39CE"/>
    <w:rsid w:val="00DF3D38"/>
    <w:rsid w:val="00DF41E9"/>
    <w:rsid w:val="00DF46D7"/>
    <w:rsid w:val="00DF5230"/>
    <w:rsid w:val="00DF5DBE"/>
    <w:rsid w:val="00DF7843"/>
    <w:rsid w:val="00DF7F69"/>
    <w:rsid w:val="00E01343"/>
    <w:rsid w:val="00E01A83"/>
    <w:rsid w:val="00E0221F"/>
    <w:rsid w:val="00E04243"/>
    <w:rsid w:val="00E05B82"/>
    <w:rsid w:val="00E05CFD"/>
    <w:rsid w:val="00E06025"/>
    <w:rsid w:val="00E06788"/>
    <w:rsid w:val="00E06910"/>
    <w:rsid w:val="00E06DEF"/>
    <w:rsid w:val="00E071EF"/>
    <w:rsid w:val="00E10254"/>
    <w:rsid w:val="00E10387"/>
    <w:rsid w:val="00E10699"/>
    <w:rsid w:val="00E10B52"/>
    <w:rsid w:val="00E1147C"/>
    <w:rsid w:val="00E11B0E"/>
    <w:rsid w:val="00E1335C"/>
    <w:rsid w:val="00E1338D"/>
    <w:rsid w:val="00E13C82"/>
    <w:rsid w:val="00E13CCF"/>
    <w:rsid w:val="00E142E5"/>
    <w:rsid w:val="00E1433B"/>
    <w:rsid w:val="00E146F4"/>
    <w:rsid w:val="00E14F50"/>
    <w:rsid w:val="00E14F54"/>
    <w:rsid w:val="00E159A8"/>
    <w:rsid w:val="00E15B79"/>
    <w:rsid w:val="00E16166"/>
    <w:rsid w:val="00E1644B"/>
    <w:rsid w:val="00E1693E"/>
    <w:rsid w:val="00E16DA5"/>
    <w:rsid w:val="00E17BF4"/>
    <w:rsid w:val="00E204D1"/>
    <w:rsid w:val="00E20D13"/>
    <w:rsid w:val="00E2165E"/>
    <w:rsid w:val="00E21E22"/>
    <w:rsid w:val="00E2213C"/>
    <w:rsid w:val="00E22241"/>
    <w:rsid w:val="00E229FB"/>
    <w:rsid w:val="00E22F01"/>
    <w:rsid w:val="00E23C7E"/>
    <w:rsid w:val="00E24938"/>
    <w:rsid w:val="00E250F4"/>
    <w:rsid w:val="00E25E2A"/>
    <w:rsid w:val="00E269AA"/>
    <w:rsid w:val="00E26BFF"/>
    <w:rsid w:val="00E27E27"/>
    <w:rsid w:val="00E27F9C"/>
    <w:rsid w:val="00E3021A"/>
    <w:rsid w:val="00E307C0"/>
    <w:rsid w:val="00E30CE5"/>
    <w:rsid w:val="00E30F72"/>
    <w:rsid w:val="00E3107F"/>
    <w:rsid w:val="00E31147"/>
    <w:rsid w:val="00E3130F"/>
    <w:rsid w:val="00E34679"/>
    <w:rsid w:val="00E36357"/>
    <w:rsid w:val="00E36EE1"/>
    <w:rsid w:val="00E37582"/>
    <w:rsid w:val="00E37F80"/>
    <w:rsid w:val="00E405A5"/>
    <w:rsid w:val="00E41374"/>
    <w:rsid w:val="00E41469"/>
    <w:rsid w:val="00E41AC3"/>
    <w:rsid w:val="00E41BB8"/>
    <w:rsid w:val="00E41CCA"/>
    <w:rsid w:val="00E41E10"/>
    <w:rsid w:val="00E41E36"/>
    <w:rsid w:val="00E42DED"/>
    <w:rsid w:val="00E431D2"/>
    <w:rsid w:val="00E43328"/>
    <w:rsid w:val="00E43D26"/>
    <w:rsid w:val="00E451FB"/>
    <w:rsid w:val="00E4531D"/>
    <w:rsid w:val="00E45631"/>
    <w:rsid w:val="00E46E5F"/>
    <w:rsid w:val="00E502B6"/>
    <w:rsid w:val="00E509DE"/>
    <w:rsid w:val="00E51080"/>
    <w:rsid w:val="00E51113"/>
    <w:rsid w:val="00E5206A"/>
    <w:rsid w:val="00E52249"/>
    <w:rsid w:val="00E52535"/>
    <w:rsid w:val="00E537C9"/>
    <w:rsid w:val="00E5386F"/>
    <w:rsid w:val="00E53954"/>
    <w:rsid w:val="00E53CFF"/>
    <w:rsid w:val="00E544DA"/>
    <w:rsid w:val="00E54C38"/>
    <w:rsid w:val="00E55798"/>
    <w:rsid w:val="00E55CD2"/>
    <w:rsid w:val="00E560C6"/>
    <w:rsid w:val="00E56B46"/>
    <w:rsid w:val="00E5757A"/>
    <w:rsid w:val="00E57A6D"/>
    <w:rsid w:val="00E57D1A"/>
    <w:rsid w:val="00E601FA"/>
    <w:rsid w:val="00E607E3"/>
    <w:rsid w:val="00E61235"/>
    <w:rsid w:val="00E6185D"/>
    <w:rsid w:val="00E61CDE"/>
    <w:rsid w:val="00E61FB2"/>
    <w:rsid w:val="00E620BC"/>
    <w:rsid w:val="00E62193"/>
    <w:rsid w:val="00E62D8E"/>
    <w:rsid w:val="00E6330C"/>
    <w:rsid w:val="00E63764"/>
    <w:rsid w:val="00E63910"/>
    <w:rsid w:val="00E63DCE"/>
    <w:rsid w:val="00E63ED6"/>
    <w:rsid w:val="00E64E4E"/>
    <w:rsid w:val="00E652F4"/>
    <w:rsid w:val="00E6647D"/>
    <w:rsid w:val="00E66752"/>
    <w:rsid w:val="00E67A94"/>
    <w:rsid w:val="00E67CAD"/>
    <w:rsid w:val="00E70CF2"/>
    <w:rsid w:val="00E7168C"/>
    <w:rsid w:val="00E720DC"/>
    <w:rsid w:val="00E72579"/>
    <w:rsid w:val="00E72F9C"/>
    <w:rsid w:val="00E73550"/>
    <w:rsid w:val="00E73E51"/>
    <w:rsid w:val="00E759F9"/>
    <w:rsid w:val="00E76C92"/>
    <w:rsid w:val="00E80818"/>
    <w:rsid w:val="00E80A4A"/>
    <w:rsid w:val="00E80D71"/>
    <w:rsid w:val="00E818CE"/>
    <w:rsid w:val="00E81B9B"/>
    <w:rsid w:val="00E81BE8"/>
    <w:rsid w:val="00E8328B"/>
    <w:rsid w:val="00E83E3C"/>
    <w:rsid w:val="00E84EAB"/>
    <w:rsid w:val="00E84F4B"/>
    <w:rsid w:val="00E852E5"/>
    <w:rsid w:val="00E86577"/>
    <w:rsid w:val="00E86974"/>
    <w:rsid w:val="00E86D29"/>
    <w:rsid w:val="00E872AD"/>
    <w:rsid w:val="00E87955"/>
    <w:rsid w:val="00E87ED5"/>
    <w:rsid w:val="00E903F0"/>
    <w:rsid w:val="00E905BA"/>
    <w:rsid w:val="00E90EAA"/>
    <w:rsid w:val="00E9195C"/>
    <w:rsid w:val="00E91FA5"/>
    <w:rsid w:val="00E92236"/>
    <w:rsid w:val="00E93B32"/>
    <w:rsid w:val="00E951E0"/>
    <w:rsid w:val="00E952CE"/>
    <w:rsid w:val="00E956D7"/>
    <w:rsid w:val="00E960B4"/>
    <w:rsid w:val="00E96232"/>
    <w:rsid w:val="00E972AD"/>
    <w:rsid w:val="00E9795F"/>
    <w:rsid w:val="00E97BBD"/>
    <w:rsid w:val="00EA00FA"/>
    <w:rsid w:val="00EA03C2"/>
    <w:rsid w:val="00EA15F3"/>
    <w:rsid w:val="00EA2550"/>
    <w:rsid w:val="00EA29B1"/>
    <w:rsid w:val="00EA2C6A"/>
    <w:rsid w:val="00EA2C7E"/>
    <w:rsid w:val="00EA2DDD"/>
    <w:rsid w:val="00EA3205"/>
    <w:rsid w:val="00EA43E9"/>
    <w:rsid w:val="00EA498A"/>
    <w:rsid w:val="00EA557A"/>
    <w:rsid w:val="00EA55AF"/>
    <w:rsid w:val="00EA5B00"/>
    <w:rsid w:val="00EA5F2E"/>
    <w:rsid w:val="00EA69B7"/>
    <w:rsid w:val="00EA7773"/>
    <w:rsid w:val="00EB0168"/>
    <w:rsid w:val="00EB04CF"/>
    <w:rsid w:val="00EB2A74"/>
    <w:rsid w:val="00EB2C24"/>
    <w:rsid w:val="00EB2C54"/>
    <w:rsid w:val="00EB2CDF"/>
    <w:rsid w:val="00EB35D2"/>
    <w:rsid w:val="00EB361D"/>
    <w:rsid w:val="00EB3808"/>
    <w:rsid w:val="00EB3DE2"/>
    <w:rsid w:val="00EB41C9"/>
    <w:rsid w:val="00EB4203"/>
    <w:rsid w:val="00EB4C0F"/>
    <w:rsid w:val="00EB6545"/>
    <w:rsid w:val="00EB7B50"/>
    <w:rsid w:val="00EC0277"/>
    <w:rsid w:val="00EC249C"/>
    <w:rsid w:val="00EC2D85"/>
    <w:rsid w:val="00EC2F8C"/>
    <w:rsid w:val="00EC2FA1"/>
    <w:rsid w:val="00EC3A4C"/>
    <w:rsid w:val="00EC49F4"/>
    <w:rsid w:val="00EC4DB5"/>
    <w:rsid w:val="00EC5015"/>
    <w:rsid w:val="00EC5298"/>
    <w:rsid w:val="00EC531E"/>
    <w:rsid w:val="00EC60F8"/>
    <w:rsid w:val="00EC6333"/>
    <w:rsid w:val="00EC6816"/>
    <w:rsid w:val="00ED071A"/>
    <w:rsid w:val="00ED1458"/>
    <w:rsid w:val="00ED165E"/>
    <w:rsid w:val="00ED17BA"/>
    <w:rsid w:val="00ED2242"/>
    <w:rsid w:val="00ED224D"/>
    <w:rsid w:val="00ED2410"/>
    <w:rsid w:val="00ED2522"/>
    <w:rsid w:val="00ED3067"/>
    <w:rsid w:val="00ED33C9"/>
    <w:rsid w:val="00ED371E"/>
    <w:rsid w:val="00ED48CC"/>
    <w:rsid w:val="00ED5A0F"/>
    <w:rsid w:val="00ED5F04"/>
    <w:rsid w:val="00ED6353"/>
    <w:rsid w:val="00ED6465"/>
    <w:rsid w:val="00ED6CC9"/>
    <w:rsid w:val="00ED76E4"/>
    <w:rsid w:val="00ED7B25"/>
    <w:rsid w:val="00EE07AC"/>
    <w:rsid w:val="00EE092F"/>
    <w:rsid w:val="00EE0D9C"/>
    <w:rsid w:val="00EE0E40"/>
    <w:rsid w:val="00EE0FE9"/>
    <w:rsid w:val="00EE18B8"/>
    <w:rsid w:val="00EE1B5F"/>
    <w:rsid w:val="00EE2182"/>
    <w:rsid w:val="00EE21C5"/>
    <w:rsid w:val="00EE3220"/>
    <w:rsid w:val="00EE3C60"/>
    <w:rsid w:val="00EE3E21"/>
    <w:rsid w:val="00EE3E2A"/>
    <w:rsid w:val="00EE4000"/>
    <w:rsid w:val="00EE51C3"/>
    <w:rsid w:val="00EE6453"/>
    <w:rsid w:val="00EE6AEE"/>
    <w:rsid w:val="00EE702F"/>
    <w:rsid w:val="00EE7D3D"/>
    <w:rsid w:val="00EF0474"/>
    <w:rsid w:val="00EF09B5"/>
    <w:rsid w:val="00EF0DB4"/>
    <w:rsid w:val="00EF19DE"/>
    <w:rsid w:val="00EF1AF4"/>
    <w:rsid w:val="00EF4296"/>
    <w:rsid w:val="00EF42E3"/>
    <w:rsid w:val="00EF46D0"/>
    <w:rsid w:val="00EF5122"/>
    <w:rsid w:val="00EF56F2"/>
    <w:rsid w:val="00EF74C9"/>
    <w:rsid w:val="00F00055"/>
    <w:rsid w:val="00F000C6"/>
    <w:rsid w:val="00F000CC"/>
    <w:rsid w:val="00F001AB"/>
    <w:rsid w:val="00F00404"/>
    <w:rsid w:val="00F00560"/>
    <w:rsid w:val="00F010AD"/>
    <w:rsid w:val="00F024FE"/>
    <w:rsid w:val="00F035E1"/>
    <w:rsid w:val="00F03B9A"/>
    <w:rsid w:val="00F047A1"/>
    <w:rsid w:val="00F04D28"/>
    <w:rsid w:val="00F050B5"/>
    <w:rsid w:val="00F053E0"/>
    <w:rsid w:val="00F05B68"/>
    <w:rsid w:val="00F06441"/>
    <w:rsid w:val="00F06875"/>
    <w:rsid w:val="00F07025"/>
    <w:rsid w:val="00F0750D"/>
    <w:rsid w:val="00F10A29"/>
    <w:rsid w:val="00F1129C"/>
    <w:rsid w:val="00F12073"/>
    <w:rsid w:val="00F120D2"/>
    <w:rsid w:val="00F12995"/>
    <w:rsid w:val="00F13291"/>
    <w:rsid w:val="00F136F0"/>
    <w:rsid w:val="00F13AE5"/>
    <w:rsid w:val="00F13B5D"/>
    <w:rsid w:val="00F1417E"/>
    <w:rsid w:val="00F155F2"/>
    <w:rsid w:val="00F15D65"/>
    <w:rsid w:val="00F16111"/>
    <w:rsid w:val="00F16820"/>
    <w:rsid w:val="00F16DC7"/>
    <w:rsid w:val="00F16DF8"/>
    <w:rsid w:val="00F16E9D"/>
    <w:rsid w:val="00F17A7C"/>
    <w:rsid w:val="00F17DCB"/>
    <w:rsid w:val="00F20123"/>
    <w:rsid w:val="00F217A8"/>
    <w:rsid w:val="00F21D01"/>
    <w:rsid w:val="00F21DE9"/>
    <w:rsid w:val="00F21FB1"/>
    <w:rsid w:val="00F2252B"/>
    <w:rsid w:val="00F23061"/>
    <w:rsid w:val="00F24269"/>
    <w:rsid w:val="00F24439"/>
    <w:rsid w:val="00F24796"/>
    <w:rsid w:val="00F25005"/>
    <w:rsid w:val="00F25F56"/>
    <w:rsid w:val="00F26176"/>
    <w:rsid w:val="00F2630E"/>
    <w:rsid w:val="00F26E03"/>
    <w:rsid w:val="00F27898"/>
    <w:rsid w:val="00F278D8"/>
    <w:rsid w:val="00F27B01"/>
    <w:rsid w:val="00F30A2B"/>
    <w:rsid w:val="00F3135B"/>
    <w:rsid w:val="00F320AA"/>
    <w:rsid w:val="00F323F7"/>
    <w:rsid w:val="00F32BC3"/>
    <w:rsid w:val="00F3346B"/>
    <w:rsid w:val="00F3482E"/>
    <w:rsid w:val="00F354C7"/>
    <w:rsid w:val="00F358ED"/>
    <w:rsid w:val="00F3613C"/>
    <w:rsid w:val="00F365FA"/>
    <w:rsid w:val="00F36686"/>
    <w:rsid w:val="00F36872"/>
    <w:rsid w:val="00F36F1F"/>
    <w:rsid w:val="00F37655"/>
    <w:rsid w:val="00F4018E"/>
    <w:rsid w:val="00F407E2"/>
    <w:rsid w:val="00F41C7D"/>
    <w:rsid w:val="00F41E80"/>
    <w:rsid w:val="00F41FCA"/>
    <w:rsid w:val="00F42024"/>
    <w:rsid w:val="00F42216"/>
    <w:rsid w:val="00F42A54"/>
    <w:rsid w:val="00F43A0D"/>
    <w:rsid w:val="00F44070"/>
    <w:rsid w:val="00F443F3"/>
    <w:rsid w:val="00F444CB"/>
    <w:rsid w:val="00F444E3"/>
    <w:rsid w:val="00F46AFF"/>
    <w:rsid w:val="00F46FB3"/>
    <w:rsid w:val="00F46FEE"/>
    <w:rsid w:val="00F47BB8"/>
    <w:rsid w:val="00F50DC5"/>
    <w:rsid w:val="00F511A8"/>
    <w:rsid w:val="00F51839"/>
    <w:rsid w:val="00F51ABA"/>
    <w:rsid w:val="00F526D9"/>
    <w:rsid w:val="00F531AA"/>
    <w:rsid w:val="00F538DE"/>
    <w:rsid w:val="00F53D0C"/>
    <w:rsid w:val="00F53E75"/>
    <w:rsid w:val="00F541C7"/>
    <w:rsid w:val="00F54B58"/>
    <w:rsid w:val="00F55302"/>
    <w:rsid w:val="00F557AA"/>
    <w:rsid w:val="00F5624D"/>
    <w:rsid w:val="00F568F4"/>
    <w:rsid w:val="00F57148"/>
    <w:rsid w:val="00F574B7"/>
    <w:rsid w:val="00F57738"/>
    <w:rsid w:val="00F57AFA"/>
    <w:rsid w:val="00F6079C"/>
    <w:rsid w:val="00F6179E"/>
    <w:rsid w:val="00F63F0C"/>
    <w:rsid w:val="00F64605"/>
    <w:rsid w:val="00F65074"/>
    <w:rsid w:val="00F65469"/>
    <w:rsid w:val="00F6560A"/>
    <w:rsid w:val="00F65FF3"/>
    <w:rsid w:val="00F665C2"/>
    <w:rsid w:val="00F66810"/>
    <w:rsid w:val="00F66BA4"/>
    <w:rsid w:val="00F66DCD"/>
    <w:rsid w:val="00F70047"/>
    <w:rsid w:val="00F70D56"/>
    <w:rsid w:val="00F71A79"/>
    <w:rsid w:val="00F729C6"/>
    <w:rsid w:val="00F73682"/>
    <w:rsid w:val="00F737BA"/>
    <w:rsid w:val="00F73D09"/>
    <w:rsid w:val="00F73E48"/>
    <w:rsid w:val="00F74A07"/>
    <w:rsid w:val="00F74C5A"/>
    <w:rsid w:val="00F74CC9"/>
    <w:rsid w:val="00F761D0"/>
    <w:rsid w:val="00F76597"/>
    <w:rsid w:val="00F767A6"/>
    <w:rsid w:val="00F802A5"/>
    <w:rsid w:val="00F80726"/>
    <w:rsid w:val="00F80DC1"/>
    <w:rsid w:val="00F80DEE"/>
    <w:rsid w:val="00F80E9A"/>
    <w:rsid w:val="00F81954"/>
    <w:rsid w:val="00F81F00"/>
    <w:rsid w:val="00F821D6"/>
    <w:rsid w:val="00F82A85"/>
    <w:rsid w:val="00F82B8C"/>
    <w:rsid w:val="00F82B9E"/>
    <w:rsid w:val="00F82CAB"/>
    <w:rsid w:val="00F82CCA"/>
    <w:rsid w:val="00F83AF1"/>
    <w:rsid w:val="00F83B75"/>
    <w:rsid w:val="00F83CCA"/>
    <w:rsid w:val="00F8414F"/>
    <w:rsid w:val="00F843B6"/>
    <w:rsid w:val="00F848B6"/>
    <w:rsid w:val="00F84E24"/>
    <w:rsid w:val="00F8698C"/>
    <w:rsid w:val="00F87AEF"/>
    <w:rsid w:val="00F90E12"/>
    <w:rsid w:val="00F91ED3"/>
    <w:rsid w:val="00F922AA"/>
    <w:rsid w:val="00F92A26"/>
    <w:rsid w:val="00F92AE0"/>
    <w:rsid w:val="00F93018"/>
    <w:rsid w:val="00F930CB"/>
    <w:rsid w:val="00F9332B"/>
    <w:rsid w:val="00F93A48"/>
    <w:rsid w:val="00F93B01"/>
    <w:rsid w:val="00F93D1F"/>
    <w:rsid w:val="00F93DFE"/>
    <w:rsid w:val="00F93EE1"/>
    <w:rsid w:val="00F93FE7"/>
    <w:rsid w:val="00F9487B"/>
    <w:rsid w:val="00F94ECD"/>
    <w:rsid w:val="00F956CC"/>
    <w:rsid w:val="00F95985"/>
    <w:rsid w:val="00F95991"/>
    <w:rsid w:val="00F966EE"/>
    <w:rsid w:val="00F96CD6"/>
    <w:rsid w:val="00F96FEB"/>
    <w:rsid w:val="00FA0904"/>
    <w:rsid w:val="00FA095E"/>
    <w:rsid w:val="00FA232D"/>
    <w:rsid w:val="00FA24EC"/>
    <w:rsid w:val="00FA2980"/>
    <w:rsid w:val="00FA29C0"/>
    <w:rsid w:val="00FA4561"/>
    <w:rsid w:val="00FA5A43"/>
    <w:rsid w:val="00FA6062"/>
    <w:rsid w:val="00FA64A4"/>
    <w:rsid w:val="00FA6751"/>
    <w:rsid w:val="00FA6BB3"/>
    <w:rsid w:val="00FA778F"/>
    <w:rsid w:val="00FB05B5"/>
    <w:rsid w:val="00FB0830"/>
    <w:rsid w:val="00FB0928"/>
    <w:rsid w:val="00FB0AA0"/>
    <w:rsid w:val="00FB0B7E"/>
    <w:rsid w:val="00FB14FE"/>
    <w:rsid w:val="00FB1A1E"/>
    <w:rsid w:val="00FB2154"/>
    <w:rsid w:val="00FB23CA"/>
    <w:rsid w:val="00FB334B"/>
    <w:rsid w:val="00FB362F"/>
    <w:rsid w:val="00FB37BC"/>
    <w:rsid w:val="00FB4B60"/>
    <w:rsid w:val="00FB4D2F"/>
    <w:rsid w:val="00FB4E4D"/>
    <w:rsid w:val="00FB553B"/>
    <w:rsid w:val="00FB61FA"/>
    <w:rsid w:val="00FB63D2"/>
    <w:rsid w:val="00FB69BD"/>
    <w:rsid w:val="00FB6C4D"/>
    <w:rsid w:val="00FB713D"/>
    <w:rsid w:val="00FB7562"/>
    <w:rsid w:val="00FB7A89"/>
    <w:rsid w:val="00FC0EC3"/>
    <w:rsid w:val="00FC163B"/>
    <w:rsid w:val="00FC16F0"/>
    <w:rsid w:val="00FC170F"/>
    <w:rsid w:val="00FC1CA1"/>
    <w:rsid w:val="00FC275B"/>
    <w:rsid w:val="00FC2A54"/>
    <w:rsid w:val="00FC2B82"/>
    <w:rsid w:val="00FC311E"/>
    <w:rsid w:val="00FC3866"/>
    <w:rsid w:val="00FC4043"/>
    <w:rsid w:val="00FC421B"/>
    <w:rsid w:val="00FC470A"/>
    <w:rsid w:val="00FC50CA"/>
    <w:rsid w:val="00FC525D"/>
    <w:rsid w:val="00FC5366"/>
    <w:rsid w:val="00FC5B27"/>
    <w:rsid w:val="00FC5BD2"/>
    <w:rsid w:val="00FC5DC1"/>
    <w:rsid w:val="00FC7457"/>
    <w:rsid w:val="00FC7953"/>
    <w:rsid w:val="00FC796C"/>
    <w:rsid w:val="00FD0207"/>
    <w:rsid w:val="00FD1187"/>
    <w:rsid w:val="00FD206B"/>
    <w:rsid w:val="00FD22BE"/>
    <w:rsid w:val="00FD327B"/>
    <w:rsid w:val="00FD3AB4"/>
    <w:rsid w:val="00FD41C1"/>
    <w:rsid w:val="00FD43F9"/>
    <w:rsid w:val="00FD4BB9"/>
    <w:rsid w:val="00FD52FD"/>
    <w:rsid w:val="00FD6735"/>
    <w:rsid w:val="00FD6949"/>
    <w:rsid w:val="00FD6B3F"/>
    <w:rsid w:val="00FD6EB6"/>
    <w:rsid w:val="00FD71F0"/>
    <w:rsid w:val="00FD76E3"/>
    <w:rsid w:val="00FD7F18"/>
    <w:rsid w:val="00FE0477"/>
    <w:rsid w:val="00FE16B4"/>
    <w:rsid w:val="00FE1BBB"/>
    <w:rsid w:val="00FE2FD0"/>
    <w:rsid w:val="00FE3374"/>
    <w:rsid w:val="00FE3990"/>
    <w:rsid w:val="00FE3EB5"/>
    <w:rsid w:val="00FE42F6"/>
    <w:rsid w:val="00FE4ABE"/>
    <w:rsid w:val="00FE4FF7"/>
    <w:rsid w:val="00FE68E8"/>
    <w:rsid w:val="00FE7DC4"/>
    <w:rsid w:val="00FF033F"/>
    <w:rsid w:val="00FF06CA"/>
    <w:rsid w:val="00FF1715"/>
    <w:rsid w:val="00FF1A2B"/>
    <w:rsid w:val="00FF1BCC"/>
    <w:rsid w:val="00FF1F5C"/>
    <w:rsid w:val="00FF209F"/>
    <w:rsid w:val="00FF26B6"/>
    <w:rsid w:val="00FF3566"/>
    <w:rsid w:val="00FF3CCF"/>
    <w:rsid w:val="00FF3EDA"/>
    <w:rsid w:val="00FF444C"/>
    <w:rsid w:val="00FF58D6"/>
    <w:rsid w:val="00FF5986"/>
    <w:rsid w:val="00FF63BB"/>
    <w:rsid w:val="00FF63F1"/>
    <w:rsid w:val="00FF646B"/>
    <w:rsid w:val="00FF6908"/>
    <w:rsid w:val="00FF70A8"/>
    <w:rsid w:val="00FF721E"/>
    <w:rsid w:val="00FF7281"/>
    <w:rsid w:val="00FF7702"/>
    <w:rsid w:val="00FF79FA"/>
    <w:rsid w:val="7C214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0BB89AA"/>
  <w15:docId w15:val="{E672EF28-8B77-4939-89FF-E9D804D7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3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2413C"/>
    <w:pPr>
      <w:keepNext/>
      <w:numPr>
        <w:numId w:val="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413C"/>
    <w:pPr>
      <w:keepNext/>
      <w:numPr>
        <w:ilvl w:val="1"/>
        <w:numId w:val="9"/>
      </w:numPr>
      <w:spacing w:after="120"/>
      <w:outlineLvl w:val="1"/>
    </w:pPr>
    <w:rPr>
      <w:b/>
    </w:rPr>
  </w:style>
  <w:style w:type="paragraph" w:styleId="Heading3">
    <w:name w:val="heading 3"/>
    <w:basedOn w:val="Normal"/>
    <w:next w:val="ParaNum"/>
    <w:link w:val="Heading3Char"/>
    <w:qFormat/>
    <w:rsid w:val="00A2413C"/>
    <w:pPr>
      <w:keepNext/>
      <w:numPr>
        <w:ilvl w:val="2"/>
        <w:numId w:val="9"/>
      </w:numPr>
      <w:tabs>
        <w:tab w:val="left" w:pos="2160"/>
      </w:tabs>
      <w:spacing w:after="120"/>
      <w:outlineLvl w:val="2"/>
    </w:pPr>
    <w:rPr>
      <w:b/>
    </w:rPr>
  </w:style>
  <w:style w:type="paragraph" w:styleId="Heading4">
    <w:name w:val="heading 4"/>
    <w:basedOn w:val="Normal"/>
    <w:next w:val="ParaNum"/>
    <w:link w:val="Heading4Char"/>
    <w:qFormat/>
    <w:rsid w:val="00A2413C"/>
    <w:pPr>
      <w:keepNext/>
      <w:numPr>
        <w:ilvl w:val="3"/>
        <w:numId w:val="9"/>
      </w:numPr>
      <w:tabs>
        <w:tab w:val="left" w:pos="2880"/>
      </w:tabs>
      <w:spacing w:after="120"/>
      <w:outlineLvl w:val="3"/>
    </w:pPr>
    <w:rPr>
      <w:b/>
    </w:rPr>
  </w:style>
  <w:style w:type="paragraph" w:styleId="Heading5">
    <w:name w:val="heading 5"/>
    <w:basedOn w:val="Normal"/>
    <w:next w:val="ParaNum"/>
    <w:link w:val="Heading5Char"/>
    <w:qFormat/>
    <w:rsid w:val="00A2413C"/>
    <w:pPr>
      <w:keepNext/>
      <w:numPr>
        <w:ilvl w:val="4"/>
        <w:numId w:val="9"/>
      </w:numPr>
      <w:tabs>
        <w:tab w:val="left" w:pos="3600"/>
      </w:tabs>
      <w:suppressAutoHyphens/>
      <w:spacing w:after="120"/>
      <w:outlineLvl w:val="4"/>
    </w:pPr>
    <w:rPr>
      <w:b/>
    </w:rPr>
  </w:style>
  <w:style w:type="paragraph" w:styleId="Heading6">
    <w:name w:val="heading 6"/>
    <w:basedOn w:val="Normal"/>
    <w:next w:val="ParaNum"/>
    <w:link w:val="Heading6Char"/>
    <w:qFormat/>
    <w:rsid w:val="00A2413C"/>
    <w:pPr>
      <w:numPr>
        <w:ilvl w:val="5"/>
        <w:numId w:val="9"/>
      </w:numPr>
      <w:tabs>
        <w:tab w:val="left" w:pos="4320"/>
      </w:tabs>
      <w:spacing w:after="120"/>
      <w:outlineLvl w:val="5"/>
    </w:pPr>
    <w:rPr>
      <w:b/>
    </w:rPr>
  </w:style>
  <w:style w:type="paragraph" w:styleId="Heading7">
    <w:name w:val="heading 7"/>
    <w:basedOn w:val="Normal"/>
    <w:next w:val="ParaNum"/>
    <w:link w:val="Heading7Char"/>
    <w:qFormat/>
    <w:rsid w:val="00A2413C"/>
    <w:pPr>
      <w:numPr>
        <w:ilvl w:val="6"/>
        <w:numId w:val="9"/>
      </w:numPr>
      <w:tabs>
        <w:tab w:val="left" w:pos="5040"/>
      </w:tabs>
      <w:spacing w:after="120"/>
      <w:outlineLvl w:val="6"/>
    </w:pPr>
    <w:rPr>
      <w:b/>
    </w:rPr>
  </w:style>
  <w:style w:type="paragraph" w:styleId="Heading8">
    <w:name w:val="heading 8"/>
    <w:basedOn w:val="Normal"/>
    <w:next w:val="ParaNum"/>
    <w:link w:val="Heading8Char"/>
    <w:qFormat/>
    <w:rsid w:val="00A2413C"/>
    <w:pPr>
      <w:numPr>
        <w:ilvl w:val="7"/>
        <w:numId w:val="9"/>
      </w:numPr>
      <w:tabs>
        <w:tab w:val="left" w:pos="5760"/>
      </w:tabs>
      <w:spacing w:after="120"/>
      <w:outlineLvl w:val="7"/>
    </w:pPr>
    <w:rPr>
      <w:b/>
    </w:rPr>
  </w:style>
  <w:style w:type="paragraph" w:styleId="Heading9">
    <w:name w:val="heading 9"/>
    <w:basedOn w:val="Normal"/>
    <w:next w:val="ParaNum"/>
    <w:link w:val="Heading9Char"/>
    <w:qFormat/>
    <w:rsid w:val="00A2413C"/>
    <w:pPr>
      <w:numPr>
        <w:ilvl w:val="8"/>
        <w:numId w:val="9"/>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qFormat/>
    <w:rsid w:val="00A2413C"/>
    <w:pPr>
      <w:numPr>
        <w:numId w:val="10"/>
      </w:numPr>
      <w:tabs>
        <w:tab w:val="clear" w:pos="1080"/>
        <w:tab w:val="num" w:pos="1440"/>
      </w:tabs>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A2413C"/>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2413C"/>
    <w:pPr>
      <w:tabs>
        <w:tab w:val="center" w:pos="4320"/>
        <w:tab w:val="right" w:pos="8640"/>
      </w:tabs>
    </w:pPr>
  </w:style>
  <w:style w:type="character" w:customStyle="1" w:styleId="FooterChar">
    <w:name w:val="Footer Char"/>
    <w:link w:val="Footer"/>
    <w:uiPriority w:val="99"/>
    <w:rsid w:val="00A2413C"/>
    <w:rPr>
      <w:rFonts w:ascii="Times New Roman" w:eastAsia="Times New Roman" w:hAnsi="Times New Roman" w:cs="Times New Roman"/>
      <w:snapToGrid w:val="0"/>
      <w:kern w:val="28"/>
      <w:szCs w:val="20"/>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
    <w:link w:val="FootnoteTextChar"/>
    <w:qFormat/>
    <w:rsid w:val="00A24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1,ALTS FOOTNOTE Char2,Footnote Text Char Char Char Char Char Char Char1,Footnote Text Char Char Char Char1,Footnote Text Char1 Char Char1,Footnote Text Char1 Char1 Char Char Char Char1,f Char,fn Char1"/>
    <w:basedOn w:val="DefaultParagraphFont"/>
    <w:link w:val="FootnoteText"/>
    <w:rsid w:val="009520AB"/>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2413C"/>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A2413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A2413C"/>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 Char,ALTS FOOTNOTE Char1,Footnote Text Char Char Char Char,Footnote Text Char Char Char Char Char Char Char,Footnote Text Char Char1,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 w:type="character" w:customStyle="1" w:styleId="EquationCaption">
    <w:name w:val="_Equation Caption"/>
    <w:rsid w:val="00A2413C"/>
  </w:style>
  <w:style w:type="paragraph" w:styleId="BlockText">
    <w:name w:val="Block Text"/>
    <w:basedOn w:val="Normal"/>
    <w:rsid w:val="00A2413C"/>
    <w:pPr>
      <w:spacing w:after="240"/>
      <w:ind w:left="1440" w:right="1440"/>
    </w:pPr>
  </w:style>
  <w:style w:type="paragraph" w:customStyle="1" w:styleId="Bullet">
    <w:name w:val="Bullet"/>
    <w:basedOn w:val="Normal"/>
    <w:rsid w:val="00A2413C"/>
    <w:pPr>
      <w:tabs>
        <w:tab w:val="left" w:pos="2160"/>
      </w:tabs>
      <w:spacing w:after="220"/>
      <w:ind w:left="2160" w:hanging="720"/>
    </w:pPr>
  </w:style>
  <w:style w:type="character" w:styleId="EndnoteReference">
    <w:name w:val="endnote reference"/>
    <w:semiHidden/>
    <w:rsid w:val="00A2413C"/>
    <w:rPr>
      <w:vertAlign w:val="superscript"/>
    </w:rPr>
  </w:style>
  <w:style w:type="paragraph" w:styleId="EndnoteText">
    <w:name w:val="endnote text"/>
    <w:basedOn w:val="Normal"/>
    <w:link w:val="EndnoteTextChar"/>
    <w:semiHidden/>
    <w:rsid w:val="00A2413C"/>
    <w:rPr>
      <w:sz w:val="20"/>
    </w:rPr>
  </w:style>
  <w:style w:type="character" w:customStyle="1" w:styleId="EndnoteTextChar">
    <w:name w:val="Endnote Text Char"/>
    <w:basedOn w:val="DefaultParagraphFont"/>
    <w:link w:val="EndnoteText"/>
    <w:semiHidden/>
    <w:rsid w:val="00A2413C"/>
    <w:rPr>
      <w:rFonts w:ascii="Times New Roman" w:eastAsia="Times New Roman" w:hAnsi="Times New Roman" w:cs="Times New Roman"/>
      <w:snapToGrid w:val="0"/>
      <w:kern w:val="28"/>
      <w:sz w:val="20"/>
      <w:szCs w:val="20"/>
    </w:rPr>
  </w:style>
  <w:style w:type="character" w:customStyle="1" w:styleId="Heading1Char">
    <w:name w:val="Heading 1 Char"/>
    <w:basedOn w:val="DefaultParagraphFont"/>
    <w:link w:val="Heading1"/>
    <w:rsid w:val="00A2413C"/>
    <w:rPr>
      <w:rFonts w:ascii="Times New Roman Bold" w:eastAsia="Times New Roman" w:hAnsi="Times New Roman Bold" w:cs="Times New Roman"/>
      <w:b/>
      <w:caps/>
      <w:snapToGrid w:val="0"/>
      <w:kern w:val="28"/>
      <w:szCs w:val="20"/>
    </w:rPr>
  </w:style>
  <w:style w:type="paragraph" w:customStyle="1" w:styleId="Paratitle">
    <w:name w:val="Para title"/>
    <w:basedOn w:val="Normal"/>
    <w:rsid w:val="00A2413C"/>
    <w:pPr>
      <w:tabs>
        <w:tab w:val="center" w:pos="9270"/>
      </w:tabs>
      <w:spacing w:after="240"/>
    </w:pPr>
    <w:rPr>
      <w:spacing w:val="-2"/>
    </w:rPr>
  </w:style>
  <w:style w:type="paragraph" w:customStyle="1" w:styleId="StyleBoldCentered">
    <w:name w:val="Style Bold Centered"/>
    <w:basedOn w:val="Normal"/>
    <w:rsid w:val="00A2413C"/>
    <w:pPr>
      <w:jc w:val="center"/>
    </w:pPr>
    <w:rPr>
      <w:rFonts w:ascii="Times New Roman Bold" w:hAnsi="Times New Roman Bold"/>
      <w:b/>
      <w:bCs/>
      <w:caps/>
      <w:szCs w:val="22"/>
    </w:rPr>
  </w:style>
  <w:style w:type="paragraph" w:customStyle="1" w:styleId="TableFormat">
    <w:name w:val="TableFormat"/>
    <w:basedOn w:val="Bullet"/>
    <w:rsid w:val="00A2413C"/>
    <w:pPr>
      <w:tabs>
        <w:tab w:val="clear" w:pos="2160"/>
        <w:tab w:val="left" w:pos="5040"/>
      </w:tabs>
      <w:ind w:left="5040" w:hanging="3600"/>
    </w:pPr>
  </w:style>
  <w:style w:type="paragraph" w:styleId="TOAHeading">
    <w:name w:val="toa heading"/>
    <w:basedOn w:val="Normal"/>
    <w:next w:val="Normal"/>
    <w:semiHidden/>
    <w:rsid w:val="00A2413C"/>
    <w:pPr>
      <w:tabs>
        <w:tab w:val="right" w:pos="9360"/>
      </w:tabs>
      <w:suppressAutoHyphens/>
    </w:pPr>
  </w:style>
  <w:style w:type="paragraph" w:styleId="TOC1">
    <w:name w:val="toc 1"/>
    <w:basedOn w:val="Normal"/>
    <w:next w:val="Normal"/>
    <w:semiHidden/>
    <w:rsid w:val="00A24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413C"/>
    <w:pPr>
      <w:tabs>
        <w:tab w:val="left" w:pos="720"/>
        <w:tab w:val="right" w:leader="dot" w:pos="9360"/>
      </w:tabs>
      <w:suppressAutoHyphens/>
      <w:ind w:left="720" w:right="720" w:hanging="360"/>
    </w:pPr>
    <w:rPr>
      <w:noProof/>
    </w:rPr>
  </w:style>
  <w:style w:type="paragraph" w:styleId="TOC3">
    <w:name w:val="toc 3"/>
    <w:basedOn w:val="Normal"/>
    <w:next w:val="Normal"/>
    <w:semiHidden/>
    <w:rsid w:val="00A24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4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4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4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4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4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413C"/>
    <w:pPr>
      <w:tabs>
        <w:tab w:val="left" w:pos="3240"/>
        <w:tab w:val="right" w:leader="dot" w:pos="9360"/>
      </w:tabs>
      <w:suppressAutoHyphens/>
      <w:ind w:left="3240" w:hanging="360"/>
    </w:pPr>
    <w:rPr>
      <w:noProof/>
    </w:rPr>
  </w:style>
  <w:style w:type="paragraph" w:customStyle="1" w:styleId="TOCTitle">
    <w:name w:val="TOC Title"/>
    <w:basedOn w:val="Normal"/>
    <w:rsid w:val="00A2413C"/>
    <w:pPr>
      <w:spacing w:before="240" w:after="240"/>
      <w:jc w:val="center"/>
    </w:pPr>
    <w:rPr>
      <w:rFonts w:ascii="Times New Roman Bold" w:hAnsi="Times New Roman Bold"/>
      <w:b/>
      <w:caps/>
      <w:spacing w:val="-2"/>
    </w:rPr>
  </w:style>
  <w:style w:type="character" w:customStyle="1" w:styleId="ParaNumCharChar1">
    <w:name w:val="ParaNum Char Char1"/>
    <w:locked/>
    <w:rsid w:val="00D57DC3"/>
    <w:rPr>
      <w:snapToGrid w:val="0"/>
      <w:kern w:val="28"/>
      <w:sz w:val="22"/>
    </w:rPr>
  </w:style>
  <w:style w:type="character" w:styleId="FollowedHyperlink">
    <w:name w:val="FollowedHyperlink"/>
    <w:basedOn w:val="DefaultParagraphFont"/>
    <w:uiPriority w:val="99"/>
    <w:semiHidden/>
    <w:unhideWhenUsed/>
    <w:rsid w:val="00B50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ics-data-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d3248bb1de370b191616365cae0900e4">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2399872eba999e42d2c9826d95023c40"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3722-84CD-4E40-A449-3B73139238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801D7A-12BF-4874-B8CD-64AF155D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5F279-D5C5-4B12-AD27-1BDF4CA6E4FE}">
  <ds:schemaRefs>
    <ds:schemaRef ds:uri="http://schemas.microsoft.com/sharepoint/v3/contenttype/forms"/>
  </ds:schemaRefs>
</ds:datastoreItem>
</file>

<file path=customXml/itemProps4.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3</cp:revision>
  <cp:lastPrinted>2023-10-31T20:31:00Z</cp:lastPrinted>
  <dcterms:created xsi:type="dcterms:W3CDTF">2023-11-09T18:24:00Z</dcterms:created>
  <dcterms:modified xsi:type="dcterms:W3CDTF">2023-11-09T18:46:00Z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