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A44E2" w:rsidRPr="000A63A5" w14:paraId="1641CA3C" w14:textId="14B566A9">
      <w:pPr>
        <w:tabs>
          <w:tab w:val="right" w:pos="9360"/>
        </w:tabs>
        <w:suppressAutoHyphens/>
        <w:rPr>
          <w:b/>
          <w:bCs/>
        </w:rPr>
      </w:pPr>
      <w:r w:rsidRPr="000A63A5">
        <w:rPr>
          <w:b/>
          <w:bCs/>
        </w:rPr>
        <w:t xml:space="preserve">Collections for the Prevention or Elimination of Interference and </w:t>
      </w:r>
      <w:r w:rsidRPr="000A63A5">
        <w:rPr>
          <w:b/>
          <w:bCs/>
        </w:rPr>
        <w:tab/>
        <w:t>3060-1080</w:t>
      </w:r>
    </w:p>
    <w:p w:rsidR="00941282" w:rsidRPr="00814884" w:rsidP="000A63A5" w14:paraId="35AC2E2A" w14:textId="5526A5DC">
      <w:pPr>
        <w:tabs>
          <w:tab w:val="right" w:pos="9360"/>
        </w:tabs>
        <w:suppressAutoHyphens/>
        <w:rPr>
          <w:b/>
          <w:bCs/>
        </w:rPr>
      </w:pPr>
      <w:r w:rsidRPr="000A63A5">
        <w:rPr>
          <w:b/>
          <w:bCs/>
        </w:rPr>
        <w:t>for the Reconfiguration of the 800 MHz Band</w:t>
      </w:r>
      <w:r>
        <w:rPr>
          <w:b/>
        </w:rPr>
        <w:t xml:space="preserve"> </w:t>
      </w:r>
      <w:r>
        <w:tab/>
      </w:r>
      <w:r>
        <w:rPr>
          <w:b/>
          <w:bCs/>
        </w:rPr>
        <w:t>Nove</w:t>
      </w:r>
      <w:r w:rsidRPr="007B0D72" w:rsidR="001A6EE5">
        <w:rPr>
          <w:b/>
          <w:bCs/>
        </w:rPr>
        <w:t>mber</w:t>
      </w:r>
      <w:r w:rsidRPr="007B0D72" w:rsidR="00654B1C">
        <w:rPr>
          <w:b/>
          <w:bCs/>
        </w:rPr>
        <w:t xml:space="preserve"> </w:t>
      </w:r>
      <w:r w:rsidRPr="007B0D72" w:rsidR="006673A6">
        <w:rPr>
          <w:b/>
          <w:bCs/>
        </w:rPr>
        <w:t>202</w:t>
      </w:r>
      <w:r w:rsidR="000A0C53">
        <w:rPr>
          <w:b/>
          <w:bCs/>
        </w:rPr>
        <w:t>3</w:t>
      </w:r>
    </w:p>
    <w:p w:rsidR="00887F3F" w:rsidRPr="00887F3F" w:rsidP="00887F3F" w14:paraId="273CBD5E" w14:textId="77777777">
      <w:pPr>
        <w:widowControl w:val="0"/>
        <w:suppressAutoHyphens/>
        <w:snapToGrid w:val="0"/>
        <w:rPr>
          <w:b/>
          <w:bCs/>
          <w:color w:val="000000"/>
          <w:szCs w:val="24"/>
        </w:rPr>
      </w:pPr>
    </w:p>
    <w:p w:rsidR="00887F3F" w:rsidRPr="00887F3F" w:rsidP="00887F3F" w14:paraId="603997DD" w14:textId="77777777">
      <w:pPr>
        <w:widowControl w:val="0"/>
        <w:suppressAutoHyphens/>
        <w:snapToGrid w:val="0"/>
        <w:rPr>
          <w:b/>
          <w:color w:val="000000"/>
          <w:szCs w:val="24"/>
        </w:rPr>
      </w:pPr>
    </w:p>
    <w:p w:rsidR="00887F3F" w:rsidRPr="00887F3F" w:rsidP="00887F3F" w14:paraId="1C83D586" w14:textId="77777777">
      <w:pPr>
        <w:widowControl w:val="0"/>
        <w:suppressAutoHyphens/>
        <w:snapToGrid w:val="0"/>
        <w:jc w:val="center"/>
        <w:rPr>
          <w:b/>
          <w:bCs/>
          <w:szCs w:val="24"/>
        </w:rPr>
      </w:pPr>
      <w:r w:rsidRPr="00887F3F">
        <w:rPr>
          <w:b/>
          <w:bCs/>
          <w:szCs w:val="24"/>
        </w:rPr>
        <w:t>SUPPORTING STATEMENT</w:t>
      </w:r>
    </w:p>
    <w:p w:rsidR="00887F3F" w:rsidRPr="00887F3F" w:rsidP="00887F3F" w14:paraId="08A3402A" w14:textId="77777777">
      <w:pPr>
        <w:widowControl w:val="0"/>
        <w:suppressAutoHyphens/>
        <w:snapToGrid w:val="0"/>
        <w:rPr>
          <w:szCs w:val="24"/>
        </w:rPr>
      </w:pPr>
    </w:p>
    <w:p w:rsidR="00887F3F" w:rsidRPr="00887F3F" w:rsidP="00887F3F" w14:paraId="79E12D7F" w14:textId="77777777">
      <w:pPr>
        <w:widowControl w:val="0"/>
        <w:suppressAutoHyphens/>
        <w:snapToGrid w:val="0"/>
        <w:rPr>
          <w:b/>
          <w:szCs w:val="24"/>
        </w:rPr>
      </w:pPr>
      <w:r w:rsidRPr="00887F3F">
        <w:rPr>
          <w:b/>
          <w:szCs w:val="24"/>
        </w:rPr>
        <w:t>A.</w:t>
      </w:r>
      <w:r w:rsidRPr="00887F3F">
        <w:rPr>
          <w:szCs w:val="24"/>
        </w:rPr>
        <w:t xml:space="preserve">  </w:t>
      </w:r>
      <w:r w:rsidRPr="00887F3F">
        <w:rPr>
          <w:b/>
          <w:szCs w:val="24"/>
          <w:u w:val="single"/>
        </w:rPr>
        <w:t>Justification</w:t>
      </w:r>
      <w:r w:rsidRPr="00887F3F">
        <w:rPr>
          <w:b/>
          <w:szCs w:val="24"/>
        </w:rPr>
        <w:t>:</w:t>
      </w:r>
    </w:p>
    <w:p w:rsidR="00887F3F" w:rsidRPr="00887F3F" w:rsidP="00887F3F" w14:paraId="4E9B61B7" w14:textId="77777777">
      <w:pPr>
        <w:widowControl w:val="0"/>
        <w:snapToGrid w:val="0"/>
        <w:outlineLvl w:val="2"/>
        <w:rPr>
          <w:bCs/>
          <w:sz w:val="22"/>
          <w:szCs w:val="22"/>
        </w:rPr>
      </w:pPr>
    </w:p>
    <w:p w:rsidR="00887F3F" w:rsidRPr="00887F3F" w:rsidP="00887F3F" w14:paraId="3A0077A2" w14:textId="31304501">
      <w:pPr>
        <w:widowControl w:val="0"/>
        <w:numPr>
          <w:ilvl w:val="0"/>
          <w:numId w:val="17"/>
        </w:numPr>
        <w:tabs>
          <w:tab w:val="left" w:pos="-720"/>
          <w:tab w:val="num" w:pos="360"/>
        </w:tabs>
        <w:suppressAutoHyphens/>
        <w:snapToGrid w:val="0"/>
        <w:rPr>
          <w:sz w:val="22"/>
          <w:szCs w:val="22"/>
        </w:rPr>
      </w:pPr>
      <w:r w:rsidRPr="00887F3F">
        <w:rPr>
          <w:b/>
          <w:sz w:val="22"/>
          <w:szCs w:val="22"/>
        </w:rPr>
        <w:t>Explain the circumstances that make the collection of information necessary.  Identify any legal or administrative requirements that necessitate the collection.</w:t>
      </w:r>
    </w:p>
    <w:p w:rsidR="00D41FEC" w14:paraId="2973CCA4" w14:textId="77777777">
      <w:pPr>
        <w:tabs>
          <w:tab w:val="left" w:pos="0"/>
        </w:tabs>
        <w:suppressAutoHyphens/>
        <w:jc w:val="right"/>
      </w:pPr>
    </w:p>
    <w:p w:rsidR="00941282" w:rsidP="00BF1954" w14:paraId="193BA76F" w14:textId="728FE2A5">
      <w:pPr>
        <w:suppressAutoHyphens/>
        <w:ind w:left="720"/>
        <w:rPr>
          <w:szCs w:val="24"/>
        </w:rPr>
      </w:pPr>
      <w:r>
        <w:rPr>
          <w:szCs w:val="24"/>
        </w:rPr>
        <w:t>To address a growing problem of harmful interference to 800 MHz public safety communication systems caused by high-density commercial wireless systems, the Commission in July 2004 adopted a comprehensive plan to reconfigure the band.</w:t>
      </w:r>
      <w:r w:rsidR="006B3280">
        <w:rPr>
          <w:szCs w:val="24"/>
        </w:rPr>
        <w:t xml:space="preserve"> </w:t>
      </w:r>
      <w:r>
        <w:rPr>
          <w:szCs w:val="24"/>
        </w:rPr>
        <w:t xml:space="preserve"> This plan </w:t>
      </w:r>
      <w:r w:rsidR="000D537F">
        <w:rPr>
          <w:szCs w:val="24"/>
        </w:rPr>
        <w:t>wa</w:t>
      </w:r>
      <w:r>
        <w:rPr>
          <w:szCs w:val="24"/>
        </w:rPr>
        <w:t>s designed to protect the lives of first responders and other emergency personnel</w:t>
      </w:r>
      <w:r w:rsidR="00FB4650">
        <w:rPr>
          <w:szCs w:val="24"/>
        </w:rPr>
        <w:t>,</w:t>
      </w:r>
      <w:r>
        <w:rPr>
          <w:szCs w:val="24"/>
        </w:rPr>
        <w:t xml:space="preserve"> and fulfills the Commission's obligation to promote safety of life and property through the use of wire and radio communications. </w:t>
      </w:r>
      <w:r w:rsidR="006B3280">
        <w:rPr>
          <w:szCs w:val="24"/>
        </w:rPr>
        <w:t xml:space="preserve"> </w:t>
      </w:r>
      <w:r>
        <w:rPr>
          <w:szCs w:val="24"/>
        </w:rPr>
        <w:t>Under that plan, the Commission ordered the reconfiguration of the 800 MHz band to migrate incompatible technologies to separate segments of the band.  The new band plan require</w:t>
      </w:r>
      <w:r w:rsidR="000D537F">
        <w:rPr>
          <w:szCs w:val="24"/>
        </w:rPr>
        <w:t>d</w:t>
      </w:r>
      <w:r>
        <w:rPr>
          <w:szCs w:val="24"/>
        </w:rPr>
        <w:t xml:space="preserve"> public safety and other high-site systems to relocate to the lower portion of the band, while cellular-architecture SMR systems relocate to the upper portion of the band.</w:t>
      </w:r>
    </w:p>
    <w:p w:rsidR="007B0D72" w:rsidRPr="00814884" w:rsidP="00814884" w14:paraId="12B42A57" w14:textId="77777777">
      <w:pPr>
        <w:suppressAutoHyphens/>
        <w:ind w:left="720"/>
        <w:rPr>
          <w:b/>
          <w:szCs w:val="24"/>
        </w:rPr>
      </w:pPr>
    </w:p>
    <w:p w:rsidR="00941282" w:rsidP="00FB4650" w14:paraId="2C56CEFD" w14:textId="3B9AFE4F">
      <w:pPr>
        <w:pStyle w:val="ParaNum"/>
        <w:numPr>
          <w:ilvl w:val="0"/>
          <w:numId w:val="0"/>
        </w:numPr>
        <w:ind w:left="720"/>
        <w:jc w:val="left"/>
        <w:rPr>
          <w:sz w:val="24"/>
          <w:szCs w:val="24"/>
        </w:rPr>
      </w:pPr>
      <w:r>
        <w:rPr>
          <w:sz w:val="24"/>
          <w:szCs w:val="24"/>
        </w:rPr>
        <w:t>Although t</w:t>
      </w:r>
      <w:r w:rsidRPr="005C20E3">
        <w:rPr>
          <w:sz w:val="24"/>
          <w:szCs w:val="24"/>
        </w:rPr>
        <w:t>he 800 MHz band reconfiguration is now complete</w:t>
      </w:r>
      <w:r w:rsidR="00791051">
        <w:rPr>
          <w:sz w:val="24"/>
          <w:szCs w:val="24"/>
        </w:rPr>
        <w:t>,</w:t>
      </w:r>
      <w:r w:rsidR="00DD1EA3">
        <w:rPr>
          <w:sz w:val="24"/>
          <w:szCs w:val="24"/>
        </w:rPr>
        <w:t xml:space="preserve"> the </w:t>
      </w:r>
      <w:r>
        <w:rPr>
          <w:sz w:val="24"/>
          <w:szCs w:val="24"/>
        </w:rPr>
        <w:t xml:space="preserve">band reconfiguration undertaking also established continuing procedures to resolve incidents of interference through the exchange of information between public safety licensees and commercial operators.  </w:t>
      </w:r>
      <w:r w:rsidR="00DD1EA3">
        <w:rPr>
          <w:sz w:val="24"/>
          <w:szCs w:val="24"/>
        </w:rPr>
        <w:t>That process for exchanging information when a public safety licensee experiences interference in the 800 MHz band continues</w:t>
      </w:r>
      <w:r w:rsidR="00206FE0">
        <w:rPr>
          <w:sz w:val="24"/>
          <w:szCs w:val="24"/>
        </w:rPr>
        <w:t>,</w:t>
      </w:r>
      <w:r w:rsidR="00DD1EA3">
        <w:rPr>
          <w:sz w:val="24"/>
          <w:szCs w:val="24"/>
        </w:rPr>
        <w:t xml:space="preserve"> despite the completion of band reconfiguration.</w:t>
      </w:r>
    </w:p>
    <w:p w:rsidR="00941282" w:rsidP="00814884" w14:paraId="194F7FE7" w14:textId="41A459A8">
      <w:pPr>
        <w:tabs>
          <w:tab w:val="left" w:pos="0"/>
        </w:tabs>
        <w:suppressAutoHyphens/>
        <w:ind w:left="720"/>
        <w:jc w:val="both"/>
        <w:rPr>
          <w:szCs w:val="24"/>
        </w:rPr>
      </w:pPr>
      <w:r>
        <w:t xml:space="preserve">As part of </w:t>
      </w:r>
      <w:r w:rsidR="00E07358">
        <w:t xml:space="preserve">the </w:t>
      </w:r>
      <w:r w:rsidR="00DD1EA3">
        <w:t>exchange of information between public safety licensees and commercial operators</w:t>
      </w:r>
      <w:r>
        <w:t>, the Commission adopted a number of information collections.</w:t>
      </w:r>
      <w:r w:rsidR="005B148D">
        <w:t xml:space="preserve">  </w:t>
      </w:r>
      <w:r>
        <w:t xml:space="preserve">The Office of Management and Budget approved these information collections under OMB 3060-1080 for a three year period. </w:t>
      </w:r>
      <w:r>
        <w:rPr>
          <w:rStyle w:val="documentbody1"/>
          <w:rFonts w:ascii="Times New Roman" w:hAnsi="Times New Roman"/>
          <w:color w:val="000000"/>
          <w:sz w:val="24"/>
          <w:szCs w:val="24"/>
        </w:rPr>
        <w:t xml:space="preserve"> Consistent with the requirements of the Paperwork Reduction Act, the Commission seeks to renew those information collections for another three year period.</w:t>
      </w:r>
      <w:r>
        <w:rPr>
          <w:rStyle w:val="FootnoteReference"/>
          <w:color w:val="000000"/>
          <w:szCs w:val="24"/>
          <w:shd w:val="clear" w:color="auto" w:fill="FFFFFF"/>
        </w:rPr>
        <w:footnoteReference w:id="2"/>
      </w:r>
    </w:p>
    <w:p w:rsidR="00941282" w:rsidP="00814884" w14:paraId="19EA790B" w14:textId="77777777">
      <w:pPr>
        <w:tabs>
          <w:tab w:val="left" w:pos="0"/>
        </w:tabs>
        <w:suppressAutoHyphens/>
        <w:ind w:left="720"/>
        <w:jc w:val="both"/>
        <w:rPr>
          <w:color w:val="0000FF"/>
          <w:szCs w:val="24"/>
        </w:rPr>
      </w:pPr>
    </w:p>
    <w:p w:rsidR="00555D63" w:rsidP="00814884" w14:paraId="31B66F77" w14:textId="5AEC7D8D">
      <w:pPr>
        <w:pStyle w:val="ParaNum"/>
        <w:numPr>
          <w:ilvl w:val="0"/>
          <w:numId w:val="0"/>
        </w:numPr>
        <w:ind w:left="720"/>
        <w:rPr>
          <w:sz w:val="24"/>
          <w:szCs w:val="24"/>
        </w:rPr>
      </w:pPr>
      <w:r>
        <w:rPr>
          <w:sz w:val="24"/>
          <w:szCs w:val="24"/>
        </w:rPr>
        <w:t xml:space="preserve">The information collection </w:t>
      </w:r>
      <w:r w:rsidR="005A046C">
        <w:rPr>
          <w:sz w:val="24"/>
          <w:szCs w:val="24"/>
        </w:rPr>
        <w:t xml:space="preserve">related to this information exchange </w:t>
      </w:r>
      <w:r>
        <w:rPr>
          <w:sz w:val="24"/>
          <w:szCs w:val="24"/>
        </w:rPr>
        <w:t>include</w:t>
      </w:r>
      <w:r w:rsidR="004D74B7">
        <w:rPr>
          <w:sz w:val="24"/>
          <w:szCs w:val="24"/>
        </w:rPr>
        <w:t>s</w:t>
      </w:r>
      <w:r>
        <w:rPr>
          <w:sz w:val="24"/>
          <w:szCs w:val="24"/>
        </w:rPr>
        <w:t xml:space="preserve"> a requirement </w:t>
      </w:r>
      <w:r w:rsidR="004D74B7">
        <w:rPr>
          <w:sz w:val="24"/>
          <w:szCs w:val="24"/>
        </w:rPr>
        <w:t xml:space="preserve">for commercial operators </w:t>
      </w:r>
      <w:r>
        <w:rPr>
          <w:sz w:val="24"/>
          <w:szCs w:val="24"/>
        </w:rPr>
        <w:t>to</w:t>
      </w:r>
      <w:r w:rsidR="009C3CB5">
        <w:rPr>
          <w:sz w:val="24"/>
          <w:szCs w:val="24"/>
        </w:rPr>
        <w:t>:</w:t>
      </w:r>
      <w:r w:rsidR="00EE1F47">
        <w:rPr>
          <w:sz w:val="24"/>
          <w:szCs w:val="24"/>
        </w:rPr>
        <w:t xml:space="preserve"> </w:t>
      </w:r>
      <w:r>
        <w:rPr>
          <w:sz w:val="24"/>
          <w:szCs w:val="24"/>
        </w:rPr>
        <w:t xml:space="preserve"> (1) respond to requests for pre-coordination of facilities; (2) respond to interference complaints; (3) establish an electronic system (</w:t>
      </w:r>
      <w:r>
        <w:rPr>
          <w:i/>
          <w:spacing w:val="-2"/>
          <w:szCs w:val="22"/>
        </w:rPr>
        <w:t>i.e.</w:t>
      </w:r>
      <w:r w:rsidR="00E07358">
        <w:rPr>
          <w:i/>
          <w:spacing w:val="-2"/>
          <w:szCs w:val="22"/>
        </w:rPr>
        <w:t>,</w:t>
      </w:r>
      <w:r>
        <w:rPr>
          <w:sz w:val="24"/>
          <w:szCs w:val="24"/>
        </w:rPr>
        <w:t xml:space="preserve"> e-mail) to file interference complaints; </w:t>
      </w:r>
      <w:r w:rsidR="00A559F4">
        <w:rPr>
          <w:sz w:val="24"/>
          <w:szCs w:val="24"/>
        </w:rPr>
        <w:t xml:space="preserve">and </w:t>
      </w:r>
      <w:r>
        <w:rPr>
          <w:sz w:val="24"/>
          <w:szCs w:val="24"/>
        </w:rPr>
        <w:t>(4) perform an analysis of interference complaints</w:t>
      </w:r>
      <w:r w:rsidR="00A559F4">
        <w:rPr>
          <w:sz w:val="24"/>
          <w:szCs w:val="24"/>
        </w:rPr>
        <w:t>.</w:t>
      </w:r>
      <w:r>
        <w:rPr>
          <w:sz w:val="24"/>
          <w:szCs w:val="24"/>
        </w:rPr>
        <w:t xml:space="preserve">  Additionally, to address interference concerns, the Commission will require many small governmental entities and public safety radio licensees to provide information relevant to avoiding interference in the first instance</w:t>
      </w:r>
      <w:r w:rsidR="0059278A">
        <w:rPr>
          <w:sz w:val="24"/>
          <w:szCs w:val="24"/>
        </w:rPr>
        <w:t>,</w:t>
      </w:r>
      <w:r>
        <w:rPr>
          <w:sz w:val="24"/>
          <w:szCs w:val="24"/>
        </w:rPr>
        <w:t xml:space="preserve"> and eliminating future interference incidents.  </w:t>
      </w:r>
      <w:r>
        <w:rPr>
          <w:sz w:val="24"/>
          <w:szCs w:val="24"/>
        </w:rPr>
        <w:t>Generally, we note that small entities were not among the interfering parties in those instances of interference that parties brought to the attention of the Commission in this proceeding.  Public Safety and Critical Infrastructure Industry licensees, many of which may be considered small entities, have experienced interference and largely supported the information collections adopted to resolve interference.  Therefore, we do not perceive the information collection requirements as a burden on such small entities.</w:t>
      </w:r>
    </w:p>
    <w:p w:rsidR="00F66FF6" w:rsidP="00814884" w14:paraId="0628AB20" w14:textId="1A9EA1BF">
      <w:pPr>
        <w:tabs>
          <w:tab w:val="left" w:pos="0"/>
        </w:tabs>
        <w:suppressAutoHyphens/>
        <w:ind w:left="720"/>
        <w:jc w:val="both"/>
        <w:rPr>
          <w:szCs w:val="24"/>
        </w:rPr>
      </w:pPr>
      <w:r w:rsidRPr="006673A6">
        <w:rPr>
          <w:szCs w:val="24"/>
        </w:rPr>
        <w:t xml:space="preserve">On November 7, 2017, OMB approved the renewal for the instant information collection under ICR Reference No: 201709-3060-009.  Since that time, the Commission has sought to decrease the burdens associated with the </w:t>
      </w:r>
      <w:r w:rsidRPr="006673A6">
        <w:rPr>
          <w:szCs w:val="24"/>
        </w:rPr>
        <w:t>rebanding</w:t>
      </w:r>
      <w:r w:rsidRPr="006673A6">
        <w:rPr>
          <w:szCs w:val="24"/>
        </w:rPr>
        <w:t xml:space="preserve"> proceeding</w:t>
      </w:r>
      <w:r>
        <w:rPr>
          <w:szCs w:val="24"/>
        </w:rPr>
        <w:t>.</w:t>
      </w:r>
      <w:r w:rsidR="00AE60DF">
        <w:rPr>
          <w:szCs w:val="24"/>
        </w:rPr>
        <w:t xml:space="preserve"> </w:t>
      </w:r>
      <w:r w:rsidRPr="006673A6">
        <w:rPr>
          <w:szCs w:val="24"/>
        </w:rPr>
        <w:t xml:space="preserve"> </w:t>
      </w:r>
      <w:r>
        <w:rPr>
          <w:szCs w:val="24"/>
        </w:rPr>
        <w:t>As demonstrated in the Commission’s 2020 Report and Order in this rulemaking proceeding</w:t>
      </w:r>
      <w:r w:rsidR="004645CC">
        <w:rPr>
          <w:szCs w:val="24"/>
        </w:rPr>
        <w:t xml:space="preserve"> (FCC 20-61)</w:t>
      </w:r>
      <w:r>
        <w:rPr>
          <w:szCs w:val="24"/>
        </w:rPr>
        <w:t>, t</w:t>
      </w:r>
      <w:r w:rsidRPr="00555D63">
        <w:rPr>
          <w:szCs w:val="24"/>
        </w:rPr>
        <w:t xml:space="preserve">he Commission is actively </w:t>
      </w:r>
      <w:r>
        <w:rPr>
          <w:szCs w:val="24"/>
        </w:rPr>
        <w:t>accelerating the conclusion</w:t>
      </w:r>
      <w:r w:rsidRPr="00555D63">
        <w:rPr>
          <w:szCs w:val="24"/>
        </w:rPr>
        <w:t xml:space="preserve"> </w:t>
      </w:r>
      <w:r>
        <w:rPr>
          <w:szCs w:val="24"/>
        </w:rPr>
        <w:t xml:space="preserve">of </w:t>
      </w:r>
      <w:r w:rsidRPr="00555D63">
        <w:rPr>
          <w:szCs w:val="24"/>
        </w:rPr>
        <w:t xml:space="preserve">the </w:t>
      </w:r>
      <w:r>
        <w:rPr>
          <w:szCs w:val="24"/>
        </w:rPr>
        <w:t xml:space="preserve">800 MHz </w:t>
      </w:r>
      <w:r>
        <w:rPr>
          <w:szCs w:val="24"/>
        </w:rPr>
        <w:t>rebanding</w:t>
      </w:r>
      <w:r>
        <w:rPr>
          <w:szCs w:val="24"/>
        </w:rPr>
        <w:t xml:space="preserve"> </w:t>
      </w:r>
      <w:r w:rsidRPr="00555D63">
        <w:rPr>
          <w:szCs w:val="24"/>
        </w:rPr>
        <w:t>program</w:t>
      </w:r>
      <w:r>
        <w:rPr>
          <w:szCs w:val="24"/>
        </w:rPr>
        <w:t xml:space="preserve">. </w:t>
      </w:r>
      <w:r w:rsidRPr="00AE467D">
        <w:rPr>
          <w:szCs w:val="24"/>
        </w:rPr>
        <w:t xml:space="preserve"> Therefore, the Commission is removing the burden hours and annual cost for those rule sections from this collection.</w:t>
      </w:r>
    </w:p>
    <w:p w:rsidR="00F66FF6" w:rsidP="00814884" w14:paraId="77E0DABB" w14:textId="77777777">
      <w:pPr>
        <w:tabs>
          <w:tab w:val="left" w:pos="0"/>
        </w:tabs>
        <w:suppressAutoHyphens/>
        <w:ind w:left="720"/>
        <w:jc w:val="both"/>
        <w:rPr>
          <w:szCs w:val="24"/>
        </w:rPr>
      </w:pPr>
    </w:p>
    <w:p w:rsidR="00941282" w:rsidP="00814884" w14:paraId="4C412665" w14:textId="61398CF1">
      <w:pPr>
        <w:tabs>
          <w:tab w:val="left" w:pos="0"/>
        </w:tabs>
        <w:suppressAutoHyphens/>
        <w:ind w:left="720"/>
        <w:jc w:val="both"/>
        <w:rPr>
          <w:szCs w:val="24"/>
        </w:rPr>
      </w:pPr>
      <w:r>
        <w:rPr>
          <w:szCs w:val="24"/>
        </w:rPr>
        <w:t>Statutory authority for this collection of information is contained in 47 U.S.C., Sections 151, 154, 160, 251–254, 303, and 332 unless otherwise noted.</w:t>
      </w:r>
    </w:p>
    <w:p w:rsidR="00941282" w:rsidP="00814884" w14:paraId="7A6AD624" w14:textId="77777777">
      <w:pPr>
        <w:tabs>
          <w:tab w:val="left" w:pos="0"/>
        </w:tabs>
        <w:suppressAutoHyphens/>
        <w:ind w:left="720"/>
        <w:jc w:val="both"/>
        <w:rPr>
          <w:szCs w:val="24"/>
        </w:rPr>
      </w:pPr>
    </w:p>
    <w:p w:rsidR="00941282" w:rsidP="00814884" w14:paraId="6FA62108" w14:textId="77777777">
      <w:pPr>
        <w:tabs>
          <w:tab w:val="left" w:pos="0"/>
        </w:tabs>
        <w:suppressAutoHyphens/>
        <w:ind w:left="720"/>
        <w:jc w:val="both"/>
        <w:rPr>
          <w:szCs w:val="24"/>
        </w:rPr>
      </w:pPr>
      <w:r>
        <w:rPr>
          <w:szCs w:val="24"/>
        </w:rPr>
        <w:t>This collection of information does not affect individuals or households; thus, there are no impacts under the Privacy Act.</w:t>
      </w:r>
    </w:p>
    <w:p w:rsidR="00C66631" w:rsidP="00C66631" w14:paraId="483FBD67" w14:textId="77777777">
      <w:pPr>
        <w:suppressAutoHyphens/>
        <w:rPr>
          <w:szCs w:val="24"/>
        </w:rPr>
      </w:pPr>
    </w:p>
    <w:p w:rsidR="00C66631" w:rsidP="00C66631" w14:paraId="5051FB19" w14:textId="77777777">
      <w:pPr>
        <w:numPr>
          <w:ilvl w:val="0"/>
          <w:numId w:val="17"/>
        </w:numPr>
        <w:tabs>
          <w:tab w:val="left" w:pos="-720"/>
          <w:tab w:val="num" w:pos="360"/>
        </w:tabs>
        <w:suppressAutoHyphens/>
        <w:snapToGrid w:val="0"/>
        <w:rPr>
          <w:sz w:val="22"/>
          <w:szCs w:val="22"/>
        </w:rPr>
      </w:pPr>
      <w:r>
        <w:rPr>
          <w:b/>
          <w:szCs w:val="22"/>
        </w:rPr>
        <w:t>Indicate how, by whom and</w:t>
      </w:r>
      <w:r>
        <w:rPr>
          <w:b/>
          <w:szCs w:val="22"/>
          <w:shd w:val="clear" w:color="auto" w:fill="FFFFFF"/>
        </w:rPr>
        <w:t xml:space="preserve"> for what purpose the information is to be used.</w:t>
      </w:r>
    </w:p>
    <w:p w:rsidR="00941282" w14:paraId="534E16C8" w14:textId="77777777">
      <w:pPr>
        <w:tabs>
          <w:tab w:val="left" w:pos="0"/>
        </w:tabs>
        <w:suppressAutoHyphens/>
        <w:jc w:val="both"/>
        <w:rPr>
          <w:szCs w:val="24"/>
        </w:rPr>
      </w:pPr>
    </w:p>
    <w:p w:rsidR="00941282" w:rsidP="00814884" w14:paraId="75CCDFA1" w14:textId="4C31AD59">
      <w:pPr>
        <w:tabs>
          <w:tab w:val="left" w:pos="0"/>
        </w:tabs>
        <w:suppressAutoHyphens/>
        <w:ind w:left="720"/>
        <w:jc w:val="both"/>
        <w:rPr>
          <w:szCs w:val="24"/>
        </w:rPr>
      </w:pPr>
      <w:r>
        <w:rPr>
          <w:szCs w:val="24"/>
        </w:rPr>
        <w:t>The information collection requirements will be used by the Commission to ensure that Cellular/ESMR, Public Safety, Critical Infrastructure Industry (CII), and other 800 MHz licensees comply with the interference mitigation in an orderly, timely, comprehensive fashion with no unnecessary delay.</w:t>
      </w:r>
    </w:p>
    <w:p w:rsidR="00BC1F6C" w:rsidP="00BC1F6C" w14:paraId="46B8C7CD" w14:textId="77777777">
      <w:pPr>
        <w:autoSpaceDE w:val="0"/>
        <w:autoSpaceDN w:val="0"/>
        <w:adjustRightInd w:val="0"/>
        <w:rPr>
          <w:sz w:val="22"/>
          <w:szCs w:val="22"/>
        </w:rPr>
      </w:pPr>
    </w:p>
    <w:p w:rsidR="00BC1F6C" w:rsidP="00BC1F6C" w14:paraId="39D5E481" w14:textId="77777777">
      <w:pPr>
        <w:numPr>
          <w:ilvl w:val="0"/>
          <w:numId w:val="17"/>
        </w:numPr>
        <w:tabs>
          <w:tab w:val="left" w:pos="-720"/>
          <w:tab w:val="num" w:pos="360"/>
        </w:tabs>
        <w:suppressAutoHyphens/>
        <w:snapToGrid w:val="0"/>
        <w:rPr>
          <w:szCs w:val="22"/>
        </w:rPr>
      </w:pPr>
      <w:r>
        <w:rPr>
          <w:b/>
          <w:szCs w:val="22"/>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41282" w14:paraId="4FAC0FAF" w14:textId="77777777">
      <w:pPr>
        <w:tabs>
          <w:tab w:val="left" w:pos="0"/>
        </w:tabs>
        <w:suppressAutoHyphens/>
        <w:jc w:val="both"/>
        <w:rPr>
          <w:szCs w:val="24"/>
        </w:rPr>
      </w:pPr>
    </w:p>
    <w:p w:rsidR="00941282" w:rsidP="00DD6B46" w14:paraId="16E29181" w14:textId="1E307E1B">
      <w:pPr>
        <w:tabs>
          <w:tab w:val="left" w:pos="0"/>
        </w:tabs>
        <w:suppressAutoHyphens/>
        <w:ind w:left="720"/>
        <w:jc w:val="both"/>
        <w:rPr>
          <w:szCs w:val="24"/>
        </w:rPr>
      </w:pPr>
      <w:r>
        <w:rPr>
          <w:szCs w:val="24"/>
        </w:rPr>
        <w:t xml:space="preserve">These </w:t>
      </w:r>
      <w:r>
        <w:t>information collections will make use of electronic collection techniques.  It is expected that all respondents will employ electronic correspondence to submit interference complaints.</w:t>
      </w:r>
    </w:p>
    <w:p w:rsidR="000E4C4D" w:rsidP="000E4C4D" w14:paraId="41AAC6A6" w14:textId="77777777">
      <w:pPr>
        <w:autoSpaceDE w:val="0"/>
        <w:autoSpaceDN w:val="0"/>
        <w:adjustRightInd w:val="0"/>
        <w:ind w:left="720"/>
        <w:rPr>
          <w:sz w:val="22"/>
          <w:szCs w:val="22"/>
        </w:rPr>
      </w:pPr>
    </w:p>
    <w:p w:rsidR="000E4C4D" w:rsidP="000E4C4D" w14:paraId="4F93A6A5" w14:textId="77777777">
      <w:pPr>
        <w:numPr>
          <w:ilvl w:val="0"/>
          <w:numId w:val="17"/>
        </w:numPr>
        <w:tabs>
          <w:tab w:val="left" w:pos="-720"/>
          <w:tab w:val="num" w:pos="360"/>
        </w:tabs>
        <w:suppressAutoHyphens/>
        <w:snapToGrid w:val="0"/>
        <w:rPr>
          <w:szCs w:val="22"/>
        </w:rPr>
      </w:pPr>
      <w:r>
        <w:rPr>
          <w:b/>
          <w:szCs w:val="22"/>
          <w:shd w:val="clear" w:color="auto" w:fill="FFFFFF"/>
        </w:rPr>
        <w:t>Describe efforts to identify duplication.  Show specifically why any similar information already available cannot be used or modified for use for the purposes described in item 2 above.</w:t>
      </w:r>
    </w:p>
    <w:p w:rsidR="000E4C4D" w:rsidP="000E4C4D" w14:paraId="6E6CE7B2" w14:textId="77777777">
      <w:pPr>
        <w:suppressAutoHyphens/>
        <w:rPr>
          <w:szCs w:val="24"/>
        </w:rPr>
      </w:pPr>
    </w:p>
    <w:p w:rsidR="00941282" w:rsidP="00DD6B46" w14:paraId="26B78FEC" w14:textId="77777777">
      <w:pPr>
        <w:tabs>
          <w:tab w:val="left" w:pos="0"/>
        </w:tabs>
        <w:suppressAutoHyphens/>
        <w:ind w:left="720"/>
        <w:jc w:val="both"/>
        <w:rPr>
          <w:szCs w:val="24"/>
        </w:rPr>
      </w:pPr>
      <w:r>
        <w:t>This information is not available elsewhere.  It is being collected specifically to meet the requirements of the Commission’s Orders.  This is a unique collection and there is no duplication.</w:t>
      </w:r>
    </w:p>
    <w:p w:rsidR="008104FF" w:rsidP="008104FF" w14:paraId="11A12B89" w14:textId="77777777">
      <w:pPr>
        <w:autoSpaceDE w:val="0"/>
        <w:autoSpaceDN w:val="0"/>
        <w:adjustRightInd w:val="0"/>
        <w:ind w:left="720"/>
        <w:rPr>
          <w:szCs w:val="24"/>
        </w:rPr>
      </w:pPr>
    </w:p>
    <w:p w:rsidR="008104FF" w:rsidP="008104FF" w14:paraId="50D2366D" w14:textId="77777777">
      <w:pPr>
        <w:numPr>
          <w:ilvl w:val="0"/>
          <w:numId w:val="17"/>
        </w:numPr>
        <w:tabs>
          <w:tab w:val="left" w:pos="-720"/>
          <w:tab w:val="num" w:pos="360"/>
        </w:tabs>
        <w:suppressAutoHyphens/>
        <w:snapToGrid w:val="0"/>
        <w:rPr>
          <w:szCs w:val="22"/>
        </w:rPr>
      </w:pPr>
      <w:r>
        <w:rPr>
          <w:b/>
          <w:szCs w:val="22"/>
          <w:shd w:val="clear" w:color="auto" w:fill="FFFFFF"/>
        </w:rPr>
        <w:t>If the collection of information impacts small businesses or other small entities describe any methods used to minimize burden.</w:t>
      </w:r>
    </w:p>
    <w:p w:rsidR="008104FF" w:rsidP="008104FF" w14:paraId="2B7ECBF1" w14:textId="77777777">
      <w:pPr>
        <w:autoSpaceDE w:val="0"/>
        <w:autoSpaceDN w:val="0"/>
        <w:adjustRightInd w:val="0"/>
        <w:ind w:left="720"/>
        <w:rPr>
          <w:szCs w:val="22"/>
        </w:rPr>
      </w:pPr>
    </w:p>
    <w:p w:rsidR="00941282" w:rsidP="00DD6B46" w14:paraId="3A9533D9" w14:textId="721952C5">
      <w:pPr>
        <w:tabs>
          <w:tab w:val="left" w:pos="0"/>
        </w:tabs>
        <w:suppressAutoHyphens/>
        <w:ind w:left="720"/>
        <w:jc w:val="both"/>
        <w:rPr>
          <w:szCs w:val="24"/>
        </w:rPr>
      </w:pPr>
      <w:r>
        <w:rPr>
          <w:szCs w:val="24"/>
        </w:rPr>
        <w:t>In conformance with the Paperwork Reduction Act of 1995 (PRA), the Commission strives to minimize burdens on all respondents regardless of size</w:t>
      </w:r>
      <w:r w:rsidR="00EF04E8">
        <w:rPr>
          <w:szCs w:val="24"/>
        </w:rPr>
        <w:t>,</w:t>
      </w:r>
      <w:r>
        <w:rPr>
          <w:szCs w:val="24"/>
        </w:rPr>
        <w:t xml:space="preserve"> consistent with the critical nature of this proceeding.  The Commission has limited the information requirements to those absolutely essential to ensure a timely, comprehensive resolution to 800 MHz interference</w:t>
      </w:r>
      <w:r w:rsidR="00DB21FC">
        <w:rPr>
          <w:szCs w:val="24"/>
        </w:rPr>
        <w:t>,</w:t>
      </w:r>
      <w:r w:rsidR="00122B6D">
        <w:rPr>
          <w:szCs w:val="24"/>
        </w:rPr>
        <w:t xml:space="preserve"> and </w:t>
      </w:r>
      <w:r>
        <w:rPr>
          <w:szCs w:val="24"/>
        </w:rPr>
        <w:t>the minimal amount of data that the Commission needs to meet its oversight role.</w:t>
      </w:r>
    </w:p>
    <w:p w:rsidR="00941282" w14:paraId="08F2EB5F" w14:textId="77777777">
      <w:pPr>
        <w:tabs>
          <w:tab w:val="left" w:pos="0"/>
        </w:tabs>
        <w:suppressAutoHyphens/>
        <w:jc w:val="both"/>
        <w:rPr>
          <w:szCs w:val="24"/>
        </w:rPr>
      </w:pPr>
    </w:p>
    <w:p w:rsidR="00741B82" w:rsidP="00741B82" w14:paraId="12A521BD" w14:textId="77777777">
      <w:pPr>
        <w:numPr>
          <w:ilvl w:val="0"/>
          <w:numId w:val="17"/>
        </w:numPr>
        <w:tabs>
          <w:tab w:val="left" w:pos="-720"/>
          <w:tab w:val="num" w:pos="360"/>
        </w:tabs>
        <w:suppressAutoHyphens/>
        <w:snapToGrid w:val="0"/>
        <w:rPr>
          <w:b/>
          <w:szCs w:val="22"/>
          <w:shd w:val="clear" w:color="auto" w:fill="FFFFFF"/>
        </w:rPr>
      </w:pPr>
      <w:r>
        <w:rPr>
          <w:b/>
          <w:szCs w:val="22"/>
          <w:shd w:val="clear" w:color="auto" w:fill="FFFFFF"/>
        </w:rPr>
        <w:t>Describe the consequences to a Federal program or policy activity, if the collection is not conducted or is conducted less frequently, as well as any technical or legal obstacles to reduce burden.</w:t>
      </w:r>
    </w:p>
    <w:p w:rsidR="00741B82" w:rsidP="00741B82" w14:paraId="2D402632" w14:textId="77777777">
      <w:pPr>
        <w:tabs>
          <w:tab w:val="left" w:pos="0"/>
        </w:tabs>
        <w:suppressAutoHyphens/>
        <w:ind w:left="720"/>
        <w:jc w:val="both"/>
      </w:pPr>
    </w:p>
    <w:p w:rsidR="00941282" w:rsidP="00EA10E1" w14:paraId="6A3C3F53" w14:textId="2AC9E03F">
      <w:pPr>
        <w:tabs>
          <w:tab w:val="left" w:pos="0"/>
        </w:tabs>
        <w:suppressAutoHyphens/>
        <w:ind w:left="720"/>
        <w:jc w:val="both"/>
        <w:rPr>
          <w:szCs w:val="24"/>
        </w:rPr>
      </w:pPr>
      <w:r>
        <w:t>Failure to collect this information will adversely impact the FCC’s ability to carry out its congressionally mandated duty to promote public safety communications</w:t>
      </w:r>
      <w:r w:rsidR="008455F0">
        <w:t>,</w:t>
      </w:r>
      <w:r>
        <w:t xml:space="preserve"> and its objective to eliminate interference to public safety communications.</w:t>
      </w:r>
    </w:p>
    <w:p w:rsidR="008F6870" w:rsidP="008F6870" w14:paraId="5114A563" w14:textId="77777777">
      <w:pPr>
        <w:autoSpaceDE w:val="0"/>
        <w:autoSpaceDN w:val="0"/>
        <w:adjustRightInd w:val="0"/>
        <w:ind w:left="720"/>
        <w:rPr>
          <w:szCs w:val="24"/>
        </w:rPr>
      </w:pPr>
    </w:p>
    <w:p w:rsidR="008F6870" w:rsidP="008F6870" w14:paraId="14825642" w14:textId="77777777">
      <w:pPr>
        <w:numPr>
          <w:ilvl w:val="0"/>
          <w:numId w:val="17"/>
        </w:numPr>
        <w:tabs>
          <w:tab w:val="left" w:pos="-720"/>
          <w:tab w:val="num" w:pos="360"/>
        </w:tabs>
        <w:suppressAutoHyphens/>
        <w:snapToGrid w:val="0"/>
        <w:rPr>
          <w:szCs w:val="22"/>
        </w:rPr>
      </w:pPr>
      <w:r>
        <w:rPr>
          <w:b/>
          <w:szCs w:val="22"/>
          <w:shd w:val="clear" w:color="auto" w:fill="FFFFFF"/>
        </w:rPr>
        <w:t>Explain any special circumstances that would cause an information collection to be conducted in a manner inconsistent with the criteria listed in supporting statement.</w:t>
      </w:r>
    </w:p>
    <w:p w:rsidR="008F6870" w:rsidP="008F6870" w14:paraId="6733DC6B" w14:textId="77777777">
      <w:pPr>
        <w:autoSpaceDE w:val="0"/>
        <w:autoSpaceDN w:val="0"/>
        <w:adjustRightInd w:val="0"/>
        <w:ind w:left="720"/>
        <w:rPr>
          <w:szCs w:val="24"/>
        </w:rPr>
      </w:pPr>
    </w:p>
    <w:p w:rsidR="00941282" w:rsidP="00B154BF" w14:paraId="1DC5E75F" w14:textId="66B92FA2">
      <w:pPr>
        <w:tabs>
          <w:tab w:val="left" w:pos="0"/>
        </w:tabs>
        <w:suppressAutoHyphens/>
        <w:ind w:left="720"/>
        <w:jc w:val="both"/>
        <w:rPr>
          <w:szCs w:val="24"/>
        </w:rPr>
      </w:pPr>
      <w:r>
        <w:rPr>
          <w:szCs w:val="24"/>
        </w:rPr>
        <w:t xml:space="preserve">In the normal course, the Commission avoids requiring responses to information collections in fewer that thirty days.  However, as noted </w:t>
      </w:r>
      <w:r>
        <w:rPr>
          <w:i/>
          <w:szCs w:val="24"/>
        </w:rPr>
        <w:t xml:space="preserve">supra </w:t>
      </w:r>
      <w:r>
        <w:rPr>
          <w:szCs w:val="24"/>
        </w:rPr>
        <w:t>there are exigent circumstances attendant on the need for prompt abatement of interference to crucial public safety communications that dictate that responses be made within a matter of hours, rather than days.</w:t>
      </w:r>
      <w:r w:rsidR="00DA46F7">
        <w:rPr>
          <w:szCs w:val="24"/>
        </w:rPr>
        <w:t xml:space="preserve"> </w:t>
      </w:r>
      <w:r>
        <w:rPr>
          <w:szCs w:val="24"/>
        </w:rPr>
        <w:t xml:space="preserve"> Current data are consistent with 5 CFR § 1320.6.  If Public Safety licensees perceive an interference threat or experience interference, corrective action must be taken immediately (</w:t>
      </w:r>
      <w:r>
        <w:rPr>
          <w:i/>
          <w:spacing w:val="-2"/>
          <w:sz w:val="22"/>
          <w:szCs w:val="22"/>
        </w:rPr>
        <w:t>i.e.,</w:t>
      </w:r>
      <w:r>
        <w:rPr>
          <w:i/>
          <w:szCs w:val="24"/>
        </w:rPr>
        <w:t>.</w:t>
      </w:r>
      <w:r>
        <w:rPr>
          <w:szCs w:val="24"/>
        </w:rPr>
        <w:t xml:space="preserve"> a response must be filed within 24 hours and an interference analysis must be performed within 48 hours) to resolve the interference.  Indeed, to the extent that a public safety licensee experiencing interference determines that an unresolved incident of interference constitutes a clear and imminent threat to safety of life and property, the licensee may request immediate discontinuance of operation of the interfering station by a written statement served immediately on the Commission and the relevant cellular/ESMR licensee(s).  The nature of such a threat necessitates a prompt response to preserve public safety communications and safety of life.</w:t>
      </w:r>
    </w:p>
    <w:p w:rsidR="00941282" w:rsidP="00A11C15" w14:paraId="4C28C221" w14:textId="13AD3E2E">
      <w:pPr>
        <w:tabs>
          <w:tab w:val="left" w:pos="0"/>
        </w:tabs>
        <w:suppressAutoHyphens/>
        <w:ind w:left="720"/>
        <w:jc w:val="both"/>
        <w:rPr>
          <w:rStyle w:val="Strong"/>
          <w:b w:val="0"/>
          <w:bCs w:val="0"/>
          <w:szCs w:val="24"/>
        </w:rPr>
      </w:pPr>
    </w:p>
    <w:p w:rsidR="004844AD" w:rsidP="004844AD" w14:paraId="7B83216D" w14:textId="77777777">
      <w:pPr>
        <w:numPr>
          <w:ilvl w:val="0"/>
          <w:numId w:val="17"/>
        </w:numPr>
        <w:snapToGrid w:val="0"/>
        <w:rPr>
          <w:b/>
          <w:szCs w:val="22"/>
          <w:shd w:val="clear" w:color="auto" w:fill="FFFFFF"/>
        </w:rPr>
      </w:pPr>
      <w:r>
        <w:rPr>
          <w:b/>
          <w:szCs w:val="22"/>
          <w:shd w:val="clear" w:color="auto" w:fill="FFFFFF"/>
        </w:rPr>
        <w:t>If applicable, provide a copy and identify the date and page number of publication in the Federal Register of the agency’s notice, required by 5 CFR 1320.8(d), soliciting comments on the information prior to submission to OMB.</w:t>
      </w:r>
    </w:p>
    <w:p w:rsidR="004844AD" w:rsidP="004844AD" w14:paraId="70A6521F" w14:textId="77777777">
      <w:pPr>
        <w:ind w:left="720"/>
        <w:rPr>
          <w:szCs w:val="22"/>
          <w:shd w:val="clear" w:color="auto" w:fill="FFFFFF"/>
        </w:rPr>
      </w:pPr>
      <w:r>
        <w:rPr>
          <w:b/>
          <w:szCs w:val="22"/>
          <w:shd w:val="clear" w:color="auto" w:fill="FFFFFF"/>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844AD" w:rsidP="004844AD" w14:paraId="37A97576" w14:textId="77777777">
      <w:pPr>
        <w:autoSpaceDE w:val="0"/>
        <w:autoSpaceDN w:val="0"/>
        <w:adjustRightInd w:val="0"/>
        <w:ind w:left="720"/>
        <w:rPr>
          <w:szCs w:val="24"/>
        </w:rPr>
      </w:pPr>
    </w:p>
    <w:p w:rsidR="000A0C53" w:rsidP="00A11C15" w14:paraId="04FDAE68" w14:textId="45472C53">
      <w:pPr>
        <w:tabs>
          <w:tab w:val="left" w:pos="0"/>
        </w:tabs>
        <w:suppressAutoHyphens/>
        <w:ind w:left="720"/>
        <w:jc w:val="both"/>
      </w:pPr>
      <w:r>
        <w:t xml:space="preserve">The Commission published a 60-day notice </w:t>
      </w:r>
      <w:r>
        <w:t xml:space="preserve">soliciting public comment which appeared </w:t>
      </w:r>
      <w:r>
        <w:t xml:space="preserve">in the Federal Register on </w:t>
      </w:r>
      <w:r w:rsidR="009A44E2">
        <w:t>September</w:t>
      </w:r>
      <w:r w:rsidR="001A6EE5">
        <w:t xml:space="preserve"> </w:t>
      </w:r>
      <w:r w:rsidR="009A44E2">
        <w:t>5</w:t>
      </w:r>
      <w:r w:rsidR="00D41FEC">
        <w:t>,</w:t>
      </w:r>
      <w:r>
        <w:t xml:space="preserve"> </w:t>
      </w:r>
      <w:r w:rsidR="00C109CC">
        <w:t>202</w:t>
      </w:r>
      <w:r>
        <w:t>3</w:t>
      </w:r>
      <w:r w:rsidR="00C109CC">
        <w:t xml:space="preserve"> </w:t>
      </w:r>
      <w:r w:rsidR="006A7FE9">
        <w:t>(</w:t>
      </w:r>
      <w:r w:rsidR="00C109CC">
        <w:t>8</w:t>
      </w:r>
      <w:r w:rsidR="009A44E2">
        <w:t>8</w:t>
      </w:r>
      <w:r w:rsidR="00C109CC">
        <w:t xml:space="preserve"> </w:t>
      </w:r>
      <w:r w:rsidR="00D41FEC">
        <w:t>FR</w:t>
      </w:r>
      <w:r w:rsidR="006A7FE9">
        <w:t xml:space="preserve"> </w:t>
      </w:r>
      <w:r w:rsidR="009A44E2">
        <w:t>60676</w:t>
      </w:r>
      <w:r w:rsidR="00D41FEC">
        <w:t>)</w:t>
      </w:r>
      <w:r w:rsidR="004E72A8">
        <w:t>,</w:t>
      </w:r>
      <w:r>
        <w:t xml:space="preserve"> </w:t>
      </w:r>
      <w:r>
        <w:t>seeking comments from the public on the information collection requirements contained in this supporting statement.</w:t>
      </w:r>
      <w:r w:rsidR="001A06B4">
        <w:t xml:space="preserve"> </w:t>
      </w:r>
      <w:r w:rsidR="001A06B4">
        <w:t xml:space="preserve">No comments were received on the information collection requirements in the 60-day Notice. </w:t>
      </w:r>
    </w:p>
    <w:p w:rsidR="00DE73FE" w:rsidP="00DE73FE" w14:paraId="1C062741" w14:textId="77777777">
      <w:pPr>
        <w:autoSpaceDE w:val="0"/>
        <w:autoSpaceDN w:val="0"/>
        <w:adjustRightInd w:val="0"/>
        <w:ind w:left="720"/>
        <w:rPr>
          <w:szCs w:val="24"/>
        </w:rPr>
      </w:pPr>
    </w:p>
    <w:p w:rsidR="00DE73FE" w:rsidRPr="000A0C53" w:rsidP="003B4BE5" w14:paraId="6D93F965" w14:textId="0DD83A76">
      <w:pPr>
        <w:pStyle w:val="ListParagraph"/>
        <w:numPr>
          <w:ilvl w:val="0"/>
          <w:numId w:val="17"/>
        </w:numPr>
        <w:snapToGrid w:val="0"/>
        <w:rPr>
          <w:szCs w:val="22"/>
        </w:rPr>
      </w:pPr>
      <w:r w:rsidRPr="003B4BE5">
        <w:rPr>
          <w:b/>
          <w:szCs w:val="22"/>
        </w:rPr>
        <w:t>Explain any decision to provide any payment or gift to respondents, other than remuneration of contractors or grantees.</w:t>
      </w:r>
    </w:p>
    <w:p w:rsidR="00941282" w14:paraId="68F68E3B" w14:textId="77777777">
      <w:pPr>
        <w:tabs>
          <w:tab w:val="left" w:pos="0"/>
        </w:tabs>
        <w:suppressAutoHyphens/>
        <w:jc w:val="both"/>
        <w:rPr>
          <w:szCs w:val="24"/>
        </w:rPr>
      </w:pPr>
    </w:p>
    <w:p w:rsidR="00941282" w:rsidP="003B4BE5" w14:paraId="55BB4DCA" w14:textId="0E5DC3C8">
      <w:pPr>
        <w:tabs>
          <w:tab w:val="left" w:pos="0"/>
        </w:tabs>
        <w:suppressAutoHyphens/>
        <w:ind w:left="720"/>
        <w:jc w:val="both"/>
        <w:rPr>
          <w:szCs w:val="24"/>
        </w:rPr>
      </w:pPr>
      <w:r>
        <w:rPr>
          <w:szCs w:val="24"/>
        </w:rPr>
        <w:t>There are no payments or gifts to respondents.</w:t>
      </w:r>
    </w:p>
    <w:p w:rsidR="009A2214" w:rsidP="009A2214" w14:paraId="5A5C6BC9" w14:textId="77777777">
      <w:pPr>
        <w:autoSpaceDE w:val="0"/>
        <w:autoSpaceDN w:val="0"/>
        <w:adjustRightInd w:val="0"/>
        <w:rPr>
          <w:sz w:val="22"/>
          <w:szCs w:val="22"/>
        </w:rPr>
      </w:pPr>
    </w:p>
    <w:p w:rsidR="009A2214" w:rsidP="000A0C53" w14:paraId="269FD41D" w14:textId="77777777">
      <w:pPr>
        <w:numPr>
          <w:ilvl w:val="0"/>
          <w:numId w:val="17"/>
        </w:numPr>
        <w:autoSpaceDE w:val="0"/>
        <w:autoSpaceDN w:val="0"/>
        <w:adjustRightInd w:val="0"/>
        <w:snapToGrid w:val="0"/>
        <w:rPr>
          <w:b/>
          <w:szCs w:val="22"/>
        </w:rPr>
      </w:pPr>
      <w:r>
        <w:rPr>
          <w:b/>
          <w:szCs w:val="22"/>
        </w:rPr>
        <w:t>Describe any assurance of confidentiality provided to respondents and the basis for the assurance in statute, regulation, or agency policy.</w:t>
      </w:r>
    </w:p>
    <w:p w:rsidR="009A2214" w:rsidP="009A2214" w14:paraId="5C992B0F" w14:textId="77777777">
      <w:pPr>
        <w:autoSpaceDE w:val="0"/>
        <w:autoSpaceDN w:val="0"/>
        <w:adjustRightInd w:val="0"/>
        <w:ind w:left="720"/>
        <w:rPr>
          <w:szCs w:val="24"/>
        </w:rPr>
      </w:pPr>
    </w:p>
    <w:p w:rsidR="00941282" w:rsidP="003B4BE5" w14:paraId="6EA62D52" w14:textId="058BE6D5">
      <w:pPr>
        <w:tabs>
          <w:tab w:val="left" w:pos="0"/>
        </w:tabs>
        <w:suppressAutoHyphens/>
        <w:ind w:left="720"/>
        <w:jc w:val="both"/>
        <w:rPr>
          <w:szCs w:val="24"/>
        </w:rPr>
      </w:pPr>
      <w:r>
        <w:rPr>
          <w:szCs w:val="24"/>
        </w:rPr>
        <w:t>No questions of a confidential nature are asked.  However, under the Commission’s rules, licensees may request confidential treatment for information they provide in response to these information collections.</w:t>
      </w:r>
    </w:p>
    <w:p w:rsidR="008E2B8D" w:rsidP="008E2B8D" w14:paraId="5F6E4A1F" w14:textId="77777777">
      <w:pPr>
        <w:autoSpaceDE w:val="0"/>
        <w:autoSpaceDN w:val="0"/>
        <w:adjustRightInd w:val="0"/>
        <w:rPr>
          <w:sz w:val="22"/>
          <w:szCs w:val="22"/>
        </w:rPr>
      </w:pPr>
    </w:p>
    <w:p w:rsidR="008E2B8D" w:rsidP="000A0C53" w14:paraId="251E7808" w14:textId="77777777">
      <w:pPr>
        <w:numPr>
          <w:ilvl w:val="0"/>
          <w:numId w:val="17"/>
        </w:numPr>
        <w:autoSpaceDE w:val="0"/>
        <w:autoSpaceDN w:val="0"/>
        <w:adjustRightInd w:val="0"/>
        <w:snapToGrid w:val="0"/>
        <w:rPr>
          <w:b/>
          <w:bCs/>
          <w:szCs w:val="22"/>
        </w:rPr>
      </w:pPr>
      <w:r>
        <w:rPr>
          <w:b/>
          <w:bCs/>
          <w:szCs w:val="22"/>
        </w:rPr>
        <w:t>Provide additional justification for any questions of a sensitive nature.</w:t>
      </w:r>
    </w:p>
    <w:p w:rsidR="008E2B8D" w:rsidP="008E2B8D" w14:paraId="1CEF8C8C" w14:textId="77777777">
      <w:pPr>
        <w:autoSpaceDE w:val="0"/>
        <w:autoSpaceDN w:val="0"/>
        <w:adjustRightInd w:val="0"/>
        <w:ind w:left="720"/>
        <w:rPr>
          <w:szCs w:val="24"/>
        </w:rPr>
      </w:pPr>
    </w:p>
    <w:p w:rsidR="00941282" w:rsidP="003B4BE5" w14:paraId="544FDA06" w14:textId="17A07CD7">
      <w:pPr>
        <w:tabs>
          <w:tab w:val="left" w:pos="0"/>
        </w:tabs>
        <w:suppressAutoHyphens/>
        <w:ind w:left="720"/>
        <w:jc w:val="both"/>
        <w:rPr>
          <w:szCs w:val="24"/>
        </w:rPr>
      </w:pPr>
      <w:r>
        <w:rPr>
          <w:szCs w:val="24"/>
        </w:rPr>
        <w:t xml:space="preserve">The </w:t>
      </w:r>
      <w:r w:rsidR="00E34763">
        <w:rPr>
          <w:szCs w:val="24"/>
        </w:rPr>
        <w:t>collection of information contained in this supporting statement</w:t>
      </w:r>
      <w:r>
        <w:rPr>
          <w:szCs w:val="24"/>
        </w:rPr>
        <w:t xml:space="preserve"> does not address any private matters of a sensitive nature.</w:t>
      </w:r>
    </w:p>
    <w:p w:rsidR="00762451" w:rsidP="00762451" w14:paraId="38CB15E4" w14:textId="77777777">
      <w:pPr>
        <w:autoSpaceDE w:val="0"/>
        <w:autoSpaceDN w:val="0"/>
        <w:adjustRightInd w:val="0"/>
        <w:ind w:left="720"/>
        <w:rPr>
          <w:sz w:val="22"/>
          <w:szCs w:val="22"/>
        </w:rPr>
      </w:pPr>
    </w:p>
    <w:p w:rsidR="00762451" w:rsidP="000A0C53" w14:paraId="6213946F" w14:textId="65027D85">
      <w:pPr>
        <w:numPr>
          <w:ilvl w:val="0"/>
          <w:numId w:val="17"/>
        </w:numPr>
        <w:autoSpaceDE w:val="0"/>
        <w:autoSpaceDN w:val="0"/>
        <w:adjustRightInd w:val="0"/>
        <w:snapToGrid w:val="0"/>
        <w:rPr>
          <w:szCs w:val="22"/>
        </w:rPr>
      </w:pPr>
      <w:r>
        <w:rPr>
          <w:b/>
          <w:szCs w:val="22"/>
        </w:rPr>
        <w:t xml:space="preserve">Provide estimates of the hour burden of the collection of information.  The statement should: </w:t>
      </w:r>
      <w:r w:rsidR="006B2CC3">
        <w:rPr>
          <w:b/>
          <w:szCs w:val="22"/>
        </w:rPr>
        <w:t xml:space="preserve"> </w:t>
      </w:r>
      <w:r>
        <w:rPr>
          <w:b/>
          <w:szCs w:val="22"/>
        </w:rPr>
        <w:t>indicate the number of respondents, frequency of response, annual hour burden, and an explanation of how the burden was estimated.  If the hour burden on respondents is expected to vary widely because of differences in activity, size, or complexity, show the range of estimated hour burden, and explain the reasons for the variance.</w:t>
      </w:r>
    </w:p>
    <w:p w:rsidR="005F30B5" w:rsidRPr="005F30B5" w:rsidP="003B4BE5" w14:paraId="71640E9E" w14:textId="77777777">
      <w:pPr>
        <w:pStyle w:val="ListParagraph"/>
        <w:suppressAutoHyphens/>
        <w:rPr>
          <w:szCs w:val="24"/>
        </w:rPr>
      </w:pPr>
    </w:p>
    <w:p w:rsidR="005F30B5" w:rsidRPr="005F30B5" w:rsidP="003B4BE5" w14:paraId="2691C254" w14:textId="77777777">
      <w:pPr>
        <w:pStyle w:val="ListParagraph"/>
        <w:autoSpaceDE w:val="0"/>
        <w:autoSpaceDN w:val="0"/>
        <w:adjustRightInd w:val="0"/>
        <w:rPr>
          <w:b/>
          <w:i/>
          <w:szCs w:val="24"/>
        </w:rPr>
      </w:pPr>
      <w:r w:rsidRPr="005F30B5">
        <w:rPr>
          <w:szCs w:val="24"/>
        </w:rPr>
        <w:t>The Commission has derived the following estimates of the burden on respondents:</w:t>
      </w:r>
    </w:p>
    <w:p w:rsidR="00941282" w14:paraId="166BF59E" w14:textId="77777777">
      <w:pPr>
        <w:tabs>
          <w:tab w:val="left" w:pos="0"/>
        </w:tabs>
        <w:suppressAutoHyphens/>
        <w:jc w:val="both"/>
        <w:rPr>
          <w:szCs w:val="24"/>
        </w:rPr>
      </w:pPr>
    </w:p>
    <w:p w:rsidR="00941282" w:rsidP="00A80C44" w14:paraId="46BA7548" w14:textId="40283227">
      <w:pPr>
        <w:tabs>
          <w:tab w:val="left" w:pos="0"/>
        </w:tabs>
        <w:suppressAutoHyphens/>
        <w:ind w:left="720"/>
        <w:jc w:val="both"/>
        <w:rPr>
          <w:szCs w:val="24"/>
        </w:rPr>
      </w:pPr>
      <w:r>
        <w:rPr>
          <w:szCs w:val="24"/>
        </w:rPr>
        <w:t xml:space="preserve">The total burden </w:t>
      </w:r>
      <w:r w:rsidRPr="000A63A5">
        <w:rPr>
          <w:szCs w:val="24"/>
        </w:rPr>
        <w:t xml:space="preserve">is </w:t>
      </w:r>
      <w:r w:rsidRPr="000A63A5" w:rsidR="000A7A91">
        <w:rPr>
          <w:szCs w:val="24"/>
        </w:rPr>
        <w:t xml:space="preserve"> </w:t>
      </w:r>
      <w:r w:rsidRPr="000A63A5" w:rsidR="001302C6">
        <w:rPr>
          <w:szCs w:val="24"/>
        </w:rPr>
        <w:t xml:space="preserve">9,468 </w:t>
      </w:r>
      <w:r w:rsidRPr="000A63A5">
        <w:rPr>
          <w:szCs w:val="24"/>
        </w:rPr>
        <w:t>hours</w:t>
      </w:r>
      <w:r>
        <w:rPr>
          <w:szCs w:val="24"/>
        </w:rPr>
        <w:t>.  Below we summarize our estimates.  These information collections are required to obtain or retain a benefit.</w:t>
      </w:r>
    </w:p>
    <w:p w:rsidR="003A7088" w:rsidRPr="003A7088" w:rsidP="003A7088" w14:paraId="5D8D09A2" w14:textId="77777777">
      <w:pPr>
        <w:autoSpaceDE w:val="0"/>
        <w:autoSpaceDN w:val="0"/>
        <w:adjustRightInd w:val="0"/>
        <w:snapToGrid w:val="0"/>
        <w:ind w:left="720"/>
        <w:rPr>
          <w:szCs w:val="24"/>
        </w:rPr>
      </w:pPr>
    </w:p>
    <w:p w:rsidR="00941282" w:rsidP="00A80C44" w14:paraId="6FCAE76E" w14:textId="34E64E07">
      <w:pPr>
        <w:tabs>
          <w:tab w:val="left" w:pos="0"/>
        </w:tabs>
        <w:suppressAutoHyphens/>
        <w:ind w:left="720"/>
        <w:jc w:val="both"/>
      </w:pPr>
      <w:r w:rsidRPr="003A7088">
        <w:rPr>
          <w:b/>
          <w:i/>
          <w:snapToGrid w:val="0"/>
          <w:szCs w:val="24"/>
        </w:rPr>
        <w:t xml:space="preserve">a.  </w:t>
      </w:r>
      <w:r>
        <w:rPr>
          <w:b/>
          <w:szCs w:val="24"/>
        </w:rPr>
        <w:t xml:space="preserve">47 </w:t>
      </w:r>
      <w:r w:rsidR="00654B1C">
        <w:rPr>
          <w:b/>
          <w:szCs w:val="24"/>
        </w:rPr>
        <w:t>CFR</w:t>
      </w:r>
      <w:r>
        <w:rPr>
          <w:b/>
          <w:szCs w:val="24"/>
        </w:rPr>
        <w:t xml:space="preserve"> § 22.972(a)(2); 90.674(a)(2). (Electronic Notification System)</w:t>
      </w:r>
    </w:p>
    <w:p w:rsidR="00941282" w14:paraId="561D497E" w14:textId="77777777">
      <w:pPr>
        <w:pStyle w:val="Heading1"/>
        <w:widowControl/>
        <w:jc w:val="both"/>
      </w:pPr>
    </w:p>
    <w:p w:rsidR="00941282" w:rsidRPr="000A0C53" w:rsidP="00A80C44" w14:paraId="3C993B38" w14:textId="024C3066">
      <w:pPr>
        <w:tabs>
          <w:tab w:val="left" w:pos="0"/>
        </w:tabs>
        <w:suppressAutoHyphens/>
        <w:ind w:left="720"/>
        <w:jc w:val="both"/>
        <w:rPr>
          <w:bCs/>
          <w:szCs w:val="24"/>
        </w:rPr>
      </w:pPr>
      <w:r w:rsidRPr="00A80C44">
        <w:rPr>
          <w:b/>
          <w:bCs/>
          <w:szCs w:val="24"/>
        </w:rPr>
        <w:t>Burden Hours of Respondents</w:t>
      </w:r>
    </w:p>
    <w:p w:rsidR="00941282" w:rsidRPr="00A80C44" w:rsidP="00A80C44" w14:paraId="5D81A204" w14:textId="77777777">
      <w:pPr>
        <w:tabs>
          <w:tab w:val="left" w:pos="0"/>
        </w:tabs>
        <w:suppressAutoHyphens/>
        <w:ind w:left="720"/>
        <w:jc w:val="both"/>
        <w:rPr>
          <w:szCs w:val="24"/>
        </w:rPr>
      </w:pPr>
    </w:p>
    <w:p w:rsidR="00941282" w:rsidP="00A80C44" w14:paraId="51316904" w14:textId="77777777">
      <w:pPr>
        <w:tabs>
          <w:tab w:val="left" w:pos="0"/>
        </w:tabs>
        <w:suppressAutoHyphens/>
        <w:ind w:left="720"/>
        <w:jc w:val="both"/>
      </w:pPr>
      <w:r>
        <w:rPr>
          <w:szCs w:val="24"/>
        </w:rPr>
        <w:t>The Commission directed Cellular carriers and ESMR licensees to establish an electronic notification system to receive interference complaints.  The electronic notification system -- which is an email box -- has been established, so the burden of creating the electronic notification system has been deducted from the burden estimate for this current submission</w:t>
      </w:r>
      <w:r>
        <w:t>.</w:t>
      </w:r>
    </w:p>
    <w:p w:rsidR="00941282" w14:paraId="6F969811" w14:textId="77777777">
      <w:pPr>
        <w:pStyle w:val="BodyText"/>
        <w:jc w:val="both"/>
      </w:pPr>
    </w:p>
    <w:p w:rsidR="00941282" w:rsidP="00A80C44" w14:paraId="7F54A74D" w14:textId="3FE961F7">
      <w:pPr>
        <w:tabs>
          <w:tab w:val="left" w:pos="0"/>
        </w:tabs>
        <w:suppressAutoHyphens/>
        <w:ind w:left="720"/>
        <w:jc w:val="both"/>
        <w:rPr>
          <w:szCs w:val="24"/>
        </w:rPr>
      </w:pPr>
      <w:r>
        <w:rPr>
          <w:b/>
          <w:i/>
          <w:snapToGrid w:val="0"/>
          <w:szCs w:val="24"/>
        </w:rPr>
        <w:t>b</w:t>
      </w:r>
      <w:r w:rsidRPr="003A7088">
        <w:rPr>
          <w:b/>
          <w:i/>
          <w:snapToGrid w:val="0"/>
          <w:szCs w:val="24"/>
        </w:rPr>
        <w:t xml:space="preserve">. </w:t>
      </w:r>
      <w:r w:rsidRPr="00A80C44">
        <w:rPr>
          <w:b/>
          <w:bCs/>
          <w:i/>
          <w:snapToGrid w:val="0"/>
          <w:szCs w:val="24"/>
        </w:rPr>
        <w:t xml:space="preserve"> </w:t>
      </w:r>
      <w:r w:rsidRPr="00A80C44">
        <w:rPr>
          <w:b/>
          <w:bCs/>
          <w:szCs w:val="24"/>
        </w:rPr>
        <w:t xml:space="preserve">47 </w:t>
      </w:r>
      <w:r w:rsidRPr="00A80C44" w:rsidR="00654B1C">
        <w:rPr>
          <w:b/>
          <w:bCs/>
          <w:szCs w:val="24"/>
        </w:rPr>
        <w:t>CFR</w:t>
      </w:r>
      <w:r w:rsidRPr="00A80C44">
        <w:rPr>
          <w:b/>
          <w:bCs/>
          <w:szCs w:val="24"/>
        </w:rPr>
        <w:t xml:space="preserve"> §§ 22.972(a)(3), (b); 90.674(a)(3), (b). (Interference Response).</w:t>
      </w:r>
    </w:p>
    <w:p w:rsidR="00941282" w14:paraId="6DA34129" w14:textId="77777777">
      <w:pPr>
        <w:tabs>
          <w:tab w:val="left" w:pos="0"/>
        </w:tabs>
        <w:suppressAutoHyphens/>
        <w:jc w:val="both"/>
        <w:rPr>
          <w:b/>
          <w:szCs w:val="24"/>
        </w:rPr>
      </w:pPr>
    </w:p>
    <w:p w:rsidR="00941282" w:rsidP="00A80C44" w14:paraId="2B07BC67" w14:textId="77777777">
      <w:pPr>
        <w:tabs>
          <w:tab w:val="left" w:pos="0"/>
        </w:tabs>
        <w:suppressAutoHyphens/>
        <w:ind w:left="720"/>
        <w:jc w:val="both"/>
        <w:rPr>
          <w:b/>
          <w:szCs w:val="24"/>
        </w:rPr>
      </w:pPr>
      <w:r>
        <w:rPr>
          <w:b/>
          <w:szCs w:val="24"/>
        </w:rPr>
        <w:t>Burden Hours of Respondents</w:t>
      </w:r>
    </w:p>
    <w:p w:rsidR="00941282" w14:paraId="62D394A8" w14:textId="77777777">
      <w:pPr>
        <w:tabs>
          <w:tab w:val="left" w:pos="0"/>
        </w:tabs>
        <w:suppressAutoHyphens/>
        <w:jc w:val="both"/>
        <w:rPr>
          <w:b/>
          <w:szCs w:val="24"/>
        </w:rPr>
      </w:pPr>
    </w:p>
    <w:p w:rsidR="00941282" w:rsidP="00A80C44" w14:paraId="69FAD7AE" w14:textId="4FEE8361">
      <w:pPr>
        <w:tabs>
          <w:tab w:val="left" w:pos="0"/>
        </w:tabs>
        <w:suppressAutoHyphens/>
        <w:ind w:left="720"/>
        <w:jc w:val="both"/>
        <w:rPr>
          <w:szCs w:val="24"/>
        </w:rPr>
      </w:pPr>
      <w:r>
        <w:rPr>
          <w:szCs w:val="24"/>
        </w:rPr>
        <w:t xml:space="preserve">The Commission, for purposes of estimating the PRA burdens, predicts that interference incidents will require approximately </w:t>
      </w:r>
      <w:r w:rsidR="00AE74CD">
        <w:rPr>
          <w:szCs w:val="24"/>
        </w:rPr>
        <w:t xml:space="preserve">three </w:t>
      </w:r>
      <w:r>
        <w:rPr>
          <w:szCs w:val="24"/>
        </w:rPr>
        <w:t xml:space="preserve">of the estimated 50 Cellular carriers and ESMR </w:t>
      </w:r>
      <w:r>
        <w:rPr>
          <w:szCs w:val="24"/>
        </w:rPr>
        <w:t>licensees participating in the electronic notification database</w:t>
      </w:r>
      <w:r w:rsidR="00AD34BC">
        <w:rPr>
          <w:szCs w:val="24"/>
        </w:rPr>
        <w:t>,</w:t>
      </w:r>
      <w:r>
        <w:rPr>
          <w:szCs w:val="24"/>
        </w:rPr>
        <w:t xml:space="preserve"> to </w:t>
      </w:r>
      <w:r w:rsidR="008C726C">
        <w:rPr>
          <w:szCs w:val="24"/>
        </w:rPr>
        <w:t xml:space="preserve">each </w:t>
      </w:r>
      <w:r>
        <w:rPr>
          <w:szCs w:val="24"/>
        </w:rPr>
        <w:t>prepare a response and interference analysis</w:t>
      </w:r>
      <w:r w:rsidR="00822460">
        <w:rPr>
          <w:szCs w:val="24"/>
        </w:rPr>
        <w:t>,</w:t>
      </w:r>
      <w:r>
        <w:rPr>
          <w:szCs w:val="24"/>
        </w:rPr>
        <w:t xml:space="preserve"> and that all will use </w:t>
      </w:r>
      <w:r w:rsidR="00822460">
        <w:rPr>
          <w:szCs w:val="24"/>
        </w:rPr>
        <w:t xml:space="preserve">in house staff </w:t>
      </w:r>
      <w:r>
        <w:rPr>
          <w:szCs w:val="24"/>
        </w:rPr>
        <w:t xml:space="preserve">to prepare their </w:t>
      </w:r>
      <w:r w:rsidR="00822460">
        <w:rPr>
          <w:szCs w:val="24"/>
        </w:rPr>
        <w:t xml:space="preserve">respective </w:t>
      </w:r>
      <w:r>
        <w:rPr>
          <w:szCs w:val="24"/>
        </w:rPr>
        <w:t>submission</w:t>
      </w:r>
      <w:r w:rsidR="00822460">
        <w:rPr>
          <w:szCs w:val="24"/>
        </w:rPr>
        <w:t>s</w:t>
      </w:r>
      <w:r>
        <w:rPr>
          <w:szCs w:val="24"/>
        </w:rPr>
        <w:t xml:space="preserve"> in each instance.  Although there are numerous other cellular carriers, the record does not support a conclusion that they are other than </w:t>
      </w:r>
      <w:r>
        <w:rPr>
          <w:i/>
          <w:szCs w:val="24"/>
        </w:rPr>
        <w:t xml:space="preserve">de minimis </w:t>
      </w:r>
      <w:r>
        <w:rPr>
          <w:szCs w:val="24"/>
        </w:rPr>
        <w:t>sources of interference.  Each response and analysis should take an average of approximately 8 hours to prepare.</w:t>
      </w:r>
      <w:r w:rsidR="008518DF">
        <w:rPr>
          <w:szCs w:val="24"/>
        </w:rPr>
        <w:t xml:space="preserve"> </w:t>
      </w:r>
      <w:r>
        <w:rPr>
          <w:szCs w:val="24"/>
        </w:rPr>
        <w:t xml:space="preserve"> Based on data extrapolated from the electronic notification system for interference complaints, the number of such complaints is reported to be </w:t>
      </w:r>
      <w:r w:rsidRPr="00756888">
        <w:rPr>
          <w:szCs w:val="24"/>
        </w:rPr>
        <w:t xml:space="preserve">approximately </w:t>
      </w:r>
      <w:r w:rsidRPr="00756888" w:rsidR="001D5C75">
        <w:rPr>
          <w:color w:val="000000"/>
        </w:rPr>
        <w:t xml:space="preserve">17 </w:t>
      </w:r>
      <w:r w:rsidRPr="00756888">
        <w:rPr>
          <w:szCs w:val="24"/>
        </w:rPr>
        <w:t>incidents</w:t>
      </w:r>
      <w:r w:rsidRPr="00756888" w:rsidR="007C4646">
        <w:rPr>
          <w:szCs w:val="24"/>
        </w:rPr>
        <w:t xml:space="preserve">, down from </w:t>
      </w:r>
      <w:r w:rsidRPr="00756888" w:rsidR="001D5C75">
        <w:rPr>
          <w:szCs w:val="24"/>
        </w:rPr>
        <w:t>29</w:t>
      </w:r>
      <w:r w:rsidRPr="00756888" w:rsidR="008C6184">
        <w:rPr>
          <w:szCs w:val="24"/>
        </w:rPr>
        <w:t xml:space="preserve"> </w:t>
      </w:r>
      <w:r w:rsidRPr="00756888" w:rsidR="007C4646">
        <w:rPr>
          <w:szCs w:val="24"/>
        </w:rPr>
        <w:t xml:space="preserve">incidents reported in </w:t>
      </w:r>
      <w:r w:rsidRPr="00756888" w:rsidR="001D5C75">
        <w:rPr>
          <w:szCs w:val="24"/>
        </w:rPr>
        <w:t>2019</w:t>
      </w:r>
      <w:r w:rsidRPr="00756888">
        <w:rPr>
          <w:szCs w:val="24"/>
        </w:rPr>
        <w:t>.</w:t>
      </w:r>
    </w:p>
    <w:p w:rsidR="00941282" w14:paraId="57312891" w14:textId="77777777">
      <w:pPr>
        <w:tabs>
          <w:tab w:val="left" w:pos="0"/>
        </w:tabs>
        <w:suppressAutoHyphens/>
        <w:jc w:val="both"/>
        <w:rPr>
          <w:szCs w:val="24"/>
        </w:rPr>
      </w:pPr>
    </w:p>
    <w:p w:rsidR="00941282" w:rsidP="00F16B90" w14:paraId="13EE3445" w14:textId="0C330F96">
      <w:pPr>
        <w:tabs>
          <w:tab w:val="left" w:pos="0"/>
        </w:tabs>
        <w:suppressAutoHyphens/>
        <w:ind w:left="720"/>
        <w:jc w:val="both"/>
        <w:rPr>
          <w:szCs w:val="24"/>
        </w:rPr>
      </w:pPr>
      <w:r>
        <w:rPr>
          <w:b/>
          <w:szCs w:val="24"/>
        </w:rPr>
        <w:t>3</w:t>
      </w:r>
      <w:r w:rsidR="00E83573">
        <w:rPr>
          <w:b/>
          <w:szCs w:val="24"/>
        </w:rPr>
        <w:t xml:space="preserve"> </w:t>
      </w:r>
      <w:r w:rsidRPr="007C648C">
        <w:rPr>
          <w:b/>
          <w:szCs w:val="24"/>
        </w:rPr>
        <w:t xml:space="preserve">carriers x estimated </w:t>
      </w:r>
      <w:r w:rsidR="00D24B66">
        <w:rPr>
          <w:b/>
          <w:szCs w:val="24"/>
        </w:rPr>
        <w:t>5.8</w:t>
      </w:r>
      <w:r w:rsidRPr="007C648C" w:rsidR="00324151">
        <w:rPr>
          <w:b/>
          <w:szCs w:val="24"/>
        </w:rPr>
        <w:t xml:space="preserve"> </w:t>
      </w:r>
      <w:r w:rsidRPr="007C648C">
        <w:rPr>
          <w:b/>
          <w:szCs w:val="24"/>
        </w:rPr>
        <w:t xml:space="preserve">incidents per carrier </w:t>
      </w:r>
      <w:r w:rsidRPr="000A63A5">
        <w:rPr>
          <w:b/>
          <w:szCs w:val="24"/>
        </w:rPr>
        <w:t>(</w:t>
      </w:r>
      <w:r w:rsidRPr="000A63A5" w:rsidR="004051B8">
        <w:rPr>
          <w:b/>
          <w:szCs w:val="24"/>
        </w:rPr>
        <w:t xml:space="preserve">17 </w:t>
      </w:r>
      <w:r w:rsidRPr="000A63A5">
        <w:rPr>
          <w:b/>
          <w:szCs w:val="24"/>
        </w:rPr>
        <w:t>total incidents</w:t>
      </w:r>
      <w:r w:rsidRPr="007C648C">
        <w:rPr>
          <w:b/>
          <w:szCs w:val="24"/>
        </w:rPr>
        <w:t xml:space="preserve">) x 8 hours = </w:t>
      </w:r>
      <w:r>
        <w:rPr>
          <w:b/>
          <w:szCs w:val="24"/>
        </w:rPr>
        <w:t xml:space="preserve"> </w:t>
      </w:r>
      <w:r w:rsidR="004051B8">
        <w:rPr>
          <w:b/>
          <w:szCs w:val="24"/>
        </w:rPr>
        <w:t>136</w:t>
      </w:r>
      <w:r w:rsidRPr="00D67CF4" w:rsidR="00D24B66">
        <w:rPr>
          <w:b/>
          <w:szCs w:val="24"/>
        </w:rPr>
        <w:t xml:space="preserve"> </w:t>
      </w:r>
      <w:r w:rsidRPr="00D67CF4">
        <w:rPr>
          <w:b/>
          <w:szCs w:val="24"/>
        </w:rPr>
        <w:t xml:space="preserve">hours </w:t>
      </w:r>
      <w:r w:rsidRPr="007C648C">
        <w:rPr>
          <w:b/>
          <w:szCs w:val="24"/>
        </w:rPr>
        <w:t>total burden.</w:t>
      </w:r>
    </w:p>
    <w:p w:rsidR="00941282" w14:paraId="3457FCA1" w14:textId="77777777">
      <w:pPr>
        <w:pStyle w:val="BodyText"/>
        <w:ind w:left="720"/>
        <w:jc w:val="both"/>
      </w:pPr>
      <w:r>
        <w:rPr>
          <w:szCs w:val="24"/>
        </w:rPr>
        <w:t xml:space="preserve">  </w:t>
      </w:r>
    </w:p>
    <w:p w:rsidR="00941282" w:rsidRPr="000A0C53" w:rsidP="00F16B90" w14:paraId="2E8383DB" w14:textId="2BD760C3">
      <w:pPr>
        <w:tabs>
          <w:tab w:val="left" w:pos="0"/>
        </w:tabs>
        <w:suppressAutoHyphens/>
        <w:ind w:left="720"/>
        <w:jc w:val="both"/>
        <w:rPr>
          <w:bCs/>
          <w:szCs w:val="24"/>
        </w:rPr>
      </w:pPr>
      <w:r w:rsidRPr="00F16B90">
        <w:rPr>
          <w:b/>
          <w:bCs/>
        </w:rPr>
        <w:t xml:space="preserve">c.  </w:t>
      </w:r>
      <w:r w:rsidRPr="00F16B90">
        <w:rPr>
          <w:b/>
          <w:bCs/>
          <w:szCs w:val="24"/>
        </w:rPr>
        <w:t xml:space="preserve">47 </w:t>
      </w:r>
      <w:r w:rsidRPr="00F16B90" w:rsidR="00654B1C">
        <w:rPr>
          <w:b/>
          <w:bCs/>
          <w:szCs w:val="24"/>
        </w:rPr>
        <w:t>CFR</w:t>
      </w:r>
      <w:r w:rsidRPr="00F16B90">
        <w:rPr>
          <w:b/>
          <w:bCs/>
          <w:szCs w:val="24"/>
        </w:rPr>
        <w:t xml:space="preserve"> §§ 22.972(c)(3); 90.674(c)(3).  (Interference Statement to FCC of Imminent Danger)</w:t>
      </w:r>
    </w:p>
    <w:p w:rsidR="00941282" w14:paraId="06663A76" w14:textId="77777777">
      <w:pPr>
        <w:pStyle w:val="Heading1"/>
        <w:widowControl/>
        <w:jc w:val="both"/>
        <w:rPr>
          <w:szCs w:val="24"/>
        </w:rPr>
      </w:pPr>
    </w:p>
    <w:p w:rsidR="00941282" w:rsidRPr="000A0C53" w:rsidP="00F16B90" w14:paraId="1ADD6270" w14:textId="77777777">
      <w:pPr>
        <w:tabs>
          <w:tab w:val="left" w:pos="0"/>
        </w:tabs>
        <w:suppressAutoHyphens/>
        <w:ind w:left="720"/>
        <w:jc w:val="both"/>
        <w:rPr>
          <w:bCs/>
          <w:szCs w:val="24"/>
        </w:rPr>
      </w:pPr>
      <w:r w:rsidRPr="00F16B90">
        <w:rPr>
          <w:b/>
          <w:bCs/>
          <w:szCs w:val="24"/>
        </w:rPr>
        <w:t>Burden Hours of Respondents</w:t>
      </w:r>
    </w:p>
    <w:p w:rsidR="00941282" w14:paraId="3A16248D" w14:textId="77777777">
      <w:pPr>
        <w:tabs>
          <w:tab w:val="left" w:pos="0"/>
        </w:tabs>
        <w:suppressAutoHyphens/>
        <w:jc w:val="both"/>
        <w:rPr>
          <w:b/>
          <w:szCs w:val="24"/>
        </w:rPr>
      </w:pPr>
    </w:p>
    <w:p w:rsidR="00941282" w:rsidP="004F6D5F" w14:paraId="7E850218" w14:textId="60B2CA5D">
      <w:pPr>
        <w:tabs>
          <w:tab w:val="left" w:pos="0"/>
        </w:tabs>
        <w:suppressAutoHyphens/>
        <w:ind w:left="720"/>
        <w:jc w:val="both"/>
        <w:rPr>
          <w:szCs w:val="24"/>
        </w:rPr>
      </w:pPr>
      <w:r>
        <w:rPr>
          <w:szCs w:val="24"/>
        </w:rPr>
        <w:t>In certain instances, a public safety licensee will prepare a written statement when it determines that an interference incident constitutes an imminent danger to safety of life, health, and property</w:t>
      </w:r>
      <w:r w:rsidR="009E55A9">
        <w:rPr>
          <w:szCs w:val="24"/>
        </w:rPr>
        <w:t>,</w:t>
      </w:r>
      <w:r>
        <w:rPr>
          <w:szCs w:val="24"/>
        </w:rPr>
        <w:t xml:space="preserve"> and that all will use in-house staff to prepare the submission.  We anticipate that such determinations will be rare.  The Commission, for purposes of estimating the PRA burdens, predicts that one such interference incident per year affecting one public safety licensee</w:t>
      </w:r>
      <w:r w:rsidR="00990E57">
        <w:rPr>
          <w:szCs w:val="24"/>
        </w:rPr>
        <w:t>,</w:t>
      </w:r>
      <w:r>
        <w:rPr>
          <w:szCs w:val="24"/>
        </w:rPr>
        <w:t xml:space="preserve"> in a public safety region</w:t>
      </w:r>
      <w:r w:rsidR="00401B6D">
        <w:rPr>
          <w:szCs w:val="24"/>
        </w:rPr>
        <w:t>,</w:t>
      </w:r>
      <w:r>
        <w:rPr>
          <w:szCs w:val="24"/>
        </w:rPr>
        <w:t xml:space="preserve"> will occur in each of the nation’s 55 public safety regions. </w:t>
      </w:r>
      <w:r w:rsidR="008518DF">
        <w:rPr>
          <w:szCs w:val="24"/>
        </w:rPr>
        <w:t xml:space="preserve"> </w:t>
      </w:r>
      <w:r>
        <w:rPr>
          <w:szCs w:val="24"/>
        </w:rPr>
        <w:t>The written statement, and the underlying analysis, should take an average of approximately 8 hours to prepare.</w:t>
      </w:r>
    </w:p>
    <w:p w:rsidR="00941282" w14:paraId="4FAE60DB" w14:textId="77777777">
      <w:pPr>
        <w:tabs>
          <w:tab w:val="left" w:pos="0"/>
        </w:tabs>
        <w:suppressAutoHyphens/>
        <w:jc w:val="both"/>
        <w:rPr>
          <w:szCs w:val="24"/>
        </w:rPr>
      </w:pPr>
    </w:p>
    <w:p w:rsidR="00941282" w:rsidP="00115B52" w14:paraId="6FC6A16D" w14:textId="601DE267">
      <w:pPr>
        <w:tabs>
          <w:tab w:val="left" w:pos="0"/>
        </w:tabs>
        <w:suppressAutoHyphens/>
        <w:ind w:left="720"/>
        <w:jc w:val="both"/>
        <w:rPr>
          <w:szCs w:val="24"/>
        </w:rPr>
      </w:pPr>
      <w:r>
        <w:rPr>
          <w:b/>
          <w:szCs w:val="24"/>
        </w:rPr>
        <w:t>1 public safety licensee in each region x 55 public safety regions x 8 hours = 440 hours total burden.</w:t>
      </w:r>
    </w:p>
    <w:p w:rsidR="00941282" w:rsidRPr="00115B52" w14:paraId="322BB3B5" w14:textId="77777777">
      <w:pPr>
        <w:pStyle w:val="BodyText"/>
        <w:jc w:val="both"/>
        <w:rPr>
          <w:b/>
          <w:bCs/>
          <w:szCs w:val="24"/>
        </w:rPr>
      </w:pPr>
    </w:p>
    <w:p w:rsidR="00941282" w:rsidRPr="000A0C53" w:rsidP="00115B52" w14:paraId="5199E9D0" w14:textId="7583673A">
      <w:pPr>
        <w:tabs>
          <w:tab w:val="left" w:pos="0"/>
        </w:tabs>
        <w:suppressAutoHyphens/>
        <w:ind w:left="720"/>
        <w:jc w:val="both"/>
        <w:rPr>
          <w:bCs/>
          <w:szCs w:val="24"/>
        </w:rPr>
      </w:pPr>
      <w:r w:rsidRPr="00115B52">
        <w:rPr>
          <w:b/>
          <w:bCs/>
          <w:szCs w:val="24"/>
        </w:rPr>
        <w:t xml:space="preserve">d. </w:t>
      </w:r>
      <w:r w:rsidRPr="00115B52" w:rsidR="007439F3">
        <w:rPr>
          <w:b/>
          <w:bCs/>
          <w:szCs w:val="24"/>
        </w:rPr>
        <w:t xml:space="preserve"> </w:t>
      </w:r>
      <w:r w:rsidRPr="00115B52">
        <w:rPr>
          <w:b/>
          <w:bCs/>
          <w:szCs w:val="24"/>
        </w:rPr>
        <w:t xml:space="preserve">47 </w:t>
      </w:r>
      <w:r w:rsidRPr="00115B52" w:rsidR="00654B1C">
        <w:rPr>
          <w:b/>
          <w:bCs/>
          <w:szCs w:val="24"/>
        </w:rPr>
        <w:t>CFR</w:t>
      </w:r>
      <w:r w:rsidRPr="00115B52">
        <w:rPr>
          <w:b/>
          <w:bCs/>
          <w:szCs w:val="24"/>
        </w:rPr>
        <w:t xml:space="preserve"> § 22.973(a); 90.675(a).  (Prior Coordination)</w:t>
      </w:r>
    </w:p>
    <w:p w:rsidR="00941282" w:rsidRPr="00115B52" w14:paraId="18ABC035" w14:textId="77777777">
      <w:pPr>
        <w:rPr>
          <w:b/>
          <w:bCs/>
        </w:rPr>
      </w:pPr>
    </w:p>
    <w:p w:rsidR="00941282" w:rsidRPr="000A0C53" w:rsidP="00227BF7" w14:paraId="0FF97D76" w14:textId="77777777">
      <w:pPr>
        <w:tabs>
          <w:tab w:val="left" w:pos="0"/>
        </w:tabs>
        <w:suppressAutoHyphens/>
        <w:ind w:left="720"/>
        <w:jc w:val="both"/>
        <w:rPr>
          <w:bCs/>
          <w:szCs w:val="24"/>
        </w:rPr>
      </w:pPr>
      <w:r w:rsidRPr="00115B52">
        <w:rPr>
          <w:b/>
          <w:bCs/>
          <w:szCs w:val="24"/>
        </w:rPr>
        <w:t>Burden Hours of Respondents</w:t>
      </w:r>
    </w:p>
    <w:p w:rsidR="00941282" w14:paraId="714EC0ED" w14:textId="77777777">
      <w:pPr>
        <w:tabs>
          <w:tab w:val="left" w:pos="0"/>
        </w:tabs>
        <w:suppressAutoHyphens/>
        <w:jc w:val="both"/>
        <w:rPr>
          <w:b/>
          <w:szCs w:val="24"/>
        </w:rPr>
      </w:pPr>
    </w:p>
    <w:p w:rsidR="00941282" w:rsidP="00227BF7" w14:paraId="754C329D" w14:textId="1DE99DD3">
      <w:pPr>
        <w:tabs>
          <w:tab w:val="left" w:pos="0"/>
        </w:tabs>
        <w:suppressAutoHyphens/>
        <w:ind w:left="720"/>
        <w:jc w:val="both"/>
        <w:rPr>
          <w:szCs w:val="24"/>
        </w:rPr>
      </w:pPr>
      <w:r>
        <w:rPr>
          <w:szCs w:val="24"/>
        </w:rPr>
        <w:t xml:space="preserve">The Commission, for purposes of estimating the PRA burdens, predicts that prior coordination filings will affect, at most, </w:t>
      </w:r>
      <w:r w:rsidR="00AE74CD">
        <w:rPr>
          <w:szCs w:val="24"/>
        </w:rPr>
        <w:t xml:space="preserve">three </w:t>
      </w:r>
      <w:r>
        <w:rPr>
          <w:szCs w:val="24"/>
        </w:rPr>
        <w:t xml:space="preserve">of the estimated 50 Cellular carriers and ESMR licensees that are participating in the electronic notification system for filing interference complaints, not all of which are operating in areas in which 800 MHz public safety and CII systems exist.  The estimated number of Cellular carriers and ESMR carriers was derived from the electronic notification system website.  We anticipate that the carriers all will use in-house staff to prepare their </w:t>
      </w:r>
      <w:r w:rsidR="00A8787E">
        <w:rPr>
          <w:szCs w:val="24"/>
        </w:rPr>
        <w:t xml:space="preserve">respective </w:t>
      </w:r>
      <w:r>
        <w:rPr>
          <w:szCs w:val="24"/>
        </w:rPr>
        <w:t>submission</w:t>
      </w:r>
      <w:r w:rsidR="004B099A">
        <w:rPr>
          <w:szCs w:val="24"/>
        </w:rPr>
        <w:t>s</w:t>
      </w:r>
      <w:r>
        <w:rPr>
          <w:szCs w:val="24"/>
        </w:rPr>
        <w:t xml:space="preserve">.  The prior coordination response should </w:t>
      </w:r>
      <w:r w:rsidR="004B099A">
        <w:rPr>
          <w:szCs w:val="24"/>
        </w:rPr>
        <w:t xml:space="preserve">each </w:t>
      </w:r>
      <w:r>
        <w:rPr>
          <w:szCs w:val="24"/>
        </w:rPr>
        <w:t>take an average of approximately 3 hours to prepare.</w:t>
      </w:r>
    </w:p>
    <w:p w:rsidR="00941282" w14:paraId="073EAE3E" w14:textId="77777777">
      <w:pPr>
        <w:tabs>
          <w:tab w:val="left" w:pos="0"/>
        </w:tabs>
        <w:suppressAutoHyphens/>
        <w:jc w:val="both"/>
        <w:rPr>
          <w:szCs w:val="24"/>
        </w:rPr>
      </w:pPr>
    </w:p>
    <w:p w:rsidR="00941282" w:rsidP="00CC72B6" w14:paraId="0AAF4815" w14:textId="01724D20">
      <w:pPr>
        <w:tabs>
          <w:tab w:val="left" w:pos="0"/>
        </w:tabs>
        <w:suppressAutoHyphens/>
        <w:ind w:left="720"/>
        <w:jc w:val="both"/>
        <w:rPr>
          <w:szCs w:val="24"/>
        </w:rPr>
      </w:pPr>
      <w:r>
        <w:rPr>
          <w:szCs w:val="24"/>
        </w:rPr>
        <w:t xml:space="preserve">It is exceptionally difficult to estimate the number of prior coordination reports that will be filed by Cellular/ESMR carriers </w:t>
      </w:r>
      <w:r w:rsidR="004F1331">
        <w:rPr>
          <w:szCs w:val="24"/>
        </w:rPr>
        <w:t>given that</w:t>
      </w:r>
      <w:r>
        <w:rPr>
          <w:szCs w:val="24"/>
        </w:rPr>
        <w:t xml:space="preserve"> </w:t>
      </w:r>
      <w:r w:rsidR="00075F16">
        <w:rPr>
          <w:szCs w:val="24"/>
        </w:rPr>
        <w:t xml:space="preserve">public safety and CII </w:t>
      </w:r>
      <w:r w:rsidR="00307068">
        <w:rPr>
          <w:szCs w:val="24"/>
        </w:rPr>
        <w:t xml:space="preserve">system </w:t>
      </w:r>
      <w:r>
        <w:rPr>
          <w:szCs w:val="24"/>
        </w:rPr>
        <w:t xml:space="preserve">infrastructure </w:t>
      </w:r>
      <w:r w:rsidR="00F77A78">
        <w:rPr>
          <w:szCs w:val="24"/>
        </w:rPr>
        <w:t>are</w:t>
      </w:r>
      <w:r>
        <w:rPr>
          <w:szCs w:val="24"/>
        </w:rPr>
        <w:t xml:space="preserve"> relatively static</w:t>
      </w:r>
      <w:r w:rsidR="00F77A78">
        <w:rPr>
          <w:szCs w:val="24"/>
        </w:rPr>
        <w:t>,</w:t>
      </w:r>
      <w:r>
        <w:rPr>
          <w:szCs w:val="24"/>
        </w:rPr>
        <w:t xml:space="preserve"> </w:t>
      </w:r>
      <w:r w:rsidR="00307068">
        <w:rPr>
          <w:szCs w:val="24"/>
        </w:rPr>
        <w:t xml:space="preserve">while Cellular/ESMR </w:t>
      </w:r>
      <w:r>
        <w:rPr>
          <w:szCs w:val="24"/>
        </w:rPr>
        <w:t xml:space="preserve">infrastructure can change parameters on a daily basis.  However, a very approximate estimate is that, on the average, the operating </w:t>
      </w:r>
      <w:r>
        <w:rPr>
          <w:szCs w:val="24"/>
        </w:rPr>
        <w:t>parameters of a Cellular or ESMR system will change once a week.  Therefore in a given one year period the total hours burden could be</w:t>
      </w:r>
      <w:r w:rsidR="008A2F9B">
        <w:rPr>
          <w:szCs w:val="24"/>
        </w:rPr>
        <w:t>:</w:t>
      </w:r>
    </w:p>
    <w:p w:rsidR="00941282" w14:paraId="016D1304" w14:textId="77777777">
      <w:pPr>
        <w:tabs>
          <w:tab w:val="left" w:pos="0"/>
        </w:tabs>
        <w:suppressAutoHyphens/>
        <w:jc w:val="both"/>
        <w:rPr>
          <w:szCs w:val="24"/>
        </w:rPr>
      </w:pPr>
    </w:p>
    <w:p w:rsidR="00941282" w:rsidP="00CC72B6" w14:paraId="507F3B92" w14:textId="65E442BA">
      <w:pPr>
        <w:tabs>
          <w:tab w:val="left" w:pos="0"/>
        </w:tabs>
        <w:suppressAutoHyphens/>
        <w:ind w:left="720"/>
        <w:jc w:val="both"/>
        <w:rPr>
          <w:b/>
          <w:szCs w:val="24"/>
        </w:rPr>
      </w:pPr>
      <w:r>
        <w:rPr>
          <w:b/>
          <w:szCs w:val="24"/>
        </w:rPr>
        <w:t xml:space="preserve">3 hours per response x 52 responses per carrier x </w:t>
      </w:r>
      <w:r w:rsidRPr="000A63A5" w:rsidR="00870A92">
        <w:rPr>
          <w:b/>
          <w:szCs w:val="24"/>
        </w:rPr>
        <w:t>3</w:t>
      </w:r>
      <w:r w:rsidRPr="000A63A5">
        <w:rPr>
          <w:b/>
          <w:szCs w:val="24"/>
        </w:rPr>
        <w:t xml:space="preserve"> carriers = </w:t>
      </w:r>
      <w:r w:rsidRPr="000A63A5" w:rsidR="00870A92">
        <w:rPr>
          <w:b/>
          <w:szCs w:val="24"/>
        </w:rPr>
        <w:t>468</w:t>
      </w:r>
      <w:r w:rsidRPr="000A63A5">
        <w:rPr>
          <w:b/>
          <w:szCs w:val="24"/>
        </w:rPr>
        <w:t xml:space="preserve"> total annual burden hours.</w:t>
      </w:r>
    </w:p>
    <w:p w:rsidR="00941282" w14:paraId="3C1D35F1" w14:textId="77777777"/>
    <w:p w:rsidR="00941282" w:rsidRPr="000A0C53" w:rsidP="00B8609B" w14:paraId="47AB450D" w14:textId="4980B944">
      <w:pPr>
        <w:tabs>
          <w:tab w:val="left" w:pos="0"/>
        </w:tabs>
        <w:suppressAutoHyphens/>
        <w:ind w:left="720"/>
        <w:jc w:val="both"/>
        <w:rPr>
          <w:bCs/>
          <w:szCs w:val="24"/>
        </w:rPr>
      </w:pPr>
      <w:r w:rsidRPr="00B8609B">
        <w:rPr>
          <w:b/>
          <w:bCs/>
          <w:szCs w:val="24"/>
        </w:rPr>
        <w:t xml:space="preserve">e.  </w:t>
      </w:r>
      <w:bookmarkStart w:id="1" w:name="_Hlk40102468"/>
      <w:r w:rsidRPr="00B8609B">
        <w:rPr>
          <w:b/>
          <w:bCs/>
          <w:szCs w:val="24"/>
        </w:rPr>
        <w:t xml:space="preserve">47 </w:t>
      </w:r>
      <w:r w:rsidRPr="00B8609B" w:rsidR="00654B1C">
        <w:rPr>
          <w:b/>
          <w:bCs/>
          <w:szCs w:val="24"/>
        </w:rPr>
        <w:t>CFR</w:t>
      </w:r>
      <w:r w:rsidRPr="00B8609B">
        <w:rPr>
          <w:b/>
          <w:bCs/>
          <w:szCs w:val="24"/>
        </w:rPr>
        <w:t xml:space="preserve"> 90.674(a); 90.674(a)(1).  (Interference Complaint)</w:t>
      </w:r>
      <w:bookmarkEnd w:id="1"/>
    </w:p>
    <w:p w:rsidR="00941282" w:rsidRPr="007439F3" w14:paraId="1084F026" w14:textId="77777777">
      <w:pPr>
        <w:pStyle w:val="Heading1"/>
        <w:widowControl/>
        <w:jc w:val="both"/>
        <w:rPr>
          <w:bCs/>
          <w:szCs w:val="24"/>
        </w:rPr>
      </w:pPr>
    </w:p>
    <w:p w:rsidR="00941282" w:rsidRPr="000A0C53" w:rsidP="00B8609B" w14:paraId="56FD8EE9" w14:textId="1F894208">
      <w:pPr>
        <w:tabs>
          <w:tab w:val="left" w:pos="0"/>
        </w:tabs>
        <w:suppressAutoHyphens/>
        <w:ind w:left="720"/>
        <w:jc w:val="both"/>
        <w:rPr>
          <w:bCs/>
          <w:szCs w:val="24"/>
        </w:rPr>
      </w:pPr>
      <w:r w:rsidRPr="00B8609B">
        <w:rPr>
          <w:b/>
          <w:bCs/>
          <w:szCs w:val="24"/>
        </w:rPr>
        <w:t>Burden Hours of Respondents</w:t>
      </w:r>
    </w:p>
    <w:p w:rsidR="00941282" w14:paraId="586067D2" w14:textId="77777777">
      <w:pPr>
        <w:pStyle w:val="Heading1"/>
        <w:widowControl/>
        <w:jc w:val="both"/>
      </w:pPr>
    </w:p>
    <w:p w:rsidR="00941282" w:rsidP="00B8609B" w14:paraId="057BC1B4" w14:textId="35FA751B">
      <w:pPr>
        <w:tabs>
          <w:tab w:val="left" w:pos="0"/>
        </w:tabs>
        <w:suppressAutoHyphens/>
        <w:ind w:left="720"/>
        <w:jc w:val="both"/>
        <w:rPr>
          <w:szCs w:val="24"/>
        </w:rPr>
      </w:pPr>
      <w:bookmarkStart w:id="2" w:name="_Hlk40102895"/>
      <w:r>
        <w:rPr>
          <w:szCs w:val="24"/>
        </w:rPr>
        <w:t xml:space="preserve">The Commission, for purposes of estimating the PRA burdens, predicts that each initial notification of interference (interference complaint) will originate from one out of the estimated </w:t>
      </w:r>
      <w:r w:rsidRPr="000A63A5" w:rsidR="006C6C6A">
        <w:rPr>
          <w:szCs w:val="24"/>
        </w:rPr>
        <w:t>4,041</w:t>
      </w:r>
      <w:r>
        <w:rPr>
          <w:szCs w:val="24"/>
        </w:rPr>
        <w:t xml:space="preserve"> 800 MHz licensees, (which include Public Safety, CII, Business, Industrial/Land Transportation and non-cellular Specialized Mobile Radio licensees) and that all will use </w:t>
      </w:r>
      <w:r w:rsidR="00773262">
        <w:rPr>
          <w:szCs w:val="24"/>
        </w:rPr>
        <w:t xml:space="preserve">in-house </w:t>
      </w:r>
      <w:r>
        <w:rPr>
          <w:szCs w:val="24"/>
        </w:rPr>
        <w:t>staff to prepare their</w:t>
      </w:r>
      <w:r w:rsidR="002F2D93">
        <w:rPr>
          <w:szCs w:val="24"/>
        </w:rPr>
        <w:t xml:space="preserve"> respective</w:t>
      </w:r>
      <w:r>
        <w:rPr>
          <w:szCs w:val="24"/>
        </w:rPr>
        <w:t xml:space="preserve"> submission</w:t>
      </w:r>
      <w:r w:rsidR="00393F64">
        <w:rPr>
          <w:szCs w:val="24"/>
        </w:rPr>
        <w:t>s</w:t>
      </w:r>
      <w:r>
        <w:rPr>
          <w:szCs w:val="24"/>
        </w:rPr>
        <w:t>.  The estimated number of 800 MHz licensees was derived from the Commission’s licensing database.</w:t>
      </w:r>
      <w:bookmarkEnd w:id="2"/>
      <w:r>
        <w:rPr>
          <w:szCs w:val="24"/>
        </w:rPr>
        <w:t xml:space="preserve">  The initial notification of interference should take an average of approximately 3 hours to prepare.</w:t>
      </w:r>
    </w:p>
    <w:p w:rsidR="00941282" w14:paraId="77C2C4C5" w14:textId="77777777">
      <w:pPr>
        <w:tabs>
          <w:tab w:val="left" w:pos="0"/>
        </w:tabs>
        <w:suppressAutoHyphens/>
        <w:jc w:val="both"/>
        <w:rPr>
          <w:szCs w:val="24"/>
        </w:rPr>
      </w:pPr>
    </w:p>
    <w:p w:rsidR="00941282" w:rsidP="00B8609B" w14:paraId="0603A41E" w14:textId="6FB6F01D">
      <w:pPr>
        <w:tabs>
          <w:tab w:val="left" w:pos="0"/>
        </w:tabs>
        <w:suppressAutoHyphens/>
        <w:ind w:left="720"/>
        <w:jc w:val="both"/>
        <w:rPr>
          <w:b/>
          <w:szCs w:val="24"/>
        </w:rPr>
      </w:pPr>
      <w:r>
        <w:rPr>
          <w:b/>
          <w:szCs w:val="24"/>
        </w:rPr>
        <w:t>One 800 MHz licensee per incident x 3 hours = 3 hours total burden.</w:t>
      </w:r>
    </w:p>
    <w:p w:rsidR="00941282" w14:paraId="54BBD1C3" w14:textId="77777777">
      <w:pPr>
        <w:tabs>
          <w:tab w:val="left" w:pos="0"/>
        </w:tabs>
        <w:suppressAutoHyphens/>
        <w:jc w:val="both"/>
        <w:rPr>
          <w:b/>
          <w:szCs w:val="24"/>
        </w:rPr>
      </w:pPr>
    </w:p>
    <w:p w:rsidR="00941282" w:rsidP="00B8609B" w14:paraId="446B0EE4" w14:textId="29CC1B6A">
      <w:pPr>
        <w:tabs>
          <w:tab w:val="left" w:pos="0"/>
        </w:tabs>
        <w:suppressAutoHyphens/>
        <w:ind w:left="720"/>
        <w:jc w:val="both"/>
        <w:rPr>
          <w:szCs w:val="24"/>
        </w:rPr>
      </w:pPr>
      <w:r>
        <w:rPr>
          <w:sz w:val="22"/>
          <w:szCs w:val="22"/>
        </w:rPr>
        <w:t xml:space="preserve">Based on data extrapolated from the electronic notification system for interference complaints, the number of such complaints is reported to be </w:t>
      </w:r>
      <w:r w:rsidRPr="00BE63A3">
        <w:rPr>
          <w:sz w:val="22"/>
          <w:szCs w:val="22"/>
        </w:rPr>
        <w:t xml:space="preserve">approximately </w:t>
      </w:r>
      <w:r w:rsidRPr="00BE63A3" w:rsidR="007B2302">
        <w:rPr>
          <w:sz w:val="22"/>
          <w:szCs w:val="22"/>
        </w:rPr>
        <w:t>17</w:t>
      </w:r>
      <w:r w:rsidRPr="00BE63A3" w:rsidR="009C4EDD">
        <w:rPr>
          <w:sz w:val="22"/>
          <w:szCs w:val="22"/>
        </w:rPr>
        <w:t xml:space="preserve"> </w:t>
      </w:r>
      <w:r w:rsidRPr="00BE63A3">
        <w:rPr>
          <w:sz w:val="22"/>
          <w:szCs w:val="22"/>
        </w:rPr>
        <w:t>incidents</w:t>
      </w:r>
      <w:r w:rsidRPr="00BE63A3" w:rsidR="007C4646">
        <w:rPr>
          <w:szCs w:val="24"/>
        </w:rPr>
        <w:t xml:space="preserve">, down from </w:t>
      </w:r>
      <w:r w:rsidRPr="00BE63A3" w:rsidR="007B2302">
        <w:rPr>
          <w:szCs w:val="24"/>
        </w:rPr>
        <w:t>29</w:t>
      </w:r>
      <w:r w:rsidRPr="00BE63A3" w:rsidR="009C4EDD">
        <w:rPr>
          <w:szCs w:val="24"/>
        </w:rPr>
        <w:t xml:space="preserve"> </w:t>
      </w:r>
      <w:r w:rsidRPr="00BE63A3" w:rsidR="007C648C">
        <w:rPr>
          <w:szCs w:val="24"/>
        </w:rPr>
        <w:t xml:space="preserve">incidents reported in </w:t>
      </w:r>
      <w:r w:rsidR="007B2302">
        <w:rPr>
          <w:szCs w:val="24"/>
        </w:rPr>
        <w:t>2019</w:t>
      </w:r>
      <w:r>
        <w:rPr>
          <w:sz w:val="22"/>
          <w:szCs w:val="22"/>
        </w:rPr>
        <w:t xml:space="preserve">.  </w:t>
      </w:r>
      <w:r>
        <w:rPr>
          <w:szCs w:val="24"/>
        </w:rPr>
        <w:t>Therefore the total hours burden could be</w:t>
      </w:r>
      <w:r w:rsidR="008A2F9B">
        <w:rPr>
          <w:szCs w:val="24"/>
        </w:rPr>
        <w:t>:</w:t>
      </w:r>
    </w:p>
    <w:p w:rsidR="00941282" w14:paraId="5A270DA1" w14:textId="77777777">
      <w:pPr>
        <w:tabs>
          <w:tab w:val="left" w:pos="0"/>
        </w:tabs>
        <w:suppressAutoHyphens/>
        <w:jc w:val="both"/>
        <w:rPr>
          <w:szCs w:val="24"/>
        </w:rPr>
      </w:pPr>
    </w:p>
    <w:p w:rsidR="00941282" w:rsidP="00B8609B" w14:paraId="2742BA4C" w14:textId="3DEB5ABE">
      <w:pPr>
        <w:tabs>
          <w:tab w:val="left" w:pos="0"/>
        </w:tabs>
        <w:suppressAutoHyphens/>
        <w:ind w:left="720"/>
        <w:jc w:val="both"/>
        <w:rPr>
          <w:b/>
          <w:szCs w:val="24"/>
        </w:rPr>
      </w:pPr>
      <w:r>
        <w:rPr>
          <w:b/>
          <w:szCs w:val="24"/>
        </w:rPr>
        <w:t xml:space="preserve">3 hours x </w:t>
      </w:r>
      <w:r w:rsidR="007B2302">
        <w:rPr>
          <w:b/>
          <w:szCs w:val="24"/>
        </w:rPr>
        <w:t xml:space="preserve">17 </w:t>
      </w:r>
      <w:r>
        <w:rPr>
          <w:b/>
          <w:szCs w:val="24"/>
        </w:rPr>
        <w:t xml:space="preserve">incidents = </w:t>
      </w:r>
      <w:r w:rsidR="007B2302">
        <w:rPr>
          <w:b/>
          <w:szCs w:val="24"/>
        </w:rPr>
        <w:t xml:space="preserve">51 </w:t>
      </w:r>
      <w:r>
        <w:rPr>
          <w:b/>
          <w:szCs w:val="24"/>
        </w:rPr>
        <w:t>hours total burden.</w:t>
      </w:r>
    </w:p>
    <w:p w:rsidR="00941282" w14:paraId="45F1C329" w14:textId="77777777">
      <w:pPr>
        <w:tabs>
          <w:tab w:val="left" w:pos="0"/>
        </w:tabs>
        <w:suppressAutoHyphens/>
        <w:jc w:val="both"/>
        <w:rPr>
          <w:szCs w:val="24"/>
        </w:rPr>
      </w:pPr>
    </w:p>
    <w:p w:rsidR="00941282" w:rsidP="00B8609B" w14:paraId="66D8D5A8" w14:textId="58F3F0DB">
      <w:pPr>
        <w:tabs>
          <w:tab w:val="left" w:pos="0"/>
        </w:tabs>
        <w:suppressAutoHyphens/>
        <w:ind w:left="720"/>
        <w:jc w:val="both"/>
        <w:rPr>
          <w:b/>
        </w:rPr>
      </w:pPr>
      <w:r>
        <w:rPr>
          <w:b/>
        </w:rPr>
        <w:t xml:space="preserve">f.  </w:t>
      </w:r>
      <w:bookmarkStart w:id="3" w:name="_Hlk40102951"/>
      <w:r>
        <w:rPr>
          <w:b/>
        </w:rPr>
        <w:t xml:space="preserve">47 </w:t>
      </w:r>
      <w:r w:rsidR="00654B1C">
        <w:rPr>
          <w:b/>
        </w:rPr>
        <w:t>CFR</w:t>
      </w:r>
      <w:r>
        <w:rPr>
          <w:b/>
        </w:rPr>
        <w:t xml:space="preserve"> 90.675(c)(1)-(2) (Prior Coordination Response)</w:t>
      </w:r>
      <w:bookmarkEnd w:id="3"/>
    </w:p>
    <w:p w:rsidR="00941282" w:rsidRPr="00B8609B" w14:paraId="27897F1A" w14:textId="77777777">
      <w:pPr>
        <w:rPr>
          <w:b/>
          <w:bCs/>
        </w:rPr>
      </w:pPr>
    </w:p>
    <w:p w:rsidR="00941282" w:rsidRPr="000A0C53" w:rsidP="00B8609B" w14:paraId="60DDBF97" w14:textId="5EF08A15">
      <w:pPr>
        <w:tabs>
          <w:tab w:val="left" w:pos="0"/>
        </w:tabs>
        <w:suppressAutoHyphens/>
        <w:ind w:left="720"/>
        <w:jc w:val="both"/>
        <w:rPr>
          <w:bCs/>
          <w:szCs w:val="24"/>
        </w:rPr>
      </w:pPr>
      <w:r w:rsidRPr="00B8609B">
        <w:rPr>
          <w:b/>
          <w:bCs/>
          <w:szCs w:val="24"/>
        </w:rPr>
        <w:t>Burden Hours of Respondents</w:t>
      </w:r>
    </w:p>
    <w:p w:rsidR="00941282" w:rsidRPr="009A2EB2" w14:paraId="360BF812" w14:textId="77777777">
      <w:pPr>
        <w:pStyle w:val="Heading1"/>
        <w:widowControl/>
        <w:jc w:val="both"/>
        <w:rPr>
          <w:bCs/>
        </w:rPr>
      </w:pPr>
    </w:p>
    <w:p w:rsidR="00941282" w:rsidP="00B8609B" w14:paraId="043899D1" w14:textId="39959EE9">
      <w:pPr>
        <w:tabs>
          <w:tab w:val="left" w:pos="0"/>
        </w:tabs>
        <w:suppressAutoHyphens/>
        <w:ind w:left="720"/>
        <w:jc w:val="both"/>
        <w:rPr>
          <w:szCs w:val="24"/>
        </w:rPr>
      </w:pPr>
      <w:bookmarkStart w:id="4" w:name="_Hlk40102962"/>
      <w:r>
        <w:rPr>
          <w:szCs w:val="24"/>
        </w:rPr>
        <w:t xml:space="preserve">The Commission, for purposes of estimating the PRA burdens, predicts that each prior coordination response will involve, at most, each of the estimated </w:t>
      </w:r>
      <w:r w:rsidR="006C6C6A">
        <w:rPr>
          <w:szCs w:val="24"/>
        </w:rPr>
        <w:t xml:space="preserve"> 2,791</w:t>
      </w:r>
      <w:r>
        <w:rPr>
          <w:szCs w:val="24"/>
        </w:rPr>
        <w:t xml:space="preserve"> 800 MHz Public Safety/CII licensees</w:t>
      </w:r>
      <w:r w:rsidR="00136174">
        <w:rPr>
          <w:szCs w:val="24"/>
        </w:rPr>
        <w:t>,</w:t>
      </w:r>
      <w:r>
        <w:rPr>
          <w:szCs w:val="24"/>
        </w:rPr>
        <w:t xml:space="preserve"> and that all will use in-house staff to prepare their</w:t>
      </w:r>
      <w:r w:rsidR="004A486D">
        <w:rPr>
          <w:szCs w:val="24"/>
        </w:rPr>
        <w:t xml:space="preserve"> respective </w:t>
      </w:r>
      <w:r>
        <w:rPr>
          <w:szCs w:val="24"/>
        </w:rPr>
        <w:t xml:space="preserve"> submission</w:t>
      </w:r>
      <w:r w:rsidR="00E70169">
        <w:rPr>
          <w:szCs w:val="24"/>
        </w:rPr>
        <w:t>s</w:t>
      </w:r>
      <w:r>
        <w:rPr>
          <w:szCs w:val="24"/>
        </w:rPr>
        <w:t xml:space="preserve">.  The estimated number of 800 MHz licensees was derived from the Commission’s licensing database.  </w:t>
      </w:r>
      <w:bookmarkEnd w:id="4"/>
      <w:r>
        <w:rPr>
          <w:szCs w:val="24"/>
        </w:rPr>
        <w:t>The prior coordination response should take an average of approximately 3 hours to prepare.</w:t>
      </w:r>
    </w:p>
    <w:p w:rsidR="00941282" w14:paraId="0A71A126" w14:textId="77777777">
      <w:pPr>
        <w:tabs>
          <w:tab w:val="left" w:pos="0"/>
        </w:tabs>
        <w:suppressAutoHyphens/>
        <w:jc w:val="both"/>
        <w:rPr>
          <w:szCs w:val="24"/>
        </w:rPr>
      </w:pPr>
    </w:p>
    <w:p w:rsidR="00941282" w:rsidP="00B8609B" w14:paraId="443FE773" w14:textId="16F22AA9">
      <w:pPr>
        <w:tabs>
          <w:tab w:val="left" w:pos="0"/>
        </w:tabs>
        <w:suppressAutoHyphens/>
        <w:ind w:left="720"/>
        <w:jc w:val="both"/>
        <w:rPr>
          <w:b/>
          <w:szCs w:val="24"/>
        </w:rPr>
      </w:pPr>
      <w:r>
        <w:rPr>
          <w:b/>
          <w:szCs w:val="24"/>
        </w:rPr>
        <w:t xml:space="preserve"> 2,791 </w:t>
      </w:r>
      <w:r>
        <w:rPr>
          <w:b/>
          <w:szCs w:val="24"/>
        </w:rPr>
        <w:t xml:space="preserve">800 MHz licensees x 3 hours = </w:t>
      </w:r>
      <w:r w:rsidR="000A7A91">
        <w:rPr>
          <w:b/>
          <w:szCs w:val="24"/>
        </w:rPr>
        <w:t xml:space="preserve"> 8,373</w:t>
      </w:r>
      <w:r>
        <w:rPr>
          <w:b/>
          <w:szCs w:val="24"/>
        </w:rPr>
        <w:t xml:space="preserve"> hours total burden</w:t>
      </w:r>
    </w:p>
    <w:p w:rsidR="00941282" w:rsidP="00B8609B" w14:paraId="4F71AB11" w14:textId="77777777">
      <w:pPr>
        <w:tabs>
          <w:tab w:val="left" w:pos="0"/>
        </w:tabs>
        <w:suppressAutoHyphens/>
        <w:ind w:left="720"/>
        <w:jc w:val="both"/>
        <w:rPr>
          <w:szCs w:val="24"/>
        </w:rPr>
      </w:pPr>
    </w:p>
    <w:p w:rsidR="00941282" w:rsidP="00B8609B" w14:paraId="56BC9E0A" w14:textId="72E3A11A">
      <w:pPr>
        <w:tabs>
          <w:tab w:val="left" w:pos="0"/>
        </w:tabs>
        <w:suppressAutoHyphens/>
        <w:ind w:left="720"/>
        <w:jc w:val="both"/>
        <w:rPr>
          <w:szCs w:val="24"/>
        </w:rPr>
      </w:pPr>
      <w:r>
        <w:rPr>
          <w:szCs w:val="24"/>
        </w:rPr>
        <w:t xml:space="preserve">This information collection is required to obtain a benefit.  Upon completion of the band reconfiguration process we anticipate that there will no longer be a need to provide this information. </w:t>
      </w:r>
      <w:r w:rsidR="00E05994">
        <w:rPr>
          <w:szCs w:val="24"/>
        </w:rPr>
        <w:t xml:space="preserve"> </w:t>
      </w:r>
      <w:r w:rsidR="0087700C">
        <w:rPr>
          <w:szCs w:val="24"/>
        </w:rPr>
        <w:t>This rule remains in the CFR.</w:t>
      </w:r>
    </w:p>
    <w:p w:rsidR="00941282" w:rsidP="00B8609B" w14:paraId="4613CD41" w14:textId="77777777">
      <w:pPr>
        <w:pStyle w:val="Heading1"/>
      </w:pPr>
    </w:p>
    <w:p w:rsidR="00941282" w:rsidP="00B8609B" w14:paraId="00B6019F" w14:textId="2B8905D7">
      <w:pPr>
        <w:tabs>
          <w:tab w:val="left" w:pos="360"/>
        </w:tabs>
        <w:ind w:left="1080" w:hanging="360"/>
      </w:pPr>
      <w:r>
        <w:t>Total Burden Hours to collect this information is as follows:</w:t>
      </w:r>
    </w:p>
    <w:p w:rsidR="00941282" w:rsidP="00B8609B" w14:paraId="6168DD6B" w14:textId="77777777">
      <w:pPr>
        <w:ind w:left="720"/>
      </w:pPr>
      <w:r>
        <w:tab/>
      </w:r>
    </w:p>
    <w:p w:rsidR="00864ECA" w:rsidP="00B8609B" w14:paraId="1E4BA7FC" w14:textId="40B29E42">
      <w:pPr>
        <w:ind w:left="1080"/>
      </w:pPr>
      <w:r w:rsidRPr="00864ECA">
        <w:rPr>
          <w:b/>
        </w:rPr>
        <w:t>Total Number of Respondents</w:t>
      </w:r>
      <w:r>
        <w:t>:</w:t>
      </w:r>
      <w:r w:rsidR="00ED09C5">
        <w:t xml:space="preserve"> </w:t>
      </w:r>
      <w:r w:rsidR="000A7A91">
        <w:t xml:space="preserve"> 3 </w:t>
      </w:r>
      <w:r w:rsidRPr="00D67CF4">
        <w:t xml:space="preserve">cellular carriers and ESMR licensees + 55 public safety licensees = </w:t>
      </w:r>
      <w:r w:rsidR="000A7A91">
        <w:rPr>
          <w:b/>
        </w:rPr>
        <w:t>58</w:t>
      </w:r>
      <w:r w:rsidRPr="00D67CF4" w:rsidR="00BB211C">
        <w:rPr>
          <w:b/>
        </w:rPr>
        <w:t xml:space="preserve"> </w:t>
      </w:r>
      <w:r w:rsidRPr="00D67CF4">
        <w:rPr>
          <w:b/>
        </w:rPr>
        <w:t>respondents</w:t>
      </w:r>
      <w:r>
        <w:t>.</w:t>
      </w:r>
    </w:p>
    <w:p w:rsidR="00864ECA" w:rsidP="00B8609B" w14:paraId="57783F05" w14:textId="77777777">
      <w:pPr>
        <w:ind w:left="1080"/>
      </w:pPr>
    </w:p>
    <w:p w:rsidR="00864ECA" w:rsidRPr="00D67CF4" w:rsidP="00B8609B" w14:paraId="3B167FCE" w14:textId="2F05CDBD">
      <w:pPr>
        <w:ind w:left="1080"/>
      </w:pPr>
      <w:r w:rsidRPr="00D67CF4">
        <w:rPr>
          <w:b/>
        </w:rPr>
        <w:t>Total Number of Annual Responses</w:t>
      </w:r>
      <w:r w:rsidRPr="00D67CF4" w:rsidR="00D67CF4">
        <w:t>:</w:t>
      </w:r>
      <w:r w:rsidR="00FE57B0">
        <w:t xml:space="preserve"> </w:t>
      </w:r>
      <w:r w:rsidRPr="00D67CF4" w:rsidR="00D67CF4">
        <w:t xml:space="preserve"> (a) 0 + (b) </w:t>
      </w:r>
      <w:r w:rsidR="00B242AE">
        <w:t>17</w:t>
      </w:r>
      <w:r w:rsidRPr="00D67CF4" w:rsidR="00B242AE">
        <w:t xml:space="preserve"> </w:t>
      </w:r>
      <w:r w:rsidRPr="00D67CF4">
        <w:t xml:space="preserve">+(c) 55 + (d) </w:t>
      </w:r>
      <w:r w:rsidRPr="00D67CF4" w:rsidR="00D67CF4">
        <w:t>52</w:t>
      </w:r>
      <w:r w:rsidRPr="00D67CF4" w:rsidR="00891C8A">
        <w:t xml:space="preserve"> </w:t>
      </w:r>
      <w:r w:rsidRPr="00D67CF4">
        <w:t xml:space="preserve">+ (e) </w:t>
      </w:r>
      <w:r w:rsidR="00B242AE">
        <w:t>17</w:t>
      </w:r>
      <w:r w:rsidRPr="00D67CF4" w:rsidR="00B242AE">
        <w:t xml:space="preserve"> </w:t>
      </w:r>
      <w:r w:rsidRPr="00D67CF4">
        <w:t xml:space="preserve">+ (f) </w:t>
      </w:r>
      <w:r w:rsidR="000A7A91">
        <w:t xml:space="preserve"> 2,791 </w:t>
      </w:r>
      <w:r w:rsidRPr="00A8573D">
        <w:t xml:space="preserve">+ (g) </w:t>
      </w:r>
      <w:r w:rsidRPr="00C07247" w:rsidR="00041B31">
        <w:t>0</w:t>
      </w:r>
      <w:r w:rsidRPr="00C07247" w:rsidR="00105A01">
        <w:t xml:space="preserve"> </w:t>
      </w:r>
      <w:r w:rsidRPr="00C07247">
        <w:t xml:space="preserve">+ (h) </w:t>
      </w:r>
      <w:r w:rsidRPr="00C07247" w:rsidR="00041B31">
        <w:t>0</w:t>
      </w:r>
      <w:r w:rsidRPr="00A8573D" w:rsidR="00041B31">
        <w:t xml:space="preserve"> </w:t>
      </w:r>
      <w:r w:rsidRPr="00A8573D">
        <w:t xml:space="preserve">+ (i) </w:t>
      </w:r>
      <w:r w:rsidR="00041B31">
        <w:t>0</w:t>
      </w:r>
      <w:r w:rsidRPr="00D67CF4" w:rsidR="00105A01">
        <w:t xml:space="preserve"> </w:t>
      </w:r>
      <w:r w:rsidRPr="00D67CF4">
        <w:t xml:space="preserve">= </w:t>
      </w:r>
      <w:r w:rsidR="00B242AE">
        <w:rPr>
          <w:b/>
        </w:rPr>
        <w:t xml:space="preserve"> 2,932</w:t>
      </w:r>
      <w:r w:rsidR="000A7A91">
        <w:rPr>
          <w:b/>
        </w:rPr>
        <w:t xml:space="preserve"> </w:t>
      </w:r>
      <w:r w:rsidRPr="00D67CF4">
        <w:rPr>
          <w:b/>
        </w:rPr>
        <w:t>responses</w:t>
      </w:r>
      <w:r w:rsidRPr="00D67CF4">
        <w:t>.</w:t>
      </w:r>
    </w:p>
    <w:p w:rsidR="00864ECA" w:rsidRPr="004E1139" w:rsidP="00B8609B" w14:paraId="6931C545" w14:textId="77777777">
      <w:pPr>
        <w:ind w:left="1080"/>
        <w:rPr>
          <w:highlight w:val="yellow"/>
        </w:rPr>
      </w:pPr>
    </w:p>
    <w:p w:rsidR="00864ECA" w:rsidP="00B8609B" w14:paraId="3569D430" w14:textId="4C9D42DE">
      <w:pPr>
        <w:ind w:left="1080"/>
      </w:pPr>
      <w:r w:rsidRPr="00D67CF4">
        <w:rPr>
          <w:b/>
        </w:rPr>
        <w:t>Total Annual Burden Hours</w:t>
      </w:r>
      <w:r w:rsidRPr="00D67CF4">
        <w:t>:</w:t>
      </w:r>
      <w:r w:rsidR="00FE57B0">
        <w:t xml:space="preserve"> </w:t>
      </w:r>
      <w:r w:rsidRPr="00D67CF4" w:rsidR="00F873FB">
        <w:t xml:space="preserve"> (a) </w:t>
      </w:r>
      <w:r w:rsidRPr="00D67CF4" w:rsidR="0027735B">
        <w:t xml:space="preserve">0 </w:t>
      </w:r>
      <w:r w:rsidRPr="00D67CF4" w:rsidR="00F873FB">
        <w:t xml:space="preserve">+ (b) </w:t>
      </w:r>
      <w:r w:rsidR="000A7A91">
        <w:t xml:space="preserve"> </w:t>
      </w:r>
      <w:r w:rsidR="004051B8">
        <w:t>136</w:t>
      </w:r>
      <w:r w:rsidR="000A7A91">
        <w:t xml:space="preserve"> </w:t>
      </w:r>
      <w:r w:rsidRPr="00D67CF4" w:rsidR="00F873FB">
        <w:t xml:space="preserve">+(c) </w:t>
      </w:r>
      <w:r w:rsidRPr="00D67CF4" w:rsidR="00D67CF4">
        <w:t>440</w:t>
      </w:r>
      <w:r w:rsidRPr="00D67CF4" w:rsidR="00891C8A">
        <w:t xml:space="preserve"> </w:t>
      </w:r>
      <w:r w:rsidRPr="00D67CF4" w:rsidR="00F873FB">
        <w:t xml:space="preserve">+ (d) </w:t>
      </w:r>
      <w:r w:rsidR="000A7A91">
        <w:t xml:space="preserve"> 468 </w:t>
      </w:r>
      <w:r w:rsidRPr="00D67CF4" w:rsidR="00F873FB">
        <w:t xml:space="preserve">+ (e) </w:t>
      </w:r>
      <w:r w:rsidR="007B2302">
        <w:t>51</w:t>
      </w:r>
      <w:r w:rsidRPr="00D67CF4" w:rsidR="007B2302">
        <w:t xml:space="preserve"> </w:t>
      </w:r>
      <w:r w:rsidRPr="00D67CF4" w:rsidR="00F873FB">
        <w:t xml:space="preserve">+ (f) </w:t>
      </w:r>
      <w:r w:rsidR="000A7A91">
        <w:t xml:space="preserve"> 8,373 </w:t>
      </w:r>
      <w:r w:rsidRPr="00D67CF4" w:rsidR="00F873FB">
        <w:t xml:space="preserve">+ (g) </w:t>
      </w:r>
      <w:r w:rsidR="006949F0">
        <w:t>0</w:t>
      </w:r>
      <w:r w:rsidRPr="00D67CF4" w:rsidR="00105A01">
        <w:t xml:space="preserve"> </w:t>
      </w:r>
      <w:r w:rsidRPr="00D67CF4" w:rsidR="00F873FB">
        <w:t>+ (h)</w:t>
      </w:r>
      <w:r w:rsidRPr="00D67CF4" w:rsidR="00D67CF4">
        <w:t xml:space="preserve"> </w:t>
      </w:r>
      <w:r w:rsidR="006949F0">
        <w:t>0</w:t>
      </w:r>
      <w:r w:rsidRPr="00D67CF4" w:rsidR="00F873FB">
        <w:t xml:space="preserve"> + (i)</w:t>
      </w:r>
      <w:r w:rsidRPr="00D67CF4" w:rsidR="00891C8A">
        <w:t xml:space="preserve"> </w:t>
      </w:r>
      <w:r w:rsidR="006949F0">
        <w:t>0</w:t>
      </w:r>
      <w:r w:rsidRPr="00D67CF4" w:rsidR="00105A01">
        <w:t xml:space="preserve"> </w:t>
      </w:r>
      <w:r w:rsidRPr="00D67CF4" w:rsidR="00F873FB">
        <w:t xml:space="preserve">= </w:t>
      </w:r>
      <w:r w:rsidR="004051B8">
        <w:rPr>
          <w:b/>
        </w:rPr>
        <w:t xml:space="preserve"> </w:t>
      </w:r>
      <w:r w:rsidR="007B2302">
        <w:rPr>
          <w:b/>
        </w:rPr>
        <w:t xml:space="preserve">9,468 </w:t>
      </w:r>
      <w:r w:rsidRPr="00D67CF4" w:rsidR="00F873FB">
        <w:rPr>
          <w:b/>
        </w:rPr>
        <w:t>hours</w:t>
      </w:r>
      <w:r w:rsidRPr="00D67CF4" w:rsidR="00F873FB">
        <w:t>.</w:t>
      </w:r>
    </w:p>
    <w:p w:rsidR="00887A03" w:rsidP="00B8609B" w14:paraId="37FE1366" w14:textId="77777777">
      <w:pPr>
        <w:ind w:left="1080"/>
      </w:pPr>
    </w:p>
    <w:p w:rsidR="00941282" w:rsidP="00B8609B" w14:paraId="57AFB69B" w14:textId="77777777">
      <w:pPr>
        <w:pStyle w:val="BodyText"/>
        <w:ind w:left="720"/>
        <w:jc w:val="both"/>
        <w:rPr>
          <w:b/>
        </w:rPr>
      </w:pPr>
      <w:r>
        <w:rPr>
          <w:b/>
        </w:rPr>
        <w:t>ESTIMATED IN-HOUSE RESPONDENT COST</w:t>
      </w:r>
    </w:p>
    <w:p w:rsidR="00941282" w:rsidP="00B8609B" w14:paraId="0AFD3B24" w14:textId="77777777">
      <w:pPr>
        <w:pStyle w:val="BodyText"/>
        <w:ind w:left="720"/>
        <w:jc w:val="both"/>
        <w:rPr>
          <w:szCs w:val="24"/>
        </w:rPr>
      </w:pPr>
    </w:p>
    <w:p w:rsidR="00941282" w:rsidP="00B8609B" w14:paraId="2FD29DF5" w14:textId="0CB2A341">
      <w:pPr>
        <w:pStyle w:val="BodyText"/>
        <w:ind w:left="720"/>
        <w:jc w:val="both"/>
        <w:rPr>
          <w:szCs w:val="24"/>
        </w:rPr>
      </w:pPr>
      <w:r>
        <w:rPr>
          <w:szCs w:val="24"/>
        </w:rPr>
        <w:t xml:space="preserve">The total in-house costs are estimated to be </w:t>
      </w:r>
      <w:r w:rsidR="007A6859">
        <w:rPr>
          <w:b/>
        </w:rPr>
        <w:t xml:space="preserve"> $48</w:t>
      </w:r>
      <w:r w:rsidR="00A97668">
        <w:rPr>
          <w:b/>
        </w:rPr>
        <w:t>0,595.58</w:t>
      </w:r>
      <w:r w:rsidR="007A6859">
        <w:rPr>
          <w:b/>
        </w:rPr>
        <w:t xml:space="preserve"> </w:t>
      </w:r>
      <w:r>
        <w:rPr>
          <w:szCs w:val="24"/>
        </w:rPr>
        <w:t>as follows:</w:t>
      </w:r>
    </w:p>
    <w:p w:rsidR="00941282" w:rsidP="00B8609B" w14:paraId="3E029D97" w14:textId="77777777">
      <w:pPr>
        <w:pStyle w:val="BodyText"/>
        <w:ind w:left="720"/>
        <w:jc w:val="both"/>
        <w:rPr>
          <w:szCs w:val="24"/>
        </w:rPr>
      </w:pPr>
    </w:p>
    <w:p w:rsidR="00941282" w:rsidP="00B8609B" w14:paraId="05647EAE" w14:textId="711DFC67">
      <w:pPr>
        <w:pStyle w:val="Heading1"/>
        <w:widowControl/>
        <w:numPr>
          <w:ilvl w:val="0"/>
          <w:numId w:val="22"/>
        </w:numPr>
        <w:jc w:val="both"/>
        <w:rPr>
          <w:szCs w:val="24"/>
        </w:rPr>
      </w:pPr>
      <w:r>
        <w:t xml:space="preserve">47 </w:t>
      </w:r>
      <w:r w:rsidR="00654B1C">
        <w:t>CFR</w:t>
      </w:r>
      <w:r>
        <w:t xml:space="preserve"> § 22.972(a)(2); 90.674(a)(2).  (</w:t>
      </w:r>
      <w:r>
        <w:rPr>
          <w:szCs w:val="24"/>
        </w:rPr>
        <w:t>Electronic Notification System)</w:t>
      </w:r>
    </w:p>
    <w:p w:rsidR="00941282" w:rsidP="00B8609B" w14:paraId="7B5C7DFF" w14:textId="77777777">
      <w:pPr>
        <w:tabs>
          <w:tab w:val="left" w:pos="0"/>
        </w:tabs>
        <w:suppressAutoHyphens/>
        <w:ind w:left="720"/>
        <w:jc w:val="both"/>
        <w:rPr>
          <w:szCs w:val="24"/>
        </w:rPr>
      </w:pPr>
    </w:p>
    <w:p w:rsidR="00941282" w:rsidP="00B8609B" w14:paraId="265AA6F6" w14:textId="77777777">
      <w:pPr>
        <w:pStyle w:val="Heading3"/>
        <w:numPr>
          <w:ilvl w:val="0"/>
          <w:numId w:val="0"/>
        </w:numPr>
        <w:ind w:left="720"/>
        <w:jc w:val="both"/>
        <w:rPr>
          <w:szCs w:val="24"/>
        </w:rPr>
      </w:pPr>
      <w:r>
        <w:rPr>
          <w:szCs w:val="24"/>
        </w:rPr>
        <w:t>Burden Costs of Respondents</w:t>
      </w:r>
    </w:p>
    <w:p w:rsidR="00941282" w:rsidP="00B8609B" w14:paraId="7EC3E0A3" w14:textId="77777777">
      <w:pPr>
        <w:pStyle w:val="Heading3"/>
        <w:numPr>
          <w:ilvl w:val="0"/>
          <w:numId w:val="0"/>
        </w:numPr>
        <w:ind w:left="720"/>
        <w:jc w:val="both"/>
        <w:rPr>
          <w:szCs w:val="24"/>
        </w:rPr>
      </w:pPr>
    </w:p>
    <w:p w:rsidR="00941282" w:rsidP="00B8609B" w14:paraId="3B8DD30A" w14:textId="77777777">
      <w:pPr>
        <w:pStyle w:val="ParaNumCharCharCharCharCharCharCharCharCharCharCharChar1"/>
        <w:ind w:left="720" w:firstLine="0"/>
        <w:rPr>
          <w:sz w:val="24"/>
          <w:szCs w:val="24"/>
        </w:rPr>
      </w:pPr>
      <w:r>
        <w:rPr>
          <w:sz w:val="24"/>
          <w:szCs w:val="24"/>
        </w:rPr>
        <w:t>The Commission directed Cellular carriers and ESMR licensees to establish, at their expense, an electronic notification system to receive interference complaints.  The electronic notification system -- which is an email box -- has been established and therefore there is no need to recreate the electronic notification system now that it is active.</w:t>
      </w:r>
    </w:p>
    <w:p w:rsidR="00941282" w:rsidP="00B8609B" w14:paraId="4AE5E9FE" w14:textId="592B9386">
      <w:pPr>
        <w:pStyle w:val="Heading1"/>
        <w:widowControl/>
        <w:numPr>
          <w:ilvl w:val="0"/>
          <w:numId w:val="22"/>
        </w:numPr>
        <w:jc w:val="both"/>
        <w:rPr>
          <w:szCs w:val="24"/>
        </w:rPr>
      </w:pPr>
      <w:r>
        <w:rPr>
          <w:szCs w:val="24"/>
        </w:rPr>
        <w:t xml:space="preserve">47 </w:t>
      </w:r>
      <w:r w:rsidR="00654B1C">
        <w:rPr>
          <w:szCs w:val="24"/>
        </w:rPr>
        <w:t>CFR</w:t>
      </w:r>
      <w:r>
        <w:rPr>
          <w:szCs w:val="24"/>
        </w:rPr>
        <w:t xml:space="preserve"> §§ 22.972(a)(3), (b); 90.674(a)(3), (b).  (Interference Response).</w:t>
      </w:r>
    </w:p>
    <w:p w:rsidR="00941282" w:rsidP="00B8609B" w14:paraId="714E9A6D" w14:textId="77777777">
      <w:pPr>
        <w:tabs>
          <w:tab w:val="left" w:pos="0"/>
        </w:tabs>
        <w:suppressAutoHyphens/>
        <w:ind w:left="720"/>
        <w:jc w:val="both"/>
        <w:rPr>
          <w:szCs w:val="24"/>
        </w:rPr>
      </w:pPr>
    </w:p>
    <w:p w:rsidR="00941282" w:rsidP="00B8609B" w14:paraId="6F8729AD" w14:textId="77777777">
      <w:pPr>
        <w:pStyle w:val="Heading3"/>
        <w:numPr>
          <w:ilvl w:val="0"/>
          <w:numId w:val="0"/>
        </w:numPr>
        <w:ind w:left="720"/>
        <w:jc w:val="both"/>
        <w:rPr>
          <w:szCs w:val="24"/>
        </w:rPr>
      </w:pPr>
      <w:r>
        <w:rPr>
          <w:szCs w:val="24"/>
        </w:rPr>
        <w:t>Burden Costs of Respondents</w:t>
      </w:r>
    </w:p>
    <w:p w:rsidR="00941282" w:rsidP="00B8609B" w14:paraId="2F56C936" w14:textId="77777777">
      <w:pPr>
        <w:pStyle w:val="Heading3"/>
        <w:numPr>
          <w:ilvl w:val="0"/>
          <w:numId w:val="0"/>
        </w:numPr>
        <w:ind w:left="720"/>
        <w:jc w:val="both"/>
        <w:rPr>
          <w:szCs w:val="24"/>
        </w:rPr>
      </w:pPr>
    </w:p>
    <w:p w:rsidR="00941282" w:rsidP="00B8609B" w14:paraId="2F71DDBB" w14:textId="0CBA63C7">
      <w:pPr>
        <w:pStyle w:val="BodyText"/>
        <w:ind w:left="720"/>
        <w:jc w:val="both"/>
      </w:pPr>
      <w:r>
        <w:t xml:space="preserve">The Commission estimates that all of the Cellular carriers and ESMR licensees will </w:t>
      </w:r>
      <w:r w:rsidR="00412D58">
        <w:t xml:space="preserve">each </w:t>
      </w:r>
      <w:r>
        <w:t xml:space="preserve">use a staff </w:t>
      </w:r>
      <w:r w:rsidR="004308D9">
        <w:t xml:space="preserve">electronics </w:t>
      </w:r>
      <w:r>
        <w:t>engineer</w:t>
      </w:r>
      <w:r w:rsidR="009B11AA">
        <w:t>,</w:t>
      </w:r>
      <w:r>
        <w:t xml:space="preserve"> at approximately $</w:t>
      </w:r>
      <w:r w:rsidR="00A202E6">
        <w:t>50.76</w:t>
      </w:r>
      <w:r>
        <w:t xml:space="preserve"> per hour</w:t>
      </w:r>
      <w:r w:rsidR="009B11AA">
        <w:t>,</w:t>
      </w:r>
      <w:r>
        <w:t xml:space="preserve"> to draft </w:t>
      </w:r>
      <w:r w:rsidR="009B11AA">
        <w:t>their respective</w:t>
      </w:r>
      <w:r>
        <w:t xml:space="preserve"> interference response</w:t>
      </w:r>
      <w:r w:rsidR="007A08F0">
        <w:t>s</w:t>
      </w:r>
      <w:r>
        <w:t xml:space="preserve"> and analys</w:t>
      </w:r>
      <w:r w:rsidR="007A08F0">
        <w:t>e</w:t>
      </w:r>
      <w:r>
        <w:t>s.  If each response takes about 8 hours to prepare, then the cost per submission will be $</w:t>
      </w:r>
      <w:r w:rsidR="00A202E6">
        <w:t>50.76</w:t>
      </w:r>
      <w:r>
        <w:t xml:space="preserve"> x 8 hours = $</w:t>
      </w:r>
      <w:r w:rsidR="00216BE9">
        <w:t>406.08</w:t>
      </w:r>
      <w:r>
        <w:t xml:space="preserve"> burden per response.</w:t>
      </w:r>
    </w:p>
    <w:p w:rsidR="00941282" w:rsidP="00B8609B" w14:paraId="3E5422DB" w14:textId="77777777">
      <w:pPr>
        <w:pStyle w:val="BodyText"/>
        <w:ind w:left="720"/>
        <w:jc w:val="both"/>
      </w:pPr>
    </w:p>
    <w:p w:rsidR="00941282" w:rsidP="00B8609B" w14:paraId="3CC9EFD2" w14:textId="3C2DB50D">
      <w:pPr>
        <w:tabs>
          <w:tab w:val="left" w:pos="0"/>
        </w:tabs>
        <w:suppressAutoHyphens/>
        <w:ind w:left="720"/>
        <w:jc w:val="both"/>
        <w:rPr>
          <w:szCs w:val="24"/>
        </w:rPr>
      </w:pPr>
      <w:r>
        <w:rPr>
          <w:szCs w:val="24"/>
        </w:rPr>
        <w:t>Based on data extrapolated from the electronic notification system for interference complaints</w:t>
      </w:r>
      <w:r w:rsidRPr="000A63A5">
        <w:rPr>
          <w:szCs w:val="24"/>
        </w:rPr>
        <w:t xml:space="preserve">, </w:t>
      </w:r>
      <w:r w:rsidRPr="005B02D2">
        <w:rPr>
          <w:szCs w:val="24"/>
        </w:rPr>
        <w:t xml:space="preserve">approximately </w:t>
      </w:r>
      <w:r w:rsidRPr="005B02D2" w:rsidR="007B2302">
        <w:rPr>
          <w:szCs w:val="24"/>
        </w:rPr>
        <w:t xml:space="preserve">17 </w:t>
      </w:r>
      <w:r w:rsidRPr="005B02D2">
        <w:rPr>
          <w:szCs w:val="24"/>
        </w:rPr>
        <w:t>incidents of interference involving cellular/ESMR carriers were reported</w:t>
      </w:r>
      <w:r w:rsidRPr="005B02D2" w:rsidR="004E1139">
        <w:rPr>
          <w:szCs w:val="24"/>
        </w:rPr>
        <w:t xml:space="preserve">, down from </w:t>
      </w:r>
      <w:r w:rsidRPr="005B02D2" w:rsidR="007B2302">
        <w:rPr>
          <w:szCs w:val="24"/>
        </w:rPr>
        <w:t>29</w:t>
      </w:r>
      <w:r w:rsidRPr="005B02D2" w:rsidR="00F50BE2">
        <w:rPr>
          <w:szCs w:val="24"/>
        </w:rPr>
        <w:t xml:space="preserve"> </w:t>
      </w:r>
      <w:r w:rsidRPr="005B02D2" w:rsidR="004E1139">
        <w:rPr>
          <w:szCs w:val="24"/>
        </w:rPr>
        <w:t xml:space="preserve">in </w:t>
      </w:r>
      <w:r w:rsidR="007B2302">
        <w:rPr>
          <w:szCs w:val="24"/>
        </w:rPr>
        <w:t>2019</w:t>
      </w:r>
      <w:r>
        <w:rPr>
          <w:szCs w:val="24"/>
        </w:rPr>
        <w:t>.</w:t>
      </w:r>
    </w:p>
    <w:p w:rsidR="00941282" w:rsidP="00B8609B" w14:paraId="2A0210F9" w14:textId="77777777">
      <w:pPr>
        <w:tabs>
          <w:tab w:val="left" w:pos="0"/>
        </w:tabs>
        <w:suppressAutoHyphens/>
        <w:ind w:left="720"/>
        <w:jc w:val="both"/>
        <w:rPr>
          <w:szCs w:val="24"/>
        </w:rPr>
      </w:pPr>
    </w:p>
    <w:p w:rsidR="00941282" w:rsidP="00B8609B" w14:paraId="2C51F773" w14:textId="059A9CA3">
      <w:pPr>
        <w:tabs>
          <w:tab w:val="left" w:pos="0"/>
        </w:tabs>
        <w:suppressAutoHyphens/>
        <w:ind w:left="720"/>
        <w:jc w:val="both"/>
        <w:rPr>
          <w:b/>
          <w:szCs w:val="24"/>
        </w:rPr>
      </w:pPr>
      <w:r>
        <w:rPr>
          <w:b/>
          <w:szCs w:val="24"/>
        </w:rPr>
        <w:t>The total cost burden could be $</w:t>
      </w:r>
      <w:r w:rsidR="00216BE9">
        <w:rPr>
          <w:b/>
          <w:szCs w:val="24"/>
        </w:rPr>
        <w:t>406.08</w:t>
      </w:r>
      <w:r>
        <w:rPr>
          <w:b/>
          <w:szCs w:val="24"/>
        </w:rPr>
        <w:t xml:space="preserve"> x </w:t>
      </w:r>
      <w:r w:rsidR="0063690B">
        <w:rPr>
          <w:b/>
          <w:szCs w:val="24"/>
        </w:rPr>
        <w:t>17</w:t>
      </w:r>
      <w:r w:rsidR="00F50BE2">
        <w:rPr>
          <w:b/>
          <w:szCs w:val="24"/>
        </w:rPr>
        <w:t xml:space="preserve"> </w:t>
      </w:r>
      <w:r>
        <w:rPr>
          <w:b/>
          <w:szCs w:val="24"/>
        </w:rPr>
        <w:t xml:space="preserve">incidents = </w:t>
      </w:r>
      <w:r w:rsidR="00097223">
        <w:rPr>
          <w:b/>
          <w:szCs w:val="24"/>
        </w:rPr>
        <w:t>$6,903.36</w:t>
      </w:r>
    </w:p>
    <w:p w:rsidR="00941282" w:rsidP="00B8609B" w14:paraId="5F8ECC32" w14:textId="77777777">
      <w:pPr>
        <w:tabs>
          <w:tab w:val="left" w:pos="0"/>
        </w:tabs>
        <w:suppressAutoHyphens/>
        <w:ind w:left="720"/>
        <w:jc w:val="both"/>
        <w:rPr>
          <w:szCs w:val="24"/>
        </w:rPr>
      </w:pPr>
    </w:p>
    <w:p w:rsidR="00941282" w:rsidP="00B8609B" w14:paraId="043C76B4" w14:textId="08F4DF9F">
      <w:pPr>
        <w:pStyle w:val="BodyText"/>
        <w:ind w:left="720"/>
        <w:jc w:val="both"/>
        <w:rPr>
          <w:szCs w:val="24"/>
        </w:rPr>
      </w:pPr>
      <w:r>
        <w:rPr>
          <w:szCs w:val="24"/>
        </w:rPr>
        <w:t>We anticipate a dramatic reduction in the number of interference incidents after completion of band reconfiguration, thus reducing the number of instances requiring an interference response and analysis.</w:t>
      </w:r>
    </w:p>
    <w:p w:rsidR="00941282" w:rsidP="00B8609B" w14:paraId="1EA29762" w14:textId="245B9687">
      <w:pPr>
        <w:pStyle w:val="BodyText"/>
        <w:jc w:val="both"/>
      </w:pPr>
    </w:p>
    <w:p w:rsidR="00941282" w:rsidP="00B8609B" w14:paraId="5E9642B9" w14:textId="0696B8B7">
      <w:pPr>
        <w:pStyle w:val="Heading1"/>
        <w:widowControl/>
        <w:numPr>
          <w:ilvl w:val="0"/>
          <w:numId w:val="22"/>
        </w:numPr>
        <w:jc w:val="both"/>
        <w:rPr>
          <w:szCs w:val="24"/>
        </w:rPr>
      </w:pPr>
      <w:r>
        <w:rPr>
          <w:szCs w:val="24"/>
        </w:rPr>
        <w:t xml:space="preserve">47 </w:t>
      </w:r>
      <w:r w:rsidR="00654B1C">
        <w:rPr>
          <w:szCs w:val="24"/>
        </w:rPr>
        <w:t>CFR</w:t>
      </w:r>
      <w:r>
        <w:rPr>
          <w:szCs w:val="24"/>
        </w:rPr>
        <w:t xml:space="preserve"> §§ 22.972(c)(3); 90.674(c)(3).</w:t>
      </w:r>
      <w:r w:rsidR="003605D9">
        <w:rPr>
          <w:szCs w:val="24"/>
        </w:rPr>
        <w:t xml:space="preserve">  </w:t>
      </w:r>
      <w:r>
        <w:rPr>
          <w:szCs w:val="24"/>
        </w:rPr>
        <w:t>(Interference Statement to FCC of Imminent Danger)</w:t>
      </w:r>
    </w:p>
    <w:p w:rsidR="00941282" w:rsidP="00B8609B" w14:paraId="458A8EEB" w14:textId="77777777">
      <w:pPr>
        <w:tabs>
          <w:tab w:val="left" w:pos="0"/>
        </w:tabs>
        <w:suppressAutoHyphens/>
        <w:ind w:left="720"/>
        <w:jc w:val="both"/>
        <w:rPr>
          <w:szCs w:val="24"/>
        </w:rPr>
      </w:pPr>
    </w:p>
    <w:p w:rsidR="00941282" w:rsidP="00B8609B" w14:paraId="6F99B3CC" w14:textId="77777777">
      <w:pPr>
        <w:pStyle w:val="Heading3"/>
        <w:numPr>
          <w:ilvl w:val="0"/>
          <w:numId w:val="0"/>
        </w:numPr>
        <w:ind w:left="720"/>
        <w:jc w:val="both"/>
        <w:rPr>
          <w:szCs w:val="24"/>
        </w:rPr>
      </w:pPr>
      <w:r>
        <w:rPr>
          <w:szCs w:val="24"/>
        </w:rPr>
        <w:t>Burden Costs of Respondents</w:t>
      </w:r>
    </w:p>
    <w:p w:rsidR="00941282" w:rsidP="00B8609B" w14:paraId="76937E8F" w14:textId="77777777">
      <w:pPr>
        <w:pStyle w:val="Heading3"/>
        <w:numPr>
          <w:ilvl w:val="0"/>
          <w:numId w:val="0"/>
        </w:numPr>
        <w:ind w:left="720"/>
        <w:jc w:val="both"/>
        <w:rPr>
          <w:szCs w:val="24"/>
        </w:rPr>
      </w:pPr>
    </w:p>
    <w:p w:rsidR="00941282" w:rsidP="00B8609B" w14:paraId="136B320E" w14:textId="02E4F99B">
      <w:pPr>
        <w:pStyle w:val="BodyText"/>
        <w:ind w:left="720"/>
        <w:jc w:val="both"/>
        <w:rPr>
          <w:szCs w:val="24"/>
        </w:rPr>
      </w:pPr>
      <w:r>
        <w:rPr>
          <w:szCs w:val="24"/>
        </w:rPr>
        <w:t>The Commission estimates that all 800 MHz Public Safety licensees</w:t>
      </w:r>
      <w:r>
        <w:rPr>
          <w:b/>
          <w:szCs w:val="24"/>
        </w:rPr>
        <w:t xml:space="preserve"> </w:t>
      </w:r>
      <w:r>
        <w:rPr>
          <w:szCs w:val="24"/>
        </w:rPr>
        <w:t>involved in interference incident</w:t>
      </w:r>
      <w:r w:rsidR="00780870">
        <w:rPr>
          <w:szCs w:val="24"/>
        </w:rPr>
        <w:t>s</w:t>
      </w:r>
      <w:r>
        <w:rPr>
          <w:b/>
          <w:szCs w:val="24"/>
        </w:rPr>
        <w:t xml:space="preserve"> </w:t>
      </w:r>
      <w:r>
        <w:rPr>
          <w:szCs w:val="24"/>
        </w:rPr>
        <w:t>will</w:t>
      </w:r>
      <w:r w:rsidR="00780870">
        <w:rPr>
          <w:szCs w:val="24"/>
        </w:rPr>
        <w:t xml:space="preserve"> each</w:t>
      </w:r>
      <w:r>
        <w:rPr>
          <w:szCs w:val="24"/>
        </w:rPr>
        <w:t xml:space="preserve"> use in-house staff</w:t>
      </w:r>
      <w:r w:rsidR="004308D9">
        <w:rPr>
          <w:szCs w:val="24"/>
        </w:rPr>
        <w:t xml:space="preserve"> electronics engineer</w:t>
      </w:r>
      <w:r w:rsidR="00E24E1F">
        <w:rPr>
          <w:szCs w:val="24"/>
        </w:rPr>
        <w:t>s</w:t>
      </w:r>
      <w:r w:rsidR="006B11D9">
        <w:rPr>
          <w:szCs w:val="24"/>
        </w:rPr>
        <w:t>,</w:t>
      </w:r>
      <w:r>
        <w:rPr>
          <w:szCs w:val="24"/>
        </w:rPr>
        <w:t xml:space="preserve"> at approximately $</w:t>
      </w:r>
      <w:r w:rsidR="00A202E6">
        <w:rPr>
          <w:szCs w:val="24"/>
        </w:rPr>
        <w:t>50.76</w:t>
      </w:r>
      <w:r>
        <w:rPr>
          <w:szCs w:val="24"/>
        </w:rPr>
        <w:t xml:space="preserve"> per hour</w:t>
      </w:r>
      <w:r w:rsidR="006B11D9">
        <w:rPr>
          <w:szCs w:val="24"/>
        </w:rPr>
        <w:t>,</w:t>
      </w:r>
      <w:r>
        <w:rPr>
          <w:szCs w:val="24"/>
        </w:rPr>
        <w:t xml:space="preserve"> to draft </w:t>
      </w:r>
      <w:r w:rsidR="006B11D9">
        <w:rPr>
          <w:szCs w:val="24"/>
        </w:rPr>
        <w:t>their respective</w:t>
      </w:r>
      <w:r>
        <w:rPr>
          <w:szCs w:val="24"/>
        </w:rPr>
        <w:t xml:space="preserve"> determination</w:t>
      </w:r>
      <w:r w:rsidR="006B11D9">
        <w:rPr>
          <w:szCs w:val="24"/>
        </w:rPr>
        <w:t>s</w:t>
      </w:r>
      <w:r>
        <w:rPr>
          <w:szCs w:val="24"/>
        </w:rPr>
        <w:t xml:space="preserve"> that interference constitutes an imminent danger to safety of life, health, or property.  If each response takes about 8 hours to prepare, the cost per submission will be $</w:t>
      </w:r>
      <w:r w:rsidR="00A202E6">
        <w:rPr>
          <w:szCs w:val="24"/>
        </w:rPr>
        <w:t>50.76</w:t>
      </w:r>
      <w:r>
        <w:rPr>
          <w:szCs w:val="24"/>
        </w:rPr>
        <w:t xml:space="preserve"> x 8 hours = $</w:t>
      </w:r>
      <w:r w:rsidR="00216BE9">
        <w:rPr>
          <w:szCs w:val="24"/>
        </w:rPr>
        <w:t>406.08</w:t>
      </w:r>
      <w:r w:rsidR="00DE5B2A">
        <w:rPr>
          <w:szCs w:val="24"/>
        </w:rPr>
        <w:t xml:space="preserve"> </w:t>
      </w:r>
      <w:r>
        <w:rPr>
          <w:szCs w:val="24"/>
        </w:rPr>
        <w:t>burden per party.</w:t>
      </w:r>
    </w:p>
    <w:p w:rsidR="00941282" w:rsidP="00B8609B" w14:paraId="126C118A" w14:textId="77777777">
      <w:pPr>
        <w:pStyle w:val="BodyText"/>
        <w:ind w:left="720"/>
        <w:jc w:val="both"/>
        <w:rPr>
          <w:szCs w:val="24"/>
        </w:rPr>
      </w:pPr>
    </w:p>
    <w:p w:rsidR="00941282" w:rsidP="00B8609B" w14:paraId="56E9956D" w14:textId="5D12E617">
      <w:pPr>
        <w:tabs>
          <w:tab w:val="left" w:pos="0"/>
        </w:tabs>
        <w:suppressAutoHyphens/>
        <w:ind w:left="720"/>
        <w:jc w:val="both"/>
        <w:rPr>
          <w:szCs w:val="24"/>
        </w:rPr>
      </w:pPr>
      <w:r>
        <w:rPr>
          <w:szCs w:val="24"/>
        </w:rPr>
        <w:t>We expect such determinations to be rare, approximately one such determination in each of the 55 public safety regions.</w:t>
      </w:r>
      <w:bookmarkStart w:id="5" w:name="a"/>
      <w:bookmarkEnd w:id="5"/>
    </w:p>
    <w:p w:rsidR="00941282" w:rsidP="00B8609B" w14:paraId="5A165C93" w14:textId="77777777">
      <w:pPr>
        <w:tabs>
          <w:tab w:val="left" w:pos="0"/>
        </w:tabs>
        <w:suppressAutoHyphens/>
        <w:ind w:left="720"/>
        <w:jc w:val="both"/>
        <w:rPr>
          <w:szCs w:val="24"/>
        </w:rPr>
      </w:pPr>
    </w:p>
    <w:p w:rsidR="00941282" w:rsidP="00B8609B" w14:paraId="26EA5569" w14:textId="47E22DCE">
      <w:pPr>
        <w:tabs>
          <w:tab w:val="left" w:pos="0"/>
        </w:tabs>
        <w:suppressAutoHyphens/>
        <w:ind w:left="720"/>
        <w:jc w:val="both"/>
        <w:rPr>
          <w:b/>
          <w:szCs w:val="24"/>
        </w:rPr>
      </w:pPr>
      <w:r>
        <w:rPr>
          <w:b/>
          <w:szCs w:val="24"/>
        </w:rPr>
        <w:t>$</w:t>
      </w:r>
      <w:r w:rsidR="00216BE9">
        <w:rPr>
          <w:b/>
          <w:szCs w:val="24"/>
        </w:rPr>
        <w:t>406.08</w:t>
      </w:r>
      <w:r>
        <w:rPr>
          <w:b/>
          <w:szCs w:val="24"/>
        </w:rPr>
        <w:t xml:space="preserve"> x 55 incidents = $</w:t>
      </w:r>
      <w:r w:rsidR="00216BE9">
        <w:rPr>
          <w:b/>
          <w:szCs w:val="24"/>
        </w:rPr>
        <w:t>22,334.40</w:t>
      </w:r>
      <w:r>
        <w:rPr>
          <w:b/>
          <w:szCs w:val="24"/>
        </w:rPr>
        <w:t xml:space="preserve"> total cost burden per year.</w:t>
      </w:r>
    </w:p>
    <w:p w:rsidR="00941282" w:rsidP="00B8609B" w14:paraId="06DB671A" w14:textId="77777777">
      <w:pPr>
        <w:tabs>
          <w:tab w:val="left" w:pos="0"/>
        </w:tabs>
        <w:suppressAutoHyphens/>
        <w:ind w:left="720"/>
        <w:jc w:val="both"/>
        <w:rPr>
          <w:szCs w:val="24"/>
        </w:rPr>
      </w:pPr>
    </w:p>
    <w:p w:rsidR="00941282" w:rsidP="00B8609B" w14:paraId="2A0F0EA3" w14:textId="70594A36">
      <w:pPr>
        <w:pStyle w:val="BodyText"/>
        <w:ind w:left="720"/>
        <w:jc w:val="both"/>
        <w:rPr>
          <w:szCs w:val="24"/>
        </w:rPr>
      </w:pPr>
      <w:r>
        <w:rPr>
          <w:szCs w:val="24"/>
        </w:rPr>
        <w:t>We cannot predict the number of interference incidents in a given area during band reconfiguration, nor how many Public Safety licensees will determine that an interference incident constitutes an imminent threat.  We anticipate, however, a dramatic reduction in the number of interference incidents after completion of band reconfiguration, thus reducing the number of instances that require interference determinations.</w:t>
      </w:r>
    </w:p>
    <w:p w:rsidR="00941282" w:rsidP="00B8609B" w14:paraId="1EB153EA" w14:textId="77777777">
      <w:pPr>
        <w:pStyle w:val="BodyText"/>
        <w:ind w:left="720"/>
        <w:jc w:val="both"/>
        <w:rPr>
          <w:szCs w:val="24"/>
        </w:rPr>
      </w:pPr>
    </w:p>
    <w:p w:rsidR="00941282" w:rsidP="00B8609B" w14:paraId="13ED038A" w14:textId="587300C0">
      <w:pPr>
        <w:pStyle w:val="Heading1"/>
        <w:widowControl/>
        <w:ind w:left="720"/>
        <w:jc w:val="both"/>
        <w:rPr>
          <w:szCs w:val="24"/>
        </w:rPr>
      </w:pPr>
      <w:r>
        <w:rPr>
          <w:szCs w:val="24"/>
        </w:rPr>
        <w:t xml:space="preserve">d.  </w:t>
      </w:r>
      <w:r>
        <w:rPr>
          <w:szCs w:val="24"/>
        </w:rPr>
        <w:t xml:space="preserve">47 </w:t>
      </w:r>
      <w:r w:rsidR="00654B1C">
        <w:rPr>
          <w:szCs w:val="24"/>
        </w:rPr>
        <w:t>CFR</w:t>
      </w:r>
      <w:r>
        <w:rPr>
          <w:szCs w:val="24"/>
        </w:rPr>
        <w:t xml:space="preserve"> § 22.973(a); 90.675(a).  (Prior Coordination)</w:t>
      </w:r>
    </w:p>
    <w:p w:rsidR="00941282" w:rsidP="00B8609B" w14:paraId="06AD7C35" w14:textId="77777777">
      <w:pPr>
        <w:tabs>
          <w:tab w:val="left" w:pos="0"/>
        </w:tabs>
        <w:suppressAutoHyphens/>
        <w:ind w:left="720"/>
        <w:jc w:val="both"/>
        <w:rPr>
          <w:szCs w:val="24"/>
        </w:rPr>
      </w:pPr>
    </w:p>
    <w:p w:rsidR="00941282" w:rsidP="00B8609B" w14:paraId="4882C423" w14:textId="77777777">
      <w:pPr>
        <w:pStyle w:val="Heading3"/>
        <w:numPr>
          <w:ilvl w:val="0"/>
          <w:numId w:val="0"/>
        </w:numPr>
        <w:ind w:left="720"/>
        <w:jc w:val="both"/>
        <w:rPr>
          <w:szCs w:val="24"/>
        </w:rPr>
      </w:pPr>
      <w:r>
        <w:rPr>
          <w:szCs w:val="24"/>
        </w:rPr>
        <w:t>Burden Costs of Respondents</w:t>
      </w:r>
    </w:p>
    <w:p w:rsidR="00941282" w:rsidP="00B8609B" w14:paraId="5BAB461C" w14:textId="77777777">
      <w:pPr>
        <w:pStyle w:val="Heading3"/>
        <w:numPr>
          <w:ilvl w:val="0"/>
          <w:numId w:val="0"/>
        </w:numPr>
        <w:ind w:left="720"/>
        <w:jc w:val="both"/>
        <w:rPr>
          <w:szCs w:val="24"/>
        </w:rPr>
      </w:pPr>
    </w:p>
    <w:p w:rsidR="00941282" w:rsidP="00B8609B" w14:paraId="54AD8061" w14:textId="39E2268B">
      <w:pPr>
        <w:pStyle w:val="BodyText"/>
        <w:ind w:left="720"/>
        <w:jc w:val="both"/>
        <w:rPr>
          <w:szCs w:val="24"/>
        </w:rPr>
      </w:pPr>
      <w:r>
        <w:rPr>
          <w:szCs w:val="24"/>
        </w:rPr>
        <w:t xml:space="preserve">The Commission estimates that all of the Cellular carriers and ESMR licensees will </w:t>
      </w:r>
      <w:r w:rsidR="00E95964">
        <w:rPr>
          <w:szCs w:val="24"/>
        </w:rPr>
        <w:t xml:space="preserve">each </w:t>
      </w:r>
      <w:r>
        <w:rPr>
          <w:szCs w:val="24"/>
        </w:rPr>
        <w:t xml:space="preserve">use a staff </w:t>
      </w:r>
      <w:r w:rsidR="004308D9">
        <w:rPr>
          <w:szCs w:val="24"/>
        </w:rPr>
        <w:t xml:space="preserve">electronics </w:t>
      </w:r>
      <w:r>
        <w:rPr>
          <w:szCs w:val="24"/>
        </w:rPr>
        <w:t>engineer</w:t>
      </w:r>
      <w:r w:rsidR="00E95964">
        <w:rPr>
          <w:szCs w:val="24"/>
        </w:rPr>
        <w:t>,</w:t>
      </w:r>
      <w:r>
        <w:rPr>
          <w:szCs w:val="24"/>
        </w:rPr>
        <w:t xml:space="preserve"> at approximately $</w:t>
      </w:r>
      <w:r w:rsidR="00A202E6">
        <w:rPr>
          <w:szCs w:val="24"/>
        </w:rPr>
        <w:t>50.76</w:t>
      </w:r>
      <w:r>
        <w:rPr>
          <w:szCs w:val="24"/>
        </w:rPr>
        <w:t xml:space="preserve"> per hour</w:t>
      </w:r>
      <w:r w:rsidR="005F512D">
        <w:rPr>
          <w:szCs w:val="24"/>
        </w:rPr>
        <w:t>,</w:t>
      </w:r>
      <w:r>
        <w:rPr>
          <w:szCs w:val="24"/>
        </w:rPr>
        <w:t xml:space="preserve"> to draft their </w:t>
      </w:r>
      <w:r w:rsidR="005F512D">
        <w:rPr>
          <w:szCs w:val="24"/>
        </w:rPr>
        <w:t xml:space="preserve">respective </w:t>
      </w:r>
      <w:r>
        <w:rPr>
          <w:szCs w:val="24"/>
        </w:rPr>
        <w:t>response</w:t>
      </w:r>
      <w:r w:rsidR="005F512D">
        <w:rPr>
          <w:szCs w:val="24"/>
        </w:rPr>
        <w:t>s</w:t>
      </w:r>
      <w:r>
        <w:rPr>
          <w:szCs w:val="24"/>
        </w:rPr>
        <w:t xml:space="preserve"> to a prior coordination request and that there will be an average of one such request per week.  If each response takes about 3 hours to prepare, then the cost per submission will be $</w:t>
      </w:r>
      <w:r w:rsidR="00A202E6">
        <w:rPr>
          <w:szCs w:val="24"/>
        </w:rPr>
        <w:t>50.76</w:t>
      </w:r>
      <w:r>
        <w:rPr>
          <w:szCs w:val="24"/>
        </w:rPr>
        <w:t xml:space="preserve"> x 3 = $</w:t>
      </w:r>
      <w:r w:rsidR="00194584">
        <w:rPr>
          <w:szCs w:val="24"/>
        </w:rPr>
        <w:t>152.28</w:t>
      </w:r>
      <w:r>
        <w:rPr>
          <w:szCs w:val="24"/>
        </w:rPr>
        <w:t>.</w:t>
      </w:r>
    </w:p>
    <w:p w:rsidR="00941282" w:rsidP="00B8609B" w14:paraId="1F22EBC5" w14:textId="77777777">
      <w:pPr>
        <w:pStyle w:val="BodyText"/>
        <w:ind w:left="720"/>
        <w:jc w:val="both"/>
        <w:rPr>
          <w:szCs w:val="24"/>
        </w:rPr>
      </w:pPr>
    </w:p>
    <w:p w:rsidR="00941282" w:rsidP="00B8609B" w14:paraId="19BBB8F0" w14:textId="7D3F74F5">
      <w:pPr>
        <w:tabs>
          <w:tab w:val="left" w:pos="0"/>
        </w:tabs>
        <w:suppressAutoHyphens/>
        <w:ind w:left="720"/>
        <w:jc w:val="both"/>
        <w:rPr>
          <w:szCs w:val="24"/>
        </w:rPr>
      </w:pPr>
      <w:r>
        <w:rPr>
          <w:szCs w:val="24"/>
        </w:rPr>
        <w:t xml:space="preserve">It is exceptionally difficult to estimate the number of prior coordination reports that will be filed by Cellular/ESMR carriers </w:t>
      </w:r>
      <w:r w:rsidR="00F0271C">
        <w:rPr>
          <w:szCs w:val="24"/>
        </w:rPr>
        <w:t>given that</w:t>
      </w:r>
      <w:r>
        <w:rPr>
          <w:szCs w:val="24"/>
        </w:rPr>
        <w:t xml:space="preserve"> </w:t>
      </w:r>
      <w:r w:rsidR="00EF1A04">
        <w:rPr>
          <w:szCs w:val="24"/>
        </w:rPr>
        <w:t>public safety and CII system</w:t>
      </w:r>
      <w:r>
        <w:rPr>
          <w:szCs w:val="24"/>
        </w:rPr>
        <w:t xml:space="preserve"> infrastructure </w:t>
      </w:r>
      <w:r w:rsidR="00F0271C">
        <w:rPr>
          <w:szCs w:val="24"/>
        </w:rPr>
        <w:t>are</w:t>
      </w:r>
      <w:r>
        <w:rPr>
          <w:szCs w:val="24"/>
        </w:rPr>
        <w:t xml:space="preserve"> relatively static</w:t>
      </w:r>
      <w:r w:rsidR="00F0271C">
        <w:rPr>
          <w:szCs w:val="24"/>
        </w:rPr>
        <w:t>,</w:t>
      </w:r>
      <w:r>
        <w:rPr>
          <w:szCs w:val="24"/>
        </w:rPr>
        <w:t xml:space="preserve"> </w:t>
      </w:r>
      <w:r w:rsidR="00EF1A04">
        <w:rPr>
          <w:szCs w:val="24"/>
        </w:rPr>
        <w:t>while Cellular/ESMR</w:t>
      </w:r>
      <w:r>
        <w:rPr>
          <w:szCs w:val="24"/>
        </w:rPr>
        <w:t xml:space="preserve"> infrastructure can change parameters on a daily basis.  However, a very approximate estimate is that, on the average, the operating parameters of a Cellular or ESMR system will change once a week.  Therefore in a given one year period the total estimated cost burden could be</w:t>
      </w:r>
      <w:r w:rsidR="003A3D35">
        <w:rPr>
          <w:szCs w:val="24"/>
        </w:rPr>
        <w:t>:</w:t>
      </w:r>
    </w:p>
    <w:p w:rsidR="00941282" w:rsidP="00B8609B" w14:paraId="51B296E5" w14:textId="77777777">
      <w:pPr>
        <w:tabs>
          <w:tab w:val="left" w:pos="0"/>
        </w:tabs>
        <w:suppressAutoHyphens/>
        <w:ind w:left="720"/>
        <w:jc w:val="both"/>
        <w:rPr>
          <w:szCs w:val="24"/>
        </w:rPr>
      </w:pPr>
    </w:p>
    <w:p w:rsidR="00941282" w:rsidRPr="004A5F1F" w:rsidP="00B8609B" w14:paraId="4B53A283" w14:textId="61C4A8E8">
      <w:pPr>
        <w:tabs>
          <w:tab w:val="left" w:pos="0"/>
        </w:tabs>
        <w:suppressAutoHyphens/>
        <w:ind w:left="720"/>
        <w:jc w:val="both"/>
        <w:rPr>
          <w:szCs w:val="24"/>
        </w:rPr>
      </w:pPr>
      <w:r w:rsidRPr="004A5F1F">
        <w:t>$</w:t>
      </w:r>
      <w:r w:rsidR="00194584">
        <w:t>152.28</w:t>
      </w:r>
      <w:r w:rsidRPr="004A5F1F">
        <w:t xml:space="preserve"> hours x 52 weeks = $</w:t>
      </w:r>
      <w:r w:rsidR="00194584">
        <w:t>7,918</w:t>
      </w:r>
      <w:r w:rsidR="00955CCF">
        <w:t>.56</w:t>
      </w:r>
      <w:r w:rsidRPr="004A5F1F">
        <w:t xml:space="preserve"> total cost burden per carrier over a one year period.</w:t>
      </w:r>
    </w:p>
    <w:p w:rsidR="00941282" w:rsidP="00B8609B" w14:paraId="628E54D4" w14:textId="77777777">
      <w:pPr>
        <w:tabs>
          <w:tab w:val="left" w:pos="0"/>
        </w:tabs>
        <w:suppressAutoHyphens/>
        <w:ind w:left="720"/>
        <w:jc w:val="both"/>
        <w:rPr>
          <w:b/>
          <w:szCs w:val="24"/>
        </w:rPr>
      </w:pPr>
    </w:p>
    <w:p w:rsidR="00941282" w:rsidP="00B8609B" w14:paraId="09592FAC" w14:textId="46669022">
      <w:pPr>
        <w:pStyle w:val="BodyText"/>
        <w:ind w:left="720"/>
        <w:jc w:val="both"/>
        <w:rPr>
          <w:szCs w:val="24"/>
        </w:rPr>
      </w:pPr>
      <w:r>
        <w:rPr>
          <w:szCs w:val="24"/>
        </w:rPr>
        <w:t>We cannot, however, predict the number of instances in which a Public Safety or CII licensee will seek prior coordination in a given area.  Nor can we predict the number of instances in which Cellular/ESMR carriers will add or modify facilities such that prior coordination would be warranted.  However, we note that there are 50 Cellular carriers and ESMR licensees participating in the interference notification system and we estimate that over the course of a year</w:t>
      </w:r>
      <w:r w:rsidR="00957BD0">
        <w:rPr>
          <w:szCs w:val="24"/>
        </w:rPr>
        <w:t>,</w:t>
      </w:r>
      <w:r>
        <w:rPr>
          <w:szCs w:val="24"/>
        </w:rPr>
        <w:t xml:space="preserve"> an average of </w:t>
      </w:r>
      <w:r w:rsidRPr="000A63A5" w:rsidR="004051B8">
        <w:rPr>
          <w:szCs w:val="24"/>
        </w:rPr>
        <w:t>3</w:t>
      </w:r>
      <w:r w:rsidRPr="00A97668" w:rsidR="004051B8">
        <w:rPr>
          <w:szCs w:val="24"/>
        </w:rPr>
        <w:t xml:space="preserve"> </w:t>
      </w:r>
      <w:r w:rsidRPr="00A97668">
        <w:rPr>
          <w:szCs w:val="24"/>
        </w:rPr>
        <w:t>licensees</w:t>
      </w:r>
      <w:r>
        <w:rPr>
          <w:szCs w:val="24"/>
        </w:rPr>
        <w:t xml:space="preserve"> may need to file a report once a week.</w:t>
      </w:r>
    </w:p>
    <w:p w:rsidR="00941282" w:rsidP="00B8609B" w14:paraId="3D86871E" w14:textId="77777777">
      <w:pPr>
        <w:pStyle w:val="BodyText"/>
        <w:ind w:left="720"/>
        <w:jc w:val="both"/>
        <w:rPr>
          <w:szCs w:val="24"/>
        </w:rPr>
      </w:pPr>
    </w:p>
    <w:p w:rsidR="00941282" w:rsidP="00B8609B" w14:paraId="6CFA5520" w14:textId="2ED9D69B">
      <w:pPr>
        <w:pStyle w:val="BodyText"/>
        <w:ind w:left="720"/>
        <w:jc w:val="both"/>
        <w:rPr>
          <w:b/>
          <w:szCs w:val="24"/>
        </w:rPr>
      </w:pPr>
      <w:r>
        <w:rPr>
          <w:b/>
          <w:szCs w:val="24"/>
        </w:rPr>
        <w:t>$</w:t>
      </w:r>
      <w:r w:rsidRPr="00955CCF" w:rsidR="00955CCF">
        <w:rPr>
          <w:b/>
          <w:szCs w:val="24"/>
        </w:rPr>
        <w:t>7,918.56</w:t>
      </w:r>
      <w:r>
        <w:rPr>
          <w:b/>
          <w:szCs w:val="24"/>
        </w:rPr>
        <w:t xml:space="preserve"> x </w:t>
      </w:r>
      <w:r w:rsidRPr="00A97668" w:rsidR="007952D2">
        <w:rPr>
          <w:b/>
          <w:szCs w:val="24"/>
        </w:rPr>
        <w:t xml:space="preserve">3 </w:t>
      </w:r>
      <w:r w:rsidRPr="00A97668">
        <w:rPr>
          <w:b/>
          <w:szCs w:val="24"/>
        </w:rPr>
        <w:t xml:space="preserve"> Cellular/ESMR licensees</w:t>
      </w:r>
      <w:r>
        <w:rPr>
          <w:b/>
          <w:szCs w:val="24"/>
        </w:rPr>
        <w:t xml:space="preserve"> = </w:t>
      </w:r>
      <w:r w:rsidR="007952D2">
        <w:rPr>
          <w:b/>
          <w:szCs w:val="24"/>
        </w:rPr>
        <w:t xml:space="preserve">$23,755.68 </w:t>
      </w:r>
      <w:r>
        <w:rPr>
          <w:b/>
          <w:szCs w:val="24"/>
        </w:rPr>
        <w:t>total cost burden.</w:t>
      </w:r>
    </w:p>
    <w:p w:rsidR="00941282" w:rsidP="00B8609B" w14:paraId="5AA0948D" w14:textId="77777777">
      <w:pPr>
        <w:ind w:left="720"/>
      </w:pPr>
    </w:p>
    <w:p w:rsidR="00941282" w:rsidP="00BF0308" w14:paraId="5D6FBCAA" w14:textId="5090B242">
      <w:pPr>
        <w:pStyle w:val="Heading1"/>
        <w:widowControl/>
        <w:numPr>
          <w:ilvl w:val="0"/>
          <w:numId w:val="23"/>
        </w:numPr>
        <w:jc w:val="both"/>
        <w:rPr>
          <w:szCs w:val="24"/>
        </w:rPr>
      </w:pPr>
      <w:r>
        <w:rPr>
          <w:szCs w:val="24"/>
        </w:rPr>
        <w:t xml:space="preserve">47 </w:t>
      </w:r>
      <w:r w:rsidR="00654B1C">
        <w:rPr>
          <w:szCs w:val="24"/>
        </w:rPr>
        <w:t>CFR</w:t>
      </w:r>
      <w:r>
        <w:rPr>
          <w:szCs w:val="24"/>
        </w:rPr>
        <w:t xml:space="preserve"> 90.674(a); 90.674(a)(1).  (Interference Complaint)</w:t>
      </w:r>
    </w:p>
    <w:p w:rsidR="00941282" w:rsidP="00BF0308" w14:paraId="22A59EA0" w14:textId="77777777">
      <w:pPr>
        <w:tabs>
          <w:tab w:val="left" w:pos="0"/>
        </w:tabs>
        <w:suppressAutoHyphens/>
        <w:ind w:left="720"/>
        <w:jc w:val="both"/>
        <w:rPr>
          <w:szCs w:val="24"/>
        </w:rPr>
      </w:pPr>
    </w:p>
    <w:p w:rsidR="00941282" w:rsidP="00BF0308" w14:paraId="46C323EF" w14:textId="77777777">
      <w:pPr>
        <w:pStyle w:val="Heading3"/>
        <w:numPr>
          <w:ilvl w:val="0"/>
          <w:numId w:val="0"/>
        </w:numPr>
        <w:ind w:left="720"/>
        <w:jc w:val="both"/>
        <w:rPr>
          <w:szCs w:val="24"/>
        </w:rPr>
      </w:pPr>
      <w:r>
        <w:rPr>
          <w:szCs w:val="24"/>
        </w:rPr>
        <w:t>Burden Costs of Respondents</w:t>
      </w:r>
    </w:p>
    <w:p w:rsidR="00941282" w:rsidP="00BF0308" w14:paraId="4746706D" w14:textId="77777777">
      <w:pPr>
        <w:pStyle w:val="Heading3"/>
        <w:numPr>
          <w:ilvl w:val="0"/>
          <w:numId w:val="0"/>
        </w:numPr>
        <w:ind w:left="720"/>
        <w:jc w:val="both"/>
        <w:rPr>
          <w:szCs w:val="24"/>
        </w:rPr>
      </w:pPr>
    </w:p>
    <w:p w:rsidR="00941282" w:rsidP="00BF0308" w14:paraId="7453CEF3" w14:textId="3A5DEF47">
      <w:pPr>
        <w:pStyle w:val="BodyText"/>
        <w:ind w:left="720"/>
        <w:jc w:val="both"/>
        <w:rPr>
          <w:szCs w:val="24"/>
        </w:rPr>
      </w:pPr>
      <w:r>
        <w:rPr>
          <w:szCs w:val="24"/>
        </w:rPr>
        <w:t>The Commission estimates that all of the 800 MHz licensees</w:t>
      </w:r>
      <w:r>
        <w:rPr>
          <w:b/>
          <w:szCs w:val="24"/>
        </w:rPr>
        <w:t xml:space="preserve"> </w:t>
      </w:r>
      <w:r>
        <w:rPr>
          <w:szCs w:val="24"/>
        </w:rPr>
        <w:t xml:space="preserve">will </w:t>
      </w:r>
      <w:r w:rsidR="00F83498">
        <w:rPr>
          <w:szCs w:val="24"/>
        </w:rPr>
        <w:t xml:space="preserve">each </w:t>
      </w:r>
      <w:r>
        <w:rPr>
          <w:szCs w:val="24"/>
        </w:rPr>
        <w:t xml:space="preserve">use a staff </w:t>
      </w:r>
      <w:r w:rsidR="004308D9">
        <w:rPr>
          <w:szCs w:val="24"/>
        </w:rPr>
        <w:t xml:space="preserve">electronics </w:t>
      </w:r>
      <w:r>
        <w:rPr>
          <w:szCs w:val="24"/>
        </w:rPr>
        <w:t>engineer</w:t>
      </w:r>
      <w:r w:rsidR="00F83498">
        <w:rPr>
          <w:szCs w:val="24"/>
        </w:rPr>
        <w:t>,</w:t>
      </w:r>
      <w:r>
        <w:rPr>
          <w:szCs w:val="24"/>
        </w:rPr>
        <w:t xml:space="preserve"> at approximately $</w:t>
      </w:r>
      <w:r w:rsidR="00A202E6">
        <w:rPr>
          <w:szCs w:val="24"/>
        </w:rPr>
        <w:t>50.76</w:t>
      </w:r>
      <w:r>
        <w:rPr>
          <w:szCs w:val="24"/>
        </w:rPr>
        <w:t xml:space="preserve"> per hour</w:t>
      </w:r>
      <w:r w:rsidR="008B181A">
        <w:rPr>
          <w:szCs w:val="24"/>
        </w:rPr>
        <w:t>,</w:t>
      </w:r>
      <w:r>
        <w:rPr>
          <w:szCs w:val="24"/>
        </w:rPr>
        <w:t xml:space="preserve"> to draft their </w:t>
      </w:r>
      <w:r w:rsidR="008B181A">
        <w:rPr>
          <w:szCs w:val="24"/>
        </w:rPr>
        <w:t xml:space="preserve">respective </w:t>
      </w:r>
      <w:r>
        <w:rPr>
          <w:szCs w:val="24"/>
        </w:rPr>
        <w:t>initial notification</w:t>
      </w:r>
      <w:r w:rsidR="008B181A">
        <w:rPr>
          <w:szCs w:val="24"/>
        </w:rPr>
        <w:t>s</w:t>
      </w:r>
      <w:r>
        <w:rPr>
          <w:szCs w:val="24"/>
        </w:rPr>
        <w:t xml:space="preserve"> of interference.  If each notification of interference takes about 3 hours to prepare, then the cost per submission will be $</w:t>
      </w:r>
      <w:r w:rsidR="00A202E6">
        <w:rPr>
          <w:szCs w:val="24"/>
        </w:rPr>
        <w:t>50.76</w:t>
      </w:r>
      <w:r>
        <w:rPr>
          <w:szCs w:val="24"/>
        </w:rPr>
        <w:t xml:space="preserve"> x 3 = $</w:t>
      </w:r>
      <w:r w:rsidR="00194584">
        <w:rPr>
          <w:szCs w:val="24"/>
        </w:rPr>
        <w:t>152.28</w:t>
      </w:r>
      <w:r>
        <w:rPr>
          <w:szCs w:val="24"/>
        </w:rPr>
        <w:t xml:space="preserve"> burden per party.</w:t>
      </w:r>
    </w:p>
    <w:p w:rsidR="00941282" w:rsidP="00BF0308" w14:paraId="4E3739CF" w14:textId="77777777">
      <w:pPr>
        <w:pStyle w:val="BodyText"/>
        <w:ind w:left="720"/>
        <w:jc w:val="both"/>
        <w:rPr>
          <w:szCs w:val="24"/>
        </w:rPr>
      </w:pPr>
    </w:p>
    <w:p w:rsidR="00941282" w:rsidP="00BF0308" w14:paraId="37B1AC04" w14:textId="5AF04574">
      <w:pPr>
        <w:tabs>
          <w:tab w:val="left" w:pos="0"/>
        </w:tabs>
        <w:suppressAutoHyphens/>
        <w:ind w:left="720"/>
        <w:jc w:val="both"/>
        <w:rPr>
          <w:szCs w:val="24"/>
        </w:rPr>
      </w:pPr>
      <w:r>
        <w:rPr>
          <w:szCs w:val="24"/>
        </w:rPr>
        <w:t xml:space="preserve">Based on data extrapolated from the electronic notification system for interference complaints, approximately </w:t>
      </w:r>
      <w:r w:rsidR="00B242AE">
        <w:rPr>
          <w:szCs w:val="24"/>
        </w:rPr>
        <w:t xml:space="preserve">17 </w:t>
      </w:r>
      <w:r>
        <w:rPr>
          <w:szCs w:val="24"/>
        </w:rPr>
        <w:t xml:space="preserve">incidents of interference involving cellular/ESMR carriers were reported in </w:t>
      </w:r>
      <w:r w:rsidR="00780D16">
        <w:rPr>
          <w:szCs w:val="24"/>
        </w:rPr>
        <w:t>2019</w:t>
      </w:r>
      <w:r w:rsidR="00D02754">
        <w:rPr>
          <w:szCs w:val="24"/>
        </w:rPr>
        <w:t xml:space="preserve">, down from </w:t>
      </w:r>
      <w:r w:rsidR="00780D16">
        <w:rPr>
          <w:szCs w:val="24"/>
        </w:rPr>
        <w:t xml:space="preserve">43 </w:t>
      </w:r>
      <w:r w:rsidR="004E1139">
        <w:rPr>
          <w:szCs w:val="24"/>
        </w:rPr>
        <w:t xml:space="preserve">incidents reported in </w:t>
      </w:r>
      <w:r w:rsidR="00780D16">
        <w:rPr>
          <w:szCs w:val="24"/>
        </w:rPr>
        <w:t>2016</w:t>
      </w:r>
      <w:r>
        <w:rPr>
          <w:szCs w:val="24"/>
        </w:rPr>
        <w:t>.</w:t>
      </w:r>
    </w:p>
    <w:p w:rsidR="00941282" w:rsidP="00BF0308" w14:paraId="3620EBEC" w14:textId="77777777">
      <w:pPr>
        <w:tabs>
          <w:tab w:val="left" w:pos="0"/>
        </w:tabs>
        <w:suppressAutoHyphens/>
        <w:ind w:left="720"/>
        <w:jc w:val="both"/>
        <w:rPr>
          <w:szCs w:val="24"/>
        </w:rPr>
      </w:pPr>
    </w:p>
    <w:p w:rsidR="00941282" w:rsidP="00BF0308" w14:paraId="280787BD" w14:textId="6060E89D">
      <w:pPr>
        <w:tabs>
          <w:tab w:val="left" w:pos="0"/>
        </w:tabs>
        <w:suppressAutoHyphens/>
        <w:ind w:left="720"/>
        <w:jc w:val="both"/>
        <w:rPr>
          <w:b/>
          <w:szCs w:val="24"/>
        </w:rPr>
      </w:pPr>
      <w:r>
        <w:rPr>
          <w:b/>
          <w:szCs w:val="24"/>
        </w:rPr>
        <w:t>The total estimated cost burden could be $</w:t>
      </w:r>
      <w:r w:rsidR="00194584">
        <w:rPr>
          <w:b/>
          <w:szCs w:val="24"/>
        </w:rPr>
        <w:t>152.28</w:t>
      </w:r>
      <w:r>
        <w:rPr>
          <w:b/>
          <w:szCs w:val="24"/>
        </w:rPr>
        <w:t xml:space="preserve"> x </w:t>
      </w:r>
      <w:r w:rsidR="00B242AE">
        <w:rPr>
          <w:b/>
          <w:szCs w:val="24"/>
        </w:rPr>
        <w:t xml:space="preserve">17 </w:t>
      </w:r>
      <w:r>
        <w:rPr>
          <w:b/>
          <w:szCs w:val="24"/>
        </w:rPr>
        <w:t>incidents =</w:t>
      </w:r>
      <w:r w:rsidR="00B242AE">
        <w:rPr>
          <w:b/>
          <w:szCs w:val="24"/>
        </w:rPr>
        <w:t>$2,588.76</w:t>
      </w:r>
      <w:r>
        <w:rPr>
          <w:b/>
          <w:szCs w:val="24"/>
        </w:rPr>
        <w:t>.</w:t>
      </w:r>
    </w:p>
    <w:p w:rsidR="00941282" w:rsidP="00BF0308" w14:paraId="43EF30AE" w14:textId="77777777">
      <w:pPr>
        <w:pStyle w:val="BodyText"/>
        <w:ind w:left="720"/>
        <w:jc w:val="both"/>
        <w:rPr>
          <w:szCs w:val="24"/>
        </w:rPr>
      </w:pPr>
    </w:p>
    <w:p w:rsidR="00941282" w:rsidP="00BF0308" w14:paraId="4A2B66F1" w14:textId="77777777">
      <w:pPr>
        <w:tabs>
          <w:tab w:val="left" w:pos="0"/>
        </w:tabs>
        <w:suppressAutoHyphens/>
        <w:ind w:left="720"/>
        <w:jc w:val="both"/>
        <w:rPr>
          <w:szCs w:val="24"/>
        </w:rPr>
      </w:pPr>
      <w:r>
        <w:rPr>
          <w:szCs w:val="24"/>
        </w:rPr>
        <w:t>We anticipate, however, a dramatic reduction in the number of interference incidents after completion of band reconfiguration.</w:t>
      </w:r>
    </w:p>
    <w:p w:rsidR="00941282" w:rsidP="00BF0308" w14:paraId="7E18FC52" w14:textId="77777777">
      <w:pPr>
        <w:ind w:left="720"/>
      </w:pPr>
    </w:p>
    <w:p w:rsidR="00941282" w:rsidP="00BF0308" w14:paraId="1F94CEA7" w14:textId="109E91DF">
      <w:pPr>
        <w:pStyle w:val="HTMLPreformatted"/>
        <w:numPr>
          <w:ilvl w:val="0"/>
          <w:numId w:val="23"/>
        </w:numPr>
        <w:rPr>
          <w:rFonts w:ascii="Times New Roman" w:hAnsi="Times New Roman" w:cs="Times New Roman"/>
          <w:b/>
          <w:sz w:val="24"/>
          <w:szCs w:val="24"/>
          <w:lang w:val="fr-FR"/>
        </w:rPr>
      </w:pPr>
      <w:r>
        <w:rPr>
          <w:rFonts w:ascii="Times New Roman" w:hAnsi="Times New Roman" w:cs="Times New Roman"/>
          <w:b/>
          <w:sz w:val="24"/>
          <w:szCs w:val="24"/>
          <w:lang w:val="fr-FR"/>
        </w:rPr>
        <w:t xml:space="preserve"> </w:t>
      </w:r>
      <w:r>
        <w:rPr>
          <w:rFonts w:ascii="Times New Roman" w:hAnsi="Times New Roman" w:cs="Times New Roman"/>
          <w:b/>
          <w:sz w:val="24"/>
          <w:szCs w:val="24"/>
          <w:lang w:val="fr-FR"/>
        </w:rPr>
        <w:t xml:space="preserve">47 </w:t>
      </w:r>
      <w:r w:rsidR="00654B1C">
        <w:rPr>
          <w:rFonts w:ascii="Times New Roman" w:hAnsi="Times New Roman" w:cs="Times New Roman"/>
          <w:b/>
          <w:sz w:val="24"/>
          <w:szCs w:val="24"/>
          <w:lang w:val="fr-FR"/>
        </w:rPr>
        <w:t>CFR</w:t>
      </w:r>
      <w:r>
        <w:rPr>
          <w:rFonts w:ascii="Times New Roman" w:hAnsi="Times New Roman" w:cs="Times New Roman"/>
          <w:b/>
          <w:sz w:val="24"/>
          <w:szCs w:val="24"/>
          <w:lang w:val="fr-FR"/>
        </w:rPr>
        <w:t xml:space="preserve"> 90.675(c)(1)-(2).  </w:t>
      </w:r>
      <w:r>
        <w:rPr>
          <w:rFonts w:ascii="Times New Roman" w:hAnsi="Times New Roman" w:cs="Times New Roman"/>
          <w:b/>
          <w:sz w:val="24"/>
          <w:szCs w:val="24"/>
        </w:rPr>
        <w:t>(Prior Coordination Response)</w:t>
      </w:r>
    </w:p>
    <w:p w:rsidR="00941282" w:rsidP="00BF0308" w14:paraId="2AC88FB2" w14:textId="77777777">
      <w:pPr>
        <w:tabs>
          <w:tab w:val="left" w:pos="0"/>
        </w:tabs>
        <w:suppressAutoHyphens/>
        <w:ind w:left="720"/>
        <w:jc w:val="both"/>
        <w:rPr>
          <w:szCs w:val="24"/>
          <w:lang w:val="fr-FR"/>
        </w:rPr>
      </w:pPr>
    </w:p>
    <w:p w:rsidR="00941282" w:rsidP="00BF0308" w14:paraId="6B3D6DE3" w14:textId="77777777">
      <w:pPr>
        <w:pStyle w:val="Heading3"/>
        <w:numPr>
          <w:ilvl w:val="0"/>
          <w:numId w:val="0"/>
        </w:numPr>
        <w:ind w:left="720"/>
        <w:jc w:val="both"/>
        <w:rPr>
          <w:szCs w:val="24"/>
        </w:rPr>
      </w:pPr>
      <w:r>
        <w:rPr>
          <w:szCs w:val="24"/>
        </w:rPr>
        <w:t>Burden Costs of Respondents</w:t>
      </w:r>
    </w:p>
    <w:p w:rsidR="00941282" w:rsidP="00BF0308" w14:paraId="2EAD8F95" w14:textId="77777777">
      <w:pPr>
        <w:pStyle w:val="Heading3"/>
        <w:numPr>
          <w:ilvl w:val="0"/>
          <w:numId w:val="0"/>
        </w:numPr>
        <w:ind w:left="720"/>
        <w:jc w:val="both"/>
        <w:rPr>
          <w:szCs w:val="24"/>
        </w:rPr>
      </w:pPr>
    </w:p>
    <w:p w:rsidR="00941282" w:rsidP="00BF0308" w14:paraId="536A132E" w14:textId="3650FB09">
      <w:pPr>
        <w:pStyle w:val="BodyText"/>
        <w:ind w:left="720"/>
        <w:jc w:val="both"/>
        <w:rPr>
          <w:szCs w:val="24"/>
        </w:rPr>
      </w:pPr>
      <w:r>
        <w:rPr>
          <w:szCs w:val="24"/>
        </w:rPr>
        <w:t>The Commission estimates that all of the 800 MHz Public Safety and CII licensees</w:t>
      </w:r>
      <w:r>
        <w:rPr>
          <w:b/>
          <w:szCs w:val="24"/>
        </w:rPr>
        <w:t xml:space="preserve"> </w:t>
      </w:r>
      <w:r>
        <w:rPr>
          <w:szCs w:val="24"/>
        </w:rPr>
        <w:t xml:space="preserve">will </w:t>
      </w:r>
      <w:r w:rsidR="005E59DA">
        <w:rPr>
          <w:szCs w:val="24"/>
        </w:rPr>
        <w:t xml:space="preserve">each </w:t>
      </w:r>
      <w:r>
        <w:rPr>
          <w:szCs w:val="24"/>
        </w:rPr>
        <w:t>use a st</w:t>
      </w:r>
      <w:r w:rsidR="00D74AC0">
        <w:rPr>
          <w:szCs w:val="24"/>
        </w:rPr>
        <w:t xml:space="preserve">aff </w:t>
      </w:r>
      <w:r w:rsidR="004308D9">
        <w:rPr>
          <w:szCs w:val="24"/>
        </w:rPr>
        <w:t xml:space="preserve">electronics </w:t>
      </w:r>
      <w:r w:rsidR="00D74AC0">
        <w:rPr>
          <w:szCs w:val="24"/>
        </w:rPr>
        <w:t>engineer</w:t>
      </w:r>
      <w:r w:rsidR="005E59DA">
        <w:rPr>
          <w:szCs w:val="24"/>
        </w:rPr>
        <w:t>,</w:t>
      </w:r>
      <w:r w:rsidR="00D74AC0">
        <w:rPr>
          <w:szCs w:val="24"/>
        </w:rPr>
        <w:t xml:space="preserve"> at approximately </w:t>
      </w:r>
      <w:r w:rsidRPr="005D6FDC" w:rsidR="00D74AC0">
        <w:rPr>
          <w:szCs w:val="24"/>
        </w:rPr>
        <w:t>$</w:t>
      </w:r>
      <w:r w:rsidR="00A202E6">
        <w:rPr>
          <w:szCs w:val="24"/>
        </w:rPr>
        <w:t>50.76</w:t>
      </w:r>
      <w:r w:rsidRPr="005D6FDC" w:rsidR="008F31F4">
        <w:rPr>
          <w:szCs w:val="24"/>
        </w:rPr>
        <w:t xml:space="preserve"> </w:t>
      </w:r>
      <w:r w:rsidRPr="005D6FDC">
        <w:rPr>
          <w:szCs w:val="24"/>
        </w:rPr>
        <w:t>per hour</w:t>
      </w:r>
      <w:r w:rsidR="005E59DA">
        <w:rPr>
          <w:szCs w:val="24"/>
        </w:rPr>
        <w:t>,</w:t>
      </w:r>
      <w:r>
        <w:rPr>
          <w:szCs w:val="24"/>
        </w:rPr>
        <w:t xml:space="preserve"> to draft their </w:t>
      </w:r>
      <w:r w:rsidR="005E59DA">
        <w:rPr>
          <w:szCs w:val="24"/>
        </w:rPr>
        <w:t xml:space="preserve">respective </w:t>
      </w:r>
      <w:r>
        <w:rPr>
          <w:szCs w:val="24"/>
        </w:rPr>
        <w:t>response</w:t>
      </w:r>
      <w:r w:rsidR="005E59DA">
        <w:rPr>
          <w:szCs w:val="24"/>
        </w:rPr>
        <w:t>s</w:t>
      </w:r>
      <w:r>
        <w:rPr>
          <w:szCs w:val="24"/>
        </w:rPr>
        <w:t xml:space="preserve"> to request</w:t>
      </w:r>
      <w:r w:rsidR="007F5EF0">
        <w:rPr>
          <w:szCs w:val="24"/>
        </w:rPr>
        <w:t>s</w:t>
      </w:r>
      <w:r>
        <w:rPr>
          <w:szCs w:val="24"/>
        </w:rPr>
        <w:t xml:space="preserve"> for prior coordination.  Because the operating parameters of these licensees’ systems change much less frequently than the parameters of Cellular/ESMR systems, we estimate that an average of one report will be submitted per licensee.  If each response takes about 3 hours to prepare, then the</w:t>
      </w:r>
      <w:r w:rsidR="00D74AC0">
        <w:rPr>
          <w:szCs w:val="24"/>
        </w:rPr>
        <w:t xml:space="preserve"> cost per submission will be </w:t>
      </w:r>
      <w:r w:rsidRPr="005D6FDC" w:rsidR="00D74AC0">
        <w:rPr>
          <w:szCs w:val="24"/>
        </w:rPr>
        <w:t>$</w:t>
      </w:r>
      <w:r w:rsidR="00A202E6">
        <w:rPr>
          <w:szCs w:val="24"/>
        </w:rPr>
        <w:t>50.76</w:t>
      </w:r>
      <w:r>
        <w:rPr>
          <w:szCs w:val="24"/>
        </w:rPr>
        <w:t xml:space="preserve"> x 3 </w:t>
      </w:r>
      <w:r w:rsidR="00D74AC0">
        <w:rPr>
          <w:szCs w:val="24"/>
        </w:rPr>
        <w:t>= $</w:t>
      </w:r>
      <w:r w:rsidR="00194584">
        <w:rPr>
          <w:szCs w:val="24"/>
        </w:rPr>
        <w:t>152.28</w:t>
      </w:r>
      <w:r>
        <w:rPr>
          <w:szCs w:val="24"/>
        </w:rPr>
        <w:t xml:space="preserve"> burden per party.</w:t>
      </w:r>
    </w:p>
    <w:p w:rsidR="00941282" w:rsidP="00BF0308" w14:paraId="276EB390" w14:textId="77777777">
      <w:pPr>
        <w:pStyle w:val="BodyText"/>
        <w:ind w:left="720"/>
        <w:jc w:val="both"/>
        <w:rPr>
          <w:szCs w:val="24"/>
        </w:rPr>
      </w:pPr>
    </w:p>
    <w:p w:rsidR="00941282" w:rsidP="00BF0308" w14:paraId="5CEB6BB6" w14:textId="2C28780D">
      <w:pPr>
        <w:tabs>
          <w:tab w:val="left" w:pos="0"/>
        </w:tabs>
        <w:suppressAutoHyphens/>
        <w:ind w:left="720"/>
        <w:jc w:val="both"/>
        <w:rPr>
          <w:szCs w:val="24"/>
        </w:rPr>
      </w:pPr>
      <w:r>
        <w:rPr>
          <w:szCs w:val="24"/>
        </w:rPr>
        <w:t>There are approximately</w:t>
      </w:r>
      <w:r w:rsidR="00D447AE">
        <w:rPr>
          <w:szCs w:val="24"/>
        </w:rPr>
        <w:t xml:space="preserve"> </w:t>
      </w:r>
      <w:r w:rsidR="007952D2">
        <w:rPr>
          <w:szCs w:val="24"/>
        </w:rPr>
        <w:t xml:space="preserve">2,791 </w:t>
      </w:r>
      <w:r>
        <w:rPr>
          <w:szCs w:val="24"/>
        </w:rPr>
        <w:t>800 MHz public safety and CII licensees, nationwide.  Therefore in a given year the total estimated cost burden could be</w:t>
      </w:r>
      <w:r w:rsidR="002B6DED">
        <w:rPr>
          <w:szCs w:val="24"/>
        </w:rPr>
        <w:t>:</w:t>
      </w:r>
    </w:p>
    <w:p w:rsidR="00941282" w:rsidP="00BF0308" w14:paraId="4E8FFB22" w14:textId="77777777">
      <w:pPr>
        <w:tabs>
          <w:tab w:val="left" w:pos="0"/>
        </w:tabs>
        <w:suppressAutoHyphens/>
        <w:ind w:left="720"/>
        <w:jc w:val="both"/>
        <w:rPr>
          <w:szCs w:val="24"/>
        </w:rPr>
      </w:pPr>
    </w:p>
    <w:p w:rsidR="00941282" w:rsidP="00BF0308" w14:paraId="04A23546" w14:textId="16020670">
      <w:pPr>
        <w:tabs>
          <w:tab w:val="left" w:pos="0"/>
        </w:tabs>
        <w:suppressAutoHyphens/>
        <w:ind w:left="720"/>
        <w:jc w:val="both"/>
        <w:rPr>
          <w:b/>
          <w:szCs w:val="24"/>
        </w:rPr>
      </w:pPr>
      <w:r>
        <w:rPr>
          <w:b/>
        </w:rPr>
        <w:t>$</w:t>
      </w:r>
      <w:r w:rsidR="00194584">
        <w:rPr>
          <w:b/>
        </w:rPr>
        <w:t>152.28</w:t>
      </w:r>
      <w:r w:rsidR="00895939">
        <w:rPr>
          <w:b/>
        </w:rPr>
        <w:t xml:space="preserve"> </w:t>
      </w:r>
      <w:r>
        <w:rPr>
          <w:b/>
        </w:rPr>
        <w:t xml:space="preserve">x </w:t>
      </w:r>
      <w:r w:rsidR="007952D2">
        <w:rPr>
          <w:b/>
        </w:rPr>
        <w:t xml:space="preserve">2,791 </w:t>
      </w:r>
      <w:r>
        <w:rPr>
          <w:b/>
        </w:rPr>
        <w:t xml:space="preserve">licensees = </w:t>
      </w:r>
      <w:r w:rsidR="007952D2">
        <w:rPr>
          <w:b/>
        </w:rPr>
        <w:t>$425,013.48</w:t>
      </w:r>
      <w:r>
        <w:rPr>
          <w:b/>
        </w:rPr>
        <w:t xml:space="preserve"> total cost burden per year.</w:t>
      </w:r>
    </w:p>
    <w:p w:rsidR="00941282" w:rsidP="00BF0308" w14:paraId="5DE283D0" w14:textId="77777777">
      <w:pPr>
        <w:pStyle w:val="BodyText"/>
        <w:ind w:left="720"/>
        <w:jc w:val="both"/>
      </w:pPr>
    </w:p>
    <w:p w:rsidR="00941282" w:rsidP="00BF0308" w14:paraId="55E7A40B" w14:textId="77777777">
      <w:pPr>
        <w:tabs>
          <w:tab w:val="left" w:pos="0"/>
        </w:tabs>
        <w:suppressAutoHyphens/>
        <w:ind w:left="720"/>
        <w:jc w:val="both"/>
        <w:rPr>
          <w:szCs w:val="24"/>
        </w:rPr>
      </w:pPr>
      <w:r>
        <w:t>We cannot, however, predict the number of instances in which a Cellular/ESMR carriers will seek prior coordination in a given market.  Nor can we predict the number of instances in which Public Safety and CII licensees will add or modify facilities such that prior coordination would be warranted.</w:t>
      </w:r>
    </w:p>
    <w:p w:rsidR="00BF4119" w:rsidP="00BF4119" w14:paraId="66F60A2D" w14:textId="2DAC0579">
      <w:pPr>
        <w:autoSpaceDE w:val="0"/>
        <w:autoSpaceDN w:val="0"/>
        <w:adjustRightInd w:val="0"/>
        <w:ind w:firstLine="720"/>
        <w:rPr>
          <w:sz w:val="22"/>
          <w:szCs w:val="22"/>
        </w:rPr>
      </w:pPr>
    </w:p>
    <w:p w:rsidR="00BF4119" w:rsidP="000A0C53" w14:paraId="07F151A5" w14:textId="77777777">
      <w:pPr>
        <w:numPr>
          <w:ilvl w:val="0"/>
          <w:numId w:val="17"/>
        </w:numPr>
        <w:autoSpaceDE w:val="0"/>
        <w:autoSpaceDN w:val="0"/>
        <w:adjustRightInd w:val="0"/>
        <w:snapToGrid w:val="0"/>
        <w:rPr>
          <w:szCs w:val="22"/>
        </w:rPr>
      </w:pPr>
      <w:r>
        <w:rPr>
          <w:b/>
          <w:szCs w:val="22"/>
        </w:rPr>
        <w:t>Provide estimate for the total annual cost burden to respondents or record keepers resulting from the collection of information.</w:t>
      </w:r>
    </w:p>
    <w:p w:rsidR="00DC424E" w:rsidP="00BF0308" w14:paraId="0D3DF0C7" w14:textId="77777777">
      <w:pPr>
        <w:ind w:left="360" w:firstLine="360"/>
      </w:pPr>
    </w:p>
    <w:p w:rsidR="00941282" w:rsidP="00BF0308" w14:paraId="62A912E6" w14:textId="06F0E69B">
      <w:pPr>
        <w:pStyle w:val="BodyText"/>
        <w:ind w:left="720"/>
        <w:jc w:val="both"/>
        <w:rPr>
          <w:szCs w:val="24"/>
        </w:rPr>
      </w:pPr>
      <w:r>
        <w:rPr>
          <w:szCs w:val="24"/>
        </w:rPr>
        <w:t xml:space="preserve">The Commission anticipates that the parties subject to these collections will use in-house </w:t>
      </w:r>
      <w:r w:rsidR="000A51BC">
        <w:rPr>
          <w:szCs w:val="24"/>
        </w:rPr>
        <w:t xml:space="preserve">electronics engineer </w:t>
      </w:r>
      <w:r>
        <w:rPr>
          <w:szCs w:val="24"/>
        </w:rPr>
        <w:t>staff to respond to the collections.</w:t>
      </w:r>
    </w:p>
    <w:p w:rsidR="00941282" w:rsidP="00BF0308" w14:paraId="0B46EA4F" w14:textId="77777777">
      <w:pPr>
        <w:pStyle w:val="BodyText"/>
        <w:ind w:left="720"/>
        <w:jc w:val="both"/>
        <w:rPr>
          <w:szCs w:val="24"/>
        </w:rPr>
      </w:pPr>
    </w:p>
    <w:p w:rsidR="00941282" w:rsidP="00BF0308" w14:paraId="3A9789A1" w14:textId="586EACC5">
      <w:pPr>
        <w:pStyle w:val="BodyText"/>
        <w:numPr>
          <w:ilvl w:val="0"/>
          <w:numId w:val="14"/>
        </w:numPr>
        <w:tabs>
          <w:tab w:val="clear" w:pos="720"/>
          <w:tab w:val="num" w:pos="1440"/>
        </w:tabs>
        <w:ind w:left="1440"/>
        <w:jc w:val="both"/>
        <w:rPr>
          <w:szCs w:val="24"/>
        </w:rPr>
      </w:pPr>
      <w:r>
        <w:rPr>
          <w:szCs w:val="24"/>
        </w:rPr>
        <w:t xml:space="preserve">Total annualized capital/startup costs: </w:t>
      </w:r>
      <w:r w:rsidR="008E3296">
        <w:rPr>
          <w:szCs w:val="24"/>
        </w:rPr>
        <w:t xml:space="preserve"> </w:t>
      </w:r>
      <w:r>
        <w:rPr>
          <w:b/>
          <w:szCs w:val="24"/>
        </w:rPr>
        <w:t>None</w:t>
      </w:r>
    </w:p>
    <w:p w:rsidR="00941282" w:rsidP="00BF0308" w14:paraId="6287B06A" w14:textId="77777777">
      <w:pPr>
        <w:pStyle w:val="BodyText"/>
        <w:ind w:left="1080"/>
        <w:jc w:val="both"/>
        <w:rPr>
          <w:szCs w:val="24"/>
        </w:rPr>
      </w:pPr>
    </w:p>
    <w:p w:rsidR="00941282" w:rsidRPr="00463CD7" w:rsidP="00BF0308" w14:paraId="0A87C4ED" w14:textId="5804450B">
      <w:pPr>
        <w:ind w:left="1080"/>
        <w:rPr>
          <w:szCs w:val="24"/>
        </w:rPr>
      </w:pPr>
      <w:r>
        <w:rPr>
          <w:szCs w:val="24"/>
        </w:rPr>
        <w:t>(b) Total operations and maintenance and purchase of services costs:</w:t>
      </w:r>
      <w:r w:rsidR="008E3296">
        <w:rPr>
          <w:szCs w:val="24"/>
        </w:rPr>
        <w:t xml:space="preserve"> </w:t>
      </w:r>
      <w:r>
        <w:rPr>
          <w:szCs w:val="24"/>
        </w:rPr>
        <w:t xml:space="preserve"> </w:t>
      </w:r>
      <w:r w:rsidR="00463CD7">
        <w:rPr>
          <w:b/>
          <w:bCs/>
          <w:szCs w:val="24"/>
        </w:rPr>
        <w:t>None</w:t>
      </w:r>
    </w:p>
    <w:p w:rsidR="00941282" w:rsidP="00BF0308" w14:paraId="159A7997" w14:textId="77777777">
      <w:pPr>
        <w:ind w:left="1080"/>
        <w:rPr>
          <w:szCs w:val="24"/>
        </w:rPr>
      </w:pPr>
    </w:p>
    <w:p w:rsidR="00941282" w:rsidP="00BF0308" w14:paraId="5D23C363" w14:textId="65ACEE57">
      <w:pPr>
        <w:pStyle w:val="BodyText"/>
        <w:ind w:left="720"/>
        <w:jc w:val="both"/>
      </w:pPr>
      <w:r>
        <w:t xml:space="preserve">We believe </w:t>
      </w:r>
      <w:r w:rsidR="00FE5050">
        <w:t>that no</w:t>
      </w:r>
      <w:r w:rsidR="00463CD7">
        <w:t xml:space="preserve"> </w:t>
      </w:r>
      <w:r>
        <w:t xml:space="preserve">respondent will file </w:t>
      </w:r>
      <w:r w:rsidR="000A024D">
        <w:t xml:space="preserve">a </w:t>
      </w:r>
      <w:r>
        <w:t>waiver request</w:t>
      </w:r>
      <w:r w:rsidR="00463CD7">
        <w:t xml:space="preserve">, and therefore, </w:t>
      </w:r>
      <w:r w:rsidR="000A024D">
        <w:t>none</w:t>
      </w:r>
      <w:r w:rsidR="00463CD7">
        <w:t xml:space="preserve"> will seek</w:t>
      </w:r>
      <w:r>
        <w:t xml:space="preserve"> the assistance of outside counsel.</w:t>
      </w:r>
    </w:p>
    <w:p w:rsidR="00625240" w:rsidP="00625240" w14:paraId="16E33E21" w14:textId="77777777">
      <w:pPr>
        <w:autoSpaceDE w:val="0"/>
        <w:autoSpaceDN w:val="0"/>
        <w:adjustRightInd w:val="0"/>
        <w:ind w:left="720"/>
        <w:rPr>
          <w:sz w:val="22"/>
          <w:szCs w:val="22"/>
        </w:rPr>
      </w:pPr>
    </w:p>
    <w:p w:rsidR="00625240" w:rsidP="000A0C53" w14:paraId="26D3397A" w14:textId="77777777">
      <w:pPr>
        <w:numPr>
          <w:ilvl w:val="0"/>
          <w:numId w:val="17"/>
        </w:numPr>
        <w:autoSpaceDE w:val="0"/>
        <w:autoSpaceDN w:val="0"/>
        <w:adjustRightInd w:val="0"/>
        <w:snapToGrid w:val="0"/>
        <w:rPr>
          <w:szCs w:val="22"/>
        </w:rPr>
      </w:pPr>
      <w:r>
        <w:rPr>
          <w:b/>
          <w:szCs w:val="22"/>
        </w:rPr>
        <w:t>Provide estimates of annualized costs to the Federal government.  Also provide a description of the method used to estimate cost, which should include quantification of hours, operational expenses (such as equipment, overhead, printing, and support staff), and any other expenses that would not have been incurred without this collection of information.</w:t>
      </w:r>
    </w:p>
    <w:p w:rsidR="00625240" w:rsidP="00625240" w14:paraId="1050CDB9" w14:textId="77777777">
      <w:pPr>
        <w:tabs>
          <w:tab w:val="left" w:pos="-720"/>
        </w:tabs>
        <w:suppressAutoHyphens/>
        <w:rPr>
          <w:szCs w:val="24"/>
        </w:rPr>
      </w:pPr>
    </w:p>
    <w:p w:rsidR="00941282" w:rsidP="00BF0308" w14:paraId="17F13F79" w14:textId="6C73F9D0">
      <w:pPr>
        <w:pStyle w:val="BodyText"/>
        <w:ind w:left="720"/>
        <w:jc w:val="both"/>
      </w:pPr>
      <w:r>
        <w:rPr>
          <w:szCs w:val="24"/>
          <w:u w:val="single"/>
        </w:rPr>
        <w:t>Estimated Annualized Cost to the Federal Government</w:t>
      </w:r>
      <w:r>
        <w:rPr>
          <w:szCs w:val="24"/>
        </w:rPr>
        <w:t xml:space="preserve">.  With respect to 47 </w:t>
      </w:r>
      <w:r w:rsidR="00654B1C">
        <w:rPr>
          <w:szCs w:val="24"/>
        </w:rPr>
        <w:t>CFR</w:t>
      </w:r>
      <w:r>
        <w:rPr>
          <w:szCs w:val="24"/>
        </w:rPr>
        <w:t xml:space="preserve"> 90.677(e), </w:t>
      </w:r>
      <w:r w:rsidR="00E55591">
        <w:rPr>
          <w:szCs w:val="24"/>
        </w:rPr>
        <w:t>the Commission has completed</w:t>
      </w:r>
      <w:r>
        <w:t xml:space="preserve"> review </w:t>
      </w:r>
      <w:r w:rsidR="00E55591">
        <w:t>of</w:t>
      </w:r>
      <w:r w:rsidR="006B02E3">
        <w:t xml:space="preserve"> </w:t>
      </w:r>
      <w:r>
        <w:t>responses</w:t>
      </w:r>
      <w:r w:rsidR="00DC6CD3">
        <w:t>,</w:t>
      </w:r>
      <w:r>
        <w:t xml:space="preserve"> </w:t>
      </w:r>
      <w:r w:rsidR="00E55591">
        <w:t xml:space="preserve">and </w:t>
      </w:r>
      <w:r>
        <w:t xml:space="preserve">will require </w:t>
      </w:r>
      <w:r w:rsidR="00E55591">
        <w:t>no further annualized costs for</w:t>
      </w:r>
      <w:r>
        <w:t xml:space="preserve"> analysis and review </w:t>
      </w:r>
      <w:r w:rsidR="00E55591">
        <w:t xml:space="preserve">of </w:t>
      </w:r>
      <w:r>
        <w:t>waiver</w:t>
      </w:r>
      <w:r w:rsidR="00E55591">
        <w:t xml:space="preserve"> requests under this rule</w:t>
      </w:r>
      <w:r w:rsidR="00974665">
        <w:t>, which remains in the CFR</w:t>
      </w:r>
      <w:r>
        <w:t>.</w:t>
      </w:r>
    </w:p>
    <w:p w:rsidR="00941282" w:rsidP="00BF0308" w14:paraId="1D1CC061" w14:textId="77777777">
      <w:pPr>
        <w:pStyle w:val="BodyText"/>
        <w:ind w:left="720" w:firstLine="720"/>
        <w:jc w:val="both"/>
      </w:pPr>
    </w:p>
    <w:p w:rsidR="00941282" w:rsidP="00BF0308" w14:paraId="730CFE49" w14:textId="2C851105">
      <w:pPr>
        <w:pStyle w:val="BodyText"/>
        <w:ind w:left="720"/>
        <w:jc w:val="both"/>
      </w:pPr>
      <w:r>
        <w:rPr>
          <w:szCs w:val="24"/>
        </w:rPr>
        <w:t xml:space="preserve">With respect to 47 </w:t>
      </w:r>
      <w:r w:rsidR="00654B1C">
        <w:rPr>
          <w:szCs w:val="24"/>
        </w:rPr>
        <w:t>CFR</w:t>
      </w:r>
      <w:r>
        <w:rPr>
          <w:szCs w:val="24"/>
        </w:rPr>
        <w:t xml:space="preserve"> §§ 22.972(c)(3) and 90.674(c)(3), </w:t>
      </w:r>
      <w:r>
        <w:t>there may be a cost to the Commission associated with reviewing statements of imminent danger that it receives from licensees.  For Paperwork Reduction Act purposes, we estimate that one such statement may be filed in each of the 55 Public Safety Regions.  We estimate that each such statement will incur 8 hours of review by Commission staff, thus resulting in 440 hours of Commission review.  The Commission anticipates that those 440 hours will be performed by staff at the GS 15</w:t>
      </w:r>
      <w:r w:rsidR="008F31F4">
        <w:t>/5 grade</w:t>
      </w:r>
      <w:r>
        <w:t xml:space="preserve"> level.  Thus the cost is 440 </w:t>
      </w:r>
      <w:r w:rsidR="002935A7">
        <w:t xml:space="preserve">hours </w:t>
      </w:r>
      <w:r>
        <w:t>x $</w:t>
      </w:r>
      <w:r w:rsidR="002935A7">
        <w:t>84.55</w:t>
      </w:r>
      <w:r w:rsidRPr="00AF50C9" w:rsidR="006B02E3">
        <w:t xml:space="preserve"> </w:t>
      </w:r>
      <w:r w:rsidRPr="00AF50C9">
        <w:t>= $</w:t>
      </w:r>
      <w:r w:rsidR="00613DD7">
        <w:t>3</w:t>
      </w:r>
      <w:r w:rsidR="002935A7">
        <w:t>7,202</w:t>
      </w:r>
      <w:r w:rsidRPr="00AF50C9">
        <w:t>.</w:t>
      </w:r>
    </w:p>
    <w:p w:rsidR="00941282" w:rsidP="00BF0308" w14:paraId="5484276F" w14:textId="514D5550">
      <w:pPr>
        <w:pStyle w:val="BodyText"/>
        <w:spacing w:before="240"/>
        <w:ind w:left="1440"/>
        <w:jc w:val="both"/>
      </w:pPr>
      <w:r w:rsidRPr="00386990">
        <w:rPr>
          <w:b/>
        </w:rPr>
        <w:t>Total estimated annualized cost to the federal government</w:t>
      </w:r>
      <w:r>
        <w:t xml:space="preserve"> = </w:t>
      </w:r>
      <w:r w:rsidRPr="00AF50C9">
        <w:rPr>
          <w:b/>
        </w:rPr>
        <w:t>$</w:t>
      </w:r>
      <w:r w:rsidR="00974665">
        <w:rPr>
          <w:b/>
        </w:rPr>
        <w:t>3</w:t>
      </w:r>
      <w:r w:rsidR="002935A7">
        <w:rPr>
          <w:b/>
        </w:rPr>
        <w:t>7,202</w:t>
      </w:r>
      <w:r w:rsidRPr="00974665" w:rsidR="008F31F4">
        <w:rPr>
          <w:b/>
        </w:rPr>
        <w:t xml:space="preserve"> </w:t>
      </w:r>
      <w:r w:rsidRPr="00974665" w:rsidR="00AF50C9">
        <w:t>($</w:t>
      </w:r>
      <w:r w:rsidR="00974665">
        <w:t>0.00</w:t>
      </w:r>
      <w:r w:rsidRPr="00AF50C9" w:rsidR="00AF50C9">
        <w:t xml:space="preserve"> + $</w:t>
      </w:r>
      <w:r w:rsidR="00613DD7">
        <w:t>3</w:t>
      </w:r>
      <w:r w:rsidR="002935A7">
        <w:t>7,202</w:t>
      </w:r>
      <w:r w:rsidRPr="00AF50C9">
        <w:t>)</w:t>
      </w:r>
      <w:r w:rsidR="008F31F4">
        <w:t>.</w:t>
      </w:r>
    </w:p>
    <w:p w:rsidR="00721E2A" w:rsidP="00721E2A" w14:paraId="61A1F331" w14:textId="77777777">
      <w:pPr>
        <w:autoSpaceDE w:val="0"/>
        <w:autoSpaceDN w:val="0"/>
        <w:adjustRightInd w:val="0"/>
        <w:ind w:firstLine="720"/>
        <w:rPr>
          <w:bCs/>
          <w:sz w:val="22"/>
          <w:szCs w:val="22"/>
        </w:rPr>
      </w:pPr>
    </w:p>
    <w:p w:rsidR="00DC1BDA" w:rsidRPr="00DC1BDA" w:rsidP="00BF0308" w14:paraId="51FFCED8" w14:textId="08CC13E4">
      <w:pPr>
        <w:pStyle w:val="BodyText"/>
        <w:numPr>
          <w:ilvl w:val="0"/>
          <w:numId w:val="17"/>
        </w:numPr>
        <w:autoSpaceDE w:val="0"/>
        <w:autoSpaceDN w:val="0"/>
        <w:adjustRightInd w:val="0"/>
        <w:snapToGrid w:val="0"/>
        <w:jc w:val="both"/>
        <w:rPr>
          <w:szCs w:val="22"/>
        </w:rPr>
      </w:pPr>
      <w:r>
        <w:rPr>
          <w:b/>
          <w:szCs w:val="22"/>
          <w:shd w:val="clear" w:color="auto" w:fill="FFFFFF"/>
        </w:rPr>
        <w:t>Explain the reasons for any program changes or adjustments reported.</w:t>
      </w:r>
    </w:p>
    <w:p w:rsidR="00DC1BDA" w:rsidP="004F06BF" w14:paraId="4C4EE9AD" w14:textId="77777777">
      <w:pPr>
        <w:tabs>
          <w:tab w:val="left" w:pos="360"/>
        </w:tabs>
      </w:pPr>
    </w:p>
    <w:p w:rsidR="0019301C" w:rsidP="00BF0308" w14:paraId="69185497" w14:textId="0A11E7C5">
      <w:pPr>
        <w:pStyle w:val="BodyText"/>
        <w:ind w:left="720"/>
        <w:jc w:val="both"/>
      </w:pPr>
      <w:r>
        <w:t xml:space="preserve">There </w:t>
      </w:r>
      <w:r w:rsidR="00BD1B77">
        <w:t>are adjustments/</w:t>
      </w:r>
      <w:r w:rsidRPr="004725A9">
        <w:t>decrease</w:t>
      </w:r>
      <w:r w:rsidR="00BD1B77">
        <w:t xml:space="preserve">s to this information collection. </w:t>
      </w:r>
      <w:r w:rsidR="005660C4">
        <w:t xml:space="preserve"> T</w:t>
      </w:r>
      <w:r w:rsidRPr="005660C4" w:rsidR="005660C4">
        <w:t xml:space="preserve">he reduction is due to </w:t>
      </w:r>
      <w:r w:rsidR="002B5098">
        <w:t xml:space="preserve">the </w:t>
      </w:r>
      <w:r w:rsidRPr="005660C4" w:rsidR="005660C4">
        <w:t xml:space="preserve">end of </w:t>
      </w:r>
      <w:r w:rsidRPr="005660C4" w:rsidR="005660C4">
        <w:t>rebanding</w:t>
      </w:r>
      <w:r w:rsidRPr="005660C4" w:rsidR="005660C4">
        <w:t>.</w:t>
      </w:r>
      <w:r w:rsidR="005660C4">
        <w:t xml:space="preserve">  </w:t>
      </w:r>
      <w:r w:rsidRPr="00A97668" w:rsidR="00BD1B77">
        <w:t xml:space="preserve">The total number of respondents decreased from  </w:t>
      </w:r>
      <w:r w:rsidRPr="00A97668" w:rsidR="00770647">
        <w:t>60</w:t>
      </w:r>
      <w:r w:rsidRPr="00A97668" w:rsidR="00027D25">
        <w:t xml:space="preserve"> to 58</w:t>
      </w:r>
      <w:r w:rsidRPr="00A97668" w:rsidR="00770647">
        <w:t xml:space="preserve"> </w:t>
      </w:r>
      <w:r w:rsidRPr="00A97668" w:rsidR="00BD1B77">
        <w:t>(-</w:t>
      </w:r>
      <w:r w:rsidRPr="00A97668" w:rsidR="00027D25">
        <w:t>2</w:t>
      </w:r>
      <w:r w:rsidRPr="00A97668" w:rsidR="00BD1B77">
        <w:t xml:space="preserve">), total annual responses </w:t>
      </w:r>
      <w:r w:rsidRPr="00A97668" w:rsidR="00395A73">
        <w:t xml:space="preserve">increased </w:t>
      </w:r>
      <w:r w:rsidRPr="00A97668" w:rsidR="00BD1B77">
        <w:t xml:space="preserve">from </w:t>
      </w:r>
      <w:r w:rsidRPr="00A97668" w:rsidR="00395A73">
        <w:t>2,665</w:t>
      </w:r>
      <w:r w:rsidRPr="00A97668" w:rsidR="00027D25">
        <w:t xml:space="preserve"> to </w:t>
      </w:r>
      <w:r w:rsidRPr="00A97668" w:rsidR="00B242AE">
        <w:t>2,932</w:t>
      </w:r>
      <w:r w:rsidRPr="00A97668" w:rsidR="00BD1B77">
        <w:t xml:space="preserve"> (</w:t>
      </w:r>
      <w:r w:rsidRPr="00A97668" w:rsidR="00395A73">
        <w:t>+</w:t>
      </w:r>
      <w:r w:rsidRPr="00A97668" w:rsidR="00B242AE">
        <w:t>267</w:t>
      </w:r>
      <w:r w:rsidRPr="00A97668" w:rsidR="00BD1B77">
        <w:t xml:space="preserve">) and the total annual burden hours </w:t>
      </w:r>
      <w:r w:rsidRPr="00A97668" w:rsidR="00395A73">
        <w:t xml:space="preserve">increased </w:t>
      </w:r>
      <w:r w:rsidRPr="00A97668" w:rsidR="00BD1B77">
        <w:t xml:space="preserve">from </w:t>
      </w:r>
      <w:r w:rsidRPr="00A97668" w:rsidR="00395A73">
        <w:t>9,039</w:t>
      </w:r>
      <w:r w:rsidRPr="00A97668" w:rsidR="00770647">
        <w:t xml:space="preserve"> hours</w:t>
      </w:r>
      <w:r w:rsidRPr="00A97668" w:rsidR="00027D25">
        <w:t xml:space="preserve"> to</w:t>
      </w:r>
      <w:r w:rsidRPr="00A97668" w:rsidR="007B2302">
        <w:t xml:space="preserve"> 9,468</w:t>
      </w:r>
      <w:r w:rsidRPr="00A97668" w:rsidR="00A97668">
        <w:t xml:space="preserve"> </w:t>
      </w:r>
      <w:r w:rsidRPr="00A97668" w:rsidR="00027D25">
        <w:t>hours</w:t>
      </w:r>
      <w:r w:rsidRPr="00A97668">
        <w:t xml:space="preserve"> </w:t>
      </w:r>
      <w:r w:rsidRPr="00A97668" w:rsidR="00BD1B77">
        <w:t>(</w:t>
      </w:r>
      <w:r w:rsidRPr="00A97668" w:rsidR="00395A73">
        <w:t>+</w:t>
      </w:r>
      <w:r w:rsidRPr="00A97668" w:rsidR="001302C6">
        <w:t xml:space="preserve">429 </w:t>
      </w:r>
      <w:r w:rsidRPr="00A97668" w:rsidR="00BD1B77">
        <w:t>hours</w:t>
      </w:r>
      <w:r w:rsidRPr="000A63A5">
        <w:t>).</w:t>
      </w:r>
      <w:r w:rsidRPr="00A97668" w:rsidR="00661629">
        <w:t xml:space="preserve"> </w:t>
      </w:r>
      <w:r w:rsidRPr="00A97668" w:rsidR="00221642">
        <w:t xml:space="preserve"> </w:t>
      </w:r>
      <w:r w:rsidRPr="00A97668">
        <w:t>The</w:t>
      </w:r>
      <w:r w:rsidRPr="00A97668" w:rsidR="00BD1B77">
        <w:t>ses</w:t>
      </w:r>
      <w:r w:rsidRPr="00A97668">
        <w:t xml:space="preserve"> change </w:t>
      </w:r>
      <w:r w:rsidRPr="00A97668" w:rsidR="00BD1B77">
        <w:t xml:space="preserve">are </w:t>
      </w:r>
      <w:r w:rsidRPr="00A97668">
        <w:t xml:space="preserve">due to a re-estimate of the number of responses given </w:t>
      </w:r>
      <w:r w:rsidRPr="000A63A5">
        <w:t xml:space="preserve">the </w:t>
      </w:r>
      <w:r w:rsidRPr="000A63A5" w:rsidR="00573F7B">
        <w:t xml:space="preserve">(1) </w:t>
      </w:r>
      <w:r w:rsidRPr="000A63A5">
        <w:t xml:space="preserve">increasing number of 800 MHz licensees that have completed 800 MHz </w:t>
      </w:r>
      <w:r w:rsidRPr="000A63A5">
        <w:t>rebanding</w:t>
      </w:r>
      <w:r w:rsidRPr="000A63A5" w:rsidR="00395A73">
        <w:t>,</w:t>
      </w:r>
      <w:r w:rsidRPr="000A63A5" w:rsidR="00210723">
        <w:t xml:space="preserve"> </w:t>
      </w:r>
      <w:r w:rsidRPr="000A63A5" w:rsidR="00573F7B">
        <w:t xml:space="preserve">(2) </w:t>
      </w:r>
      <w:r w:rsidRPr="000A63A5" w:rsidR="00210723">
        <w:t>decreasing number of licensees that have filed interference complaints</w:t>
      </w:r>
      <w:r w:rsidRPr="000A63A5" w:rsidR="00395A73">
        <w:t>, and (3) the increasing number of prior coordination responses stemming from the rising number of 800 MHz Public Safety and CII licensees</w:t>
      </w:r>
      <w:r w:rsidRPr="000A63A5">
        <w:t>.</w:t>
      </w:r>
    </w:p>
    <w:p w:rsidR="007B1903" w:rsidP="00BF0308" w14:paraId="386E3055" w14:textId="77777777">
      <w:pPr>
        <w:pStyle w:val="BodyText"/>
        <w:ind w:left="720"/>
        <w:jc w:val="both"/>
      </w:pPr>
    </w:p>
    <w:p w:rsidR="007B1903" w:rsidP="00BF0308" w14:paraId="35726C20" w14:textId="36CBBFD5">
      <w:pPr>
        <w:pStyle w:val="BodyText"/>
        <w:ind w:left="720"/>
        <w:jc w:val="both"/>
      </w:pPr>
      <w:r>
        <w:t xml:space="preserve">There are no program changes. </w:t>
      </w:r>
    </w:p>
    <w:p w:rsidR="002E662F" w:rsidP="002E662F" w14:paraId="1F5A03E8" w14:textId="77777777">
      <w:pPr>
        <w:autoSpaceDE w:val="0"/>
        <w:autoSpaceDN w:val="0"/>
        <w:adjustRightInd w:val="0"/>
        <w:ind w:left="720"/>
        <w:rPr>
          <w:szCs w:val="22"/>
        </w:rPr>
      </w:pPr>
    </w:p>
    <w:p w:rsidR="002E662F" w:rsidP="000A0C53" w14:paraId="5B54AC21" w14:textId="77777777">
      <w:pPr>
        <w:numPr>
          <w:ilvl w:val="0"/>
          <w:numId w:val="17"/>
        </w:numPr>
        <w:autoSpaceDE w:val="0"/>
        <w:autoSpaceDN w:val="0"/>
        <w:adjustRightInd w:val="0"/>
        <w:snapToGrid w:val="0"/>
        <w:rPr>
          <w:b/>
          <w:szCs w:val="22"/>
        </w:rPr>
      </w:pPr>
      <w:r>
        <w:rPr>
          <w:b/>
          <w:szCs w:val="22"/>
        </w:rPr>
        <w:t>For collections of information whose results will be published, outline plans for tabulation and publication.</w:t>
      </w:r>
    </w:p>
    <w:p w:rsidR="002E662F" w:rsidP="002E662F" w14:paraId="5A5C4774" w14:textId="77777777">
      <w:pPr>
        <w:pStyle w:val="BodyText"/>
        <w:widowControl/>
        <w:autoSpaceDE w:val="0"/>
        <w:autoSpaceDN w:val="0"/>
        <w:adjustRightInd w:val="0"/>
        <w:ind w:left="720"/>
        <w:rPr>
          <w:szCs w:val="24"/>
        </w:rPr>
      </w:pPr>
    </w:p>
    <w:p w:rsidR="00941282" w14:paraId="190FDB68" w14:textId="4D79F439">
      <w:pPr>
        <w:tabs>
          <w:tab w:val="left" w:pos="360"/>
        </w:tabs>
        <w:ind w:left="360" w:hanging="360"/>
      </w:pPr>
      <w:r>
        <w:tab/>
      </w:r>
      <w:r>
        <w:tab/>
      </w:r>
      <w:r>
        <w:t>We do not intend to publish this information for statistical use.</w:t>
      </w:r>
    </w:p>
    <w:p w:rsidR="00DF0646" w:rsidP="00DF0646" w14:paraId="2224D130" w14:textId="77777777">
      <w:pPr>
        <w:autoSpaceDE w:val="0"/>
        <w:autoSpaceDN w:val="0"/>
        <w:adjustRightInd w:val="0"/>
        <w:ind w:left="720"/>
        <w:rPr>
          <w:szCs w:val="24"/>
        </w:rPr>
      </w:pPr>
    </w:p>
    <w:p w:rsidR="00E01F99" w:rsidRPr="00BF0308" w:rsidP="00BF0308" w14:paraId="782843C8" w14:textId="26CBE371">
      <w:pPr>
        <w:numPr>
          <w:ilvl w:val="0"/>
          <w:numId w:val="17"/>
        </w:numPr>
        <w:autoSpaceDE w:val="0"/>
        <w:autoSpaceDN w:val="0"/>
        <w:adjustRightInd w:val="0"/>
        <w:snapToGrid w:val="0"/>
        <w:rPr>
          <w:b/>
          <w:szCs w:val="22"/>
        </w:rPr>
      </w:pPr>
      <w:r>
        <w:rPr>
          <w:b/>
          <w:szCs w:val="22"/>
        </w:rPr>
        <w:t>If seeking approval to not display the expiration date for OMB approval of the information collection, explain the reasons that display would be inappropriate.</w:t>
      </w:r>
    </w:p>
    <w:p w:rsidR="00E01F99" w:rsidP="000A0610" w14:paraId="7F05BE99" w14:textId="77777777">
      <w:pPr>
        <w:tabs>
          <w:tab w:val="left" w:pos="360"/>
        </w:tabs>
      </w:pPr>
    </w:p>
    <w:p w:rsidR="00941282" w:rsidP="00BF0308" w14:paraId="6DC5741D" w14:textId="359FD614">
      <w:pPr>
        <w:tabs>
          <w:tab w:val="left" w:pos="360"/>
        </w:tabs>
        <w:ind w:left="720"/>
      </w:pPr>
      <w:r>
        <w:t>We do not seek approval not to display the expiration date for OMB approval of the information collection.</w:t>
      </w:r>
    </w:p>
    <w:p w:rsidR="00320640" w:rsidP="00320640" w14:paraId="43C17430" w14:textId="77777777">
      <w:pPr>
        <w:autoSpaceDE w:val="0"/>
        <w:autoSpaceDN w:val="0"/>
        <w:adjustRightInd w:val="0"/>
        <w:ind w:left="720"/>
        <w:rPr>
          <w:sz w:val="22"/>
          <w:szCs w:val="22"/>
        </w:rPr>
      </w:pPr>
    </w:p>
    <w:p w:rsidR="00320640" w:rsidP="000A0C53" w14:paraId="6F932828" w14:textId="6373DA13">
      <w:pPr>
        <w:numPr>
          <w:ilvl w:val="0"/>
          <w:numId w:val="17"/>
        </w:numPr>
        <w:autoSpaceDE w:val="0"/>
        <w:autoSpaceDN w:val="0"/>
        <w:adjustRightInd w:val="0"/>
        <w:snapToGrid w:val="0"/>
        <w:rPr>
          <w:szCs w:val="22"/>
        </w:rPr>
      </w:pPr>
      <w:r>
        <w:rPr>
          <w:b/>
          <w:szCs w:val="22"/>
        </w:rPr>
        <w:t>Explain any exceptions to the Certification Statement</w:t>
      </w:r>
      <w:r w:rsidR="001D5F4D">
        <w:rPr>
          <w:b/>
          <w:szCs w:val="22"/>
        </w:rPr>
        <w:t>.</w:t>
      </w:r>
    </w:p>
    <w:p w:rsidR="00320640" w:rsidP="00320640" w14:paraId="7B7874BF" w14:textId="77777777">
      <w:pPr>
        <w:tabs>
          <w:tab w:val="left" w:pos="-720"/>
        </w:tabs>
        <w:suppressAutoHyphens/>
        <w:rPr>
          <w:szCs w:val="24"/>
        </w:rPr>
      </w:pPr>
    </w:p>
    <w:p w:rsidR="00396B0C" w:rsidP="000A63A5" w14:paraId="55E090AB" w14:textId="1E744899">
      <w:pPr>
        <w:pStyle w:val="List2"/>
        <w:ind w:firstLine="0"/>
        <w:rPr>
          <w:rFonts w:ascii="Times New Roman" w:hAnsi="Times New Roman"/>
          <w:sz w:val="24"/>
          <w:szCs w:val="24"/>
          <w:shd w:val="clear" w:color="auto" w:fill="FFFFFF"/>
        </w:rPr>
      </w:pPr>
      <w:r>
        <w:rPr>
          <w:rFonts w:ascii="Times New Roman" w:hAnsi="Times New Roman"/>
          <w:sz w:val="24"/>
          <w:szCs w:val="24"/>
          <w:shd w:val="clear" w:color="auto" w:fill="FFFFFF"/>
        </w:rPr>
        <w:t xml:space="preserve">When the 60/30-day notices were published in the Federal Register on September 5, 2023 (88 FR 60776) and </w:t>
      </w:r>
      <w:r w:rsidR="00F87B42">
        <w:rPr>
          <w:rFonts w:ascii="Times New Roman" w:hAnsi="Times New Roman"/>
          <w:sz w:val="24"/>
          <w:szCs w:val="24"/>
          <w:shd w:val="clear" w:color="auto" w:fill="FFFFFF"/>
        </w:rPr>
        <w:t xml:space="preserve">on </w:t>
      </w:r>
      <w:r>
        <w:rPr>
          <w:rFonts w:ascii="Times New Roman" w:hAnsi="Times New Roman"/>
          <w:sz w:val="24"/>
          <w:szCs w:val="24"/>
          <w:shd w:val="clear" w:color="auto" w:fill="FFFFFF"/>
        </w:rPr>
        <w:t>November 14, 203 (88 FR 78019) respectively, the total annual responses were updated from 2,965 to 2,932 and the total annual burden hours were updated from 9,507 to 9,038, the</w:t>
      </w:r>
      <w:r w:rsidR="001C6F50">
        <w:rPr>
          <w:rFonts w:ascii="Times New Roman" w:hAnsi="Times New Roman"/>
          <w:sz w:val="24"/>
          <w:szCs w:val="24"/>
          <w:shd w:val="clear" w:color="auto" w:fill="FFFFFF"/>
        </w:rPr>
        <w:t>se</w:t>
      </w:r>
      <w:r>
        <w:rPr>
          <w:rFonts w:ascii="Times New Roman" w:hAnsi="Times New Roman"/>
          <w:sz w:val="24"/>
          <w:szCs w:val="24"/>
          <w:shd w:val="clear" w:color="auto" w:fill="FFFFFF"/>
        </w:rPr>
        <w:t xml:space="preserve"> corrections were made and reflected in this submission to OMB.</w:t>
      </w:r>
    </w:p>
    <w:p w:rsidR="00396B0C" w:rsidP="007978DE" w14:paraId="3C4D06A5" w14:textId="77777777">
      <w:pPr>
        <w:pStyle w:val="List2"/>
        <w:ind w:left="0" w:firstLine="720"/>
        <w:rPr>
          <w:rFonts w:ascii="Times New Roman" w:hAnsi="Times New Roman"/>
          <w:sz w:val="24"/>
          <w:szCs w:val="24"/>
          <w:shd w:val="clear" w:color="auto" w:fill="FFFFFF"/>
        </w:rPr>
      </w:pPr>
    </w:p>
    <w:p w:rsidR="00AF121B" w:rsidRPr="006C113C" w:rsidP="007978DE" w14:paraId="02835AD4" w14:textId="63B3E491">
      <w:pPr>
        <w:pStyle w:val="List2"/>
        <w:ind w:left="0" w:firstLine="720"/>
        <w:rPr>
          <w:rFonts w:ascii="Times New Roman" w:hAnsi="Times New Roman"/>
          <w:sz w:val="22"/>
          <w:szCs w:val="22"/>
          <w:shd w:val="clear" w:color="auto" w:fill="FFFFFF"/>
        </w:rPr>
      </w:pPr>
      <w:r>
        <w:rPr>
          <w:rFonts w:ascii="Times New Roman" w:hAnsi="Times New Roman"/>
          <w:sz w:val="24"/>
          <w:szCs w:val="24"/>
          <w:shd w:val="clear" w:color="auto" w:fill="FFFFFF"/>
        </w:rPr>
        <w:t xml:space="preserve">There </w:t>
      </w:r>
      <w:r w:rsidRPr="002F38BF">
        <w:rPr>
          <w:rFonts w:ascii="Times New Roman" w:hAnsi="Times New Roman"/>
          <w:sz w:val="24"/>
          <w:szCs w:val="24"/>
          <w:shd w:val="clear" w:color="auto" w:fill="FFFFFF"/>
        </w:rPr>
        <w:t xml:space="preserve">are no </w:t>
      </w:r>
      <w:r>
        <w:rPr>
          <w:rFonts w:ascii="Times New Roman" w:hAnsi="Times New Roman"/>
          <w:sz w:val="24"/>
          <w:szCs w:val="24"/>
          <w:shd w:val="clear" w:color="auto" w:fill="FFFFFF"/>
        </w:rPr>
        <w:t xml:space="preserve">other </w:t>
      </w:r>
      <w:r w:rsidRPr="002F38BF">
        <w:rPr>
          <w:rFonts w:ascii="Times New Roman" w:hAnsi="Times New Roman"/>
          <w:sz w:val="24"/>
          <w:szCs w:val="24"/>
          <w:shd w:val="clear" w:color="auto" w:fill="FFFFFF"/>
        </w:rPr>
        <w:t>exceptions to the certification statement.</w:t>
      </w:r>
    </w:p>
    <w:p w:rsidR="00941282" w:rsidP="007978DE" w14:paraId="04403A01" w14:textId="77777777">
      <w:pPr>
        <w:tabs>
          <w:tab w:val="left" w:pos="360"/>
        </w:tabs>
        <w:ind w:firstLine="360"/>
        <w:rPr>
          <w:szCs w:val="24"/>
        </w:rPr>
      </w:pPr>
      <w:r>
        <w:tab/>
      </w:r>
    </w:p>
    <w:p w:rsidR="00941282" w:rsidP="00BF0308" w14:paraId="2EFDFAAE" w14:textId="77777777">
      <w:pPr>
        <w:pStyle w:val="BodyText"/>
        <w:jc w:val="both"/>
        <w:rPr>
          <w:b/>
          <w:szCs w:val="24"/>
        </w:rPr>
      </w:pPr>
      <w:r>
        <w:rPr>
          <w:b/>
          <w:szCs w:val="24"/>
        </w:rPr>
        <w:t xml:space="preserve">B.  </w:t>
      </w:r>
      <w:r>
        <w:rPr>
          <w:b/>
          <w:szCs w:val="24"/>
          <w:u w:val="single"/>
        </w:rPr>
        <w:t>Collections of Information Employing Statistical Methods:</w:t>
      </w:r>
    </w:p>
    <w:p w:rsidR="00941282" w14:paraId="6086A62A" w14:textId="77777777">
      <w:pPr>
        <w:pStyle w:val="BodyText"/>
        <w:jc w:val="both"/>
        <w:rPr>
          <w:szCs w:val="24"/>
        </w:rPr>
      </w:pPr>
    </w:p>
    <w:p w:rsidR="00941282" w14:paraId="28A1765C" w14:textId="61CCBDF4">
      <w:pPr>
        <w:pStyle w:val="BodyText"/>
        <w:ind w:left="720"/>
        <w:jc w:val="both"/>
      </w:pPr>
      <w:r>
        <w:t xml:space="preserve">       </w:t>
      </w:r>
      <w:r>
        <w:t>No statistical methods are employed.</w:t>
      </w:r>
    </w:p>
    <w:sectPr>
      <w:footerReference w:type="even" r:id="rId6"/>
      <w:footerReference w:type="default" r:id="rId7"/>
      <w:type w:val="continuous"/>
      <w:pgSz w:w="12240" w:h="15840" w:code="1"/>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1282" w14:paraId="7B68114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41282" w14:paraId="626C762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1282" w14:paraId="05436EFC" w14:textId="5C33BC44">
    <w:pPr>
      <w:pStyle w:val="Footer"/>
      <w:framePr w:wrap="around"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sidR="00955096">
      <w:rPr>
        <w:rStyle w:val="PageNumber"/>
        <w:noProof/>
        <w:sz w:val="20"/>
      </w:rPr>
      <w:t>1</w:t>
    </w:r>
    <w:r>
      <w:rPr>
        <w:rStyle w:val="PageNumber"/>
        <w:sz w:val="20"/>
      </w:rPr>
      <w:fldChar w:fldCharType="end"/>
    </w:r>
  </w:p>
  <w:p w:rsidR="00941282" w14:paraId="0705718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83C1D" w14:paraId="73196020" w14:textId="77777777">
      <w:r>
        <w:separator/>
      </w:r>
    </w:p>
  </w:footnote>
  <w:footnote w:type="continuationSeparator" w:id="1">
    <w:p w:rsidR="00283C1D" w14:paraId="4E5B43BB" w14:textId="77777777">
      <w:r>
        <w:continuationSeparator/>
      </w:r>
    </w:p>
  </w:footnote>
  <w:footnote w:id="2">
    <w:p w:rsidR="00AE52BF" w:rsidRPr="00AE52BF" w:rsidP="00AE52BF" w14:paraId="40F5C84E" w14:textId="65AA26C7">
      <w:pPr>
        <w:pStyle w:val="FootnoteText"/>
      </w:pPr>
      <w:r>
        <w:rPr>
          <w:rStyle w:val="FootnoteReference"/>
        </w:rPr>
        <w:footnoteRef/>
      </w:r>
      <w:r>
        <w:t xml:space="preserve"> T</w:t>
      </w:r>
      <w:r w:rsidRPr="00AE52BF">
        <w:t>he correct title of this information collection</w:t>
      </w:r>
      <w:r>
        <w:t xml:space="preserve"> is</w:t>
      </w:r>
      <w:r w:rsidRPr="00AE52BF">
        <w:t xml:space="preserve"> “</w:t>
      </w:r>
      <w:bookmarkStart w:id="0" w:name="_Hlk150930429"/>
      <w:r w:rsidRPr="00AE52BF">
        <w:t>Collections for the Prevention or Elimination of Interference and for the Reconfiguration of the 800 MHz Band</w:t>
      </w:r>
      <w:bookmarkEnd w:id="0"/>
      <w:r>
        <w:t>,</w:t>
      </w:r>
      <w:r w:rsidRPr="00AE52BF">
        <w:t>”</w:t>
      </w:r>
      <w:r>
        <w:t xml:space="preserve"> as reflected in the 60-day Notice.</w:t>
      </w:r>
      <w:r w:rsidRPr="00AE52BF">
        <w:t xml:space="preserve"> </w:t>
      </w:r>
      <w:r>
        <w:t>Therefore, we are replacing the title of this Supporting Statement to make them the same.</w:t>
      </w:r>
    </w:p>
    <w:p w:rsidR="00AE52BF" w14:paraId="591048B0" w14:textId="301226C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E92A4B"/>
    <w:multiLevelType w:val="hybridMultilevel"/>
    <w:tmpl w:val="6F20B390"/>
    <w:lvl w:ilvl="0">
      <w:start w:val="1"/>
      <w:numFmt w:val="lowerRoman"/>
      <w:lvlText w:val="%1."/>
      <w:lvlJc w:val="left"/>
      <w:pPr>
        <w:ind w:left="1440" w:hanging="720"/>
      </w:pPr>
      <w:rPr>
        <w:rFonts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FBE26D6"/>
    <w:multiLevelType w:val="singleLevel"/>
    <w:tmpl w:val="4EB26BCE"/>
    <w:lvl w:ilvl="0">
      <w:start w:val="1"/>
      <w:numFmt w:val="decimal"/>
      <w:lvlText w:val="%1."/>
      <w:lvlJc w:val="left"/>
      <w:pPr>
        <w:tabs>
          <w:tab w:val="num" w:pos="1080"/>
        </w:tabs>
        <w:ind w:left="1080" w:hanging="360"/>
      </w:pPr>
      <w:rPr>
        <w:rFonts w:hint="default"/>
      </w:rPr>
    </w:lvl>
  </w:abstractNum>
  <w:abstractNum w:abstractNumId="2">
    <w:nsid w:val="12F86B95"/>
    <w:multiLevelType w:val="hybridMultilevel"/>
    <w:tmpl w:val="3230D070"/>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4C75C7A"/>
    <w:multiLevelType w:val="singleLevel"/>
    <w:tmpl w:val="20E426E4"/>
    <w:lvl w:ilvl="0">
      <w:start w:val="1"/>
      <w:numFmt w:val="upperLetter"/>
      <w:lvlJc w:val="left"/>
      <w:pPr>
        <w:tabs>
          <w:tab w:val="num" w:pos="360"/>
        </w:tabs>
        <w:ind w:left="360" w:hanging="360"/>
      </w:pPr>
      <w:rPr>
        <w:rFonts w:hint="default"/>
        <w:b/>
      </w:rPr>
    </w:lvl>
  </w:abstractNum>
  <w:abstractNum w:abstractNumId="4">
    <w:nsid w:val="169F1885"/>
    <w:multiLevelType w:val="hybridMultilevel"/>
    <w:tmpl w:val="BDA86AF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D5737A6"/>
    <w:multiLevelType w:val="hybridMultilevel"/>
    <w:tmpl w:val="E67226B6"/>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3576A8E"/>
    <w:multiLevelType w:val="hybridMultilevel"/>
    <w:tmpl w:val="21C25156"/>
    <w:lvl w:ilvl="0">
      <w:start w:val="1"/>
      <w:numFmt w:val="decimal"/>
      <w:lvlText w:val="%1."/>
      <w:lvlJc w:val="left"/>
      <w:pPr>
        <w:tabs>
          <w:tab w:val="num" w:pos="1080"/>
        </w:tabs>
        <w:ind w:left="0" w:firstLine="360"/>
      </w:pPr>
      <w:rPr>
        <w:rFonts w:hint="default"/>
        <w:b w:val="0"/>
        <w:i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38E4357"/>
    <w:multiLevelType w:val="singleLevel"/>
    <w:tmpl w:val="4440A964"/>
    <w:lvl w:ilvl="0">
      <w:start w:val="13"/>
      <w:numFmt w:val="decimal"/>
      <w:lvlText w:val="%1."/>
      <w:lvlJc w:val="left"/>
      <w:pPr>
        <w:tabs>
          <w:tab w:val="num" w:pos="1080"/>
        </w:tabs>
        <w:ind w:left="0" w:firstLine="720"/>
      </w:pPr>
      <w:rPr>
        <w:rFonts w:ascii="Times New Roman" w:hAnsi="Times New Roman" w:hint="default"/>
        <w:b w:val="0"/>
        <w:i w:val="0"/>
        <w:sz w:val="24"/>
      </w:rPr>
    </w:lvl>
  </w:abstractNum>
  <w:abstractNum w:abstractNumId="8">
    <w:nsid w:val="281A27CC"/>
    <w:multiLevelType w:val="hybridMultilevel"/>
    <w:tmpl w:val="2AA6AAB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2E890863"/>
    <w:multiLevelType w:val="hybridMultilevel"/>
    <w:tmpl w:val="E67226B6"/>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F3B3275"/>
    <w:multiLevelType w:val="hybridMultilevel"/>
    <w:tmpl w:val="B2841D0A"/>
    <w:lvl w:ilvl="0">
      <w:start w:val="1"/>
      <w:numFmt w:val="decimal"/>
      <w:lvlText w:val="%1."/>
      <w:lvlJc w:val="left"/>
      <w:pPr>
        <w:tabs>
          <w:tab w:val="num" w:pos="1080"/>
        </w:tabs>
        <w:ind w:left="1080" w:hanging="720"/>
      </w:pPr>
      <w:rPr>
        <w:rFonts w:hint="default"/>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408C0CCB"/>
    <w:multiLevelType w:val="hybridMultilevel"/>
    <w:tmpl w:val="35324EF4"/>
    <w:lvl w:ilvl="0">
      <w:start w:val="1"/>
      <w:numFmt w:val="lowerLetter"/>
      <w:lvlText w:val="%1."/>
      <w:lvlJc w:val="left"/>
      <w:pPr>
        <w:ind w:left="720" w:hanging="360"/>
      </w:pPr>
      <w:rPr>
        <w:rFonts w:ascii="Times New Roman" w:hAnsi="Times New Roman" w:cs="Times New Roman" w:hint="default"/>
        <w:b/>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16C040B"/>
    <w:multiLevelType w:val="hybridMultilevel"/>
    <w:tmpl w:val="5AC470EC"/>
    <w:lvl w:ilvl="0">
      <w:start w:val="1"/>
      <w:numFmt w:val="lowerRoman"/>
      <w:lvlText w:val="%1."/>
      <w:lvlJc w:val="left"/>
      <w:pPr>
        <w:ind w:left="1440" w:hanging="720"/>
      </w:pPr>
      <w:rPr>
        <w:rFonts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445C2DB8"/>
    <w:multiLevelType w:val="hybridMultilevel"/>
    <w:tmpl w:val="23945C9A"/>
    <w:lvl w:ilvl="0">
      <w:start w:val="5"/>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49434FE1"/>
    <w:multiLevelType w:val="hybridMultilevel"/>
    <w:tmpl w:val="DB84161A"/>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54FC1AAE"/>
    <w:multiLevelType w:val="hybridMultilevel"/>
    <w:tmpl w:val="E1E47A70"/>
    <w:lvl w:ilvl="0">
      <w:start w:val="18"/>
      <w:numFmt w:val="decimal"/>
      <w:lvlText w:val="%1."/>
      <w:lvlJc w:val="left"/>
      <w:pPr>
        <w:tabs>
          <w:tab w:val="num" w:pos="1320"/>
        </w:tabs>
        <w:ind w:left="1320" w:hanging="360"/>
      </w:pPr>
      <w:rPr>
        <w:rFonts w:hint="default"/>
      </w:rPr>
    </w:lvl>
    <w:lvl w:ilvl="1" w:tentative="1">
      <w:start w:val="1"/>
      <w:numFmt w:val="lowerLetter"/>
      <w:lvlText w:val="%2."/>
      <w:lvlJc w:val="left"/>
      <w:pPr>
        <w:tabs>
          <w:tab w:val="num" w:pos="2040"/>
        </w:tabs>
        <w:ind w:left="2040" w:hanging="360"/>
      </w:pPr>
    </w:lvl>
    <w:lvl w:ilvl="2" w:tentative="1">
      <w:start w:val="1"/>
      <w:numFmt w:val="lowerRoman"/>
      <w:lvlText w:val="%3."/>
      <w:lvlJc w:val="right"/>
      <w:pPr>
        <w:tabs>
          <w:tab w:val="num" w:pos="2760"/>
        </w:tabs>
        <w:ind w:left="2760" w:hanging="180"/>
      </w:pPr>
    </w:lvl>
    <w:lvl w:ilvl="3" w:tentative="1">
      <w:start w:val="1"/>
      <w:numFmt w:val="decimal"/>
      <w:lvlText w:val="%4."/>
      <w:lvlJc w:val="left"/>
      <w:pPr>
        <w:tabs>
          <w:tab w:val="num" w:pos="3480"/>
        </w:tabs>
        <w:ind w:left="3480" w:hanging="360"/>
      </w:pPr>
    </w:lvl>
    <w:lvl w:ilvl="4" w:tentative="1">
      <w:start w:val="1"/>
      <w:numFmt w:val="lowerLetter"/>
      <w:lvlText w:val="%5."/>
      <w:lvlJc w:val="left"/>
      <w:pPr>
        <w:tabs>
          <w:tab w:val="num" w:pos="4200"/>
        </w:tabs>
        <w:ind w:left="4200" w:hanging="360"/>
      </w:pPr>
    </w:lvl>
    <w:lvl w:ilvl="5" w:tentative="1">
      <w:start w:val="1"/>
      <w:numFmt w:val="lowerRoman"/>
      <w:lvlText w:val="%6."/>
      <w:lvlJc w:val="right"/>
      <w:pPr>
        <w:tabs>
          <w:tab w:val="num" w:pos="4920"/>
        </w:tabs>
        <w:ind w:left="4920" w:hanging="180"/>
      </w:pPr>
    </w:lvl>
    <w:lvl w:ilvl="6" w:tentative="1">
      <w:start w:val="1"/>
      <w:numFmt w:val="decimal"/>
      <w:lvlText w:val="%7."/>
      <w:lvlJc w:val="left"/>
      <w:pPr>
        <w:tabs>
          <w:tab w:val="num" w:pos="5640"/>
        </w:tabs>
        <w:ind w:left="5640" w:hanging="360"/>
      </w:pPr>
    </w:lvl>
    <w:lvl w:ilvl="7" w:tentative="1">
      <w:start w:val="1"/>
      <w:numFmt w:val="lowerLetter"/>
      <w:lvlText w:val="%8."/>
      <w:lvlJc w:val="left"/>
      <w:pPr>
        <w:tabs>
          <w:tab w:val="num" w:pos="6360"/>
        </w:tabs>
        <w:ind w:left="6360" w:hanging="360"/>
      </w:pPr>
    </w:lvl>
    <w:lvl w:ilvl="8" w:tentative="1">
      <w:start w:val="1"/>
      <w:numFmt w:val="lowerRoman"/>
      <w:lvlText w:val="%9."/>
      <w:lvlJc w:val="right"/>
      <w:pPr>
        <w:tabs>
          <w:tab w:val="num" w:pos="7080"/>
        </w:tabs>
        <w:ind w:left="7080" w:hanging="180"/>
      </w:pPr>
    </w:lvl>
  </w:abstractNum>
  <w:abstractNum w:abstractNumId="16">
    <w:nsid w:val="55FC7BA3"/>
    <w:multiLevelType w:val="hybridMultilevel"/>
    <w:tmpl w:val="9C62DE06"/>
    <w:lvl w:ilvl="0">
      <w:start w:val="2"/>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nsid w:val="61182925"/>
    <w:multiLevelType w:val="singleLevel"/>
    <w:tmpl w:val="C0946FC0"/>
    <w:lvl w:ilvl="0">
      <w:start w:val="1"/>
      <w:numFmt w:val="decimal"/>
      <w:pStyle w:val="ParaNum"/>
      <w:lvlText w:val="%1."/>
      <w:lvlJc w:val="left"/>
      <w:pPr>
        <w:tabs>
          <w:tab w:val="num" w:pos="1080"/>
        </w:tabs>
        <w:ind w:left="0" w:firstLine="720"/>
      </w:pPr>
      <w:rPr>
        <w:rFonts w:hint="default"/>
      </w:rPr>
    </w:lvl>
  </w:abstractNum>
  <w:abstractNum w:abstractNumId="18">
    <w:nsid w:val="63A21AC8"/>
    <w:multiLevelType w:val="singleLevel"/>
    <w:tmpl w:val="F39AE99C"/>
    <w:lvl w:ilvl="0">
      <w:start w:val="2"/>
      <w:numFmt w:val="decimal"/>
      <w:lvlText w:val="%1."/>
      <w:lvlJc w:val="left"/>
      <w:pPr>
        <w:tabs>
          <w:tab w:val="num" w:pos="1080"/>
        </w:tabs>
        <w:ind w:left="0" w:firstLine="720"/>
      </w:pPr>
      <w:rPr>
        <w:rFonts w:ascii="Times New Roman" w:hAnsi="Times New Roman" w:hint="default"/>
        <w:b w:val="0"/>
        <w:i w:val="0"/>
        <w:sz w:val="24"/>
      </w:rPr>
    </w:lvl>
  </w:abstractNum>
  <w:abstractNum w:abstractNumId="19">
    <w:nsid w:val="656A5F7A"/>
    <w:multiLevelType w:val="hybridMultilevel"/>
    <w:tmpl w:val="40462BE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6F4D26F4"/>
    <w:multiLevelType w:val="singleLevel"/>
    <w:tmpl w:val="29180426"/>
    <w:lvl w:ilvl="0">
      <w:start w:val="2"/>
      <w:numFmt w:val="upperLetter"/>
      <w:pStyle w:val="Heading3"/>
      <w:lvlText w:val="%1."/>
      <w:lvlJc w:val="left"/>
      <w:pPr>
        <w:tabs>
          <w:tab w:val="num" w:pos="360"/>
        </w:tabs>
        <w:ind w:left="360" w:hanging="360"/>
      </w:pPr>
      <w:rPr>
        <w:rFonts w:hint="default"/>
      </w:rPr>
    </w:lvl>
  </w:abstractNum>
  <w:num w:numId="1" w16cid:durableId="38626473">
    <w:abstractNumId w:val="18"/>
  </w:num>
  <w:num w:numId="2" w16cid:durableId="1168328781">
    <w:abstractNumId w:val="20"/>
  </w:num>
  <w:num w:numId="3" w16cid:durableId="118963837">
    <w:abstractNumId w:val="7"/>
  </w:num>
  <w:num w:numId="4" w16cid:durableId="790199688">
    <w:abstractNumId w:val="3"/>
  </w:num>
  <w:num w:numId="5" w16cid:durableId="284234303">
    <w:abstractNumId w:val="1"/>
  </w:num>
  <w:num w:numId="6" w16cid:durableId="986402651">
    <w:abstractNumId w:val="16"/>
  </w:num>
  <w:num w:numId="7" w16cid:durableId="30617032">
    <w:abstractNumId w:val="17"/>
  </w:num>
  <w:num w:numId="8" w16cid:durableId="2078433140">
    <w:abstractNumId w:val="20"/>
    <w:lvlOverride w:ilvl="0">
      <w:startOverride w:val="2"/>
    </w:lvlOverride>
  </w:num>
  <w:num w:numId="9" w16cid:durableId="1518274884">
    <w:abstractNumId w:val="18"/>
    <w:lvlOverride w:ilvl="0">
      <w:startOverride w:val="2"/>
    </w:lvlOverride>
  </w:num>
  <w:num w:numId="10" w16cid:durableId="470292240">
    <w:abstractNumId w:val="7"/>
    <w:lvlOverride w:ilvl="0">
      <w:startOverride w:val="13"/>
    </w:lvlOverride>
  </w:num>
  <w:num w:numId="11" w16cid:durableId="1359552388">
    <w:abstractNumId w:val="2"/>
  </w:num>
  <w:num w:numId="12" w16cid:durableId="420295348">
    <w:abstractNumId w:val="10"/>
  </w:num>
  <w:num w:numId="13" w16cid:durableId="802693466">
    <w:abstractNumId w:val="6"/>
  </w:num>
  <w:num w:numId="14" w16cid:durableId="1229461425">
    <w:abstractNumId w:val="4"/>
  </w:num>
  <w:num w:numId="15" w16cid:durableId="416368581">
    <w:abstractNumId w:val="8"/>
  </w:num>
  <w:num w:numId="16" w16cid:durableId="1767114433">
    <w:abstractNumId w:val="15"/>
  </w:num>
  <w:num w:numId="17" w16cid:durableId="9440752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39739867">
    <w:abstractNumId w:val="11"/>
  </w:num>
  <w:num w:numId="19" w16cid:durableId="136726880">
    <w:abstractNumId w:val="0"/>
  </w:num>
  <w:num w:numId="20" w16cid:durableId="1157646756">
    <w:abstractNumId w:val="12"/>
  </w:num>
  <w:num w:numId="21" w16cid:durableId="818574412">
    <w:abstractNumId w:val="14"/>
  </w:num>
  <w:num w:numId="22" w16cid:durableId="1001272094">
    <w:abstractNumId w:val="19"/>
  </w:num>
  <w:num w:numId="23" w16cid:durableId="1506284775">
    <w:abstractNumId w:val="13"/>
  </w:num>
  <w:num w:numId="24" w16cid:durableId="334498919">
    <w:abstractNumId w:val="5"/>
  </w:num>
  <w:num w:numId="25" w16cid:durableId="17667308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63"/>
  <w:displayHorizontalDrawingGridEvery w:val="0"/>
  <w:displayVerticalDrawingGridEvery w:val="2"/>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F05"/>
    <w:rsid w:val="00020817"/>
    <w:rsid w:val="00027D25"/>
    <w:rsid w:val="00032318"/>
    <w:rsid w:val="00041678"/>
    <w:rsid w:val="00041B31"/>
    <w:rsid w:val="00047BB4"/>
    <w:rsid w:val="000632EF"/>
    <w:rsid w:val="00072884"/>
    <w:rsid w:val="00075F16"/>
    <w:rsid w:val="000952C1"/>
    <w:rsid w:val="00097223"/>
    <w:rsid w:val="000A024D"/>
    <w:rsid w:val="000A0610"/>
    <w:rsid w:val="000A0C53"/>
    <w:rsid w:val="000A51BC"/>
    <w:rsid w:val="000A5A54"/>
    <w:rsid w:val="000A63A5"/>
    <w:rsid w:val="000A7A91"/>
    <w:rsid w:val="000B3082"/>
    <w:rsid w:val="000B7604"/>
    <w:rsid w:val="000D537F"/>
    <w:rsid w:val="000E2D65"/>
    <w:rsid w:val="000E4C4D"/>
    <w:rsid w:val="000F41BF"/>
    <w:rsid w:val="001057D4"/>
    <w:rsid w:val="00105A01"/>
    <w:rsid w:val="00107ADB"/>
    <w:rsid w:val="00115B52"/>
    <w:rsid w:val="00122486"/>
    <w:rsid w:val="00122811"/>
    <w:rsid w:val="00122B6D"/>
    <w:rsid w:val="001302C6"/>
    <w:rsid w:val="001321FD"/>
    <w:rsid w:val="00136174"/>
    <w:rsid w:val="0014688C"/>
    <w:rsid w:val="00164E73"/>
    <w:rsid w:val="0016545B"/>
    <w:rsid w:val="0017600E"/>
    <w:rsid w:val="00182E95"/>
    <w:rsid w:val="0019301C"/>
    <w:rsid w:val="0019318F"/>
    <w:rsid w:val="00194584"/>
    <w:rsid w:val="001A06B4"/>
    <w:rsid w:val="001A23A0"/>
    <w:rsid w:val="001A6EE5"/>
    <w:rsid w:val="001A7D97"/>
    <w:rsid w:val="001C0E0D"/>
    <w:rsid w:val="001C500A"/>
    <w:rsid w:val="001C62B3"/>
    <w:rsid w:val="001C6F50"/>
    <w:rsid w:val="001D2260"/>
    <w:rsid w:val="001D5C75"/>
    <w:rsid w:val="001D5F4D"/>
    <w:rsid w:val="001F0142"/>
    <w:rsid w:val="001F3A81"/>
    <w:rsid w:val="0020698F"/>
    <w:rsid w:val="00206FE0"/>
    <w:rsid w:val="00210723"/>
    <w:rsid w:val="00215D20"/>
    <w:rsid w:val="00216BE9"/>
    <w:rsid w:val="00221642"/>
    <w:rsid w:val="002217AF"/>
    <w:rsid w:val="00227BF7"/>
    <w:rsid w:val="0023679E"/>
    <w:rsid w:val="002600FC"/>
    <w:rsid w:val="00275726"/>
    <w:rsid w:val="0027735B"/>
    <w:rsid w:val="00283C1D"/>
    <w:rsid w:val="002935A7"/>
    <w:rsid w:val="002950E0"/>
    <w:rsid w:val="002A4224"/>
    <w:rsid w:val="002B5098"/>
    <w:rsid w:val="002B6DED"/>
    <w:rsid w:val="002C28C6"/>
    <w:rsid w:val="002D155A"/>
    <w:rsid w:val="002E54F3"/>
    <w:rsid w:val="002E662F"/>
    <w:rsid w:val="002F2D93"/>
    <w:rsid w:val="002F38BF"/>
    <w:rsid w:val="002F42C4"/>
    <w:rsid w:val="002F5529"/>
    <w:rsid w:val="00307068"/>
    <w:rsid w:val="003106FD"/>
    <w:rsid w:val="00320640"/>
    <w:rsid w:val="00324151"/>
    <w:rsid w:val="003423A5"/>
    <w:rsid w:val="003605D9"/>
    <w:rsid w:val="00376654"/>
    <w:rsid w:val="00386990"/>
    <w:rsid w:val="00391C56"/>
    <w:rsid w:val="00393054"/>
    <w:rsid w:val="00393F64"/>
    <w:rsid w:val="00395A73"/>
    <w:rsid w:val="00395D90"/>
    <w:rsid w:val="00396B0C"/>
    <w:rsid w:val="003A3D35"/>
    <w:rsid w:val="003A7088"/>
    <w:rsid w:val="003B056F"/>
    <w:rsid w:val="003B1164"/>
    <w:rsid w:val="003B4BE5"/>
    <w:rsid w:val="003B4E7F"/>
    <w:rsid w:val="003C2BE8"/>
    <w:rsid w:val="003C32C4"/>
    <w:rsid w:val="003C3B65"/>
    <w:rsid w:val="003D087E"/>
    <w:rsid w:val="003F5E34"/>
    <w:rsid w:val="003F79E7"/>
    <w:rsid w:val="00401B6D"/>
    <w:rsid w:val="004051B8"/>
    <w:rsid w:val="00412D58"/>
    <w:rsid w:val="004265E9"/>
    <w:rsid w:val="004308D9"/>
    <w:rsid w:val="004312D3"/>
    <w:rsid w:val="00463CD7"/>
    <w:rsid w:val="004645CC"/>
    <w:rsid w:val="004725A9"/>
    <w:rsid w:val="00475E57"/>
    <w:rsid w:val="004844AD"/>
    <w:rsid w:val="00490CFA"/>
    <w:rsid w:val="004A1C34"/>
    <w:rsid w:val="004A486D"/>
    <w:rsid w:val="004A5F1F"/>
    <w:rsid w:val="004B099A"/>
    <w:rsid w:val="004B2934"/>
    <w:rsid w:val="004B5891"/>
    <w:rsid w:val="004B59CC"/>
    <w:rsid w:val="004D74B7"/>
    <w:rsid w:val="004E1139"/>
    <w:rsid w:val="004E72A8"/>
    <w:rsid w:val="004F06BF"/>
    <w:rsid w:val="004F1331"/>
    <w:rsid w:val="004F6D5F"/>
    <w:rsid w:val="00503EDC"/>
    <w:rsid w:val="0050781B"/>
    <w:rsid w:val="00521A97"/>
    <w:rsid w:val="005247DE"/>
    <w:rsid w:val="00524A42"/>
    <w:rsid w:val="005305C7"/>
    <w:rsid w:val="005477C2"/>
    <w:rsid w:val="00550FA3"/>
    <w:rsid w:val="00551B72"/>
    <w:rsid w:val="00552661"/>
    <w:rsid w:val="00554B9A"/>
    <w:rsid w:val="00555D63"/>
    <w:rsid w:val="005660C4"/>
    <w:rsid w:val="00573F7B"/>
    <w:rsid w:val="00576115"/>
    <w:rsid w:val="0059278A"/>
    <w:rsid w:val="005979AD"/>
    <w:rsid w:val="005A046C"/>
    <w:rsid w:val="005B010C"/>
    <w:rsid w:val="005B02D2"/>
    <w:rsid w:val="005B148D"/>
    <w:rsid w:val="005B44A9"/>
    <w:rsid w:val="005B4FDA"/>
    <w:rsid w:val="005C1F7E"/>
    <w:rsid w:val="005C20E3"/>
    <w:rsid w:val="005C7D75"/>
    <w:rsid w:val="005D0CC8"/>
    <w:rsid w:val="005D1DE6"/>
    <w:rsid w:val="005D6FDC"/>
    <w:rsid w:val="005E59DA"/>
    <w:rsid w:val="005F30B5"/>
    <w:rsid w:val="005F3715"/>
    <w:rsid w:val="005F3CF2"/>
    <w:rsid w:val="005F512D"/>
    <w:rsid w:val="0060117A"/>
    <w:rsid w:val="00607B74"/>
    <w:rsid w:val="00613DD7"/>
    <w:rsid w:val="00625240"/>
    <w:rsid w:val="006335B1"/>
    <w:rsid w:val="00636874"/>
    <w:rsid w:val="0063690B"/>
    <w:rsid w:val="00654B1C"/>
    <w:rsid w:val="00657DED"/>
    <w:rsid w:val="00661629"/>
    <w:rsid w:val="006641DF"/>
    <w:rsid w:val="00665615"/>
    <w:rsid w:val="006673A6"/>
    <w:rsid w:val="00673CA2"/>
    <w:rsid w:val="00675AA6"/>
    <w:rsid w:val="00681CAF"/>
    <w:rsid w:val="00687CB3"/>
    <w:rsid w:val="00691E0E"/>
    <w:rsid w:val="006949F0"/>
    <w:rsid w:val="00697E18"/>
    <w:rsid w:val="006A7FE9"/>
    <w:rsid w:val="006B02E3"/>
    <w:rsid w:val="006B108F"/>
    <w:rsid w:val="006B11D9"/>
    <w:rsid w:val="006B2CC3"/>
    <w:rsid w:val="006B3280"/>
    <w:rsid w:val="006C113C"/>
    <w:rsid w:val="006C6C6A"/>
    <w:rsid w:val="006F4D06"/>
    <w:rsid w:val="00702FD7"/>
    <w:rsid w:val="00707AB5"/>
    <w:rsid w:val="00710E99"/>
    <w:rsid w:val="00711077"/>
    <w:rsid w:val="00721E2A"/>
    <w:rsid w:val="00741B82"/>
    <w:rsid w:val="007439F3"/>
    <w:rsid w:val="00746C6E"/>
    <w:rsid w:val="0075281F"/>
    <w:rsid w:val="00756888"/>
    <w:rsid w:val="00762451"/>
    <w:rsid w:val="00766132"/>
    <w:rsid w:val="00770647"/>
    <w:rsid w:val="007715FF"/>
    <w:rsid w:val="00773262"/>
    <w:rsid w:val="00780870"/>
    <w:rsid w:val="00780D16"/>
    <w:rsid w:val="00791051"/>
    <w:rsid w:val="007952D2"/>
    <w:rsid w:val="00797023"/>
    <w:rsid w:val="007978DE"/>
    <w:rsid w:val="007A08F0"/>
    <w:rsid w:val="007A0A8F"/>
    <w:rsid w:val="007A19EA"/>
    <w:rsid w:val="007A6859"/>
    <w:rsid w:val="007B062B"/>
    <w:rsid w:val="007B0D72"/>
    <w:rsid w:val="007B1903"/>
    <w:rsid w:val="007B2302"/>
    <w:rsid w:val="007C4646"/>
    <w:rsid w:val="007C648C"/>
    <w:rsid w:val="007E315C"/>
    <w:rsid w:val="007F32A3"/>
    <w:rsid w:val="007F4DA4"/>
    <w:rsid w:val="007F5EF0"/>
    <w:rsid w:val="00807CB1"/>
    <w:rsid w:val="008104FF"/>
    <w:rsid w:val="00814884"/>
    <w:rsid w:val="00816199"/>
    <w:rsid w:val="00817EF2"/>
    <w:rsid w:val="00820D89"/>
    <w:rsid w:val="00822460"/>
    <w:rsid w:val="00823E62"/>
    <w:rsid w:val="008346D7"/>
    <w:rsid w:val="0084258E"/>
    <w:rsid w:val="008455F0"/>
    <w:rsid w:val="00845DC1"/>
    <w:rsid w:val="0084769D"/>
    <w:rsid w:val="00847CD4"/>
    <w:rsid w:val="00851865"/>
    <w:rsid w:val="008518DF"/>
    <w:rsid w:val="00863A2A"/>
    <w:rsid w:val="00864ECA"/>
    <w:rsid w:val="00870A92"/>
    <w:rsid w:val="00872D08"/>
    <w:rsid w:val="008759F9"/>
    <w:rsid w:val="0087700C"/>
    <w:rsid w:val="008838EB"/>
    <w:rsid w:val="008862FD"/>
    <w:rsid w:val="00887A03"/>
    <w:rsid w:val="00887F3F"/>
    <w:rsid w:val="00891C8A"/>
    <w:rsid w:val="00895939"/>
    <w:rsid w:val="008A2F9B"/>
    <w:rsid w:val="008B181A"/>
    <w:rsid w:val="008B377F"/>
    <w:rsid w:val="008C06C9"/>
    <w:rsid w:val="008C106A"/>
    <w:rsid w:val="008C4B1C"/>
    <w:rsid w:val="008C6184"/>
    <w:rsid w:val="008C726C"/>
    <w:rsid w:val="008C754B"/>
    <w:rsid w:val="008D1ED1"/>
    <w:rsid w:val="008D45A5"/>
    <w:rsid w:val="008D5826"/>
    <w:rsid w:val="008E2B8D"/>
    <w:rsid w:val="008E3296"/>
    <w:rsid w:val="008F31F4"/>
    <w:rsid w:val="008F40E9"/>
    <w:rsid w:val="008F6870"/>
    <w:rsid w:val="00901D80"/>
    <w:rsid w:val="00921BB1"/>
    <w:rsid w:val="00936F36"/>
    <w:rsid w:val="00941282"/>
    <w:rsid w:val="00955096"/>
    <w:rsid w:val="00955CCF"/>
    <w:rsid w:val="00957BD0"/>
    <w:rsid w:val="00964A60"/>
    <w:rsid w:val="00974665"/>
    <w:rsid w:val="00990E57"/>
    <w:rsid w:val="00993881"/>
    <w:rsid w:val="009A1F7F"/>
    <w:rsid w:val="009A2214"/>
    <w:rsid w:val="009A2EB2"/>
    <w:rsid w:val="009A44E2"/>
    <w:rsid w:val="009B11AA"/>
    <w:rsid w:val="009B3ABD"/>
    <w:rsid w:val="009B6F5C"/>
    <w:rsid w:val="009C3CB5"/>
    <w:rsid w:val="009C4EDD"/>
    <w:rsid w:val="009C6A72"/>
    <w:rsid w:val="009D5647"/>
    <w:rsid w:val="009E088C"/>
    <w:rsid w:val="009E55A9"/>
    <w:rsid w:val="009E6E1E"/>
    <w:rsid w:val="009F0D84"/>
    <w:rsid w:val="00A05213"/>
    <w:rsid w:val="00A11C15"/>
    <w:rsid w:val="00A14AB3"/>
    <w:rsid w:val="00A202E6"/>
    <w:rsid w:val="00A22B80"/>
    <w:rsid w:val="00A24749"/>
    <w:rsid w:val="00A2626D"/>
    <w:rsid w:val="00A348B8"/>
    <w:rsid w:val="00A40276"/>
    <w:rsid w:val="00A559F4"/>
    <w:rsid w:val="00A57037"/>
    <w:rsid w:val="00A63F16"/>
    <w:rsid w:val="00A73970"/>
    <w:rsid w:val="00A802C9"/>
    <w:rsid w:val="00A80C44"/>
    <w:rsid w:val="00A8573D"/>
    <w:rsid w:val="00A8787E"/>
    <w:rsid w:val="00A943BF"/>
    <w:rsid w:val="00A9525D"/>
    <w:rsid w:val="00A97668"/>
    <w:rsid w:val="00AA1D04"/>
    <w:rsid w:val="00AB13FB"/>
    <w:rsid w:val="00AB29A8"/>
    <w:rsid w:val="00AB3B81"/>
    <w:rsid w:val="00AB7674"/>
    <w:rsid w:val="00AC3FBF"/>
    <w:rsid w:val="00AD0CCD"/>
    <w:rsid w:val="00AD34BC"/>
    <w:rsid w:val="00AD5B1C"/>
    <w:rsid w:val="00AE0F19"/>
    <w:rsid w:val="00AE13E3"/>
    <w:rsid w:val="00AE467D"/>
    <w:rsid w:val="00AE52BF"/>
    <w:rsid w:val="00AE60DF"/>
    <w:rsid w:val="00AE74CD"/>
    <w:rsid w:val="00AF121B"/>
    <w:rsid w:val="00AF50C9"/>
    <w:rsid w:val="00B02B60"/>
    <w:rsid w:val="00B11890"/>
    <w:rsid w:val="00B154BF"/>
    <w:rsid w:val="00B237ED"/>
    <w:rsid w:val="00B242AE"/>
    <w:rsid w:val="00B34CFE"/>
    <w:rsid w:val="00B37D2C"/>
    <w:rsid w:val="00B37FBC"/>
    <w:rsid w:val="00B40299"/>
    <w:rsid w:val="00B558AE"/>
    <w:rsid w:val="00B64931"/>
    <w:rsid w:val="00B723E2"/>
    <w:rsid w:val="00B74F41"/>
    <w:rsid w:val="00B75D5B"/>
    <w:rsid w:val="00B81593"/>
    <w:rsid w:val="00B8609B"/>
    <w:rsid w:val="00B86E23"/>
    <w:rsid w:val="00B940DF"/>
    <w:rsid w:val="00BA4F25"/>
    <w:rsid w:val="00BB211C"/>
    <w:rsid w:val="00BC1F6C"/>
    <w:rsid w:val="00BC70E5"/>
    <w:rsid w:val="00BC7676"/>
    <w:rsid w:val="00BD1B77"/>
    <w:rsid w:val="00BD56CF"/>
    <w:rsid w:val="00BE63A3"/>
    <w:rsid w:val="00BF0308"/>
    <w:rsid w:val="00BF1954"/>
    <w:rsid w:val="00BF4119"/>
    <w:rsid w:val="00C04586"/>
    <w:rsid w:val="00C07247"/>
    <w:rsid w:val="00C109CC"/>
    <w:rsid w:val="00C160D9"/>
    <w:rsid w:val="00C16C37"/>
    <w:rsid w:val="00C333E3"/>
    <w:rsid w:val="00C34883"/>
    <w:rsid w:val="00C50607"/>
    <w:rsid w:val="00C50E19"/>
    <w:rsid w:val="00C54DE7"/>
    <w:rsid w:val="00C6123F"/>
    <w:rsid w:val="00C66631"/>
    <w:rsid w:val="00C84F1C"/>
    <w:rsid w:val="00C960BC"/>
    <w:rsid w:val="00CA42C7"/>
    <w:rsid w:val="00CB1D5E"/>
    <w:rsid w:val="00CC45D3"/>
    <w:rsid w:val="00CC72B6"/>
    <w:rsid w:val="00CD0A48"/>
    <w:rsid w:val="00CD43C6"/>
    <w:rsid w:val="00CD4D6B"/>
    <w:rsid w:val="00CE3F05"/>
    <w:rsid w:val="00CF1122"/>
    <w:rsid w:val="00CF750D"/>
    <w:rsid w:val="00D02754"/>
    <w:rsid w:val="00D179BB"/>
    <w:rsid w:val="00D23C46"/>
    <w:rsid w:val="00D24645"/>
    <w:rsid w:val="00D24B66"/>
    <w:rsid w:val="00D26E14"/>
    <w:rsid w:val="00D27D5D"/>
    <w:rsid w:val="00D32EAC"/>
    <w:rsid w:val="00D41FEC"/>
    <w:rsid w:val="00D447AE"/>
    <w:rsid w:val="00D5432E"/>
    <w:rsid w:val="00D57191"/>
    <w:rsid w:val="00D60CC1"/>
    <w:rsid w:val="00D67CF4"/>
    <w:rsid w:val="00D74AC0"/>
    <w:rsid w:val="00DA46F7"/>
    <w:rsid w:val="00DB094C"/>
    <w:rsid w:val="00DB21FC"/>
    <w:rsid w:val="00DC1A6D"/>
    <w:rsid w:val="00DC1BDA"/>
    <w:rsid w:val="00DC424E"/>
    <w:rsid w:val="00DC6CD3"/>
    <w:rsid w:val="00DC76E1"/>
    <w:rsid w:val="00DD1EA3"/>
    <w:rsid w:val="00DD45D4"/>
    <w:rsid w:val="00DD6B46"/>
    <w:rsid w:val="00DE592B"/>
    <w:rsid w:val="00DE5B2A"/>
    <w:rsid w:val="00DE73FE"/>
    <w:rsid w:val="00DF0646"/>
    <w:rsid w:val="00DF1355"/>
    <w:rsid w:val="00E01F99"/>
    <w:rsid w:val="00E05994"/>
    <w:rsid w:val="00E07358"/>
    <w:rsid w:val="00E17CFC"/>
    <w:rsid w:val="00E24E1F"/>
    <w:rsid w:val="00E321E9"/>
    <w:rsid w:val="00E34763"/>
    <w:rsid w:val="00E479C1"/>
    <w:rsid w:val="00E52794"/>
    <w:rsid w:val="00E55591"/>
    <w:rsid w:val="00E67DDC"/>
    <w:rsid w:val="00E70169"/>
    <w:rsid w:val="00E83573"/>
    <w:rsid w:val="00E92212"/>
    <w:rsid w:val="00E95964"/>
    <w:rsid w:val="00EA10E1"/>
    <w:rsid w:val="00EA23F0"/>
    <w:rsid w:val="00EC67AE"/>
    <w:rsid w:val="00ED09C5"/>
    <w:rsid w:val="00ED553C"/>
    <w:rsid w:val="00EE1F47"/>
    <w:rsid w:val="00EE5641"/>
    <w:rsid w:val="00EF04E8"/>
    <w:rsid w:val="00EF1A04"/>
    <w:rsid w:val="00F0271C"/>
    <w:rsid w:val="00F0640C"/>
    <w:rsid w:val="00F16B90"/>
    <w:rsid w:val="00F36084"/>
    <w:rsid w:val="00F50BE2"/>
    <w:rsid w:val="00F636BE"/>
    <w:rsid w:val="00F66FF6"/>
    <w:rsid w:val="00F756F5"/>
    <w:rsid w:val="00F77A78"/>
    <w:rsid w:val="00F814E9"/>
    <w:rsid w:val="00F83498"/>
    <w:rsid w:val="00F873FB"/>
    <w:rsid w:val="00F87B42"/>
    <w:rsid w:val="00F91042"/>
    <w:rsid w:val="00FA1483"/>
    <w:rsid w:val="00FA4DCC"/>
    <w:rsid w:val="00FB2CFE"/>
    <w:rsid w:val="00FB4650"/>
    <w:rsid w:val="00FC1A7F"/>
    <w:rsid w:val="00FC341A"/>
    <w:rsid w:val="00FC6738"/>
    <w:rsid w:val="00FE5050"/>
    <w:rsid w:val="00FE57B0"/>
    <w:rsid w:val="00FF1732"/>
    <w:rsid w:val="00FF34E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C15149B"/>
  <w15:docId w15:val="{63DC739C-0B04-4E28-9678-86FC34861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widowControl w:val="0"/>
      <w:tabs>
        <w:tab w:val="left" w:pos="0"/>
      </w:tabs>
      <w:suppressAutoHyphens/>
      <w:outlineLvl w:val="0"/>
    </w:pPr>
    <w:rPr>
      <w:b/>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widowControl w:val="0"/>
      <w:numPr>
        <w:numId w:val="2"/>
      </w:numPr>
      <w:tabs>
        <w:tab w:val="left" w:pos="0"/>
      </w:tabs>
      <w:suppressAutoHyphens/>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tabs>
        <w:tab w:val="left" w:pos="0"/>
      </w:tabs>
      <w:suppressAutoHyphens/>
    </w:pPr>
  </w:style>
  <w:style w:type="paragraph" w:customStyle="1" w:styleId="ParaNum">
    <w:name w:val="ParaNum"/>
    <w:basedOn w:val="Normal"/>
    <w:pPr>
      <w:widowControl w:val="0"/>
      <w:numPr>
        <w:numId w:val="7"/>
      </w:numPr>
      <w:spacing w:after="220"/>
      <w:jc w:val="both"/>
    </w:pPr>
    <w:rPr>
      <w:snapToGrid w:val="0"/>
      <w:kern w:val="28"/>
      <w:sz w:val="22"/>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character" w:customStyle="1" w:styleId="documentbody1">
    <w:name w:val="documentbody1"/>
    <w:rPr>
      <w:rFonts w:ascii="Verdana" w:hAnsi="Verdana" w:hint="default"/>
      <w:sz w:val="19"/>
      <w:szCs w:val="19"/>
      <w:shd w:val="clear" w:color="auto" w:fill="FFFFFF"/>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Strong">
    <w:name w:val="Strong"/>
    <w:qFormat/>
    <w:rPr>
      <w:b/>
      <w:bCs/>
    </w:rPr>
  </w:style>
  <w:style w:type="paragraph" w:customStyle="1" w:styleId="ParaNumCharCharCharCharCharCharCharCharCharCharCharChar1">
    <w:name w:val="ParaNum Char Char Char Char Char Char Char Char Char Char Char Char1"/>
    <w:basedOn w:val="Normal"/>
    <w:link w:val="ParaNumCharCharCharCharCharCharCharCharCharCharCharChar1Char"/>
    <w:pPr>
      <w:widowControl w:val="0"/>
      <w:tabs>
        <w:tab w:val="left" w:pos="1440"/>
      </w:tabs>
      <w:spacing w:after="220"/>
      <w:ind w:firstLine="720"/>
    </w:pPr>
    <w:rPr>
      <w:snapToGrid w:val="0"/>
      <w:kern w:val="28"/>
      <w:sz w:val="22"/>
    </w:rPr>
  </w:style>
  <w:style w:type="character" w:customStyle="1" w:styleId="ParaNumCharCharCharCharCharCharCharCharCharCharCharChar1Char">
    <w:name w:val="ParaNum Char Char Char Char Char Char Char Char Char Char Char Char1 Char"/>
    <w:link w:val="ParaNumCharCharCharCharCharCharCharCharCharCharCharChar1"/>
    <w:rPr>
      <w:snapToGrid w:val="0"/>
      <w:kern w:val="28"/>
      <w:sz w:val="22"/>
      <w:lang w:val="en-US" w:eastAsia="en-US" w:bidi="ar-SA"/>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NormalWeb">
    <w:name w:val="Normal (Web)"/>
    <w:basedOn w:val="Normal"/>
    <w:rPr>
      <w:color w:val="000000"/>
      <w:szCs w:val="24"/>
    </w:rPr>
  </w:style>
  <w:style w:type="character" w:styleId="Hyperlink">
    <w:name w:val="Hyperlink"/>
    <w:rPr>
      <w:color w:val="0000FF"/>
      <w:u w:val="single"/>
    </w:rPr>
  </w:style>
  <w:style w:type="paragraph" w:styleId="List2">
    <w:name w:val="List 2"/>
    <w:basedOn w:val="Normal"/>
    <w:rsid w:val="00AF121B"/>
    <w:pPr>
      <w:widowControl w:val="0"/>
      <w:ind w:left="720" w:hanging="360"/>
    </w:pPr>
    <w:rPr>
      <w:rFonts w:ascii="Courier" w:hAnsi="Courier"/>
      <w:snapToGrid w:val="0"/>
      <w:sz w:val="20"/>
    </w:rPr>
  </w:style>
  <w:style w:type="character" w:styleId="UnresolvedMention">
    <w:name w:val="Unresolved Mention"/>
    <w:basedOn w:val="DefaultParagraphFont"/>
    <w:uiPriority w:val="99"/>
    <w:semiHidden/>
    <w:unhideWhenUsed/>
    <w:rsid w:val="00817EF2"/>
    <w:rPr>
      <w:color w:val="605E5C"/>
      <w:shd w:val="clear" w:color="auto" w:fill="E1DFDD"/>
    </w:rPr>
  </w:style>
  <w:style w:type="paragraph" w:styleId="Revision">
    <w:name w:val="Revision"/>
    <w:hidden/>
    <w:uiPriority w:val="99"/>
    <w:semiHidden/>
    <w:rsid w:val="00993881"/>
    <w:rPr>
      <w:sz w:val="24"/>
    </w:rPr>
  </w:style>
  <w:style w:type="paragraph" w:styleId="ListParagraph">
    <w:name w:val="List Paragraph"/>
    <w:basedOn w:val="Normal"/>
    <w:uiPriority w:val="34"/>
    <w:qFormat/>
    <w:rsid w:val="0020698F"/>
    <w:pPr>
      <w:ind w:left="720"/>
      <w:contextualSpacing/>
    </w:pPr>
  </w:style>
  <w:style w:type="paragraph" w:styleId="FootnoteText">
    <w:name w:val="footnote text"/>
    <w:basedOn w:val="Normal"/>
    <w:link w:val="FootnoteTextChar"/>
    <w:semiHidden/>
    <w:unhideWhenUsed/>
    <w:rsid w:val="00AE52BF"/>
    <w:rPr>
      <w:sz w:val="20"/>
    </w:rPr>
  </w:style>
  <w:style w:type="character" w:customStyle="1" w:styleId="FootnoteTextChar">
    <w:name w:val="Footnote Text Char"/>
    <w:basedOn w:val="DefaultParagraphFont"/>
    <w:link w:val="FootnoteText"/>
    <w:semiHidden/>
    <w:rsid w:val="00AE52BF"/>
  </w:style>
  <w:style w:type="character" w:styleId="FootnoteReference">
    <w:name w:val="footnote reference"/>
    <w:basedOn w:val="DefaultParagraphFont"/>
    <w:semiHidden/>
    <w:unhideWhenUsed/>
    <w:rsid w:val="00AE52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D54AC-62BA-4291-87F9-EA41C05A5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3920</Words>
  <Characters>22349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FCC</Company>
  <LinksUpToDate>false</LinksUpToDate>
  <CharactersWithSpaces>26217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John.Evanoff</dc:creator>
  <cp:lastModifiedBy>Nicole Ongele</cp:lastModifiedBy>
  <cp:revision>7</cp:revision>
  <cp:lastPrinted>2023-11-14T17:36:00Z</cp:lastPrinted>
  <dcterms:created xsi:type="dcterms:W3CDTF">2023-11-15T16:09:00Z</dcterms:created>
  <dcterms:modified xsi:type="dcterms:W3CDTF">2023-11-15T16:15:00Z</dcterms:modified>
</cp:coreProperties>
</file>