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6C63" w:rsidRPr="00855D2C" w14:paraId="5B69B460" w14:textId="77777777">
      <w:pPr>
        <w:tabs>
          <w:tab w:val="center" w:pos="4680"/>
        </w:tabs>
        <w:jc w:val="center"/>
        <w:rPr>
          <w:rFonts w:ascii="Times New Roman" w:hAnsi="Times New Roman"/>
          <w:b/>
          <w:sz w:val="32"/>
          <w:szCs w:val="32"/>
        </w:rPr>
      </w:pPr>
      <w:bookmarkStart w:id="0" w:name="_GoBack"/>
      <w:bookmarkEnd w:id="0"/>
      <w:r w:rsidRPr="00855D2C">
        <w:rPr>
          <w:rFonts w:ascii="Times New Roman" w:hAnsi="Times New Roman"/>
          <w:b/>
          <w:color w:val="000000"/>
          <w:sz w:val="32"/>
          <w:szCs w:val="32"/>
        </w:rPr>
        <w:t>S</w:t>
      </w:r>
      <w:r w:rsidRPr="00855D2C">
        <w:rPr>
          <w:rFonts w:ascii="Times New Roman" w:hAnsi="Times New Roman"/>
          <w:b/>
          <w:sz w:val="32"/>
          <w:szCs w:val="32"/>
        </w:rPr>
        <w:t>UPPORTING STATEMENT</w:t>
      </w:r>
    </w:p>
    <w:p w:rsidR="007B6C63" w:rsidRPr="00FC41DF" w14:paraId="0139B386" w14:textId="77777777">
      <w:pPr>
        <w:jc w:val="center"/>
        <w:rPr>
          <w:rFonts w:ascii="Times New Roman" w:hAnsi="Times New Roman"/>
          <w:b/>
        </w:rPr>
      </w:pPr>
    </w:p>
    <w:p w:rsidR="007B6C63" w:rsidRPr="00855D2C" w14:paraId="1DA8DDB2" w14:textId="77777777">
      <w:pPr>
        <w:tabs>
          <w:tab w:val="center" w:pos="4680"/>
        </w:tabs>
        <w:jc w:val="center"/>
        <w:rPr>
          <w:rFonts w:ascii="Times New Roman" w:hAnsi="Times New Roman"/>
          <w:b/>
          <w:sz w:val="28"/>
          <w:szCs w:val="28"/>
        </w:rPr>
      </w:pPr>
      <w:r w:rsidRPr="00855D2C">
        <w:rPr>
          <w:rFonts w:ascii="Times New Roman" w:hAnsi="Times New Roman"/>
          <w:b/>
          <w:sz w:val="28"/>
          <w:szCs w:val="28"/>
        </w:rPr>
        <w:t xml:space="preserve">QUARTERLY </w:t>
      </w:r>
      <w:r w:rsidRPr="00855D2C">
        <w:rPr>
          <w:rFonts w:ascii="Times New Roman" w:hAnsi="Times New Roman"/>
          <w:b/>
          <w:sz w:val="28"/>
          <w:szCs w:val="28"/>
        </w:rPr>
        <w:t xml:space="preserve">CERTIFIED STATEMENT </w:t>
      </w:r>
      <w:r w:rsidRPr="00855D2C">
        <w:rPr>
          <w:rFonts w:ascii="Times New Roman" w:hAnsi="Times New Roman"/>
          <w:b/>
          <w:sz w:val="28"/>
          <w:szCs w:val="28"/>
        </w:rPr>
        <w:t xml:space="preserve">INVOICE </w:t>
      </w:r>
      <w:r w:rsidRPr="00855D2C">
        <w:rPr>
          <w:rFonts w:ascii="Times New Roman" w:hAnsi="Times New Roman"/>
          <w:b/>
          <w:sz w:val="28"/>
          <w:szCs w:val="28"/>
        </w:rPr>
        <w:t xml:space="preserve">FOR DEPOSIT </w:t>
      </w:r>
    </w:p>
    <w:p w:rsidR="007B6C63" w:rsidRPr="00855D2C" w14:paraId="724DAA1D" w14:textId="77777777">
      <w:pPr>
        <w:tabs>
          <w:tab w:val="center" w:pos="4680"/>
        </w:tabs>
        <w:jc w:val="center"/>
        <w:rPr>
          <w:rFonts w:ascii="Times New Roman" w:hAnsi="Times New Roman"/>
          <w:b/>
          <w:sz w:val="28"/>
          <w:szCs w:val="28"/>
        </w:rPr>
      </w:pPr>
      <w:r w:rsidRPr="00855D2C">
        <w:rPr>
          <w:rFonts w:ascii="Times New Roman" w:hAnsi="Times New Roman"/>
          <w:b/>
          <w:sz w:val="28"/>
          <w:szCs w:val="28"/>
        </w:rPr>
        <w:t>INSURANCE ASSESSMENT</w:t>
      </w:r>
    </w:p>
    <w:p w:rsidR="007B6C63" w:rsidRPr="00855D2C" w:rsidP="00FC41DF" w14:paraId="28840592" w14:textId="77777777">
      <w:pPr>
        <w:tabs>
          <w:tab w:val="center" w:pos="4680"/>
        </w:tabs>
        <w:jc w:val="center"/>
        <w:rPr>
          <w:rFonts w:ascii="Times New Roman" w:hAnsi="Times New Roman"/>
          <w:b/>
          <w:sz w:val="28"/>
          <w:szCs w:val="28"/>
        </w:rPr>
      </w:pPr>
      <w:r w:rsidRPr="00855D2C">
        <w:rPr>
          <w:rFonts w:ascii="Times New Roman" w:hAnsi="Times New Roman"/>
          <w:b/>
          <w:sz w:val="28"/>
          <w:szCs w:val="28"/>
        </w:rPr>
        <w:t>(OMB No. 3064</w:t>
      </w:r>
      <w:r w:rsidRPr="00855D2C">
        <w:rPr>
          <w:rFonts w:ascii="Times New Roman" w:hAnsi="Times New Roman"/>
          <w:b/>
          <w:sz w:val="28"/>
          <w:szCs w:val="28"/>
        </w:rPr>
        <w:noBreakHyphen/>
        <w:t>0057)</w:t>
      </w:r>
    </w:p>
    <w:p w:rsidR="007B6C63" w14:paraId="6BD68AFA" w14:textId="77777777">
      <w:pPr>
        <w:rPr>
          <w:rFonts w:ascii="Times New Roman" w:hAnsi="Times New Roman"/>
        </w:rPr>
      </w:pPr>
    </w:p>
    <w:p w:rsidR="007B6C63" w:rsidRPr="004C5B45" w14:paraId="209E89F7" w14:textId="77777777">
      <w:pPr>
        <w:rPr>
          <w:rFonts w:ascii="Times New Roman" w:hAnsi="Times New Roman"/>
          <w:b/>
        </w:rPr>
      </w:pPr>
      <w:r w:rsidRPr="004C5B45">
        <w:rPr>
          <w:rFonts w:ascii="Times New Roman" w:hAnsi="Times New Roman"/>
          <w:b/>
        </w:rPr>
        <w:t>INTRODUCTION</w:t>
      </w:r>
    </w:p>
    <w:p w:rsidR="007B6C63" w14:paraId="7D1F86FE" w14:textId="77777777">
      <w:pPr>
        <w:rPr>
          <w:rFonts w:ascii="Times New Roman" w:hAnsi="Times New Roman"/>
        </w:rPr>
      </w:pPr>
    </w:p>
    <w:p w:rsidR="007B6C63" w14:paraId="3D8ABC4E" w14:textId="77777777">
      <w:pPr>
        <w:rPr>
          <w:rFonts w:ascii="Times New Roman" w:hAnsi="Times New Roman"/>
        </w:rPr>
      </w:pPr>
      <w:r>
        <w:rPr>
          <w:rFonts w:ascii="Times New Roman" w:hAnsi="Times New Roman"/>
        </w:rPr>
        <w:t xml:space="preserve">The FDIC is requesting OMB </w:t>
      </w:r>
      <w:r w:rsidR="00D804A5">
        <w:rPr>
          <w:rFonts w:ascii="Times New Roman" w:hAnsi="Times New Roman"/>
        </w:rPr>
        <w:t>approval</w:t>
      </w:r>
      <w:r>
        <w:rPr>
          <w:rFonts w:ascii="Times New Roman" w:hAnsi="Times New Roman"/>
        </w:rPr>
        <w:t xml:space="preserve"> </w:t>
      </w:r>
      <w:r w:rsidR="00D804A5">
        <w:rPr>
          <w:rFonts w:ascii="Times New Roman" w:hAnsi="Times New Roman"/>
        </w:rPr>
        <w:t>of the three-year extension</w:t>
      </w:r>
      <w:r w:rsidR="00615BAD">
        <w:rPr>
          <w:rFonts w:ascii="Times New Roman" w:hAnsi="Times New Roman"/>
        </w:rPr>
        <w:t>, without change,</w:t>
      </w:r>
      <w:r w:rsidR="00D804A5">
        <w:rPr>
          <w:rFonts w:ascii="Times New Roman" w:hAnsi="Times New Roman"/>
        </w:rPr>
        <w:t xml:space="preserve"> of its</w:t>
      </w:r>
      <w:r>
        <w:rPr>
          <w:rFonts w:ascii="Times New Roman" w:hAnsi="Times New Roman"/>
        </w:rPr>
        <w:t xml:space="preserve"> collection of information </w:t>
      </w:r>
      <w:r w:rsidR="00D804A5">
        <w:rPr>
          <w:rFonts w:ascii="Times New Roman" w:hAnsi="Times New Roman"/>
        </w:rPr>
        <w:t>entitled “Quarterly Certified Statement Invoice for Deposit Insurance Assessment</w:t>
      </w:r>
      <w:r w:rsidR="00655078">
        <w:rPr>
          <w:rFonts w:ascii="Times New Roman" w:hAnsi="Times New Roman"/>
        </w:rPr>
        <w:t>” (OMB Control No. 3064-0057) which cu</w:t>
      </w:r>
      <w:r w:rsidR="00855D2C">
        <w:rPr>
          <w:rFonts w:ascii="Times New Roman" w:hAnsi="Times New Roman"/>
        </w:rPr>
        <w:t>rrently expires on</w:t>
      </w:r>
      <w:r w:rsidR="006B18B4">
        <w:rPr>
          <w:rFonts w:ascii="Times New Roman" w:hAnsi="Times New Roman"/>
        </w:rPr>
        <w:t xml:space="preserve"> July 31, 2023</w:t>
      </w:r>
      <w:r w:rsidR="00655078">
        <w:rPr>
          <w:rFonts w:ascii="Times New Roman" w:hAnsi="Times New Roman"/>
        </w:rPr>
        <w:t>.</w:t>
      </w:r>
      <w:r>
        <w:rPr>
          <w:rFonts w:ascii="Times New Roman" w:hAnsi="Times New Roman"/>
        </w:rPr>
        <w:t xml:space="preserve"> </w:t>
      </w:r>
    </w:p>
    <w:p w:rsidR="007B6C63" w14:paraId="0E66C3E5" w14:textId="77777777">
      <w:pPr>
        <w:rPr>
          <w:rFonts w:ascii="Times New Roman" w:hAnsi="Times New Roman"/>
        </w:rPr>
      </w:pPr>
    </w:p>
    <w:p w:rsidR="007B6C63" w14:paraId="1775ED94" w14:textId="77777777">
      <w:pPr>
        <w:rPr>
          <w:rFonts w:ascii="Times New Roman" w:hAnsi="Times New Roman"/>
        </w:rPr>
      </w:pPr>
      <w:r>
        <w:rPr>
          <w:rFonts w:ascii="Times New Roman" w:hAnsi="Times New Roman"/>
        </w:rPr>
        <w:t>The FDIC collects assessments on a quarterly basis.  Each</w:t>
      </w:r>
      <w:r w:rsidR="00A81BD7">
        <w:rPr>
          <w:rFonts w:ascii="Times New Roman" w:hAnsi="Times New Roman"/>
        </w:rPr>
        <w:t xml:space="preserve"> assessment </w:t>
      </w:r>
      <w:r>
        <w:rPr>
          <w:rFonts w:ascii="Times New Roman" w:hAnsi="Times New Roman"/>
        </w:rPr>
        <w:t>is based on the institution's quarterly report of condition for the prior calendar quarter</w:t>
      </w:r>
      <w:r w:rsidR="005E62DB">
        <w:rPr>
          <w:rFonts w:ascii="Times New Roman" w:hAnsi="Times New Roman"/>
        </w:rPr>
        <w:t>.</w:t>
      </w:r>
      <w:r>
        <w:rPr>
          <w:rFonts w:ascii="Times New Roman" w:hAnsi="Times New Roman"/>
        </w:rPr>
        <w:t xml:space="preserve">  The information collection consists of </w:t>
      </w:r>
      <w:r w:rsidR="005E62DB">
        <w:rPr>
          <w:rFonts w:ascii="Times New Roman" w:hAnsi="Times New Roman"/>
        </w:rPr>
        <w:t>a</w:t>
      </w:r>
      <w:r>
        <w:rPr>
          <w:rFonts w:ascii="Times New Roman" w:hAnsi="Times New Roman"/>
        </w:rPr>
        <w:t xml:space="preserve"> </w:t>
      </w:r>
      <w:r w:rsidR="00C14D80">
        <w:rPr>
          <w:rFonts w:ascii="Times New Roman" w:hAnsi="Times New Roman"/>
        </w:rPr>
        <w:t>review</w:t>
      </w:r>
      <w:r>
        <w:rPr>
          <w:rFonts w:ascii="Times New Roman" w:hAnsi="Times New Roman"/>
        </w:rPr>
        <w:t xml:space="preserve"> by officials of the insured institutions to confirm that the assessment data are accurate and, in cases of inaccuracy, submission of corrected data.</w:t>
      </w:r>
    </w:p>
    <w:p w:rsidR="007B6C63" w14:paraId="222801E3" w14:textId="77777777">
      <w:pPr>
        <w:rPr>
          <w:rFonts w:ascii="Times New Roman" w:hAnsi="Times New Roman"/>
        </w:rPr>
      </w:pPr>
    </w:p>
    <w:p w:rsidR="007B6C63" w14:paraId="73DD2100" w14:textId="77777777">
      <w:pPr>
        <w:tabs>
          <w:tab w:val="left" w:pos="-1440"/>
        </w:tabs>
        <w:rPr>
          <w:rFonts w:ascii="Times New Roman" w:hAnsi="Times New Roman"/>
        </w:rPr>
      </w:pPr>
      <w:r>
        <w:rPr>
          <w:rFonts w:ascii="Times New Roman" w:hAnsi="Times New Roman"/>
        </w:rPr>
        <w:t>A.</w:t>
      </w:r>
      <w:r>
        <w:rPr>
          <w:rFonts w:ascii="Times New Roman" w:hAnsi="Times New Roman"/>
        </w:rPr>
        <w:tab/>
      </w:r>
      <w:r w:rsidRPr="004C5B45">
        <w:rPr>
          <w:rFonts w:ascii="Times New Roman" w:hAnsi="Times New Roman"/>
          <w:b/>
        </w:rPr>
        <w:t>JUSTIFICATION</w:t>
      </w:r>
    </w:p>
    <w:p w:rsidR="007B6C63" w14:paraId="0547FE68" w14:textId="77777777">
      <w:pPr>
        <w:rPr>
          <w:rFonts w:ascii="Times New Roman" w:hAnsi="Times New Roman"/>
        </w:rPr>
      </w:pPr>
    </w:p>
    <w:p w:rsidR="007B6C63" w:rsidP="00A1019D" w14:paraId="35F78392" w14:textId="77777777">
      <w:pPr>
        <w:tabs>
          <w:tab w:val="left" w:pos="-1440"/>
        </w:tabs>
        <w:ind w:left="720" w:hanging="360"/>
        <w:rPr>
          <w:rFonts w:ascii="Times New Roman" w:hAnsi="Times New Roman"/>
        </w:rPr>
      </w:pPr>
      <w:r>
        <w:rPr>
          <w:rFonts w:ascii="Times New Roman" w:hAnsi="Times New Roman"/>
        </w:rPr>
        <w:t>1.</w:t>
      </w:r>
      <w:r>
        <w:rPr>
          <w:rFonts w:ascii="Times New Roman" w:hAnsi="Times New Roman"/>
        </w:rPr>
        <w:tab/>
      </w:r>
      <w:r w:rsidRPr="003514D6" w:rsidR="00386C94">
        <w:rPr>
          <w:rFonts w:ascii="Times New Roman" w:hAnsi="Times New Roman"/>
          <w:b/>
          <w:bCs/>
          <w:iCs/>
          <w:szCs w:val="24"/>
          <w:u w:val="single"/>
        </w:rPr>
        <w:t xml:space="preserve">Circumstances that make the collection </w:t>
      </w:r>
      <w:r w:rsidRPr="00A1019D" w:rsidR="00386C94">
        <w:rPr>
          <w:rFonts w:ascii="Times New Roman" w:hAnsi="Times New Roman"/>
          <w:b/>
          <w:bCs/>
          <w:iCs/>
          <w:u w:val="single"/>
        </w:rPr>
        <w:t>necessary</w:t>
      </w:r>
      <w:r w:rsidR="00386C94">
        <w:rPr>
          <w:rFonts w:ascii="Times New Roman" w:hAnsi="Times New Roman"/>
          <w:b/>
          <w:bCs/>
          <w:iCs/>
          <w:szCs w:val="24"/>
          <w:u w:val="single"/>
        </w:rPr>
        <w:t>:</w:t>
      </w:r>
    </w:p>
    <w:p w:rsidR="007B6C63" w14:paraId="737F3CD2" w14:textId="77777777">
      <w:pPr>
        <w:rPr>
          <w:rFonts w:ascii="Times New Roman" w:hAnsi="Times New Roman"/>
        </w:rPr>
      </w:pPr>
    </w:p>
    <w:p w:rsidR="007B6C63" w:rsidP="000B0581" w14:paraId="734D3ABF" w14:textId="77777777">
      <w:pPr>
        <w:ind w:left="720"/>
        <w:rPr>
          <w:rFonts w:ascii="Times New Roman" w:hAnsi="Times New Roman"/>
        </w:rPr>
      </w:pPr>
      <w:r>
        <w:rPr>
          <w:rFonts w:ascii="Times New Roman" w:hAnsi="Times New Roman"/>
        </w:rPr>
        <w:t xml:space="preserve">The FDIC collects assessments from insured institutions pursuant to </w:t>
      </w:r>
      <w:r w:rsidR="009B7A15">
        <w:rPr>
          <w:rFonts w:ascii="Times New Roman" w:hAnsi="Times New Roman"/>
        </w:rPr>
        <w:t>s</w:t>
      </w:r>
      <w:r>
        <w:rPr>
          <w:rFonts w:ascii="Times New Roman" w:hAnsi="Times New Roman"/>
        </w:rPr>
        <w:t>ection 7 of the Federal Deposit Insurance Act ("FDI Act"), 12 U.S.C. section 1817(c), to assure that the D</w:t>
      </w:r>
      <w:r w:rsidR="009B7A15">
        <w:rPr>
          <w:rFonts w:ascii="Times New Roman" w:hAnsi="Times New Roman"/>
        </w:rPr>
        <w:t xml:space="preserve">eposit </w:t>
      </w:r>
      <w:r>
        <w:rPr>
          <w:rFonts w:ascii="Times New Roman" w:hAnsi="Times New Roman"/>
        </w:rPr>
        <w:t>I</w:t>
      </w:r>
      <w:r w:rsidR="009B7A15">
        <w:rPr>
          <w:rFonts w:ascii="Times New Roman" w:hAnsi="Times New Roman"/>
        </w:rPr>
        <w:t xml:space="preserve">nsurance </w:t>
      </w:r>
      <w:r>
        <w:rPr>
          <w:rFonts w:ascii="Times New Roman" w:hAnsi="Times New Roman"/>
        </w:rPr>
        <w:t>F</w:t>
      </w:r>
      <w:r w:rsidR="009B7A15">
        <w:rPr>
          <w:rFonts w:ascii="Times New Roman" w:hAnsi="Times New Roman"/>
        </w:rPr>
        <w:t>und</w:t>
      </w:r>
      <w:r>
        <w:rPr>
          <w:rFonts w:ascii="Times New Roman" w:hAnsi="Times New Roman"/>
        </w:rPr>
        <w:t xml:space="preserve"> </w:t>
      </w:r>
      <w:r w:rsidR="008B2102">
        <w:rPr>
          <w:rFonts w:ascii="Times New Roman" w:hAnsi="Times New Roman"/>
        </w:rPr>
        <w:t xml:space="preserve">(“DIF”) </w:t>
      </w:r>
      <w:r>
        <w:rPr>
          <w:rFonts w:ascii="Times New Roman" w:hAnsi="Times New Roman"/>
        </w:rPr>
        <w:t xml:space="preserve">is adequately capitalized.  The </w:t>
      </w:r>
      <w:r w:rsidR="009B7A15">
        <w:rPr>
          <w:rFonts w:ascii="Times New Roman" w:hAnsi="Times New Roman"/>
        </w:rPr>
        <w:t xml:space="preserve">Quarterly </w:t>
      </w:r>
      <w:r>
        <w:rPr>
          <w:rFonts w:ascii="Times New Roman" w:hAnsi="Times New Roman"/>
        </w:rPr>
        <w:t xml:space="preserve">Certified Statement </w:t>
      </w:r>
      <w:r w:rsidR="009B7A15">
        <w:rPr>
          <w:rFonts w:ascii="Times New Roman" w:hAnsi="Times New Roman"/>
        </w:rPr>
        <w:t xml:space="preserve">Invoice </w:t>
      </w:r>
      <w:r>
        <w:rPr>
          <w:rFonts w:ascii="Times New Roman" w:hAnsi="Times New Roman"/>
        </w:rPr>
        <w:t>provides insured institutions with an accounting of the FDIC’s assessment</w:t>
      </w:r>
      <w:r w:rsidR="008B2102">
        <w:rPr>
          <w:rFonts w:ascii="Times New Roman" w:hAnsi="Times New Roman"/>
        </w:rPr>
        <w:t xml:space="preserve"> and collection</w:t>
      </w:r>
      <w:r>
        <w:rPr>
          <w:rFonts w:ascii="Times New Roman" w:hAnsi="Times New Roman"/>
        </w:rPr>
        <w:t>.</w:t>
      </w:r>
    </w:p>
    <w:p w:rsidR="007B6C63" w14:paraId="74D3B854" w14:textId="77777777">
      <w:pPr>
        <w:rPr>
          <w:rFonts w:ascii="Times New Roman" w:hAnsi="Times New Roman"/>
        </w:rPr>
      </w:pPr>
    </w:p>
    <w:p w:rsidR="007B6C63" w:rsidP="00A1019D" w14:paraId="795373F6" w14:textId="77777777">
      <w:pPr>
        <w:tabs>
          <w:tab w:val="left" w:pos="-1440"/>
        </w:tabs>
        <w:ind w:left="720" w:hanging="360"/>
        <w:rPr>
          <w:rFonts w:ascii="Times New Roman" w:hAnsi="Times New Roman"/>
        </w:rPr>
      </w:pPr>
      <w:r>
        <w:rPr>
          <w:rFonts w:ascii="Times New Roman" w:hAnsi="Times New Roman"/>
        </w:rPr>
        <w:t>2.</w:t>
      </w:r>
      <w:r>
        <w:rPr>
          <w:rFonts w:ascii="Times New Roman" w:hAnsi="Times New Roman"/>
        </w:rPr>
        <w:tab/>
      </w:r>
      <w:r w:rsidRPr="00FC41DF" w:rsidR="00386C94">
        <w:rPr>
          <w:rFonts w:ascii="Times New Roman" w:hAnsi="Times New Roman"/>
          <w:b/>
          <w:bCs/>
          <w:iCs/>
          <w:szCs w:val="24"/>
          <w:u w:val="single"/>
        </w:rPr>
        <w:t xml:space="preserve">Use of </w:t>
      </w:r>
      <w:r w:rsidRPr="00FC41DF" w:rsidR="00386C94">
        <w:rPr>
          <w:rFonts w:ascii="Times New Roman" w:hAnsi="Times New Roman"/>
          <w:b/>
          <w:u w:val="single"/>
        </w:rPr>
        <w:t>the</w:t>
      </w:r>
      <w:r w:rsidRPr="00FC41DF" w:rsidR="00386C94">
        <w:rPr>
          <w:rFonts w:ascii="Times New Roman" w:hAnsi="Times New Roman"/>
          <w:b/>
          <w:bCs/>
          <w:iCs/>
          <w:szCs w:val="24"/>
          <w:u w:val="single"/>
        </w:rPr>
        <w:t xml:space="preserve"> </w:t>
      </w:r>
      <w:r w:rsidRPr="00A1019D" w:rsidR="00386C94">
        <w:rPr>
          <w:rFonts w:ascii="Times New Roman" w:hAnsi="Times New Roman"/>
          <w:b/>
          <w:bCs/>
          <w:iCs/>
          <w:u w:val="single"/>
        </w:rPr>
        <w:t>information</w:t>
      </w:r>
      <w:r w:rsidR="00386C94">
        <w:rPr>
          <w:rFonts w:ascii="Times New Roman" w:hAnsi="Times New Roman"/>
          <w:b/>
          <w:bCs/>
          <w:iCs/>
          <w:szCs w:val="24"/>
          <w:u w:val="single"/>
        </w:rPr>
        <w:t>:</w:t>
      </w:r>
    </w:p>
    <w:p w:rsidR="007B6C63" w14:paraId="1194918A" w14:textId="77777777">
      <w:pPr>
        <w:rPr>
          <w:rFonts w:ascii="Times New Roman" w:hAnsi="Times New Roman"/>
        </w:rPr>
      </w:pPr>
    </w:p>
    <w:p w:rsidR="007B6C63" w:rsidP="000B0581" w14:paraId="0BA027A3" w14:textId="77777777">
      <w:pPr>
        <w:ind w:left="720"/>
        <w:rPr>
          <w:rFonts w:ascii="Times New Roman" w:hAnsi="Times New Roman"/>
        </w:rPr>
      </w:pPr>
      <w:r>
        <w:rPr>
          <w:rFonts w:ascii="Times New Roman" w:hAnsi="Times New Roman"/>
        </w:rPr>
        <w:t>The information contained in the certification is used exclusively by the FDIC to identify an institution</w:t>
      </w:r>
      <w:r w:rsidR="00217B22">
        <w:rPr>
          <w:rFonts w:ascii="Times New Roman" w:hAnsi="Times New Roman"/>
        </w:rPr>
        <w:t>,</w:t>
      </w:r>
      <w:r>
        <w:rPr>
          <w:rFonts w:ascii="Times New Roman" w:hAnsi="Times New Roman"/>
        </w:rPr>
        <w:t xml:space="preserve"> the amount</w:t>
      </w:r>
      <w:r w:rsidR="00217B22">
        <w:rPr>
          <w:rFonts w:ascii="Times New Roman" w:hAnsi="Times New Roman"/>
        </w:rPr>
        <w:t xml:space="preserve"> of the deposit insurance assessment due from that institution for the prior quarter, and to memorialize how the assessment amount was calculated.</w:t>
      </w:r>
    </w:p>
    <w:p w:rsidR="007B6C63" w14:paraId="1A1D5D27" w14:textId="77777777">
      <w:pPr>
        <w:ind w:left="720"/>
        <w:rPr>
          <w:rFonts w:ascii="Times New Roman" w:hAnsi="Times New Roman"/>
        </w:rPr>
      </w:pPr>
    </w:p>
    <w:p w:rsidR="007B6C63" w:rsidP="00A1019D" w14:paraId="738B58D6" w14:textId="77777777">
      <w:pPr>
        <w:tabs>
          <w:tab w:val="left" w:pos="-1440"/>
        </w:tabs>
        <w:ind w:left="720" w:hanging="360"/>
        <w:rPr>
          <w:rFonts w:ascii="Times New Roman" w:hAnsi="Times New Roman"/>
        </w:rPr>
      </w:pPr>
      <w:r>
        <w:rPr>
          <w:rFonts w:ascii="Times New Roman" w:hAnsi="Times New Roman"/>
        </w:rPr>
        <w:t>3.</w:t>
      </w:r>
      <w:r>
        <w:rPr>
          <w:rFonts w:ascii="Times New Roman" w:hAnsi="Times New Roman"/>
        </w:rPr>
        <w:tab/>
      </w:r>
      <w:r w:rsidRPr="00A1019D" w:rsidR="00386C94">
        <w:rPr>
          <w:rFonts w:ascii="Times New Roman" w:hAnsi="Times New Roman"/>
          <w:b/>
          <w:bCs/>
          <w:iCs/>
          <w:u w:val="single"/>
        </w:rPr>
        <w:t>Consideration</w:t>
      </w:r>
      <w:r w:rsidRPr="00FC41DF" w:rsidR="00386C94">
        <w:rPr>
          <w:rFonts w:ascii="Times New Roman" w:hAnsi="Times New Roman"/>
          <w:b/>
          <w:bCs/>
          <w:iCs/>
          <w:szCs w:val="24"/>
          <w:u w:val="single"/>
        </w:rPr>
        <w:t xml:space="preserve"> of the use of improved information technology:</w:t>
      </w:r>
    </w:p>
    <w:p w:rsidR="007B6C63" w14:paraId="43DC085F" w14:textId="77777777">
      <w:pPr>
        <w:rPr>
          <w:rFonts w:ascii="Times New Roman" w:hAnsi="Times New Roman"/>
        </w:rPr>
      </w:pPr>
    </w:p>
    <w:p w:rsidR="000855E4" w:rsidP="000B0581" w14:paraId="6B39FD73" w14:textId="77777777">
      <w:pPr>
        <w:ind w:left="720"/>
        <w:rPr>
          <w:rFonts w:ascii="Times New Roman" w:hAnsi="Times New Roman"/>
        </w:rPr>
      </w:pPr>
      <w:r>
        <w:rPr>
          <w:rFonts w:ascii="Times New Roman" w:hAnsi="Times New Roman"/>
        </w:rPr>
        <w:t xml:space="preserve">Burden-reducing procedures permit the automated invoicing and direct debit of assessments.  The Certified Statement contains confidential information relating to the risk classification of the institution.  Insured depository institutions access their quarterly certified statement invoices in electronic form via the FDIC’s e-business website </w:t>
      </w:r>
      <w:r>
        <w:rPr>
          <w:rFonts w:ascii="Times New Roman" w:hAnsi="Times New Roman"/>
          <w:i/>
        </w:rPr>
        <w:t>FDICconnect</w:t>
      </w:r>
      <w:r>
        <w:rPr>
          <w:rFonts w:ascii="Times New Roman" w:hAnsi="Times New Roman"/>
        </w:rPr>
        <w:t xml:space="preserve">, a secure channel to the insured institutions.  Correct invoices need not be signed or returned to the FDIC. </w:t>
      </w:r>
      <w:r>
        <w:rPr>
          <w:rFonts w:ascii="Times New Roman" w:hAnsi="Times New Roman"/>
        </w:rPr>
        <w:t xml:space="preserve"> If Internet access poses a hardship to some institutions, an alternative form of access may be provided by the FDIC.</w:t>
      </w:r>
    </w:p>
    <w:p w:rsidR="007B6C63" w14:paraId="2ABD15EC" w14:textId="77777777">
      <w:pPr>
        <w:ind w:left="1440"/>
        <w:rPr>
          <w:rFonts w:ascii="Times New Roman" w:hAnsi="Times New Roman"/>
        </w:rPr>
      </w:pPr>
    </w:p>
    <w:p w:rsidR="007B6C63" w14:paraId="32FEBD00" w14:textId="77777777">
      <w:pPr>
        <w:rPr>
          <w:rFonts w:ascii="Times New Roman" w:hAnsi="Times New Roman"/>
        </w:rPr>
      </w:pPr>
    </w:p>
    <w:p w:rsidR="007B6C63" w:rsidP="00866DB2" w14:paraId="71A580AA" w14:textId="77777777">
      <w:pPr>
        <w:keepNext/>
        <w:tabs>
          <w:tab w:val="left" w:pos="-1440"/>
        </w:tabs>
        <w:ind w:left="720" w:hanging="360"/>
        <w:rPr>
          <w:rFonts w:ascii="Times New Roman" w:hAnsi="Times New Roman"/>
        </w:rPr>
      </w:pPr>
      <w:r>
        <w:rPr>
          <w:rFonts w:ascii="Times New Roman" w:hAnsi="Times New Roman"/>
        </w:rPr>
        <w:t>4.</w:t>
      </w:r>
      <w:r>
        <w:rPr>
          <w:rFonts w:ascii="Times New Roman" w:hAnsi="Times New Roman"/>
        </w:rPr>
        <w:tab/>
      </w:r>
      <w:r w:rsidRPr="00A1019D" w:rsidR="00386C94">
        <w:rPr>
          <w:rFonts w:ascii="Times New Roman" w:hAnsi="Times New Roman"/>
          <w:b/>
          <w:bCs/>
          <w:iCs/>
          <w:u w:val="single"/>
        </w:rPr>
        <w:t>Efforts</w:t>
      </w:r>
      <w:r w:rsidRPr="00386C94" w:rsidR="00386C94">
        <w:rPr>
          <w:rFonts w:ascii="Times New Roman" w:hAnsi="Times New Roman"/>
          <w:b/>
          <w:spacing w:val="-1"/>
          <w:szCs w:val="24"/>
          <w:u w:val="single"/>
        </w:rPr>
        <w:t xml:space="preserve"> to identify duplication:</w:t>
      </w:r>
    </w:p>
    <w:p w:rsidR="000855E4" w:rsidP="00866DB2" w14:paraId="7545E786" w14:textId="77777777">
      <w:pPr>
        <w:keepNext/>
        <w:ind w:left="1440"/>
        <w:rPr>
          <w:rFonts w:ascii="Times New Roman" w:hAnsi="Times New Roman"/>
        </w:rPr>
      </w:pPr>
    </w:p>
    <w:p w:rsidR="007B6C63" w:rsidP="00866DB2" w14:paraId="15D003EE" w14:textId="77777777">
      <w:pPr>
        <w:keepNext/>
        <w:ind w:left="720"/>
        <w:rPr>
          <w:rFonts w:ascii="Times New Roman" w:hAnsi="Times New Roman"/>
        </w:rPr>
      </w:pPr>
      <w:r>
        <w:rPr>
          <w:rFonts w:ascii="Times New Roman" w:hAnsi="Times New Roman"/>
        </w:rPr>
        <w:t xml:space="preserve">There is no duplication.  </w:t>
      </w:r>
      <w:r>
        <w:rPr>
          <w:rFonts w:ascii="Times New Roman" w:hAnsi="Times New Roman"/>
        </w:rPr>
        <w:t>The certification is not available in any other form or place.</w:t>
      </w:r>
    </w:p>
    <w:p w:rsidR="007B6C63" w:rsidP="00866DB2" w14:paraId="68338BDD" w14:textId="77777777">
      <w:pPr>
        <w:keepNext/>
        <w:rPr>
          <w:rFonts w:ascii="Times New Roman" w:hAnsi="Times New Roman"/>
        </w:rPr>
      </w:pPr>
    </w:p>
    <w:p w:rsidR="007B6C63" w:rsidP="00A1019D" w14:paraId="1C89854A" w14:textId="77777777">
      <w:pPr>
        <w:tabs>
          <w:tab w:val="left" w:pos="-1440"/>
        </w:tabs>
        <w:ind w:left="720" w:hanging="360"/>
        <w:rPr>
          <w:rFonts w:ascii="Times New Roman" w:hAnsi="Times New Roman"/>
        </w:rPr>
      </w:pPr>
      <w:r>
        <w:rPr>
          <w:rFonts w:ascii="Times New Roman" w:hAnsi="Times New Roman"/>
        </w:rPr>
        <w:t>5.</w:t>
      </w:r>
      <w:r>
        <w:rPr>
          <w:rFonts w:ascii="Times New Roman" w:hAnsi="Times New Roman"/>
        </w:rPr>
        <w:tab/>
      </w:r>
      <w:r w:rsidRPr="00386C94" w:rsidR="00386C94">
        <w:rPr>
          <w:rFonts w:ascii="Times New Roman" w:hAnsi="Times New Roman"/>
          <w:b/>
          <w:bCs/>
          <w:iCs/>
          <w:u w:val="single"/>
        </w:rPr>
        <w:t>Methods used to minimize burden if the collection has a significant impact on a</w:t>
      </w:r>
      <w:r w:rsidR="00A1019D">
        <w:rPr>
          <w:rFonts w:ascii="Times New Roman" w:hAnsi="Times New Roman"/>
          <w:b/>
          <w:bCs/>
          <w:iCs/>
          <w:u w:val="single"/>
        </w:rPr>
        <w:t xml:space="preserve"> </w:t>
      </w:r>
      <w:r w:rsidRPr="00386C94" w:rsidR="00386C94">
        <w:rPr>
          <w:rFonts w:ascii="Times New Roman" w:hAnsi="Times New Roman"/>
          <w:b/>
          <w:bCs/>
          <w:iCs/>
          <w:u w:val="single"/>
        </w:rPr>
        <w:t>substantial number of small entities:</w:t>
      </w:r>
    </w:p>
    <w:p w:rsidR="007B6C63" w14:paraId="62CB1FDA" w14:textId="77777777">
      <w:pPr>
        <w:rPr>
          <w:rFonts w:ascii="Times New Roman" w:hAnsi="Times New Roman"/>
        </w:rPr>
      </w:pPr>
    </w:p>
    <w:p w:rsidR="007B6C63" w:rsidP="000B0581" w14:paraId="2591E256" w14:textId="77777777">
      <w:pPr>
        <w:ind w:left="720"/>
        <w:rPr>
          <w:rFonts w:ascii="Times New Roman" w:hAnsi="Times New Roman"/>
        </w:rPr>
      </w:pPr>
      <w:r>
        <w:rPr>
          <w:rFonts w:ascii="Times New Roman" w:hAnsi="Times New Roman"/>
        </w:rPr>
        <w:t>All insured institutions, large and small, are subject to the same requirements</w:t>
      </w:r>
      <w:r w:rsidR="000855E4">
        <w:rPr>
          <w:rFonts w:ascii="Times New Roman" w:hAnsi="Times New Roman"/>
        </w:rPr>
        <w:t xml:space="preserve">. </w:t>
      </w:r>
      <w:r w:rsidR="00177720">
        <w:rPr>
          <w:rFonts w:ascii="Times New Roman" w:hAnsi="Times New Roman"/>
          <w:snapToGrid/>
        </w:rPr>
        <w:t>Therefore,</w:t>
      </w:r>
      <w:r w:rsidRPr="000855E4" w:rsidR="000855E4">
        <w:rPr>
          <w:rFonts w:ascii="Times New Roman" w:hAnsi="Times New Roman"/>
          <w:snapToGrid/>
        </w:rPr>
        <w:t xml:space="preserve"> all </w:t>
      </w:r>
      <w:r w:rsidR="000855E4">
        <w:rPr>
          <w:rFonts w:ascii="Times New Roman" w:hAnsi="Times New Roman"/>
          <w:snapToGrid/>
        </w:rPr>
        <w:t>insured depository institutions</w:t>
      </w:r>
      <w:r w:rsidRPr="000855E4" w:rsidR="000855E4">
        <w:rPr>
          <w:rFonts w:ascii="Times New Roman" w:hAnsi="Times New Roman"/>
          <w:snapToGrid/>
        </w:rPr>
        <w:t>, regardless of size, receive a</w:t>
      </w:r>
      <w:r w:rsidR="002A35F4">
        <w:rPr>
          <w:rFonts w:ascii="Times New Roman" w:hAnsi="Times New Roman"/>
          <w:snapToGrid/>
        </w:rPr>
        <w:t>nd must review and certify a</w:t>
      </w:r>
      <w:r w:rsidR="00177720">
        <w:rPr>
          <w:rFonts w:ascii="Times New Roman" w:hAnsi="Times New Roman"/>
          <w:snapToGrid/>
        </w:rPr>
        <w:t xml:space="preserve"> quarterly</w:t>
      </w:r>
      <w:r w:rsidRPr="000855E4" w:rsidR="000855E4">
        <w:rPr>
          <w:rFonts w:ascii="Times New Roman" w:hAnsi="Times New Roman"/>
          <w:snapToGrid/>
        </w:rPr>
        <w:t xml:space="preserve"> </w:t>
      </w:r>
      <w:r w:rsidR="002A35F4">
        <w:rPr>
          <w:rFonts w:ascii="Times New Roman" w:hAnsi="Times New Roman"/>
          <w:snapToGrid/>
        </w:rPr>
        <w:t xml:space="preserve">deposit insurance assessment </w:t>
      </w:r>
      <w:r w:rsidRPr="000855E4" w:rsidR="000855E4">
        <w:rPr>
          <w:rFonts w:ascii="Times New Roman" w:hAnsi="Times New Roman"/>
          <w:snapToGrid/>
        </w:rPr>
        <w:t>invoice</w:t>
      </w:r>
      <w:r w:rsidR="00177720">
        <w:rPr>
          <w:rFonts w:ascii="Times New Roman" w:hAnsi="Times New Roman"/>
          <w:snapToGrid/>
        </w:rPr>
        <w:t>.</w:t>
      </w:r>
      <w:r w:rsidRPr="000855E4" w:rsidR="000855E4">
        <w:rPr>
          <w:rFonts w:ascii="Times New Roman" w:hAnsi="Times New Roman"/>
          <w:snapToGrid/>
        </w:rPr>
        <w:t xml:space="preserve"> </w:t>
      </w:r>
      <w:r w:rsidR="006B18B4">
        <w:rPr>
          <w:rFonts w:ascii="Times New Roman" w:hAnsi="Times New Roman"/>
          <w:snapToGrid/>
        </w:rPr>
        <w:t>There are currently 4,755</w:t>
      </w:r>
      <w:r w:rsidR="00177720">
        <w:rPr>
          <w:rFonts w:ascii="Times New Roman" w:hAnsi="Times New Roman"/>
          <w:snapToGrid/>
        </w:rPr>
        <w:t xml:space="preserve"> insured depository institutions. </w:t>
      </w:r>
      <w:r w:rsidR="000855E4">
        <w:rPr>
          <w:rFonts w:ascii="Times New Roman" w:hAnsi="Times New Roman"/>
          <w:snapToGrid/>
        </w:rPr>
        <w:t xml:space="preserve">FDIC estimates that </w:t>
      </w:r>
      <w:r w:rsidR="006B18B4">
        <w:rPr>
          <w:rFonts w:ascii="Times New Roman" w:hAnsi="Times New Roman"/>
          <w:snapToGrid/>
        </w:rPr>
        <w:t>3,475 (73</w:t>
      </w:r>
      <w:r w:rsidR="00177720">
        <w:rPr>
          <w:rFonts w:ascii="Times New Roman" w:hAnsi="Times New Roman"/>
          <w:snapToGrid/>
        </w:rPr>
        <w:t>%) of these are</w:t>
      </w:r>
      <w:r w:rsidRPr="000855E4" w:rsidR="000855E4">
        <w:rPr>
          <w:rFonts w:ascii="Times New Roman" w:hAnsi="Times New Roman"/>
          <w:snapToGrid/>
        </w:rPr>
        <w:t xml:space="preserve"> small entities</w:t>
      </w:r>
      <w:r w:rsidR="002A35F4">
        <w:rPr>
          <w:rFonts w:ascii="Times New Roman" w:hAnsi="Times New Roman"/>
          <w:snapToGrid/>
        </w:rPr>
        <w:t xml:space="preserve"> which would be a substantial number of small entities</w:t>
      </w:r>
      <w:r w:rsidRPr="000855E4" w:rsidR="000855E4">
        <w:rPr>
          <w:rFonts w:ascii="Times New Roman" w:hAnsi="Times New Roman"/>
          <w:snapToGrid/>
        </w:rPr>
        <w:t>.</w:t>
      </w:r>
      <w:r w:rsidR="00177720">
        <w:rPr>
          <w:rFonts w:ascii="Times New Roman" w:hAnsi="Times New Roman"/>
          <w:snapToGrid/>
        </w:rPr>
        <w:t xml:space="preserve">  </w:t>
      </w:r>
      <w:r w:rsidR="002A35F4">
        <w:rPr>
          <w:rFonts w:ascii="Times New Roman" w:hAnsi="Times New Roman"/>
          <w:snapToGrid/>
        </w:rPr>
        <w:t>However, t</w:t>
      </w:r>
      <w:r w:rsidR="00177720">
        <w:rPr>
          <w:rFonts w:ascii="Times New Roman" w:hAnsi="Times New Roman"/>
          <w:snapToGrid/>
        </w:rPr>
        <w:t>he time to respond</w:t>
      </w:r>
      <w:r w:rsidR="002A35F4">
        <w:rPr>
          <w:rFonts w:ascii="Times New Roman" w:hAnsi="Times New Roman"/>
          <w:snapToGrid/>
        </w:rPr>
        <w:t xml:space="preserve"> is estimated to be only 20 minutes</w:t>
      </w:r>
      <w:r w:rsidR="000855E4">
        <w:rPr>
          <w:rFonts w:ascii="Times New Roman" w:hAnsi="Times New Roman"/>
        </w:rPr>
        <w:t xml:space="preserve"> </w:t>
      </w:r>
      <w:r w:rsidR="002A35F4">
        <w:rPr>
          <w:rFonts w:ascii="Times New Roman" w:hAnsi="Times New Roman"/>
        </w:rPr>
        <w:t>per quarter, per respondent.  Therefore, this information collection does not have a significant impact on those respondents and the information collection does not have a significant impact on a substantial number of small entities.</w:t>
      </w:r>
    </w:p>
    <w:p w:rsidR="007B6C63" w14:paraId="68A4C58C" w14:textId="77777777">
      <w:pPr>
        <w:rPr>
          <w:rFonts w:ascii="Times New Roman" w:hAnsi="Times New Roman"/>
        </w:rPr>
      </w:pPr>
    </w:p>
    <w:p w:rsidR="007B6C63" w:rsidRPr="00FC41DF" w:rsidP="00A1019D" w14:paraId="143B7091" w14:textId="77777777">
      <w:pPr>
        <w:tabs>
          <w:tab w:val="left" w:pos="-1440"/>
        </w:tabs>
        <w:ind w:left="720" w:hanging="360"/>
        <w:rPr>
          <w:rFonts w:ascii="Times New Roman" w:hAnsi="Times New Roman"/>
          <w:b/>
          <w:bCs/>
          <w:iCs/>
          <w:u w:val="single"/>
        </w:rPr>
      </w:pPr>
      <w:r>
        <w:rPr>
          <w:rFonts w:ascii="Times New Roman" w:hAnsi="Times New Roman"/>
        </w:rPr>
        <w:t>6.</w:t>
      </w:r>
      <w:r>
        <w:rPr>
          <w:rFonts w:ascii="Times New Roman" w:hAnsi="Times New Roman"/>
        </w:rPr>
        <w:tab/>
      </w:r>
      <w:r w:rsidRPr="00A1019D" w:rsidR="00386C94">
        <w:rPr>
          <w:rFonts w:ascii="Times New Roman" w:hAnsi="Times New Roman"/>
          <w:b/>
          <w:bCs/>
          <w:iCs/>
          <w:u w:val="single"/>
        </w:rPr>
        <w:t>Consequences</w:t>
      </w:r>
      <w:r w:rsidRPr="00FC41DF" w:rsidR="00386C94">
        <w:rPr>
          <w:rFonts w:ascii="Times New Roman" w:hAnsi="Times New Roman"/>
          <w:b/>
          <w:bCs/>
          <w:iCs/>
          <w:u w:val="single"/>
        </w:rPr>
        <w:t xml:space="preserve"> to the Federal program if the collection were conducted less frequently:</w:t>
      </w:r>
    </w:p>
    <w:p w:rsidR="007B6C63" w14:paraId="475A22F2" w14:textId="77777777">
      <w:pPr>
        <w:rPr>
          <w:rFonts w:ascii="Times New Roman" w:hAnsi="Times New Roman"/>
        </w:rPr>
      </w:pPr>
    </w:p>
    <w:p w:rsidR="007B6C63" w:rsidP="000B0581" w14:paraId="67FB8790" w14:textId="77777777">
      <w:pPr>
        <w:ind w:left="720"/>
        <w:rPr>
          <w:rFonts w:ascii="Times New Roman" w:hAnsi="Times New Roman"/>
        </w:rPr>
      </w:pPr>
      <w:r>
        <w:rPr>
          <w:rFonts w:ascii="Times New Roman" w:hAnsi="Times New Roman"/>
        </w:rPr>
        <w:t>Less frequent collection would be inconsistent with the statutor</w:t>
      </w:r>
      <w:r w:rsidR="00615BAD">
        <w:rPr>
          <w:rFonts w:ascii="Times New Roman" w:hAnsi="Times New Roman"/>
        </w:rPr>
        <w:t>y requirement for certification of deposit insurance assessments.</w:t>
      </w:r>
    </w:p>
    <w:p w:rsidR="007B6C63" w:rsidRPr="00386C94" w14:paraId="378C7D80" w14:textId="77777777">
      <w:pPr>
        <w:rPr>
          <w:rFonts w:ascii="Times New Roman" w:hAnsi="Times New Roman"/>
        </w:rPr>
      </w:pPr>
    </w:p>
    <w:p w:rsidR="00386C94" w:rsidRPr="00386C94" w:rsidP="00A1019D" w14:paraId="23B75757" w14:textId="77777777">
      <w:pPr>
        <w:tabs>
          <w:tab w:val="left" w:pos="-1440"/>
        </w:tabs>
        <w:ind w:left="720" w:hanging="360"/>
        <w:rPr>
          <w:rFonts w:ascii="Times New Roman" w:hAnsi="Times New Roman"/>
          <w:b/>
          <w:bCs/>
          <w:iCs/>
        </w:rPr>
      </w:pPr>
      <w:r w:rsidRPr="00386C94">
        <w:rPr>
          <w:rFonts w:ascii="Times New Roman" w:hAnsi="Times New Roman"/>
        </w:rPr>
        <w:t>7.</w:t>
      </w:r>
      <w:r w:rsidRPr="00386C94">
        <w:rPr>
          <w:rFonts w:ascii="Times New Roman" w:hAnsi="Times New Roman"/>
        </w:rPr>
        <w:tab/>
      </w:r>
      <w:r w:rsidRPr="00A1019D">
        <w:rPr>
          <w:rFonts w:ascii="Times New Roman" w:hAnsi="Times New Roman"/>
          <w:b/>
          <w:bCs/>
          <w:iCs/>
          <w:u w:val="single"/>
        </w:rPr>
        <w:t>Special circumstances necessitating collection inconsistent with 5 CFR Part 1320.5(d)(2):</w:t>
      </w:r>
    </w:p>
    <w:p w:rsidR="007B6C63" w14:paraId="4B9E7527" w14:textId="77777777">
      <w:pPr>
        <w:rPr>
          <w:rFonts w:ascii="Times New Roman" w:hAnsi="Times New Roman"/>
        </w:rPr>
      </w:pPr>
    </w:p>
    <w:p w:rsidR="007B6C63" w:rsidP="000B0581" w14:paraId="19013D20" w14:textId="77777777">
      <w:pPr>
        <w:ind w:left="720"/>
        <w:rPr>
          <w:rFonts w:ascii="Times New Roman" w:hAnsi="Times New Roman"/>
        </w:rPr>
      </w:pPr>
      <w:r>
        <w:rPr>
          <w:rFonts w:ascii="Times New Roman" w:hAnsi="Times New Roman"/>
          <w:bCs/>
          <w:iCs/>
          <w:szCs w:val="24"/>
        </w:rPr>
        <w:t xml:space="preserve">None.  </w:t>
      </w:r>
      <w:r w:rsidRPr="00386C94">
        <w:rPr>
          <w:rFonts w:ascii="Times New Roman" w:hAnsi="Times New Roman"/>
        </w:rPr>
        <w:t>The</w:t>
      </w:r>
      <w:r w:rsidRPr="000C4F75">
        <w:rPr>
          <w:rFonts w:ascii="Times New Roman" w:hAnsi="Times New Roman"/>
          <w:bCs/>
          <w:iCs/>
          <w:szCs w:val="24"/>
        </w:rPr>
        <w:t xml:space="preserve"> information is collected in a manner consistent with </w:t>
      </w:r>
      <w:r>
        <w:rPr>
          <w:rFonts w:ascii="Times New Roman" w:hAnsi="Times New Roman"/>
          <w:bCs/>
          <w:iCs/>
          <w:szCs w:val="24"/>
        </w:rPr>
        <w:t>5</w:t>
      </w:r>
      <w:r w:rsidRPr="000C4F75">
        <w:rPr>
          <w:rFonts w:ascii="Times New Roman" w:hAnsi="Times New Roman"/>
          <w:bCs/>
          <w:iCs/>
          <w:szCs w:val="24"/>
        </w:rPr>
        <w:t xml:space="preserve"> CFR 1320.5(d)(2).</w:t>
      </w:r>
    </w:p>
    <w:p w:rsidR="007B6C63" w14:paraId="5F92B3F0" w14:textId="77777777">
      <w:pPr>
        <w:rPr>
          <w:rFonts w:ascii="Times New Roman" w:hAnsi="Times New Roman"/>
        </w:rPr>
      </w:pPr>
    </w:p>
    <w:p w:rsidR="007B6C63" w:rsidP="00A1019D" w14:paraId="1A0DEAB0" w14:textId="77777777">
      <w:pPr>
        <w:tabs>
          <w:tab w:val="left" w:pos="-1440"/>
        </w:tabs>
        <w:ind w:left="720" w:hanging="360"/>
        <w:rPr>
          <w:rFonts w:ascii="Times New Roman" w:hAnsi="Times New Roman"/>
        </w:rPr>
      </w:pPr>
      <w:r>
        <w:rPr>
          <w:rFonts w:ascii="Times New Roman" w:hAnsi="Times New Roman"/>
        </w:rPr>
        <w:t>8.</w:t>
      </w:r>
      <w:r>
        <w:rPr>
          <w:rFonts w:ascii="Times New Roman" w:hAnsi="Times New Roman"/>
        </w:rPr>
        <w:tab/>
      </w:r>
      <w:r w:rsidRPr="00A1019D" w:rsidR="00D55074">
        <w:rPr>
          <w:rFonts w:ascii="Times New Roman" w:hAnsi="Times New Roman"/>
          <w:b/>
          <w:bCs/>
          <w:iCs/>
          <w:u w:val="single"/>
        </w:rPr>
        <w:t>Efforts</w:t>
      </w:r>
      <w:r w:rsidRPr="00D55074" w:rsidR="00D55074">
        <w:rPr>
          <w:rFonts w:ascii="Times New Roman" w:hAnsi="Times New Roman"/>
          <w:b/>
          <w:bCs/>
          <w:iCs/>
          <w:szCs w:val="24"/>
          <w:u w:val="single"/>
        </w:rPr>
        <w:t xml:space="preserve"> to consult with persons outside the agency:</w:t>
      </w:r>
    </w:p>
    <w:p w:rsidR="007B6C63" w14:paraId="22F11604" w14:textId="77777777">
      <w:pPr>
        <w:rPr>
          <w:rFonts w:ascii="Times New Roman" w:hAnsi="Times New Roman"/>
        </w:rPr>
      </w:pPr>
    </w:p>
    <w:p w:rsidR="007B6C63" w:rsidP="000B0581" w14:paraId="15E65426" w14:textId="77777777">
      <w:pPr>
        <w:ind w:left="720"/>
        <w:rPr>
          <w:rFonts w:ascii="Times New Roman" w:hAnsi="Times New Roman"/>
        </w:rPr>
      </w:pPr>
      <w:r>
        <w:rPr>
          <w:rFonts w:ascii="Times New Roman" w:hAnsi="Times New Roman"/>
        </w:rPr>
        <w:t xml:space="preserve">The deposit insurance assessment system, including the Certified Statement, was developed through extensive consultation with stakeholders, and established through notice-and-comment rulemaking.  The FDIC </w:t>
      </w:r>
      <w:r w:rsidR="00DE2D0B">
        <w:rPr>
          <w:rFonts w:ascii="Times New Roman" w:hAnsi="Times New Roman"/>
        </w:rPr>
        <w:t xml:space="preserve">published a notice in the </w:t>
      </w:r>
      <w:r w:rsidRPr="000B0581" w:rsidR="00DE2D0B">
        <w:rPr>
          <w:rFonts w:ascii="Times New Roman" w:hAnsi="Times New Roman"/>
        </w:rPr>
        <w:t>Federal</w:t>
      </w:r>
      <w:r w:rsidR="00DE2D0B">
        <w:rPr>
          <w:rFonts w:ascii="Times New Roman" w:hAnsi="Times New Roman"/>
          <w:i/>
        </w:rPr>
        <w:t xml:space="preserve"> Register</w:t>
      </w:r>
      <w:r w:rsidR="00DE2D0B">
        <w:rPr>
          <w:rFonts w:ascii="Times New Roman" w:hAnsi="Times New Roman"/>
        </w:rPr>
        <w:t xml:space="preserve"> seeking </w:t>
      </w:r>
      <w:r>
        <w:rPr>
          <w:rFonts w:ascii="Times New Roman" w:hAnsi="Times New Roman"/>
        </w:rPr>
        <w:t xml:space="preserve">comment </w:t>
      </w:r>
      <w:r w:rsidR="00DE2D0B">
        <w:rPr>
          <w:rFonts w:ascii="Times New Roman" w:hAnsi="Times New Roman"/>
        </w:rPr>
        <w:t xml:space="preserve">for a 60-day period on renewal of this information collection </w:t>
      </w:r>
      <w:r>
        <w:rPr>
          <w:rFonts w:ascii="Times New Roman" w:hAnsi="Times New Roman"/>
        </w:rPr>
        <w:t xml:space="preserve">on </w:t>
      </w:r>
      <w:r w:rsidR="006B18B4">
        <w:rPr>
          <w:rFonts w:ascii="Times New Roman" w:hAnsi="Times New Roman"/>
        </w:rPr>
        <w:t>May</w:t>
      </w:r>
      <w:r w:rsidR="00D55074">
        <w:rPr>
          <w:rFonts w:ascii="Times New Roman" w:hAnsi="Times New Roman"/>
        </w:rPr>
        <w:t xml:space="preserve"> </w:t>
      </w:r>
      <w:r w:rsidR="006B18B4">
        <w:rPr>
          <w:rFonts w:ascii="Times New Roman" w:hAnsi="Times New Roman"/>
        </w:rPr>
        <w:t>3, 2023</w:t>
      </w:r>
      <w:r w:rsidR="00DE2D0B">
        <w:rPr>
          <w:rFonts w:ascii="Times New Roman" w:hAnsi="Times New Roman"/>
        </w:rPr>
        <w:t xml:space="preserve"> (</w:t>
      </w:r>
      <w:r w:rsidR="006B18B4">
        <w:rPr>
          <w:rFonts w:ascii="Times New Roman" w:hAnsi="Times New Roman"/>
        </w:rPr>
        <w:t>88</w:t>
      </w:r>
      <w:r w:rsidR="00DE2D0B">
        <w:rPr>
          <w:rFonts w:ascii="Times New Roman" w:hAnsi="Times New Roman"/>
        </w:rPr>
        <w:t xml:space="preserve"> FR</w:t>
      </w:r>
      <w:r w:rsidR="006B18B4">
        <w:rPr>
          <w:rFonts w:ascii="Times New Roman" w:hAnsi="Times New Roman"/>
        </w:rPr>
        <w:t xml:space="preserve"> 27891</w:t>
      </w:r>
      <w:r w:rsidR="00DE2D0B">
        <w:rPr>
          <w:rFonts w:ascii="Times New Roman" w:hAnsi="Times New Roman"/>
        </w:rPr>
        <w:t>)</w:t>
      </w:r>
      <w:r>
        <w:rPr>
          <w:rFonts w:ascii="Times New Roman" w:hAnsi="Times New Roman"/>
        </w:rPr>
        <w:t>.  No comments were received.</w:t>
      </w:r>
    </w:p>
    <w:p w:rsidR="007B6C63" w14:paraId="4036EE3A" w14:textId="77777777">
      <w:pPr>
        <w:rPr>
          <w:rFonts w:ascii="Times New Roman" w:hAnsi="Times New Roman"/>
        </w:rPr>
      </w:pPr>
    </w:p>
    <w:p w:rsidR="007B6C63" w:rsidP="00A1019D" w14:paraId="165DF84C" w14:textId="77777777">
      <w:pPr>
        <w:tabs>
          <w:tab w:val="left" w:pos="-1440"/>
        </w:tabs>
        <w:ind w:left="720" w:hanging="360"/>
        <w:rPr>
          <w:rFonts w:ascii="Times New Roman" w:hAnsi="Times New Roman"/>
        </w:rPr>
      </w:pPr>
      <w:r>
        <w:rPr>
          <w:rFonts w:ascii="Times New Roman" w:hAnsi="Times New Roman"/>
        </w:rPr>
        <w:t>9.</w:t>
      </w:r>
      <w:r>
        <w:rPr>
          <w:rFonts w:ascii="Times New Roman" w:hAnsi="Times New Roman"/>
        </w:rPr>
        <w:tab/>
      </w:r>
      <w:r w:rsidRPr="00A1019D" w:rsidR="00881712">
        <w:rPr>
          <w:rFonts w:ascii="Times New Roman" w:hAnsi="Times New Roman"/>
          <w:b/>
          <w:bCs/>
          <w:iCs/>
          <w:u w:val="single"/>
        </w:rPr>
        <w:t>Payment</w:t>
      </w:r>
      <w:r w:rsidRPr="00881712" w:rsidR="00881712">
        <w:rPr>
          <w:rFonts w:ascii="Times New Roman" w:hAnsi="Times New Roman"/>
          <w:b/>
          <w:spacing w:val="-10"/>
          <w:szCs w:val="24"/>
          <w:u w:val="single"/>
        </w:rPr>
        <w:t xml:space="preserve"> </w:t>
      </w:r>
      <w:r w:rsidRPr="00881712" w:rsidR="00881712">
        <w:rPr>
          <w:rFonts w:ascii="Times New Roman" w:hAnsi="Times New Roman"/>
          <w:b/>
          <w:spacing w:val="1"/>
          <w:szCs w:val="24"/>
          <w:u w:val="single"/>
        </w:rPr>
        <w:t>or</w:t>
      </w:r>
      <w:r w:rsidRPr="00881712" w:rsidR="00881712">
        <w:rPr>
          <w:rFonts w:ascii="Times New Roman" w:hAnsi="Times New Roman"/>
          <w:b/>
          <w:spacing w:val="-7"/>
          <w:szCs w:val="24"/>
          <w:u w:val="single"/>
        </w:rPr>
        <w:t xml:space="preserve"> </w:t>
      </w:r>
      <w:r w:rsidRPr="00881712" w:rsidR="00881712">
        <w:rPr>
          <w:rFonts w:ascii="Times New Roman" w:hAnsi="Times New Roman"/>
          <w:b/>
          <w:spacing w:val="-5"/>
          <w:szCs w:val="24"/>
          <w:u w:val="single"/>
        </w:rPr>
        <w:t>gifts to respondents:</w:t>
      </w:r>
    </w:p>
    <w:p w:rsidR="007B6C63" w14:paraId="2E0B2B31" w14:textId="77777777">
      <w:pPr>
        <w:rPr>
          <w:rFonts w:ascii="Times New Roman" w:hAnsi="Times New Roman"/>
        </w:rPr>
      </w:pPr>
    </w:p>
    <w:p w:rsidR="007B6C63" w:rsidP="000B0581" w14:paraId="7D84B763" w14:textId="77777777">
      <w:pPr>
        <w:ind w:left="720"/>
        <w:rPr>
          <w:rFonts w:ascii="Times New Roman" w:hAnsi="Times New Roman"/>
        </w:rPr>
      </w:pPr>
      <w:r>
        <w:rPr>
          <w:rFonts w:ascii="Times New Roman" w:hAnsi="Times New Roman"/>
        </w:rPr>
        <w:t>None.</w:t>
      </w:r>
    </w:p>
    <w:p w:rsidR="007B6C63" w14:paraId="677C40D5" w14:textId="77777777">
      <w:pPr>
        <w:ind w:left="720" w:firstLine="720"/>
        <w:rPr>
          <w:rFonts w:ascii="Times New Roman" w:hAnsi="Times New Roman"/>
        </w:rPr>
      </w:pPr>
    </w:p>
    <w:p w:rsidR="007B6C63" w:rsidP="00F8783F" w14:paraId="24D00C90" w14:textId="77777777">
      <w:pPr>
        <w:keepNext/>
        <w:tabs>
          <w:tab w:val="left" w:pos="-1440"/>
        </w:tabs>
        <w:ind w:left="720" w:hanging="360"/>
        <w:rPr>
          <w:rFonts w:ascii="Times New Roman" w:hAnsi="Times New Roman"/>
        </w:rPr>
      </w:pPr>
      <w:r>
        <w:rPr>
          <w:rFonts w:ascii="Times New Roman" w:hAnsi="Times New Roman"/>
        </w:rPr>
        <w:t>10.</w:t>
      </w:r>
      <w:r>
        <w:rPr>
          <w:rFonts w:ascii="Times New Roman" w:hAnsi="Times New Roman"/>
        </w:rPr>
        <w:tab/>
      </w:r>
      <w:r w:rsidRPr="00A1019D" w:rsidR="00881712">
        <w:rPr>
          <w:rFonts w:ascii="Times New Roman" w:hAnsi="Times New Roman"/>
          <w:b/>
          <w:bCs/>
          <w:iCs/>
          <w:u w:val="single"/>
        </w:rPr>
        <w:t>Any</w:t>
      </w:r>
      <w:r w:rsidRPr="00881712" w:rsidR="00881712">
        <w:rPr>
          <w:rFonts w:ascii="Times New Roman" w:hAnsi="Times New Roman"/>
          <w:b/>
          <w:bCs/>
          <w:iCs/>
          <w:szCs w:val="24"/>
          <w:u w:val="single"/>
        </w:rPr>
        <w:t xml:space="preserve"> assurance of confidentiality:</w:t>
      </w:r>
    </w:p>
    <w:p w:rsidR="007B6C63" w:rsidP="00F8783F" w14:paraId="5C7EBA57" w14:textId="77777777">
      <w:pPr>
        <w:keepNext/>
        <w:rPr>
          <w:rFonts w:ascii="Times New Roman" w:hAnsi="Times New Roman"/>
        </w:rPr>
      </w:pPr>
    </w:p>
    <w:p w:rsidR="00881712" w:rsidP="00F8783F" w14:paraId="04BF8722" w14:textId="77777777">
      <w:pPr>
        <w:keepNext/>
        <w:ind w:left="720"/>
        <w:rPr>
          <w:rFonts w:ascii="Times New Roman" w:hAnsi="Times New Roman"/>
        </w:rPr>
      </w:pPr>
      <w:r>
        <w:rPr>
          <w:rFonts w:ascii="Times New Roman" w:hAnsi="Times New Roman"/>
        </w:rPr>
        <w:t xml:space="preserve">The risk rate classification of an </w:t>
      </w:r>
      <w:r w:rsidR="00F8783F">
        <w:rPr>
          <w:rFonts w:ascii="Times New Roman" w:hAnsi="Times New Roman"/>
        </w:rPr>
        <w:t>insured depository</w:t>
      </w:r>
      <w:r>
        <w:rPr>
          <w:rFonts w:ascii="Times New Roman" w:hAnsi="Times New Roman"/>
        </w:rPr>
        <w:t xml:space="preserve"> institution is confidential.</w:t>
      </w:r>
      <w:r>
        <w:rPr>
          <w:rFonts w:ascii="Times New Roman" w:hAnsi="Times New Roman"/>
        </w:rPr>
        <w:t xml:space="preserve"> Information is kept private to the extent allowed by law.</w:t>
      </w:r>
    </w:p>
    <w:p w:rsidR="007B6C63" w14:paraId="42AFC991" w14:textId="77777777">
      <w:pPr>
        <w:ind w:left="720" w:firstLine="720"/>
        <w:rPr>
          <w:rFonts w:ascii="Times New Roman" w:hAnsi="Times New Roman"/>
        </w:rPr>
      </w:pPr>
    </w:p>
    <w:p w:rsidR="00881712" w:rsidRPr="00F04445" w:rsidP="00A1019D" w14:paraId="6CD48B93" w14:textId="77777777">
      <w:pPr>
        <w:tabs>
          <w:tab w:val="left" w:pos="-1440"/>
        </w:tabs>
        <w:ind w:left="720" w:hanging="360"/>
        <w:rPr>
          <w:rFonts w:ascii="Times New Roman" w:hAnsi="Times New Roman"/>
          <w:b/>
          <w:spacing w:val="-1"/>
          <w:szCs w:val="24"/>
        </w:rPr>
      </w:pPr>
      <w:r w:rsidRPr="00881712">
        <w:rPr>
          <w:rFonts w:ascii="Times New Roman" w:hAnsi="Times New Roman"/>
        </w:rPr>
        <w:t>11.</w:t>
      </w:r>
      <w:r w:rsidRPr="00881712">
        <w:rPr>
          <w:rFonts w:ascii="Times New Roman" w:hAnsi="Times New Roman"/>
        </w:rPr>
        <w:tab/>
      </w:r>
      <w:r w:rsidRPr="002A5F6B">
        <w:rPr>
          <w:rFonts w:ascii="Times New Roman" w:hAnsi="Times New Roman"/>
          <w:b/>
          <w:bCs/>
          <w:iCs/>
          <w:u w:val="single"/>
        </w:rPr>
        <w:t>Justification</w:t>
      </w:r>
      <w:r w:rsidRPr="002A5F6B">
        <w:rPr>
          <w:rFonts w:ascii="Times New Roman" w:hAnsi="Times New Roman"/>
          <w:b/>
          <w:bCs/>
          <w:spacing w:val="-1"/>
          <w:szCs w:val="24"/>
          <w:u w:val="single"/>
        </w:rPr>
        <w:t xml:space="preserve"> </w:t>
      </w:r>
      <w:r w:rsidRPr="002A5F6B">
        <w:rPr>
          <w:rFonts w:ascii="Times New Roman" w:hAnsi="Times New Roman"/>
          <w:u w:val="single"/>
        </w:rPr>
        <w:t>for</w:t>
      </w:r>
      <w:r w:rsidRPr="002A5F6B">
        <w:rPr>
          <w:rFonts w:ascii="Times New Roman" w:hAnsi="Times New Roman"/>
          <w:b/>
          <w:bCs/>
          <w:spacing w:val="-1"/>
          <w:szCs w:val="24"/>
          <w:u w:val="single"/>
        </w:rPr>
        <w:t xml:space="preserve"> questions of a sensitive nature:</w:t>
      </w:r>
    </w:p>
    <w:p w:rsidR="007B6C63" w14:paraId="30FB86AE" w14:textId="77777777">
      <w:pPr>
        <w:tabs>
          <w:tab w:val="left" w:pos="-1440"/>
        </w:tabs>
        <w:ind w:firstLine="720"/>
        <w:rPr>
          <w:rFonts w:ascii="Times New Roman" w:hAnsi="Times New Roman"/>
        </w:rPr>
      </w:pPr>
    </w:p>
    <w:p w:rsidR="007B6C63" w:rsidP="000B0581" w14:paraId="3C6A99DA" w14:textId="77777777">
      <w:pPr>
        <w:ind w:left="720"/>
        <w:rPr>
          <w:rFonts w:ascii="Times New Roman" w:hAnsi="Times New Roman"/>
        </w:rPr>
      </w:pPr>
      <w:r>
        <w:rPr>
          <w:rFonts w:ascii="Times New Roman" w:hAnsi="Times New Roman"/>
          <w:spacing w:val="-1"/>
          <w:szCs w:val="24"/>
        </w:rPr>
        <w:t xml:space="preserve">Not </w:t>
      </w:r>
      <w:r w:rsidRPr="000B0581">
        <w:rPr>
          <w:rFonts w:ascii="Times New Roman" w:hAnsi="Times New Roman"/>
        </w:rPr>
        <w:t>applicable</w:t>
      </w:r>
      <w:r w:rsidR="003B3219">
        <w:rPr>
          <w:rFonts w:ascii="Times New Roman" w:hAnsi="Times New Roman"/>
          <w:spacing w:val="-1"/>
          <w:szCs w:val="24"/>
        </w:rPr>
        <w:t>.</w:t>
      </w:r>
      <w:r>
        <w:rPr>
          <w:rFonts w:ascii="Times New Roman" w:hAnsi="Times New Roman"/>
          <w:spacing w:val="-1"/>
          <w:szCs w:val="24"/>
        </w:rPr>
        <w:t xml:space="preserve"> </w:t>
      </w:r>
      <w:r w:rsidR="003B3219">
        <w:rPr>
          <w:rFonts w:ascii="Times New Roman" w:hAnsi="Times New Roman"/>
          <w:spacing w:val="-1"/>
          <w:szCs w:val="24"/>
        </w:rPr>
        <w:t>N</w:t>
      </w:r>
      <w:r>
        <w:rPr>
          <w:rFonts w:ascii="Times New Roman" w:hAnsi="Times New Roman"/>
          <w:spacing w:val="-1"/>
          <w:szCs w:val="24"/>
        </w:rPr>
        <w:t>o sensitive information is collected.</w:t>
      </w:r>
    </w:p>
    <w:p w:rsidR="007B6C63" w14:paraId="609D1576" w14:textId="77777777">
      <w:pPr>
        <w:rPr>
          <w:rFonts w:ascii="Times New Roman" w:hAnsi="Times New Roman"/>
        </w:rPr>
      </w:pPr>
    </w:p>
    <w:p w:rsidR="00615BAD" w14:paraId="054D44D6" w14:textId="77777777">
      <w:pPr>
        <w:rPr>
          <w:rFonts w:ascii="Times New Roman" w:hAnsi="Times New Roman"/>
        </w:rPr>
      </w:pPr>
    </w:p>
    <w:p w:rsidR="007B6C63" w:rsidP="00A1019D" w14:paraId="0056679D" w14:textId="77777777">
      <w:pPr>
        <w:tabs>
          <w:tab w:val="left" w:pos="-1440"/>
        </w:tabs>
        <w:ind w:left="720" w:hanging="360"/>
        <w:rPr>
          <w:rFonts w:ascii="Times New Roman" w:hAnsi="Times New Roman"/>
          <w:b/>
          <w:bCs/>
          <w:iCs/>
          <w:szCs w:val="24"/>
          <w:u w:val="single"/>
        </w:rPr>
      </w:pPr>
      <w:r>
        <w:rPr>
          <w:rFonts w:ascii="Times New Roman" w:hAnsi="Times New Roman"/>
        </w:rPr>
        <w:t>12.</w:t>
      </w:r>
      <w:r>
        <w:rPr>
          <w:rFonts w:ascii="Times New Roman" w:hAnsi="Times New Roman"/>
        </w:rPr>
        <w:tab/>
      </w:r>
      <w:r w:rsidRPr="00A1019D" w:rsidR="00881712">
        <w:rPr>
          <w:rFonts w:ascii="Times New Roman" w:hAnsi="Times New Roman"/>
          <w:b/>
          <w:bCs/>
          <w:iCs/>
          <w:u w:val="single"/>
        </w:rPr>
        <w:t>Estimate</w:t>
      </w:r>
      <w:r w:rsidRPr="00D64624" w:rsidR="00881712">
        <w:rPr>
          <w:rFonts w:ascii="Times New Roman" w:hAnsi="Times New Roman"/>
          <w:b/>
          <w:bCs/>
          <w:iCs/>
          <w:szCs w:val="24"/>
          <w:u w:val="single"/>
        </w:rPr>
        <w:t xml:space="preserve"> of hour burden including annualized hourly costs:</w:t>
      </w:r>
    </w:p>
    <w:p w:rsidR="00881712" w14:paraId="0DD1A969" w14:textId="77777777">
      <w:pPr>
        <w:tabs>
          <w:tab w:val="left" w:pos="-1440"/>
        </w:tabs>
        <w:ind w:firstLine="720"/>
        <w:rPr>
          <w:rFonts w:ascii="Times New Roman" w:hAnsi="Times New Roman"/>
          <w:b/>
          <w:bCs/>
          <w:iCs/>
          <w:szCs w:val="24"/>
          <w:u w:val="single"/>
        </w:rPr>
      </w:pPr>
    </w:p>
    <w:p w:rsidR="006B18B4" w:rsidRPr="006B18B4" w:rsidP="006B18B4" w14:paraId="3F5CDD8A" w14:textId="77777777">
      <w:pPr>
        <w:keepNext/>
        <w:ind w:left="720"/>
        <w:rPr>
          <w:rFonts w:ascii="Times New Roman" w:hAnsi="Times New Roman"/>
          <w:lang w:bidi="en-US"/>
        </w:rPr>
      </w:pPr>
      <w:r w:rsidRPr="006B18B4">
        <w:rPr>
          <w:rFonts w:ascii="Times New Roman" w:hAnsi="Times New Roman"/>
          <w:lang w:bidi="en-US"/>
        </w:rPr>
        <w:t xml:space="preserve">Potential </w:t>
      </w:r>
      <w:r w:rsidRPr="006B18B4">
        <w:rPr>
          <w:rFonts w:ascii="Times New Roman" w:hAnsi="Times New Roman"/>
        </w:rPr>
        <w:t>respondents</w:t>
      </w:r>
      <w:r w:rsidRPr="006B18B4">
        <w:rPr>
          <w:rFonts w:ascii="Times New Roman" w:hAnsi="Times New Roman"/>
          <w:lang w:bidi="en-US"/>
        </w:rPr>
        <w:t xml:space="preserve"> to this ICR include all IDIs. </w:t>
      </w:r>
      <w:r w:rsidR="0008222A">
        <w:rPr>
          <w:rFonts w:ascii="Times New Roman" w:hAnsi="Times New Roman"/>
          <w:lang w:bidi="en-US"/>
        </w:rPr>
        <w:t xml:space="preserve">All IDIs receive a deposit insurance </w:t>
      </w:r>
      <w:r w:rsidR="00855D2C">
        <w:rPr>
          <w:rFonts w:ascii="Times New Roman" w:hAnsi="Times New Roman"/>
          <w:lang w:bidi="en-US"/>
        </w:rPr>
        <w:t xml:space="preserve">premium </w:t>
      </w:r>
      <w:r w:rsidRPr="006B18B4" w:rsidR="00855D2C">
        <w:rPr>
          <w:rFonts w:ascii="Times New Roman" w:hAnsi="Times New Roman"/>
          <w:lang w:bidi="en-US"/>
        </w:rPr>
        <w:t>invoice</w:t>
      </w:r>
      <w:r w:rsidRPr="006B18B4">
        <w:rPr>
          <w:rFonts w:ascii="Times New Roman" w:hAnsi="Times New Roman"/>
          <w:lang w:bidi="en-US"/>
        </w:rPr>
        <w:t xml:space="preserve"> each quarter; as such, all IDIs who receive an invoice are considered respondents for the purposes of this IC. As of the quarter ending September 30, 2022, there are 4,755 IDIs.</w:t>
      </w:r>
      <w:r>
        <w:rPr>
          <w:rFonts w:ascii="Times New Roman" w:hAnsi="Times New Roman"/>
          <w:vertAlign w:val="superscript"/>
          <w:lang w:bidi="en-US"/>
        </w:rPr>
        <w:footnoteReference w:id="2"/>
      </w:r>
      <w:r w:rsidRPr="006B18B4">
        <w:rPr>
          <w:rFonts w:ascii="Times New Roman" w:hAnsi="Times New Roman"/>
          <w:lang w:bidi="en-US"/>
        </w:rPr>
        <w:t xml:space="preserve">  Of those, 3,475, or 73.1 percent, are considered small for purposes of the Regulatory Flexibility Act (RFA).</w:t>
      </w:r>
      <w:r>
        <w:rPr>
          <w:rFonts w:ascii="Times New Roman" w:hAnsi="Times New Roman"/>
          <w:vertAlign w:val="superscript"/>
          <w:lang w:bidi="en-US"/>
        </w:rPr>
        <w:footnoteReference w:id="3"/>
      </w:r>
      <w:r w:rsidRPr="006B18B4">
        <w:rPr>
          <w:rFonts w:ascii="Times New Roman" w:hAnsi="Times New Roman"/>
          <w:lang w:bidi="en-US"/>
        </w:rPr>
        <w:t xml:space="preserve">  </w:t>
      </w:r>
    </w:p>
    <w:p w:rsidR="006B18B4" w:rsidRPr="006B18B4" w:rsidP="006B18B4" w14:paraId="68ABC869" w14:textId="77777777">
      <w:pPr>
        <w:keepNext/>
        <w:tabs>
          <w:tab w:val="left" w:pos="-1440"/>
        </w:tabs>
        <w:ind w:left="720" w:hanging="360"/>
        <w:rPr>
          <w:rFonts w:ascii="Times New Roman" w:hAnsi="Times New Roman"/>
          <w:lang w:bidi="en-US"/>
        </w:rPr>
      </w:pPr>
    </w:p>
    <w:p w:rsidR="006B18B4" w:rsidRPr="006B18B4" w:rsidP="006B18B4" w14:paraId="213448ED" w14:textId="77777777">
      <w:pPr>
        <w:keepNext/>
        <w:ind w:left="720"/>
        <w:rPr>
          <w:rFonts w:ascii="Times New Roman" w:hAnsi="Times New Roman"/>
          <w:lang w:bidi="en-US"/>
        </w:rPr>
      </w:pPr>
      <w:r w:rsidRPr="006B18B4">
        <w:rPr>
          <w:rFonts w:ascii="Times New Roman" w:hAnsi="Times New Roman"/>
          <w:lang w:bidi="en-US"/>
        </w:rPr>
        <w:t xml:space="preserve">The estimate </w:t>
      </w:r>
      <w:r w:rsidRPr="006B18B4">
        <w:rPr>
          <w:rFonts w:ascii="Times New Roman" w:hAnsi="Times New Roman"/>
        </w:rPr>
        <w:t>above</w:t>
      </w:r>
      <w:r w:rsidRPr="006B18B4">
        <w:rPr>
          <w:rFonts w:ascii="Times New Roman" w:hAnsi="Times New Roman"/>
          <w:lang w:bidi="en-US"/>
        </w:rPr>
        <w:t xml:space="preserve"> constitutes a decrease of 503 from the estimated 5,258 annual respond</w:t>
      </w:r>
      <w:r w:rsidR="0008222A">
        <w:rPr>
          <w:rFonts w:ascii="Times New Roman" w:hAnsi="Times New Roman"/>
          <w:lang w:bidi="en-US"/>
        </w:rPr>
        <w:t>ents in the 2020 ICR. S</w:t>
      </w:r>
      <w:r w:rsidRPr="006B18B4">
        <w:rPr>
          <w:rFonts w:ascii="Times New Roman" w:hAnsi="Times New Roman"/>
          <w:lang w:bidi="en-US"/>
        </w:rPr>
        <w:t>ince all IDIs receive an invoice each quarter, the decrease in estimated respondents is a result of the historical drop in the total number of IDIs since 2020.</w:t>
      </w:r>
    </w:p>
    <w:p w:rsidR="006B18B4" w:rsidRPr="006B18B4" w:rsidP="006B18B4" w14:paraId="6DDE6B56" w14:textId="77777777">
      <w:pPr>
        <w:keepNext/>
        <w:tabs>
          <w:tab w:val="left" w:pos="-1440"/>
        </w:tabs>
        <w:ind w:left="720" w:hanging="360"/>
        <w:rPr>
          <w:rFonts w:ascii="Times New Roman" w:hAnsi="Times New Roman"/>
          <w:lang w:bidi="en-US"/>
        </w:rPr>
      </w:pPr>
    </w:p>
    <w:p w:rsidR="006B18B4" w:rsidRPr="006B18B4" w:rsidP="006B18B4" w14:paraId="08C8A7C6" w14:textId="77777777">
      <w:pPr>
        <w:keepNext/>
        <w:tabs>
          <w:tab w:val="left" w:pos="-1440"/>
        </w:tabs>
        <w:ind w:left="720" w:hanging="360"/>
        <w:rPr>
          <w:rFonts w:ascii="Times New Roman" w:hAnsi="Times New Roman"/>
          <w:b/>
          <w:lang w:bidi="en-US"/>
        </w:rPr>
      </w:pPr>
      <w:r w:rsidRPr="006B18B4">
        <w:rPr>
          <w:rFonts w:ascii="Times New Roman" w:hAnsi="Times New Roman"/>
          <w:b/>
          <w:lang w:bidi="en-US"/>
        </w:rPr>
        <w:t>Number of Responses per Respondent</w:t>
      </w:r>
    </w:p>
    <w:p w:rsidR="006B18B4" w:rsidRPr="006B18B4" w:rsidP="006B18B4" w14:paraId="14D90F34" w14:textId="77777777">
      <w:pPr>
        <w:keepNext/>
        <w:tabs>
          <w:tab w:val="left" w:pos="-1440"/>
        </w:tabs>
        <w:ind w:left="720" w:hanging="360"/>
        <w:rPr>
          <w:rFonts w:ascii="Times New Roman" w:hAnsi="Times New Roman"/>
          <w:lang w:bidi="en-US"/>
        </w:rPr>
      </w:pPr>
    </w:p>
    <w:p w:rsidR="006B18B4" w:rsidRPr="006B18B4" w:rsidP="006B18B4" w14:paraId="6629012D" w14:textId="77777777">
      <w:pPr>
        <w:keepNext/>
        <w:ind w:left="720"/>
        <w:rPr>
          <w:rFonts w:ascii="Times New Roman" w:hAnsi="Times New Roman"/>
          <w:lang w:bidi="en-US"/>
        </w:rPr>
      </w:pPr>
      <w:r w:rsidRPr="006B18B4">
        <w:rPr>
          <w:rFonts w:ascii="Times New Roman" w:hAnsi="Times New Roman"/>
          <w:lang w:bidi="en-US"/>
        </w:rPr>
        <w:t xml:space="preserve">As invoices are received quarterly, the estimated annual number of responses per respondent for the IC is </w:t>
      </w:r>
      <w:r w:rsidRPr="006B18B4">
        <w:rPr>
          <w:rFonts w:ascii="Times New Roman" w:hAnsi="Times New Roman"/>
        </w:rPr>
        <w:t>equal</w:t>
      </w:r>
      <w:r w:rsidRPr="006B18B4">
        <w:rPr>
          <w:rFonts w:ascii="Times New Roman" w:hAnsi="Times New Roman"/>
          <w:lang w:bidi="en-US"/>
        </w:rPr>
        <w:t xml:space="preserve"> to four, which is unchanged from the 2020 ICR.</w:t>
      </w:r>
    </w:p>
    <w:p w:rsidR="006B18B4" w:rsidRPr="006B18B4" w:rsidP="006B18B4" w14:paraId="4E1EF988" w14:textId="77777777">
      <w:pPr>
        <w:keepNext/>
        <w:tabs>
          <w:tab w:val="left" w:pos="-1440"/>
        </w:tabs>
        <w:ind w:left="720" w:hanging="360"/>
        <w:rPr>
          <w:rFonts w:ascii="Times New Roman" w:hAnsi="Times New Roman"/>
          <w:lang w:bidi="en-US"/>
        </w:rPr>
      </w:pPr>
    </w:p>
    <w:p w:rsidR="006B18B4" w:rsidRPr="006B18B4" w:rsidP="006B18B4" w14:paraId="1557BC9D" w14:textId="77777777">
      <w:pPr>
        <w:keepNext/>
        <w:tabs>
          <w:tab w:val="left" w:pos="-1440"/>
        </w:tabs>
        <w:ind w:left="720" w:hanging="360"/>
        <w:rPr>
          <w:rFonts w:ascii="Times New Roman" w:hAnsi="Times New Roman"/>
          <w:b/>
          <w:lang w:bidi="en-US"/>
        </w:rPr>
      </w:pPr>
      <w:r w:rsidRPr="006B18B4">
        <w:rPr>
          <w:rFonts w:ascii="Times New Roman" w:hAnsi="Times New Roman"/>
          <w:b/>
          <w:lang w:bidi="en-US"/>
        </w:rPr>
        <w:t>Estimated Time per Response</w:t>
      </w:r>
    </w:p>
    <w:p w:rsidR="006B18B4" w:rsidRPr="006B18B4" w:rsidP="006B18B4" w14:paraId="61EB7D38" w14:textId="77777777">
      <w:pPr>
        <w:keepNext/>
        <w:tabs>
          <w:tab w:val="left" w:pos="-1440"/>
        </w:tabs>
        <w:ind w:left="720" w:hanging="360"/>
        <w:rPr>
          <w:rFonts w:ascii="Times New Roman" w:hAnsi="Times New Roman"/>
          <w:lang w:bidi="en-US"/>
        </w:rPr>
      </w:pPr>
    </w:p>
    <w:p w:rsidR="006B18B4" w:rsidRPr="006B18B4" w:rsidP="0008222A" w14:paraId="222FB14D" w14:textId="77777777">
      <w:pPr>
        <w:keepNext/>
        <w:ind w:left="720"/>
        <w:rPr>
          <w:rFonts w:ascii="Times New Roman" w:hAnsi="Times New Roman"/>
          <w:lang w:bidi="en-US"/>
        </w:rPr>
      </w:pPr>
      <w:r>
        <w:rPr>
          <w:rFonts w:ascii="Times New Roman" w:hAnsi="Times New Roman"/>
          <w:lang w:bidi="en-US"/>
        </w:rPr>
        <w:t>FDIC</w:t>
      </w:r>
      <w:r w:rsidRPr="006B18B4">
        <w:rPr>
          <w:rFonts w:ascii="Times New Roman" w:hAnsi="Times New Roman"/>
        </w:rPr>
        <w:t xml:space="preserve"> estimate</w:t>
      </w:r>
      <w:r>
        <w:rPr>
          <w:rFonts w:ascii="Times New Roman" w:hAnsi="Times New Roman"/>
        </w:rPr>
        <w:t>s</w:t>
      </w:r>
      <w:r w:rsidRPr="006B18B4">
        <w:rPr>
          <w:rFonts w:ascii="Times New Roman" w:hAnsi="Times New Roman"/>
        </w:rPr>
        <w:t xml:space="preserve"> the time per response to be 20 minutes. This estimate is unchanged</w:t>
      </w:r>
      <w:r w:rsidRPr="006B18B4">
        <w:rPr>
          <w:rFonts w:ascii="Times New Roman" w:hAnsi="Times New Roman"/>
          <w:lang w:bidi="en-US"/>
        </w:rPr>
        <w:t xml:space="preserve"> </w:t>
      </w:r>
      <w:r w:rsidRPr="006B18B4">
        <w:rPr>
          <w:rFonts w:ascii="Times New Roman" w:hAnsi="Times New Roman"/>
        </w:rPr>
        <w:t>from</w:t>
      </w:r>
      <w:r w:rsidRPr="006B18B4">
        <w:rPr>
          <w:rFonts w:ascii="Times New Roman" w:hAnsi="Times New Roman"/>
          <w:lang w:bidi="en-US"/>
        </w:rPr>
        <w:t xml:space="preserve"> the 2020 ICR and is based on </w:t>
      </w:r>
      <w:r>
        <w:rPr>
          <w:rFonts w:ascii="Times New Roman" w:hAnsi="Times New Roman"/>
          <w:lang w:bidi="en-US"/>
        </w:rPr>
        <w:t>FDIC’s</w:t>
      </w:r>
      <w:r w:rsidRPr="006B18B4">
        <w:rPr>
          <w:rFonts w:ascii="Times New Roman" w:hAnsi="Times New Roman"/>
          <w:lang w:bidi="en-US"/>
        </w:rPr>
        <w:t>’ experience with this ICR.</w:t>
      </w:r>
    </w:p>
    <w:p w:rsidR="006B18B4" w:rsidRPr="006B18B4" w:rsidP="006B18B4" w14:paraId="1AB1964A" w14:textId="77777777">
      <w:pPr>
        <w:keepNext/>
        <w:tabs>
          <w:tab w:val="left" w:pos="-1440"/>
        </w:tabs>
        <w:ind w:left="720" w:hanging="360"/>
        <w:rPr>
          <w:rFonts w:ascii="Times New Roman" w:hAnsi="Times New Roman"/>
          <w:lang w:bidi="en-US"/>
        </w:rPr>
      </w:pPr>
    </w:p>
    <w:p w:rsidR="006B18B4" w:rsidRPr="006B18B4" w:rsidP="006B18B4" w14:paraId="29DF5B04" w14:textId="77777777">
      <w:pPr>
        <w:keepNext/>
        <w:tabs>
          <w:tab w:val="left" w:pos="-1440"/>
        </w:tabs>
        <w:ind w:left="720" w:hanging="360"/>
        <w:rPr>
          <w:rFonts w:ascii="Times New Roman" w:hAnsi="Times New Roman"/>
          <w:b/>
          <w:lang w:bidi="en-US"/>
        </w:rPr>
      </w:pPr>
      <w:r w:rsidRPr="006B18B4">
        <w:rPr>
          <w:rFonts w:ascii="Times New Roman" w:hAnsi="Times New Roman"/>
          <w:b/>
          <w:lang w:bidi="en-US"/>
        </w:rPr>
        <w:t>Total Estimated Annual Burden</w:t>
      </w:r>
    </w:p>
    <w:p w:rsidR="006B18B4" w:rsidRPr="006B18B4" w:rsidP="006B18B4" w14:paraId="78B382E3" w14:textId="77777777">
      <w:pPr>
        <w:keepNext/>
        <w:tabs>
          <w:tab w:val="left" w:pos="-1440"/>
        </w:tabs>
        <w:ind w:left="720" w:hanging="360"/>
        <w:rPr>
          <w:rFonts w:ascii="Times New Roman" w:hAnsi="Times New Roman"/>
          <w:b/>
          <w:lang w:bidi="en-US"/>
        </w:rPr>
      </w:pPr>
    </w:p>
    <w:p w:rsidR="006B18B4" w:rsidRPr="006B18B4" w:rsidP="0008222A" w14:paraId="19B147E3" w14:textId="166A4033">
      <w:pPr>
        <w:keepNext/>
        <w:ind w:left="720"/>
        <w:rPr>
          <w:rFonts w:ascii="Times New Roman" w:hAnsi="Times New Roman"/>
          <w:b/>
          <w:lang w:bidi="en-US"/>
        </w:rPr>
      </w:pPr>
      <w:r w:rsidRPr="006B18B4">
        <w:rPr>
          <w:rFonts w:ascii="Times New Roman" w:hAnsi="Times New Roman"/>
          <w:lang w:bidi="en-US"/>
        </w:rPr>
        <w:t xml:space="preserve">These estimates </w:t>
      </w:r>
      <w:r w:rsidRPr="006B18B4">
        <w:rPr>
          <w:rFonts w:ascii="Times New Roman" w:hAnsi="Times New Roman"/>
        </w:rPr>
        <w:t>result</w:t>
      </w:r>
      <w:r w:rsidRPr="006B18B4">
        <w:rPr>
          <w:rFonts w:ascii="Times New Roman" w:hAnsi="Times New Roman"/>
          <w:lang w:bidi="en-US"/>
        </w:rPr>
        <w:t xml:space="preserve"> in a total estimated annual burden for OMB No. 3064-0057 of 6,340 hours, a decrease of 671 hours compared to the estimate in the 2020 ICR (7,011 hours). This decrease is entirely due to the decrease in the number of IDIs </w:t>
      </w:r>
      <w:r w:rsidR="00B11EC6">
        <w:rPr>
          <w:rFonts w:ascii="Times New Roman" w:hAnsi="Times New Roman"/>
          <w:lang w:bidi="en-US"/>
        </w:rPr>
        <w:t>since the last renewal</w:t>
      </w:r>
      <w:r w:rsidRPr="006B18B4">
        <w:rPr>
          <w:rFonts w:ascii="Times New Roman" w:hAnsi="Times New Roman"/>
          <w:lang w:bidi="en-US"/>
        </w:rPr>
        <w:t xml:space="preserve">. This burden estimate breakdown is shown in Table 1 below. </w:t>
      </w:r>
    </w:p>
    <w:p w:rsidR="006B18B4" w:rsidRPr="006B18B4" w:rsidP="006B18B4" w14:paraId="411F8809" w14:textId="77777777">
      <w:pPr>
        <w:keepNext/>
        <w:tabs>
          <w:tab w:val="left" w:pos="-1440"/>
        </w:tabs>
        <w:ind w:left="720" w:hanging="360"/>
        <w:rPr>
          <w:rFonts w:ascii="Times New Roman" w:hAnsi="Times New Roman"/>
          <w:lang w:bidi="en-US"/>
        </w:rPr>
      </w:pPr>
    </w:p>
    <w:tbl>
      <w:tblPr>
        <w:tblW w:w="9040" w:type="dxa"/>
        <w:tblLook w:val="04A0"/>
      </w:tblPr>
      <w:tblGrid>
        <w:gridCol w:w="2280"/>
        <w:gridCol w:w="1640"/>
        <w:gridCol w:w="1240"/>
        <w:gridCol w:w="1600"/>
        <w:gridCol w:w="1120"/>
        <w:gridCol w:w="1160"/>
      </w:tblGrid>
      <w:tr w14:paraId="6CC169A9" w14:textId="77777777" w:rsidTr="00D03AC4">
        <w:tblPrEx>
          <w:tblW w:w="9040" w:type="dxa"/>
          <w:tblLook w:val="04A0"/>
        </w:tblPrEx>
        <w:trPr>
          <w:trHeight w:val="360"/>
        </w:trPr>
        <w:tc>
          <w:tcPr>
            <w:tcW w:w="904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B18B4" w:rsidRPr="0008222A" w:rsidP="0008222A" w14:paraId="71B2A06D" w14:textId="77777777">
            <w:pPr>
              <w:keepNext/>
              <w:tabs>
                <w:tab w:val="left" w:pos="-1440"/>
              </w:tabs>
              <w:ind w:left="720" w:hanging="360"/>
              <w:jc w:val="center"/>
              <w:rPr>
                <w:rFonts w:ascii="Times New Roman" w:hAnsi="Times New Roman"/>
                <w:b/>
                <w:sz w:val="20"/>
              </w:rPr>
            </w:pPr>
            <w:r w:rsidRPr="0008222A">
              <w:rPr>
                <w:rFonts w:ascii="Times New Roman" w:hAnsi="Times New Roman"/>
                <w:b/>
                <w:sz w:val="20"/>
              </w:rPr>
              <w:t>Table 1. Summary of Estimated Annual Burden (OMB No. 3064-0057)</w:t>
            </w:r>
          </w:p>
        </w:tc>
      </w:tr>
      <w:tr w14:paraId="7838AFD0" w14:textId="77777777" w:rsidTr="00D03AC4">
        <w:tblPrEx>
          <w:tblW w:w="9040" w:type="dxa"/>
          <w:tblLook w:val="04A0"/>
        </w:tblPrEx>
        <w:trPr>
          <w:trHeight w:val="840"/>
        </w:trPr>
        <w:tc>
          <w:tcPr>
            <w:tcW w:w="2280" w:type="dxa"/>
            <w:tcBorders>
              <w:top w:val="nil"/>
              <w:left w:val="single" w:sz="8" w:space="0" w:color="auto"/>
              <w:bottom w:val="single" w:sz="8" w:space="0" w:color="auto"/>
              <w:right w:val="single" w:sz="8" w:space="0" w:color="auto"/>
            </w:tcBorders>
            <w:shd w:val="clear" w:color="auto" w:fill="auto"/>
            <w:vAlign w:val="center"/>
            <w:hideMark/>
          </w:tcPr>
          <w:p w:rsidR="006B18B4" w:rsidRPr="0008222A" w:rsidP="0008222A" w14:paraId="52FF602B" w14:textId="77777777">
            <w:pPr>
              <w:keepNext/>
              <w:jc w:val="center"/>
              <w:rPr>
                <w:rFonts w:ascii="Times New Roman" w:hAnsi="Times New Roman"/>
                <w:sz w:val="20"/>
              </w:rPr>
            </w:pPr>
            <w:r w:rsidRPr="0008222A">
              <w:rPr>
                <w:rFonts w:ascii="Times New Roman" w:hAnsi="Times New Roman"/>
                <w:sz w:val="20"/>
              </w:rPr>
              <w:t>Information Collection (Obligation to Respond)</w:t>
            </w:r>
          </w:p>
        </w:tc>
        <w:tc>
          <w:tcPr>
            <w:tcW w:w="1640" w:type="dxa"/>
            <w:tcBorders>
              <w:top w:val="nil"/>
              <w:left w:val="nil"/>
              <w:bottom w:val="single" w:sz="8" w:space="0" w:color="auto"/>
              <w:right w:val="single" w:sz="8" w:space="0" w:color="auto"/>
            </w:tcBorders>
            <w:shd w:val="clear" w:color="auto" w:fill="auto"/>
            <w:vAlign w:val="center"/>
            <w:hideMark/>
          </w:tcPr>
          <w:p w:rsidR="006B18B4" w:rsidRPr="0008222A" w:rsidP="0008222A" w14:paraId="2A19417E" w14:textId="77777777">
            <w:pPr>
              <w:keepNext/>
              <w:jc w:val="center"/>
              <w:rPr>
                <w:rFonts w:ascii="Times New Roman" w:hAnsi="Times New Roman"/>
                <w:sz w:val="20"/>
              </w:rPr>
            </w:pPr>
            <w:r w:rsidRPr="0008222A">
              <w:rPr>
                <w:rFonts w:ascii="Times New Roman" w:hAnsi="Times New Roman"/>
                <w:sz w:val="20"/>
              </w:rPr>
              <w:t>Type of Burden</w:t>
            </w:r>
            <w:r w:rsidRPr="0008222A">
              <w:rPr>
                <w:rFonts w:ascii="Times New Roman" w:hAnsi="Times New Roman"/>
                <w:sz w:val="20"/>
              </w:rPr>
              <w:br/>
              <w:t>(Frequency of Response)</w:t>
            </w:r>
          </w:p>
        </w:tc>
        <w:tc>
          <w:tcPr>
            <w:tcW w:w="1240" w:type="dxa"/>
            <w:tcBorders>
              <w:top w:val="nil"/>
              <w:left w:val="nil"/>
              <w:bottom w:val="single" w:sz="8" w:space="0" w:color="auto"/>
              <w:right w:val="single" w:sz="8" w:space="0" w:color="auto"/>
            </w:tcBorders>
            <w:shd w:val="clear" w:color="auto" w:fill="auto"/>
            <w:vAlign w:val="center"/>
            <w:hideMark/>
          </w:tcPr>
          <w:p w:rsidR="006B18B4" w:rsidRPr="0008222A" w:rsidP="0008222A" w14:paraId="25F23985" w14:textId="77777777">
            <w:pPr>
              <w:keepNext/>
              <w:jc w:val="center"/>
              <w:rPr>
                <w:rFonts w:ascii="Times New Roman" w:hAnsi="Times New Roman"/>
                <w:sz w:val="20"/>
              </w:rPr>
            </w:pPr>
            <w:r w:rsidRPr="0008222A">
              <w:rPr>
                <w:rFonts w:ascii="Times New Roman" w:hAnsi="Times New Roman"/>
                <w:sz w:val="20"/>
              </w:rPr>
              <w:t>Number of Respondents</w:t>
            </w:r>
          </w:p>
        </w:tc>
        <w:tc>
          <w:tcPr>
            <w:tcW w:w="1600" w:type="dxa"/>
            <w:tcBorders>
              <w:top w:val="nil"/>
              <w:left w:val="nil"/>
              <w:bottom w:val="single" w:sz="8" w:space="0" w:color="auto"/>
              <w:right w:val="single" w:sz="8" w:space="0" w:color="auto"/>
            </w:tcBorders>
            <w:shd w:val="clear" w:color="auto" w:fill="auto"/>
            <w:vAlign w:val="center"/>
            <w:hideMark/>
          </w:tcPr>
          <w:p w:rsidR="006B18B4" w:rsidRPr="0008222A" w:rsidP="0008222A" w14:paraId="58956660" w14:textId="77777777">
            <w:pPr>
              <w:keepNext/>
              <w:jc w:val="center"/>
              <w:rPr>
                <w:rFonts w:ascii="Times New Roman" w:hAnsi="Times New Roman"/>
                <w:sz w:val="20"/>
              </w:rPr>
            </w:pPr>
            <w:r w:rsidRPr="0008222A">
              <w:rPr>
                <w:rFonts w:ascii="Times New Roman" w:hAnsi="Times New Roman"/>
                <w:sz w:val="20"/>
              </w:rPr>
              <w:t>Number of Responses per Respondent</w:t>
            </w:r>
          </w:p>
        </w:tc>
        <w:tc>
          <w:tcPr>
            <w:tcW w:w="1120" w:type="dxa"/>
            <w:tcBorders>
              <w:top w:val="nil"/>
              <w:left w:val="nil"/>
              <w:bottom w:val="single" w:sz="8" w:space="0" w:color="auto"/>
              <w:right w:val="single" w:sz="8" w:space="0" w:color="auto"/>
            </w:tcBorders>
            <w:shd w:val="clear" w:color="auto" w:fill="auto"/>
            <w:vAlign w:val="center"/>
            <w:hideMark/>
          </w:tcPr>
          <w:p w:rsidR="006B18B4" w:rsidRPr="0008222A" w:rsidP="0008222A" w14:paraId="76856084" w14:textId="77777777">
            <w:pPr>
              <w:keepNext/>
              <w:jc w:val="center"/>
              <w:rPr>
                <w:rFonts w:ascii="Times New Roman" w:hAnsi="Times New Roman"/>
                <w:sz w:val="20"/>
              </w:rPr>
            </w:pPr>
            <w:r w:rsidRPr="0008222A">
              <w:rPr>
                <w:rFonts w:ascii="Times New Roman" w:hAnsi="Times New Roman"/>
                <w:sz w:val="20"/>
              </w:rPr>
              <w:t>Time per Response (HH:MM)</w:t>
            </w:r>
          </w:p>
        </w:tc>
        <w:tc>
          <w:tcPr>
            <w:tcW w:w="1160" w:type="dxa"/>
            <w:tcBorders>
              <w:top w:val="nil"/>
              <w:left w:val="nil"/>
              <w:bottom w:val="single" w:sz="8" w:space="0" w:color="auto"/>
              <w:right w:val="single" w:sz="8" w:space="0" w:color="auto"/>
            </w:tcBorders>
            <w:shd w:val="clear" w:color="auto" w:fill="auto"/>
            <w:vAlign w:val="center"/>
            <w:hideMark/>
          </w:tcPr>
          <w:p w:rsidR="006B18B4" w:rsidRPr="0008222A" w:rsidP="0008222A" w14:paraId="75D49A84" w14:textId="77777777">
            <w:pPr>
              <w:keepNext/>
              <w:jc w:val="center"/>
              <w:rPr>
                <w:rFonts w:ascii="Times New Roman" w:hAnsi="Times New Roman"/>
                <w:sz w:val="20"/>
              </w:rPr>
            </w:pPr>
            <w:r w:rsidRPr="0008222A">
              <w:rPr>
                <w:rFonts w:ascii="Times New Roman" w:hAnsi="Times New Roman"/>
                <w:sz w:val="20"/>
              </w:rPr>
              <w:t>Annual Burden (Hours)</w:t>
            </w:r>
          </w:p>
        </w:tc>
      </w:tr>
      <w:tr w14:paraId="6F58003F" w14:textId="77777777" w:rsidTr="00D03AC4">
        <w:tblPrEx>
          <w:tblW w:w="9040" w:type="dxa"/>
          <w:tblLook w:val="04A0"/>
        </w:tblPrEx>
        <w:trPr>
          <w:trHeight w:val="1116"/>
        </w:trPr>
        <w:tc>
          <w:tcPr>
            <w:tcW w:w="2280" w:type="dxa"/>
            <w:tcBorders>
              <w:top w:val="nil"/>
              <w:left w:val="single" w:sz="8" w:space="0" w:color="auto"/>
              <w:bottom w:val="single" w:sz="8" w:space="0" w:color="auto"/>
              <w:right w:val="single" w:sz="8" w:space="0" w:color="auto"/>
            </w:tcBorders>
            <w:shd w:val="clear" w:color="auto" w:fill="auto"/>
            <w:vAlign w:val="center"/>
            <w:hideMark/>
          </w:tcPr>
          <w:p w:rsidR="006B18B4" w:rsidRPr="0008222A" w:rsidP="0008222A" w14:paraId="31BDB420" w14:textId="77777777">
            <w:pPr>
              <w:keepNext/>
              <w:jc w:val="center"/>
              <w:rPr>
                <w:rFonts w:ascii="Times New Roman" w:hAnsi="Times New Roman"/>
                <w:sz w:val="20"/>
              </w:rPr>
            </w:pPr>
            <w:r w:rsidRPr="0008222A">
              <w:rPr>
                <w:rFonts w:ascii="Times New Roman" w:hAnsi="Times New Roman"/>
                <w:sz w:val="20"/>
              </w:rPr>
              <w:t>1. Quarterly Certified Statement Invoice for Deposit Insurance Assessment, 12 CFR Part 327 (Mandatory)</w:t>
            </w:r>
          </w:p>
        </w:tc>
        <w:tc>
          <w:tcPr>
            <w:tcW w:w="1640" w:type="dxa"/>
            <w:tcBorders>
              <w:top w:val="nil"/>
              <w:left w:val="nil"/>
              <w:bottom w:val="single" w:sz="8" w:space="0" w:color="auto"/>
              <w:right w:val="single" w:sz="8" w:space="0" w:color="auto"/>
            </w:tcBorders>
            <w:shd w:val="clear" w:color="auto" w:fill="auto"/>
            <w:vAlign w:val="center"/>
            <w:hideMark/>
          </w:tcPr>
          <w:p w:rsidR="006B18B4" w:rsidRPr="0008222A" w:rsidP="0008222A" w14:paraId="55B40950" w14:textId="77777777">
            <w:pPr>
              <w:keepNext/>
              <w:jc w:val="center"/>
              <w:rPr>
                <w:rFonts w:ascii="Times New Roman" w:hAnsi="Times New Roman"/>
                <w:sz w:val="20"/>
              </w:rPr>
            </w:pPr>
            <w:r w:rsidRPr="0008222A">
              <w:rPr>
                <w:rFonts w:ascii="Times New Roman" w:hAnsi="Times New Roman"/>
                <w:sz w:val="20"/>
              </w:rPr>
              <w:t>Reporting</w:t>
            </w:r>
            <w:r w:rsidRPr="0008222A">
              <w:rPr>
                <w:rFonts w:ascii="Times New Roman" w:hAnsi="Times New Roman"/>
                <w:sz w:val="20"/>
              </w:rPr>
              <w:br/>
              <w:t xml:space="preserve"> (Quarterly)</w:t>
            </w:r>
          </w:p>
        </w:tc>
        <w:tc>
          <w:tcPr>
            <w:tcW w:w="1240" w:type="dxa"/>
            <w:tcBorders>
              <w:top w:val="nil"/>
              <w:left w:val="nil"/>
              <w:bottom w:val="single" w:sz="8" w:space="0" w:color="auto"/>
              <w:right w:val="single" w:sz="8" w:space="0" w:color="auto"/>
            </w:tcBorders>
            <w:shd w:val="clear" w:color="auto" w:fill="auto"/>
            <w:noWrap/>
            <w:vAlign w:val="center"/>
            <w:hideMark/>
          </w:tcPr>
          <w:p w:rsidR="006B18B4" w:rsidRPr="0008222A" w:rsidP="0008222A" w14:paraId="76D62C28" w14:textId="77777777">
            <w:pPr>
              <w:keepNext/>
              <w:jc w:val="center"/>
              <w:rPr>
                <w:rFonts w:ascii="Times New Roman" w:hAnsi="Times New Roman"/>
                <w:sz w:val="20"/>
              </w:rPr>
            </w:pPr>
            <w:r w:rsidRPr="0008222A">
              <w:rPr>
                <w:rFonts w:ascii="Times New Roman" w:hAnsi="Times New Roman"/>
                <w:sz w:val="20"/>
              </w:rPr>
              <w:t>4,755</w:t>
            </w:r>
          </w:p>
        </w:tc>
        <w:tc>
          <w:tcPr>
            <w:tcW w:w="1600" w:type="dxa"/>
            <w:tcBorders>
              <w:top w:val="nil"/>
              <w:left w:val="nil"/>
              <w:bottom w:val="single" w:sz="8" w:space="0" w:color="auto"/>
              <w:right w:val="single" w:sz="8" w:space="0" w:color="auto"/>
            </w:tcBorders>
            <w:shd w:val="clear" w:color="auto" w:fill="auto"/>
            <w:noWrap/>
            <w:vAlign w:val="center"/>
            <w:hideMark/>
          </w:tcPr>
          <w:p w:rsidR="006B18B4" w:rsidRPr="0008222A" w:rsidP="0008222A" w14:paraId="11690287" w14:textId="77777777">
            <w:pPr>
              <w:keepNext/>
              <w:jc w:val="center"/>
              <w:rPr>
                <w:rFonts w:ascii="Times New Roman" w:hAnsi="Times New Roman"/>
                <w:sz w:val="20"/>
              </w:rPr>
            </w:pPr>
            <w:r w:rsidRPr="0008222A">
              <w:rPr>
                <w:rFonts w:ascii="Times New Roman" w:hAnsi="Times New Roman"/>
                <w:sz w:val="20"/>
              </w:rPr>
              <w:t>4</w:t>
            </w:r>
          </w:p>
        </w:tc>
        <w:tc>
          <w:tcPr>
            <w:tcW w:w="1120" w:type="dxa"/>
            <w:tcBorders>
              <w:top w:val="nil"/>
              <w:left w:val="nil"/>
              <w:bottom w:val="single" w:sz="8" w:space="0" w:color="auto"/>
              <w:right w:val="nil"/>
            </w:tcBorders>
            <w:shd w:val="clear" w:color="auto" w:fill="auto"/>
            <w:vAlign w:val="center"/>
            <w:hideMark/>
          </w:tcPr>
          <w:p w:rsidR="006B18B4" w:rsidRPr="0008222A" w:rsidP="0008222A" w14:paraId="0492C299" w14:textId="77777777">
            <w:pPr>
              <w:keepNext/>
              <w:jc w:val="center"/>
              <w:rPr>
                <w:rFonts w:ascii="Times New Roman" w:hAnsi="Times New Roman"/>
                <w:sz w:val="20"/>
              </w:rPr>
            </w:pPr>
            <w:r w:rsidRPr="0008222A">
              <w:rPr>
                <w:rFonts w:ascii="Times New Roman" w:hAnsi="Times New Roman"/>
                <w:sz w:val="20"/>
              </w:rPr>
              <w:t>00:20</w:t>
            </w:r>
          </w:p>
        </w:tc>
        <w:tc>
          <w:tcPr>
            <w:tcW w:w="1160" w:type="dxa"/>
            <w:tcBorders>
              <w:top w:val="nil"/>
              <w:left w:val="single" w:sz="8" w:space="0" w:color="auto"/>
              <w:bottom w:val="single" w:sz="8" w:space="0" w:color="auto"/>
              <w:right w:val="single" w:sz="8" w:space="0" w:color="auto"/>
            </w:tcBorders>
            <w:shd w:val="clear" w:color="auto" w:fill="auto"/>
            <w:noWrap/>
            <w:vAlign w:val="center"/>
            <w:hideMark/>
          </w:tcPr>
          <w:p w:rsidR="006B18B4" w:rsidRPr="0008222A" w:rsidP="0008222A" w14:paraId="0D401AFC" w14:textId="77777777">
            <w:pPr>
              <w:keepNext/>
              <w:jc w:val="center"/>
              <w:rPr>
                <w:rFonts w:ascii="Times New Roman" w:hAnsi="Times New Roman"/>
                <w:sz w:val="20"/>
              </w:rPr>
            </w:pPr>
            <w:r w:rsidRPr="0008222A">
              <w:rPr>
                <w:rFonts w:ascii="Times New Roman" w:hAnsi="Times New Roman"/>
                <w:sz w:val="20"/>
              </w:rPr>
              <w:t>6,340</w:t>
            </w:r>
          </w:p>
        </w:tc>
      </w:tr>
      <w:tr w14:paraId="074C9794" w14:textId="77777777" w:rsidTr="00D03AC4">
        <w:tblPrEx>
          <w:tblW w:w="9040" w:type="dxa"/>
          <w:tblLook w:val="04A0"/>
        </w:tblPrEx>
        <w:trPr>
          <w:trHeight w:val="300"/>
        </w:trPr>
        <w:tc>
          <w:tcPr>
            <w:tcW w:w="7880"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6B18B4" w:rsidRPr="0008222A" w:rsidP="006B18B4" w14:paraId="1E0E74C3" w14:textId="77777777">
            <w:pPr>
              <w:keepNext/>
              <w:tabs>
                <w:tab w:val="left" w:pos="-1440"/>
              </w:tabs>
              <w:ind w:left="720" w:hanging="360"/>
              <w:rPr>
                <w:rFonts w:ascii="Times New Roman" w:hAnsi="Times New Roman"/>
                <w:b/>
                <w:bCs/>
                <w:i/>
                <w:iCs/>
                <w:sz w:val="20"/>
              </w:rPr>
            </w:pPr>
            <w:r w:rsidRPr="0008222A">
              <w:rPr>
                <w:rFonts w:ascii="Times New Roman" w:hAnsi="Times New Roman"/>
                <w:b/>
                <w:bCs/>
                <w:i/>
                <w:iCs/>
                <w:sz w:val="20"/>
              </w:rPr>
              <w:t xml:space="preserve">Total </w:t>
            </w:r>
            <w:r w:rsidR="0008222A">
              <w:rPr>
                <w:rFonts w:ascii="Times New Roman" w:hAnsi="Times New Roman"/>
                <w:b/>
                <w:bCs/>
                <w:i/>
                <w:iCs/>
                <w:sz w:val="20"/>
              </w:rPr>
              <w:t xml:space="preserve">Estimated </w:t>
            </w:r>
            <w:r w:rsidRPr="0008222A">
              <w:rPr>
                <w:rFonts w:ascii="Times New Roman" w:hAnsi="Times New Roman"/>
                <w:b/>
                <w:bCs/>
                <w:i/>
                <w:iCs/>
                <w:sz w:val="20"/>
              </w:rPr>
              <w:t>Annual Burden (Hours):</w:t>
            </w:r>
          </w:p>
        </w:tc>
        <w:tc>
          <w:tcPr>
            <w:tcW w:w="1160" w:type="dxa"/>
            <w:tcBorders>
              <w:top w:val="nil"/>
              <w:left w:val="nil"/>
              <w:bottom w:val="single" w:sz="8" w:space="0" w:color="auto"/>
              <w:right w:val="single" w:sz="8" w:space="0" w:color="auto"/>
            </w:tcBorders>
            <w:shd w:val="clear" w:color="auto" w:fill="auto"/>
            <w:noWrap/>
            <w:vAlign w:val="bottom"/>
            <w:hideMark/>
          </w:tcPr>
          <w:p w:rsidR="006B18B4" w:rsidRPr="0008222A" w:rsidP="006B18B4" w14:paraId="2BA22AB1" w14:textId="77777777">
            <w:pPr>
              <w:keepNext/>
              <w:tabs>
                <w:tab w:val="left" w:pos="-1440"/>
              </w:tabs>
              <w:ind w:left="720" w:hanging="360"/>
              <w:rPr>
                <w:rFonts w:ascii="Times New Roman" w:hAnsi="Times New Roman"/>
                <w:b/>
                <w:bCs/>
                <w:i/>
                <w:iCs/>
                <w:sz w:val="20"/>
              </w:rPr>
            </w:pPr>
            <w:r w:rsidRPr="0008222A">
              <w:rPr>
                <w:rFonts w:ascii="Times New Roman" w:hAnsi="Times New Roman"/>
                <w:b/>
                <w:bCs/>
                <w:i/>
                <w:iCs/>
                <w:sz w:val="20"/>
              </w:rPr>
              <w:t>6,340</w:t>
            </w:r>
          </w:p>
        </w:tc>
      </w:tr>
      <w:tr w14:paraId="14C81C8F" w14:textId="77777777" w:rsidTr="00D03AC4">
        <w:tblPrEx>
          <w:tblW w:w="9040" w:type="dxa"/>
          <w:tblLook w:val="04A0"/>
        </w:tblPrEx>
        <w:trPr>
          <w:trHeight w:val="252"/>
        </w:trPr>
        <w:tc>
          <w:tcPr>
            <w:tcW w:w="9040" w:type="dxa"/>
            <w:gridSpan w:val="6"/>
            <w:tcBorders>
              <w:top w:val="single" w:sz="8" w:space="0" w:color="auto"/>
              <w:left w:val="single" w:sz="8" w:space="0" w:color="auto"/>
              <w:right w:val="single" w:sz="8" w:space="0" w:color="000000"/>
            </w:tcBorders>
            <w:shd w:val="clear" w:color="auto" w:fill="auto"/>
            <w:noWrap/>
            <w:hideMark/>
          </w:tcPr>
          <w:p w:rsidR="006B18B4" w:rsidRPr="0008222A" w:rsidP="006B18B4" w14:paraId="205FC2FD" w14:textId="77777777">
            <w:pPr>
              <w:keepNext/>
              <w:tabs>
                <w:tab w:val="left" w:pos="-1440"/>
              </w:tabs>
              <w:ind w:left="720" w:hanging="360"/>
              <w:rPr>
                <w:rFonts w:ascii="Times New Roman" w:hAnsi="Times New Roman"/>
                <w:sz w:val="16"/>
                <w:szCs w:val="16"/>
              </w:rPr>
            </w:pPr>
            <w:r w:rsidRPr="0008222A">
              <w:rPr>
                <w:rFonts w:ascii="Times New Roman" w:hAnsi="Times New Roman"/>
                <w:sz w:val="16"/>
                <w:szCs w:val="16"/>
              </w:rPr>
              <w:t>Source: FDIC.</w:t>
            </w:r>
          </w:p>
        </w:tc>
      </w:tr>
      <w:tr w14:paraId="7B0A8B0F" w14:textId="77777777" w:rsidTr="00D03AC4">
        <w:tblPrEx>
          <w:tblW w:w="9040" w:type="dxa"/>
          <w:tblLook w:val="04A0"/>
        </w:tblPrEx>
        <w:trPr>
          <w:trHeight w:val="288"/>
        </w:trPr>
        <w:tc>
          <w:tcPr>
            <w:tcW w:w="9040" w:type="dxa"/>
            <w:gridSpan w:val="6"/>
            <w:vMerge w:val="restart"/>
            <w:tcBorders>
              <w:left w:val="single" w:sz="4" w:space="0" w:color="auto"/>
              <w:bottom w:val="single" w:sz="4" w:space="0" w:color="auto"/>
              <w:right w:val="single" w:sz="4" w:space="0" w:color="auto"/>
            </w:tcBorders>
            <w:shd w:val="clear" w:color="auto" w:fill="auto"/>
            <w:vAlign w:val="center"/>
            <w:hideMark/>
          </w:tcPr>
          <w:p w:rsidR="006B18B4" w:rsidRPr="0008222A" w:rsidP="006B18B4" w14:paraId="5BFC59B6" w14:textId="77777777">
            <w:pPr>
              <w:keepNext/>
              <w:tabs>
                <w:tab w:val="left" w:pos="-1440"/>
              </w:tabs>
              <w:ind w:left="720" w:hanging="360"/>
              <w:rPr>
                <w:rFonts w:ascii="Times New Roman" w:hAnsi="Times New Roman"/>
                <w:sz w:val="16"/>
                <w:szCs w:val="16"/>
              </w:rPr>
            </w:pPr>
            <w:r w:rsidRPr="0008222A">
              <w:rPr>
                <w:rFonts w:ascii="Times New Roman" w:hAnsi="Times New Roman"/>
                <w:sz w:val="16"/>
                <w:szCs w:val="16"/>
              </w:rPr>
              <w:t>Note: The annual burden estimate for a given collection is calculated in two steps. First, the total number of annual responses is calculated as the whole number closest to the product of the annual number of respondents and the annual number of responses per respondent. Then, the total number of annual responses is multiplied by the time per response and rounded to the nearest hour to obtain the estimated annual burden for that collection. This rounding ensures the annual burden hours in the table are consistent with the values recorded in the OMB’s regulatory tracking system.</w:t>
            </w:r>
          </w:p>
        </w:tc>
      </w:tr>
      <w:tr w14:paraId="4852480F" w14:textId="77777777" w:rsidTr="00D03AC4">
        <w:tblPrEx>
          <w:tblW w:w="9040" w:type="dxa"/>
          <w:tblLook w:val="04A0"/>
        </w:tblPrEx>
        <w:trPr>
          <w:trHeight w:val="288"/>
        </w:trPr>
        <w:tc>
          <w:tcPr>
            <w:tcW w:w="9040" w:type="dxa"/>
            <w:gridSpan w:val="6"/>
            <w:vMerge/>
            <w:tcBorders>
              <w:top w:val="single" w:sz="4" w:space="0" w:color="auto"/>
              <w:left w:val="single" w:sz="4" w:space="0" w:color="auto"/>
              <w:bottom w:val="single" w:sz="4" w:space="0" w:color="auto"/>
              <w:right w:val="single" w:sz="4" w:space="0" w:color="auto"/>
            </w:tcBorders>
            <w:vAlign w:val="center"/>
            <w:hideMark/>
          </w:tcPr>
          <w:p w:rsidR="006B18B4" w:rsidRPr="0008222A" w:rsidP="006B18B4" w14:paraId="5E85A686" w14:textId="77777777">
            <w:pPr>
              <w:keepNext/>
              <w:tabs>
                <w:tab w:val="left" w:pos="-1440"/>
              </w:tabs>
              <w:ind w:left="720" w:hanging="360"/>
              <w:rPr>
                <w:rFonts w:ascii="Times New Roman" w:hAnsi="Times New Roman"/>
                <w:sz w:val="20"/>
              </w:rPr>
            </w:pPr>
          </w:p>
        </w:tc>
      </w:tr>
      <w:tr w14:paraId="6BAAF576" w14:textId="77777777" w:rsidTr="00D03AC4">
        <w:tblPrEx>
          <w:tblW w:w="9040" w:type="dxa"/>
          <w:tblLook w:val="04A0"/>
        </w:tblPrEx>
        <w:trPr>
          <w:trHeight w:val="312"/>
        </w:trPr>
        <w:tc>
          <w:tcPr>
            <w:tcW w:w="9040" w:type="dxa"/>
            <w:gridSpan w:val="6"/>
            <w:vMerge/>
            <w:tcBorders>
              <w:top w:val="single" w:sz="4" w:space="0" w:color="auto"/>
              <w:left w:val="single" w:sz="4" w:space="0" w:color="auto"/>
              <w:bottom w:val="single" w:sz="4" w:space="0" w:color="auto"/>
              <w:right w:val="single" w:sz="4" w:space="0" w:color="auto"/>
            </w:tcBorders>
            <w:vAlign w:val="center"/>
            <w:hideMark/>
          </w:tcPr>
          <w:p w:rsidR="006B18B4" w:rsidRPr="0008222A" w:rsidP="006B18B4" w14:paraId="17A33813" w14:textId="77777777">
            <w:pPr>
              <w:keepNext/>
              <w:tabs>
                <w:tab w:val="left" w:pos="-1440"/>
              </w:tabs>
              <w:ind w:left="720" w:hanging="360"/>
              <w:rPr>
                <w:rFonts w:ascii="Times New Roman" w:hAnsi="Times New Roman"/>
                <w:sz w:val="20"/>
              </w:rPr>
            </w:pPr>
          </w:p>
        </w:tc>
      </w:tr>
      <w:tr w14:paraId="09B2C942" w14:textId="77777777" w:rsidTr="00D03AC4">
        <w:tblPrEx>
          <w:tblW w:w="9040" w:type="dxa"/>
          <w:tblLook w:val="04A0"/>
        </w:tblPrEx>
        <w:trPr>
          <w:trHeight w:val="348"/>
        </w:trPr>
        <w:tc>
          <w:tcPr>
            <w:tcW w:w="9040" w:type="dxa"/>
            <w:gridSpan w:val="6"/>
            <w:vMerge/>
            <w:tcBorders>
              <w:top w:val="single" w:sz="4" w:space="0" w:color="auto"/>
              <w:left w:val="single" w:sz="4" w:space="0" w:color="auto"/>
              <w:bottom w:val="single" w:sz="4" w:space="0" w:color="auto"/>
              <w:right w:val="single" w:sz="4" w:space="0" w:color="auto"/>
            </w:tcBorders>
            <w:vAlign w:val="center"/>
            <w:hideMark/>
          </w:tcPr>
          <w:p w:rsidR="006B18B4" w:rsidRPr="0008222A" w:rsidP="006B18B4" w14:paraId="1897916D" w14:textId="77777777">
            <w:pPr>
              <w:keepNext/>
              <w:tabs>
                <w:tab w:val="left" w:pos="-1440"/>
              </w:tabs>
              <w:ind w:left="720" w:hanging="360"/>
              <w:rPr>
                <w:rFonts w:ascii="Times New Roman" w:hAnsi="Times New Roman"/>
                <w:sz w:val="20"/>
              </w:rPr>
            </w:pPr>
          </w:p>
        </w:tc>
      </w:tr>
      <w:tr w14:paraId="61286CCD" w14:textId="77777777" w:rsidTr="00D03AC4">
        <w:tblPrEx>
          <w:tblW w:w="9040" w:type="dxa"/>
          <w:tblLook w:val="04A0"/>
        </w:tblPrEx>
        <w:trPr>
          <w:trHeight w:val="288"/>
        </w:trPr>
        <w:tc>
          <w:tcPr>
            <w:tcW w:w="9040" w:type="dxa"/>
            <w:gridSpan w:val="6"/>
            <w:vMerge/>
            <w:tcBorders>
              <w:top w:val="single" w:sz="4" w:space="0" w:color="auto"/>
              <w:left w:val="single" w:sz="4" w:space="0" w:color="auto"/>
              <w:bottom w:val="single" w:sz="4" w:space="0" w:color="auto"/>
              <w:right w:val="single" w:sz="4" w:space="0" w:color="auto"/>
            </w:tcBorders>
            <w:vAlign w:val="center"/>
            <w:hideMark/>
          </w:tcPr>
          <w:p w:rsidR="006B18B4" w:rsidRPr="0008222A" w:rsidP="006B18B4" w14:paraId="2ADFA778" w14:textId="77777777">
            <w:pPr>
              <w:keepNext/>
              <w:tabs>
                <w:tab w:val="left" w:pos="-1440"/>
              </w:tabs>
              <w:ind w:left="720" w:hanging="360"/>
              <w:rPr>
                <w:rFonts w:ascii="Times New Roman" w:hAnsi="Times New Roman"/>
                <w:sz w:val="20"/>
              </w:rPr>
            </w:pPr>
          </w:p>
        </w:tc>
      </w:tr>
    </w:tbl>
    <w:p w:rsidR="006B18B4" w:rsidRPr="006B18B4" w:rsidP="006B18B4" w14:paraId="66E2D5E1" w14:textId="77777777">
      <w:pPr>
        <w:keepNext/>
        <w:tabs>
          <w:tab w:val="left" w:pos="-1440"/>
        </w:tabs>
        <w:ind w:left="720" w:hanging="360"/>
        <w:rPr>
          <w:rFonts w:ascii="Times New Roman" w:hAnsi="Times New Roman"/>
          <w:lang w:bidi="en-US"/>
        </w:rPr>
      </w:pPr>
    </w:p>
    <w:p w:rsidR="006B18B4" w:rsidRPr="006B18B4" w:rsidP="006B18B4" w14:paraId="2733F7AD" w14:textId="77777777">
      <w:pPr>
        <w:keepNext/>
        <w:tabs>
          <w:tab w:val="left" w:pos="-1440"/>
        </w:tabs>
        <w:ind w:left="720" w:hanging="360"/>
        <w:rPr>
          <w:rFonts w:ascii="Times New Roman" w:hAnsi="Times New Roman"/>
          <w:lang w:bidi="en-US"/>
        </w:rPr>
      </w:pPr>
    </w:p>
    <w:p w:rsidR="006B18B4" w:rsidRPr="006B18B4" w:rsidP="006B18B4" w14:paraId="0FB160A6" w14:textId="77777777">
      <w:pPr>
        <w:keepNext/>
        <w:tabs>
          <w:tab w:val="left" w:pos="-1440"/>
        </w:tabs>
        <w:ind w:left="720" w:hanging="360"/>
        <w:rPr>
          <w:rFonts w:ascii="Times New Roman" w:hAnsi="Times New Roman"/>
          <w:b/>
          <w:lang w:bidi="en-US"/>
        </w:rPr>
      </w:pPr>
      <w:r w:rsidRPr="006B18B4">
        <w:rPr>
          <w:rFonts w:ascii="Times New Roman" w:hAnsi="Times New Roman"/>
          <w:b/>
          <w:lang w:bidi="en-US"/>
        </w:rPr>
        <w:t>Total Estimated Hourly Labor Compensation Rates</w:t>
      </w:r>
    </w:p>
    <w:p w:rsidR="006B18B4" w:rsidRPr="006B18B4" w:rsidP="006B18B4" w14:paraId="22D567A5" w14:textId="77777777">
      <w:pPr>
        <w:keepNext/>
        <w:tabs>
          <w:tab w:val="left" w:pos="-1440"/>
        </w:tabs>
        <w:ind w:left="720" w:hanging="360"/>
        <w:rPr>
          <w:rFonts w:ascii="Times New Roman" w:hAnsi="Times New Roman"/>
          <w:lang w:bidi="en-US"/>
        </w:rPr>
      </w:pPr>
    </w:p>
    <w:p w:rsidR="006B18B4" w:rsidRPr="006B18B4" w:rsidP="0008222A" w14:paraId="6FF5E647" w14:textId="77777777">
      <w:pPr>
        <w:keepNext/>
        <w:ind w:left="720"/>
        <w:rPr>
          <w:rFonts w:ascii="Times New Roman" w:hAnsi="Times New Roman"/>
          <w:lang w:bidi="en-US"/>
        </w:rPr>
      </w:pPr>
      <w:r w:rsidRPr="006B18B4">
        <w:rPr>
          <w:rFonts w:ascii="Times New Roman" w:hAnsi="Times New Roman"/>
          <w:lang w:bidi="en-US"/>
        </w:rPr>
        <w:t xml:space="preserve">To estimate the </w:t>
      </w:r>
      <w:r w:rsidRPr="006B18B4">
        <w:rPr>
          <w:rFonts w:ascii="Times New Roman" w:hAnsi="Times New Roman"/>
        </w:rPr>
        <w:t>average</w:t>
      </w:r>
      <w:r w:rsidRPr="006B18B4">
        <w:rPr>
          <w:rFonts w:ascii="Times New Roman" w:hAnsi="Times New Roman"/>
          <w:lang w:bidi="en-US"/>
        </w:rPr>
        <w:t xml:space="preserve"> </w:t>
      </w:r>
      <w:r w:rsidR="0008222A">
        <w:rPr>
          <w:rFonts w:ascii="Times New Roman" w:hAnsi="Times New Roman"/>
          <w:lang w:bidi="en-US"/>
        </w:rPr>
        <w:t>cost of compensation per hour, FDIC</w:t>
      </w:r>
      <w:r w:rsidRPr="006B18B4">
        <w:rPr>
          <w:rFonts w:ascii="Times New Roman" w:hAnsi="Times New Roman"/>
          <w:lang w:bidi="en-US"/>
        </w:rPr>
        <w:t xml:space="preserve"> use</w:t>
      </w:r>
      <w:r w:rsidR="0008222A">
        <w:rPr>
          <w:rFonts w:ascii="Times New Roman" w:hAnsi="Times New Roman"/>
          <w:lang w:bidi="en-US"/>
        </w:rPr>
        <w:t>s</w:t>
      </w:r>
      <w:r w:rsidRPr="006B18B4">
        <w:rPr>
          <w:rFonts w:ascii="Times New Roman" w:hAnsi="Times New Roman"/>
          <w:lang w:bidi="en-US"/>
        </w:rPr>
        <w:t xml:space="preserve"> the 75th percentile hourly wages reported by the Bureau of Labor Statistics (BLS) National Industry-Specific Occupational Employment and Wage Estimates (OEWS) for the relevant occupations in the Depository Credit Intermediation sector.</w:t>
      </w:r>
      <w:r>
        <w:rPr>
          <w:rFonts w:ascii="Times New Roman" w:hAnsi="Times New Roman"/>
          <w:vertAlign w:val="superscript"/>
          <w:lang w:bidi="en-US"/>
        </w:rPr>
        <w:footnoteReference w:id="4"/>
      </w:r>
      <w:r w:rsidRPr="006B18B4">
        <w:rPr>
          <w:rFonts w:ascii="Times New Roman" w:hAnsi="Times New Roman"/>
          <w:lang w:bidi="en-US"/>
        </w:rPr>
        <w:t xml:space="preserve"> However, the latest OEWS wage data are as of May 2021 and do not include non-wage compensation. To adjust th</w:t>
      </w:r>
      <w:r w:rsidR="0008222A">
        <w:rPr>
          <w:rFonts w:ascii="Times New Roman" w:hAnsi="Times New Roman"/>
          <w:lang w:bidi="en-US"/>
        </w:rPr>
        <w:t>ese wages for use in the memo, FDIC multiplies</w:t>
      </w:r>
      <w:r w:rsidRPr="006B18B4">
        <w:rPr>
          <w:rFonts w:ascii="Times New Roman" w:hAnsi="Times New Roman"/>
          <w:lang w:bidi="en-US"/>
        </w:rPr>
        <w:t xml:space="preserve"> the OEWS hourly wages by approximately 1.51 to account for non-wage compensation, using the BLS Employer Cost of Employee Compensation (ECEC) data as of March 2021 (the latest published release</w:t>
      </w:r>
      <w:r w:rsidR="0008222A">
        <w:rPr>
          <w:rFonts w:ascii="Times New Roman" w:hAnsi="Times New Roman"/>
          <w:lang w:bidi="en-US"/>
        </w:rPr>
        <w:t xml:space="preserve"> prior to the OEWS wage data). FDIC then multiplies</w:t>
      </w:r>
      <w:r w:rsidRPr="006B18B4">
        <w:rPr>
          <w:rFonts w:ascii="Times New Roman" w:hAnsi="Times New Roman"/>
          <w:lang w:bidi="en-US"/>
        </w:rPr>
        <w:t xml:space="preserve"> the resulting compensation rates by approximately 1.08 to account for the change in the seasonally adjusted Employment Cost Index for the Credit Intermediation and Related Activities sector (NAICS Code 522) between March 2021 and September 2022.</w:t>
      </w:r>
    </w:p>
    <w:p w:rsidR="006B18B4" w:rsidRPr="006B18B4" w:rsidP="006B18B4" w14:paraId="47901A9E" w14:textId="77777777">
      <w:pPr>
        <w:keepNext/>
        <w:tabs>
          <w:tab w:val="left" w:pos="-1440"/>
        </w:tabs>
        <w:ind w:left="720" w:hanging="360"/>
        <w:rPr>
          <w:rFonts w:ascii="Times New Roman" w:hAnsi="Times New Roman"/>
          <w:lang w:bidi="en-US"/>
        </w:rPr>
      </w:pPr>
      <w:r w:rsidRPr="006B18B4">
        <w:rPr>
          <w:rFonts w:ascii="Times New Roman" w:hAnsi="Times New Roman"/>
          <w:lang w:bidi="en-US"/>
        </w:rPr>
        <w:tab/>
      </w:r>
      <w:r w:rsidRPr="006B18B4">
        <w:rPr>
          <w:rFonts w:ascii="Times New Roman" w:hAnsi="Times New Roman"/>
          <w:lang w:bidi="en-US"/>
        </w:rPr>
        <w:tab/>
      </w:r>
      <w:r w:rsidRPr="006B18B4">
        <w:rPr>
          <w:rFonts w:ascii="Times New Roman" w:hAnsi="Times New Roman"/>
          <w:lang w:bidi="en-US"/>
        </w:rPr>
        <w:tab/>
      </w:r>
      <w:r w:rsidRPr="006B18B4">
        <w:rPr>
          <w:rFonts w:ascii="Times New Roman" w:hAnsi="Times New Roman"/>
          <w:lang w:bidi="en-US"/>
        </w:rPr>
        <w:tab/>
      </w:r>
      <w:r w:rsidRPr="006B18B4">
        <w:rPr>
          <w:rFonts w:ascii="Times New Roman" w:hAnsi="Times New Roman"/>
          <w:lang w:bidi="en-US"/>
        </w:rPr>
        <w:tab/>
      </w:r>
      <w:r w:rsidRPr="006B18B4">
        <w:rPr>
          <w:rFonts w:ascii="Times New Roman" w:hAnsi="Times New Roman"/>
          <w:lang w:bidi="en-US"/>
        </w:rPr>
        <w:tab/>
      </w:r>
    </w:p>
    <w:p w:rsidR="006B18B4" w:rsidRPr="006B18B4" w:rsidP="0008222A" w14:paraId="7E59FDBB" w14:textId="77777777">
      <w:pPr>
        <w:keepNext/>
        <w:ind w:left="720"/>
        <w:rPr>
          <w:rFonts w:ascii="Times New Roman" w:hAnsi="Times New Roman"/>
          <w:lang w:bidi="en-US"/>
        </w:rPr>
      </w:pPr>
      <w:r w:rsidRPr="006B18B4">
        <w:rPr>
          <w:rFonts w:ascii="Times New Roman" w:hAnsi="Times New Roman"/>
          <w:lang w:bidi="en-US"/>
        </w:rPr>
        <w:t xml:space="preserve">After calculating </w:t>
      </w:r>
      <w:r w:rsidRPr="006B18B4">
        <w:rPr>
          <w:rFonts w:ascii="Times New Roman" w:hAnsi="Times New Roman"/>
        </w:rPr>
        <w:t>these</w:t>
      </w:r>
      <w:r w:rsidR="0008222A">
        <w:rPr>
          <w:rFonts w:ascii="Times New Roman" w:hAnsi="Times New Roman"/>
          <w:lang w:bidi="en-US"/>
        </w:rPr>
        <w:t xml:space="preserve"> adjustments, FDIC</w:t>
      </w:r>
      <w:r w:rsidRPr="006B18B4">
        <w:rPr>
          <w:rFonts w:ascii="Times New Roman" w:hAnsi="Times New Roman"/>
          <w:lang w:bidi="en-US"/>
        </w:rPr>
        <w:t xml:space="preserve"> weight</w:t>
      </w:r>
      <w:r w:rsidR="0008222A">
        <w:rPr>
          <w:rFonts w:ascii="Times New Roman" w:hAnsi="Times New Roman"/>
          <w:lang w:bidi="en-US"/>
        </w:rPr>
        <w:t>s</w:t>
      </w:r>
      <w:r w:rsidRPr="006B18B4">
        <w:rPr>
          <w:rFonts w:ascii="Times New Roman" w:hAnsi="Times New Roman"/>
          <w:lang w:bidi="en-US"/>
        </w:rPr>
        <w:t xml:space="preserve"> the total hourly compensation for the occupations shown in Table 2</w:t>
      </w:r>
      <w:r w:rsidR="0008222A">
        <w:rPr>
          <w:rFonts w:ascii="Times New Roman" w:hAnsi="Times New Roman"/>
          <w:lang w:bidi="en-US"/>
        </w:rPr>
        <w:t>.  FDIC</w:t>
      </w:r>
      <w:r w:rsidRPr="006B18B4">
        <w:rPr>
          <w:rFonts w:ascii="Times New Roman" w:hAnsi="Times New Roman"/>
          <w:lang w:bidi="en-US"/>
        </w:rPr>
        <w:t xml:space="preserve"> estimates that, for the one collection in this ICR, 40 percent of the labor is performed by Executives and Managers, 30 percent is performed by Compliance Officers, and 30 percent is performed by Financial Analysts. This breakdown is identical to the one found in the 2020 burden estimate memo. Calculating the estimated total hourly compensation rate based on employee categories and respective weights results in an estimated hourly wage of $101.66 as summarized in Table 2 below.</w:t>
      </w:r>
    </w:p>
    <w:p w:rsidR="006B18B4" w:rsidRPr="006B18B4" w:rsidP="006B18B4" w14:paraId="5D67E312" w14:textId="77777777">
      <w:pPr>
        <w:keepNext/>
        <w:tabs>
          <w:tab w:val="left" w:pos="-1440"/>
        </w:tabs>
        <w:ind w:left="720" w:hanging="360"/>
        <w:rPr>
          <w:rFonts w:ascii="Times New Roman" w:hAnsi="Times New Roman"/>
          <w:lang w:bidi="en-US"/>
        </w:rPr>
      </w:pPr>
    </w:p>
    <w:tbl>
      <w:tblPr>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3"/>
        <w:gridCol w:w="846"/>
        <w:gridCol w:w="920"/>
        <w:gridCol w:w="1000"/>
        <w:gridCol w:w="900"/>
        <w:gridCol w:w="1000"/>
        <w:gridCol w:w="941"/>
        <w:gridCol w:w="900"/>
        <w:gridCol w:w="1400"/>
      </w:tblGrid>
      <w:tr w14:paraId="27D64DB3" w14:textId="77777777" w:rsidTr="00D03AC4">
        <w:tblPrEx>
          <w:tblW w:w="10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10040" w:type="dxa"/>
            <w:gridSpan w:val="9"/>
            <w:shd w:val="clear" w:color="auto" w:fill="auto"/>
            <w:noWrap/>
            <w:vAlign w:val="bottom"/>
            <w:hideMark/>
          </w:tcPr>
          <w:p w:rsidR="006B18B4" w:rsidRPr="0008222A" w:rsidP="0008222A" w14:paraId="757F185B" w14:textId="77777777">
            <w:pPr>
              <w:keepNext/>
              <w:jc w:val="center"/>
              <w:rPr>
                <w:rFonts w:ascii="Times New Roman" w:hAnsi="Times New Roman"/>
                <w:sz w:val="20"/>
              </w:rPr>
            </w:pPr>
            <w:r w:rsidRPr="0008222A">
              <w:rPr>
                <w:rFonts w:ascii="Times New Roman" w:hAnsi="Times New Roman"/>
                <w:sz w:val="20"/>
              </w:rPr>
              <w:t>Table 2. Summary of Hourly Burden Cost Estimate (OMB No. 3064-0057)</w:t>
            </w:r>
          </w:p>
        </w:tc>
      </w:tr>
      <w:tr w14:paraId="115206B5" w14:textId="77777777" w:rsidTr="00D03AC4">
        <w:tblPrEx>
          <w:tblW w:w="10040" w:type="dxa"/>
          <w:tblLook w:val="04A0"/>
        </w:tblPrEx>
        <w:trPr>
          <w:trHeight w:val="600"/>
        </w:trPr>
        <w:tc>
          <w:tcPr>
            <w:tcW w:w="2560" w:type="dxa"/>
            <w:vMerge w:val="restart"/>
            <w:shd w:val="clear" w:color="auto" w:fill="auto"/>
            <w:vAlign w:val="center"/>
            <w:hideMark/>
          </w:tcPr>
          <w:p w:rsidR="006B18B4" w:rsidRPr="0008222A" w:rsidP="0008222A" w14:paraId="636FA291" w14:textId="77777777">
            <w:pPr>
              <w:keepNext/>
              <w:jc w:val="center"/>
              <w:rPr>
                <w:rFonts w:ascii="Times New Roman" w:hAnsi="Times New Roman"/>
                <w:sz w:val="20"/>
              </w:rPr>
            </w:pPr>
            <w:r w:rsidRPr="0008222A">
              <w:rPr>
                <w:rFonts w:ascii="Times New Roman" w:hAnsi="Times New Roman"/>
                <w:sz w:val="20"/>
              </w:rPr>
              <w:t xml:space="preserve">Information Collection (Obligation to Respond) </w:t>
            </w:r>
          </w:p>
        </w:tc>
        <w:tc>
          <w:tcPr>
            <w:tcW w:w="860" w:type="dxa"/>
            <w:vMerge w:val="restart"/>
            <w:shd w:val="clear" w:color="auto" w:fill="auto"/>
            <w:vAlign w:val="center"/>
            <w:hideMark/>
          </w:tcPr>
          <w:p w:rsidR="006B18B4" w:rsidRPr="0008222A" w:rsidP="0008222A" w14:paraId="4CBC8D03" w14:textId="77777777">
            <w:pPr>
              <w:keepNext/>
              <w:jc w:val="center"/>
              <w:rPr>
                <w:rFonts w:ascii="Times New Roman" w:hAnsi="Times New Roman"/>
                <w:sz w:val="20"/>
              </w:rPr>
            </w:pPr>
            <w:r w:rsidRPr="0008222A">
              <w:rPr>
                <w:rFonts w:ascii="Times New Roman" w:hAnsi="Times New Roman"/>
                <w:sz w:val="20"/>
              </w:rPr>
              <w:t xml:space="preserve">Hourly Weight </w:t>
            </w:r>
            <w:r w:rsidRPr="0008222A">
              <w:rPr>
                <w:rFonts w:ascii="Times New Roman" w:hAnsi="Times New Roman"/>
                <w:sz w:val="20"/>
              </w:rPr>
              <w:br/>
              <w:t>(%)</w:t>
            </w:r>
          </w:p>
        </w:tc>
        <w:tc>
          <w:tcPr>
            <w:tcW w:w="5220" w:type="dxa"/>
            <w:gridSpan w:val="6"/>
            <w:vMerge w:val="restart"/>
            <w:shd w:val="clear" w:color="auto" w:fill="auto"/>
            <w:vAlign w:val="center"/>
            <w:hideMark/>
          </w:tcPr>
          <w:p w:rsidR="006B18B4" w:rsidRPr="0008222A" w:rsidP="0008222A" w14:paraId="787A7AFC" w14:textId="77777777">
            <w:pPr>
              <w:keepNext/>
              <w:jc w:val="center"/>
              <w:rPr>
                <w:rFonts w:ascii="Times New Roman" w:hAnsi="Times New Roman"/>
                <w:sz w:val="20"/>
              </w:rPr>
            </w:pPr>
            <w:r w:rsidRPr="0008222A">
              <w:rPr>
                <w:rFonts w:ascii="Times New Roman" w:hAnsi="Times New Roman"/>
                <w:sz w:val="20"/>
              </w:rPr>
              <w:t xml:space="preserve">Percentage Shares of Hours Spent by and </w:t>
            </w:r>
            <w:r w:rsidRPr="0008222A">
              <w:rPr>
                <w:rFonts w:ascii="Times New Roman" w:hAnsi="Times New Roman"/>
                <w:sz w:val="20"/>
              </w:rPr>
              <w:br/>
              <w:t xml:space="preserve">Hourly Compensation Rates for each Occupation Group </w:t>
            </w:r>
            <w:r w:rsidRPr="0008222A">
              <w:rPr>
                <w:rFonts w:ascii="Times New Roman" w:hAnsi="Times New Roman"/>
                <w:sz w:val="20"/>
              </w:rPr>
              <w:br/>
              <w:t>(by Collection)</w:t>
            </w:r>
          </w:p>
        </w:tc>
        <w:tc>
          <w:tcPr>
            <w:tcW w:w="1400" w:type="dxa"/>
            <w:vMerge w:val="restart"/>
            <w:shd w:val="clear" w:color="auto" w:fill="auto"/>
            <w:vAlign w:val="center"/>
            <w:hideMark/>
          </w:tcPr>
          <w:p w:rsidR="006B18B4" w:rsidRPr="0008222A" w:rsidP="0008222A" w14:paraId="0DCD2005" w14:textId="77777777">
            <w:pPr>
              <w:keepNext/>
              <w:jc w:val="center"/>
              <w:rPr>
                <w:rFonts w:ascii="Times New Roman" w:hAnsi="Times New Roman"/>
                <w:sz w:val="20"/>
              </w:rPr>
            </w:pPr>
            <w:r w:rsidRPr="0008222A">
              <w:rPr>
                <w:rFonts w:ascii="Times New Roman" w:hAnsi="Times New Roman"/>
                <w:sz w:val="20"/>
              </w:rPr>
              <w:t>Estimated Hourly Compensation Rate</w:t>
            </w:r>
          </w:p>
        </w:tc>
      </w:tr>
      <w:tr w14:paraId="5160FD28" w14:textId="77777777" w:rsidTr="00D03AC4">
        <w:tblPrEx>
          <w:tblW w:w="10040" w:type="dxa"/>
          <w:tblLook w:val="04A0"/>
        </w:tblPrEx>
        <w:trPr>
          <w:trHeight w:val="864"/>
        </w:trPr>
        <w:tc>
          <w:tcPr>
            <w:tcW w:w="2560" w:type="dxa"/>
            <w:vMerge/>
            <w:vAlign w:val="center"/>
            <w:hideMark/>
          </w:tcPr>
          <w:p w:rsidR="006B18B4" w:rsidRPr="0008222A" w:rsidP="006B18B4" w14:paraId="12D80BA6" w14:textId="77777777">
            <w:pPr>
              <w:keepNext/>
              <w:tabs>
                <w:tab w:val="left" w:pos="-1440"/>
              </w:tabs>
              <w:ind w:left="720" w:hanging="360"/>
              <w:rPr>
                <w:rFonts w:ascii="Times New Roman" w:hAnsi="Times New Roman"/>
                <w:sz w:val="20"/>
              </w:rPr>
            </w:pPr>
          </w:p>
        </w:tc>
        <w:tc>
          <w:tcPr>
            <w:tcW w:w="860" w:type="dxa"/>
            <w:vMerge/>
            <w:vAlign w:val="center"/>
            <w:hideMark/>
          </w:tcPr>
          <w:p w:rsidR="006B18B4" w:rsidRPr="0008222A" w:rsidP="006B18B4" w14:paraId="05439422" w14:textId="77777777">
            <w:pPr>
              <w:keepNext/>
              <w:tabs>
                <w:tab w:val="left" w:pos="-1440"/>
              </w:tabs>
              <w:ind w:left="720" w:hanging="360"/>
              <w:rPr>
                <w:rFonts w:ascii="Times New Roman" w:hAnsi="Times New Roman"/>
                <w:sz w:val="20"/>
              </w:rPr>
            </w:pPr>
          </w:p>
        </w:tc>
        <w:tc>
          <w:tcPr>
            <w:tcW w:w="5220" w:type="dxa"/>
            <w:gridSpan w:val="6"/>
            <w:vMerge/>
            <w:vAlign w:val="center"/>
            <w:hideMark/>
          </w:tcPr>
          <w:p w:rsidR="006B18B4" w:rsidRPr="0008222A" w:rsidP="006B18B4" w14:paraId="0C969201" w14:textId="77777777">
            <w:pPr>
              <w:keepNext/>
              <w:tabs>
                <w:tab w:val="left" w:pos="-1440"/>
              </w:tabs>
              <w:ind w:left="720" w:hanging="360"/>
              <w:rPr>
                <w:rFonts w:ascii="Times New Roman" w:hAnsi="Times New Roman"/>
                <w:sz w:val="20"/>
              </w:rPr>
            </w:pPr>
          </w:p>
        </w:tc>
        <w:tc>
          <w:tcPr>
            <w:tcW w:w="1400" w:type="dxa"/>
            <w:vMerge/>
            <w:vAlign w:val="center"/>
            <w:hideMark/>
          </w:tcPr>
          <w:p w:rsidR="006B18B4" w:rsidRPr="0008222A" w:rsidP="006B18B4" w14:paraId="076BE5F1" w14:textId="77777777">
            <w:pPr>
              <w:keepNext/>
              <w:tabs>
                <w:tab w:val="left" w:pos="-1440"/>
              </w:tabs>
              <w:ind w:left="720" w:hanging="360"/>
              <w:rPr>
                <w:rFonts w:ascii="Times New Roman" w:hAnsi="Times New Roman"/>
                <w:sz w:val="20"/>
              </w:rPr>
            </w:pPr>
          </w:p>
        </w:tc>
      </w:tr>
      <w:tr w14:paraId="0E8CEB77" w14:textId="77777777" w:rsidTr="00D03AC4">
        <w:tblPrEx>
          <w:tblW w:w="10040" w:type="dxa"/>
          <w:tblLook w:val="04A0"/>
        </w:tblPrEx>
        <w:trPr>
          <w:trHeight w:val="360"/>
        </w:trPr>
        <w:tc>
          <w:tcPr>
            <w:tcW w:w="2560" w:type="dxa"/>
            <w:vMerge/>
            <w:vAlign w:val="center"/>
            <w:hideMark/>
          </w:tcPr>
          <w:p w:rsidR="006B18B4" w:rsidRPr="0008222A" w:rsidP="006B18B4" w14:paraId="10DCC0A0" w14:textId="77777777">
            <w:pPr>
              <w:keepNext/>
              <w:tabs>
                <w:tab w:val="left" w:pos="-1440"/>
              </w:tabs>
              <w:ind w:left="720" w:hanging="360"/>
              <w:rPr>
                <w:rFonts w:ascii="Times New Roman" w:hAnsi="Times New Roman"/>
                <w:sz w:val="20"/>
              </w:rPr>
            </w:pPr>
          </w:p>
        </w:tc>
        <w:tc>
          <w:tcPr>
            <w:tcW w:w="860" w:type="dxa"/>
            <w:vMerge/>
            <w:vAlign w:val="center"/>
            <w:hideMark/>
          </w:tcPr>
          <w:p w:rsidR="006B18B4" w:rsidRPr="0008222A" w:rsidP="006B18B4" w14:paraId="7FD66C79" w14:textId="77777777">
            <w:pPr>
              <w:keepNext/>
              <w:tabs>
                <w:tab w:val="left" w:pos="-1440"/>
              </w:tabs>
              <w:ind w:left="720" w:hanging="360"/>
              <w:rPr>
                <w:rFonts w:ascii="Times New Roman" w:hAnsi="Times New Roman"/>
                <w:sz w:val="20"/>
              </w:rPr>
            </w:pPr>
          </w:p>
        </w:tc>
        <w:tc>
          <w:tcPr>
            <w:tcW w:w="920" w:type="dxa"/>
            <w:vMerge w:val="restart"/>
            <w:shd w:val="clear" w:color="auto" w:fill="auto"/>
            <w:vAlign w:val="center"/>
            <w:hideMark/>
          </w:tcPr>
          <w:p w:rsidR="006B18B4" w:rsidRPr="0008222A" w:rsidP="0008222A" w14:paraId="600C608E" w14:textId="77777777">
            <w:pPr>
              <w:keepNext/>
              <w:jc w:val="center"/>
              <w:rPr>
                <w:rFonts w:ascii="Times New Roman" w:hAnsi="Times New Roman"/>
                <w:sz w:val="20"/>
              </w:rPr>
            </w:pPr>
            <w:r w:rsidRPr="0008222A">
              <w:rPr>
                <w:rFonts w:ascii="Times New Roman" w:hAnsi="Times New Roman"/>
                <w:sz w:val="20"/>
              </w:rPr>
              <w:t>Exec. &amp; Mgr.      ($132.1)</w:t>
            </w:r>
          </w:p>
        </w:tc>
        <w:tc>
          <w:tcPr>
            <w:tcW w:w="840" w:type="dxa"/>
            <w:vMerge w:val="restart"/>
            <w:shd w:val="clear" w:color="auto" w:fill="auto"/>
            <w:vAlign w:val="center"/>
            <w:hideMark/>
          </w:tcPr>
          <w:p w:rsidR="006B18B4" w:rsidRPr="0008222A" w:rsidP="0008222A" w14:paraId="55E11880" w14:textId="77777777">
            <w:pPr>
              <w:keepNext/>
              <w:jc w:val="center"/>
              <w:rPr>
                <w:rFonts w:ascii="Times New Roman" w:hAnsi="Times New Roman"/>
                <w:sz w:val="20"/>
              </w:rPr>
            </w:pPr>
            <w:r w:rsidRPr="0008222A">
              <w:rPr>
                <w:rFonts w:ascii="Times New Roman" w:hAnsi="Times New Roman"/>
                <w:sz w:val="20"/>
              </w:rPr>
              <w:t>Lawyer   ($163.63)</w:t>
            </w:r>
          </w:p>
        </w:tc>
        <w:tc>
          <w:tcPr>
            <w:tcW w:w="880" w:type="dxa"/>
            <w:vMerge w:val="restart"/>
            <w:shd w:val="clear" w:color="auto" w:fill="auto"/>
            <w:vAlign w:val="center"/>
            <w:hideMark/>
          </w:tcPr>
          <w:p w:rsidR="006B18B4" w:rsidRPr="0008222A" w:rsidP="0008222A" w14:paraId="3775DC70" w14:textId="77777777">
            <w:pPr>
              <w:keepNext/>
              <w:jc w:val="center"/>
              <w:rPr>
                <w:rFonts w:ascii="Times New Roman" w:hAnsi="Times New Roman"/>
                <w:sz w:val="20"/>
              </w:rPr>
            </w:pPr>
            <w:r w:rsidRPr="0008222A">
              <w:rPr>
                <w:rFonts w:ascii="Times New Roman" w:hAnsi="Times New Roman"/>
                <w:sz w:val="20"/>
              </w:rPr>
              <w:t>Compl. Ofc.   ($63.78)</w:t>
            </w:r>
          </w:p>
        </w:tc>
        <w:tc>
          <w:tcPr>
            <w:tcW w:w="820" w:type="dxa"/>
            <w:vMerge w:val="restart"/>
            <w:shd w:val="clear" w:color="auto" w:fill="auto"/>
            <w:vAlign w:val="center"/>
            <w:hideMark/>
          </w:tcPr>
          <w:p w:rsidR="006B18B4" w:rsidRPr="0008222A" w:rsidP="0008222A" w14:paraId="3F968AC8" w14:textId="77777777">
            <w:pPr>
              <w:keepNext/>
              <w:jc w:val="center"/>
              <w:rPr>
                <w:rFonts w:ascii="Times New Roman" w:hAnsi="Times New Roman"/>
                <w:sz w:val="20"/>
              </w:rPr>
            </w:pPr>
            <w:r w:rsidRPr="0008222A">
              <w:rPr>
                <w:rFonts w:ascii="Times New Roman" w:hAnsi="Times New Roman"/>
                <w:sz w:val="20"/>
              </w:rPr>
              <w:t>IT    ($101.32)</w:t>
            </w:r>
          </w:p>
        </w:tc>
        <w:tc>
          <w:tcPr>
            <w:tcW w:w="960" w:type="dxa"/>
            <w:vMerge w:val="restart"/>
            <w:shd w:val="clear" w:color="auto" w:fill="auto"/>
            <w:vAlign w:val="center"/>
            <w:hideMark/>
          </w:tcPr>
          <w:p w:rsidR="006B18B4" w:rsidRPr="0008222A" w:rsidP="0008222A" w14:paraId="0D56E92F" w14:textId="77777777">
            <w:pPr>
              <w:keepNext/>
              <w:jc w:val="center"/>
              <w:rPr>
                <w:rFonts w:ascii="Times New Roman" w:hAnsi="Times New Roman"/>
                <w:sz w:val="20"/>
              </w:rPr>
            </w:pPr>
            <w:r w:rsidRPr="0008222A">
              <w:rPr>
                <w:rFonts w:ascii="Times New Roman" w:hAnsi="Times New Roman"/>
                <w:sz w:val="20"/>
              </w:rPr>
              <w:t>Fin. Anlst.    ($99.85)</w:t>
            </w:r>
          </w:p>
        </w:tc>
        <w:tc>
          <w:tcPr>
            <w:tcW w:w="800" w:type="dxa"/>
            <w:vMerge w:val="restart"/>
            <w:shd w:val="clear" w:color="auto" w:fill="auto"/>
            <w:vAlign w:val="center"/>
            <w:hideMark/>
          </w:tcPr>
          <w:p w:rsidR="006B18B4" w:rsidRPr="0008222A" w:rsidP="0008222A" w14:paraId="5A3C7156" w14:textId="77777777">
            <w:pPr>
              <w:keepNext/>
              <w:jc w:val="center"/>
              <w:rPr>
                <w:rFonts w:ascii="Times New Roman" w:hAnsi="Times New Roman"/>
                <w:sz w:val="20"/>
              </w:rPr>
            </w:pPr>
            <w:r w:rsidRPr="0008222A">
              <w:rPr>
                <w:rFonts w:ascii="Times New Roman" w:hAnsi="Times New Roman"/>
                <w:sz w:val="20"/>
              </w:rPr>
              <w:t>Clerical    ($37.34)</w:t>
            </w:r>
          </w:p>
        </w:tc>
        <w:tc>
          <w:tcPr>
            <w:tcW w:w="1400" w:type="dxa"/>
            <w:vMerge/>
            <w:vAlign w:val="center"/>
            <w:hideMark/>
          </w:tcPr>
          <w:p w:rsidR="006B18B4" w:rsidRPr="0008222A" w:rsidP="006B18B4" w14:paraId="5BD4D219" w14:textId="77777777">
            <w:pPr>
              <w:keepNext/>
              <w:tabs>
                <w:tab w:val="left" w:pos="-1440"/>
              </w:tabs>
              <w:ind w:left="720" w:hanging="360"/>
              <w:rPr>
                <w:rFonts w:ascii="Times New Roman" w:hAnsi="Times New Roman"/>
                <w:sz w:val="20"/>
              </w:rPr>
            </w:pPr>
          </w:p>
        </w:tc>
      </w:tr>
      <w:tr w14:paraId="74D00455" w14:textId="77777777" w:rsidTr="00D03AC4">
        <w:tblPrEx>
          <w:tblW w:w="10040" w:type="dxa"/>
          <w:tblLook w:val="04A0"/>
        </w:tblPrEx>
        <w:trPr>
          <w:trHeight w:val="840"/>
        </w:trPr>
        <w:tc>
          <w:tcPr>
            <w:tcW w:w="2560" w:type="dxa"/>
            <w:vMerge/>
            <w:vAlign w:val="center"/>
            <w:hideMark/>
          </w:tcPr>
          <w:p w:rsidR="006B18B4" w:rsidRPr="0008222A" w:rsidP="006B18B4" w14:paraId="4F31FAAA" w14:textId="77777777">
            <w:pPr>
              <w:keepNext/>
              <w:tabs>
                <w:tab w:val="left" w:pos="-1440"/>
              </w:tabs>
              <w:ind w:left="720" w:hanging="360"/>
              <w:rPr>
                <w:rFonts w:ascii="Times New Roman" w:hAnsi="Times New Roman"/>
                <w:sz w:val="20"/>
              </w:rPr>
            </w:pPr>
          </w:p>
        </w:tc>
        <w:tc>
          <w:tcPr>
            <w:tcW w:w="860" w:type="dxa"/>
            <w:vMerge/>
            <w:vAlign w:val="center"/>
            <w:hideMark/>
          </w:tcPr>
          <w:p w:rsidR="006B18B4" w:rsidRPr="0008222A" w:rsidP="006B18B4" w14:paraId="4B6A1BB5" w14:textId="77777777">
            <w:pPr>
              <w:keepNext/>
              <w:tabs>
                <w:tab w:val="left" w:pos="-1440"/>
              </w:tabs>
              <w:ind w:left="720" w:hanging="360"/>
              <w:rPr>
                <w:rFonts w:ascii="Times New Roman" w:hAnsi="Times New Roman"/>
                <w:sz w:val="20"/>
              </w:rPr>
            </w:pPr>
          </w:p>
        </w:tc>
        <w:tc>
          <w:tcPr>
            <w:tcW w:w="920" w:type="dxa"/>
            <w:vMerge/>
            <w:vAlign w:val="center"/>
            <w:hideMark/>
          </w:tcPr>
          <w:p w:rsidR="006B18B4" w:rsidRPr="0008222A" w:rsidP="006B18B4" w14:paraId="40B5C153" w14:textId="77777777">
            <w:pPr>
              <w:keepNext/>
              <w:tabs>
                <w:tab w:val="left" w:pos="-1440"/>
              </w:tabs>
              <w:ind w:left="720" w:hanging="360"/>
              <w:rPr>
                <w:rFonts w:ascii="Times New Roman" w:hAnsi="Times New Roman"/>
                <w:sz w:val="20"/>
              </w:rPr>
            </w:pPr>
          </w:p>
        </w:tc>
        <w:tc>
          <w:tcPr>
            <w:tcW w:w="840" w:type="dxa"/>
            <w:vMerge/>
            <w:vAlign w:val="center"/>
            <w:hideMark/>
          </w:tcPr>
          <w:p w:rsidR="006B18B4" w:rsidRPr="0008222A" w:rsidP="006B18B4" w14:paraId="17C66D70" w14:textId="77777777">
            <w:pPr>
              <w:keepNext/>
              <w:tabs>
                <w:tab w:val="left" w:pos="-1440"/>
              </w:tabs>
              <w:ind w:left="720" w:hanging="360"/>
              <w:rPr>
                <w:rFonts w:ascii="Times New Roman" w:hAnsi="Times New Roman"/>
                <w:sz w:val="20"/>
              </w:rPr>
            </w:pPr>
          </w:p>
        </w:tc>
        <w:tc>
          <w:tcPr>
            <w:tcW w:w="880" w:type="dxa"/>
            <w:vMerge/>
            <w:vAlign w:val="center"/>
            <w:hideMark/>
          </w:tcPr>
          <w:p w:rsidR="006B18B4" w:rsidRPr="0008222A" w:rsidP="006B18B4" w14:paraId="326124D3" w14:textId="77777777">
            <w:pPr>
              <w:keepNext/>
              <w:tabs>
                <w:tab w:val="left" w:pos="-1440"/>
              </w:tabs>
              <w:ind w:left="720" w:hanging="360"/>
              <w:rPr>
                <w:rFonts w:ascii="Times New Roman" w:hAnsi="Times New Roman"/>
                <w:sz w:val="20"/>
              </w:rPr>
            </w:pPr>
          </w:p>
        </w:tc>
        <w:tc>
          <w:tcPr>
            <w:tcW w:w="820" w:type="dxa"/>
            <w:vMerge/>
            <w:vAlign w:val="center"/>
            <w:hideMark/>
          </w:tcPr>
          <w:p w:rsidR="006B18B4" w:rsidRPr="0008222A" w:rsidP="006B18B4" w14:paraId="53CE82E6" w14:textId="77777777">
            <w:pPr>
              <w:keepNext/>
              <w:tabs>
                <w:tab w:val="left" w:pos="-1440"/>
              </w:tabs>
              <w:ind w:left="720" w:hanging="360"/>
              <w:rPr>
                <w:rFonts w:ascii="Times New Roman" w:hAnsi="Times New Roman"/>
                <w:sz w:val="20"/>
              </w:rPr>
            </w:pPr>
          </w:p>
        </w:tc>
        <w:tc>
          <w:tcPr>
            <w:tcW w:w="960" w:type="dxa"/>
            <w:vMerge/>
            <w:vAlign w:val="center"/>
            <w:hideMark/>
          </w:tcPr>
          <w:p w:rsidR="006B18B4" w:rsidRPr="0008222A" w:rsidP="006B18B4" w14:paraId="3480A000" w14:textId="77777777">
            <w:pPr>
              <w:keepNext/>
              <w:tabs>
                <w:tab w:val="left" w:pos="-1440"/>
              </w:tabs>
              <w:ind w:left="720" w:hanging="360"/>
              <w:rPr>
                <w:rFonts w:ascii="Times New Roman" w:hAnsi="Times New Roman"/>
                <w:sz w:val="20"/>
              </w:rPr>
            </w:pPr>
          </w:p>
        </w:tc>
        <w:tc>
          <w:tcPr>
            <w:tcW w:w="800" w:type="dxa"/>
            <w:vMerge/>
            <w:vAlign w:val="center"/>
            <w:hideMark/>
          </w:tcPr>
          <w:p w:rsidR="006B18B4" w:rsidRPr="0008222A" w:rsidP="006B18B4" w14:paraId="4586EFCC" w14:textId="77777777">
            <w:pPr>
              <w:keepNext/>
              <w:tabs>
                <w:tab w:val="left" w:pos="-1440"/>
              </w:tabs>
              <w:ind w:left="720" w:hanging="360"/>
              <w:rPr>
                <w:rFonts w:ascii="Times New Roman" w:hAnsi="Times New Roman"/>
                <w:sz w:val="20"/>
              </w:rPr>
            </w:pPr>
          </w:p>
        </w:tc>
        <w:tc>
          <w:tcPr>
            <w:tcW w:w="1400" w:type="dxa"/>
            <w:vMerge/>
            <w:vAlign w:val="center"/>
            <w:hideMark/>
          </w:tcPr>
          <w:p w:rsidR="006B18B4" w:rsidRPr="0008222A" w:rsidP="006B18B4" w14:paraId="64AA501B" w14:textId="77777777">
            <w:pPr>
              <w:keepNext/>
              <w:tabs>
                <w:tab w:val="left" w:pos="-1440"/>
              </w:tabs>
              <w:ind w:left="720" w:hanging="360"/>
              <w:rPr>
                <w:rFonts w:ascii="Times New Roman" w:hAnsi="Times New Roman"/>
                <w:sz w:val="20"/>
              </w:rPr>
            </w:pPr>
          </w:p>
        </w:tc>
      </w:tr>
      <w:tr w14:paraId="2FC53BA5" w14:textId="77777777" w:rsidTr="00D03AC4">
        <w:tblPrEx>
          <w:tblW w:w="10040" w:type="dxa"/>
          <w:tblLook w:val="04A0"/>
        </w:tblPrEx>
        <w:trPr>
          <w:trHeight w:val="1116"/>
        </w:trPr>
        <w:tc>
          <w:tcPr>
            <w:tcW w:w="2560" w:type="dxa"/>
            <w:shd w:val="clear" w:color="auto" w:fill="auto"/>
            <w:vAlign w:val="center"/>
            <w:hideMark/>
          </w:tcPr>
          <w:p w:rsidR="006B18B4" w:rsidRPr="0008222A" w:rsidP="0008222A" w14:paraId="6B4319A0" w14:textId="77777777">
            <w:pPr>
              <w:keepNext/>
              <w:jc w:val="center"/>
              <w:rPr>
                <w:rFonts w:ascii="Times New Roman" w:hAnsi="Times New Roman"/>
                <w:sz w:val="20"/>
              </w:rPr>
            </w:pPr>
            <w:r w:rsidRPr="0008222A">
              <w:rPr>
                <w:rFonts w:ascii="Times New Roman" w:hAnsi="Times New Roman"/>
                <w:sz w:val="20"/>
              </w:rPr>
              <w:t>1. Quarterly Certified Statement Invoice for Deposit Insurance Assessment, 12 CFR Part 327 (Mandatory)</w:t>
            </w:r>
          </w:p>
        </w:tc>
        <w:tc>
          <w:tcPr>
            <w:tcW w:w="860" w:type="dxa"/>
            <w:shd w:val="clear" w:color="auto" w:fill="auto"/>
            <w:vAlign w:val="center"/>
            <w:hideMark/>
          </w:tcPr>
          <w:p w:rsidR="006B18B4" w:rsidRPr="0008222A" w:rsidP="0008222A" w14:paraId="083B0CEF" w14:textId="77777777">
            <w:pPr>
              <w:keepNext/>
              <w:jc w:val="center"/>
              <w:rPr>
                <w:rFonts w:ascii="Times New Roman" w:hAnsi="Times New Roman"/>
                <w:sz w:val="20"/>
              </w:rPr>
            </w:pPr>
            <w:r w:rsidRPr="0008222A">
              <w:rPr>
                <w:rFonts w:ascii="Times New Roman" w:hAnsi="Times New Roman"/>
                <w:sz w:val="20"/>
              </w:rPr>
              <w:t>100.00</w:t>
            </w:r>
          </w:p>
        </w:tc>
        <w:tc>
          <w:tcPr>
            <w:tcW w:w="920" w:type="dxa"/>
            <w:shd w:val="clear" w:color="auto" w:fill="auto"/>
            <w:vAlign w:val="center"/>
            <w:hideMark/>
          </w:tcPr>
          <w:p w:rsidR="006B18B4" w:rsidRPr="0008222A" w:rsidP="0008222A" w14:paraId="5C6BDF66" w14:textId="77777777">
            <w:pPr>
              <w:keepNext/>
              <w:jc w:val="center"/>
              <w:rPr>
                <w:rFonts w:ascii="Times New Roman" w:hAnsi="Times New Roman"/>
                <w:sz w:val="20"/>
              </w:rPr>
            </w:pPr>
            <w:r w:rsidRPr="0008222A">
              <w:rPr>
                <w:rFonts w:ascii="Times New Roman" w:hAnsi="Times New Roman"/>
                <w:sz w:val="20"/>
              </w:rPr>
              <w:t>40</w:t>
            </w:r>
          </w:p>
        </w:tc>
        <w:tc>
          <w:tcPr>
            <w:tcW w:w="840" w:type="dxa"/>
            <w:shd w:val="clear" w:color="auto" w:fill="auto"/>
            <w:vAlign w:val="center"/>
            <w:hideMark/>
          </w:tcPr>
          <w:p w:rsidR="006B18B4" w:rsidRPr="0008222A" w:rsidP="0008222A" w14:paraId="31663D33" w14:textId="77777777">
            <w:pPr>
              <w:keepNext/>
              <w:jc w:val="center"/>
              <w:rPr>
                <w:rFonts w:ascii="Times New Roman" w:hAnsi="Times New Roman"/>
                <w:sz w:val="20"/>
              </w:rPr>
            </w:pPr>
            <w:r w:rsidRPr="0008222A">
              <w:rPr>
                <w:rFonts w:ascii="Times New Roman" w:hAnsi="Times New Roman"/>
                <w:sz w:val="20"/>
              </w:rPr>
              <w:t>0</w:t>
            </w:r>
          </w:p>
        </w:tc>
        <w:tc>
          <w:tcPr>
            <w:tcW w:w="880" w:type="dxa"/>
            <w:shd w:val="clear" w:color="auto" w:fill="auto"/>
            <w:vAlign w:val="center"/>
            <w:hideMark/>
          </w:tcPr>
          <w:p w:rsidR="006B18B4" w:rsidRPr="0008222A" w:rsidP="0008222A" w14:paraId="3A468BA5" w14:textId="77777777">
            <w:pPr>
              <w:keepNext/>
              <w:jc w:val="center"/>
              <w:rPr>
                <w:rFonts w:ascii="Times New Roman" w:hAnsi="Times New Roman"/>
                <w:sz w:val="20"/>
              </w:rPr>
            </w:pPr>
            <w:r w:rsidRPr="0008222A">
              <w:rPr>
                <w:rFonts w:ascii="Times New Roman" w:hAnsi="Times New Roman"/>
                <w:sz w:val="20"/>
              </w:rPr>
              <w:t>30</w:t>
            </w:r>
          </w:p>
        </w:tc>
        <w:tc>
          <w:tcPr>
            <w:tcW w:w="820" w:type="dxa"/>
            <w:shd w:val="clear" w:color="auto" w:fill="auto"/>
            <w:vAlign w:val="center"/>
            <w:hideMark/>
          </w:tcPr>
          <w:p w:rsidR="006B18B4" w:rsidRPr="0008222A" w:rsidP="0008222A" w14:paraId="3F6802AC" w14:textId="77777777">
            <w:pPr>
              <w:keepNext/>
              <w:jc w:val="center"/>
              <w:rPr>
                <w:rFonts w:ascii="Times New Roman" w:hAnsi="Times New Roman"/>
                <w:sz w:val="20"/>
              </w:rPr>
            </w:pPr>
            <w:r w:rsidRPr="0008222A">
              <w:rPr>
                <w:rFonts w:ascii="Times New Roman" w:hAnsi="Times New Roman"/>
                <w:sz w:val="20"/>
              </w:rPr>
              <w:t>0</w:t>
            </w:r>
          </w:p>
        </w:tc>
        <w:tc>
          <w:tcPr>
            <w:tcW w:w="960" w:type="dxa"/>
            <w:shd w:val="clear" w:color="auto" w:fill="auto"/>
            <w:vAlign w:val="center"/>
            <w:hideMark/>
          </w:tcPr>
          <w:p w:rsidR="006B18B4" w:rsidRPr="0008222A" w:rsidP="0008222A" w14:paraId="143B5023" w14:textId="77777777">
            <w:pPr>
              <w:keepNext/>
              <w:jc w:val="center"/>
              <w:rPr>
                <w:rFonts w:ascii="Times New Roman" w:hAnsi="Times New Roman"/>
                <w:sz w:val="20"/>
              </w:rPr>
            </w:pPr>
            <w:r w:rsidRPr="0008222A">
              <w:rPr>
                <w:rFonts w:ascii="Times New Roman" w:hAnsi="Times New Roman"/>
                <w:sz w:val="20"/>
              </w:rPr>
              <w:t>30</w:t>
            </w:r>
          </w:p>
        </w:tc>
        <w:tc>
          <w:tcPr>
            <w:tcW w:w="800" w:type="dxa"/>
            <w:shd w:val="clear" w:color="auto" w:fill="auto"/>
            <w:vAlign w:val="center"/>
            <w:hideMark/>
          </w:tcPr>
          <w:p w:rsidR="006B18B4" w:rsidRPr="0008222A" w:rsidP="0008222A" w14:paraId="427E056A" w14:textId="77777777">
            <w:pPr>
              <w:keepNext/>
              <w:jc w:val="center"/>
              <w:rPr>
                <w:rFonts w:ascii="Times New Roman" w:hAnsi="Times New Roman"/>
                <w:sz w:val="20"/>
              </w:rPr>
            </w:pPr>
            <w:r w:rsidRPr="0008222A">
              <w:rPr>
                <w:rFonts w:ascii="Times New Roman" w:hAnsi="Times New Roman"/>
                <w:sz w:val="20"/>
              </w:rPr>
              <w:t>0</w:t>
            </w:r>
          </w:p>
        </w:tc>
        <w:tc>
          <w:tcPr>
            <w:tcW w:w="1400" w:type="dxa"/>
            <w:shd w:val="clear" w:color="auto" w:fill="auto"/>
            <w:vAlign w:val="center"/>
            <w:hideMark/>
          </w:tcPr>
          <w:p w:rsidR="006B18B4" w:rsidRPr="0008222A" w:rsidP="0008222A" w14:paraId="77A27DE9" w14:textId="77777777">
            <w:pPr>
              <w:keepNext/>
              <w:jc w:val="center"/>
              <w:rPr>
                <w:rFonts w:ascii="Times New Roman" w:hAnsi="Times New Roman"/>
                <w:sz w:val="20"/>
              </w:rPr>
            </w:pPr>
            <w:r w:rsidRPr="0008222A">
              <w:rPr>
                <w:rFonts w:ascii="Times New Roman" w:hAnsi="Times New Roman"/>
                <w:sz w:val="20"/>
              </w:rPr>
              <w:t xml:space="preserve">$101.66 </w:t>
            </w:r>
          </w:p>
        </w:tc>
      </w:tr>
      <w:tr w14:paraId="0D1B3559" w14:textId="77777777" w:rsidTr="00D03AC4">
        <w:tblPrEx>
          <w:tblW w:w="10040" w:type="dxa"/>
          <w:tblLook w:val="04A0"/>
        </w:tblPrEx>
        <w:trPr>
          <w:trHeight w:val="300"/>
        </w:trPr>
        <w:tc>
          <w:tcPr>
            <w:tcW w:w="8640" w:type="dxa"/>
            <w:gridSpan w:val="8"/>
            <w:tcBorders>
              <w:bottom w:val="single" w:sz="4" w:space="0" w:color="auto"/>
            </w:tcBorders>
            <w:shd w:val="clear" w:color="auto" w:fill="auto"/>
            <w:vAlign w:val="center"/>
            <w:hideMark/>
          </w:tcPr>
          <w:p w:rsidR="006B18B4" w:rsidRPr="0008222A" w:rsidP="006B18B4" w14:paraId="3C8E0747" w14:textId="77777777">
            <w:pPr>
              <w:keepNext/>
              <w:tabs>
                <w:tab w:val="left" w:pos="-1440"/>
              </w:tabs>
              <w:ind w:left="720" w:hanging="360"/>
              <w:rPr>
                <w:rFonts w:ascii="Times New Roman" w:hAnsi="Times New Roman"/>
                <w:b/>
                <w:bCs/>
                <w:i/>
                <w:iCs/>
                <w:sz w:val="20"/>
              </w:rPr>
            </w:pPr>
            <w:r w:rsidRPr="0008222A">
              <w:rPr>
                <w:rFonts w:ascii="Times New Roman" w:hAnsi="Times New Roman"/>
                <w:b/>
                <w:bCs/>
                <w:i/>
                <w:iCs/>
                <w:sz w:val="20"/>
              </w:rPr>
              <w:t>Weighted Average Hourly Compensation Rate:</w:t>
            </w:r>
          </w:p>
        </w:tc>
        <w:tc>
          <w:tcPr>
            <w:tcW w:w="1400" w:type="dxa"/>
            <w:tcBorders>
              <w:bottom w:val="single" w:sz="4" w:space="0" w:color="auto"/>
            </w:tcBorders>
            <w:shd w:val="clear" w:color="auto" w:fill="auto"/>
            <w:vAlign w:val="center"/>
            <w:hideMark/>
          </w:tcPr>
          <w:p w:rsidR="006B18B4" w:rsidRPr="0008222A" w:rsidP="0008222A" w14:paraId="2FB9FC92" w14:textId="77777777">
            <w:pPr>
              <w:keepNext/>
              <w:jc w:val="center"/>
              <w:rPr>
                <w:rFonts w:ascii="Times New Roman" w:hAnsi="Times New Roman"/>
                <w:b/>
                <w:bCs/>
                <w:i/>
                <w:iCs/>
                <w:sz w:val="20"/>
              </w:rPr>
            </w:pPr>
            <w:r w:rsidRPr="0008222A">
              <w:rPr>
                <w:rFonts w:ascii="Times New Roman" w:hAnsi="Times New Roman"/>
                <w:b/>
                <w:bCs/>
                <w:i/>
                <w:iCs/>
                <w:sz w:val="20"/>
              </w:rPr>
              <w:t>$101.66</w:t>
            </w:r>
          </w:p>
        </w:tc>
      </w:tr>
      <w:tr w14:paraId="3E15861F" w14:textId="77777777" w:rsidTr="00D03AC4">
        <w:tblPrEx>
          <w:tblW w:w="10040" w:type="dxa"/>
          <w:tblLook w:val="04A0"/>
        </w:tblPrEx>
        <w:trPr>
          <w:trHeight w:val="276"/>
        </w:trPr>
        <w:tc>
          <w:tcPr>
            <w:tcW w:w="10040" w:type="dxa"/>
            <w:gridSpan w:val="9"/>
            <w:vMerge w:val="restart"/>
            <w:tcBorders>
              <w:bottom w:val="nil"/>
            </w:tcBorders>
            <w:shd w:val="clear" w:color="auto" w:fill="auto"/>
            <w:vAlign w:val="center"/>
            <w:hideMark/>
          </w:tcPr>
          <w:p w:rsidR="006B18B4" w:rsidRPr="00BE5D5E" w:rsidP="006B18B4" w14:paraId="67DA55AC" w14:textId="77777777">
            <w:pPr>
              <w:keepNext/>
              <w:tabs>
                <w:tab w:val="left" w:pos="-1440"/>
              </w:tabs>
              <w:ind w:left="720" w:hanging="360"/>
              <w:rPr>
                <w:rFonts w:ascii="Times New Roman" w:hAnsi="Times New Roman"/>
                <w:sz w:val="16"/>
                <w:szCs w:val="16"/>
              </w:rPr>
            </w:pPr>
            <w:r w:rsidRPr="00BE5D5E">
              <w:rPr>
                <w:rFonts w:ascii="Times New Roman" w:hAnsi="Times New Roman"/>
                <w:sz w:val="16"/>
                <w:szCs w:val="16"/>
              </w:rPr>
              <w:t xml:space="preserve">Source: Bureau of Labor Statistics: 'National Industry-Specific Occupational Employment and Wage Estimates: Industry: Credit Intermediation and Related Activities (5221 And 5223 only)' (May 2021), Employer Cost of Employee Compensation (March 2021), and Employment Cost Index (March 2021 and June 2022). Standard Occupational Classification (SOC) Codes: Exec. And Mgr = 11-0000 Management Occupations; Lawyer = 23-0000 Legal Occupations; Compl. Ofc. = 13-1040 Compliance Officers; IT = 15-0000 Computer and Mathematical Occupations; Fin. Anlst. = 13-2051 Financial and Investment Analysts; Clerical = 43-0000 Office and Administrative Support Occupations. </w:t>
            </w:r>
          </w:p>
        </w:tc>
      </w:tr>
      <w:tr w14:paraId="22B8D70C" w14:textId="77777777" w:rsidTr="00D03AC4">
        <w:tblPrEx>
          <w:tblW w:w="10040" w:type="dxa"/>
          <w:tblLook w:val="04A0"/>
        </w:tblPrEx>
        <w:trPr>
          <w:trHeight w:val="288"/>
        </w:trPr>
        <w:tc>
          <w:tcPr>
            <w:tcW w:w="10040" w:type="dxa"/>
            <w:gridSpan w:val="9"/>
            <w:vMerge/>
            <w:tcBorders>
              <w:bottom w:val="nil"/>
            </w:tcBorders>
            <w:vAlign w:val="center"/>
            <w:hideMark/>
          </w:tcPr>
          <w:p w:rsidR="006B18B4" w:rsidRPr="00BE5D5E" w:rsidP="006B18B4" w14:paraId="5AC7168C" w14:textId="77777777">
            <w:pPr>
              <w:keepNext/>
              <w:tabs>
                <w:tab w:val="left" w:pos="-1440"/>
              </w:tabs>
              <w:ind w:left="720" w:hanging="360"/>
              <w:rPr>
                <w:rFonts w:ascii="Times New Roman" w:hAnsi="Times New Roman"/>
                <w:sz w:val="16"/>
                <w:szCs w:val="16"/>
              </w:rPr>
            </w:pPr>
          </w:p>
        </w:tc>
      </w:tr>
      <w:tr w14:paraId="3B012013" w14:textId="77777777" w:rsidTr="00D03AC4">
        <w:tblPrEx>
          <w:tblW w:w="10040" w:type="dxa"/>
          <w:tblLook w:val="04A0"/>
        </w:tblPrEx>
        <w:trPr>
          <w:trHeight w:val="288"/>
        </w:trPr>
        <w:tc>
          <w:tcPr>
            <w:tcW w:w="10040" w:type="dxa"/>
            <w:gridSpan w:val="9"/>
            <w:vMerge/>
            <w:tcBorders>
              <w:bottom w:val="nil"/>
            </w:tcBorders>
            <w:vAlign w:val="center"/>
            <w:hideMark/>
          </w:tcPr>
          <w:p w:rsidR="006B18B4" w:rsidRPr="00BE5D5E" w:rsidP="006B18B4" w14:paraId="281EA733" w14:textId="77777777">
            <w:pPr>
              <w:keepNext/>
              <w:tabs>
                <w:tab w:val="left" w:pos="-1440"/>
              </w:tabs>
              <w:ind w:left="720" w:hanging="360"/>
              <w:rPr>
                <w:rFonts w:ascii="Times New Roman" w:hAnsi="Times New Roman"/>
                <w:sz w:val="16"/>
                <w:szCs w:val="16"/>
              </w:rPr>
            </w:pPr>
          </w:p>
        </w:tc>
      </w:tr>
      <w:tr w14:paraId="4E4F233C" w14:textId="77777777" w:rsidTr="00D03AC4">
        <w:tblPrEx>
          <w:tblW w:w="10040" w:type="dxa"/>
          <w:tblLook w:val="04A0"/>
        </w:tblPrEx>
        <w:trPr>
          <w:trHeight w:val="312"/>
        </w:trPr>
        <w:tc>
          <w:tcPr>
            <w:tcW w:w="10040" w:type="dxa"/>
            <w:gridSpan w:val="9"/>
            <w:vMerge/>
            <w:tcBorders>
              <w:bottom w:val="nil"/>
            </w:tcBorders>
            <w:vAlign w:val="center"/>
            <w:hideMark/>
          </w:tcPr>
          <w:p w:rsidR="006B18B4" w:rsidRPr="00BE5D5E" w:rsidP="006B18B4" w14:paraId="35385CDC" w14:textId="77777777">
            <w:pPr>
              <w:keepNext/>
              <w:tabs>
                <w:tab w:val="left" w:pos="-1440"/>
              </w:tabs>
              <w:ind w:left="720" w:hanging="360"/>
              <w:rPr>
                <w:rFonts w:ascii="Times New Roman" w:hAnsi="Times New Roman"/>
                <w:sz w:val="16"/>
                <w:szCs w:val="16"/>
              </w:rPr>
            </w:pPr>
          </w:p>
        </w:tc>
      </w:tr>
      <w:tr w14:paraId="38C394AF" w14:textId="77777777" w:rsidTr="00D03AC4">
        <w:tblPrEx>
          <w:tblW w:w="10040" w:type="dxa"/>
          <w:tblLook w:val="04A0"/>
        </w:tblPrEx>
        <w:trPr>
          <w:trHeight w:val="348"/>
        </w:trPr>
        <w:tc>
          <w:tcPr>
            <w:tcW w:w="10040" w:type="dxa"/>
            <w:gridSpan w:val="9"/>
            <w:vMerge/>
            <w:tcBorders>
              <w:bottom w:val="nil"/>
            </w:tcBorders>
            <w:vAlign w:val="center"/>
            <w:hideMark/>
          </w:tcPr>
          <w:p w:rsidR="006B18B4" w:rsidRPr="00BE5D5E" w:rsidP="006B18B4" w14:paraId="4D07A14B" w14:textId="77777777">
            <w:pPr>
              <w:keepNext/>
              <w:tabs>
                <w:tab w:val="left" w:pos="-1440"/>
              </w:tabs>
              <w:ind w:left="720" w:hanging="360"/>
              <w:rPr>
                <w:rFonts w:ascii="Times New Roman" w:hAnsi="Times New Roman"/>
                <w:sz w:val="16"/>
                <w:szCs w:val="16"/>
              </w:rPr>
            </w:pPr>
          </w:p>
        </w:tc>
      </w:tr>
      <w:tr w14:paraId="28555F46" w14:textId="77777777" w:rsidTr="00D03AC4">
        <w:tblPrEx>
          <w:tblW w:w="10040" w:type="dxa"/>
          <w:tblLook w:val="04A0"/>
        </w:tblPrEx>
        <w:trPr>
          <w:trHeight w:val="288"/>
        </w:trPr>
        <w:tc>
          <w:tcPr>
            <w:tcW w:w="10040" w:type="dxa"/>
            <w:gridSpan w:val="9"/>
            <w:vMerge w:val="restart"/>
            <w:tcBorders>
              <w:top w:val="nil"/>
            </w:tcBorders>
            <w:shd w:val="clear" w:color="auto" w:fill="auto"/>
            <w:vAlign w:val="center"/>
            <w:hideMark/>
          </w:tcPr>
          <w:p w:rsidR="006B18B4" w:rsidRPr="00BE5D5E" w:rsidP="006B18B4" w14:paraId="422BE0A1" w14:textId="77777777">
            <w:pPr>
              <w:keepNext/>
              <w:tabs>
                <w:tab w:val="left" w:pos="-1440"/>
              </w:tabs>
              <w:ind w:left="720" w:hanging="360"/>
              <w:rPr>
                <w:rFonts w:ascii="Times New Roman" w:hAnsi="Times New Roman"/>
                <w:sz w:val="16"/>
                <w:szCs w:val="16"/>
              </w:rPr>
            </w:pPr>
            <w:r w:rsidRPr="00BE5D5E">
              <w:rPr>
                <w:rFonts w:ascii="Times New Roman" w:hAnsi="Times New Roman"/>
                <w:sz w:val="16"/>
                <w:szCs w:val="16"/>
              </w:rPr>
              <w:t>Note: The estimated hourly compensation rate for a given collection is the average of the hourly compensation rates for the occupations used to comply with that collection, weighted by the share of hours spent by each occupation. The weighted average hourly compensation rate is the average of the estimated hourly compensation rates for all information collections, weighted by the share of hourly burden for each collection. These hourly weights, calculated as the estimated number of annual burden hours in a given collection over the total estimated number of annual burden hours across all collections, are shown in the “Hourly Weight” column of this table.</w:t>
            </w:r>
          </w:p>
        </w:tc>
      </w:tr>
      <w:tr w14:paraId="7B5BC99C" w14:textId="77777777" w:rsidTr="00D03AC4">
        <w:tblPrEx>
          <w:tblW w:w="10040" w:type="dxa"/>
          <w:tblLook w:val="04A0"/>
        </w:tblPrEx>
        <w:trPr>
          <w:trHeight w:val="288"/>
        </w:trPr>
        <w:tc>
          <w:tcPr>
            <w:tcW w:w="10040" w:type="dxa"/>
            <w:gridSpan w:val="9"/>
            <w:vMerge/>
            <w:vAlign w:val="center"/>
            <w:hideMark/>
          </w:tcPr>
          <w:p w:rsidR="006B18B4" w:rsidRPr="0008222A" w:rsidP="006B18B4" w14:paraId="6E34D1A6" w14:textId="77777777">
            <w:pPr>
              <w:keepNext/>
              <w:tabs>
                <w:tab w:val="left" w:pos="-1440"/>
              </w:tabs>
              <w:ind w:left="720" w:hanging="360"/>
              <w:rPr>
                <w:rFonts w:ascii="Times New Roman" w:hAnsi="Times New Roman"/>
                <w:sz w:val="20"/>
              </w:rPr>
            </w:pPr>
          </w:p>
        </w:tc>
      </w:tr>
      <w:tr w14:paraId="6F553F93" w14:textId="77777777" w:rsidTr="00D03AC4">
        <w:tblPrEx>
          <w:tblW w:w="10040" w:type="dxa"/>
          <w:tblLook w:val="04A0"/>
        </w:tblPrEx>
        <w:trPr>
          <w:trHeight w:val="288"/>
        </w:trPr>
        <w:tc>
          <w:tcPr>
            <w:tcW w:w="10040" w:type="dxa"/>
            <w:gridSpan w:val="9"/>
            <w:vMerge/>
            <w:vAlign w:val="center"/>
            <w:hideMark/>
          </w:tcPr>
          <w:p w:rsidR="006B18B4" w:rsidRPr="0008222A" w:rsidP="006B18B4" w14:paraId="0B524CB4" w14:textId="77777777">
            <w:pPr>
              <w:keepNext/>
              <w:tabs>
                <w:tab w:val="left" w:pos="-1440"/>
              </w:tabs>
              <w:ind w:left="720" w:hanging="360"/>
              <w:rPr>
                <w:rFonts w:ascii="Times New Roman" w:hAnsi="Times New Roman"/>
                <w:sz w:val="20"/>
              </w:rPr>
            </w:pPr>
          </w:p>
        </w:tc>
      </w:tr>
      <w:tr w14:paraId="001D5EE4" w14:textId="77777777" w:rsidTr="00D03AC4">
        <w:tblPrEx>
          <w:tblW w:w="10040" w:type="dxa"/>
          <w:tblLook w:val="04A0"/>
        </w:tblPrEx>
        <w:trPr>
          <w:trHeight w:val="288"/>
        </w:trPr>
        <w:tc>
          <w:tcPr>
            <w:tcW w:w="10040" w:type="dxa"/>
            <w:gridSpan w:val="9"/>
            <w:vMerge/>
            <w:vAlign w:val="center"/>
            <w:hideMark/>
          </w:tcPr>
          <w:p w:rsidR="006B18B4" w:rsidRPr="0008222A" w:rsidP="006B18B4" w14:paraId="3474CE5C" w14:textId="77777777">
            <w:pPr>
              <w:keepNext/>
              <w:tabs>
                <w:tab w:val="left" w:pos="-1440"/>
              </w:tabs>
              <w:ind w:left="720" w:hanging="360"/>
              <w:rPr>
                <w:rFonts w:ascii="Times New Roman" w:hAnsi="Times New Roman"/>
                <w:sz w:val="20"/>
              </w:rPr>
            </w:pPr>
          </w:p>
        </w:tc>
      </w:tr>
      <w:tr w14:paraId="56AA9FF7" w14:textId="77777777" w:rsidTr="00D03AC4">
        <w:tblPrEx>
          <w:tblW w:w="10040" w:type="dxa"/>
          <w:tblLook w:val="04A0"/>
        </w:tblPrEx>
        <w:trPr>
          <w:trHeight w:val="300"/>
        </w:trPr>
        <w:tc>
          <w:tcPr>
            <w:tcW w:w="10040" w:type="dxa"/>
            <w:gridSpan w:val="9"/>
            <w:vMerge/>
            <w:vAlign w:val="center"/>
            <w:hideMark/>
          </w:tcPr>
          <w:p w:rsidR="006B18B4" w:rsidRPr="0008222A" w:rsidP="006B18B4" w14:paraId="01CDFE8A" w14:textId="77777777">
            <w:pPr>
              <w:keepNext/>
              <w:tabs>
                <w:tab w:val="left" w:pos="-1440"/>
              </w:tabs>
              <w:ind w:left="720" w:hanging="360"/>
              <w:rPr>
                <w:rFonts w:ascii="Times New Roman" w:hAnsi="Times New Roman"/>
                <w:sz w:val="20"/>
              </w:rPr>
            </w:pPr>
          </w:p>
        </w:tc>
      </w:tr>
    </w:tbl>
    <w:p w:rsidR="006B18B4" w:rsidRPr="006B18B4" w:rsidP="006B18B4" w14:paraId="6AC7B8E8" w14:textId="77777777">
      <w:pPr>
        <w:keepNext/>
        <w:tabs>
          <w:tab w:val="left" w:pos="-1440"/>
        </w:tabs>
        <w:ind w:left="720" w:hanging="360"/>
        <w:rPr>
          <w:rFonts w:ascii="Times New Roman" w:hAnsi="Times New Roman"/>
          <w:lang w:bidi="en-US"/>
        </w:rPr>
      </w:pPr>
    </w:p>
    <w:p w:rsidR="006B18B4" w:rsidRPr="006B18B4" w:rsidP="006B18B4" w14:paraId="0B0D95AB" w14:textId="77777777">
      <w:pPr>
        <w:keepNext/>
        <w:tabs>
          <w:tab w:val="left" w:pos="-1440"/>
        </w:tabs>
        <w:ind w:left="720" w:hanging="360"/>
        <w:rPr>
          <w:rFonts w:ascii="Times New Roman" w:hAnsi="Times New Roman"/>
          <w:lang w:bidi="en-US"/>
        </w:rPr>
      </w:pPr>
    </w:p>
    <w:p w:rsidR="006B18B4" w:rsidRPr="006B18B4" w:rsidP="006B18B4" w14:paraId="23337E7D" w14:textId="77777777">
      <w:pPr>
        <w:keepNext/>
        <w:tabs>
          <w:tab w:val="left" w:pos="-1440"/>
        </w:tabs>
        <w:ind w:left="720" w:hanging="360"/>
        <w:rPr>
          <w:rFonts w:ascii="Times New Roman" w:hAnsi="Times New Roman"/>
          <w:b/>
          <w:lang w:bidi="en-US"/>
        </w:rPr>
      </w:pPr>
      <w:r w:rsidRPr="006B18B4">
        <w:rPr>
          <w:rFonts w:ascii="Times New Roman" w:hAnsi="Times New Roman"/>
          <w:lang w:bidi="en-US"/>
        </w:rPr>
        <w:fldChar w:fldCharType="begin"/>
      </w:r>
      <w:r w:rsidRPr="006B18B4">
        <w:rPr>
          <w:rFonts w:ascii="Times New Roman" w:hAnsi="Times New Roman"/>
          <w:lang w:bidi="en-US"/>
        </w:rPr>
        <w:instrText xml:space="preserve"> LINK Excel.Sheet.12 "\\\\VASWRES004P\\EBreitenstein$\\U Projects\\Reg Analysis\\ICRs\\Notice of Branch Closure ICR\\2021\\Derek S. Burden Table.xlsx" "cost_table!R2C7:R18C10" \a \f 4 \h  \* MERGEFORMAT </w:instrText>
      </w:r>
      <w:r w:rsidRPr="006B18B4">
        <w:rPr>
          <w:rFonts w:ascii="Times New Roman" w:hAnsi="Times New Roman"/>
        </w:rPr>
        <w:fldChar w:fldCharType="separate"/>
      </w:r>
      <w:r w:rsidRPr="006B18B4">
        <w:rPr>
          <w:rFonts w:ascii="Times New Roman" w:hAnsi="Times New Roman"/>
        </w:rPr>
        <w:fldChar w:fldCharType="end"/>
      </w:r>
      <w:r w:rsidRPr="006B18B4">
        <w:rPr>
          <w:rFonts w:ascii="Times New Roman" w:hAnsi="Times New Roman"/>
          <w:b/>
          <w:lang w:bidi="en-US"/>
        </w:rPr>
        <w:t>Total Estimated Compliance Cost</w:t>
      </w:r>
    </w:p>
    <w:p w:rsidR="006B18B4" w:rsidRPr="006B18B4" w:rsidP="006B18B4" w14:paraId="09885230" w14:textId="77777777">
      <w:pPr>
        <w:keepNext/>
        <w:tabs>
          <w:tab w:val="left" w:pos="-1440"/>
        </w:tabs>
        <w:ind w:left="720" w:hanging="360"/>
        <w:rPr>
          <w:rFonts w:ascii="Times New Roman" w:hAnsi="Times New Roman"/>
          <w:b/>
          <w:lang w:bidi="en-US"/>
        </w:rPr>
      </w:pPr>
    </w:p>
    <w:p w:rsidR="006B18B4" w:rsidRPr="006B18B4" w:rsidP="0008222A" w14:paraId="4DC5A792" w14:textId="77777777">
      <w:pPr>
        <w:keepNext/>
        <w:ind w:left="720"/>
        <w:rPr>
          <w:rFonts w:ascii="Times New Roman" w:hAnsi="Times New Roman"/>
          <w:lang w:bidi="en-US"/>
        </w:rPr>
      </w:pPr>
      <w:r w:rsidRPr="006B18B4">
        <w:rPr>
          <w:rFonts w:ascii="Times New Roman" w:hAnsi="Times New Roman"/>
          <w:lang w:bidi="en-US"/>
        </w:rPr>
        <w:t xml:space="preserve">Given the above analyses, and applying the estimates summarized in Tables 1 and 2, the estimated </w:t>
      </w:r>
      <w:r w:rsidRPr="006B18B4">
        <w:rPr>
          <w:rFonts w:ascii="Times New Roman" w:hAnsi="Times New Roman"/>
        </w:rPr>
        <w:t>total</w:t>
      </w:r>
      <w:r w:rsidRPr="006B18B4">
        <w:rPr>
          <w:rFonts w:ascii="Times New Roman" w:hAnsi="Times New Roman"/>
          <w:lang w:bidi="en-US"/>
        </w:rPr>
        <w:t xml:space="preserve"> annual cost burden for this ICR is </w:t>
      </w:r>
      <w:r w:rsidRPr="006B18B4">
        <w:rPr>
          <w:rFonts w:ascii="Times New Roman" w:hAnsi="Times New Roman"/>
          <w:b/>
          <w:lang w:bidi="en-US"/>
        </w:rPr>
        <w:t>$644,524</w:t>
      </w:r>
      <w:r w:rsidRPr="006B18B4">
        <w:rPr>
          <w:rFonts w:ascii="Times New Roman" w:hAnsi="Times New Roman"/>
          <w:lang w:bidi="en-US"/>
        </w:rPr>
        <w:t xml:space="preserve"> (6,340 hours / year * $101.66 / hour = </w:t>
      </w:r>
      <w:r w:rsidRPr="006B18B4">
        <w:rPr>
          <w:rFonts w:ascii="Times New Roman" w:hAnsi="Times New Roman"/>
          <w:b/>
          <w:lang w:bidi="en-US"/>
        </w:rPr>
        <w:t xml:space="preserve">$644,524 </w:t>
      </w:r>
      <w:r w:rsidRPr="006B18B4">
        <w:rPr>
          <w:rFonts w:ascii="Times New Roman" w:hAnsi="Times New Roman"/>
          <w:lang w:bidi="en-US"/>
        </w:rPr>
        <w:t>a year), shown in Table 3 below. This represents a decrease in the estimated annual cost burden of $1,087 from the amount reported in the 2020 ICR ($645,611). This difference can be entirely explained by the decrease in the estimated number of respondents, which reduced the total estimated annual burden from 7,011 hours to 6,340 hours, as well as a slight decrease in the estimated hourly compensation rate for Compliance Officers. The decrease is attenuated by the increase in the estimated hourly compensation rates for Executives and Managers and Financial Analysts.</w:t>
      </w:r>
    </w:p>
    <w:p w:rsidR="006B18B4" w:rsidRPr="006B18B4" w:rsidP="006B18B4" w14:paraId="32BA655B" w14:textId="77777777">
      <w:pPr>
        <w:keepNext/>
        <w:tabs>
          <w:tab w:val="left" w:pos="-1440"/>
        </w:tabs>
        <w:ind w:left="720" w:hanging="360"/>
        <w:rPr>
          <w:rFonts w:ascii="Times New Roman" w:hAnsi="Times New Roman"/>
          <w:lang w:bidi="en-US"/>
        </w:rPr>
      </w:pPr>
    </w:p>
    <w:tbl>
      <w:tblPr>
        <w:tblW w:w="9422" w:type="dxa"/>
        <w:tblLook w:val="04A0"/>
      </w:tblPr>
      <w:tblGrid>
        <w:gridCol w:w="2232"/>
        <w:gridCol w:w="3063"/>
        <w:gridCol w:w="2168"/>
        <w:gridCol w:w="1959"/>
      </w:tblGrid>
      <w:tr w14:paraId="2B57C24D" w14:textId="77777777" w:rsidTr="00D03AC4">
        <w:tblPrEx>
          <w:tblW w:w="9422" w:type="dxa"/>
          <w:tblLook w:val="04A0"/>
        </w:tblPrEx>
        <w:trPr>
          <w:trHeight w:val="360"/>
        </w:trPr>
        <w:tc>
          <w:tcPr>
            <w:tcW w:w="942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B18B4" w:rsidRPr="00BE5D5E" w:rsidP="00BE5D5E" w14:paraId="33CF1B51" w14:textId="77777777">
            <w:pPr>
              <w:keepNext/>
              <w:jc w:val="center"/>
              <w:rPr>
                <w:rFonts w:ascii="Times New Roman" w:hAnsi="Times New Roman"/>
                <w:sz w:val="20"/>
              </w:rPr>
            </w:pPr>
            <w:r w:rsidRPr="00BE5D5E">
              <w:rPr>
                <w:rFonts w:ascii="Times New Roman" w:hAnsi="Times New Roman"/>
                <w:sz w:val="20"/>
              </w:rPr>
              <w:t>Table 3. Total Estimated Cost Burden (OMB No. 3064-0057)</w:t>
            </w:r>
          </w:p>
        </w:tc>
      </w:tr>
      <w:tr w14:paraId="74BD3D66" w14:textId="77777777" w:rsidTr="00D03AC4">
        <w:tblPrEx>
          <w:tblW w:w="9422" w:type="dxa"/>
          <w:tblLook w:val="04A0"/>
        </w:tblPrEx>
        <w:trPr>
          <w:trHeight w:val="600"/>
        </w:trPr>
        <w:tc>
          <w:tcPr>
            <w:tcW w:w="2232" w:type="dxa"/>
            <w:tcBorders>
              <w:top w:val="nil"/>
              <w:left w:val="single" w:sz="8" w:space="0" w:color="auto"/>
              <w:bottom w:val="single" w:sz="8" w:space="0" w:color="auto"/>
              <w:right w:val="single" w:sz="8" w:space="0" w:color="auto"/>
            </w:tcBorders>
            <w:shd w:val="clear" w:color="auto" w:fill="auto"/>
            <w:vAlign w:val="center"/>
            <w:hideMark/>
          </w:tcPr>
          <w:p w:rsidR="006B18B4" w:rsidRPr="00BE5D5E" w:rsidP="00BE5D5E" w14:paraId="60C5CF93" w14:textId="77777777">
            <w:pPr>
              <w:keepNext/>
              <w:jc w:val="center"/>
              <w:rPr>
                <w:rFonts w:ascii="Times New Roman" w:hAnsi="Times New Roman"/>
                <w:sz w:val="20"/>
              </w:rPr>
            </w:pPr>
            <w:r w:rsidRPr="00BE5D5E">
              <w:rPr>
                <w:rFonts w:ascii="Times New Roman" w:hAnsi="Times New Roman"/>
                <w:sz w:val="20"/>
              </w:rPr>
              <w:t>Information Collection Request</w:t>
            </w:r>
          </w:p>
        </w:tc>
        <w:tc>
          <w:tcPr>
            <w:tcW w:w="3063" w:type="dxa"/>
            <w:tcBorders>
              <w:top w:val="nil"/>
              <w:left w:val="nil"/>
              <w:bottom w:val="single" w:sz="8" w:space="0" w:color="auto"/>
              <w:right w:val="single" w:sz="8" w:space="0" w:color="auto"/>
            </w:tcBorders>
            <w:shd w:val="clear" w:color="auto" w:fill="auto"/>
            <w:vAlign w:val="center"/>
            <w:hideMark/>
          </w:tcPr>
          <w:p w:rsidR="006B18B4" w:rsidRPr="00BE5D5E" w:rsidP="00BE5D5E" w14:paraId="1FB91ECF" w14:textId="77777777">
            <w:pPr>
              <w:keepNext/>
              <w:jc w:val="center"/>
              <w:rPr>
                <w:rFonts w:ascii="Times New Roman" w:hAnsi="Times New Roman"/>
                <w:sz w:val="20"/>
              </w:rPr>
            </w:pPr>
            <w:r w:rsidRPr="00BE5D5E">
              <w:rPr>
                <w:rFonts w:ascii="Times New Roman" w:hAnsi="Times New Roman"/>
                <w:sz w:val="20"/>
              </w:rPr>
              <w:t>Annual Burden (Hours)</w:t>
            </w:r>
          </w:p>
        </w:tc>
        <w:tc>
          <w:tcPr>
            <w:tcW w:w="2168" w:type="dxa"/>
            <w:tcBorders>
              <w:top w:val="nil"/>
              <w:left w:val="nil"/>
              <w:bottom w:val="single" w:sz="8" w:space="0" w:color="auto"/>
              <w:right w:val="single" w:sz="8" w:space="0" w:color="auto"/>
            </w:tcBorders>
            <w:shd w:val="clear" w:color="auto" w:fill="auto"/>
            <w:vAlign w:val="center"/>
            <w:hideMark/>
          </w:tcPr>
          <w:p w:rsidR="006B18B4" w:rsidRPr="00BE5D5E" w:rsidP="00BE5D5E" w14:paraId="1BDFADF6" w14:textId="77777777">
            <w:pPr>
              <w:keepNext/>
              <w:jc w:val="center"/>
              <w:rPr>
                <w:rFonts w:ascii="Times New Roman" w:hAnsi="Times New Roman"/>
                <w:sz w:val="20"/>
              </w:rPr>
            </w:pPr>
            <w:r w:rsidRPr="00BE5D5E">
              <w:rPr>
                <w:rFonts w:ascii="Times New Roman" w:hAnsi="Times New Roman"/>
                <w:sz w:val="20"/>
              </w:rPr>
              <w:t>Weighted Average Hourly Compensation Rate</w:t>
            </w:r>
          </w:p>
        </w:tc>
        <w:tc>
          <w:tcPr>
            <w:tcW w:w="1959" w:type="dxa"/>
            <w:tcBorders>
              <w:top w:val="nil"/>
              <w:left w:val="nil"/>
              <w:bottom w:val="single" w:sz="8" w:space="0" w:color="auto"/>
              <w:right w:val="single" w:sz="8" w:space="0" w:color="auto"/>
            </w:tcBorders>
            <w:shd w:val="clear" w:color="auto" w:fill="auto"/>
            <w:vAlign w:val="center"/>
            <w:hideMark/>
          </w:tcPr>
          <w:p w:rsidR="006B18B4" w:rsidRPr="00BE5D5E" w:rsidP="00BE5D5E" w14:paraId="6F218A22" w14:textId="77777777">
            <w:pPr>
              <w:keepNext/>
              <w:jc w:val="center"/>
              <w:rPr>
                <w:rFonts w:ascii="Times New Roman" w:hAnsi="Times New Roman"/>
                <w:sz w:val="20"/>
              </w:rPr>
            </w:pPr>
            <w:r w:rsidRPr="00BE5D5E">
              <w:rPr>
                <w:rFonts w:ascii="Times New Roman" w:hAnsi="Times New Roman"/>
                <w:sz w:val="20"/>
              </w:rPr>
              <w:t>Annual Respondent Cost</w:t>
            </w:r>
          </w:p>
        </w:tc>
      </w:tr>
      <w:tr w14:paraId="0B2A887C" w14:textId="77777777" w:rsidTr="00D03AC4">
        <w:tblPrEx>
          <w:tblW w:w="9422" w:type="dxa"/>
          <w:tblLook w:val="04A0"/>
        </w:tblPrEx>
        <w:trPr>
          <w:trHeight w:val="1104"/>
        </w:trPr>
        <w:tc>
          <w:tcPr>
            <w:tcW w:w="2232" w:type="dxa"/>
            <w:tcBorders>
              <w:top w:val="nil"/>
              <w:left w:val="single" w:sz="8" w:space="0" w:color="auto"/>
              <w:bottom w:val="single" w:sz="8" w:space="0" w:color="auto"/>
              <w:right w:val="single" w:sz="8" w:space="0" w:color="auto"/>
            </w:tcBorders>
            <w:shd w:val="clear" w:color="auto" w:fill="auto"/>
            <w:vAlign w:val="center"/>
            <w:hideMark/>
          </w:tcPr>
          <w:p w:rsidR="006B18B4" w:rsidRPr="00BE5D5E" w:rsidP="00BE5D5E" w14:paraId="1AE9666C" w14:textId="77777777">
            <w:pPr>
              <w:keepNext/>
              <w:jc w:val="center"/>
              <w:rPr>
                <w:rFonts w:ascii="Times New Roman" w:hAnsi="Times New Roman"/>
                <w:sz w:val="20"/>
              </w:rPr>
            </w:pPr>
            <w:r w:rsidRPr="00BE5D5E">
              <w:rPr>
                <w:rFonts w:ascii="Times New Roman" w:hAnsi="Times New Roman"/>
                <w:sz w:val="20"/>
              </w:rPr>
              <w:t xml:space="preserve">Quarterly Certified Statement Invoice for Deposit Insurance Assessment  </w:t>
            </w:r>
          </w:p>
        </w:tc>
        <w:tc>
          <w:tcPr>
            <w:tcW w:w="3063" w:type="dxa"/>
            <w:tcBorders>
              <w:top w:val="nil"/>
              <w:left w:val="nil"/>
              <w:bottom w:val="single" w:sz="8" w:space="0" w:color="auto"/>
              <w:right w:val="single" w:sz="8" w:space="0" w:color="auto"/>
            </w:tcBorders>
            <w:shd w:val="clear" w:color="auto" w:fill="auto"/>
            <w:noWrap/>
            <w:vAlign w:val="center"/>
            <w:hideMark/>
          </w:tcPr>
          <w:p w:rsidR="006B18B4" w:rsidRPr="00BE5D5E" w:rsidP="00BE5D5E" w14:paraId="070AF429" w14:textId="77777777">
            <w:pPr>
              <w:keepNext/>
              <w:jc w:val="center"/>
              <w:rPr>
                <w:rFonts w:ascii="Times New Roman" w:hAnsi="Times New Roman"/>
                <w:sz w:val="20"/>
              </w:rPr>
            </w:pPr>
            <w:r w:rsidRPr="00BE5D5E">
              <w:rPr>
                <w:rFonts w:ascii="Times New Roman" w:hAnsi="Times New Roman"/>
                <w:sz w:val="20"/>
              </w:rPr>
              <w:t xml:space="preserve">                                              6,340 </w:t>
            </w:r>
          </w:p>
        </w:tc>
        <w:tc>
          <w:tcPr>
            <w:tcW w:w="2168" w:type="dxa"/>
            <w:tcBorders>
              <w:top w:val="nil"/>
              <w:left w:val="nil"/>
              <w:bottom w:val="single" w:sz="8" w:space="0" w:color="auto"/>
              <w:right w:val="single" w:sz="8" w:space="0" w:color="auto"/>
            </w:tcBorders>
            <w:shd w:val="clear" w:color="auto" w:fill="auto"/>
            <w:noWrap/>
            <w:vAlign w:val="center"/>
            <w:hideMark/>
          </w:tcPr>
          <w:p w:rsidR="006B18B4" w:rsidRPr="00BE5D5E" w:rsidP="00BE5D5E" w14:paraId="4A4581D7" w14:textId="77777777">
            <w:pPr>
              <w:keepNext/>
              <w:jc w:val="center"/>
              <w:rPr>
                <w:rFonts w:ascii="Times New Roman" w:hAnsi="Times New Roman"/>
                <w:sz w:val="20"/>
              </w:rPr>
            </w:pPr>
            <w:r w:rsidRPr="00BE5D5E">
              <w:rPr>
                <w:rFonts w:ascii="Times New Roman" w:hAnsi="Times New Roman"/>
                <w:sz w:val="20"/>
              </w:rPr>
              <w:t>$101.66</w:t>
            </w:r>
          </w:p>
        </w:tc>
        <w:tc>
          <w:tcPr>
            <w:tcW w:w="1959" w:type="dxa"/>
            <w:tcBorders>
              <w:top w:val="nil"/>
              <w:left w:val="nil"/>
              <w:bottom w:val="single" w:sz="8" w:space="0" w:color="auto"/>
              <w:right w:val="single" w:sz="8" w:space="0" w:color="auto"/>
            </w:tcBorders>
            <w:shd w:val="clear" w:color="auto" w:fill="auto"/>
            <w:noWrap/>
            <w:vAlign w:val="center"/>
            <w:hideMark/>
          </w:tcPr>
          <w:p w:rsidR="006B18B4" w:rsidRPr="00BE5D5E" w:rsidP="00BE5D5E" w14:paraId="6792F0BE" w14:textId="77777777">
            <w:pPr>
              <w:keepNext/>
              <w:jc w:val="center"/>
              <w:rPr>
                <w:rFonts w:ascii="Times New Roman" w:hAnsi="Times New Roman"/>
                <w:sz w:val="20"/>
              </w:rPr>
            </w:pPr>
            <w:r w:rsidRPr="00BE5D5E">
              <w:rPr>
                <w:rFonts w:ascii="Times New Roman" w:hAnsi="Times New Roman"/>
                <w:sz w:val="20"/>
              </w:rPr>
              <w:t>$644,524</w:t>
            </w:r>
          </w:p>
        </w:tc>
      </w:tr>
      <w:tr w14:paraId="73C0F11F" w14:textId="77777777" w:rsidTr="00D03AC4">
        <w:tblPrEx>
          <w:tblW w:w="9422" w:type="dxa"/>
          <w:tblLook w:val="04A0"/>
        </w:tblPrEx>
        <w:trPr>
          <w:trHeight w:val="360"/>
        </w:trPr>
        <w:tc>
          <w:tcPr>
            <w:tcW w:w="7463"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6B18B4" w:rsidRPr="00BE5D5E" w:rsidP="006B18B4" w14:paraId="79C2C041" w14:textId="77777777">
            <w:pPr>
              <w:keepNext/>
              <w:tabs>
                <w:tab w:val="left" w:pos="-1440"/>
              </w:tabs>
              <w:ind w:left="720" w:hanging="360"/>
              <w:rPr>
                <w:rFonts w:ascii="Times New Roman" w:hAnsi="Times New Roman"/>
                <w:b/>
                <w:bCs/>
                <w:i/>
                <w:iCs/>
                <w:sz w:val="20"/>
              </w:rPr>
            </w:pPr>
            <w:r w:rsidRPr="00BE5D5E">
              <w:rPr>
                <w:rFonts w:ascii="Times New Roman" w:hAnsi="Times New Roman"/>
                <w:b/>
                <w:bCs/>
                <w:i/>
                <w:iCs/>
                <w:sz w:val="20"/>
              </w:rPr>
              <w:t>Total Annual Respondent Cost:</w:t>
            </w:r>
          </w:p>
        </w:tc>
        <w:tc>
          <w:tcPr>
            <w:tcW w:w="1959" w:type="dxa"/>
            <w:tcBorders>
              <w:top w:val="nil"/>
              <w:left w:val="nil"/>
              <w:bottom w:val="single" w:sz="8" w:space="0" w:color="auto"/>
              <w:right w:val="single" w:sz="8" w:space="0" w:color="auto"/>
            </w:tcBorders>
            <w:shd w:val="clear" w:color="000000" w:fill="FFFFFF"/>
            <w:vAlign w:val="center"/>
            <w:hideMark/>
          </w:tcPr>
          <w:p w:rsidR="006B18B4" w:rsidRPr="00BE5D5E" w:rsidP="006B18B4" w14:paraId="3F567B32" w14:textId="77777777">
            <w:pPr>
              <w:keepNext/>
              <w:tabs>
                <w:tab w:val="left" w:pos="-1440"/>
              </w:tabs>
              <w:ind w:left="720" w:hanging="360"/>
              <w:rPr>
                <w:rFonts w:ascii="Times New Roman" w:hAnsi="Times New Roman"/>
                <w:b/>
                <w:bCs/>
                <w:i/>
                <w:iCs/>
                <w:sz w:val="20"/>
              </w:rPr>
            </w:pPr>
            <w:r w:rsidRPr="00BE5D5E">
              <w:rPr>
                <w:rFonts w:ascii="Times New Roman" w:hAnsi="Times New Roman"/>
                <w:b/>
                <w:bCs/>
                <w:i/>
                <w:iCs/>
                <w:sz w:val="20"/>
              </w:rPr>
              <w:t xml:space="preserve">$644,524 </w:t>
            </w:r>
          </w:p>
        </w:tc>
      </w:tr>
      <w:tr w14:paraId="30FD01BD" w14:textId="77777777" w:rsidTr="00D03AC4">
        <w:tblPrEx>
          <w:tblW w:w="9422" w:type="dxa"/>
          <w:tblLook w:val="04A0"/>
        </w:tblPrEx>
        <w:trPr>
          <w:trHeight w:val="840"/>
        </w:trPr>
        <w:tc>
          <w:tcPr>
            <w:tcW w:w="9422"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6B18B4" w:rsidRPr="00BE5D5E" w:rsidP="006B18B4" w14:paraId="4BEF28CC" w14:textId="77777777">
            <w:pPr>
              <w:keepNext/>
              <w:tabs>
                <w:tab w:val="left" w:pos="-1440"/>
              </w:tabs>
              <w:ind w:left="720" w:hanging="360"/>
              <w:rPr>
                <w:rFonts w:ascii="Times New Roman" w:hAnsi="Times New Roman"/>
                <w:sz w:val="16"/>
                <w:szCs w:val="16"/>
              </w:rPr>
            </w:pPr>
            <w:r w:rsidRPr="00BE5D5E">
              <w:rPr>
                <w:rFonts w:ascii="Times New Roman" w:hAnsi="Times New Roman"/>
                <w:sz w:val="16"/>
                <w:szCs w:val="16"/>
              </w:rPr>
              <w:t>Source: FDIC.</w:t>
            </w:r>
          </w:p>
        </w:tc>
      </w:tr>
    </w:tbl>
    <w:p w:rsidR="006B18B4" w:rsidRPr="006B18B4" w:rsidP="006B18B4" w14:paraId="75386B26" w14:textId="77777777">
      <w:pPr>
        <w:keepNext/>
        <w:tabs>
          <w:tab w:val="left" w:pos="-1440"/>
        </w:tabs>
        <w:ind w:left="720" w:hanging="360"/>
        <w:rPr>
          <w:rFonts w:ascii="Times New Roman" w:hAnsi="Times New Roman"/>
          <w:lang w:bidi="en-US"/>
        </w:rPr>
      </w:pPr>
    </w:p>
    <w:p w:rsidR="007B6C63" w:rsidRPr="000B0581" w:rsidP="000B0581" w14:paraId="1073998D" w14:textId="77777777">
      <w:pPr>
        <w:keepNext/>
        <w:tabs>
          <w:tab w:val="left" w:pos="-1440"/>
        </w:tabs>
        <w:ind w:left="720" w:hanging="360"/>
        <w:rPr>
          <w:rFonts w:ascii="Times New Roman" w:hAnsi="Times New Roman"/>
          <w:b/>
          <w:u w:val="single"/>
        </w:rPr>
      </w:pPr>
      <w:r>
        <w:rPr>
          <w:rFonts w:ascii="Times New Roman" w:hAnsi="Times New Roman"/>
        </w:rPr>
        <w:t>13.</w:t>
      </w:r>
      <w:r>
        <w:rPr>
          <w:rFonts w:ascii="Times New Roman" w:hAnsi="Times New Roman"/>
        </w:rPr>
        <w:tab/>
      </w:r>
      <w:r w:rsidRPr="000B0581" w:rsidR="00523B22">
        <w:rPr>
          <w:rFonts w:ascii="Times New Roman" w:hAnsi="Times New Roman"/>
          <w:b/>
          <w:bCs/>
          <w:iCs/>
          <w:u w:val="single"/>
        </w:rPr>
        <w:t>Estimate</w:t>
      </w:r>
      <w:r w:rsidRPr="000B0581" w:rsidR="00523B22">
        <w:rPr>
          <w:rFonts w:ascii="Times New Roman" w:hAnsi="Times New Roman"/>
          <w:b/>
          <w:bCs/>
          <w:szCs w:val="24"/>
          <w:u w:val="single"/>
        </w:rPr>
        <w:t xml:space="preserve"> of </w:t>
      </w:r>
      <w:r w:rsidRPr="000B0581" w:rsidR="00523B22">
        <w:rPr>
          <w:rFonts w:ascii="Times New Roman" w:hAnsi="Times New Roman"/>
          <w:b/>
          <w:u w:val="single"/>
        </w:rPr>
        <w:t>start</w:t>
      </w:r>
      <w:r w:rsidRPr="000B0581" w:rsidR="00523B22">
        <w:rPr>
          <w:rFonts w:ascii="Times New Roman" w:hAnsi="Times New Roman"/>
          <w:b/>
          <w:bCs/>
          <w:szCs w:val="24"/>
          <w:u w:val="single"/>
        </w:rPr>
        <w:t>-up costs to respondents:</w:t>
      </w:r>
    </w:p>
    <w:p w:rsidR="007B6C63" w:rsidRPr="000B0581" w14:paraId="3DD67CBB" w14:textId="77777777">
      <w:pPr>
        <w:rPr>
          <w:rFonts w:ascii="Times New Roman" w:hAnsi="Times New Roman"/>
          <w:b/>
          <w:u w:val="single"/>
        </w:rPr>
      </w:pPr>
    </w:p>
    <w:p w:rsidR="007B6C63" w:rsidP="000B0581" w14:paraId="687BE8D9" w14:textId="77777777">
      <w:pPr>
        <w:ind w:left="720"/>
        <w:rPr>
          <w:rFonts w:ascii="Times New Roman" w:hAnsi="Times New Roman"/>
        </w:rPr>
      </w:pPr>
      <w:r>
        <w:rPr>
          <w:rFonts w:ascii="Times New Roman" w:hAnsi="Times New Roman"/>
        </w:rPr>
        <w:t>No</w:t>
      </w:r>
      <w:r w:rsidR="000B0581">
        <w:rPr>
          <w:rFonts w:ascii="Times New Roman" w:hAnsi="Times New Roman"/>
        </w:rPr>
        <w:t>ne</w:t>
      </w:r>
      <w:r>
        <w:rPr>
          <w:rFonts w:ascii="Times New Roman" w:hAnsi="Times New Roman"/>
        </w:rPr>
        <w:t>.</w:t>
      </w:r>
    </w:p>
    <w:p w:rsidR="007B6C63" w14:paraId="74A0C1A4" w14:textId="77777777">
      <w:pPr>
        <w:rPr>
          <w:rFonts w:ascii="Times New Roman" w:hAnsi="Times New Roman"/>
        </w:rPr>
      </w:pPr>
    </w:p>
    <w:p w:rsidR="007B6C63" w:rsidP="00A1019D" w14:paraId="5631B799" w14:textId="77777777">
      <w:pPr>
        <w:tabs>
          <w:tab w:val="left" w:pos="-1440"/>
        </w:tabs>
        <w:ind w:left="720" w:hanging="360"/>
        <w:rPr>
          <w:rFonts w:ascii="Times New Roman" w:hAnsi="Times New Roman"/>
        </w:rPr>
      </w:pPr>
      <w:r>
        <w:rPr>
          <w:rFonts w:ascii="Times New Roman" w:hAnsi="Times New Roman"/>
        </w:rPr>
        <w:t>14.</w:t>
      </w:r>
      <w:r>
        <w:rPr>
          <w:rFonts w:ascii="Times New Roman" w:hAnsi="Times New Roman"/>
        </w:rPr>
        <w:tab/>
      </w:r>
      <w:r w:rsidRPr="00A1019D" w:rsidR="00523B22">
        <w:rPr>
          <w:rFonts w:ascii="Times New Roman" w:hAnsi="Times New Roman"/>
          <w:b/>
          <w:bCs/>
          <w:iCs/>
          <w:u w:val="single"/>
        </w:rPr>
        <w:t>Estimate</w:t>
      </w:r>
      <w:r w:rsidRPr="00D64624" w:rsidR="00523B22">
        <w:rPr>
          <w:rFonts w:ascii="Times New Roman" w:hAnsi="Times New Roman"/>
          <w:b/>
          <w:bCs/>
          <w:iCs/>
          <w:szCs w:val="24"/>
          <w:u w:val="single"/>
        </w:rPr>
        <w:t xml:space="preserve"> of annualized costs to the government:</w:t>
      </w:r>
    </w:p>
    <w:p w:rsidR="007B6C63" w14:paraId="4C5D4EB5" w14:textId="77777777">
      <w:pPr>
        <w:ind w:firstLine="720"/>
        <w:rPr>
          <w:rFonts w:ascii="Times New Roman" w:hAnsi="Times New Roman"/>
        </w:rPr>
      </w:pPr>
    </w:p>
    <w:p w:rsidR="007B6C63" w:rsidP="000B0581" w14:paraId="32A165B3" w14:textId="77777777">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14:paraId="74C745BD" w14:textId="77777777">
      <w:pPr>
        <w:rPr>
          <w:rFonts w:ascii="Times New Roman" w:hAnsi="Times New Roman"/>
        </w:rPr>
      </w:pPr>
    </w:p>
    <w:p w:rsidR="007B6C63" w:rsidP="00B61AD2" w14:paraId="1BCB48F7" w14:textId="77777777">
      <w:pPr>
        <w:keepNext/>
        <w:tabs>
          <w:tab w:val="left" w:pos="-1440"/>
        </w:tabs>
        <w:ind w:left="720" w:hanging="360"/>
        <w:rPr>
          <w:rFonts w:ascii="Times New Roman" w:hAnsi="Times New Roman"/>
        </w:rPr>
      </w:pPr>
      <w:r>
        <w:rPr>
          <w:rFonts w:ascii="Times New Roman" w:hAnsi="Times New Roman"/>
        </w:rPr>
        <w:t>15.</w:t>
      </w:r>
      <w:r>
        <w:rPr>
          <w:rFonts w:ascii="Times New Roman" w:hAnsi="Times New Roman"/>
        </w:rPr>
        <w:tab/>
      </w:r>
      <w:r w:rsidRPr="000B0581" w:rsidR="00523B22">
        <w:rPr>
          <w:rFonts w:ascii="Times New Roman" w:hAnsi="Times New Roman"/>
          <w:b/>
          <w:bCs/>
          <w:iCs/>
          <w:u w:val="single"/>
        </w:rPr>
        <w:t>Analysis</w:t>
      </w:r>
      <w:r w:rsidRPr="000B0581" w:rsidR="00523B22">
        <w:rPr>
          <w:rFonts w:ascii="Times New Roman" w:hAnsi="Times New Roman"/>
          <w:b/>
          <w:bCs/>
          <w:iCs/>
          <w:szCs w:val="24"/>
          <w:u w:val="single"/>
        </w:rPr>
        <w:t xml:space="preserve"> </w:t>
      </w:r>
      <w:r w:rsidRPr="000B0581" w:rsidR="00523B22">
        <w:rPr>
          <w:rFonts w:ascii="Times New Roman" w:hAnsi="Times New Roman"/>
          <w:b/>
          <w:u w:val="single"/>
        </w:rPr>
        <w:t>of</w:t>
      </w:r>
      <w:r w:rsidRPr="000B0581" w:rsidR="00523B22">
        <w:rPr>
          <w:rFonts w:ascii="Times New Roman" w:hAnsi="Times New Roman"/>
          <w:b/>
          <w:bCs/>
          <w:iCs/>
          <w:szCs w:val="24"/>
          <w:u w:val="single"/>
        </w:rPr>
        <w:t xml:space="preserve"> change in burden:</w:t>
      </w:r>
    </w:p>
    <w:p w:rsidR="007B6C63" w:rsidP="00B61AD2" w14:paraId="60BAF562" w14:textId="77777777">
      <w:pPr>
        <w:keepNext/>
        <w:rPr>
          <w:rFonts w:ascii="Times New Roman" w:hAnsi="Times New Roman"/>
        </w:rPr>
      </w:pPr>
    </w:p>
    <w:p w:rsidR="007B6C63" w:rsidP="00BE5D5E" w14:paraId="7F649FA4" w14:textId="77777777">
      <w:pPr>
        <w:keepNext/>
        <w:ind w:left="720"/>
        <w:rPr>
          <w:rFonts w:ascii="Times New Roman" w:hAnsi="Times New Roman"/>
        </w:rPr>
      </w:pPr>
      <w:r>
        <w:rPr>
          <w:rFonts w:ascii="Times New Roman" w:hAnsi="Times New Roman"/>
        </w:rPr>
        <w:t xml:space="preserve">There is no change in the substance or methodology of this information collection. </w:t>
      </w:r>
      <w:r w:rsidR="00BE5D5E">
        <w:rPr>
          <w:rFonts w:ascii="Times New Roman" w:hAnsi="Times New Roman"/>
        </w:rPr>
        <w:t xml:space="preserve">Total estimated annual burden decreased </w:t>
      </w:r>
      <w:r w:rsidR="00BE5D5E">
        <w:rPr>
          <w:rFonts w:ascii="Times New Roman" w:hAnsi="Times New Roman"/>
          <w:lang w:bidi="en-US"/>
        </w:rPr>
        <w:t xml:space="preserve">671 hours from 7,011 hours in 2020 to 6,340 currently.  </w:t>
      </w:r>
      <w:r w:rsidR="00243D0C">
        <w:rPr>
          <w:rFonts w:ascii="Times New Roman" w:hAnsi="Times New Roman"/>
        </w:rPr>
        <w:t xml:space="preserve">The change in burden is due </w:t>
      </w:r>
      <w:r>
        <w:rPr>
          <w:rFonts w:ascii="Times New Roman" w:hAnsi="Times New Roman"/>
        </w:rPr>
        <w:t xml:space="preserve">solely </w:t>
      </w:r>
      <w:r w:rsidRPr="00BE5D5E" w:rsidR="00BE5D5E">
        <w:rPr>
          <w:rFonts w:ascii="Times New Roman" w:hAnsi="Times New Roman"/>
          <w:lang w:bidi="en-US"/>
        </w:rPr>
        <w:t>to the decrease in the number of IDIs from 2020 to</w:t>
      </w:r>
      <w:r w:rsidR="00BE5D5E">
        <w:rPr>
          <w:rFonts w:ascii="Times New Roman" w:hAnsi="Times New Roman"/>
          <w:lang w:bidi="en-US"/>
        </w:rPr>
        <w:t xml:space="preserve"> 2023</w:t>
      </w:r>
      <w:r w:rsidR="00BE5D5E">
        <w:rPr>
          <w:rFonts w:ascii="Times New Roman" w:hAnsi="Times New Roman"/>
          <w:snapToGrid/>
        </w:rPr>
        <w:t>.</w:t>
      </w:r>
    </w:p>
    <w:p w:rsidR="00D35001" w:rsidRPr="00A1019D" w:rsidP="00A1019D" w14:paraId="524D5E1F" w14:textId="77777777">
      <w:pPr>
        <w:tabs>
          <w:tab w:val="left" w:pos="-1440"/>
        </w:tabs>
        <w:ind w:left="720" w:hanging="360"/>
        <w:rPr>
          <w:rFonts w:ascii="Times New Roman" w:hAnsi="Times New Roman"/>
          <w:b/>
          <w:bCs/>
          <w:iCs/>
          <w:u w:val="single"/>
        </w:rPr>
      </w:pPr>
    </w:p>
    <w:p w:rsidR="00937218" w:rsidRPr="00D64624" w:rsidP="00A1019D" w14:paraId="7D20BBBA" w14:textId="77777777">
      <w:pPr>
        <w:tabs>
          <w:tab w:val="left" w:pos="-1440"/>
        </w:tabs>
        <w:ind w:left="720" w:hanging="360"/>
        <w:rPr>
          <w:rFonts w:ascii="Times New Roman" w:hAnsi="Times New Roman"/>
          <w:b/>
          <w:szCs w:val="24"/>
          <w:u w:val="single"/>
        </w:rPr>
      </w:pPr>
      <w:r>
        <w:rPr>
          <w:rFonts w:ascii="Times New Roman" w:hAnsi="Times New Roman"/>
        </w:rPr>
        <w:t>16.</w:t>
      </w:r>
      <w:r>
        <w:rPr>
          <w:rFonts w:ascii="Times New Roman" w:hAnsi="Times New Roman"/>
        </w:rPr>
        <w:tab/>
      </w:r>
      <w:r w:rsidRPr="00A1019D">
        <w:rPr>
          <w:rFonts w:ascii="Times New Roman" w:hAnsi="Times New Roman"/>
          <w:b/>
          <w:bCs/>
          <w:iCs/>
          <w:u w:val="single"/>
        </w:rPr>
        <w:t>Information</w:t>
      </w:r>
      <w:r w:rsidRPr="00D64624">
        <w:rPr>
          <w:rFonts w:ascii="Times New Roman" w:hAnsi="Times New Roman"/>
          <w:b/>
          <w:szCs w:val="24"/>
          <w:u w:val="single"/>
        </w:rPr>
        <w:t xml:space="preserve"> regarding collections whose results are planned to be published for statistical use:</w:t>
      </w:r>
    </w:p>
    <w:p w:rsidR="007B6C63" w14:paraId="6BCEC10F" w14:textId="77777777">
      <w:pPr>
        <w:rPr>
          <w:rFonts w:ascii="Times New Roman" w:hAnsi="Times New Roman"/>
        </w:rPr>
      </w:pPr>
    </w:p>
    <w:p w:rsidR="007B6C63" w:rsidP="000B0581" w14:paraId="75D14B44" w14:textId="77777777">
      <w:pPr>
        <w:ind w:left="720"/>
        <w:rPr>
          <w:rFonts w:ascii="Times New Roman" w:hAnsi="Times New Roman"/>
        </w:rPr>
      </w:pPr>
      <w:r>
        <w:rPr>
          <w:rFonts w:ascii="Times New Roman" w:hAnsi="Times New Roman"/>
        </w:rPr>
        <w:t>The information collected is for internal FDIC use only and is not published.  Aggregate assessment information is published in financial reports.</w:t>
      </w:r>
    </w:p>
    <w:p w:rsidR="007B6C63" w14:paraId="7941626A" w14:textId="77777777">
      <w:pPr>
        <w:rPr>
          <w:rFonts w:ascii="Times New Roman" w:hAnsi="Times New Roman"/>
        </w:rPr>
      </w:pPr>
    </w:p>
    <w:p w:rsidR="007B6C63" w:rsidP="00A1019D" w14:paraId="5C69804E" w14:textId="77777777">
      <w:pPr>
        <w:tabs>
          <w:tab w:val="left" w:pos="-1440"/>
        </w:tabs>
        <w:ind w:left="720" w:hanging="360"/>
        <w:rPr>
          <w:rFonts w:ascii="Times New Roman" w:hAnsi="Times New Roman"/>
        </w:rPr>
      </w:pPr>
      <w:r>
        <w:rPr>
          <w:rFonts w:ascii="Times New Roman" w:hAnsi="Times New Roman"/>
        </w:rPr>
        <w:t>17.</w:t>
      </w:r>
      <w:r>
        <w:rPr>
          <w:rFonts w:ascii="Times New Roman" w:hAnsi="Times New Roman"/>
        </w:rPr>
        <w:tab/>
      </w:r>
      <w:r w:rsidRPr="00A1019D" w:rsidR="00937218">
        <w:rPr>
          <w:rFonts w:ascii="Times New Roman" w:hAnsi="Times New Roman"/>
          <w:b/>
          <w:bCs/>
          <w:iCs/>
          <w:u w:val="single"/>
        </w:rPr>
        <w:t>Display</w:t>
      </w:r>
      <w:r w:rsidRPr="00937218" w:rsidR="00937218">
        <w:rPr>
          <w:rFonts w:ascii="Times New Roman" w:hAnsi="Times New Roman"/>
          <w:b/>
          <w:u w:val="single"/>
        </w:rPr>
        <w:t xml:space="preserve"> of expiration d</w:t>
      </w:r>
      <w:r w:rsidRPr="00937218">
        <w:rPr>
          <w:rFonts w:ascii="Times New Roman" w:hAnsi="Times New Roman"/>
          <w:b/>
          <w:u w:val="single"/>
        </w:rPr>
        <w:t>ate</w:t>
      </w:r>
      <w:r w:rsidRPr="00937218" w:rsidR="00937218">
        <w:rPr>
          <w:rFonts w:ascii="Times New Roman" w:hAnsi="Times New Roman"/>
          <w:b/>
          <w:u w:val="single"/>
        </w:rPr>
        <w:t>:</w:t>
      </w:r>
    </w:p>
    <w:p w:rsidR="007B6C63" w14:paraId="566C1DA8" w14:textId="77777777">
      <w:pPr>
        <w:rPr>
          <w:rFonts w:ascii="Times New Roman" w:hAnsi="Times New Roman"/>
        </w:rPr>
      </w:pPr>
    </w:p>
    <w:p w:rsidR="007B6C63" w:rsidP="000B0581" w14:paraId="0CBA9066" w14:textId="77777777">
      <w:pPr>
        <w:ind w:left="720"/>
        <w:rPr>
          <w:rFonts w:ascii="Times New Roman" w:hAnsi="Times New Roman"/>
        </w:rPr>
      </w:pPr>
      <w:r w:rsidRPr="00D64624">
        <w:rPr>
          <w:rFonts w:ascii="Times New Roman" w:hAnsi="Times New Roman"/>
          <w:szCs w:val="24"/>
        </w:rPr>
        <w:t xml:space="preserve">Not applicable.  </w:t>
      </w:r>
      <w:r>
        <w:rPr>
          <w:rFonts w:ascii="Times New Roman" w:hAnsi="Times New Roman"/>
          <w:szCs w:val="24"/>
        </w:rPr>
        <w:t xml:space="preserve">The FDIC does not seek approval to not display the expiration date for </w:t>
      </w:r>
      <w:r w:rsidRPr="000B0581">
        <w:rPr>
          <w:rFonts w:ascii="Times New Roman" w:hAnsi="Times New Roman"/>
        </w:rPr>
        <w:t>OMB</w:t>
      </w:r>
      <w:r>
        <w:rPr>
          <w:rFonts w:ascii="Times New Roman" w:hAnsi="Times New Roman"/>
          <w:szCs w:val="24"/>
        </w:rPr>
        <w:t xml:space="preserve"> approval for the information collection.  </w:t>
      </w:r>
      <w:r w:rsidRPr="006D69AE">
        <w:rPr>
          <w:rFonts w:ascii="Times New Roman" w:hAnsi="Times New Roman"/>
        </w:rPr>
        <w:t xml:space="preserve">The OMB control number and expiration date will be displayed on the </w:t>
      </w:r>
      <w:r w:rsidR="00655078">
        <w:rPr>
          <w:rFonts w:ascii="Times New Roman" w:hAnsi="Times New Roman"/>
        </w:rPr>
        <w:t>Quarterly Certified Statement Invoice for Deposit Insurance Assessment form</w:t>
      </w:r>
      <w:r>
        <w:rPr>
          <w:rFonts w:ascii="Times New Roman" w:hAnsi="Times New Roman"/>
        </w:rPr>
        <w:t xml:space="preserve"> (FDIC Form 6420/07). </w:t>
      </w:r>
    </w:p>
    <w:p w:rsidR="007B6C63" w14:paraId="6C424EC7" w14:textId="77777777">
      <w:pPr>
        <w:rPr>
          <w:rFonts w:ascii="Times New Roman" w:hAnsi="Times New Roman"/>
        </w:rPr>
      </w:pPr>
    </w:p>
    <w:p w:rsidR="007B6C63" w:rsidP="00A1019D" w14:paraId="46D50B33" w14:textId="77777777">
      <w:pPr>
        <w:tabs>
          <w:tab w:val="left" w:pos="-1440"/>
        </w:tabs>
        <w:ind w:left="720" w:hanging="360"/>
        <w:rPr>
          <w:rFonts w:ascii="Times New Roman" w:hAnsi="Times New Roman"/>
        </w:rPr>
      </w:pPr>
      <w:r>
        <w:rPr>
          <w:rFonts w:ascii="Times New Roman" w:hAnsi="Times New Roman"/>
        </w:rPr>
        <w:t>18.</w:t>
      </w:r>
      <w:r>
        <w:rPr>
          <w:rFonts w:ascii="Times New Roman" w:hAnsi="Times New Roman"/>
        </w:rPr>
        <w:tab/>
      </w:r>
      <w:r w:rsidRPr="00A1019D" w:rsidR="00937218">
        <w:rPr>
          <w:rFonts w:ascii="Times New Roman" w:hAnsi="Times New Roman"/>
          <w:b/>
          <w:bCs/>
          <w:iCs/>
          <w:u w:val="single"/>
        </w:rPr>
        <w:t>Exceptions</w:t>
      </w:r>
      <w:r w:rsidRPr="00937218" w:rsidR="00937218">
        <w:rPr>
          <w:rFonts w:ascii="Times New Roman" w:hAnsi="Times New Roman"/>
          <w:b/>
          <w:u w:val="single"/>
        </w:rPr>
        <w:t xml:space="preserve"> to c</w:t>
      </w:r>
      <w:r w:rsidRPr="00937218">
        <w:rPr>
          <w:rFonts w:ascii="Times New Roman" w:hAnsi="Times New Roman"/>
          <w:b/>
          <w:u w:val="single"/>
        </w:rPr>
        <w:t>ertification</w:t>
      </w:r>
      <w:r w:rsidRPr="00937218" w:rsidR="00937218">
        <w:rPr>
          <w:rFonts w:ascii="Times New Roman" w:hAnsi="Times New Roman"/>
          <w:b/>
          <w:u w:val="single"/>
        </w:rPr>
        <w:t>:</w:t>
      </w:r>
    </w:p>
    <w:p w:rsidR="007B6C63" w:rsidP="00FC41DF" w14:paraId="761B745F" w14:textId="77777777">
      <w:pPr>
        <w:tabs>
          <w:tab w:val="left" w:pos="-1440"/>
        </w:tabs>
        <w:ind w:firstLine="360"/>
        <w:rPr>
          <w:rFonts w:ascii="Times New Roman" w:hAnsi="Times New Roman"/>
        </w:rPr>
      </w:pPr>
    </w:p>
    <w:p w:rsidR="007B6C63" w:rsidP="000B0581" w14:paraId="164C6058" w14:textId="77777777">
      <w:pPr>
        <w:ind w:left="720"/>
        <w:rPr>
          <w:rFonts w:ascii="Times New Roman" w:hAnsi="Times New Roman"/>
        </w:rPr>
      </w:pPr>
      <w:r w:rsidRPr="000B0581">
        <w:rPr>
          <w:rFonts w:ascii="Times New Roman" w:hAnsi="Times New Roman"/>
          <w:szCs w:val="24"/>
        </w:rPr>
        <w:t>None</w:t>
      </w:r>
      <w:r>
        <w:rPr>
          <w:rFonts w:ascii="Times New Roman" w:hAnsi="Times New Roman"/>
        </w:rPr>
        <w:t>.</w:t>
      </w:r>
    </w:p>
    <w:p w:rsidR="007B6C63" w:rsidP="000B0581" w14:paraId="0B18BEF4" w14:textId="77777777">
      <w:pPr>
        <w:ind w:left="720"/>
        <w:rPr>
          <w:rFonts w:ascii="Times New Roman" w:hAnsi="Times New Roman"/>
        </w:rPr>
      </w:pPr>
    </w:p>
    <w:p w:rsidR="007B6C63" w14:paraId="4F6245D8" w14:textId="77777777">
      <w:pPr>
        <w:tabs>
          <w:tab w:val="left" w:pos="-1440"/>
        </w:tabs>
        <w:rPr>
          <w:rFonts w:ascii="Times New Roman" w:hAnsi="Times New Roman"/>
        </w:rPr>
      </w:pPr>
      <w:r>
        <w:rPr>
          <w:rFonts w:ascii="Times New Roman" w:hAnsi="Times New Roman"/>
        </w:rPr>
        <w:t>B.</w:t>
      </w:r>
      <w:r>
        <w:rPr>
          <w:rFonts w:ascii="Times New Roman" w:hAnsi="Times New Roman"/>
        </w:rPr>
        <w:tab/>
      </w:r>
      <w:r w:rsidR="00937218">
        <w:rPr>
          <w:rFonts w:ascii="Times New Roman" w:hAnsi="Times New Roman"/>
          <w:b/>
          <w:szCs w:val="24"/>
        </w:rPr>
        <w:t>COLLECTION OF INFORMATION EMPLOYING STATISTICAL METHODS</w:t>
      </w:r>
    </w:p>
    <w:p w:rsidR="007B6C63" w14:paraId="081E59F2" w14:textId="77777777">
      <w:pPr>
        <w:rPr>
          <w:rFonts w:ascii="Times New Roman" w:hAnsi="Times New Roman"/>
        </w:rPr>
      </w:pPr>
    </w:p>
    <w:p w:rsidR="007B6C63" w:rsidP="000B0581" w14:paraId="0F6D50AA" w14:textId="77777777">
      <w:pPr>
        <w:ind w:left="720"/>
        <w:rPr>
          <w:rFonts w:ascii="Times New Roman" w:hAnsi="Times New Roman"/>
        </w:rPr>
      </w:pPr>
      <w:r>
        <w:rPr>
          <w:rFonts w:ascii="Times New Roman" w:hAnsi="Times New Roman"/>
        </w:rPr>
        <w:t>Not applicable.</w:t>
      </w:r>
    </w:p>
    <w:p w:rsidR="007B6C63" w14:paraId="6FBC42A0" w14:textId="77777777">
      <w:pPr>
        <w:rPr>
          <w:rFonts w:ascii="Times New Roman" w:hAnsi="Times New Roman"/>
        </w:rPr>
      </w:pPr>
    </w:p>
    <w:p w:rsidR="007B6C63" w14:paraId="2454EF29" w14:textId="77777777">
      <w:pPr>
        <w:rPr>
          <w:rFonts w:ascii="Times New Roman" w:hAnsi="Times New Roman"/>
        </w:rPr>
      </w:pPr>
    </w:p>
    <w:sectPr>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6DC2" w14:paraId="172CB2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C63" w14:paraId="32FACF4C" w14:textId="77777777">
    <w:pPr>
      <w:spacing w:line="240" w:lineRule="exact"/>
    </w:pPr>
  </w:p>
  <w:p w:rsidR="007B6C63" w14:paraId="5AEF6030" w14:textId="60C47E12">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A04C87">
      <w:rPr>
        <w:rFonts w:ascii="Times New Roman" w:hAnsi="Times New Roman"/>
        <w:noProof/>
      </w:rPr>
      <w:t>5</w:t>
    </w:r>
    <w:r>
      <w:rPr>
        <w:rFonts w:ascii="Times New Roman" w:hAnsi="Times New Roman"/>
      </w:rPr>
      <w:fldChar w:fldCharType="end"/>
    </w:r>
  </w:p>
  <w:p w:rsidR="007B6C63" w14:paraId="2C49F98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6DC2" w14:paraId="2616CC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91CE6" w14:paraId="4AA19C1D" w14:textId="77777777">
      <w:r>
        <w:separator/>
      </w:r>
    </w:p>
  </w:footnote>
  <w:footnote w:type="continuationSeparator" w:id="1">
    <w:p w:rsidR="00E91CE6" w14:paraId="49BC2738" w14:textId="77777777">
      <w:r>
        <w:continuationSeparator/>
      </w:r>
    </w:p>
  </w:footnote>
  <w:footnote w:id="2">
    <w:p w:rsidR="006B18B4" w:rsidRPr="0008222A" w:rsidP="006B18B4" w14:paraId="0A565B07" w14:textId="77777777">
      <w:pPr>
        <w:pStyle w:val="FootnoteText"/>
        <w:rPr>
          <w:rFonts w:ascii="Times New Roman" w:hAnsi="Times New Roman"/>
        </w:rPr>
      </w:pPr>
      <w:r w:rsidRPr="0008222A">
        <w:rPr>
          <w:rStyle w:val="FootnoteReference"/>
          <w:rFonts w:ascii="Times New Roman" w:hAnsi="Times New Roman"/>
          <w:vertAlign w:val="superscript"/>
        </w:rPr>
        <w:footnoteRef/>
      </w:r>
      <w:r w:rsidRPr="0008222A">
        <w:rPr>
          <w:rFonts w:ascii="Times New Roman" w:hAnsi="Times New Roman"/>
          <w:vertAlign w:val="superscript"/>
        </w:rPr>
        <w:t xml:space="preserve"> </w:t>
      </w:r>
      <w:r w:rsidRPr="0008222A">
        <w:rPr>
          <w:rFonts w:ascii="Times New Roman" w:hAnsi="Times New Roman"/>
        </w:rPr>
        <w:t xml:space="preserve"> FDIC Call Report Data, September 30, 2022.</w:t>
      </w:r>
    </w:p>
  </w:footnote>
  <w:footnote w:id="3">
    <w:p w:rsidR="006B18B4" w:rsidRPr="0008222A" w:rsidP="006B18B4" w14:paraId="2DEEE067" w14:textId="77777777">
      <w:pPr>
        <w:pStyle w:val="FootnoteText"/>
        <w:rPr>
          <w:rFonts w:ascii="Times New Roman" w:hAnsi="Times New Roman"/>
        </w:rPr>
      </w:pPr>
      <w:r w:rsidRPr="0008222A">
        <w:rPr>
          <w:rStyle w:val="FootnoteReference"/>
          <w:rFonts w:ascii="Times New Roman" w:hAnsi="Times New Roman"/>
          <w:vertAlign w:val="superscript"/>
        </w:rPr>
        <w:footnoteRef/>
      </w:r>
      <w:r w:rsidRPr="0008222A">
        <w:rPr>
          <w:rFonts w:ascii="Times New Roman" w:hAnsi="Times New Roman"/>
          <w:vertAlign w:val="superscript"/>
        </w:rPr>
        <w:t xml:space="preserve"> </w:t>
      </w:r>
      <w:r w:rsidRPr="0008222A">
        <w:rPr>
          <w:rFonts w:ascii="Times New Roman" w:hAnsi="Times New Roman"/>
        </w:rPr>
        <w:t xml:space="preserve"> </w:t>
      </w:r>
      <w:r w:rsidRPr="0008222A">
        <w:rPr>
          <w:rFonts w:ascii="Times New Roman" w:hAnsi="Times New Roman"/>
          <w:color w:val="000000"/>
        </w:rPr>
        <w:t xml:space="preserve">The SBA defines a small banking organization as having $850 million or less in assets, where an organization's “assets are determined by averaging the assets reported on its four quarterly financial statements for the preceding year.” See 13 CFR 121.201 (as amended by 87 FR 69118, effective December 19, 2022). In its determination, the “SBA counts the receipts, employees, or other measure of size of the concern whose size is at issue and all of its domestic and foreign affiliates.” See 13 CFR 121.103. Following these regulations, the FDIC uses </w:t>
      </w:r>
      <w:r w:rsidRPr="0008222A" w:rsidR="00855D2C">
        <w:rPr>
          <w:rFonts w:ascii="Times New Roman" w:hAnsi="Times New Roman"/>
          <w:color w:val="000000"/>
        </w:rPr>
        <w:t>an</w:t>
      </w:r>
      <w:r w:rsidRPr="0008222A">
        <w:rPr>
          <w:rFonts w:ascii="Times New Roman" w:hAnsi="Times New Roman"/>
          <w:color w:val="000000"/>
        </w:rPr>
        <w:t xml:space="preserve"> IDI’s affiliated and acquired assets, averaged over the preceding four quarters, to determine whether the IDI is “small” for the purposes of the RFA.​</w:t>
      </w:r>
    </w:p>
  </w:footnote>
  <w:footnote w:id="4">
    <w:p w:rsidR="006B18B4" w:rsidRPr="0008222A" w:rsidP="006B18B4" w14:paraId="4023A67C" w14:textId="77777777">
      <w:pPr>
        <w:pStyle w:val="FootnoteText"/>
        <w:rPr>
          <w:rFonts w:ascii="Times New Roman" w:hAnsi="Times New Roman"/>
        </w:rPr>
      </w:pPr>
      <w:r w:rsidRPr="0008222A">
        <w:rPr>
          <w:rStyle w:val="FootnoteReference"/>
          <w:rFonts w:ascii="Times New Roman" w:hAnsi="Times New Roman"/>
          <w:vertAlign w:val="superscript"/>
        </w:rPr>
        <w:footnoteRef/>
      </w:r>
      <w:r w:rsidRPr="0008222A">
        <w:rPr>
          <w:rFonts w:ascii="Times New Roman" w:hAnsi="Times New Roman"/>
          <w:vertAlign w:val="superscript"/>
        </w:rPr>
        <w:t xml:space="preserve"> </w:t>
      </w:r>
      <w:r w:rsidRPr="0008222A">
        <w:rPr>
          <w:rFonts w:ascii="Times New Roman" w:hAnsi="Times New Roman"/>
        </w:rPr>
        <w:t>The BLS reports that the 75th percentile wage rate of Legal Occupations (SOC Code 230000) in the Credit Intermediation and Related Activities Sector as of May 2021 is higher than the maximum survey response of $100 per hour. As such, I use $100 per hour as a placeholder estimate. The placeholder may underestimate the cost of complying with this ICR.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6DC2" w14:paraId="3F9A511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6DC2" w14:paraId="4B49D13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6DC2" w14:paraId="73CD49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623CFC"/>
    <w:multiLevelType w:val="hybridMultilevel"/>
    <w:tmpl w:val="2FF4FEAA"/>
    <w:lvl w:ilvl="0">
      <w:start w:val="16"/>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BA5A7B"/>
    <w:multiLevelType w:val="hybridMultilevel"/>
    <w:tmpl w:val="4F6C3130"/>
    <w:lvl w:ilvl="0">
      <w:start w:val="1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788721FE"/>
    <w:multiLevelType w:val="singleLevel"/>
    <w:tmpl w:val="6F94DAD4"/>
    <w:lvl w:ilvl="0">
      <w:start w:val="3"/>
      <w:numFmt w:val="decimal"/>
      <w:lvlText w:val="%1."/>
      <w:lvlJc w:val="left"/>
      <w:pPr>
        <w:tabs>
          <w:tab w:val="num" w:pos="720"/>
        </w:tabs>
        <w:ind w:left="720" w:hanging="72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F79"/>
    <w:rsid w:val="000002C9"/>
    <w:rsid w:val="0008222A"/>
    <w:rsid w:val="000855E4"/>
    <w:rsid w:val="00093D0F"/>
    <w:rsid w:val="000B0581"/>
    <w:rsid w:val="000C4F75"/>
    <w:rsid w:val="00151C75"/>
    <w:rsid w:val="00175893"/>
    <w:rsid w:val="00177720"/>
    <w:rsid w:val="001778A3"/>
    <w:rsid w:val="001D78D3"/>
    <w:rsid w:val="00217B22"/>
    <w:rsid w:val="00243D0C"/>
    <w:rsid w:val="002A35F4"/>
    <w:rsid w:val="002A5F6B"/>
    <w:rsid w:val="002B1AFA"/>
    <w:rsid w:val="002F26D8"/>
    <w:rsid w:val="003514D6"/>
    <w:rsid w:val="00386C94"/>
    <w:rsid w:val="003B3219"/>
    <w:rsid w:val="003E3404"/>
    <w:rsid w:val="003E5901"/>
    <w:rsid w:val="003F2FF8"/>
    <w:rsid w:val="00435A15"/>
    <w:rsid w:val="00454007"/>
    <w:rsid w:val="0048245A"/>
    <w:rsid w:val="004C5B45"/>
    <w:rsid w:val="00523B22"/>
    <w:rsid w:val="005B79C4"/>
    <w:rsid w:val="005C5B63"/>
    <w:rsid w:val="005E62DB"/>
    <w:rsid w:val="00615BAD"/>
    <w:rsid w:val="00633585"/>
    <w:rsid w:val="0063734B"/>
    <w:rsid w:val="00653821"/>
    <w:rsid w:val="00655078"/>
    <w:rsid w:val="00686F68"/>
    <w:rsid w:val="006B0048"/>
    <w:rsid w:val="006B18B4"/>
    <w:rsid w:val="006D69AE"/>
    <w:rsid w:val="00747C61"/>
    <w:rsid w:val="007562B8"/>
    <w:rsid w:val="007B6C63"/>
    <w:rsid w:val="007C46E4"/>
    <w:rsid w:val="0080546E"/>
    <w:rsid w:val="00820F79"/>
    <w:rsid w:val="00844536"/>
    <w:rsid w:val="00855D2C"/>
    <w:rsid w:val="00866DB2"/>
    <w:rsid w:val="00881712"/>
    <w:rsid w:val="008B2102"/>
    <w:rsid w:val="00937218"/>
    <w:rsid w:val="009B62D9"/>
    <w:rsid w:val="009B7A15"/>
    <w:rsid w:val="009C2BFF"/>
    <w:rsid w:val="00A04C87"/>
    <w:rsid w:val="00A1019D"/>
    <w:rsid w:val="00A26153"/>
    <w:rsid w:val="00A81BD7"/>
    <w:rsid w:val="00B11EC6"/>
    <w:rsid w:val="00B17BBF"/>
    <w:rsid w:val="00B61AD2"/>
    <w:rsid w:val="00BD64F8"/>
    <w:rsid w:val="00BE5D5E"/>
    <w:rsid w:val="00C14D80"/>
    <w:rsid w:val="00C750AB"/>
    <w:rsid w:val="00C8275D"/>
    <w:rsid w:val="00CB2ED5"/>
    <w:rsid w:val="00CC7A55"/>
    <w:rsid w:val="00CE498C"/>
    <w:rsid w:val="00D0274E"/>
    <w:rsid w:val="00D1720C"/>
    <w:rsid w:val="00D35001"/>
    <w:rsid w:val="00D50914"/>
    <w:rsid w:val="00D55074"/>
    <w:rsid w:val="00D64624"/>
    <w:rsid w:val="00D804A5"/>
    <w:rsid w:val="00DD29EA"/>
    <w:rsid w:val="00DE2D0B"/>
    <w:rsid w:val="00E91CE6"/>
    <w:rsid w:val="00F04445"/>
    <w:rsid w:val="00F34CBE"/>
    <w:rsid w:val="00F8783F"/>
    <w:rsid w:val="00F9430B"/>
    <w:rsid w:val="00F96DC2"/>
    <w:rsid w:val="00FC41DF"/>
    <w:rsid w:val="00FC69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798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Style 16,Style 19,Style 35,fr"/>
    <w:uiPriority w:val="99"/>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unhideWhenUsed/>
    <w:qFormat/>
    <w:rsid w:val="00386C94"/>
    <w:pPr>
      <w:widowControl/>
    </w:pPr>
    <w:rPr>
      <w:rFonts w:ascii="Arial Narrow" w:hAnsi="Arial Narrow"/>
      <w:snapToGrid/>
      <w:u w:val="single"/>
    </w:rPr>
  </w:style>
  <w:style w:type="character" w:customStyle="1" w:styleId="BodyTextChar">
    <w:name w:val="Body Text Char"/>
    <w:link w:val="BodyText"/>
    <w:rsid w:val="00386C94"/>
    <w:rPr>
      <w:rFonts w:ascii="Arial Narrow" w:hAnsi="Arial Narrow"/>
      <w:sz w:val="24"/>
      <w:u w:val="single"/>
    </w:rPr>
  </w:style>
  <w:style w:type="paragraph" w:styleId="FootnoteText">
    <w:name w:val="footnote text"/>
    <w:aliases w:val="ALTS FOOTNOTE,Car,Footnote Text Char Char,Footnote Text Char Char Char Char,Footnote Text Char Char Char Char Char Char Char Char Char Char Char Char Char Char Char Char Char,Footnote Text Char1 Char Char,Style 15,fn,ft"/>
    <w:basedOn w:val="Normal"/>
    <w:link w:val="FootnoteTextChar"/>
    <w:uiPriority w:val="99"/>
    <w:rsid w:val="00881712"/>
    <w:pPr>
      <w:autoSpaceDE w:val="0"/>
      <w:autoSpaceDN w:val="0"/>
      <w:adjustRightInd w:val="0"/>
    </w:pPr>
    <w:rPr>
      <w:rFonts w:ascii="CourierPS" w:hAnsi="CourierPS"/>
      <w:snapToGrid/>
      <w:sz w:val="20"/>
    </w:rPr>
  </w:style>
  <w:style w:type="character" w:customStyle="1" w:styleId="FootnoteTextChar">
    <w:name w:val="Footnote Text Char"/>
    <w:aliases w:val="Car Char,Footnote Text Char Char Char,Footnote Text Char Char Char Char Char,Footnote Text Char Char Char Char Char Char Char Char Char Char Char Char Char Char Char Char Char Char,Footnote Text Char1 Char Char Char,fn Char,ft Char"/>
    <w:link w:val="FootnoteText"/>
    <w:uiPriority w:val="99"/>
    <w:rsid w:val="00881712"/>
    <w:rPr>
      <w:rFonts w:ascii="CourierPS" w:hAnsi="CourierPS"/>
    </w:rPr>
  </w:style>
  <w:style w:type="character" w:styleId="Hyperlink">
    <w:name w:val="Hyperlink"/>
    <w:uiPriority w:val="99"/>
    <w:unhideWhenUsed/>
    <w:rsid w:val="00881712"/>
    <w:rPr>
      <w:color w:val="0000FF"/>
      <w:u w:val="single"/>
    </w:rPr>
  </w:style>
  <w:style w:type="table" w:styleId="TableGrid">
    <w:name w:val="Table Grid"/>
    <w:basedOn w:val="TableNormal"/>
    <w:uiPriority w:val="39"/>
    <w:rsid w:val="002A5F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B3CD2F64D9D48BC412B08629DE2CD" ma:contentTypeVersion="11" ma:contentTypeDescription="Create a new document." ma:contentTypeScope="" ma:versionID="30246953b058d74c66378dd7d0226bf4">
  <xsd:schema xmlns:xsd="http://www.w3.org/2001/XMLSchema" xmlns:xs="http://www.w3.org/2001/XMLSchema" xmlns:p="http://schemas.microsoft.com/office/2006/metadata/properties" xmlns:ns3="8ecf3cf1-193c-4267-b4c5-a65e2ab4bcf0" xmlns:ns4="847f5849-349c-4ddb-9561-aeb300bf2281" targetNamespace="http://schemas.microsoft.com/office/2006/metadata/properties" ma:root="true" ma:fieldsID="a7200fc0d332ec3973c5c8c37078d3f3" ns3:_="" ns4:_="">
    <xsd:import namespace="8ecf3cf1-193c-4267-b4c5-a65e2ab4bcf0"/>
    <xsd:import namespace="847f5849-349c-4ddb-9561-aeb300bf22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f3cf1-193c-4267-b4c5-a65e2ab4bc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7f5849-349c-4ddb-9561-aeb300bf22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47f5849-349c-4ddb-9561-aeb300bf22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8DC0-0076-429B-8EB8-D79B0AF0AECF}">
  <ds:schemaRefs>
    <ds:schemaRef ds:uri="http://schemas.microsoft.com/sharepoint/v3/contenttype/forms"/>
  </ds:schemaRefs>
</ds:datastoreItem>
</file>

<file path=customXml/itemProps2.xml><?xml version="1.0" encoding="utf-8"?>
<ds:datastoreItem xmlns:ds="http://schemas.openxmlformats.org/officeDocument/2006/customXml" ds:itemID="{9D62BC92-FEFB-4C65-A417-34B9F1028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f3cf1-193c-4267-b4c5-a65e2ab4bcf0"/>
    <ds:schemaRef ds:uri="847f5849-349c-4ddb-9561-aeb300bf2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F5884-BED8-4990-B061-3222ED28302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8ecf3cf1-193c-4267-b4c5-a65e2ab4bcf0"/>
    <ds:schemaRef ds:uri="847f5849-349c-4ddb-9561-aeb300bf2281"/>
    <ds:schemaRef ds:uri="http://www.w3.org/XML/1998/namespace"/>
    <ds:schemaRef ds:uri="http://purl.org/dc/elements/1.1/"/>
  </ds:schemaRefs>
</ds:datastoreItem>
</file>

<file path=customXml/itemProps4.xml><?xml version="1.0" encoding="utf-8"?>
<ds:datastoreItem xmlns:ds="http://schemas.openxmlformats.org/officeDocument/2006/customXml" ds:itemID="{FA0372B7-E74A-4016-9191-E95FF500B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1870</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2023-07-11T19:25:00Z</dcterms:created>
  <dcterms:modified xsi:type="dcterms:W3CDTF">2023-07-11T19:25:00Z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0x010100ABBB3CD2F64D9D48BC412B08629DE2CD</vt:lpwstr>
  </property>
  <property fmtid="{D5CDD505-2E9C-101B-9397-08002B2CF9AE}" pid="3" name="MSIP_Label_3be8ab8c-433c-4394-a4fb-cd2d5c4d0a5e_ActionId">
    <vt:lpwstr>7b51f803-f808-4659-866d-c13391a39662</vt:lpwstr>
  </property>
  <property fmtid="{D5CDD505-2E9C-101B-9397-08002B2CF9AE}" pid="4" name="MSIP_Label_3be8ab8c-433c-4394-a4fb-cd2d5c4d0a5e_ContentBits">
    <vt:lpwstr>0</vt:lpwstr>
  </property>
  <property fmtid="{D5CDD505-2E9C-101B-9397-08002B2CF9AE}" pid="5" name="MSIP_Label_3be8ab8c-433c-4394-a4fb-cd2d5c4d0a5e_Enabled">
    <vt:lpwstr>true</vt:lpwstr>
  </property>
  <property fmtid="{D5CDD505-2E9C-101B-9397-08002B2CF9AE}" pid="6" name="MSIP_Label_3be8ab8c-433c-4394-a4fb-cd2d5c4d0a5e_Method">
    <vt:lpwstr>Privileged</vt:lpwstr>
  </property>
  <property fmtid="{D5CDD505-2E9C-101B-9397-08002B2CF9AE}" pid="7" name="MSIP_Label_3be8ab8c-433c-4394-a4fb-cd2d5c4d0a5e_Name">
    <vt:lpwstr>None</vt:lpwstr>
  </property>
  <property fmtid="{D5CDD505-2E9C-101B-9397-08002B2CF9AE}" pid="8" name="MSIP_Label_3be8ab8c-433c-4394-a4fb-cd2d5c4d0a5e_SetDate">
    <vt:lpwstr>2023-07-11T18:36:14Z</vt:lpwstr>
  </property>
  <property fmtid="{D5CDD505-2E9C-101B-9397-08002B2CF9AE}" pid="9" name="MSIP_Label_3be8ab8c-433c-4394-a4fb-cd2d5c4d0a5e_SiteId">
    <vt:lpwstr>26c83bc9-31c1-4d77-a523-0816095aba31</vt:lpwstr>
  </property>
</Properties>
</file>