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71CB3" w:rsidRPr="0026636D" w:rsidP="00301A19" w14:paraId="4525C532" w14:textId="74E45A97">
      <w:pPr>
        <w:widowControl w:val="0"/>
        <w:tabs>
          <w:tab w:val="center" w:pos="4680"/>
        </w:tabs>
        <w:jc w:val="center"/>
        <w:rPr>
          <w:rFonts w:ascii="Arial" w:hAnsi="Arial"/>
          <w:sz w:val="22"/>
        </w:rPr>
      </w:pPr>
      <w:r>
        <w:rPr>
          <w:rFonts w:ascii="Arial" w:hAnsi="Arial"/>
          <w:sz w:val="22"/>
        </w:rPr>
        <w:t>FINAL</w:t>
      </w:r>
      <w:r w:rsidR="00417CEE">
        <w:rPr>
          <w:rFonts w:ascii="Arial" w:hAnsi="Arial"/>
          <w:sz w:val="22"/>
        </w:rPr>
        <w:t xml:space="preserve"> </w:t>
      </w:r>
      <w:r w:rsidRPr="0026636D">
        <w:rPr>
          <w:rFonts w:ascii="Arial" w:hAnsi="Arial"/>
          <w:sz w:val="22"/>
        </w:rPr>
        <w:t>SUPPORTING STATEMENT FOR</w:t>
      </w:r>
    </w:p>
    <w:p w:rsidR="00101487" w:rsidP="001414F8" w14:paraId="6C6ECC88" w14:textId="33E92BD4">
      <w:pPr>
        <w:tabs>
          <w:tab w:val="center" w:pos="4680"/>
        </w:tabs>
        <w:jc w:val="center"/>
        <w:rPr>
          <w:rFonts w:ascii="Arial" w:hAnsi="Arial"/>
          <w:sz w:val="22"/>
        </w:rPr>
      </w:pPr>
      <w:r>
        <w:rPr>
          <w:rFonts w:ascii="Arial" w:hAnsi="Arial"/>
          <w:sz w:val="22"/>
        </w:rPr>
        <w:t>10 CFR PART 50</w:t>
      </w:r>
      <w:r w:rsidR="001204C2">
        <w:rPr>
          <w:rFonts w:ascii="Arial" w:hAnsi="Arial"/>
          <w:sz w:val="22"/>
        </w:rPr>
        <w:t>.55a</w:t>
      </w:r>
    </w:p>
    <w:p w:rsidR="00384E03" w:rsidP="001414F8" w14:paraId="5BAE9950" w14:textId="7B702FFA">
      <w:pPr>
        <w:tabs>
          <w:tab w:val="center" w:pos="4680"/>
        </w:tabs>
        <w:jc w:val="center"/>
        <w:rPr>
          <w:rFonts w:ascii="Arial" w:hAnsi="Arial" w:cs="Arial"/>
          <w:sz w:val="22"/>
          <w:szCs w:val="22"/>
        </w:rPr>
      </w:pPr>
      <w:r>
        <w:rPr>
          <w:rFonts w:ascii="Arial" w:hAnsi="Arial" w:cs="Arial"/>
          <w:sz w:val="22"/>
          <w:szCs w:val="22"/>
        </w:rPr>
        <w:t>CODES AND STANDARDS</w:t>
      </w:r>
    </w:p>
    <w:p w:rsidR="00455B9D" w:rsidRPr="00CB4CEA" w:rsidP="001414F8" w14:paraId="0FF77CAB" w14:textId="77777777">
      <w:pPr>
        <w:tabs>
          <w:tab w:val="center" w:pos="4680"/>
        </w:tabs>
        <w:jc w:val="center"/>
        <w:rPr>
          <w:rFonts w:ascii="Arial" w:hAnsi="Arial" w:cs="Arial"/>
          <w:sz w:val="22"/>
          <w:szCs w:val="22"/>
        </w:rPr>
      </w:pPr>
    </w:p>
    <w:p w:rsidR="004C7D1E" w:rsidP="00301A19" w14:paraId="5FD60C95" w14:textId="52F68E16">
      <w:pPr>
        <w:widowControl w:val="0"/>
        <w:tabs>
          <w:tab w:val="center" w:pos="4680"/>
        </w:tabs>
        <w:jc w:val="center"/>
        <w:rPr>
          <w:rFonts w:ascii="Arial" w:hAnsi="Arial"/>
          <w:sz w:val="22"/>
        </w:rPr>
      </w:pPr>
      <w:r>
        <w:rPr>
          <w:rFonts w:ascii="Arial" w:hAnsi="Arial"/>
          <w:sz w:val="22"/>
        </w:rPr>
        <w:t>3150-</w:t>
      </w:r>
      <w:r w:rsidR="002033CA">
        <w:rPr>
          <w:rFonts w:ascii="Arial" w:hAnsi="Arial"/>
          <w:sz w:val="22"/>
        </w:rPr>
        <w:t>XXXX</w:t>
      </w:r>
    </w:p>
    <w:p w:rsidR="002033CA" w:rsidP="00301A19" w14:paraId="57B5C798" w14:textId="59D47EBE">
      <w:pPr>
        <w:widowControl w:val="0"/>
        <w:tabs>
          <w:tab w:val="center" w:pos="4680"/>
        </w:tabs>
        <w:jc w:val="center"/>
        <w:rPr>
          <w:rFonts w:ascii="Arial" w:hAnsi="Arial"/>
          <w:sz w:val="22"/>
        </w:rPr>
      </w:pPr>
      <w:r>
        <w:rPr>
          <w:rFonts w:ascii="Arial" w:hAnsi="Arial"/>
          <w:sz w:val="22"/>
        </w:rPr>
        <w:t>NEW</w:t>
      </w:r>
    </w:p>
    <w:p w:rsidR="00171CB3" w:rsidRPr="0026636D" w14:paraId="31AD925C" w14:textId="77777777">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171CB3" w:rsidRPr="0026636D" w14:paraId="6AD4B247" w14:textId="77777777">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171CB3" w14:paraId="7CC84C58" w14:textId="77777777">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u w:val="single"/>
        </w:rPr>
      </w:pPr>
      <w:r>
        <w:rPr>
          <w:rFonts w:ascii="Arial" w:hAnsi="Arial"/>
          <w:sz w:val="22"/>
          <w:u w:val="single"/>
        </w:rPr>
        <w:t>ABSTRACT</w:t>
      </w:r>
    </w:p>
    <w:p w:rsidR="00417ECE" w:rsidP="00417ECE" w14:paraId="64596146" w14:textId="77777777">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0A5F2C" w:rsidRPr="000A5F2C" w:rsidP="000A5F2C" w14:paraId="026E7391" w14:textId="39FD4612">
      <w:pPr>
        <w:rPr>
          <w:rFonts w:ascii="Arial" w:hAnsi="Arial" w:cs="Arial"/>
          <w:sz w:val="22"/>
          <w:szCs w:val="22"/>
        </w:rPr>
      </w:pPr>
      <w:r w:rsidRPr="000A5F2C">
        <w:rPr>
          <w:rFonts w:ascii="Arial" w:hAnsi="Arial" w:cs="Arial"/>
          <w:sz w:val="22"/>
          <w:szCs w:val="22"/>
        </w:rPr>
        <w:t>The U.S. Nuclear Regulatory Commission (NRC) is authorized by Congress to have responsibility and authority for the licensing and regulation of nuclear power plants, research/test facilities, fuel reprocessing plants and other utilization and production facilities licensed pursuant to the Atomic Energy Act of 1954, as amended (the Act).  To meet its responsibilities, the NRC conducts a detailed review of all applications for licenses to construct and operate such facilities.  The purpose of the detailed review is to ensure that the proposed facilities can be built and operated safely at the proposed locations, and that all structures, systems, and components important to safety will be designed to withstand the effects of postulated accident conditions, without undue risk to the health and safety of the public.  The NRC issues a license or construction permit, with appropriate conditions and limitations, after determining that an application for a license meets certain standards and requirements.  Licensees must maintain records and prepare reports to demonstrate their fulfillment of regulatory requirements.</w:t>
      </w:r>
    </w:p>
    <w:p w:rsidR="000A5F2C" w:rsidRPr="000A5F2C" w:rsidP="000A5F2C" w14:paraId="62543560" w14:textId="77777777">
      <w:pPr>
        <w:rPr>
          <w:rFonts w:ascii="Arial" w:hAnsi="Arial" w:cs="Arial"/>
          <w:sz w:val="22"/>
          <w:szCs w:val="22"/>
        </w:rPr>
      </w:pPr>
    </w:p>
    <w:p w:rsidR="000A5F2C" w:rsidRPr="000A5F2C" w:rsidP="000A5F2C" w14:paraId="53908A74" w14:textId="4725EC9E">
      <w:pPr>
        <w:rPr>
          <w:rFonts w:ascii="Arial" w:hAnsi="Arial" w:cs="Arial"/>
          <w:sz w:val="22"/>
          <w:szCs w:val="22"/>
        </w:rPr>
      </w:pPr>
      <w:r w:rsidRPr="000A5F2C">
        <w:rPr>
          <w:rFonts w:ascii="Arial" w:hAnsi="Arial" w:cs="Arial"/>
          <w:sz w:val="22"/>
          <w:szCs w:val="22"/>
        </w:rPr>
        <w:t>The National Technology Transfer and Advancement Act of 1995 (Public Law 104 113, 1995) (NTTAA) mandates the following:</w:t>
      </w:r>
    </w:p>
    <w:p w:rsidR="000A5F2C" w:rsidRPr="000A5F2C" w:rsidP="000A5F2C" w14:paraId="6B1C682B" w14:textId="77777777">
      <w:pPr>
        <w:rPr>
          <w:rFonts w:ascii="Arial" w:hAnsi="Arial" w:cs="Arial"/>
          <w:sz w:val="22"/>
          <w:szCs w:val="22"/>
        </w:rPr>
      </w:pPr>
    </w:p>
    <w:p w:rsidR="000A5F2C" w:rsidRPr="000A5F2C" w:rsidP="000A5F2C" w14:paraId="3BD52645" w14:textId="77777777">
      <w:pPr>
        <w:ind w:left="720" w:right="720"/>
        <w:rPr>
          <w:rFonts w:ascii="Arial" w:hAnsi="Arial" w:cs="Arial"/>
          <w:sz w:val="22"/>
          <w:szCs w:val="22"/>
        </w:rPr>
      </w:pPr>
      <w:r w:rsidRPr="000A5F2C">
        <w:rPr>
          <w:rFonts w:ascii="Arial" w:hAnsi="Arial" w:cs="Arial"/>
          <w:sz w:val="22"/>
          <w:szCs w:val="22"/>
        </w:rPr>
        <w:t xml:space="preserve">All Federal agencies and departments shall use technical standards that are developed or adopted by voluntary consensus standards bodies, using such technical standards </w:t>
      </w:r>
      <w:r w:rsidRPr="000A5F2C">
        <w:rPr>
          <w:rFonts w:ascii="Arial" w:hAnsi="Arial" w:cs="Arial"/>
          <w:sz w:val="22"/>
          <w:szCs w:val="22"/>
        </w:rPr>
        <w:t>as a means to</w:t>
      </w:r>
      <w:r w:rsidRPr="000A5F2C">
        <w:rPr>
          <w:rFonts w:ascii="Arial" w:hAnsi="Arial" w:cs="Arial"/>
          <w:sz w:val="22"/>
          <w:szCs w:val="22"/>
        </w:rPr>
        <w:t xml:space="preserve"> carry out policy objectives or activities determined by the agencies and departments.</w:t>
      </w:r>
    </w:p>
    <w:p w:rsidR="000A5F2C" w:rsidRPr="000A5F2C" w:rsidP="000A5F2C" w14:paraId="7B29E73A" w14:textId="77777777">
      <w:pPr>
        <w:rPr>
          <w:rFonts w:ascii="Arial" w:hAnsi="Arial" w:cs="Arial"/>
          <w:sz w:val="22"/>
          <w:szCs w:val="22"/>
        </w:rPr>
      </w:pPr>
    </w:p>
    <w:p w:rsidR="000A5F2C" w:rsidRPr="000A5F2C" w:rsidP="000A5F2C" w14:paraId="119884D3" w14:textId="77777777">
      <w:pPr>
        <w:rPr>
          <w:rFonts w:ascii="Arial" w:hAnsi="Arial" w:cs="Arial"/>
          <w:sz w:val="22"/>
          <w:szCs w:val="22"/>
        </w:rPr>
      </w:pPr>
      <w:r w:rsidRPr="000A5F2C">
        <w:rPr>
          <w:rFonts w:ascii="Arial" w:hAnsi="Arial" w:cs="Arial"/>
          <w:sz w:val="22"/>
          <w:szCs w:val="22"/>
        </w:rPr>
        <w:t xml:space="preserve">In carrying out this legislation, Federal agencies are to consult with voluntary consensus standards bodies and participate with such bodies in developing technical standards when such participation is in the public interest and compatible with the agency mission, priorities, and budget resources.  If the technical standards are inconsistent with applicable law or otherwise impractical, a </w:t>
      </w:r>
      <w:r w:rsidRPr="000A5F2C">
        <w:rPr>
          <w:rFonts w:ascii="Arial" w:hAnsi="Arial" w:cs="Arial"/>
          <w:sz w:val="22"/>
          <w:szCs w:val="22"/>
        </w:rPr>
        <w:t>Federal</w:t>
      </w:r>
      <w:r w:rsidRPr="000A5F2C">
        <w:rPr>
          <w:rFonts w:ascii="Arial" w:hAnsi="Arial" w:cs="Arial"/>
          <w:sz w:val="22"/>
          <w:szCs w:val="22"/>
        </w:rPr>
        <w:t xml:space="preserve"> agency may choose to use technical standards that are not developed or adopted by voluntary consensus bodies.</w:t>
      </w:r>
    </w:p>
    <w:p w:rsidR="000A5F2C" w:rsidP="000A5F2C" w14:paraId="2FD94451" w14:textId="77777777">
      <w:pPr>
        <w:rPr>
          <w:rFonts w:ascii="Arial" w:hAnsi="Arial" w:cs="Arial"/>
          <w:sz w:val="22"/>
          <w:szCs w:val="22"/>
        </w:rPr>
      </w:pPr>
    </w:p>
    <w:p w:rsidR="000A5F2C" w:rsidRPr="000A5F2C" w:rsidP="000A5F2C" w14:paraId="232C43BC" w14:textId="74870408">
      <w:pPr>
        <w:rPr>
          <w:rFonts w:ascii="Arial" w:hAnsi="Arial" w:cs="Arial"/>
          <w:sz w:val="22"/>
          <w:szCs w:val="22"/>
        </w:rPr>
      </w:pPr>
      <w:r w:rsidRPr="000A5F2C">
        <w:rPr>
          <w:rFonts w:ascii="Arial" w:hAnsi="Arial" w:cs="Arial"/>
          <w:sz w:val="22"/>
          <w:szCs w:val="22"/>
        </w:rPr>
        <w:t xml:space="preserve">The American Society of Mechanical Engineers (ASME), a voluntary consensus body, develops and publishes the ASME Boiler and Pressure Vessel (BPV) Code, which contains requirements for the design, construction, and </w:t>
      </w:r>
      <w:r w:rsidRPr="000A5F2C">
        <w:rPr>
          <w:rFonts w:ascii="Arial" w:hAnsi="Arial" w:cs="Arial"/>
          <w:sz w:val="22"/>
          <w:szCs w:val="22"/>
        </w:rPr>
        <w:t>inservice</w:t>
      </w:r>
      <w:r w:rsidRPr="000A5F2C">
        <w:rPr>
          <w:rFonts w:ascii="Arial" w:hAnsi="Arial" w:cs="Arial"/>
          <w:sz w:val="22"/>
          <w:szCs w:val="22"/>
        </w:rPr>
        <w:t xml:space="preserve"> inspection (ISI) of nuclear power plant components, the ASME </w:t>
      </w:r>
      <w:r w:rsidRPr="00937B8D" w:rsidR="00937B8D">
        <w:rPr>
          <w:rFonts w:ascii="Arial" w:hAnsi="Arial" w:cs="Arial"/>
          <w:sz w:val="22"/>
          <w:szCs w:val="22"/>
        </w:rPr>
        <w:t>Operation and Maintenance of Nuclear Power Plants</w:t>
      </w:r>
      <w:r w:rsidR="00937B8D">
        <w:rPr>
          <w:rFonts w:ascii="Arial" w:hAnsi="Arial" w:cs="Arial"/>
          <w:sz w:val="22"/>
          <w:szCs w:val="22"/>
        </w:rPr>
        <w:t xml:space="preserve"> (</w:t>
      </w:r>
      <w:r w:rsidRPr="000A5F2C">
        <w:rPr>
          <w:rFonts w:ascii="Arial" w:hAnsi="Arial" w:cs="Arial"/>
          <w:sz w:val="22"/>
          <w:szCs w:val="22"/>
        </w:rPr>
        <w:t>OM</w:t>
      </w:r>
      <w:r w:rsidR="00937B8D">
        <w:rPr>
          <w:rFonts w:ascii="Arial" w:hAnsi="Arial" w:cs="Arial"/>
          <w:sz w:val="22"/>
          <w:szCs w:val="22"/>
        </w:rPr>
        <w:t>)</w:t>
      </w:r>
      <w:r w:rsidRPr="000A5F2C">
        <w:rPr>
          <w:rFonts w:ascii="Arial" w:hAnsi="Arial" w:cs="Arial"/>
          <w:sz w:val="22"/>
          <w:szCs w:val="22"/>
        </w:rPr>
        <w:t xml:space="preserve"> Code, which contains requirements for preservice and </w:t>
      </w:r>
      <w:r w:rsidRPr="000A5F2C">
        <w:rPr>
          <w:rFonts w:ascii="Arial" w:hAnsi="Arial" w:cs="Arial"/>
          <w:sz w:val="22"/>
          <w:szCs w:val="22"/>
        </w:rPr>
        <w:t>inservice</w:t>
      </w:r>
      <w:r w:rsidRPr="000A5F2C">
        <w:rPr>
          <w:rFonts w:ascii="Arial" w:hAnsi="Arial" w:cs="Arial"/>
          <w:sz w:val="22"/>
          <w:szCs w:val="22"/>
        </w:rPr>
        <w:t xml:space="preserve"> testing (IST) of nuclear power plant components</w:t>
      </w:r>
      <w:r w:rsidR="004F24BD">
        <w:rPr>
          <w:rFonts w:ascii="Arial" w:hAnsi="Arial" w:cs="Arial"/>
          <w:sz w:val="22"/>
          <w:szCs w:val="22"/>
        </w:rPr>
        <w:t xml:space="preserve">, and </w:t>
      </w:r>
      <w:r w:rsidRPr="004F24BD" w:rsidR="004F24BD">
        <w:rPr>
          <w:rFonts w:ascii="Arial" w:hAnsi="Arial" w:cs="Arial"/>
          <w:sz w:val="22"/>
          <w:szCs w:val="22"/>
        </w:rPr>
        <w:t>ASME NQA–1, "Quality Assurance Requirements for Nuclear Facility Applications</w:t>
      </w:r>
      <w:r w:rsidR="00B42F7B">
        <w:rPr>
          <w:rFonts w:ascii="Arial" w:hAnsi="Arial" w:cs="Arial"/>
          <w:sz w:val="22"/>
          <w:szCs w:val="22"/>
        </w:rPr>
        <w:t>,”</w:t>
      </w:r>
      <w:r w:rsidR="00B47599">
        <w:rPr>
          <w:rFonts w:ascii="Arial" w:hAnsi="Arial" w:cs="Arial"/>
          <w:sz w:val="22"/>
          <w:szCs w:val="22"/>
        </w:rPr>
        <w:t xml:space="preserve"> which contains</w:t>
      </w:r>
      <w:r w:rsidR="00EC4876">
        <w:rPr>
          <w:rFonts w:ascii="Arial" w:hAnsi="Arial" w:cs="Arial"/>
          <w:sz w:val="22"/>
          <w:szCs w:val="22"/>
        </w:rPr>
        <w:t xml:space="preserve"> requirements for quality assurance for nuclear facility applications</w:t>
      </w:r>
      <w:r w:rsidRPr="000A5F2C">
        <w:rPr>
          <w:rFonts w:ascii="Arial" w:hAnsi="Arial" w:cs="Arial"/>
          <w:sz w:val="22"/>
          <w:szCs w:val="22"/>
        </w:rPr>
        <w:t>. ASME also develops Code Cases to gain experience with new technology before incorporating it into the ASME Code; permit licensees to use advances in ISI and IST; offer alternative examinations for older plants; respond expeditiously to user needs; and provide a focused alternative to specific ASME Code provisions. Various technical interests (e.g., utility, manufacturing, insurance, regulatory) are represented on the ASME standards committees. This broad spectrum of stakeholders helps to ensure that the various interests are considered.</w:t>
      </w:r>
    </w:p>
    <w:p w:rsidR="000A5F2C" w:rsidP="000A5F2C" w14:paraId="52A9A43E" w14:textId="77777777">
      <w:pPr>
        <w:rPr>
          <w:rFonts w:ascii="Arial" w:hAnsi="Arial" w:cs="Arial"/>
          <w:sz w:val="22"/>
          <w:szCs w:val="22"/>
        </w:rPr>
      </w:pPr>
    </w:p>
    <w:p w:rsidR="000A5F2C" w:rsidRPr="000A5F2C" w:rsidP="000A5F2C" w14:paraId="742F35CC" w14:textId="5D20E979">
      <w:pPr>
        <w:rPr>
          <w:rFonts w:ascii="Arial" w:hAnsi="Arial" w:cs="Arial"/>
          <w:sz w:val="22"/>
          <w:szCs w:val="22"/>
        </w:rPr>
      </w:pPr>
      <w:r w:rsidRPr="000A5F2C">
        <w:rPr>
          <w:rFonts w:ascii="Arial" w:hAnsi="Arial" w:cs="Arial"/>
          <w:sz w:val="22"/>
          <w:szCs w:val="22"/>
        </w:rPr>
        <w:t>The Institute of Electrical and Electronics Engineers (IEEE), a voluntary consensus body, develops and publishes IEEE standards, which contain requirements for the design, construction, and inspection of electrical components used in nuclear power plants and other nuclear facilities. Various technical interests (e.g., utility, manufacturing, regulatory) are represented on the IEEE standards committees. This broad spectrum of stakeholders helps to ensure that the various interests are considered.</w:t>
      </w:r>
    </w:p>
    <w:p w:rsidR="000A5F2C" w:rsidRPr="000A5F2C" w:rsidP="000A5F2C" w14:paraId="0C7D5BD6" w14:textId="77777777">
      <w:pPr>
        <w:rPr>
          <w:rFonts w:ascii="Arial" w:hAnsi="Arial" w:cs="Arial"/>
          <w:sz w:val="22"/>
          <w:szCs w:val="22"/>
        </w:rPr>
      </w:pPr>
    </w:p>
    <w:p w:rsidR="000A5F2C" w:rsidRPr="000A5F2C" w:rsidP="000A5F2C" w14:paraId="4038CAB4" w14:textId="18DD848E">
      <w:pPr>
        <w:rPr>
          <w:rFonts w:ascii="Arial" w:hAnsi="Arial" w:cs="Arial"/>
          <w:sz w:val="22"/>
          <w:szCs w:val="22"/>
        </w:rPr>
      </w:pPr>
      <w:r w:rsidRPr="000A5F2C">
        <w:rPr>
          <w:rFonts w:ascii="Arial" w:hAnsi="Arial" w:cs="Arial"/>
          <w:sz w:val="22"/>
          <w:szCs w:val="22"/>
        </w:rPr>
        <w:t xml:space="preserve">Consistent with the NTTAA, it has been the NRC’s practice to establish requirements for the design, construction, operation, ISI, and IST of nuclear power plants by approving the use of editions to the ASME BPV and OM Codes and to the IEEE Standards in Title 10 of the Code of Federal Regulations (10 CFR) 50.55a, “Codes and Standards.”  The NRC approves the use of certain editions of these codes and standards in 10 CFR 50.55a through the rulemaking process of “incorporation by reference” (IBR).  Upon IBR of these codes and standards into 10 CFR 50.55a, the provisions of the codes and standards are legally binding NRC requirements as delineated in 10 CFR 50.55a, subject to the conditions on certain specific codes and standards provisions specified in 10 CFR 50.55a. This practice increases consistency across the industry and demonstrates the NRC’s willingness to support the use of the most updated and technically sound techniques developed by these voluntary consensus bodies to adequately protect the public. </w:t>
      </w:r>
    </w:p>
    <w:p w:rsidR="000A5F2C" w:rsidRPr="000A5F2C" w:rsidP="000A5F2C" w14:paraId="6FF9FCBA" w14:textId="77777777">
      <w:pPr>
        <w:rPr>
          <w:rFonts w:ascii="Arial" w:hAnsi="Arial" w:cs="Arial"/>
          <w:sz w:val="22"/>
          <w:szCs w:val="22"/>
        </w:rPr>
      </w:pPr>
    </w:p>
    <w:p w:rsidR="000A5F2C" w:rsidRPr="000A5F2C" w:rsidP="000A5F2C" w14:paraId="646156F1" w14:textId="27F1C243">
      <w:pPr>
        <w:rPr>
          <w:rFonts w:ascii="Arial" w:hAnsi="Arial" w:cs="Arial"/>
          <w:sz w:val="22"/>
          <w:szCs w:val="22"/>
        </w:rPr>
      </w:pPr>
      <w:r w:rsidRPr="000A5F2C">
        <w:rPr>
          <w:rFonts w:ascii="Arial" w:hAnsi="Arial" w:cs="Arial"/>
          <w:sz w:val="22"/>
          <w:szCs w:val="22"/>
        </w:rPr>
        <w:t xml:space="preserve">These regulations affect 94 licensees for operating nuclear power plants. It is expected that </w:t>
      </w:r>
      <w:r w:rsidR="00383260">
        <w:rPr>
          <w:rFonts w:ascii="Arial" w:hAnsi="Arial" w:cs="Arial"/>
          <w:sz w:val="22"/>
          <w:szCs w:val="22"/>
        </w:rPr>
        <w:t>no nuclear power plants will be under active construction under 10 CFR Part 52 or 10 CFR Part 50.</w:t>
      </w:r>
    </w:p>
    <w:p w:rsidR="000A5F2C" w:rsidRPr="000A5F2C" w:rsidP="000A5F2C" w14:paraId="055140A2" w14:textId="77777777">
      <w:pPr>
        <w:rPr>
          <w:rFonts w:ascii="Arial" w:hAnsi="Arial" w:cs="Arial"/>
          <w:sz w:val="22"/>
          <w:szCs w:val="22"/>
        </w:rPr>
      </w:pPr>
    </w:p>
    <w:p w:rsidR="000A5F2C" w:rsidP="000A5F2C" w14:paraId="19293B9B" w14:textId="57A60C39">
      <w:pPr>
        <w:rPr>
          <w:rFonts w:ascii="Arial" w:hAnsi="Arial" w:cs="Arial"/>
          <w:sz w:val="22"/>
          <w:szCs w:val="22"/>
        </w:rPr>
      </w:pPr>
      <w:r w:rsidRPr="000A5F2C">
        <w:rPr>
          <w:rFonts w:ascii="Arial" w:hAnsi="Arial" w:cs="Arial"/>
          <w:sz w:val="22"/>
          <w:szCs w:val="22"/>
        </w:rPr>
        <w:t xml:space="preserve">This section is a new information collection specific to 10 CFR 50.55a, as it has been separated from the remainder of the 10 CFR Part 50 information collection, which was last renewed in 2020. This section includes the burden from the following 2 rules, which have been approved by OMB since the last renewal of this information collection: </w:t>
      </w:r>
    </w:p>
    <w:p w:rsidR="00F9335F" w:rsidRPr="000A5F2C" w:rsidP="000A5F2C" w14:paraId="182FBC21" w14:textId="77777777">
      <w:pPr>
        <w:rPr>
          <w:rFonts w:ascii="Arial" w:hAnsi="Arial" w:cs="Arial"/>
          <w:sz w:val="22"/>
          <w:szCs w:val="22"/>
        </w:rPr>
      </w:pPr>
    </w:p>
    <w:p w:rsidR="000A5F2C" w:rsidRPr="000A5F2C" w:rsidP="004E48EB" w14:paraId="5DE057FD" w14:textId="77777777">
      <w:pPr>
        <w:ind w:left="630" w:hanging="360"/>
        <w:rPr>
          <w:rFonts w:ascii="Arial" w:hAnsi="Arial" w:cs="Arial"/>
          <w:sz w:val="22"/>
          <w:szCs w:val="22"/>
        </w:rPr>
      </w:pPr>
      <w:r w:rsidRPr="000A5F2C">
        <w:rPr>
          <w:rFonts w:ascii="Arial" w:hAnsi="Arial" w:cs="Arial"/>
          <w:sz w:val="22"/>
          <w:szCs w:val="22"/>
        </w:rPr>
        <w:t>•</w:t>
      </w:r>
      <w:r w:rsidRPr="000A5F2C">
        <w:rPr>
          <w:rFonts w:ascii="Arial" w:hAnsi="Arial" w:cs="Arial"/>
          <w:sz w:val="22"/>
          <w:szCs w:val="22"/>
        </w:rPr>
        <w:tab/>
        <w:t>Approval of American Society of Mechanical Engineers Code Cases (Rev 39), Approved March 2022.</w:t>
      </w:r>
    </w:p>
    <w:p w:rsidR="002C363C" w:rsidP="004E48EB" w14:paraId="1EADFD22" w14:textId="50BAF80C">
      <w:pPr>
        <w:ind w:left="630" w:hanging="360"/>
        <w:rPr>
          <w:rFonts w:ascii="Arial" w:hAnsi="Arial" w:cs="Arial"/>
          <w:sz w:val="22"/>
          <w:szCs w:val="22"/>
        </w:rPr>
      </w:pPr>
      <w:r w:rsidRPr="000A5F2C">
        <w:rPr>
          <w:rFonts w:ascii="Arial" w:hAnsi="Arial" w:cs="Arial"/>
          <w:sz w:val="22"/>
          <w:szCs w:val="22"/>
        </w:rPr>
        <w:t>•</w:t>
      </w:r>
      <w:r w:rsidRPr="000A5F2C">
        <w:rPr>
          <w:rFonts w:ascii="Arial" w:hAnsi="Arial" w:cs="Arial"/>
          <w:sz w:val="22"/>
          <w:szCs w:val="22"/>
        </w:rPr>
        <w:tab/>
        <w:t>American Society of Mechanical Engineers 2019-2020 Code Editions, approved October 2022.</w:t>
      </w:r>
    </w:p>
    <w:p w:rsidR="004D3877" w:rsidRPr="002C363C" w:rsidP="004E48EB" w14:paraId="2BD257BF" w14:textId="77777777">
      <w:pPr>
        <w:ind w:left="630" w:hanging="360"/>
        <w:rPr>
          <w:rFonts w:ascii="Arial" w:hAnsi="Arial" w:cs="Arial"/>
          <w:color w:val="000000"/>
          <w:sz w:val="22"/>
          <w:szCs w:val="22"/>
        </w:rPr>
      </w:pPr>
    </w:p>
    <w:p w:rsidR="00171CB3" w:rsidRPr="00E13BCB" w:rsidP="002D34C8" w14:paraId="0F88D5B6" w14:textId="644CC254">
      <w:pPr>
        <w:pStyle w:val="Level1"/>
        <w:numPr>
          <w:ilvl w:val="0"/>
          <w:numId w:val="19"/>
        </w:num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r>
      <w:r>
        <w:rPr>
          <w:rFonts w:ascii="Arial" w:hAnsi="Arial"/>
          <w:sz w:val="22"/>
        </w:rPr>
        <w:tab/>
      </w:r>
      <w:r w:rsidRPr="0026636D">
        <w:rPr>
          <w:rFonts w:ascii="Arial" w:hAnsi="Arial"/>
          <w:sz w:val="22"/>
          <w:u w:val="single"/>
        </w:rPr>
        <w:t>JUSTIFICATION</w:t>
      </w:r>
    </w:p>
    <w:p w:rsidR="00E13BCB" w:rsidP="00E13BCB" w14:paraId="69B89DBC" w14:textId="77777777">
      <w:pPr>
        <w:pStyle w:val="Level1"/>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u w:val="single"/>
        </w:rPr>
      </w:pPr>
    </w:p>
    <w:p w:rsidR="00171CB3" w:rsidRPr="0026636D" w14:paraId="0D126B14" w14:textId="77777777">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1.</w:t>
      </w:r>
      <w:r w:rsidRPr="0026636D">
        <w:rPr>
          <w:rFonts w:ascii="Arial" w:hAnsi="Arial"/>
          <w:sz w:val="22"/>
        </w:rPr>
        <w:tab/>
      </w:r>
      <w:r w:rsidRPr="0026636D">
        <w:rPr>
          <w:rFonts w:ascii="Arial" w:hAnsi="Arial"/>
          <w:sz w:val="22"/>
          <w:u w:val="single"/>
        </w:rPr>
        <w:t>Need for the Collection of Information</w:t>
      </w:r>
      <w:r w:rsidRPr="0026636D">
        <w:rPr>
          <w:rFonts w:ascii="Arial" w:hAnsi="Arial"/>
          <w:sz w:val="22"/>
        </w:rPr>
        <w:t xml:space="preserve">  </w:t>
      </w:r>
    </w:p>
    <w:p w:rsidR="00171CB3" w:rsidRPr="0026636D" w14:paraId="16A2A753" w14:textId="77777777">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301A19" w:rsidP="00301A19" w14:paraId="230B6191" w14:textId="2E4B6368">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 xml:space="preserve">The information is needed </w:t>
      </w:r>
      <w:r>
        <w:rPr>
          <w:rFonts w:ascii="Arial" w:hAnsi="Arial" w:cs="Arial"/>
          <w:sz w:val="22"/>
          <w:szCs w:val="22"/>
        </w:rPr>
        <w:t>i</w:t>
      </w:r>
      <w:r w:rsidRPr="008E1CA1">
        <w:rPr>
          <w:rFonts w:ascii="Arial" w:hAnsi="Arial" w:cs="Arial"/>
          <w:sz w:val="22"/>
          <w:szCs w:val="22"/>
        </w:rPr>
        <w:t>n order to</w:t>
      </w:r>
      <w:r w:rsidRPr="008E1CA1">
        <w:rPr>
          <w:rFonts w:ascii="Arial" w:hAnsi="Arial" w:cs="Arial"/>
          <w:sz w:val="22"/>
          <w:szCs w:val="22"/>
        </w:rPr>
        <w:t xml:space="preserve"> determine licensee compliance with the regulations set forth in</w:t>
      </w:r>
      <w:r>
        <w:rPr>
          <w:rFonts w:ascii="Arial" w:hAnsi="Arial" w:cs="Arial"/>
          <w:sz w:val="22"/>
          <w:szCs w:val="22"/>
        </w:rPr>
        <w:t xml:space="preserve"> </w:t>
      </w:r>
      <w:r w:rsidR="00C85265">
        <w:rPr>
          <w:rFonts w:ascii="Arial" w:hAnsi="Arial" w:cs="Arial"/>
          <w:sz w:val="22"/>
          <w:szCs w:val="22"/>
        </w:rPr>
        <w:t xml:space="preserve">10 CFR </w:t>
      </w:r>
      <w:r>
        <w:rPr>
          <w:rFonts w:ascii="Arial" w:hAnsi="Arial" w:cs="Arial"/>
          <w:sz w:val="22"/>
          <w:szCs w:val="22"/>
        </w:rPr>
        <w:t>50.55a</w:t>
      </w:r>
      <w:r w:rsidRPr="008E1CA1">
        <w:rPr>
          <w:rFonts w:ascii="Arial" w:hAnsi="Arial" w:cs="Arial"/>
          <w:sz w:val="22"/>
          <w:szCs w:val="22"/>
        </w:rPr>
        <w:t>.  Details can be found at the end of this supporting statement in “Description of Requirements</w:t>
      </w:r>
      <w:r>
        <w:rPr>
          <w:rFonts w:ascii="Arial" w:hAnsi="Arial" w:cs="Arial"/>
          <w:sz w:val="22"/>
          <w:szCs w:val="22"/>
        </w:rPr>
        <w:t>.”</w:t>
      </w:r>
    </w:p>
    <w:p w:rsidR="00A57ED4" w:rsidRPr="0026636D" w:rsidP="00301A19" w14:paraId="40A52808" w14:textId="77777777">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rsidR="00171CB3" w:rsidRPr="0026636D" w14:paraId="06AABEC9" w14:textId="7D159B3B">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2.</w:t>
      </w:r>
      <w:r w:rsidRPr="0026636D">
        <w:rPr>
          <w:rFonts w:ascii="Arial" w:hAnsi="Arial"/>
          <w:sz w:val="22"/>
        </w:rPr>
        <w:tab/>
      </w:r>
      <w:r w:rsidRPr="0026636D">
        <w:rPr>
          <w:rFonts w:ascii="Arial" w:hAnsi="Arial"/>
          <w:sz w:val="22"/>
          <w:u w:val="single"/>
        </w:rPr>
        <w:t xml:space="preserve">Agency Use </w:t>
      </w:r>
      <w:r w:rsidRPr="0026636D" w:rsidR="00301A19">
        <w:rPr>
          <w:rFonts w:ascii="Arial" w:hAnsi="Arial"/>
          <w:sz w:val="22"/>
          <w:u w:val="single"/>
        </w:rPr>
        <w:t>of</w:t>
      </w:r>
      <w:r w:rsidRPr="0026636D">
        <w:rPr>
          <w:rFonts w:ascii="Arial" w:hAnsi="Arial"/>
          <w:sz w:val="22"/>
          <w:u w:val="single"/>
        </w:rPr>
        <w:t xml:space="preserve"> Information</w:t>
      </w:r>
      <w:r w:rsidRPr="0026636D">
        <w:rPr>
          <w:rFonts w:ascii="Arial" w:hAnsi="Arial"/>
          <w:sz w:val="22"/>
        </w:rPr>
        <w:t xml:space="preserve">  </w:t>
      </w:r>
    </w:p>
    <w:p w:rsidR="00171CB3" w:rsidRPr="0026636D" w14:paraId="5F65E6F4" w14:textId="77777777">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502BEA" w:rsidP="00502BEA" w14:paraId="4137FCDB" w14:textId="53648A03">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396E6B">
        <w:rPr>
          <w:rFonts w:ascii="Arial" w:hAnsi="Arial"/>
          <w:sz w:val="22"/>
        </w:rPr>
        <w:t>Applicants requesting approval to construct or operate</w:t>
      </w:r>
      <w:r w:rsidR="0065577A">
        <w:rPr>
          <w:rFonts w:ascii="Arial" w:hAnsi="Arial"/>
          <w:sz w:val="22"/>
        </w:rPr>
        <w:t xml:space="preserve">, or </w:t>
      </w:r>
      <w:r w:rsidR="00E40F7A">
        <w:rPr>
          <w:rFonts w:ascii="Arial" w:hAnsi="Arial"/>
          <w:sz w:val="22"/>
        </w:rPr>
        <w:t xml:space="preserve">licensees </w:t>
      </w:r>
      <w:r w:rsidR="0065577A">
        <w:rPr>
          <w:rFonts w:ascii="Arial" w:hAnsi="Arial"/>
          <w:sz w:val="22"/>
        </w:rPr>
        <w:t>currently operating,</w:t>
      </w:r>
      <w:r w:rsidRPr="00396E6B">
        <w:rPr>
          <w:rFonts w:ascii="Arial" w:hAnsi="Arial"/>
          <w:sz w:val="22"/>
        </w:rPr>
        <w:t xml:space="preserve"> utilization or production facilities are required by the Atomic Energy Act of 1954, as amended (the Act), to provide information and data that the NRC may determine necessary to ensure the health and safety of the public.</w:t>
      </w:r>
    </w:p>
    <w:p w:rsidR="00502BEA" w:rsidP="00866E17" w14:paraId="1BEC4603" w14:textId="77777777">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rsidR="00396E6B" w:rsidP="00866E17" w14:paraId="635A18D9" w14:textId="68AC9D71">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The NRC uses the records and reports required in this part to ascertain that licensees</w:t>
      </w:r>
      <w:r w:rsidR="00383260">
        <w:rPr>
          <w:rFonts w:ascii="Arial" w:hAnsi="Arial"/>
          <w:sz w:val="22"/>
        </w:rPr>
        <w:t xml:space="preserve"> are implementing codes and standards requirements to adequately protect the public.</w:t>
      </w:r>
      <w:r>
        <w:rPr>
          <w:rFonts w:ascii="Arial" w:hAnsi="Arial"/>
          <w:sz w:val="22"/>
        </w:rPr>
        <w:t xml:space="preserve">  </w:t>
      </w:r>
      <w:r w:rsidR="00141BC5">
        <w:rPr>
          <w:rFonts w:ascii="Arial" w:hAnsi="Arial"/>
          <w:sz w:val="22"/>
        </w:rPr>
        <w:t xml:space="preserve">The reports and recordkeeping requirements allow </w:t>
      </w:r>
      <w:r w:rsidR="00383260">
        <w:rPr>
          <w:rFonts w:ascii="Arial" w:hAnsi="Arial"/>
          <w:sz w:val="22"/>
        </w:rPr>
        <w:t xml:space="preserve">the </w:t>
      </w:r>
      <w:r w:rsidR="00141BC5">
        <w:rPr>
          <w:rFonts w:ascii="Arial" w:hAnsi="Arial"/>
          <w:sz w:val="22"/>
        </w:rPr>
        <w:t xml:space="preserve">NRC to </w:t>
      </w:r>
      <w:r w:rsidR="00383260">
        <w:rPr>
          <w:rFonts w:ascii="Arial" w:hAnsi="Arial"/>
          <w:sz w:val="22"/>
        </w:rPr>
        <w:t>review documentation to independently assess compliance with these codes and standards requirements as part of its oversight functions</w:t>
      </w:r>
      <w:r w:rsidR="004704EA">
        <w:rPr>
          <w:rFonts w:ascii="Arial" w:hAnsi="Arial"/>
          <w:sz w:val="22"/>
        </w:rPr>
        <w:t>.</w:t>
      </w:r>
    </w:p>
    <w:p w:rsidR="00E734F2" w:rsidP="000A2A8B" w14:paraId="06463F6B" w14:textId="77777777">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171CB3" w:rsidRPr="0026636D" w14:paraId="354C3A76" w14:textId="5B258EFB">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1200"/>
        <w:rPr>
          <w:rFonts w:ascii="Arial" w:hAnsi="Arial"/>
          <w:sz w:val="22"/>
        </w:rPr>
      </w:pPr>
      <w:r>
        <w:rPr>
          <w:rFonts w:ascii="Arial" w:hAnsi="Arial"/>
          <w:sz w:val="22"/>
        </w:rPr>
        <w:tab/>
      </w:r>
      <w:r w:rsidRPr="0026636D">
        <w:rPr>
          <w:rFonts w:ascii="Arial" w:hAnsi="Arial"/>
          <w:sz w:val="22"/>
        </w:rPr>
        <w:t>3.</w:t>
      </w:r>
      <w:r w:rsidRPr="0026636D">
        <w:rPr>
          <w:rFonts w:ascii="Arial" w:hAnsi="Arial"/>
          <w:sz w:val="22"/>
        </w:rPr>
        <w:tab/>
      </w:r>
      <w:r w:rsidRPr="0026636D">
        <w:rPr>
          <w:rFonts w:ascii="Arial" w:hAnsi="Arial"/>
          <w:sz w:val="22"/>
          <w:u w:val="single"/>
        </w:rPr>
        <w:t>Reduction of Burden Through Information Technology</w:t>
      </w:r>
    </w:p>
    <w:p w:rsidR="00171CB3" w:rsidRPr="0026636D" w14:paraId="486B7F22" w14:textId="77777777">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171CB3" w:rsidP="00E53A6A" w14:paraId="5EF91304" w14:textId="0451867F">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25B8A44A">
        <w:rPr>
          <w:rFonts w:ascii="Arial" w:hAnsi="Arial" w:cs="Arial"/>
          <w:sz w:val="22"/>
          <w:szCs w:val="22"/>
        </w:rPr>
        <w:t xml:space="preserve">The NRC has issued </w:t>
      </w:r>
      <w:hyperlink r:id="rId5">
        <w:r w:rsidRPr="25B8A44A">
          <w:rPr>
            <w:rStyle w:val="Hyperlink"/>
            <w:rFonts w:ascii="Arial" w:hAnsi="Arial" w:cs="Arial"/>
            <w:i/>
            <w:iCs/>
            <w:sz w:val="22"/>
            <w:szCs w:val="22"/>
          </w:rPr>
          <w:t>Guidance for Electronic Submissions to the NRC</w:t>
        </w:r>
      </w:hyperlink>
      <w:r w:rsidRPr="25B8A44A">
        <w:rPr>
          <w:rFonts w:ascii="Arial" w:hAnsi="Arial" w:cs="Arial"/>
          <w:sz w:val="22"/>
          <w:szCs w:val="22"/>
        </w:rPr>
        <w:t xml:space="preserve"> which provides direction for the electronic transmission and submittal of documents to the NRC.  Electronic transmission and submittal of documents can be accomplished via the following avenues: the Electronic Information Exchange (EIE) process, which is available from the NRC's “Electronic Submittals” Web page, by Optical Storage Media (OSM) (</w:t>
      </w:r>
      <w:r w:rsidRPr="25B8A44A">
        <w:rPr>
          <w:rFonts w:ascii="Arial" w:hAnsi="Arial" w:cs="Arial"/>
          <w:sz w:val="22"/>
          <w:szCs w:val="22"/>
        </w:rPr>
        <w:t>e.g.</w:t>
      </w:r>
      <w:r w:rsidRPr="25B8A44A">
        <w:rPr>
          <w:rFonts w:ascii="Arial" w:hAnsi="Arial" w:cs="Arial"/>
          <w:sz w:val="22"/>
          <w:szCs w:val="22"/>
        </w:rPr>
        <w:t xml:space="preserve"> CD-ROM, DVD), by facsimile or by e-mail.  It is estimated that approximately</w:t>
      </w:r>
      <w:r w:rsidRPr="25B8A44A" w:rsidR="00C905F3">
        <w:rPr>
          <w:rFonts w:ascii="Arial" w:hAnsi="Arial" w:cs="Arial"/>
          <w:sz w:val="22"/>
          <w:szCs w:val="22"/>
        </w:rPr>
        <w:t xml:space="preserve"> </w:t>
      </w:r>
      <w:r w:rsidR="00FA326C">
        <w:rPr>
          <w:rFonts w:ascii="Arial" w:hAnsi="Arial" w:cs="Arial"/>
          <w:sz w:val="22"/>
          <w:szCs w:val="22"/>
        </w:rPr>
        <w:t>96</w:t>
      </w:r>
      <w:r w:rsidRPr="25B8A44A" w:rsidR="00727A36">
        <w:rPr>
          <w:rFonts w:ascii="Arial" w:hAnsi="Arial" w:cs="Arial"/>
          <w:sz w:val="22"/>
          <w:szCs w:val="22"/>
        </w:rPr>
        <w:t>%</w:t>
      </w:r>
      <w:r w:rsidR="0093083A">
        <w:rPr>
          <w:rFonts w:ascii="Arial" w:hAnsi="Arial" w:cs="Arial"/>
          <w:sz w:val="22"/>
          <w:szCs w:val="22"/>
        </w:rPr>
        <w:t xml:space="preserve"> </w:t>
      </w:r>
      <w:r w:rsidRPr="25B8A44A">
        <w:rPr>
          <w:rFonts w:ascii="Arial" w:hAnsi="Arial" w:cs="Arial"/>
          <w:sz w:val="22"/>
          <w:szCs w:val="22"/>
        </w:rPr>
        <w:t>of the responses are filed electronically.</w:t>
      </w:r>
    </w:p>
    <w:p w:rsidR="000A2A8B" w14:paraId="4BDE6933" w14:textId="4FFB97B4">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p>
    <w:p w:rsidR="00171CB3" w:rsidRPr="0026636D" w14:paraId="12A05E85" w14:textId="50A7AE81">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4.</w:t>
      </w:r>
      <w:r w:rsidRPr="0026636D">
        <w:rPr>
          <w:rFonts w:ascii="Arial" w:hAnsi="Arial"/>
          <w:sz w:val="22"/>
        </w:rPr>
        <w:tab/>
      </w:r>
      <w:r w:rsidRPr="0026636D">
        <w:rPr>
          <w:rFonts w:ascii="Arial" w:hAnsi="Arial"/>
          <w:sz w:val="22"/>
          <w:u w:val="single"/>
        </w:rPr>
        <w:t>Effort to Identify Duplication and Use Similar Information</w:t>
      </w:r>
    </w:p>
    <w:p w:rsidR="00171CB3" w:rsidRPr="0026636D" w14:paraId="2D56D7AE"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171CB3" w:rsidRPr="0026636D" w14:paraId="779CECFF" w14:textId="77777777">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26636D">
        <w:rPr>
          <w:rFonts w:ascii="Arial" w:hAnsi="Arial"/>
          <w:sz w:val="22"/>
        </w:rPr>
        <w:t xml:space="preserve">No sources of similar information are available.  There is no duplication of requirements.  </w:t>
      </w:r>
    </w:p>
    <w:p w:rsidR="00171CB3" w:rsidRPr="0026636D" w14:paraId="5A3CFB14"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171CB3" w:rsidRPr="0026636D" w:rsidP="00EF7FBC" w14:paraId="707925A0" w14:textId="77777777">
      <w:pPr>
        <w:pStyle w:val="Level2"/>
        <w:widowControl/>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26636D">
        <w:rPr>
          <w:rFonts w:ascii="Arial" w:hAnsi="Arial"/>
          <w:sz w:val="22"/>
        </w:rPr>
        <w:tab/>
      </w:r>
      <w:r w:rsidRPr="0026636D" w:rsidR="00EF7FBC">
        <w:rPr>
          <w:rFonts w:ascii="Arial" w:hAnsi="Arial"/>
          <w:sz w:val="22"/>
        </w:rPr>
        <w:t>5.</w:t>
      </w:r>
      <w:r w:rsidRPr="0026636D">
        <w:rPr>
          <w:rFonts w:ascii="Arial" w:hAnsi="Arial"/>
          <w:sz w:val="22"/>
        </w:rPr>
        <w:tab/>
      </w:r>
      <w:r w:rsidRPr="0026636D">
        <w:rPr>
          <w:rFonts w:ascii="Arial" w:hAnsi="Arial"/>
          <w:sz w:val="22"/>
          <w:u w:val="single"/>
        </w:rPr>
        <w:t>Effort to Reduce Small Business Burden</w:t>
      </w:r>
    </w:p>
    <w:p w:rsidR="00171CB3" w:rsidRPr="0026636D" w14:paraId="72A55286" w14:textId="5DCF8F0E">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 xml:space="preserve"> </w:t>
      </w:r>
      <w:r>
        <w:rPr>
          <w:rFonts w:ascii="Arial" w:hAnsi="Arial"/>
          <w:sz w:val="22"/>
        </w:rPr>
        <w:tab/>
      </w:r>
    </w:p>
    <w:p w:rsidR="00E92362" w:rsidRPr="00CB4CEA" w:rsidP="00EF0039" w14:paraId="4B5BD1FE" w14:textId="61451821">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Not Applicable</w:t>
      </w:r>
      <w:r w:rsidR="004579EE">
        <w:rPr>
          <w:rFonts w:ascii="Arial" w:hAnsi="Arial" w:cs="Arial"/>
          <w:sz w:val="22"/>
          <w:szCs w:val="22"/>
        </w:rPr>
        <w:t>.</w:t>
      </w:r>
    </w:p>
    <w:p w:rsidR="00171CB3" w:rsidRPr="0026636D" w14:paraId="1C93EC18"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171CB3" w14:paraId="71D520FE"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u w:val="single"/>
        </w:rPr>
      </w:pPr>
      <w:r w:rsidRPr="0026636D">
        <w:rPr>
          <w:rFonts w:ascii="Arial" w:hAnsi="Arial"/>
          <w:sz w:val="22"/>
        </w:rPr>
        <w:t>6.</w:t>
      </w:r>
      <w:r w:rsidRPr="0026636D">
        <w:rPr>
          <w:rFonts w:ascii="Arial" w:hAnsi="Arial"/>
          <w:sz w:val="22"/>
        </w:rPr>
        <w:tab/>
      </w:r>
      <w:r w:rsidRPr="0026636D">
        <w:rPr>
          <w:rFonts w:ascii="Arial" w:hAnsi="Arial"/>
          <w:sz w:val="22"/>
          <w:u w:val="single"/>
        </w:rPr>
        <w:t>Consequences to Federal Program or Policy Activities if the Collection is Not Conducted or is Conducted Less Frequently</w:t>
      </w:r>
    </w:p>
    <w:p w:rsidR="00396E6B" w14:paraId="185FAD08"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p>
    <w:p w:rsidR="00545118" w:rsidP="00545118" w14:paraId="053A6A1C" w14:textId="3A896CB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Pr>
          <w:rFonts w:ascii="Arial" w:hAnsi="Arial"/>
          <w:sz w:val="22"/>
        </w:rPr>
        <w:tab/>
      </w:r>
      <w:r>
        <w:rPr>
          <w:rFonts w:ascii="Arial" w:hAnsi="Arial"/>
          <w:sz w:val="22"/>
        </w:rPr>
        <w:t xml:space="preserve">If the information is not collected, NRC will not be </w:t>
      </w:r>
      <w:r w:rsidR="003000D0">
        <w:rPr>
          <w:rFonts w:ascii="Arial" w:hAnsi="Arial"/>
          <w:sz w:val="22"/>
        </w:rPr>
        <w:t>able</w:t>
      </w:r>
      <w:r>
        <w:rPr>
          <w:rFonts w:ascii="Arial" w:hAnsi="Arial"/>
          <w:sz w:val="22"/>
        </w:rPr>
        <w:t xml:space="preserve"> to assess whether licensees are operating within the specific safety requirements</w:t>
      </w:r>
      <w:r w:rsidR="00C83A81">
        <w:rPr>
          <w:rFonts w:ascii="Arial" w:hAnsi="Arial"/>
          <w:sz w:val="22"/>
        </w:rPr>
        <w:t xml:space="preserve"> applicable to the </w:t>
      </w:r>
      <w:r w:rsidRPr="00C83A81" w:rsidR="00C83A81">
        <w:rPr>
          <w:rFonts w:ascii="Arial" w:hAnsi="Arial"/>
          <w:sz w:val="22"/>
        </w:rPr>
        <w:t xml:space="preserve">licensing and </w:t>
      </w:r>
      <w:r w:rsidR="00C83A81">
        <w:rPr>
          <w:rFonts w:ascii="Arial" w:hAnsi="Arial"/>
          <w:sz w:val="22"/>
        </w:rPr>
        <w:t>operating</w:t>
      </w:r>
      <w:r w:rsidRPr="00C83A81" w:rsidR="00C83A81">
        <w:rPr>
          <w:rFonts w:ascii="Arial" w:hAnsi="Arial"/>
          <w:sz w:val="22"/>
        </w:rPr>
        <w:t xml:space="preserve"> activities for existing nuclear power reactors.</w:t>
      </w:r>
    </w:p>
    <w:p w:rsidR="00B84768" w:rsidP="00545118" w14:paraId="2F09C551"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p>
    <w:p w:rsidR="00B84768" w:rsidRPr="00545118" w:rsidP="00545118" w14:paraId="24E36F9F" w14:textId="2C680BD5">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Pr>
          <w:rFonts w:ascii="Arial" w:hAnsi="Arial"/>
          <w:sz w:val="22"/>
        </w:rPr>
        <w:tab/>
        <w:t xml:space="preserve">The information </w:t>
      </w:r>
      <w:r w:rsidR="00174FA6">
        <w:rPr>
          <w:rFonts w:ascii="Arial" w:hAnsi="Arial"/>
          <w:sz w:val="22"/>
        </w:rPr>
        <w:t>and required frequency from licensees that seek to license and operat</w:t>
      </w:r>
      <w:r w:rsidR="00626DD7">
        <w:rPr>
          <w:rFonts w:ascii="Arial" w:hAnsi="Arial"/>
          <w:sz w:val="22"/>
        </w:rPr>
        <w:t>e</w:t>
      </w:r>
      <w:r w:rsidR="00174FA6">
        <w:rPr>
          <w:rFonts w:ascii="Arial" w:hAnsi="Arial"/>
          <w:sz w:val="22"/>
        </w:rPr>
        <w:t xml:space="preserve"> nuclear power reactors </w:t>
      </w:r>
      <w:r>
        <w:rPr>
          <w:rFonts w:ascii="Arial" w:hAnsi="Arial"/>
          <w:sz w:val="22"/>
        </w:rPr>
        <w:t xml:space="preserve">is essential to NRC’s determination of whether the applicant has adequate </w:t>
      </w:r>
      <w:r w:rsidR="00383260">
        <w:rPr>
          <w:rFonts w:ascii="Arial" w:hAnsi="Arial"/>
          <w:sz w:val="22"/>
        </w:rPr>
        <w:t xml:space="preserve">designs, </w:t>
      </w:r>
      <w:r>
        <w:rPr>
          <w:rFonts w:ascii="Arial" w:hAnsi="Arial"/>
          <w:sz w:val="22"/>
        </w:rPr>
        <w:t xml:space="preserve">equipment, </w:t>
      </w:r>
      <w:r w:rsidR="00383260">
        <w:rPr>
          <w:rFonts w:ascii="Arial" w:hAnsi="Arial"/>
          <w:sz w:val="22"/>
        </w:rPr>
        <w:t xml:space="preserve">programs, </w:t>
      </w:r>
      <w:r w:rsidR="00174FA6">
        <w:rPr>
          <w:rFonts w:ascii="Arial" w:hAnsi="Arial"/>
          <w:sz w:val="22"/>
        </w:rPr>
        <w:t xml:space="preserve">training, </w:t>
      </w:r>
      <w:r w:rsidR="00174FA6">
        <w:rPr>
          <w:rFonts w:ascii="Arial" w:hAnsi="Arial"/>
          <w:sz w:val="22"/>
        </w:rPr>
        <w:t>funds</w:t>
      </w:r>
      <w:r w:rsidR="00174FA6">
        <w:rPr>
          <w:rFonts w:ascii="Arial" w:hAnsi="Arial"/>
          <w:sz w:val="22"/>
        </w:rPr>
        <w:t xml:space="preserve"> and experience </w:t>
      </w:r>
      <w:r w:rsidR="00BA1355">
        <w:rPr>
          <w:rFonts w:ascii="Arial" w:hAnsi="Arial"/>
          <w:sz w:val="22"/>
        </w:rPr>
        <w:t xml:space="preserve">throughout the life of the license </w:t>
      </w:r>
      <w:r w:rsidR="00174FA6">
        <w:rPr>
          <w:rFonts w:ascii="Arial" w:hAnsi="Arial"/>
          <w:sz w:val="22"/>
        </w:rPr>
        <w:t>to protect the public health and safety.</w:t>
      </w:r>
    </w:p>
    <w:p w:rsidR="00171CB3" w:rsidRPr="0026636D" w14:paraId="5AA20790"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171CB3" w:rsidRPr="0026636D" w14:paraId="151A1588"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7.</w:t>
      </w:r>
      <w:r w:rsidRPr="0026636D">
        <w:rPr>
          <w:rFonts w:ascii="Arial" w:hAnsi="Arial"/>
          <w:sz w:val="22"/>
        </w:rPr>
        <w:tab/>
      </w:r>
      <w:r w:rsidRPr="0026636D">
        <w:rPr>
          <w:rFonts w:ascii="Arial" w:hAnsi="Arial"/>
          <w:sz w:val="22"/>
          <w:u w:val="single"/>
        </w:rPr>
        <w:t xml:space="preserve">Circumstances which Justify Variation </w:t>
      </w:r>
      <w:r w:rsidRPr="0026636D">
        <w:rPr>
          <w:rFonts w:ascii="Arial" w:hAnsi="Arial"/>
          <w:sz w:val="22"/>
          <w:u w:val="single"/>
        </w:rPr>
        <w:t>From</w:t>
      </w:r>
      <w:r w:rsidRPr="0026636D">
        <w:rPr>
          <w:rFonts w:ascii="Arial" w:hAnsi="Arial"/>
          <w:sz w:val="22"/>
          <w:u w:val="single"/>
        </w:rPr>
        <w:t xml:space="preserve"> OMB Guidelines</w:t>
      </w:r>
    </w:p>
    <w:p w:rsidR="00171CB3" w14:paraId="24B8BFA0"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515AE1" w:rsidRPr="00D67EA2" w:rsidP="00515AE1" w14:paraId="5CF77B8C" w14:textId="3D9061FF">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szCs w:val="22"/>
        </w:rPr>
      </w:pPr>
      <w:r>
        <w:rPr>
          <w:rFonts w:ascii="Arial" w:hAnsi="Arial"/>
          <w:sz w:val="22"/>
          <w:szCs w:val="22"/>
        </w:rPr>
        <w:t>The information collection requirements within 10 CFR 50.55a, including its incorporated by reference codes and standards, specify that records and reports must be maintained for the service lifetime of the component or system</w:t>
      </w:r>
      <w:r w:rsidRPr="00D67EA2">
        <w:rPr>
          <w:rFonts w:ascii="Arial" w:hAnsi="Arial"/>
          <w:sz w:val="22"/>
          <w:szCs w:val="22"/>
        </w:rPr>
        <w:t>.  Such lifetime retention of the records is necessary to ensure adequate historical information of the design, examination, and testing of components and systems to provide a basis for evaluating degradation of these components and systems at any time during their service lifetime.</w:t>
      </w:r>
    </w:p>
    <w:p w:rsidR="00515AE1" w:rsidP="00515AE1" w14:paraId="5F9B1EBF"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p>
    <w:p w:rsidR="00171CB3" w:rsidRPr="0026636D" w14:paraId="2682FB1B"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8.</w:t>
      </w:r>
      <w:r w:rsidRPr="0026636D">
        <w:rPr>
          <w:rFonts w:ascii="Arial" w:hAnsi="Arial"/>
          <w:sz w:val="22"/>
        </w:rPr>
        <w:tab/>
      </w:r>
      <w:r w:rsidRPr="0026636D">
        <w:rPr>
          <w:rFonts w:ascii="Arial" w:hAnsi="Arial"/>
          <w:sz w:val="22"/>
          <w:u w:val="single"/>
        </w:rPr>
        <w:t>Consultations Outside the NRC</w:t>
      </w:r>
    </w:p>
    <w:p w:rsidR="00171CB3" w:rsidRPr="0026636D" w14:paraId="09E81361"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B71047" w:rsidP="00B71047" w14:paraId="73B62A00" w14:textId="3B7EEC80">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iCs/>
          <w:sz w:val="22"/>
        </w:rPr>
      </w:pPr>
      <w:r w:rsidRPr="004840E3">
        <w:rPr>
          <w:rFonts w:ascii="Arial" w:hAnsi="Arial"/>
          <w:iCs/>
          <w:sz w:val="22"/>
        </w:rPr>
        <w:t xml:space="preserve">Opportunity for public comment on the information collection requirements for this clearance package was published In the </w:t>
      </w:r>
      <w:r w:rsidRPr="004840E3">
        <w:rPr>
          <w:rFonts w:ascii="Arial" w:hAnsi="Arial"/>
          <w:i/>
          <w:iCs/>
          <w:sz w:val="22"/>
        </w:rPr>
        <w:t>Federal Register</w:t>
      </w:r>
      <w:r w:rsidRPr="004840E3">
        <w:rPr>
          <w:rFonts w:ascii="Arial" w:hAnsi="Arial"/>
          <w:iCs/>
          <w:sz w:val="22"/>
        </w:rPr>
        <w:t xml:space="preserve"> on August 30, 2023 (88</w:t>
      </w:r>
      <w:r>
        <w:rPr>
          <w:rFonts w:ascii="Arial" w:hAnsi="Arial"/>
          <w:iCs/>
          <w:sz w:val="22"/>
        </w:rPr>
        <w:t> </w:t>
      </w:r>
      <w:r w:rsidRPr="004840E3">
        <w:rPr>
          <w:rFonts w:ascii="Arial" w:hAnsi="Arial"/>
          <w:iCs/>
          <w:sz w:val="22"/>
        </w:rPr>
        <w:t>FR</w:t>
      </w:r>
      <w:r>
        <w:rPr>
          <w:rFonts w:ascii="Arial" w:hAnsi="Arial"/>
          <w:iCs/>
          <w:sz w:val="22"/>
        </w:rPr>
        <w:t> </w:t>
      </w:r>
      <w:r w:rsidRPr="004840E3">
        <w:rPr>
          <w:rFonts w:ascii="Arial" w:hAnsi="Arial"/>
          <w:iCs/>
          <w:sz w:val="22"/>
        </w:rPr>
        <w:t>59950)</w:t>
      </w:r>
      <w:r>
        <w:rPr>
          <w:rFonts w:ascii="Arial" w:hAnsi="Arial"/>
          <w:iCs/>
          <w:sz w:val="22"/>
        </w:rPr>
        <w:t xml:space="preserve">.  </w:t>
      </w:r>
      <w:r w:rsidRPr="00B71047">
        <w:rPr>
          <w:rFonts w:ascii="Arial" w:hAnsi="Arial"/>
          <w:iCs/>
          <w:sz w:val="22"/>
        </w:rPr>
        <w:t xml:space="preserve">Additionally, NRC staff contacted </w:t>
      </w:r>
      <w:r w:rsidR="00B26C7E">
        <w:rPr>
          <w:rFonts w:ascii="Arial" w:hAnsi="Arial"/>
          <w:iCs/>
          <w:sz w:val="22"/>
        </w:rPr>
        <w:t>four</w:t>
      </w:r>
      <w:r w:rsidRPr="00B71047">
        <w:rPr>
          <w:rFonts w:ascii="Arial" w:hAnsi="Arial"/>
          <w:iCs/>
          <w:sz w:val="22"/>
        </w:rPr>
        <w:t xml:space="preserve"> stakeholders via email. The stakeholders were operating reactor owner/operator </w:t>
      </w:r>
      <w:r w:rsidRPr="00B71047" w:rsidR="00360152">
        <w:rPr>
          <w:rFonts w:ascii="Arial" w:hAnsi="Arial"/>
          <w:iCs/>
          <w:sz w:val="22"/>
        </w:rPr>
        <w:t>licensees</w:t>
      </w:r>
      <w:r w:rsidRPr="00B71047">
        <w:rPr>
          <w:rFonts w:ascii="Arial" w:hAnsi="Arial"/>
          <w:iCs/>
          <w:sz w:val="22"/>
        </w:rPr>
        <w:t xml:space="preserve"> from </w:t>
      </w:r>
      <w:r w:rsidRPr="00E47C51" w:rsidR="00E47C51">
        <w:rPr>
          <w:rFonts w:ascii="Arial" w:hAnsi="Arial"/>
          <w:iCs/>
          <w:sz w:val="22"/>
        </w:rPr>
        <w:t>Arizona Public Service Co.</w:t>
      </w:r>
      <w:r w:rsidR="007C06AD">
        <w:rPr>
          <w:rFonts w:ascii="Arial" w:hAnsi="Arial"/>
          <w:iCs/>
          <w:sz w:val="22"/>
        </w:rPr>
        <w:t xml:space="preserve">, </w:t>
      </w:r>
      <w:r w:rsidRPr="005532B4" w:rsidR="005532B4">
        <w:rPr>
          <w:rFonts w:ascii="Arial" w:hAnsi="Arial" w:cs="Arial"/>
          <w:color w:val="333333"/>
          <w:sz w:val="22"/>
          <w:szCs w:val="22"/>
          <w:shd w:val="clear" w:color="auto" w:fill="FFFFFF"/>
        </w:rPr>
        <w:t>Constellation Energy,</w:t>
      </w:r>
      <w:r w:rsidR="005532B4">
        <w:rPr>
          <w:rFonts w:ascii="Helvetica" w:hAnsi="Helvetica" w:cs="Helvetica"/>
          <w:color w:val="333333"/>
          <w:sz w:val="21"/>
          <w:szCs w:val="21"/>
          <w:shd w:val="clear" w:color="auto" w:fill="FFFFFF"/>
        </w:rPr>
        <w:t xml:space="preserve"> </w:t>
      </w:r>
      <w:r w:rsidRPr="00E0414A" w:rsidR="00E0414A">
        <w:rPr>
          <w:rFonts w:ascii="Arial" w:hAnsi="Arial"/>
          <w:iCs/>
          <w:sz w:val="22"/>
        </w:rPr>
        <w:t>Dominion Generation</w:t>
      </w:r>
      <w:r w:rsidR="00B26C7E">
        <w:rPr>
          <w:rFonts w:ascii="Arial" w:hAnsi="Arial"/>
          <w:iCs/>
          <w:sz w:val="22"/>
        </w:rPr>
        <w:t xml:space="preserve"> and </w:t>
      </w:r>
      <w:r w:rsidRPr="00B26C7E" w:rsidR="00B26C7E">
        <w:rPr>
          <w:rFonts w:ascii="Arial" w:hAnsi="Arial"/>
          <w:iCs/>
          <w:sz w:val="22"/>
        </w:rPr>
        <w:t>Xcel Energy Inc</w:t>
      </w:r>
      <w:r w:rsidR="00902F1C">
        <w:rPr>
          <w:rFonts w:ascii="Arial" w:hAnsi="Arial"/>
          <w:iCs/>
          <w:sz w:val="22"/>
        </w:rPr>
        <w:t>.</w:t>
      </w:r>
    </w:p>
    <w:p w:rsidR="00902F1C" w:rsidRPr="00B71047" w:rsidP="00B71047" w14:paraId="65AC4256"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iCs/>
          <w:sz w:val="22"/>
        </w:rPr>
      </w:pPr>
    </w:p>
    <w:p w:rsidR="00B71047" w:rsidRPr="00B71047" w:rsidP="00B71047" w14:paraId="2E764401" w14:textId="73E5A4BB">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iCs/>
          <w:sz w:val="22"/>
        </w:rPr>
      </w:pPr>
      <w:r w:rsidRPr="00B71047">
        <w:rPr>
          <w:rFonts w:ascii="Arial" w:hAnsi="Arial"/>
          <w:iCs/>
          <w:sz w:val="22"/>
        </w:rPr>
        <w:t xml:space="preserve">No responses or comments were received </w:t>
      </w:r>
      <w:r w:rsidR="00753527">
        <w:rPr>
          <w:rFonts w:ascii="Arial" w:hAnsi="Arial"/>
          <w:iCs/>
          <w:sz w:val="22"/>
        </w:rPr>
        <w:t xml:space="preserve">from </w:t>
      </w:r>
      <w:r w:rsidRPr="00B71047">
        <w:rPr>
          <w:rFonts w:ascii="Arial" w:hAnsi="Arial"/>
          <w:iCs/>
          <w:sz w:val="22"/>
        </w:rPr>
        <w:t xml:space="preserve">the </w:t>
      </w:r>
      <w:r w:rsidR="00753527">
        <w:rPr>
          <w:rFonts w:ascii="Arial" w:hAnsi="Arial"/>
          <w:iCs/>
          <w:sz w:val="22"/>
        </w:rPr>
        <w:t xml:space="preserve">published </w:t>
      </w:r>
      <w:r w:rsidRPr="00B71047">
        <w:rPr>
          <w:rFonts w:ascii="Arial" w:hAnsi="Arial"/>
          <w:iCs/>
          <w:sz w:val="22"/>
        </w:rPr>
        <w:t>FRN or the staff’s direct solicitation of comments.</w:t>
      </w:r>
    </w:p>
    <w:p w:rsidR="00E40E9F" w:rsidRPr="009D515C" w:rsidP="004840E3" w14:paraId="13C1BB52" w14:textId="0A1B938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iCs/>
          <w:sz w:val="22"/>
        </w:rPr>
      </w:pPr>
    </w:p>
    <w:p w:rsidR="00907592" w:rsidRPr="00907592" w:rsidP="00907592" w14:paraId="15110D03" w14:textId="4DA5A44E">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rsidR="00171CB3" w:rsidRPr="0026636D" w14:paraId="6C97FF65"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9.</w:t>
      </w:r>
      <w:r w:rsidRPr="0026636D">
        <w:rPr>
          <w:rFonts w:ascii="Arial" w:hAnsi="Arial"/>
          <w:sz w:val="22"/>
        </w:rPr>
        <w:tab/>
      </w:r>
      <w:r w:rsidRPr="0026636D">
        <w:rPr>
          <w:rFonts w:ascii="Arial" w:hAnsi="Arial"/>
          <w:sz w:val="22"/>
          <w:u w:val="single"/>
        </w:rPr>
        <w:t>Payment or Gift to Respondents</w:t>
      </w:r>
    </w:p>
    <w:p w:rsidR="00171CB3" w:rsidRPr="0026636D" w14:paraId="1E2DA6F3"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171CB3" w:rsidRPr="0026636D" w14:paraId="586A896C"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26636D">
        <w:rPr>
          <w:rFonts w:ascii="Arial" w:hAnsi="Arial"/>
          <w:sz w:val="22"/>
        </w:rPr>
        <w:t>Not applicable.</w:t>
      </w:r>
    </w:p>
    <w:p w:rsidR="004E48EB" w14:paraId="0A26E993" w14:textId="26D00608">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171CB3" w:rsidRPr="0026636D" w14:paraId="11DB711D"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10.</w:t>
      </w:r>
      <w:r w:rsidRPr="0026636D">
        <w:rPr>
          <w:rFonts w:ascii="Arial" w:hAnsi="Arial"/>
          <w:sz w:val="22"/>
        </w:rPr>
        <w:tab/>
      </w:r>
      <w:r w:rsidRPr="0026636D">
        <w:rPr>
          <w:rFonts w:ascii="Arial" w:hAnsi="Arial"/>
          <w:sz w:val="22"/>
          <w:u w:val="single"/>
        </w:rPr>
        <w:t>Confidentiality of Information</w:t>
      </w:r>
    </w:p>
    <w:p w:rsidR="00171CB3" w:rsidRPr="0026636D" w14:paraId="2A8F2EAB"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trike/>
          <w:sz w:val="22"/>
        </w:rPr>
      </w:pPr>
    </w:p>
    <w:p w:rsidR="00171CB3" w:rsidRPr="0026636D" w14:paraId="51FE1463" w14:textId="4EC1281D">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26636D">
        <w:rPr>
          <w:rFonts w:ascii="Arial" w:hAnsi="Arial"/>
          <w:sz w:val="22"/>
        </w:rPr>
        <w:t>Confidential and proprietary information is protected in accordance with NRC regulations at 10 CFR 9.17(a) and 10 CFR 2.390(b).</w:t>
      </w:r>
      <w:r w:rsidR="009715FF">
        <w:rPr>
          <w:rFonts w:ascii="Arial" w:hAnsi="Arial"/>
          <w:sz w:val="22"/>
        </w:rPr>
        <w:t xml:space="preserve">  </w:t>
      </w:r>
    </w:p>
    <w:p w:rsidR="00171CB3" w:rsidRPr="0026636D" w:rsidP="00D21ECE" w14:paraId="1B60F1A2"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26636D">
        <w:rPr>
          <w:rFonts w:ascii="Arial" w:hAnsi="Arial"/>
          <w:sz w:val="22"/>
        </w:rPr>
        <w:tab/>
      </w:r>
    </w:p>
    <w:p w:rsidR="00171CB3" w:rsidRPr="0026636D" w14:paraId="71229B41"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11.</w:t>
      </w:r>
      <w:r w:rsidRPr="0026636D">
        <w:rPr>
          <w:rFonts w:ascii="Arial" w:hAnsi="Arial"/>
          <w:sz w:val="22"/>
        </w:rPr>
        <w:tab/>
      </w:r>
      <w:r w:rsidRPr="0026636D">
        <w:rPr>
          <w:rFonts w:ascii="Arial" w:hAnsi="Arial"/>
          <w:sz w:val="22"/>
          <w:u w:val="single"/>
        </w:rPr>
        <w:t>Justification for Sensitive Questions</w:t>
      </w:r>
    </w:p>
    <w:p w:rsidR="00171CB3" w:rsidRPr="0026636D" w14:paraId="57AB10C9"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171CB3" w:rsidRPr="0026636D" w14:paraId="58AFD8BE"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26636D">
        <w:rPr>
          <w:rFonts w:ascii="Arial" w:hAnsi="Arial"/>
          <w:sz w:val="22"/>
        </w:rPr>
        <w:t xml:space="preserve">This regulation does not request sensitive information.  </w:t>
      </w:r>
    </w:p>
    <w:p w:rsidR="00590682" w14:paraId="4D4D793C" w14:textId="75687CB8">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p>
    <w:p w:rsidR="00171CB3" w:rsidRPr="0026636D" w14:paraId="39975E6E" w14:textId="02CB5376">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12.</w:t>
      </w:r>
      <w:r w:rsidRPr="0026636D">
        <w:rPr>
          <w:rFonts w:ascii="Arial" w:hAnsi="Arial"/>
          <w:sz w:val="22"/>
        </w:rPr>
        <w:tab/>
      </w:r>
      <w:r w:rsidRPr="0026636D">
        <w:rPr>
          <w:rFonts w:ascii="Arial" w:hAnsi="Arial"/>
          <w:sz w:val="22"/>
          <w:u w:val="single"/>
        </w:rPr>
        <w:t>Estimated Industry Burden and Burden Hour Cost</w:t>
      </w:r>
    </w:p>
    <w:p w:rsidR="00941A2B" w:rsidP="003E2B01" w14:paraId="3AA7C904"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rsidR="004579EE" w:rsidP="003E2B01" w14:paraId="7E318D84" w14:textId="7228DB6B">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 xml:space="preserve">The total estimated cost for information collection requirements in this section is estimated to be </w:t>
      </w:r>
      <w:r w:rsidR="00EC182D">
        <w:rPr>
          <w:rFonts w:ascii="Arial" w:hAnsi="Arial"/>
          <w:sz w:val="22"/>
        </w:rPr>
        <w:t>364,616</w:t>
      </w:r>
      <w:r w:rsidR="00A75DFC">
        <w:rPr>
          <w:rFonts w:ascii="Arial" w:hAnsi="Arial"/>
          <w:sz w:val="22"/>
        </w:rPr>
        <w:t xml:space="preserve"> </w:t>
      </w:r>
      <w:r>
        <w:rPr>
          <w:rFonts w:ascii="Arial" w:hAnsi="Arial"/>
          <w:sz w:val="22"/>
        </w:rPr>
        <w:t>hours at a cost of</w:t>
      </w:r>
      <w:r w:rsidR="00E46218">
        <w:rPr>
          <w:rFonts w:ascii="Arial" w:hAnsi="Arial"/>
          <w:sz w:val="22"/>
        </w:rPr>
        <w:t xml:space="preserve"> $</w:t>
      </w:r>
      <w:r w:rsidR="00EC182D">
        <w:rPr>
          <w:rFonts w:ascii="Arial" w:hAnsi="Arial"/>
          <w:sz w:val="22"/>
        </w:rPr>
        <w:t>105,738,640</w:t>
      </w:r>
      <w:r w:rsidR="00740114">
        <w:rPr>
          <w:rFonts w:ascii="Arial" w:hAnsi="Arial"/>
          <w:sz w:val="22"/>
        </w:rPr>
        <w:t xml:space="preserve"> </w:t>
      </w:r>
      <w:r>
        <w:rPr>
          <w:rFonts w:ascii="Arial" w:hAnsi="Arial"/>
          <w:sz w:val="22"/>
        </w:rPr>
        <w:t>(</w:t>
      </w:r>
      <w:r w:rsidR="00EC182D">
        <w:rPr>
          <w:rFonts w:ascii="Arial" w:hAnsi="Arial"/>
          <w:sz w:val="22"/>
        </w:rPr>
        <w:t>364,616</w:t>
      </w:r>
      <w:r w:rsidRPr="00F756A6" w:rsidR="00F756A6">
        <w:rPr>
          <w:rFonts w:ascii="Arial" w:hAnsi="Arial"/>
          <w:sz w:val="22"/>
        </w:rPr>
        <w:t xml:space="preserve"> </w:t>
      </w:r>
      <w:r>
        <w:rPr>
          <w:rFonts w:ascii="Arial" w:hAnsi="Arial"/>
          <w:sz w:val="22"/>
        </w:rPr>
        <w:t xml:space="preserve">hours x </w:t>
      </w:r>
      <w:r w:rsidR="000C6117">
        <w:rPr>
          <w:rFonts w:ascii="Arial" w:hAnsi="Arial"/>
          <w:sz w:val="22"/>
        </w:rPr>
        <w:t>$2</w:t>
      </w:r>
      <w:r w:rsidR="00740114">
        <w:rPr>
          <w:rFonts w:ascii="Arial" w:hAnsi="Arial"/>
          <w:sz w:val="22"/>
        </w:rPr>
        <w:t>90</w:t>
      </w:r>
      <w:r>
        <w:rPr>
          <w:rFonts w:ascii="Arial" w:hAnsi="Arial"/>
          <w:sz w:val="22"/>
        </w:rPr>
        <w:t>/</w:t>
      </w:r>
      <w:r>
        <w:rPr>
          <w:rFonts w:ascii="Arial" w:hAnsi="Arial"/>
          <w:sz w:val="22"/>
        </w:rPr>
        <w:t>hr</w:t>
      </w:r>
      <w:r>
        <w:rPr>
          <w:rFonts w:ascii="Arial" w:hAnsi="Arial"/>
          <w:sz w:val="22"/>
        </w:rPr>
        <w:t>).</w:t>
      </w:r>
    </w:p>
    <w:p w:rsidR="0005680A" w:rsidP="003E2B01" w14:paraId="306EB93E" w14:textId="22C5462F">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tbl>
      <w:tblPr>
        <w:tblStyle w:val="TableGrid"/>
        <w:tblW w:w="0" w:type="auto"/>
        <w:tblInd w:w="1620" w:type="dxa"/>
        <w:tblLook w:val="04A0"/>
      </w:tblPr>
      <w:tblGrid>
        <w:gridCol w:w="2503"/>
        <w:gridCol w:w="1318"/>
        <w:gridCol w:w="1439"/>
      </w:tblGrid>
      <w:tr w14:paraId="3CE5F1B8" w14:textId="77777777" w:rsidTr="00CA5C4C">
        <w:tblPrEx>
          <w:tblW w:w="0" w:type="auto"/>
          <w:tblInd w:w="1620" w:type="dxa"/>
          <w:tblLook w:val="04A0"/>
        </w:tblPrEx>
        <w:tc>
          <w:tcPr>
            <w:tcW w:w="2503" w:type="dxa"/>
            <w:tcBorders>
              <w:top w:val="nil"/>
              <w:left w:val="nil"/>
            </w:tcBorders>
          </w:tcPr>
          <w:p w:rsidR="00001E25" w:rsidP="003E2B01" w14:paraId="7066E127"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tc>
        <w:tc>
          <w:tcPr>
            <w:tcW w:w="1318" w:type="dxa"/>
          </w:tcPr>
          <w:p w:rsidR="00001E25" w:rsidP="003E2B01" w14:paraId="35D87F44" w14:textId="142C18F2">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Hours</w:t>
            </w:r>
          </w:p>
        </w:tc>
        <w:tc>
          <w:tcPr>
            <w:tcW w:w="1439" w:type="dxa"/>
          </w:tcPr>
          <w:p w:rsidR="00001E25" w:rsidP="003E2B01" w14:paraId="4D973556" w14:textId="79BF6C4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Responses</w:t>
            </w:r>
          </w:p>
        </w:tc>
      </w:tr>
      <w:tr w14:paraId="60C860F5" w14:textId="77777777" w:rsidTr="00CA5C4C">
        <w:tblPrEx>
          <w:tblW w:w="0" w:type="auto"/>
          <w:tblInd w:w="1620" w:type="dxa"/>
          <w:tblLook w:val="04A0"/>
        </w:tblPrEx>
        <w:tc>
          <w:tcPr>
            <w:tcW w:w="2503" w:type="dxa"/>
          </w:tcPr>
          <w:p w:rsidR="00001E25" w:rsidP="003E2B01" w14:paraId="5C76F2A3" w14:textId="041074C5">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Reporting</w:t>
            </w:r>
          </w:p>
        </w:tc>
        <w:tc>
          <w:tcPr>
            <w:tcW w:w="1318" w:type="dxa"/>
          </w:tcPr>
          <w:p w:rsidR="00001E25" w:rsidP="00BA4CA2" w14:paraId="5A474C67" w14:textId="7AB2A8E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22"/>
              </w:rPr>
            </w:pPr>
            <w:r>
              <w:rPr>
                <w:rFonts w:ascii="Arial" w:hAnsi="Arial"/>
                <w:sz w:val="22"/>
              </w:rPr>
              <w:t>119,276</w:t>
            </w:r>
          </w:p>
        </w:tc>
        <w:tc>
          <w:tcPr>
            <w:tcW w:w="1439" w:type="dxa"/>
          </w:tcPr>
          <w:p w:rsidR="00001E25" w:rsidP="00BA4CA2" w14:paraId="7C4AE88D" w14:textId="1323B77D">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22"/>
              </w:rPr>
            </w:pPr>
            <w:r>
              <w:rPr>
                <w:rFonts w:ascii="Arial" w:hAnsi="Arial"/>
                <w:sz w:val="22"/>
              </w:rPr>
              <w:t>660</w:t>
            </w:r>
          </w:p>
        </w:tc>
      </w:tr>
      <w:tr w14:paraId="7C16E265" w14:textId="77777777" w:rsidTr="00CA5C4C">
        <w:tblPrEx>
          <w:tblW w:w="0" w:type="auto"/>
          <w:tblInd w:w="1620" w:type="dxa"/>
          <w:tblLook w:val="04A0"/>
        </w:tblPrEx>
        <w:tc>
          <w:tcPr>
            <w:tcW w:w="2503" w:type="dxa"/>
          </w:tcPr>
          <w:p w:rsidR="00001E25" w:rsidP="003E2B01" w14:paraId="023C7B0A" w14:textId="2619F472">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Recordkeeping</w:t>
            </w:r>
          </w:p>
        </w:tc>
        <w:tc>
          <w:tcPr>
            <w:tcW w:w="1318" w:type="dxa"/>
          </w:tcPr>
          <w:p w:rsidR="00001E25" w:rsidP="00BA4CA2" w14:paraId="6548CE8D" w14:textId="7700C070">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22"/>
              </w:rPr>
            </w:pPr>
            <w:r>
              <w:rPr>
                <w:rFonts w:ascii="Arial" w:hAnsi="Arial"/>
                <w:sz w:val="22"/>
              </w:rPr>
              <w:t>217,140</w:t>
            </w:r>
          </w:p>
        </w:tc>
        <w:tc>
          <w:tcPr>
            <w:tcW w:w="1439" w:type="dxa"/>
          </w:tcPr>
          <w:p w:rsidR="00001E25" w:rsidP="00BA4CA2" w14:paraId="3528DF9A" w14:textId="54F1B20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22"/>
              </w:rPr>
            </w:pPr>
            <w:r>
              <w:rPr>
                <w:rFonts w:ascii="Arial" w:hAnsi="Arial"/>
                <w:sz w:val="22"/>
              </w:rPr>
              <w:t>94</w:t>
            </w:r>
          </w:p>
        </w:tc>
      </w:tr>
      <w:tr w14:paraId="637B0EBA" w14:textId="77777777" w:rsidTr="00CA5C4C">
        <w:tblPrEx>
          <w:tblW w:w="0" w:type="auto"/>
          <w:tblInd w:w="1620" w:type="dxa"/>
          <w:tblLook w:val="04A0"/>
        </w:tblPrEx>
        <w:tc>
          <w:tcPr>
            <w:tcW w:w="2503" w:type="dxa"/>
          </w:tcPr>
          <w:p w:rsidR="00001E25" w:rsidP="003E2B01" w14:paraId="14F83986" w14:textId="6C2E0F0F">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Third Party Disclosure</w:t>
            </w:r>
          </w:p>
        </w:tc>
        <w:tc>
          <w:tcPr>
            <w:tcW w:w="1318" w:type="dxa"/>
          </w:tcPr>
          <w:p w:rsidR="00001E25" w:rsidP="00BA4CA2" w14:paraId="11C394D6" w14:textId="5640EEE9">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22"/>
              </w:rPr>
            </w:pPr>
            <w:r>
              <w:rPr>
                <w:rFonts w:ascii="Arial" w:hAnsi="Arial"/>
                <w:sz w:val="22"/>
              </w:rPr>
              <w:t>0</w:t>
            </w:r>
          </w:p>
        </w:tc>
        <w:tc>
          <w:tcPr>
            <w:tcW w:w="1439" w:type="dxa"/>
          </w:tcPr>
          <w:p w:rsidR="00001E25" w:rsidP="00BA4CA2" w14:paraId="17319057" w14:textId="7162C18E">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sz w:val="22"/>
              </w:rPr>
            </w:pPr>
            <w:r>
              <w:rPr>
                <w:rFonts w:ascii="Arial" w:hAnsi="Arial"/>
                <w:sz w:val="22"/>
              </w:rPr>
              <w:t>0</w:t>
            </w:r>
          </w:p>
        </w:tc>
      </w:tr>
      <w:tr w14:paraId="1100090B" w14:textId="77777777" w:rsidTr="00CA5C4C">
        <w:tblPrEx>
          <w:tblW w:w="0" w:type="auto"/>
          <w:tblInd w:w="1620" w:type="dxa"/>
          <w:tblLook w:val="04A0"/>
        </w:tblPrEx>
        <w:tc>
          <w:tcPr>
            <w:tcW w:w="2503" w:type="dxa"/>
          </w:tcPr>
          <w:p w:rsidR="00001E25" w:rsidRPr="0000209B" w:rsidP="003E2B01" w14:paraId="02F0ED76" w14:textId="7025DA4B">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b/>
                <w:bCs/>
                <w:sz w:val="22"/>
              </w:rPr>
            </w:pPr>
            <w:r w:rsidRPr="0000209B">
              <w:rPr>
                <w:rFonts w:ascii="Arial" w:hAnsi="Arial"/>
                <w:b/>
                <w:bCs/>
                <w:sz w:val="22"/>
              </w:rPr>
              <w:t>TOTAL</w:t>
            </w:r>
          </w:p>
        </w:tc>
        <w:tc>
          <w:tcPr>
            <w:tcW w:w="1318" w:type="dxa"/>
          </w:tcPr>
          <w:p w:rsidR="00001E25" w:rsidRPr="0000209B" w:rsidP="00BA4CA2" w14:paraId="6FD26CF4" w14:textId="3306ABD1">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b/>
                <w:bCs/>
                <w:sz w:val="22"/>
              </w:rPr>
            </w:pPr>
            <w:r>
              <w:rPr>
                <w:rFonts w:ascii="Arial" w:hAnsi="Arial"/>
                <w:b/>
                <w:bCs/>
                <w:sz w:val="22"/>
              </w:rPr>
              <w:t>336,416</w:t>
            </w:r>
          </w:p>
        </w:tc>
        <w:tc>
          <w:tcPr>
            <w:tcW w:w="1439" w:type="dxa"/>
          </w:tcPr>
          <w:p w:rsidR="00001E25" w:rsidRPr="0000209B" w:rsidP="00BA4CA2" w14:paraId="76AAC978" w14:textId="3778A5AD">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b/>
                <w:bCs/>
                <w:sz w:val="22"/>
              </w:rPr>
            </w:pPr>
            <w:r>
              <w:rPr>
                <w:rFonts w:ascii="Arial" w:hAnsi="Arial"/>
                <w:b/>
                <w:bCs/>
                <w:sz w:val="22"/>
              </w:rPr>
              <w:t>754</w:t>
            </w:r>
          </w:p>
        </w:tc>
      </w:tr>
    </w:tbl>
    <w:p w:rsidR="0005680A" w:rsidP="003E2B01" w14:paraId="05224E92"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rsidR="006858AD" w:rsidRPr="006858AD" w:rsidP="00A84622" w14:paraId="4D77A782" w14:textId="77777777">
      <w:pPr>
        <w:ind w:left="1260"/>
        <w:rPr>
          <w:rFonts w:ascii="Arial" w:hAnsi="Arial" w:cs="Arial"/>
          <w:color w:val="333333"/>
          <w:sz w:val="22"/>
          <w:szCs w:val="22"/>
        </w:rPr>
      </w:pPr>
      <w:r>
        <w:rPr>
          <w:rFonts w:ascii="Arial" w:hAnsi="Arial"/>
          <w:sz w:val="22"/>
        </w:rPr>
        <w:t>Detailed burden estimates are included in the supplemental burden spreadsheet</w:t>
      </w:r>
      <w:r w:rsidR="00740114">
        <w:rPr>
          <w:rFonts w:ascii="Arial" w:hAnsi="Arial"/>
          <w:sz w:val="22"/>
        </w:rPr>
        <w:t xml:space="preserve">. </w:t>
      </w:r>
      <w:r w:rsidRPr="006858AD">
        <w:rPr>
          <w:rFonts w:ascii="Arial" w:hAnsi="Arial" w:cs="Arial"/>
          <w:sz w:val="22"/>
          <w:szCs w:val="22"/>
        </w:rPr>
        <w:t xml:space="preserve">The $290 hourly rate used in the burden estimates is based on the Nuclear Regulatory Commission’s fee for hourly rates as noted in 10 CFR 170.20 “Average cost per professional staff-hour.”  For more information </w:t>
      </w:r>
      <w:r w:rsidRPr="006858AD">
        <w:rPr>
          <w:rFonts w:ascii="Arial" w:hAnsi="Arial" w:cs="Arial"/>
          <w:sz w:val="22"/>
          <w:szCs w:val="22"/>
        </w:rPr>
        <w:t>on the basis of</w:t>
      </w:r>
      <w:r w:rsidRPr="006858AD">
        <w:rPr>
          <w:rFonts w:ascii="Arial" w:hAnsi="Arial" w:cs="Arial"/>
          <w:sz w:val="22"/>
          <w:szCs w:val="22"/>
        </w:rPr>
        <w:t xml:space="preserve"> this rate, see the Revision of Fee Schedules; Fee Recovery for Fiscal Year 2022 (87 FR 37197, June 22, 2022</w:t>
      </w:r>
      <w:r w:rsidRPr="006858AD">
        <w:rPr>
          <w:rFonts w:ascii="Arial" w:hAnsi="Arial" w:cs="Arial"/>
          <w:color w:val="333333"/>
          <w:sz w:val="22"/>
          <w:szCs w:val="22"/>
        </w:rPr>
        <w:t>).</w:t>
      </w:r>
    </w:p>
    <w:p w:rsidR="003E2B01" w:rsidRPr="00877C1B" w:rsidP="006858AD" w14:paraId="67E06D78" w14:textId="0261FCEC">
      <w:pPr>
        <w:ind w:left="1080"/>
        <w:rPr>
          <w:rFonts w:ascii="Arial" w:hAnsi="Arial" w:cs="Arial"/>
          <w:sz w:val="22"/>
          <w:szCs w:val="22"/>
        </w:rPr>
      </w:pPr>
    </w:p>
    <w:p w:rsidR="00171CB3" w:rsidRPr="00877C1B" w14:paraId="7C866258"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cs="Arial"/>
          <w:sz w:val="22"/>
          <w:szCs w:val="22"/>
        </w:rPr>
      </w:pPr>
      <w:r w:rsidRPr="00877C1B">
        <w:rPr>
          <w:rFonts w:ascii="Arial" w:hAnsi="Arial" w:cs="Arial"/>
          <w:sz w:val="22"/>
          <w:szCs w:val="22"/>
        </w:rPr>
        <w:t>13.</w:t>
      </w:r>
      <w:r w:rsidRPr="00877C1B">
        <w:rPr>
          <w:rFonts w:ascii="Arial" w:hAnsi="Arial" w:cs="Arial"/>
          <w:sz w:val="22"/>
          <w:szCs w:val="22"/>
        </w:rPr>
        <w:tab/>
      </w:r>
      <w:r w:rsidRPr="00877C1B">
        <w:rPr>
          <w:rFonts w:ascii="Arial" w:hAnsi="Arial" w:cs="Arial"/>
          <w:sz w:val="22"/>
          <w:szCs w:val="22"/>
          <w:u w:val="single"/>
        </w:rPr>
        <w:t>Estimate of Other Additional Costs</w:t>
      </w:r>
    </w:p>
    <w:p w:rsidR="00171CB3" w:rsidRPr="0026636D" w14:paraId="4A77B6B0"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E92362" w:rsidRPr="00CB4CEA" w:rsidP="003478B0" w14:paraId="6DA86D5A" w14:textId="4FEE56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200"/>
        <w:rPr>
          <w:rFonts w:ascii="Arial" w:hAnsi="Arial" w:cs="Arial"/>
          <w:sz w:val="22"/>
          <w:szCs w:val="22"/>
        </w:rPr>
      </w:pPr>
      <w:r w:rsidRPr="00CB4CEA">
        <w:rPr>
          <w:rFonts w:ascii="Arial" w:hAnsi="Arial" w:cs="Arial"/>
          <w:sz w:val="22"/>
          <w:szCs w:val="22"/>
        </w:rPr>
        <w:t xml:space="preserve">The quantity of records to be maintained is roughly proportional to the recordkeeping burden and therefore can be used to </w:t>
      </w:r>
      <w:r w:rsidRPr="000E61E9">
        <w:rPr>
          <w:rFonts w:ascii="Arial" w:hAnsi="Arial" w:cs="Arial"/>
          <w:sz w:val="22"/>
          <w:szCs w:val="22"/>
        </w:rPr>
        <w:t>calculate approximate records storage costs.  Based on the number of pages maintained for a typical clearance, the records storage cost has been determined to be equal to .0004 times the recordkeeping burden cost.  Therefore, the storage cost for this clearance is estimated to be $</w:t>
      </w:r>
      <w:r w:rsidR="00EC182D">
        <w:rPr>
          <w:rFonts w:ascii="Arial" w:hAnsi="Arial" w:cs="Arial"/>
          <w:sz w:val="22"/>
          <w:szCs w:val="22"/>
        </w:rPr>
        <w:t>25,188</w:t>
      </w:r>
      <w:r w:rsidRPr="004579EE" w:rsidR="00746F6F">
        <w:rPr>
          <w:rFonts w:ascii="Arial" w:hAnsi="Arial" w:cs="Arial"/>
          <w:sz w:val="22"/>
          <w:szCs w:val="22"/>
        </w:rPr>
        <w:t xml:space="preserve"> </w:t>
      </w:r>
      <w:r w:rsidRPr="000E61E9" w:rsidR="00746F6F">
        <w:rPr>
          <w:rFonts w:ascii="Arial" w:hAnsi="Arial" w:cs="Arial"/>
          <w:sz w:val="22"/>
          <w:szCs w:val="22"/>
        </w:rPr>
        <w:t>(</w:t>
      </w:r>
      <w:r w:rsidR="00EC182D">
        <w:rPr>
          <w:rFonts w:ascii="Arial" w:hAnsi="Arial" w:cs="Arial"/>
          <w:sz w:val="22"/>
          <w:szCs w:val="22"/>
        </w:rPr>
        <w:t>217,140</w:t>
      </w:r>
      <w:r w:rsidRPr="008E0019" w:rsidR="008E0019">
        <w:rPr>
          <w:rFonts w:ascii="Arial" w:hAnsi="Arial" w:cs="Arial"/>
          <w:sz w:val="22"/>
          <w:szCs w:val="22"/>
        </w:rPr>
        <w:t xml:space="preserve"> </w:t>
      </w:r>
      <w:r w:rsidRPr="000E61E9">
        <w:rPr>
          <w:rFonts w:ascii="Arial" w:hAnsi="Arial" w:cs="Arial"/>
          <w:sz w:val="22"/>
          <w:szCs w:val="22"/>
        </w:rPr>
        <w:t xml:space="preserve">recordkeeping hours x </w:t>
      </w:r>
      <w:r w:rsidR="000C6117">
        <w:rPr>
          <w:rFonts w:ascii="Arial" w:hAnsi="Arial" w:cs="Arial"/>
          <w:sz w:val="22"/>
          <w:szCs w:val="22"/>
        </w:rPr>
        <w:t>$</w:t>
      </w:r>
      <w:r w:rsidR="00285D03">
        <w:rPr>
          <w:rFonts w:ascii="Arial" w:hAnsi="Arial" w:cs="Arial"/>
          <w:sz w:val="22"/>
          <w:szCs w:val="22"/>
        </w:rPr>
        <w:t>290</w:t>
      </w:r>
      <w:r w:rsidRPr="000E61E9">
        <w:rPr>
          <w:rFonts w:ascii="Arial" w:hAnsi="Arial" w:cs="Arial"/>
          <w:sz w:val="22"/>
          <w:szCs w:val="22"/>
        </w:rPr>
        <w:t xml:space="preserve"> x .0004).</w:t>
      </w:r>
    </w:p>
    <w:p w:rsidR="00171CB3" w:rsidRPr="0026636D" w:rsidP="003E2B01" w14:paraId="717819B7" w14:textId="06939C50">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171CB3" w:rsidRPr="0026636D" w:rsidP="003478B0" w14:paraId="277F83C8" w14:textId="34BB1157">
      <w:pPr>
        <w:pStyle w:val="Level1"/>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26636D">
        <w:rPr>
          <w:rFonts w:ascii="Arial" w:hAnsi="Arial"/>
          <w:sz w:val="22"/>
        </w:rPr>
        <w:tab/>
      </w:r>
      <w:r w:rsidR="003478B0">
        <w:rPr>
          <w:rFonts w:ascii="Arial" w:hAnsi="Arial"/>
          <w:sz w:val="22"/>
        </w:rPr>
        <w:t>14.</w:t>
      </w:r>
      <w:r w:rsidRPr="0026636D" w:rsidR="00CC56CC">
        <w:rPr>
          <w:rFonts w:ascii="Arial" w:hAnsi="Arial"/>
          <w:sz w:val="22"/>
        </w:rPr>
        <w:tab/>
      </w:r>
      <w:r w:rsidRPr="0026636D">
        <w:rPr>
          <w:rFonts w:ascii="Arial" w:hAnsi="Arial"/>
          <w:sz w:val="22"/>
          <w:u w:val="single"/>
        </w:rPr>
        <w:t>Estimated Annualized Cost to the Federal Government</w:t>
      </w:r>
    </w:p>
    <w:p w:rsidR="00171CB3" w:rsidRPr="0026636D" w14:paraId="61EF64B3"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6F4ED6" w:rsidRPr="0002614D" w:rsidP="00A84622" w14:paraId="2488CBCC" w14:textId="77777777">
      <w:pPr>
        <w:pStyle w:val="Level1"/>
        <w:widowControl/>
        <w:ind w:left="1260"/>
        <w:rPr>
          <w:rFonts w:ascii="Arial" w:hAnsi="Arial"/>
          <w:sz w:val="22"/>
          <w:szCs w:val="22"/>
        </w:rPr>
      </w:pPr>
      <w:r w:rsidRPr="0002614D">
        <w:rPr>
          <w:rFonts w:ascii="Arial" w:hAnsi="Arial" w:cs="Arial"/>
          <w:sz w:val="22"/>
          <w:szCs w:val="22"/>
        </w:rPr>
        <w:t>The staff has developed estimates of annualized costs to the Federal Government related to the conduct of this collection of information.  These estimates are based on staff experience and subject matter expertise and include the burden needed to review, analyze, and process the collected information and any relevant operational expenses</w:t>
      </w:r>
      <w:r>
        <w:rPr>
          <w:rFonts w:ascii="Arial" w:hAnsi="Arial" w:cs="Arial"/>
          <w:sz w:val="22"/>
          <w:szCs w:val="22"/>
        </w:rPr>
        <w:t>.</w:t>
      </w:r>
    </w:p>
    <w:p w:rsidR="006F4ED6" w:rsidP="003478B0" w14:paraId="00E32180"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s>
        <w:ind w:left="1170"/>
        <w:rPr>
          <w:rFonts w:ascii="Arial" w:hAnsi="Arial" w:cs="Arial"/>
          <w:sz w:val="22"/>
          <w:szCs w:val="22"/>
        </w:rPr>
      </w:pPr>
    </w:p>
    <w:p w:rsidR="00E92362" w:rsidRPr="00CB4CEA" w:rsidP="00A84622" w14:paraId="37F70716" w14:textId="407D376C">
      <w:pPr>
        <w:tabs>
          <w:tab w:val="left" w:pos="0"/>
          <w:tab w:val="left" w:pos="720"/>
          <w:tab w:val="left" w:pos="2160"/>
          <w:tab w:val="left" w:pos="2880"/>
          <w:tab w:val="left" w:pos="3600"/>
          <w:tab w:val="left" w:pos="4320"/>
          <w:tab w:val="left" w:pos="5040"/>
          <w:tab w:val="left" w:pos="5760"/>
          <w:tab w:val="left" w:pos="6480"/>
          <w:tab w:val="left" w:pos="7200"/>
          <w:tab w:val="left" w:pos="7920"/>
        </w:tabs>
        <w:ind w:left="1260"/>
        <w:rPr>
          <w:rFonts w:ascii="Arial" w:hAnsi="Arial" w:cs="Arial"/>
          <w:sz w:val="22"/>
          <w:szCs w:val="22"/>
        </w:rPr>
      </w:pPr>
      <w:r w:rsidRPr="00CB4CEA">
        <w:rPr>
          <w:rFonts w:ascii="Arial" w:hAnsi="Arial" w:cs="Arial"/>
          <w:sz w:val="22"/>
          <w:szCs w:val="22"/>
        </w:rPr>
        <w:t>The annualized cost to the government is</w:t>
      </w:r>
      <w:r w:rsidR="002F1086">
        <w:rPr>
          <w:rFonts w:ascii="Arial" w:hAnsi="Arial" w:cs="Arial"/>
          <w:sz w:val="22"/>
          <w:szCs w:val="22"/>
        </w:rPr>
        <w:t xml:space="preserve"> estimated to be</w:t>
      </w:r>
      <w:r w:rsidRPr="00CB4CEA">
        <w:rPr>
          <w:rFonts w:ascii="Arial" w:hAnsi="Arial" w:cs="Arial"/>
          <w:sz w:val="22"/>
          <w:szCs w:val="22"/>
        </w:rPr>
        <w:t xml:space="preserve"> </w:t>
      </w:r>
      <w:r w:rsidRPr="002F1086" w:rsidR="002F1086">
        <w:rPr>
          <w:rFonts w:ascii="Arial" w:hAnsi="Arial" w:cs="Arial"/>
          <w:sz w:val="22"/>
          <w:szCs w:val="22"/>
        </w:rPr>
        <w:t>$</w:t>
      </w:r>
      <w:r w:rsidR="00F50438">
        <w:rPr>
          <w:rFonts w:ascii="Arial" w:hAnsi="Arial" w:cs="Arial"/>
          <w:sz w:val="22"/>
          <w:szCs w:val="22"/>
        </w:rPr>
        <w:t>8,746,400</w:t>
      </w:r>
      <w:r w:rsidRPr="002F1086" w:rsidR="002F1086">
        <w:rPr>
          <w:rFonts w:ascii="Arial" w:hAnsi="Arial" w:cs="Arial"/>
          <w:sz w:val="22"/>
          <w:szCs w:val="22"/>
        </w:rPr>
        <w:t xml:space="preserve"> </w:t>
      </w:r>
      <w:r w:rsidR="002F1086">
        <w:rPr>
          <w:rFonts w:ascii="Arial" w:hAnsi="Arial" w:cs="Arial"/>
          <w:sz w:val="22"/>
          <w:szCs w:val="22"/>
        </w:rPr>
        <w:t>(</w:t>
      </w:r>
      <w:r w:rsidR="00F50438">
        <w:rPr>
          <w:rFonts w:ascii="Arial" w:hAnsi="Arial" w:cs="Arial"/>
          <w:sz w:val="22"/>
          <w:szCs w:val="22"/>
        </w:rPr>
        <w:t>30,160</w:t>
      </w:r>
      <w:r w:rsidRPr="002F1086" w:rsidR="002F1086">
        <w:rPr>
          <w:rFonts w:ascii="Arial" w:hAnsi="Arial" w:cs="Arial"/>
          <w:sz w:val="22"/>
          <w:szCs w:val="22"/>
        </w:rPr>
        <w:t xml:space="preserve"> </w:t>
      </w:r>
      <w:r w:rsidR="002F1086">
        <w:rPr>
          <w:rFonts w:ascii="Arial" w:hAnsi="Arial" w:cs="Arial"/>
          <w:sz w:val="22"/>
          <w:szCs w:val="22"/>
        </w:rPr>
        <w:t xml:space="preserve">staff hours x </w:t>
      </w:r>
      <w:r w:rsidR="000C6117">
        <w:rPr>
          <w:rFonts w:ascii="Arial" w:hAnsi="Arial" w:cs="Arial"/>
          <w:sz w:val="22"/>
          <w:szCs w:val="22"/>
        </w:rPr>
        <w:t>$2</w:t>
      </w:r>
      <w:r w:rsidR="00855E0C">
        <w:rPr>
          <w:rFonts w:ascii="Arial" w:hAnsi="Arial" w:cs="Arial"/>
          <w:sz w:val="22"/>
          <w:szCs w:val="22"/>
        </w:rPr>
        <w:t>90</w:t>
      </w:r>
      <w:r w:rsidR="002F1086">
        <w:rPr>
          <w:rFonts w:ascii="Arial" w:hAnsi="Arial" w:cs="Arial"/>
          <w:sz w:val="22"/>
          <w:szCs w:val="22"/>
        </w:rPr>
        <w:t>/</w:t>
      </w:r>
      <w:r w:rsidR="002F1086">
        <w:rPr>
          <w:rFonts w:ascii="Arial" w:hAnsi="Arial" w:cs="Arial"/>
          <w:sz w:val="22"/>
          <w:szCs w:val="22"/>
        </w:rPr>
        <w:t>hr</w:t>
      </w:r>
      <w:r w:rsidR="002F1086">
        <w:rPr>
          <w:rFonts w:ascii="Arial" w:hAnsi="Arial" w:cs="Arial"/>
          <w:sz w:val="22"/>
          <w:szCs w:val="22"/>
        </w:rPr>
        <w:t>)</w:t>
      </w:r>
      <w:r w:rsidR="00C3078C">
        <w:rPr>
          <w:rFonts w:ascii="Arial" w:hAnsi="Arial" w:cs="Arial"/>
          <w:sz w:val="22"/>
          <w:szCs w:val="22"/>
        </w:rPr>
        <w:t>.</w:t>
      </w:r>
    </w:p>
    <w:p w:rsidR="00171CB3" w:rsidRPr="0026636D" w14:paraId="42108869"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171CB3" w:rsidRPr="0026636D" w14:paraId="0F4DEBB4"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15.</w:t>
      </w:r>
      <w:r w:rsidRPr="0026636D">
        <w:rPr>
          <w:rFonts w:ascii="Arial" w:hAnsi="Arial"/>
          <w:sz w:val="22"/>
        </w:rPr>
        <w:tab/>
      </w:r>
      <w:r w:rsidRPr="0026636D">
        <w:rPr>
          <w:rFonts w:ascii="Arial" w:hAnsi="Arial"/>
          <w:sz w:val="22"/>
          <w:u w:val="single"/>
        </w:rPr>
        <w:t>Reasons for Changes in Burden or Cost</w:t>
      </w:r>
    </w:p>
    <w:p w:rsidR="00171CB3" w14:paraId="3B581DC6"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D923F3" w:rsidP="00B8087B" w14:paraId="605B4CA8" w14:textId="60F8E6A5">
      <w:pPr>
        <w:tabs>
          <w:tab w:val="left" w:pos="-1080"/>
          <w:tab w:val="left" w:pos="-360"/>
          <w:tab w:val="left" w:pos="0"/>
          <w:tab w:val="left" w:pos="360"/>
          <w:tab w:val="left" w:pos="720"/>
          <w:tab w:val="left" w:pos="81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9D5114">
        <w:rPr>
          <w:rFonts w:ascii="Arial" w:hAnsi="Arial" w:cs="Arial"/>
          <w:color w:val="000000"/>
          <w:sz w:val="22"/>
          <w:szCs w:val="22"/>
        </w:rPr>
        <w:t>This is a request for a new clearance</w:t>
      </w:r>
      <w:r>
        <w:rPr>
          <w:rFonts w:ascii="Arial" w:hAnsi="Arial" w:cs="Arial"/>
          <w:color w:val="000000"/>
          <w:sz w:val="22"/>
          <w:szCs w:val="22"/>
        </w:rPr>
        <w:t>.  Previously, burden for information collections contained in 10 CFR 50.55a was covered under the clearance for 10 CFR Part 50 (3150-0011)</w:t>
      </w:r>
      <w:r w:rsidR="00B8087B">
        <w:rPr>
          <w:rFonts w:ascii="Arial" w:hAnsi="Arial" w:cs="Arial"/>
          <w:color w:val="000000"/>
          <w:sz w:val="22"/>
          <w:szCs w:val="22"/>
        </w:rPr>
        <w:t xml:space="preserve">, estimated at </w:t>
      </w:r>
      <w:r w:rsidRPr="00C142C8" w:rsidR="00C142C8">
        <w:rPr>
          <w:rFonts w:ascii="Arial" w:hAnsi="Arial" w:cs="Arial"/>
          <w:color w:val="000000"/>
          <w:sz w:val="22"/>
          <w:szCs w:val="22"/>
        </w:rPr>
        <w:t>430,414</w:t>
      </w:r>
      <w:r w:rsidR="00DD4BB4">
        <w:rPr>
          <w:rFonts w:ascii="Arial" w:hAnsi="Arial" w:cs="Arial"/>
          <w:color w:val="000000"/>
          <w:sz w:val="22"/>
          <w:szCs w:val="22"/>
        </w:rPr>
        <w:t xml:space="preserve"> </w:t>
      </w:r>
      <w:r w:rsidR="00C142C8">
        <w:rPr>
          <w:rFonts w:ascii="Arial" w:hAnsi="Arial" w:cs="Arial"/>
          <w:color w:val="000000"/>
          <w:sz w:val="22"/>
          <w:szCs w:val="22"/>
        </w:rPr>
        <w:t xml:space="preserve">hours and </w:t>
      </w:r>
      <w:r w:rsidR="00DD4BB4">
        <w:rPr>
          <w:rFonts w:ascii="Arial" w:hAnsi="Arial" w:cs="Arial"/>
          <w:color w:val="000000"/>
          <w:sz w:val="22"/>
          <w:szCs w:val="22"/>
        </w:rPr>
        <w:t>949 responses.</w:t>
      </w:r>
      <w:r w:rsidR="004F3979">
        <w:rPr>
          <w:rFonts w:ascii="Arial" w:hAnsi="Arial" w:cs="Arial"/>
          <w:color w:val="000000"/>
          <w:sz w:val="22"/>
          <w:szCs w:val="22"/>
        </w:rPr>
        <w:t xml:space="preserve">  The </w:t>
      </w:r>
      <w:r w:rsidR="00A30EF9">
        <w:rPr>
          <w:rFonts w:ascii="Arial" w:hAnsi="Arial" w:cs="Arial"/>
          <w:color w:val="000000"/>
          <w:sz w:val="22"/>
          <w:szCs w:val="22"/>
        </w:rPr>
        <w:t>requested</w:t>
      </w:r>
      <w:r w:rsidR="004F3979">
        <w:rPr>
          <w:rFonts w:ascii="Arial" w:hAnsi="Arial" w:cs="Arial"/>
          <w:color w:val="000000"/>
          <w:sz w:val="22"/>
          <w:szCs w:val="22"/>
        </w:rPr>
        <w:t xml:space="preserve"> burden estimate for </w:t>
      </w:r>
      <w:r w:rsidR="008719E6">
        <w:rPr>
          <w:rFonts w:ascii="Arial" w:hAnsi="Arial" w:cs="Arial"/>
          <w:color w:val="000000"/>
          <w:sz w:val="22"/>
          <w:szCs w:val="22"/>
        </w:rPr>
        <w:t xml:space="preserve">50.55a is </w:t>
      </w:r>
      <w:r w:rsidR="002177E3">
        <w:rPr>
          <w:rFonts w:ascii="Arial" w:hAnsi="Arial" w:cs="Arial"/>
          <w:color w:val="000000"/>
          <w:sz w:val="22"/>
          <w:szCs w:val="22"/>
        </w:rPr>
        <w:t>336,416</w:t>
      </w:r>
      <w:r w:rsidR="008719E6">
        <w:rPr>
          <w:rFonts w:ascii="Arial" w:hAnsi="Arial" w:cs="Arial"/>
          <w:color w:val="000000"/>
          <w:sz w:val="22"/>
          <w:szCs w:val="22"/>
        </w:rPr>
        <w:t xml:space="preserve"> hours and </w:t>
      </w:r>
      <w:r w:rsidR="00F50438">
        <w:rPr>
          <w:rFonts w:ascii="Arial" w:hAnsi="Arial" w:cs="Arial"/>
          <w:color w:val="000000"/>
          <w:sz w:val="22"/>
          <w:szCs w:val="22"/>
        </w:rPr>
        <w:t>754</w:t>
      </w:r>
      <w:r w:rsidR="008719E6">
        <w:rPr>
          <w:rFonts w:ascii="Arial" w:hAnsi="Arial" w:cs="Arial"/>
          <w:color w:val="000000"/>
          <w:sz w:val="22"/>
          <w:szCs w:val="22"/>
        </w:rPr>
        <w:t xml:space="preserve"> responses.  </w:t>
      </w:r>
      <w:r w:rsidR="007752B5">
        <w:rPr>
          <w:rFonts w:ascii="Arial" w:hAnsi="Arial" w:cs="Arial"/>
          <w:color w:val="000000"/>
          <w:sz w:val="22"/>
          <w:szCs w:val="22"/>
        </w:rPr>
        <w:t>The decrease in burden associated with information collections in 50.55a is due to</w:t>
      </w:r>
      <w:r w:rsidR="00F50438">
        <w:rPr>
          <w:rFonts w:ascii="Arial" w:hAnsi="Arial" w:cs="Arial"/>
          <w:color w:val="000000"/>
          <w:sz w:val="22"/>
          <w:szCs w:val="22"/>
        </w:rPr>
        <w:t xml:space="preserve"> a decrease</w:t>
      </w:r>
      <w:r w:rsidR="00C00911">
        <w:rPr>
          <w:rFonts w:ascii="Arial" w:hAnsi="Arial" w:cs="Arial"/>
          <w:color w:val="000000"/>
          <w:sz w:val="22"/>
          <w:szCs w:val="22"/>
        </w:rPr>
        <w:t xml:space="preserve"> in the total number of respondents from 98 (94 operating reactors and 4 plants under construction) to 94 (94 operating reactors) and a decrease in total responses since OMB Clearance 3150-0011</w:t>
      </w:r>
      <w:r w:rsidR="009F1462">
        <w:rPr>
          <w:rFonts w:ascii="Arial" w:hAnsi="Arial" w:cs="Arial"/>
          <w:color w:val="000000"/>
          <w:sz w:val="22"/>
          <w:szCs w:val="22"/>
        </w:rPr>
        <w:t xml:space="preserve"> was last renewed in 2020</w:t>
      </w:r>
      <w:r w:rsidR="00C00911">
        <w:rPr>
          <w:rFonts w:ascii="Arial" w:hAnsi="Arial" w:cs="Arial"/>
          <w:color w:val="000000"/>
          <w:sz w:val="22"/>
          <w:szCs w:val="22"/>
        </w:rPr>
        <w:t>.</w:t>
      </w:r>
    </w:p>
    <w:p w:rsidR="00D923F3" w:rsidP="00B8087B" w14:paraId="6B098ECE" w14:textId="77777777">
      <w:pPr>
        <w:tabs>
          <w:tab w:val="left" w:pos="-1080"/>
          <w:tab w:val="left" w:pos="-360"/>
          <w:tab w:val="left" w:pos="0"/>
          <w:tab w:val="left" w:pos="360"/>
          <w:tab w:val="left" w:pos="720"/>
          <w:tab w:val="left" w:pos="81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p>
    <w:p w:rsidR="00D923F3" w:rsidP="00B8087B" w14:paraId="0B84EF02" w14:textId="04FC2876">
      <w:pPr>
        <w:tabs>
          <w:tab w:val="left" w:pos="-1080"/>
          <w:tab w:val="left" w:pos="-360"/>
          <w:tab w:val="left" w:pos="0"/>
          <w:tab w:val="left" w:pos="360"/>
          <w:tab w:val="left" w:pos="720"/>
          <w:tab w:val="left" w:pos="81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Pr>
          <w:rFonts w:ascii="Arial" w:hAnsi="Arial" w:cs="Arial"/>
          <w:color w:val="000000"/>
          <w:sz w:val="22"/>
          <w:szCs w:val="22"/>
        </w:rPr>
        <w:t>There are no</w:t>
      </w:r>
      <w:r w:rsidR="002765EC">
        <w:rPr>
          <w:rFonts w:ascii="Arial" w:hAnsi="Arial" w:cs="Arial"/>
          <w:color w:val="000000"/>
          <w:sz w:val="22"/>
          <w:szCs w:val="22"/>
        </w:rPr>
        <w:t xml:space="preserve"> </w:t>
      </w:r>
      <w:r w:rsidR="00A84622">
        <w:rPr>
          <w:rFonts w:ascii="Arial" w:hAnsi="Arial" w:cs="Arial"/>
          <w:color w:val="000000"/>
          <w:sz w:val="22"/>
          <w:szCs w:val="22"/>
        </w:rPr>
        <w:t>third-party</w:t>
      </w:r>
      <w:r w:rsidR="00347350">
        <w:rPr>
          <w:rFonts w:ascii="Arial" w:hAnsi="Arial" w:cs="Arial"/>
          <w:color w:val="000000"/>
          <w:sz w:val="22"/>
          <w:szCs w:val="22"/>
        </w:rPr>
        <w:t xml:space="preserve"> disclosures in this </w:t>
      </w:r>
      <w:r w:rsidR="006B5EF1">
        <w:rPr>
          <w:rFonts w:ascii="Arial" w:hAnsi="Arial" w:cs="Arial"/>
          <w:color w:val="000000"/>
          <w:sz w:val="22"/>
          <w:szCs w:val="22"/>
        </w:rPr>
        <w:t>clearance as there are no anticipated nuclear power plants under active construction during this period.</w:t>
      </w:r>
      <w:r w:rsidR="00C07CA6">
        <w:rPr>
          <w:rFonts w:ascii="Arial" w:hAnsi="Arial" w:cs="Arial"/>
          <w:color w:val="000000"/>
          <w:sz w:val="22"/>
          <w:szCs w:val="22"/>
        </w:rPr>
        <w:t xml:space="preserve"> </w:t>
      </w:r>
    </w:p>
    <w:p w:rsidR="00F45F34" w:rsidP="00B8087B" w14:paraId="104C7906" w14:textId="77777777">
      <w:pPr>
        <w:tabs>
          <w:tab w:val="left" w:pos="-1080"/>
          <w:tab w:val="left" w:pos="-360"/>
          <w:tab w:val="left" w:pos="0"/>
          <w:tab w:val="left" w:pos="360"/>
          <w:tab w:val="left" w:pos="720"/>
          <w:tab w:val="left" w:pos="81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p>
    <w:p w:rsidR="00F45F34" w:rsidP="00B8087B" w14:paraId="4895B708" w14:textId="2E2E2491">
      <w:pPr>
        <w:tabs>
          <w:tab w:val="left" w:pos="-1080"/>
          <w:tab w:val="left" w:pos="-360"/>
          <w:tab w:val="left" w:pos="0"/>
          <w:tab w:val="left" w:pos="360"/>
          <w:tab w:val="left" w:pos="720"/>
          <w:tab w:val="left" w:pos="81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Pr>
          <w:rFonts w:ascii="Arial" w:hAnsi="Arial" w:cs="Arial"/>
          <w:color w:val="000000"/>
          <w:sz w:val="22"/>
          <w:szCs w:val="22"/>
        </w:rPr>
        <w:t xml:space="preserve">The number of </w:t>
      </w:r>
      <w:r w:rsidR="004F56C3">
        <w:rPr>
          <w:rFonts w:ascii="Arial" w:hAnsi="Arial" w:cs="Arial"/>
          <w:color w:val="000000"/>
          <w:sz w:val="22"/>
          <w:szCs w:val="22"/>
        </w:rPr>
        <w:t xml:space="preserve">anticipated </w:t>
      </w:r>
      <w:r w:rsidR="005D7268">
        <w:rPr>
          <w:rFonts w:ascii="Arial" w:hAnsi="Arial" w:cs="Arial"/>
          <w:color w:val="000000"/>
          <w:sz w:val="22"/>
          <w:szCs w:val="22"/>
        </w:rPr>
        <w:t xml:space="preserve">requests for alternatives submitted in the online portal has decreased </w:t>
      </w:r>
      <w:r w:rsidR="00670567">
        <w:rPr>
          <w:rFonts w:ascii="Arial" w:hAnsi="Arial" w:cs="Arial"/>
          <w:color w:val="000000"/>
          <w:sz w:val="22"/>
          <w:szCs w:val="22"/>
        </w:rPr>
        <w:t xml:space="preserve">from </w:t>
      </w:r>
      <w:r w:rsidR="0051595D">
        <w:rPr>
          <w:rFonts w:ascii="Arial" w:hAnsi="Arial" w:cs="Arial"/>
          <w:color w:val="000000"/>
          <w:sz w:val="22"/>
          <w:szCs w:val="22"/>
        </w:rPr>
        <w:t xml:space="preserve">218 to 47 </w:t>
      </w:r>
      <w:r w:rsidR="005D7268">
        <w:rPr>
          <w:rFonts w:ascii="Arial" w:hAnsi="Arial" w:cs="Arial"/>
          <w:color w:val="000000"/>
          <w:sz w:val="22"/>
          <w:szCs w:val="22"/>
        </w:rPr>
        <w:t xml:space="preserve">since the </w:t>
      </w:r>
      <w:r w:rsidR="00670567">
        <w:rPr>
          <w:rFonts w:ascii="Arial" w:hAnsi="Arial" w:cs="Arial"/>
          <w:color w:val="000000"/>
          <w:sz w:val="22"/>
          <w:szCs w:val="22"/>
        </w:rPr>
        <w:t>Part 50 clearance was submitted in 2020.</w:t>
      </w:r>
      <w:r w:rsidR="0051595D">
        <w:rPr>
          <w:rFonts w:ascii="Arial" w:hAnsi="Arial" w:cs="Arial"/>
          <w:color w:val="000000"/>
          <w:sz w:val="22"/>
          <w:szCs w:val="22"/>
        </w:rPr>
        <w:t xml:space="preserve">  The current estimate is based on a review of recent submissions using the online portal.  Fewer submissions have been received than was previously anticipated.</w:t>
      </w:r>
    </w:p>
    <w:p w:rsidR="00D923F3" w:rsidP="00B8087B" w14:paraId="04CA3895" w14:textId="77777777">
      <w:pPr>
        <w:tabs>
          <w:tab w:val="left" w:pos="-1080"/>
          <w:tab w:val="left" w:pos="-360"/>
          <w:tab w:val="left" w:pos="0"/>
          <w:tab w:val="left" w:pos="360"/>
          <w:tab w:val="left" w:pos="720"/>
          <w:tab w:val="left" w:pos="81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p>
    <w:p w:rsidR="007752B5" w:rsidP="00B8087B" w14:paraId="45479C63" w14:textId="4F91EB82">
      <w:pPr>
        <w:tabs>
          <w:tab w:val="left" w:pos="-1080"/>
          <w:tab w:val="left" w:pos="-360"/>
          <w:tab w:val="left" w:pos="0"/>
          <w:tab w:val="left" w:pos="360"/>
          <w:tab w:val="left" w:pos="720"/>
          <w:tab w:val="left" w:pos="81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Pr>
          <w:rFonts w:ascii="Arial" w:hAnsi="Arial" w:cs="Arial"/>
          <w:color w:val="000000"/>
          <w:sz w:val="22"/>
          <w:szCs w:val="22"/>
        </w:rPr>
        <w:t xml:space="preserve">IEEE standards were not included in the previous clearance, but there </w:t>
      </w:r>
      <w:r>
        <w:rPr>
          <w:rFonts w:ascii="Arial" w:hAnsi="Arial" w:cs="Arial"/>
          <w:color w:val="000000"/>
          <w:sz w:val="22"/>
          <w:szCs w:val="22"/>
        </w:rPr>
        <w:t>are</w:t>
      </w:r>
      <w:r>
        <w:rPr>
          <w:rFonts w:ascii="Arial" w:hAnsi="Arial" w:cs="Arial"/>
          <w:color w:val="000000"/>
          <w:sz w:val="22"/>
          <w:szCs w:val="22"/>
        </w:rPr>
        <w:t xml:space="preserve"> no recordkeeping or reporting requirements inherent in the standards, so they do not </w:t>
      </w:r>
      <w:r w:rsidR="009F0945">
        <w:rPr>
          <w:rFonts w:ascii="Arial" w:hAnsi="Arial" w:cs="Arial"/>
          <w:color w:val="000000"/>
          <w:sz w:val="22"/>
          <w:szCs w:val="22"/>
        </w:rPr>
        <w:t>add additional burden on their own.</w:t>
      </w:r>
    </w:p>
    <w:p w:rsidR="007752B5" w:rsidP="00B8087B" w14:paraId="35F052A6" w14:textId="77777777">
      <w:pPr>
        <w:tabs>
          <w:tab w:val="left" w:pos="-1080"/>
          <w:tab w:val="left" w:pos="-360"/>
          <w:tab w:val="left" w:pos="0"/>
          <w:tab w:val="left" w:pos="360"/>
          <w:tab w:val="left" w:pos="720"/>
          <w:tab w:val="left" w:pos="81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p>
    <w:p w:rsidR="00B8087B" w:rsidRPr="009D5114" w:rsidP="00B8087B" w14:paraId="49AC281F" w14:textId="5F3397BE">
      <w:pPr>
        <w:tabs>
          <w:tab w:val="left" w:pos="-1080"/>
          <w:tab w:val="left" w:pos="-360"/>
          <w:tab w:val="left" w:pos="0"/>
          <w:tab w:val="left" w:pos="360"/>
          <w:tab w:val="left" w:pos="720"/>
          <w:tab w:val="left" w:pos="81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Pr>
          <w:rFonts w:ascii="Arial" w:hAnsi="Arial" w:cs="Arial"/>
          <w:color w:val="000000"/>
          <w:sz w:val="22"/>
          <w:szCs w:val="22"/>
        </w:rPr>
        <w:t>After the approval of the new clearance for 50.55a</w:t>
      </w:r>
      <w:r w:rsidR="00760DF7">
        <w:rPr>
          <w:rFonts w:ascii="Arial" w:hAnsi="Arial" w:cs="Arial"/>
          <w:color w:val="000000"/>
          <w:sz w:val="22"/>
          <w:szCs w:val="22"/>
        </w:rPr>
        <w:t xml:space="preserve"> and assignment of </w:t>
      </w:r>
      <w:r w:rsidR="00C00911">
        <w:rPr>
          <w:rFonts w:ascii="Arial" w:hAnsi="Arial" w:cs="Arial"/>
          <w:color w:val="000000"/>
          <w:sz w:val="22"/>
          <w:szCs w:val="22"/>
        </w:rPr>
        <w:t>the</w:t>
      </w:r>
      <w:r w:rsidR="00760DF7">
        <w:rPr>
          <w:rFonts w:ascii="Arial" w:hAnsi="Arial" w:cs="Arial"/>
          <w:color w:val="000000"/>
          <w:sz w:val="22"/>
          <w:szCs w:val="22"/>
        </w:rPr>
        <w:t xml:space="preserve"> new clearance number</w:t>
      </w:r>
      <w:r>
        <w:rPr>
          <w:rFonts w:ascii="Arial" w:hAnsi="Arial" w:cs="Arial"/>
          <w:color w:val="000000"/>
          <w:sz w:val="22"/>
          <w:szCs w:val="22"/>
        </w:rPr>
        <w:t xml:space="preserve">, the NRC staff </w:t>
      </w:r>
      <w:r w:rsidR="00760DF7">
        <w:rPr>
          <w:rFonts w:ascii="Arial" w:hAnsi="Arial" w:cs="Arial"/>
          <w:color w:val="000000"/>
          <w:sz w:val="22"/>
          <w:szCs w:val="22"/>
        </w:rPr>
        <w:t>intends to</w:t>
      </w:r>
      <w:r>
        <w:rPr>
          <w:rFonts w:ascii="Arial" w:hAnsi="Arial" w:cs="Arial"/>
          <w:color w:val="000000"/>
          <w:sz w:val="22"/>
          <w:szCs w:val="22"/>
        </w:rPr>
        <w:t xml:space="preserve"> remove the burden and responses for these requirements from the Part 50 c</w:t>
      </w:r>
      <w:r w:rsidR="00760DF7">
        <w:rPr>
          <w:rFonts w:ascii="Arial" w:hAnsi="Arial" w:cs="Arial"/>
          <w:color w:val="000000"/>
          <w:sz w:val="22"/>
          <w:szCs w:val="22"/>
        </w:rPr>
        <w:t>learance</w:t>
      </w:r>
      <w:r w:rsidR="004D22BB">
        <w:rPr>
          <w:rFonts w:ascii="Arial" w:hAnsi="Arial" w:cs="Arial"/>
          <w:color w:val="000000"/>
          <w:sz w:val="22"/>
          <w:szCs w:val="22"/>
        </w:rPr>
        <w:t xml:space="preserve"> (3150-0011)</w:t>
      </w:r>
      <w:r w:rsidR="00760DF7">
        <w:rPr>
          <w:rFonts w:ascii="Arial" w:hAnsi="Arial" w:cs="Arial"/>
          <w:color w:val="000000"/>
          <w:sz w:val="22"/>
          <w:szCs w:val="22"/>
        </w:rPr>
        <w:t>.</w:t>
      </w:r>
    </w:p>
    <w:p w:rsidR="006C3AD9" w:rsidP="00354598" w14:paraId="0372E050" w14:textId="77777777">
      <w:pPr>
        <w:tabs>
          <w:tab w:val="left" w:pos="-1080"/>
          <w:tab w:val="left" w:pos="-360"/>
          <w:tab w:val="left" w:pos="0"/>
          <w:tab w:val="left" w:pos="360"/>
          <w:tab w:val="left" w:pos="720"/>
          <w:tab w:val="left" w:pos="81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000000"/>
          <w:sz w:val="22"/>
          <w:szCs w:val="22"/>
          <w:highlight w:val="yellow"/>
        </w:rPr>
      </w:pPr>
    </w:p>
    <w:p w:rsidR="00171CB3" w:rsidRPr="0026636D" w14:paraId="58A264FD" w14:textId="24B495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16.</w:t>
      </w:r>
      <w:r w:rsidRPr="0026636D">
        <w:rPr>
          <w:rFonts w:ascii="Arial" w:hAnsi="Arial"/>
          <w:sz w:val="22"/>
        </w:rPr>
        <w:tab/>
      </w:r>
      <w:r w:rsidRPr="0026636D">
        <w:rPr>
          <w:rFonts w:ascii="Arial" w:hAnsi="Arial"/>
          <w:sz w:val="22"/>
          <w:u w:val="single"/>
        </w:rPr>
        <w:t>Publication for Statistical Use</w:t>
      </w:r>
    </w:p>
    <w:p w:rsidR="00171CB3" w:rsidRPr="0026636D" w14:paraId="690914FA"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171CB3" w:rsidRPr="0026636D" w14:paraId="1C769736"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26636D">
        <w:rPr>
          <w:rFonts w:ascii="Arial" w:hAnsi="Arial"/>
          <w:sz w:val="22"/>
        </w:rPr>
        <w:t>The information being collected is not expected to be published for statistical use.</w:t>
      </w:r>
    </w:p>
    <w:p w:rsidR="00171CB3" w:rsidRPr="0026636D" w14:paraId="0C93A4AC"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171CB3" w:rsidRPr="0026636D" w14:paraId="17211ADA"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17.</w:t>
      </w:r>
      <w:r w:rsidRPr="0026636D">
        <w:rPr>
          <w:rFonts w:ascii="Arial" w:hAnsi="Arial"/>
          <w:sz w:val="22"/>
        </w:rPr>
        <w:tab/>
      </w:r>
      <w:r w:rsidRPr="0026636D">
        <w:rPr>
          <w:rFonts w:ascii="Arial" w:hAnsi="Arial"/>
          <w:sz w:val="22"/>
          <w:u w:val="single"/>
        </w:rPr>
        <w:t>Reason for Not Displaying the Expiration Date</w:t>
      </w:r>
    </w:p>
    <w:p w:rsidR="00171CB3" w:rsidRPr="0026636D" w:rsidP="009E5CD7" w14:paraId="6C0FD1CB"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rsidR="00EF7FBC" w:rsidP="009E5CD7" w14:paraId="5DC2945B" w14:textId="45097051">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9E5CD7">
        <w:rPr>
          <w:rFonts w:ascii="Arial" w:hAnsi="Arial"/>
          <w:sz w:val="22"/>
        </w:rPr>
        <w:t>The recordkeeping and reporting requirements for this information collection are</w:t>
      </w:r>
      <w:r w:rsidR="004C1729">
        <w:rPr>
          <w:rFonts w:ascii="Arial" w:hAnsi="Arial"/>
          <w:sz w:val="22"/>
        </w:rPr>
        <w:t xml:space="preserve"> </w:t>
      </w:r>
      <w:r w:rsidRPr="009E5CD7">
        <w:rPr>
          <w:rFonts w:ascii="Arial" w:hAnsi="Arial"/>
          <w:sz w:val="22"/>
        </w:rPr>
        <w:t>associated with regulations and are not submitted on instruments such as forms</w:t>
      </w:r>
      <w:r w:rsidR="004C1729">
        <w:rPr>
          <w:rFonts w:ascii="Arial" w:hAnsi="Arial"/>
          <w:sz w:val="22"/>
        </w:rPr>
        <w:t xml:space="preserve"> </w:t>
      </w:r>
      <w:r w:rsidRPr="009E5CD7">
        <w:rPr>
          <w:rFonts w:ascii="Arial" w:hAnsi="Arial"/>
          <w:sz w:val="22"/>
        </w:rPr>
        <w:t>or surveys. For this reason, there are no data instruments on which to display an</w:t>
      </w:r>
      <w:r w:rsidR="004C1729">
        <w:rPr>
          <w:rFonts w:ascii="Arial" w:hAnsi="Arial"/>
          <w:sz w:val="22"/>
        </w:rPr>
        <w:t xml:space="preserve"> </w:t>
      </w:r>
      <w:r w:rsidRPr="009E5CD7">
        <w:rPr>
          <w:rFonts w:ascii="Arial" w:hAnsi="Arial"/>
          <w:sz w:val="22"/>
        </w:rPr>
        <w:t>OMB expiration date. Further, amending the regulatory text of the CFR to</w:t>
      </w:r>
      <w:r w:rsidR="004C1729">
        <w:rPr>
          <w:rFonts w:ascii="Arial" w:hAnsi="Arial"/>
          <w:sz w:val="22"/>
        </w:rPr>
        <w:t xml:space="preserve"> </w:t>
      </w:r>
      <w:r w:rsidRPr="009E5CD7">
        <w:rPr>
          <w:rFonts w:ascii="Arial" w:hAnsi="Arial"/>
          <w:sz w:val="22"/>
        </w:rPr>
        <w:t>display information that, in an annual publication, could become obsolete would</w:t>
      </w:r>
      <w:r w:rsidR="004C1729">
        <w:rPr>
          <w:rFonts w:ascii="Arial" w:hAnsi="Arial"/>
          <w:sz w:val="22"/>
        </w:rPr>
        <w:t xml:space="preserve"> </w:t>
      </w:r>
      <w:r w:rsidRPr="009E5CD7">
        <w:rPr>
          <w:rFonts w:ascii="Arial" w:hAnsi="Arial"/>
          <w:sz w:val="22"/>
        </w:rPr>
        <w:t>be unduly burdensome and too difficult to keep current.</w:t>
      </w:r>
    </w:p>
    <w:p w:rsidR="009E5CD7" w:rsidRPr="0026636D" w:rsidP="009E5CD7" w14:paraId="3402FC08"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171CB3" w:rsidRPr="0026636D" w:rsidP="00EF7FBC" w14:paraId="0CC241E0"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u w:val="single"/>
        </w:rPr>
      </w:pPr>
      <w:r>
        <w:rPr>
          <w:rFonts w:ascii="Arial" w:hAnsi="Arial"/>
          <w:sz w:val="22"/>
        </w:rPr>
        <w:tab/>
      </w:r>
      <w:r w:rsidRPr="0026636D">
        <w:rPr>
          <w:rFonts w:ascii="Arial" w:hAnsi="Arial"/>
          <w:sz w:val="22"/>
        </w:rPr>
        <w:t>18.</w:t>
      </w:r>
      <w:r w:rsidRPr="0026636D">
        <w:rPr>
          <w:rFonts w:ascii="Arial" w:hAnsi="Arial"/>
          <w:sz w:val="22"/>
        </w:rPr>
        <w:tab/>
      </w:r>
      <w:r w:rsidRPr="0026636D">
        <w:rPr>
          <w:rFonts w:ascii="Arial" w:hAnsi="Arial"/>
          <w:sz w:val="22"/>
          <w:u w:val="single"/>
        </w:rPr>
        <w:t>Exceptions to the Certification Statement</w:t>
      </w:r>
    </w:p>
    <w:p w:rsidR="00171CB3" w:rsidRPr="0026636D" w14:paraId="1365E78C"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171CB3" w:rsidRPr="0026636D" w14:paraId="4770B00A"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26636D">
        <w:rPr>
          <w:rFonts w:ascii="Arial" w:hAnsi="Arial"/>
          <w:sz w:val="22"/>
        </w:rPr>
        <w:t>None.</w:t>
      </w:r>
    </w:p>
    <w:p w:rsidR="00B651EB" w14:paraId="459417DE" w14:textId="09386E46">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600" w:hanging="600"/>
        <w:rPr>
          <w:rFonts w:ascii="Arial" w:hAnsi="Arial"/>
          <w:sz w:val="22"/>
        </w:rPr>
      </w:pPr>
    </w:p>
    <w:p w:rsidR="00171CB3" w:rsidRPr="0026636D" w14:paraId="28F2C445" w14:textId="73BA1A69">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600" w:hanging="600"/>
        <w:rPr>
          <w:rFonts w:ascii="Arial" w:hAnsi="Arial"/>
          <w:sz w:val="22"/>
        </w:rPr>
      </w:pPr>
      <w:r w:rsidRPr="0026636D">
        <w:rPr>
          <w:rFonts w:ascii="Arial" w:hAnsi="Arial"/>
          <w:sz w:val="22"/>
        </w:rPr>
        <w:t>B.</w:t>
      </w:r>
      <w:r w:rsidRPr="0026636D">
        <w:rPr>
          <w:rFonts w:ascii="Arial" w:hAnsi="Arial"/>
          <w:sz w:val="22"/>
        </w:rPr>
        <w:tab/>
      </w:r>
      <w:r w:rsidRPr="0026636D">
        <w:rPr>
          <w:rFonts w:ascii="Arial" w:hAnsi="Arial"/>
          <w:sz w:val="22"/>
          <w:u w:val="single"/>
        </w:rPr>
        <w:t>COLLECTIONS OF INFORMATION EMPLOYING STATISTICAL METHODS</w:t>
      </w:r>
    </w:p>
    <w:p w:rsidR="00171CB3" w:rsidRPr="0026636D" w14:paraId="046057B9"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171CB3" w:rsidRPr="0026636D" w:rsidP="00745DE8" w14:paraId="70B24245" w14:textId="5EE07F78">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600"/>
        <w:rPr>
          <w:rFonts w:ascii="Arial" w:hAnsi="Arial"/>
          <w:sz w:val="22"/>
        </w:rPr>
      </w:pPr>
      <w:r w:rsidRPr="0026636D">
        <w:rPr>
          <w:rFonts w:ascii="Arial" w:hAnsi="Arial"/>
          <w:sz w:val="22"/>
        </w:rPr>
        <w:t>Not applicable.</w:t>
      </w:r>
    </w:p>
    <w:p w:rsidR="00E92362" w14:paraId="0B100D47" w14:textId="77777777">
      <w:pPr>
        <w:rPr>
          <w:rFonts w:ascii="Arial" w:hAnsi="Arial"/>
          <w:sz w:val="22"/>
        </w:rPr>
      </w:pPr>
      <w:r>
        <w:rPr>
          <w:rFonts w:ascii="Arial" w:hAnsi="Arial"/>
          <w:sz w:val="22"/>
        </w:rPr>
        <w:br w:type="page"/>
      </w:r>
    </w:p>
    <w:p w:rsidR="00DA13FA" w:rsidRPr="00E77ED8" w:rsidP="00DA13FA" w14:paraId="4554F537" w14:textId="77777777">
      <w:pPr>
        <w:jc w:val="center"/>
        <w:rPr>
          <w:rFonts w:ascii="Arial" w:hAnsi="Arial" w:cs="Arial"/>
          <w:bCs/>
          <w:sz w:val="22"/>
          <w:szCs w:val="22"/>
        </w:rPr>
      </w:pPr>
      <w:r w:rsidRPr="00E77ED8">
        <w:rPr>
          <w:rFonts w:ascii="Arial" w:hAnsi="Arial" w:cs="Arial"/>
          <w:bCs/>
          <w:sz w:val="22"/>
          <w:szCs w:val="22"/>
        </w:rPr>
        <w:t>DESCRIPTION OF REQUIREMENTS</w:t>
      </w:r>
    </w:p>
    <w:p w:rsidR="00E77ED8" w:rsidP="00E77ED8" w14:paraId="0CE1C8B9" w14:textId="77BCD7A3">
      <w:pPr>
        <w:tabs>
          <w:tab w:val="center" w:pos="4680"/>
        </w:tabs>
        <w:jc w:val="center"/>
        <w:rPr>
          <w:rFonts w:ascii="Arial" w:hAnsi="Arial"/>
          <w:sz w:val="22"/>
        </w:rPr>
      </w:pPr>
      <w:r>
        <w:rPr>
          <w:rFonts w:ascii="Arial" w:hAnsi="Arial"/>
          <w:sz w:val="22"/>
        </w:rPr>
        <w:t>10 CFR PART 50.55a</w:t>
      </w:r>
    </w:p>
    <w:p w:rsidR="00E77ED8" w:rsidP="00E77ED8" w14:paraId="4CDE1103" w14:textId="1AC7B1D6">
      <w:pPr>
        <w:tabs>
          <w:tab w:val="center" w:pos="4680"/>
        </w:tabs>
        <w:jc w:val="center"/>
        <w:rPr>
          <w:rFonts w:ascii="Arial" w:hAnsi="Arial" w:cs="Arial"/>
          <w:sz w:val="22"/>
          <w:szCs w:val="22"/>
        </w:rPr>
      </w:pPr>
      <w:r>
        <w:rPr>
          <w:rFonts w:ascii="Arial" w:hAnsi="Arial" w:cs="Arial"/>
          <w:sz w:val="22"/>
          <w:szCs w:val="22"/>
        </w:rPr>
        <w:t>CODES AND STANDARDS</w:t>
      </w:r>
    </w:p>
    <w:p w:rsidR="005D7D2A" w:rsidP="005D7D2A" w14:paraId="0C8808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p>
    <w:p w:rsidR="00017D67" w:rsidP="005D7D2A" w14:paraId="6EA5A092" w14:textId="299A5836">
      <w:pPr>
        <w:rPr>
          <w:rFonts w:ascii="Arial" w:hAnsi="Arial" w:cs="Arial"/>
          <w:sz w:val="22"/>
          <w:szCs w:val="22"/>
        </w:rPr>
      </w:pPr>
      <w:r w:rsidRPr="00874FD4">
        <w:rPr>
          <w:rFonts w:ascii="Arial" w:hAnsi="Arial" w:cs="Arial"/>
          <w:sz w:val="22"/>
          <w:szCs w:val="22"/>
        </w:rPr>
        <w:t xml:space="preserve">Licensees of nuclear power plants are required to update their </w:t>
      </w:r>
      <w:r w:rsidRPr="00874FD4">
        <w:rPr>
          <w:rFonts w:ascii="Arial" w:hAnsi="Arial" w:cs="Arial"/>
          <w:sz w:val="22"/>
          <w:szCs w:val="22"/>
        </w:rPr>
        <w:t>inservice</w:t>
      </w:r>
      <w:r w:rsidRPr="00874FD4">
        <w:rPr>
          <w:rFonts w:ascii="Arial" w:hAnsi="Arial" w:cs="Arial"/>
          <w:sz w:val="22"/>
          <w:szCs w:val="22"/>
        </w:rPr>
        <w:t xml:space="preserve"> inspection (ISI) and </w:t>
      </w:r>
      <w:r w:rsidRPr="00874FD4">
        <w:rPr>
          <w:rFonts w:ascii="Arial" w:hAnsi="Arial" w:cs="Arial"/>
          <w:sz w:val="22"/>
          <w:szCs w:val="22"/>
        </w:rPr>
        <w:t>inservice</w:t>
      </w:r>
      <w:r w:rsidRPr="00874FD4">
        <w:rPr>
          <w:rFonts w:ascii="Arial" w:hAnsi="Arial" w:cs="Arial"/>
          <w:sz w:val="22"/>
          <w:szCs w:val="22"/>
        </w:rPr>
        <w:t xml:space="preserve"> testing (IST) programs every 10 years in accordance with the requirements of the latest edition and addenda of the ASME</w:t>
      </w:r>
      <w:r w:rsidR="00C00911">
        <w:rPr>
          <w:rFonts w:ascii="Arial" w:hAnsi="Arial" w:cs="Arial"/>
          <w:sz w:val="22"/>
          <w:szCs w:val="22"/>
        </w:rPr>
        <w:t xml:space="preserve"> BPV and OM</w:t>
      </w:r>
      <w:r w:rsidRPr="00874FD4">
        <w:rPr>
          <w:rFonts w:ascii="Arial" w:hAnsi="Arial" w:cs="Arial"/>
          <w:sz w:val="22"/>
          <w:szCs w:val="22"/>
        </w:rPr>
        <w:t xml:space="preserve"> Code that have been incorporated by reference into 10 CFR 50.55a as of </w:t>
      </w:r>
      <w:r w:rsidRPr="00874FD4" w:rsidR="00C00911">
        <w:rPr>
          <w:rFonts w:ascii="Arial" w:hAnsi="Arial" w:cs="Arial"/>
          <w:sz w:val="22"/>
          <w:szCs w:val="22"/>
        </w:rPr>
        <w:t>1</w:t>
      </w:r>
      <w:r w:rsidR="00C00911">
        <w:rPr>
          <w:rFonts w:ascii="Arial" w:hAnsi="Arial" w:cs="Arial"/>
          <w:sz w:val="22"/>
          <w:szCs w:val="22"/>
        </w:rPr>
        <w:t>8</w:t>
      </w:r>
      <w:r w:rsidRPr="00874FD4" w:rsidR="00C00911">
        <w:rPr>
          <w:rFonts w:ascii="Arial" w:hAnsi="Arial" w:cs="Arial"/>
          <w:sz w:val="22"/>
          <w:szCs w:val="22"/>
        </w:rPr>
        <w:t xml:space="preserve"> </w:t>
      </w:r>
      <w:r w:rsidRPr="00874FD4">
        <w:rPr>
          <w:rFonts w:ascii="Arial" w:hAnsi="Arial" w:cs="Arial"/>
          <w:sz w:val="22"/>
          <w:szCs w:val="22"/>
        </w:rPr>
        <w:t>months prior to the start of the next inspection and testing intervals</w:t>
      </w:r>
      <w:r w:rsidR="00830315">
        <w:rPr>
          <w:rFonts w:ascii="Arial" w:hAnsi="Arial" w:cs="Arial"/>
          <w:sz w:val="22"/>
          <w:szCs w:val="22"/>
        </w:rPr>
        <w:t>.</w:t>
      </w:r>
      <w:r w:rsidR="00C00911">
        <w:rPr>
          <w:rFonts w:ascii="Arial" w:hAnsi="Arial" w:cs="Arial"/>
          <w:sz w:val="22"/>
          <w:szCs w:val="22"/>
        </w:rPr>
        <w:t xml:space="preserve">  Licensees are required to submit their IST program plans to the NRC within 90 days of their implementation.</w:t>
      </w:r>
    </w:p>
    <w:p w:rsidR="00061956" w:rsidP="005360A3" w14:paraId="34A8C620" w14:textId="77777777">
      <w:pPr>
        <w:widowControl w:val="0"/>
        <w:rPr>
          <w:rFonts w:ascii="Arial" w:hAnsi="Arial" w:cs="Arial"/>
          <w:sz w:val="22"/>
          <w:szCs w:val="22"/>
        </w:rPr>
      </w:pPr>
    </w:p>
    <w:p w:rsidR="00061956" w:rsidRPr="00836144" w:rsidP="005360A3" w14:paraId="37673F90" w14:textId="20A9208B">
      <w:pPr>
        <w:widowControl w:val="0"/>
        <w:rPr>
          <w:rFonts w:ascii="Arial" w:hAnsi="Arial" w:cs="Arial"/>
          <w:i/>
          <w:iCs/>
          <w:sz w:val="22"/>
          <w:szCs w:val="22"/>
        </w:rPr>
      </w:pPr>
      <w:r w:rsidRPr="00836144">
        <w:rPr>
          <w:rFonts w:ascii="Arial" w:hAnsi="Arial" w:cs="Arial"/>
          <w:i/>
          <w:iCs/>
          <w:sz w:val="22"/>
          <w:szCs w:val="22"/>
        </w:rPr>
        <w:t>Voluntary use of later codes</w:t>
      </w:r>
    </w:p>
    <w:p w:rsidR="00FF3FBF" w:rsidP="005360A3" w14:paraId="55BCA01F" w14:textId="77777777">
      <w:pPr>
        <w:widowControl w:val="0"/>
        <w:rPr>
          <w:rFonts w:ascii="Arial" w:hAnsi="Arial" w:cs="Arial"/>
          <w:sz w:val="22"/>
          <w:szCs w:val="22"/>
        </w:rPr>
      </w:pPr>
    </w:p>
    <w:p w:rsidR="00FF3FBF" w:rsidRPr="001141EB" w:rsidP="00FF3FBF" w14:paraId="4AC0E465" w14:textId="331CCAA6">
      <w:pPr>
        <w:widowControl w:val="0"/>
        <w:rPr>
          <w:rFonts w:ascii="Arial" w:hAnsi="Arial" w:cs="Arial"/>
          <w:sz w:val="22"/>
          <w:szCs w:val="22"/>
        </w:rPr>
      </w:pPr>
      <w:r w:rsidRPr="001141EB">
        <w:rPr>
          <w:rFonts w:ascii="Arial" w:hAnsi="Arial" w:cs="Arial"/>
          <w:sz w:val="22"/>
          <w:szCs w:val="22"/>
        </w:rPr>
        <w:t xml:space="preserve">Paragraphs 10 CFR 50.55a(f)(4)(iv) and (g)(4)(iv) </w:t>
      </w:r>
      <w:r w:rsidR="00112F97">
        <w:rPr>
          <w:rFonts w:ascii="Arial" w:hAnsi="Arial" w:cs="Arial"/>
          <w:sz w:val="22"/>
          <w:szCs w:val="22"/>
        </w:rPr>
        <w:t>state</w:t>
      </w:r>
      <w:r w:rsidRPr="001141EB" w:rsidR="00112F97">
        <w:rPr>
          <w:rFonts w:ascii="Arial" w:hAnsi="Arial" w:cs="Arial"/>
          <w:sz w:val="22"/>
          <w:szCs w:val="22"/>
        </w:rPr>
        <w:t xml:space="preserve"> </w:t>
      </w:r>
      <w:r w:rsidRPr="001141EB">
        <w:rPr>
          <w:rFonts w:ascii="Arial" w:hAnsi="Arial" w:cs="Arial"/>
          <w:sz w:val="22"/>
          <w:szCs w:val="22"/>
        </w:rPr>
        <w:t xml:space="preserve">that </w:t>
      </w:r>
      <w:r w:rsidRPr="001141EB">
        <w:rPr>
          <w:rFonts w:ascii="Arial" w:hAnsi="Arial" w:cs="Arial"/>
          <w:sz w:val="22"/>
          <w:szCs w:val="22"/>
        </w:rPr>
        <w:t>inservice</w:t>
      </w:r>
      <w:r w:rsidRPr="001141EB">
        <w:rPr>
          <w:rFonts w:ascii="Arial" w:hAnsi="Arial" w:cs="Arial"/>
          <w:sz w:val="22"/>
          <w:szCs w:val="22"/>
        </w:rPr>
        <w:t xml:space="preserve"> tests of pumps and valves, </w:t>
      </w:r>
      <w:r w:rsidRPr="001141EB">
        <w:rPr>
          <w:rFonts w:ascii="Arial" w:hAnsi="Arial" w:cs="Arial"/>
          <w:sz w:val="22"/>
          <w:szCs w:val="22"/>
        </w:rPr>
        <w:t>inservice</w:t>
      </w:r>
      <w:r w:rsidRPr="001141EB">
        <w:rPr>
          <w:rFonts w:ascii="Arial" w:hAnsi="Arial" w:cs="Arial"/>
          <w:sz w:val="22"/>
          <w:szCs w:val="22"/>
        </w:rPr>
        <w:t xml:space="preserve"> examinations of components, and system pressure tests may meet the requirements set forth in subsequent editions and addenda that are incorporated by reference in 10 CFR 50.55a subject to the limitations and modifications listed in 10 CFR 50.55a(b) and subject to Commission approval.</w:t>
      </w:r>
    </w:p>
    <w:p w:rsidR="00FF3FBF" w:rsidRPr="00061956" w:rsidP="00836144" w14:paraId="7FFA9206" w14:textId="77777777">
      <w:pPr>
        <w:widowControl w:val="0"/>
        <w:rPr>
          <w:rFonts w:ascii="Arial" w:hAnsi="Arial" w:cs="Arial"/>
          <w:sz w:val="22"/>
          <w:szCs w:val="22"/>
        </w:rPr>
      </w:pPr>
    </w:p>
    <w:p w:rsidR="00830315" w:rsidP="005D7D2A" w14:paraId="1191C40F" w14:textId="5B543FF1">
      <w:pPr>
        <w:rPr>
          <w:rFonts w:ascii="Arial" w:hAnsi="Arial" w:cs="Arial"/>
          <w:sz w:val="22"/>
          <w:szCs w:val="22"/>
        </w:rPr>
      </w:pPr>
      <w:r w:rsidRPr="001141EB">
        <w:rPr>
          <w:rFonts w:ascii="Arial" w:hAnsi="Arial" w:cs="Arial"/>
          <w:sz w:val="22"/>
          <w:szCs w:val="22"/>
        </w:rPr>
        <w:t xml:space="preserve">Licensees may use later editions and addenda </w:t>
      </w:r>
      <w:r w:rsidR="00C00911">
        <w:rPr>
          <w:rFonts w:ascii="Arial" w:hAnsi="Arial" w:cs="Arial"/>
          <w:sz w:val="22"/>
          <w:szCs w:val="22"/>
        </w:rPr>
        <w:t xml:space="preserve">incorporated by reference in 10 CFR 50.55a </w:t>
      </w:r>
      <w:r w:rsidRPr="001141EB">
        <w:rPr>
          <w:rFonts w:ascii="Arial" w:hAnsi="Arial" w:cs="Arial"/>
          <w:sz w:val="22"/>
          <w:szCs w:val="22"/>
        </w:rPr>
        <w:t xml:space="preserve">if the code of record at their plant is </w:t>
      </w:r>
      <w:r w:rsidR="00C00911">
        <w:rPr>
          <w:rFonts w:ascii="Arial" w:hAnsi="Arial" w:cs="Arial"/>
          <w:sz w:val="22"/>
          <w:szCs w:val="22"/>
        </w:rPr>
        <w:t>one of the</w:t>
      </w:r>
      <w:r w:rsidRPr="001141EB">
        <w:rPr>
          <w:rFonts w:ascii="Arial" w:hAnsi="Arial" w:cs="Arial"/>
          <w:sz w:val="22"/>
          <w:szCs w:val="22"/>
        </w:rPr>
        <w:t xml:space="preserve"> earlier editions and addenda of the ASME </w:t>
      </w:r>
      <w:r w:rsidR="00C00911">
        <w:rPr>
          <w:rFonts w:ascii="Arial" w:hAnsi="Arial" w:cs="Arial"/>
          <w:sz w:val="22"/>
          <w:szCs w:val="22"/>
        </w:rPr>
        <w:t xml:space="preserve">BPV and OM </w:t>
      </w:r>
      <w:r w:rsidRPr="001141EB">
        <w:rPr>
          <w:rFonts w:ascii="Arial" w:hAnsi="Arial" w:cs="Arial"/>
          <w:sz w:val="22"/>
          <w:szCs w:val="22"/>
        </w:rPr>
        <w:t>Code</w:t>
      </w:r>
      <w:r w:rsidR="00C00911">
        <w:rPr>
          <w:rFonts w:ascii="Arial" w:hAnsi="Arial" w:cs="Arial"/>
          <w:sz w:val="22"/>
          <w:szCs w:val="22"/>
        </w:rPr>
        <w:t>s</w:t>
      </w:r>
      <w:r w:rsidRPr="001141EB">
        <w:rPr>
          <w:rFonts w:ascii="Arial" w:hAnsi="Arial" w:cs="Arial"/>
          <w:sz w:val="22"/>
          <w:szCs w:val="22"/>
        </w:rPr>
        <w:t>.  However, licensees are required to request Commission approval via a letter to use these subsequent editions and addenda as discussed in NRC Regulatory Issue Summaries 2004-12 and 2004-16.  As discussed in NRC Regulatory Issue Summary 2004-12, the amount of written documentation needed for a request to use a later Code edition and addenda that has been incorporated by reference into 10 CFR 50.55a is significantly less than for a relief request or a request to use an alternative requirement, so the information collection burden associated with a request to use a subsequent edition and addenda is less than the burden associated with an alternative request under 10 CFR 50.55a(z) or a relief request under 10 CFR 50.55a(f)(5)(iii) or (g)(5)(iii).</w:t>
      </w:r>
    </w:p>
    <w:p w:rsidR="009352A1" w:rsidP="005D7D2A" w14:paraId="7841E804" w14:textId="77777777">
      <w:pPr>
        <w:rPr>
          <w:rFonts w:ascii="Arial" w:hAnsi="Arial" w:cs="Arial"/>
          <w:sz w:val="22"/>
          <w:szCs w:val="22"/>
        </w:rPr>
      </w:pPr>
    </w:p>
    <w:p w:rsidR="00DC0A84" w:rsidRPr="001141EB" w:rsidP="00DC0A84" w14:paraId="373C2E97" w14:textId="77777777">
      <w:pPr>
        <w:widowControl w:val="0"/>
        <w:outlineLvl w:val="0"/>
        <w:rPr>
          <w:rFonts w:ascii="Arial" w:hAnsi="Arial" w:cs="Arial"/>
          <w:i/>
          <w:sz w:val="22"/>
          <w:szCs w:val="22"/>
        </w:rPr>
      </w:pPr>
      <w:r w:rsidRPr="001141EB">
        <w:rPr>
          <w:rFonts w:ascii="Arial" w:hAnsi="Arial" w:cs="Arial"/>
          <w:i/>
          <w:sz w:val="22"/>
          <w:szCs w:val="22"/>
        </w:rPr>
        <w:t>Alternative requests</w:t>
      </w:r>
    </w:p>
    <w:p w:rsidR="00DC0A84" w:rsidRPr="001141EB" w:rsidP="00DC0A84" w14:paraId="1AD41AE5" w14:textId="77777777">
      <w:pPr>
        <w:widowControl w:val="0"/>
        <w:rPr>
          <w:rFonts w:ascii="Arial" w:hAnsi="Arial" w:cs="Arial"/>
          <w:sz w:val="22"/>
          <w:szCs w:val="22"/>
        </w:rPr>
      </w:pPr>
    </w:p>
    <w:p w:rsidR="00DC0A84" w:rsidRPr="001141EB" w:rsidP="00DC0A84" w14:paraId="561873F8" w14:textId="206E80BB">
      <w:pPr>
        <w:widowControl w:val="0"/>
        <w:rPr>
          <w:rFonts w:ascii="Arial" w:hAnsi="Arial" w:cs="Arial"/>
          <w:sz w:val="22"/>
          <w:szCs w:val="22"/>
        </w:rPr>
      </w:pPr>
      <w:r w:rsidRPr="001141EB">
        <w:rPr>
          <w:rFonts w:ascii="Arial" w:hAnsi="Arial" w:cs="Arial"/>
          <w:sz w:val="22"/>
          <w:szCs w:val="22"/>
        </w:rPr>
        <w:t xml:space="preserve">Paragraph (z) of 10 CFR 50.55a allows applicants to use alternatives to the requirements of 10 CFR 50.55a paragraphs (b), (c), (d), (e), (f), (g), and (h) when authorized by the NRC.  </w:t>
      </w:r>
    </w:p>
    <w:p w:rsidR="00DC0A84" w:rsidP="005D7D2A" w14:paraId="126491DB" w14:textId="77777777">
      <w:pPr>
        <w:rPr>
          <w:rFonts w:ascii="Arial" w:hAnsi="Arial" w:cs="Arial"/>
          <w:sz w:val="22"/>
          <w:szCs w:val="22"/>
        </w:rPr>
      </w:pPr>
    </w:p>
    <w:p w:rsidR="00515AE1" w:rsidP="00515AE1" w14:paraId="772E891D" w14:textId="2595013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515AE1">
        <w:rPr>
          <w:rFonts w:ascii="Arial" w:hAnsi="Arial" w:cs="Arial"/>
          <w:sz w:val="22"/>
          <w:szCs w:val="22"/>
          <w:u w:val="single"/>
        </w:rPr>
        <w:t>10 CFR 50.55a</w:t>
      </w:r>
      <w:r>
        <w:rPr>
          <w:rFonts w:ascii="Arial" w:hAnsi="Arial" w:cs="Arial"/>
          <w:sz w:val="22"/>
          <w:szCs w:val="22"/>
        </w:rPr>
        <w:t xml:space="preserve"> incorporates by reference Division 1 rules of Section III, "Rules for Construction of Nuclear Power Plant Components," and Section XI, "Rules for Inservice Inspection of Nuclear Power Plant Components," of the American Society of Mechanical Engineers (ASME) Boiler and Pressure Vessel Code (BPV Code); and the rules of the ASME “Code for Operation and Maintenance of Nuclear Power Plants” (OM Code).  These rules of the ASME BPV and OM Codes set forth the requirements to which nuclear power plant components are designed, constructed, tested, repaired, and inspected.  The ASME </w:t>
      </w:r>
      <w:r w:rsidR="00243720">
        <w:rPr>
          <w:rFonts w:ascii="Arial" w:hAnsi="Arial" w:cs="Arial"/>
          <w:sz w:val="22"/>
          <w:szCs w:val="22"/>
        </w:rPr>
        <w:t xml:space="preserve">BPV and OM </w:t>
      </w:r>
      <w:r>
        <w:rPr>
          <w:rFonts w:ascii="Arial" w:hAnsi="Arial" w:cs="Arial"/>
          <w:sz w:val="22"/>
          <w:szCs w:val="22"/>
        </w:rPr>
        <w:t xml:space="preserve">Codes contain information collection requirements that impose a recordkeeping and reporting burden for the plant owners.  In general, the records prepared are not collected by the NRC, but are retained by the licensee to be made available to the NRC, if requested, at the time of an NRC </w:t>
      </w:r>
      <w:r w:rsidR="00AA4C56">
        <w:rPr>
          <w:rFonts w:ascii="Arial" w:hAnsi="Arial" w:cs="Arial"/>
          <w:sz w:val="22"/>
          <w:szCs w:val="22"/>
        </w:rPr>
        <w:t>review or inspection</w:t>
      </w:r>
      <w:r>
        <w:rPr>
          <w:rFonts w:ascii="Arial" w:hAnsi="Arial" w:cs="Arial"/>
          <w:sz w:val="22"/>
          <w:szCs w:val="22"/>
        </w:rPr>
        <w:t>.</w:t>
      </w:r>
    </w:p>
    <w:p w:rsidR="00993E60" w:rsidP="00515AE1" w14:paraId="50844E88"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515AE1" w:rsidP="00515AE1" w14:paraId="041D9916" w14:textId="795549F3">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Pr>
          <w:rFonts w:ascii="Arial" w:hAnsi="Arial" w:cs="Arial"/>
          <w:b/>
          <w:bCs/>
          <w:i/>
          <w:iCs/>
          <w:sz w:val="22"/>
          <w:szCs w:val="22"/>
        </w:rPr>
        <w:t>Section III Recordkeeping Requirements</w:t>
      </w:r>
    </w:p>
    <w:p w:rsidR="00515AE1" w:rsidP="00515AE1" w14:paraId="7E8690A5" w14:textId="77777777">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p>
    <w:p w:rsidR="00297950" w:rsidP="00297950" w14:paraId="268D10FA" w14:textId="4FBD0BBF">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Pr>
          <w:rFonts w:ascii="Arial" w:hAnsi="Arial" w:cs="Arial"/>
          <w:sz w:val="22"/>
          <w:szCs w:val="22"/>
        </w:rPr>
        <w:t>Section III, Subsection NCA specifies recordkeeping requirements for Class 1 (Subsection NB), Class 2 (Subsection NC), and Class 3 (Subsection ND) components.  These provisions require the Owner to:</w:t>
      </w:r>
    </w:p>
    <w:p w:rsidR="00297950" w:rsidP="00297950" w14:paraId="0CD11A4B" w14:textId="77777777">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297950" w:rsidRPr="00694471" w:rsidP="00297950" w14:paraId="4CEA700F" w14:textId="5EE6E7F0">
      <w:pPr>
        <w:pStyle w:val="ListParagraph"/>
        <w:numPr>
          <w:ilvl w:val="0"/>
          <w:numId w:val="18"/>
        </w:numPr>
        <w:spacing w:line="240" w:lineRule="auto"/>
      </w:pPr>
      <w:r w:rsidRPr="3BB5E6C2">
        <w:rPr>
          <w:color w:val="000000" w:themeColor="text1"/>
          <w:u w:val="single"/>
        </w:rPr>
        <w:t>NCA-3230: Owner's Certificate; AIA Agreement</w:t>
      </w:r>
      <w:r w:rsidRPr="3BB5E6C2">
        <w:rPr>
          <w:color w:val="000000" w:themeColor="text1"/>
        </w:rPr>
        <w:t xml:space="preserve">.  </w:t>
      </w:r>
      <w:r>
        <w:t>Prepare and submit to the ASME necessary forms to obtain an Owner's Certificate of Authorization, and to obtain a written agreement with an Authorized Inspection Agency (AIA), prior to application, to provide inspection and auditing services (NCA</w:t>
      </w:r>
      <w:r w:rsidR="2EB0D39B">
        <w:t>-</w:t>
      </w:r>
      <w:r>
        <w:t>3230).  This activity by the Owner occurs after receipt of notification from the NRC that an application for a Construction Permit or Combined Operating License has been docketed.  The information to be supplied by the Owner when making an application is identified in the forms issued by the ASME.  (Because this is submitted to the ASME, it is considered a 3</w:t>
      </w:r>
      <w:r w:rsidRPr="3BB5E6C2">
        <w:rPr>
          <w:vertAlign w:val="superscript"/>
        </w:rPr>
        <w:t>rd</w:t>
      </w:r>
      <w:r>
        <w:t xml:space="preserve"> Party Disclosure requirement and appears on the 3</w:t>
      </w:r>
      <w:r w:rsidRPr="3BB5E6C2">
        <w:rPr>
          <w:vertAlign w:val="superscript"/>
        </w:rPr>
        <w:t>rd</w:t>
      </w:r>
      <w:r>
        <w:t xml:space="preserve"> Party Table.)</w:t>
      </w:r>
    </w:p>
    <w:p w:rsidR="00297950" w:rsidRPr="00A55232" w:rsidP="00297950" w14:paraId="58D9CDDC" w14:textId="77777777">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p>
    <w:p w:rsidR="00297950" w:rsidRPr="00E0073F" w:rsidP="00297950" w14:paraId="36BB45AB" w14:textId="64DC49DF">
      <w:pPr>
        <w:pStyle w:val="ListParagraph"/>
        <w:widowControl w:val="0"/>
        <w:numPr>
          <w:ilvl w:val="0"/>
          <w:numId w:val="18"/>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pPr>
      <w:r w:rsidRPr="00317ACE">
        <w:rPr>
          <w:u w:val="single"/>
        </w:rPr>
        <w:t>NCA-3280:</w:t>
      </w:r>
      <w:r w:rsidRPr="00A55232">
        <w:rPr>
          <w:u w:val="single"/>
        </w:rPr>
        <w:t xml:space="preserve"> Owner's Data Report</w:t>
      </w:r>
      <w:r>
        <w:t xml:space="preserve">.  </w:t>
      </w:r>
      <w:r w:rsidRPr="00995B22">
        <w:t>Prepare and file ASME Form N-3, "Owner's Data Report for Nuclear Power Plant Components" (NCA-</w:t>
      </w:r>
      <w:r>
        <w:t>3280</w:t>
      </w:r>
      <w:r w:rsidRPr="00995B22">
        <w:t>).  Information to be included on this form identifies the Owner and location of the plant, and the nuclear vessels, piping, and pumps and valves installed within the plant.  Information required to identify each component includes certificate holder and serial number, system identification, state number, national board number, and year built (NCA-</w:t>
      </w:r>
      <w:r>
        <w:t>3280</w:t>
      </w:r>
      <w:r w:rsidRPr="00995B22">
        <w:t xml:space="preserve">).  Form N-3, which is provided by the ASME, expedites the documentation of this information.  </w:t>
      </w:r>
      <w:r w:rsidRPr="00E0073F">
        <w:t>(one-time recordkeeping)</w:t>
      </w:r>
    </w:p>
    <w:p w:rsidR="00297950" w:rsidP="00297950" w14:paraId="496C754E" w14:textId="77777777">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297950" w:rsidRPr="00995B22" w:rsidP="00297950" w14:paraId="60DD166A" w14:textId="31591ACB">
      <w:pPr>
        <w:pStyle w:val="ListParagraph"/>
        <w:widowControl w:val="0"/>
        <w:numPr>
          <w:ilvl w:val="0"/>
          <w:numId w:val="18"/>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pPr>
      <w:r w:rsidRPr="3BB5E6C2">
        <w:rPr>
          <w:u w:val="single"/>
        </w:rPr>
        <w:t>NCA-3260: Design Report</w:t>
      </w:r>
      <w:r>
        <w:t>.  Document that a review of the Design Report has been performed to verify that all Design and Service Loadings have been evaluated and meet the acceptance criteria (NCA-3260).  (one-time recordkeeping)</w:t>
      </w:r>
    </w:p>
    <w:p w:rsidR="00297950" w:rsidP="00297950" w14:paraId="1CB1BBA0" w14:textId="77777777">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297950" w:rsidRPr="00364DAE" w:rsidP="00297950" w14:paraId="697797CE" w14:textId="41B3111B">
      <w:pPr>
        <w:pStyle w:val="ListParagraph"/>
        <w:widowControl w:val="0"/>
        <w:numPr>
          <w:ilvl w:val="0"/>
          <w:numId w:val="18"/>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pPr>
      <w:r w:rsidRPr="00A55232">
        <w:rPr>
          <w:u w:val="single"/>
        </w:rPr>
        <w:t>NB/NC/ND-3220: Overpressure Protection Report</w:t>
      </w:r>
      <w:r>
        <w:t xml:space="preserve">.  </w:t>
      </w:r>
      <w:r w:rsidRPr="00995B22">
        <w:t xml:space="preserve">Provide and file the Overpressure Protection Report required for the nuclear protection system (NCA-3220 (m) and (n)).  This report includes the overpressure protection requirements for each component or system, including location of the overpressure protection devices, identification of the edition and addenda, system drawings, range of operating conditions, and an analysis of the conditions that give rise to the maximum pressure relieving requirements (NB/NC/ND-7200).  </w:t>
      </w:r>
      <w:r w:rsidRPr="00364DAE">
        <w:t>(one-time recordkeeping)</w:t>
      </w:r>
    </w:p>
    <w:p w:rsidR="00297950" w:rsidP="00297950" w14:paraId="2C0799E5" w14:textId="77777777">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firstLine="45"/>
        <w:rPr>
          <w:rFonts w:ascii="Arial" w:hAnsi="Arial" w:cs="Arial"/>
          <w:sz w:val="22"/>
          <w:szCs w:val="22"/>
        </w:rPr>
      </w:pPr>
    </w:p>
    <w:p w:rsidR="00297950" w:rsidRPr="00995B22" w:rsidP="00297950" w14:paraId="3AA7BAC9" w14:textId="227885DD">
      <w:pPr>
        <w:pStyle w:val="ListParagraph"/>
        <w:widowControl w:val="0"/>
        <w:numPr>
          <w:ilvl w:val="0"/>
          <w:numId w:val="18"/>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pPr>
      <w:r w:rsidRPr="00A55232">
        <w:rPr>
          <w:u w:val="single"/>
        </w:rPr>
        <w:t>Quality Assurance Program</w:t>
      </w:r>
      <w:r>
        <w:t xml:space="preserve">.  </w:t>
      </w:r>
      <w:r w:rsidRPr="00995B22">
        <w:t xml:space="preserve">Document a Quality Assurance Program, and file copies of the Quality Assurance Manual with the Authorized Inspection Agency (NCA-8140).  This documentation includes programs for surveying, qualifying, and auditing suppliers of subcontracted services (e.g., nondestructive examination contractors, material suppliers, and material manufacturers).  Although Section III identifies the need for a documented Quality Assurance (QA) program, the primary NRC requirement for an overall QA program is contained in 10 CFR 50, Appendix B, "Quality Assurance Criteria for Nuclear Power Plants and Fuel Reprocessing Plants."  Therefore, no additional information collection burden is imposed on Owners by the quality assurance provisions of Section III which are incorporated by reference into Section 50.55a.  </w:t>
      </w:r>
    </w:p>
    <w:p w:rsidR="00297950" w:rsidP="00297950" w14:paraId="4FB58DA1" w14:textId="77777777">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297950" w:rsidP="00297950" w14:paraId="030746D0" w14:textId="62D33430">
      <w:pPr>
        <w:pStyle w:val="Level1"/>
        <w:numPr>
          <w:ilvl w:val="0"/>
          <w:numId w:val="18"/>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C43B71">
        <w:rPr>
          <w:rFonts w:ascii="Arial" w:hAnsi="Arial" w:cs="Arial"/>
          <w:sz w:val="22"/>
          <w:szCs w:val="22"/>
          <w:u w:val="single"/>
        </w:rPr>
        <w:t>Design Specifications</w:t>
      </w:r>
      <w:r>
        <w:rPr>
          <w:rFonts w:ascii="Arial" w:hAnsi="Arial" w:cs="Arial"/>
          <w:sz w:val="22"/>
          <w:szCs w:val="22"/>
        </w:rPr>
        <w:t xml:space="preserve">.  Provide, correlate, and certify Design Specifications (NCA-3250).  This requires that the component Design Specification be provided in sufficient detail to form the basis for fabrication in accordance with the rules of Section III.  The Design Specifications shall be certified to be correct and complete and to </w:t>
      </w:r>
      <w:r>
        <w:rPr>
          <w:rFonts w:ascii="Arial" w:hAnsi="Arial" w:cs="Arial"/>
          <w:sz w:val="22"/>
          <w:szCs w:val="22"/>
        </w:rPr>
        <w:t>be in compliance with</w:t>
      </w:r>
      <w:r>
        <w:rPr>
          <w:rFonts w:ascii="Arial" w:hAnsi="Arial" w:cs="Arial"/>
          <w:sz w:val="22"/>
          <w:szCs w:val="22"/>
        </w:rPr>
        <w:t xml:space="preserve"> the requirements of NCA-3250 by one or more competent Registered Professional Engineers (NCA-3255).  Although this is a requirement of Section III, its incorporation by reference in Section 50.55a does not impose an additional information collection burden on the Owner.  Preparation and certification of design specifications for construction of engineered structures is a routine and necessary engineering practice, which occurs with or without </w:t>
      </w:r>
      <w:r>
        <w:rPr>
          <w:rFonts w:ascii="Arial" w:hAnsi="Arial" w:cs="Arial"/>
          <w:sz w:val="22"/>
          <w:szCs w:val="22"/>
        </w:rPr>
        <w:t>the</w:t>
      </w:r>
      <w:r w:rsidR="004E48EB">
        <w:rPr>
          <w:rFonts w:ascii="Arial" w:hAnsi="Arial" w:cs="Arial"/>
          <w:sz w:val="22"/>
          <w:szCs w:val="22"/>
        </w:rPr>
        <w:t> </w:t>
      </w:r>
      <w:r>
        <w:rPr>
          <w:rFonts w:ascii="Arial" w:hAnsi="Arial" w:cs="Arial"/>
          <w:sz w:val="22"/>
          <w:szCs w:val="22"/>
        </w:rPr>
        <w:t>incorporation of this Section III provision into Section 50.55a.</w:t>
      </w:r>
    </w:p>
    <w:p w:rsidR="00297950" w:rsidP="00297950" w14:paraId="49344D90" w14:textId="77777777">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515AE1" w:rsidRPr="00995B22" w:rsidP="00297950" w14:paraId="0C35FA1E" w14:textId="4B9B4F8A">
      <w:pPr>
        <w:pStyle w:val="ListParagraph"/>
        <w:widowControl w:val="0"/>
        <w:numPr>
          <w:ilvl w:val="0"/>
          <w:numId w:val="18"/>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pPr>
      <w:r w:rsidRPr="00C43B71">
        <w:rPr>
          <w:u w:val="single"/>
        </w:rPr>
        <w:t>Record retention periods (no burden)</w:t>
      </w:r>
      <w:r>
        <w:t xml:space="preserve">.  </w:t>
      </w:r>
      <w:r w:rsidRPr="00995B22">
        <w:t>Designate records to be maintained and provide for their maintenance (NCA-32</w:t>
      </w:r>
      <w:r>
        <w:t>90</w:t>
      </w:r>
      <w:r w:rsidRPr="00995B22">
        <w:t>).  Although Section III identifies the need for specific record retention, the primary NRC requirement for record retention is specified in 10 CFR 50, Appendix B, Criterion XVI (Quality Assurance Records).  Therefore, no additional information collection burden is imposed on Owners by the record retention provisions of Section III which are incorporated by reference into Section 50.55a.</w:t>
      </w:r>
    </w:p>
    <w:p w:rsidR="00515AE1" w:rsidP="00515AE1" w14:paraId="0DC90B6C" w14:textId="77777777">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p>
    <w:p w:rsidR="00515AE1" w:rsidP="00515AE1" w14:paraId="74C7DC63" w14:textId="77777777">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Pr>
          <w:rFonts w:ascii="Arial" w:hAnsi="Arial" w:cs="Arial"/>
          <w:b/>
          <w:bCs/>
          <w:i/>
          <w:iCs/>
          <w:sz w:val="22"/>
          <w:szCs w:val="22"/>
        </w:rPr>
        <w:t>Section XI</w:t>
      </w:r>
    </w:p>
    <w:p w:rsidR="00515AE1" w:rsidP="00515AE1" w14:paraId="325EBDF9" w14:textId="77777777">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p>
    <w:p w:rsidR="00297950" w:rsidP="006A29CB" w14:paraId="08FA3944" w14:textId="039CA1D9">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Pr>
          <w:rFonts w:ascii="Arial" w:hAnsi="Arial" w:cs="Arial"/>
          <w:sz w:val="22"/>
          <w:szCs w:val="22"/>
        </w:rPr>
        <w:t>Section XI, Subsection IWA specifies recordkeeping requirements for ISI of Class 1 (Subsection IWB), Class 2 (Subsection IWC), Class 3 (Subsection IWD), Class MC (Subsection IWE), and Class CC (Subsection IWL) components.  These recordkeeping requirements require the Owner to:</w:t>
      </w:r>
    </w:p>
    <w:p w:rsidR="00297950" w:rsidP="00297950" w14:paraId="027397AF" w14:textId="77777777">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297950" w:rsidRPr="00AB7BD9" w:rsidP="00297950" w14:paraId="278ECDF9" w14:textId="77777777">
      <w:pPr>
        <w:pStyle w:val="ListParagraph"/>
        <w:widowControl w:val="0"/>
        <w:numPr>
          <w:ilvl w:val="0"/>
          <w:numId w:val="17"/>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pPr>
      <w:r w:rsidRPr="00C43B71">
        <w:rPr>
          <w:u w:val="single"/>
        </w:rPr>
        <w:t>Records of Exams: NIS-1 Forms</w:t>
      </w:r>
      <w:r>
        <w:rPr>
          <w:u w:val="single"/>
        </w:rPr>
        <w:t>.</w:t>
      </w:r>
      <w:r>
        <w:t xml:space="preserve">  </w:t>
      </w:r>
      <w:r w:rsidRPr="00AB7BD9">
        <w:t xml:space="preserve">Prepare records of the preservice and </w:t>
      </w:r>
      <w:r w:rsidRPr="00AB7BD9">
        <w:t>inservice</w:t>
      </w:r>
      <w:r w:rsidRPr="00AB7BD9">
        <w:t xml:space="preserve"> examinations of Class 1 and Class 2 pressure retaining components and their supports on ASME Form NIS-1, "Owner's Report for Inservice Inspections."  Information to be included on Form NIS-1, which expedites documentation of the required information, includes identification of the component (i.e., name of component, name of manufacturer, manufacturer serial number, state number, national board number), examination dates, the applicable Section XI edition and addenda, and abstracts of the examination and tests, including results, and any corrective measures (IWA</w:t>
      </w:r>
      <w:r w:rsidRPr="00AB7BD9">
        <w:noBreakHyphen/>
      </w:r>
      <w:r>
        <w:t>6230</w:t>
      </w:r>
      <w:r w:rsidRPr="00AB7BD9">
        <w:t xml:space="preserve">).  </w:t>
      </w:r>
    </w:p>
    <w:p w:rsidR="00297950" w:rsidP="00297950" w14:paraId="2C80822E" w14:textId="77777777">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297950" w:rsidP="006A29CB" w14:paraId="590EFC72" w14:textId="60F8C8D9">
      <w:pPr>
        <w:pStyle w:val="Level1"/>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cs="Arial"/>
          <w:sz w:val="22"/>
          <w:szCs w:val="22"/>
        </w:rPr>
      </w:pPr>
      <w:r>
        <w:rPr>
          <w:rFonts w:ascii="Arial" w:hAnsi="Arial" w:cs="Arial"/>
          <w:sz w:val="22"/>
          <w:szCs w:val="22"/>
        </w:rPr>
        <w:tab/>
      </w:r>
      <w:r w:rsidRPr="00C43B71">
        <w:rPr>
          <w:rFonts w:ascii="Arial" w:hAnsi="Arial" w:cs="Arial"/>
          <w:sz w:val="22"/>
          <w:szCs w:val="22"/>
        </w:rPr>
        <w:t xml:space="preserve">Section XI examinations are performed </w:t>
      </w:r>
      <w:r w:rsidRPr="00C43B71">
        <w:rPr>
          <w:rFonts w:ascii="Arial" w:hAnsi="Arial" w:cs="Arial"/>
          <w:sz w:val="22"/>
          <w:szCs w:val="22"/>
        </w:rPr>
        <w:t>on the basis o</w:t>
      </w:r>
      <w:r>
        <w:rPr>
          <w:rFonts w:ascii="Arial" w:hAnsi="Arial" w:cs="Arial"/>
          <w:sz w:val="22"/>
          <w:szCs w:val="22"/>
        </w:rPr>
        <w:t>f</w:t>
      </w:r>
      <w:r>
        <w:rPr>
          <w:rFonts w:ascii="Arial" w:hAnsi="Arial" w:cs="Arial"/>
          <w:sz w:val="22"/>
          <w:szCs w:val="22"/>
        </w:rPr>
        <w:t xml:space="preserve"> a 10-year interval (i.e., all </w:t>
      </w:r>
      <w:r w:rsidRPr="00C43B71">
        <w:rPr>
          <w:rFonts w:ascii="Arial" w:hAnsi="Arial" w:cs="Arial"/>
          <w:sz w:val="22"/>
          <w:szCs w:val="22"/>
        </w:rPr>
        <w:t xml:space="preserve">components to be examined, are examined within 10 years), with examinations distributed over three periods.  </w:t>
      </w:r>
    </w:p>
    <w:p w:rsidR="00297950" w:rsidP="00297950" w14:paraId="68964EE5" w14:textId="77777777">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297950" w:rsidRPr="00AB7BD9" w:rsidP="00297950" w14:paraId="695D88E5" w14:textId="77777777">
      <w:pPr>
        <w:pStyle w:val="ListParagraph"/>
        <w:widowControl w:val="0"/>
        <w:numPr>
          <w:ilvl w:val="0"/>
          <w:numId w:val="17"/>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pPr>
      <w:r w:rsidRPr="009C1EF2">
        <w:rPr>
          <w:u w:val="single"/>
        </w:rPr>
        <w:t>Records of Repairs: NIS-2 Forms</w:t>
      </w:r>
      <w:r>
        <w:t xml:space="preserve">.  </w:t>
      </w:r>
      <w:r w:rsidRPr="00AB7BD9">
        <w:t xml:space="preserve">Document the repairs and replacements in the </w:t>
      </w:r>
      <w:r w:rsidRPr="00AB7BD9">
        <w:t>inservice</w:t>
      </w:r>
      <w:r w:rsidRPr="00AB7BD9">
        <w:t xml:space="preserve"> inspection summary reports on existing Form NIS-2, "Owner's Report for Repair or Replacements."  Information to be included on ASME Form NIS-2 includes identification of the component (i.e., name of component, name of manufacturer, manufacturer serial number, national board number, year built) and system, the applicable construction code and Section XI edition and addenda, repair organization, and a description of the work performed (IWA-</w:t>
      </w:r>
      <w:r>
        <w:t>6350</w:t>
      </w:r>
      <w:r w:rsidRPr="00AB7BD9">
        <w:t xml:space="preserve">).  </w:t>
      </w:r>
    </w:p>
    <w:p w:rsidR="00297950" w:rsidRPr="00C43B71" w:rsidP="00BB0CBB" w14:paraId="05B3E60D" w14:textId="3B9FACAC">
      <w:pPr>
        <w:pStyle w:val="Level1"/>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840"/>
        <w:rPr>
          <w:rFonts w:ascii="Arial" w:hAnsi="Arial" w:cs="Arial"/>
          <w:sz w:val="22"/>
          <w:szCs w:val="22"/>
        </w:rPr>
      </w:pPr>
      <w:r>
        <w:rPr>
          <w:rFonts w:ascii="Arial" w:hAnsi="Arial" w:cs="Arial"/>
          <w:sz w:val="22"/>
          <w:szCs w:val="22"/>
        </w:rPr>
        <w:tab/>
      </w:r>
      <w:r>
        <w:rPr>
          <w:rFonts w:ascii="Arial" w:hAnsi="Arial" w:cs="Arial"/>
          <w:sz w:val="22"/>
          <w:szCs w:val="22"/>
        </w:rPr>
        <w:tab/>
      </w:r>
    </w:p>
    <w:p w:rsidR="00297950" w:rsidRPr="00891A83" w:rsidP="00297950" w14:paraId="618D33F9" w14:textId="0D242736">
      <w:pPr>
        <w:pStyle w:val="ListParagraph"/>
        <w:widowControl w:val="0"/>
        <w:numPr>
          <w:ilvl w:val="0"/>
          <w:numId w:val="17"/>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pPr>
      <w:r w:rsidRPr="00891A83">
        <w:rPr>
          <w:u w:val="single"/>
        </w:rPr>
        <w:t>ISI Plans and Schedules</w:t>
      </w:r>
      <w:r w:rsidRPr="00891A83">
        <w:t xml:space="preserve">.  Prepare plans and schedules for preservice and </w:t>
      </w:r>
      <w:r w:rsidRPr="00891A83">
        <w:t>inservice</w:t>
      </w:r>
      <w:r w:rsidRPr="00891A83">
        <w:t xml:space="preserve"> examination and tests (IWA-6210).  </w:t>
      </w:r>
    </w:p>
    <w:p w:rsidR="00297950" w:rsidP="00297950" w14:paraId="010FBA97" w14:textId="77777777">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297950" w:rsidRPr="000E60F8" w:rsidP="00297950" w14:paraId="5375F23E" w14:textId="2488288B">
      <w:pPr>
        <w:pStyle w:val="Level1"/>
        <w:numPr>
          <w:ilvl w:val="0"/>
          <w:numId w:val="17"/>
        </w:numPr>
        <w:tabs>
          <w:tab w:val="left" w:pos="-1440"/>
          <w:tab w:val="left" w:pos="-36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9C1EF2">
        <w:rPr>
          <w:rFonts w:ascii="Arial" w:hAnsi="Arial" w:cs="Arial"/>
          <w:sz w:val="22"/>
          <w:szCs w:val="22"/>
          <w:u w:val="single"/>
        </w:rPr>
        <w:t xml:space="preserve">Records of Component </w:t>
      </w:r>
      <w:r>
        <w:rPr>
          <w:rFonts w:ascii="Arial" w:hAnsi="Arial" w:cs="Arial"/>
          <w:sz w:val="22"/>
          <w:szCs w:val="22"/>
          <w:u w:val="single"/>
        </w:rPr>
        <w:t>Examination/</w:t>
      </w:r>
      <w:r w:rsidRPr="009C1EF2">
        <w:rPr>
          <w:rFonts w:ascii="Arial" w:hAnsi="Arial" w:cs="Arial"/>
          <w:sz w:val="22"/>
          <w:szCs w:val="22"/>
          <w:u w:val="single"/>
        </w:rPr>
        <w:t>Tests</w:t>
      </w:r>
      <w:r>
        <w:rPr>
          <w:rFonts w:ascii="Arial" w:hAnsi="Arial" w:cs="Arial"/>
          <w:sz w:val="22"/>
          <w:szCs w:val="22"/>
        </w:rPr>
        <w:t xml:space="preserve">.  Record the results of preservice and </w:t>
      </w:r>
      <w:r>
        <w:rPr>
          <w:rFonts w:ascii="Arial" w:hAnsi="Arial" w:cs="Arial"/>
          <w:sz w:val="22"/>
          <w:szCs w:val="22"/>
        </w:rPr>
        <w:t>inservice</w:t>
      </w:r>
      <w:r>
        <w:rPr>
          <w:rFonts w:ascii="Arial" w:hAnsi="Arial" w:cs="Arial"/>
          <w:sz w:val="22"/>
          <w:szCs w:val="22"/>
        </w:rPr>
        <w:t xml:space="preserve"> examinations of components performed in accordance with Section XI, IWB/IWC/IWD/IWF-2000.  Specific requirements for examinations are tabulated in IWB/IWC/IWD/IWF-2500-1 for components such as vessels, </w:t>
      </w:r>
      <w:r>
        <w:rPr>
          <w:rFonts w:ascii="Arial" w:hAnsi="Arial" w:cs="Arial"/>
          <w:sz w:val="22"/>
          <w:szCs w:val="22"/>
        </w:rPr>
        <w:t>piping</w:t>
      </w:r>
      <w:r>
        <w:rPr>
          <w:rFonts w:ascii="Arial" w:hAnsi="Arial" w:cs="Arial"/>
          <w:sz w:val="22"/>
          <w:szCs w:val="22"/>
        </w:rPr>
        <w:t xml:space="preserve"> and their supports.  A record of each examination includes the component identification, date of examination, specific Section XI requirement, type of examination (e.g., volumetric, surface, visual), equipment settings, and record of any indications.  The examinations are distributed over a 10</w:t>
      </w:r>
      <w:r>
        <w:rPr>
          <w:rFonts w:ascii="Arial" w:hAnsi="Arial" w:cs="Arial"/>
          <w:sz w:val="22"/>
          <w:szCs w:val="22"/>
        </w:rPr>
        <w:noBreakHyphen/>
        <w:t>year examination interval with examinations being performed at, on average, 18-month refueling outages</w:t>
      </w:r>
      <w:r w:rsidR="00645B07">
        <w:rPr>
          <w:rFonts w:ascii="Arial" w:hAnsi="Arial" w:cs="Arial"/>
          <w:sz w:val="22"/>
          <w:szCs w:val="22"/>
        </w:rPr>
        <w:t>.</w:t>
      </w:r>
    </w:p>
    <w:p w:rsidR="00297950" w:rsidRPr="000E60F8" w:rsidP="00297950" w14:paraId="6EDB27FD" w14:textId="77777777">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297950" w:rsidRPr="000E60F8" w:rsidP="00297950" w14:paraId="37D484BC" w14:textId="77777777">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297950" w:rsidRPr="000E60F8" w:rsidP="00297950" w14:paraId="6EF4F6C3" w14:textId="77777777">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2"/>
          <w:szCs w:val="22"/>
        </w:rPr>
      </w:pPr>
      <w:r w:rsidRPr="000E60F8">
        <w:rPr>
          <w:rFonts w:ascii="Arial" w:hAnsi="Arial" w:cs="Arial"/>
          <w:sz w:val="22"/>
          <w:szCs w:val="22"/>
        </w:rPr>
        <w:t>The following additional significant recordkeeping requirements result from implementation of specific Section XI technical requirements:</w:t>
      </w:r>
    </w:p>
    <w:p w:rsidR="00297950" w:rsidRPr="000E60F8" w:rsidP="00297950" w14:paraId="46AB8835" w14:textId="77777777">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297950" w:rsidRPr="00AB7BD9" w:rsidP="00297950" w14:paraId="3D952C5A" w14:textId="76F88D59">
      <w:pPr>
        <w:pStyle w:val="ListParagraph"/>
        <w:widowControl w:val="0"/>
        <w:numPr>
          <w:ilvl w:val="0"/>
          <w:numId w:val="17"/>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pPr>
      <w:r w:rsidRPr="000E60F8">
        <w:rPr>
          <w:u w:val="single"/>
        </w:rPr>
        <w:t>Reactor Vessel Exam</w:t>
      </w:r>
      <w:r w:rsidRPr="000E60F8">
        <w:t xml:space="preserve">.  The 1995 Edition up to and including the </w:t>
      </w:r>
      <w:r w:rsidR="00675712">
        <w:t>20</w:t>
      </w:r>
      <w:r w:rsidR="00243720">
        <w:t>19</w:t>
      </w:r>
      <w:r w:rsidRPr="000E60F8">
        <w:t xml:space="preserve"> Edition of Section XI requires examination of essentially 100% of the length of all reactor vessel shell welds during the 2nd, 3rd, </w:t>
      </w:r>
      <w:r w:rsidRPr="00AB7BD9">
        <w:t xml:space="preserve">and 4th inspection intervals.  (Section XI has required examination of essentially 100% of the length of reactor vessel shell welds during the 1st interval since the 1974 Edition as modified by addenda through the 1975 Addenda.)  </w:t>
      </w:r>
    </w:p>
    <w:p w:rsidR="00297950" w:rsidP="00297950" w14:paraId="1ED33D08" w14:textId="77777777">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297950" w:rsidRPr="00AB7BD9" w:rsidP="00297950" w14:paraId="28D9288F" w14:textId="4F406268">
      <w:pPr>
        <w:pStyle w:val="ListParagraph"/>
        <w:widowControl w:val="0"/>
        <w:numPr>
          <w:ilvl w:val="0"/>
          <w:numId w:val="17"/>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pPr>
      <w:r w:rsidRPr="00900516">
        <w:rPr>
          <w:u w:val="single"/>
        </w:rPr>
        <w:t>Qualification of NDE personnel</w:t>
      </w:r>
      <w:r>
        <w:t xml:space="preserve">.  </w:t>
      </w:r>
      <w:r w:rsidRPr="00AB7BD9">
        <w:t xml:space="preserve">Section XI, Mandatory Appendix VII, "Qualification of Nondestructive Examination Personnel for Ultrasonic Examination," specifies requirements for the training and qualification of ultrasonic nondestructive examination (NDE) personnel in preparation for employer certification to perform NDE.  Appendix VII specifies requirements for qualification records.  These records include those for recertification (e.g., name of individual, qualification level, educational background and experience, statement indicating satisfactory completion of prior training, record of annual supplemental training, results of vision examinations, and current qualification examination results).  </w:t>
      </w:r>
    </w:p>
    <w:p w:rsidR="00297950" w:rsidP="00297950" w14:paraId="2DF5C8D2" w14:textId="77777777">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297950" w:rsidP="00297950" w14:paraId="4925F615" w14:textId="176ADA7C">
      <w:pPr>
        <w:pStyle w:val="Level1"/>
        <w:numPr>
          <w:ilvl w:val="0"/>
          <w:numId w:val="17"/>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D017C4">
        <w:rPr>
          <w:rFonts w:ascii="Arial" w:hAnsi="Arial" w:cs="Arial"/>
          <w:sz w:val="22"/>
          <w:szCs w:val="22"/>
          <w:u w:val="single"/>
        </w:rPr>
        <w:t xml:space="preserve">ASME </w:t>
      </w:r>
      <w:r>
        <w:rPr>
          <w:rFonts w:ascii="Arial" w:hAnsi="Arial" w:cs="Arial"/>
          <w:sz w:val="22"/>
          <w:szCs w:val="22"/>
          <w:u w:val="single"/>
        </w:rPr>
        <w:t>QAI-1</w:t>
      </w:r>
      <w:r w:rsidRPr="00D017C4">
        <w:rPr>
          <w:rFonts w:ascii="Arial" w:hAnsi="Arial" w:cs="Arial"/>
          <w:sz w:val="22"/>
          <w:szCs w:val="22"/>
          <w:u w:val="single"/>
        </w:rPr>
        <w:t xml:space="preserve"> Specification</w:t>
      </w:r>
      <w:r>
        <w:rPr>
          <w:rFonts w:ascii="Arial" w:hAnsi="Arial" w:cs="Arial"/>
          <w:sz w:val="22"/>
          <w:szCs w:val="22"/>
        </w:rPr>
        <w:t>.  Table IWA</w:t>
      </w:r>
      <w:r>
        <w:rPr>
          <w:rFonts w:ascii="Arial" w:hAnsi="Arial" w:cs="Arial"/>
          <w:sz w:val="22"/>
          <w:szCs w:val="22"/>
        </w:rPr>
        <w:noBreakHyphen/>
        <w:t>1600</w:t>
      </w:r>
      <w:r>
        <w:rPr>
          <w:rFonts w:ascii="Arial" w:hAnsi="Arial" w:cs="Arial"/>
          <w:sz w:val="22"/>
          <w:szCs w:val="22"/>
        </w:rPr>
        <w:noBreakHyphen/>
        <w:t xml:space="preserve">1 references a revised ASME QAI-1 specification which requires that Authorized Inspection Agencies be accredited by ASME.  </w:t>
      </w:r>
    </w:p>
    <w:p w:rsidR="00297950" w:rsidP="00297950" w14:paraId="505E5CA5" w14:textId="77777777">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297950" w:rsidRPr="00D644B6" w:rsidP="00FF57CA" w14:paraId="26AB5CB7" w14:textId="54E94EEC">
      <w:pPr>
        <w:pStyle w:val="Level1"/>
        <w:numPr>
          <w:ilvl w:val="0"/>
          <w:numId w:val="17"/>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D644B6">
        <w:rPr>
          <w:rFonts w:ascii="Arial" w:hAnsi="Arial" w:cs="Arial"/>
          <w:sz w:val="22"/>
          <w:szCs w:val="22"/>
          <w:u w:val="single"/>
        </w:rPr>
        <w:t>Visual examinations</w:t>
      </w:r>
      <w:r w:rsidRPr="00D644B6">
        <w:rPr>
          <w:rFonts w:ascii="Arial" w:hAnsi="Arial" w:cs="Arial"/>
          <w:sz w:val="22"/>
          <w:szCs w:val="22"/>
        </w:rPr>
        <w:t>.  IWA</w:t>
      </w:r>
      <w:r w:rsidRPr="00D644B6">
        <w:rPr>
          <w:rFonts w:ascii="Arial" w:hAnsi="Arial" w:cs="Arial"/>
          <w:sz w:val="22"/>
          <w:szCs w:val="22"/>
        </w:rPr>
        <w:noBreakHyphen/>
        <w:t xml:space="preserve">2210 describes visual examination requirements and requires calibration records for light meters and test charts.  </w:t>
      </w:r>
    </w:p>
    <w:p w:rsidR="00297950" w:rsidP="00297950" w14:paraId="1710A4AF" w14:textId="77777777">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firstLine="105"/>
        <w:rPr>
          <w:rFonts w:ascii="Arial" w:hAnsi="Arial" w:cs="Arial"/>
          <w:sz w:val="22"/>
          <w:szCs w:val="22"/>
        </w:rPr>
      </w:pPr>
    </w:p>
    <w:p w:rsidR="00297950" w:rsidP="00297950" w14:paraId="748A9CFF" w14:textId="243ECD48">
      <w:pPr>
        <w:pStyle w:val="Level1"/>
        <w:numPr>
          <w:ilvl w:val="0"/>
          <w:numId w:val="17"/>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D017C4">
        <w:rPr>
          <w:rFonts w:ascii="Arial" w:hAnsi="Arial" w:cs="Arial"/>
          <w:sz w:val="22"/>
          <w:szCs w:val="22"/>
          <w:u w:val="single"/>
        </w:rPr>
        <w:t>Repair plans</w:t>
      </w:r>
      <w:r>
        <w:rPr>
          <w:rFonts w:ascii="Arial" w:hAnsi="Arial" w:cs="Arial"/>
          <w:sz w:val="22"/>
          <w:szCs w:val="22"/>
        </w:rPr>
        <w:t xml:space="preserve">.  IWA-4150 requires repair/replacement activity details to be documented in repair/replacement plans.  </w:t>
      </w:r>
    </w:p>
    <w:p w:rsidR="00297950" w:rsidP="00297950" w14:paraId="04B5D129" w14:textId="77777777">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297950" w:rsidP="00297950" w14:paraId="4E25C25F" w14:textId="3CB38D92">
      <w:pPr>
        <w:pStyle w:val="Level1"/>
        <w:numPr>
          <w:ilvl w:val="0"/>
          <w:numId w:val="17"/>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4F07D3">
        <w:rPr>
          <w:rFonts w:ascii="Arial" w:hAnsi="Arial" w:cs="Arial"/>
          <w:sz w:val="22"/>
          <w:szCs w:val="22"/>
          <w:u w:val="single"/>
        </w:rPr>
        <w:t>PWR Steam Generator Sleeving</w:t>
      </w:r>
      <w:r>
        <w:rPr>
          <w:rFonts w:ascii="Arial" w:hAnsi="Arial" w:cs="Arial"/>
          <w:sz w:val="22"/>
          <w:szCs w:val="22"/>
        </w:rPr>
        <w:t>.  IWB</w:t>
      </w:r>
      <w:r>
        <w:rPr>
          <w:rFonts w:ascii="Arial" w:hAnsi="Arial" w:cs="Arial"/>
          <w:sz w:val="22"/>
          <w:szCs w:val="22"/>
        </w:rPr>
        <w:noBreakHyphen/>
        <w:t xml:space="preserve">4720 requires records for each pressurized water reactor (PWR) plant in conjunction with each series of steam generator sleeving operations during any refueling outage.  The records include the Sleeving Procedure Specification, procedure qualification, performance qualification for personnel, location records, and examination records.  </w:t>
      </w:r>
    </w:p>
    <w:p w:rsidR="00297950" w:rsidP="00297950" w14:paraId="199EA45C" w14:textId="77777777">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297950" w:rsidP="00101ECB" w14:paraId="7C7CC657" w14:textId="603E174C">
      <w:pPr>
        <w:pStyle w:val="Level1"/>
        <w:numPr>
          <w:ilvl w:val="0"/>
          <w:numId w:val="17"/>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81161E">
        <w:rPr>
          <w:rFonts w:ascii="Arial" w:hAnsi="Arial" w:cs="Arial"/>
          <w:sz w:val="22"/>
          <w:szCs w:val="22"/>
          <w:u w:val="single"/>
        </w:rPr>
        <w:t>Qualification records</w:t>
      </w:r>
      <w:r>
        <w:rPr>
          <w:rFonts w:ascii="Arial" w:hAnsi="Arial" w:cs="Arial"/>
          <w:sz w:val="22"/>
          <w:szCs w:val="22"/>
        </w:rPr>
        <w:t>.  Appendix VIII, Article VIII</w:t>
      </w:r>
      <w:r>
        <w:rPr>
          <w:rFonts w:ascii="Arial" w:hAnsi="Arial" w:cs="Arial"/>
          <w:sz w:val="22"/>
          <w:szCs w:val="22"/>
        </w:rPr>
        <w:noBreakHyphen/>
        <w:t>5000 requires that qualification records be kept.  The records are generated when the qualification activities are performed</w:t>
      </w:r>
      <w:r w:rsidRPr="00FA797F">
        <w:rPr>
          <w:rFonts w:ascii="Arial" w:hAnsi="Arial" w:cs="Arial"/>
          <w:sz w:val="22"/>
          <w:szCs w:val="22"/>
        </w:rPr>
        <w:t xml:space="preserve"> (one-time recordkeeping).</w:t>
      </w:r>
    </w:p>
    <w:p w:rsidR="00297950" w:rsidP="00297950" w14:paraId="0545142B" w14:textId="77777777">
      <w:pPr>
        <w:pStyle w:val="ListParagraph"/>
      </w:pPr>
    </w:p>
    <w:p w:rsidR="00297950" w:rsidRPr="002F6071" w:rsidP="00FF57CA" w14:paraId="46237576" w14:textId="52BEA2C1">
      <w:pPr>
        <w:pStyle w:val="Level1"/>
        <w:numPr>
          <w:ilvl w:val="0"/>
          <w:numId w:val="17"/>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2F6071">
        <w:rPr>
          <w:rFonts w:ascii="Arial" w:hAnsi="Arial" w:cs="Arial"/>
          <w:sz w:val="22"/>
          <w:szCs w:val="22"/>
          <w:u w:val="single"/>
        </w:rPr>
        <w:t>Welding/Brazing Qualification Records.</w:t>
      </w:r>
      <w:r w:rsidRPr="002F6071">
        <w:rPr>
          <w:rFonts w:ascii="Arial" w:hAnsi="Arial" w:cs="Arial"/>
          <w:sz w:val="22"/>
          <w:szCs w:val="22"/>
        </w:rPr>
        <w:t xml:space="preserve">  ASME Code Section XI allows an alternate welding procedure qualification process which allows transfer of procedure qualification records between owners, which provides a less burdensome recordkeeping alternative for qualification records of welding and brazing procedures related to repair and replacement activities.  </w:t>
      </w:r>
    </w:p>
    <w:p w:rsidR="00515AE1" w:rsidP="00515AE1" w14:paraId="3EF85253" w14:textId="77777777">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p>
    <w:p w:rsidR="00515AE1" w:rsidP="00515AE1" w14:paraId="577B0A53" w14:textId="77777777">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b/>
          <w:bCs/>
          <w:i/>
          <w:iCs/>
          <w:sz w:val="22"/>
          <w:szCs w:val="22"/>
        </w:rPr>
      </w:pPr>
      <w:r>
        <w:rPr>
          <w:rFonts w:ascii="Arial" w:hAnsi="Arial" w:cs="Arial"/>
          <w:b/>
          <w:bCs/>
          <w:i/>
          <w:iCs/>
          <w:sz w:val="22"/>
          <w:szCs w:val="22"/>
        </w:rPr>
        <w:t>OM Code</w:t>
      </w:r>
    </w:p>
    <w:p w:rsidR="00E54322" w:rsidP="00515AE1" w14:paraId="7787D0D1" w14:textId="77777777">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p>
    <w:p w:rsidR="00E54322" w:rsidRPr="00AB7BD9" w:rsidP="007C4300" w14:paraId="72DDA60B" w14:textId="1628E2E7">
      <w:pPr>
        <w:pStyle w:val="ListParagraph"/>
        <w:widowControl w:val="0"/>
        <w:numPr>
          <w:ilvl w:val="0"/>
          <w:numId w:val="20"/>
        </w:numPr>
        <w:autoSpaceDE w:val="0"/>
        <w:autoSpaceDN w:val="0"/>
        <w:adjustRightInd w:val="0"/>
        <w:spacing w:line="240" w:lineRule="auto"/>
      </w:pPr>
      <w:r w:rsidRPr="00E54322">
        <w:rPr>
          <w:u w:val="single"/>
        </w:rPr>
        <w:t>Records of Pump Tests</w:t>
      </w:r>
      <w:r>
        <w:t xml:space="preserve">.  </w:t>
      </w:r>
      <w:r w:rsidRPr="00AB7BD9">
        <w:t xml:space="preserve">Record the results of the preservice and </w:t>
      </w:r>
      <w:r w:rsidRPr="00AB7BD9">
        <w:t>inservice</w:t>
      </w:r>
      <w:r w:rsidRPr="00AB7BD9">
        <w:t xml:space="preserve"> pump tests in accordance with OM Code Subsection ISTB, which provides rules for the preservice and </w:t>
      </w:r>
      <w:r w:rsidRPr="00AB7BD9">
        <w:t>inservice</w:t>
      </w:r>
      <w:r w:rsidRPr="00AB7BD9">
        <w:t xml:space="preserve"> testing of pumps to assess the operational readiness of certain centrifugal and positive displacement pumps.  The </w:t>
      </w:r>
      <w:r w:rsidRPr="00AB7BD9">
        <w:t>inservice</w:t>
      </w:r>
      <w:r w:rsidRPr="00AB7BD9">
        <w:t xml:space="preserve"> tests, like the </w:t>
      </w:r>
      <w:r w:rsidRPr="00AB7BD9">
        <w:t>inservice</w:t>
      </w:r>
      <w:r w:rsidRPr="00AB7BD9">
        <w:t xml:space="preserve"> examinations, </w:t>
      </w:r>
      <w:r w:rsidRPr="00AB7BD9">
        <w:t>are established for a 10-year interval, but the testing is performed on a quarterly basis.  A record of each test includes the pump identification, date of test</w:t>
      </w:r>
      <w:r w:rsidRPr="00307492">
        <w:t xml:space="preserve"> </w:t>
      </w:r>
      <w:r>
        <w:t>or examination</w:t>
      </w:r>
      <w:r w:rsidRPr="00AB7BD9">
        <w:t>, reason for test</w:t>
      </w:r>
      <w:r w:rsidRPr="00307492">
        <w:t xml:space="preserve"> </w:t>
      </w:r>
      <w:r>
        <w:t>or examination</w:t>
      </w:r>
      <w:r w:rsidRPr="00AB7BD9">
        <w:t xml:space="preserve">, </w:t>
      </w:r>
      <w:r>
        <w:t>test or examination procedure used</w:t>
      </w:r>
      <w:r w:rsidRPr="00AB7BD9">
        <w:t xml:space="preserve">, values of measured parameters, identification of </w:t>
      </w:r>
      <w:r>
        <w:t>test equipment</w:t>
      </w:r>
      <w:r w:rsidRPr="00AB7BD9">
        <w:t xml:space="preserve"> used, </w:t>
      </w:r>
      <w:r>
        <w:t xml:space="preserve">calibration records, </w:t>
      </w:r>
      <w:r w:rsidRPr="00AB7BD9">
        <w:t xml:space="preserve">comparisons with allowable ranges of test </w:t>
      </w:r>
      <w:r>
        <w:t>and examination</w:t>
      </w:r>
      <w:r w:rsidRPr="00AB7BD9">
        <w:t xml:space="preserve"> values</w:t>
      </w:r>
      <w:r w:rsidRPr="00307492">
        <w:t xml:space="preserve"> </w:t>
      </w:r>
      <w:r>
        <w:t>and analysis of deviations</w:t>
      </w:r>
      <w:r w:rsidRPr="00AB7BD9">
        <w:t xml:space="preserve">, and requirements for corrective action.  </w:t>
      </w:r>
    </w:p>
    <w:p w:rsidR="00E54322" w:rsidP="00E54322" w14:paraId="3C37FBFE" w14:textId="77777777">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54322" w:rsidP="009E3C08" w14:paraId="6AB7D46A" w14:textId="537B2F37">
      <w:pPr>
        <w:pStyle w:val="ListParagraph"/>
        <w:widowControl w:val="0"/>
        <w:numPr>
          <w:ilvl w:val="0"/>
          <w:numId w:val="16"/>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pPr>
      <w:r w:rsidRPr="00D958D7">
        <w:rPr>
          <w:u w:val="single"/>
        </w:rPr>
        <w:t>Records of Valve Tests.</w:t>
      </w:r>
      <w:r>
        <w:t xml:space="preserve">  </w:t>
      </w:r>
      <w:r w:rsidRPr="00AB7BD9">
        <w:t xml:space="preserve">Record the results of the preservice and </w:t>
      </w:r>
      <w:r w:rsidRPr="00AB7BD9">
        <w:t>inservice</w:t>
      </w:r>
      <w:r w:rsidRPr="00AB7BD9">
        <w:t xml:space="preserve"> valve tests in accordance with OM Code Subsection ISTC,</w:t>
      </w:r>
      <w:r w:rsidR="00FE7BDF">
        <w:t xml:space="preserve"> Mandatory Appendix III, and Mandatory Appendix IV,</w:t>
      </w:r>
      <w:r w:rsidRPr="00AB7BD9">
        <w:t xml:space="preserve"> which provide rules for the preservice and </w:t>
      </w:r>
      <w:r w:rsidRPr="00AB7BD9">
        <w:t>inservice</w:t>
      </w:r>
      <w:r w:rsidRPr="00AB7BD9">
        <w:t xml:space="preserve"> testing of valves to assess the operational readiness of certain valves and pressure relief devices.  The </w:t>
      </w:r>
      <w:r w:rsidRPr="00AB7BD9">
        <w:t>inservice</w:t>
      </w:r>
      <w:r w:rsidRPr="00AB7BD9">
        <w:t xml:space="preserve"> tests, like the </w:t>
      </w:r>
      <w:r w:rsidRPr="00AB7BD9">
        <w:t>inservice</w:t>
      </w:r>
      <w:r w:rsidRPr="00AB7BD9">
        <w:t xml:space="preserve"> examinations, are established for a ten-year interval, but the testing is performed on a frequency, depending on the valve, from quarterly to every </w:t>
      </w:r>
      <w:r>
        <w:t>ten</w:t>
      </w:r>
      <w:r w:rsidRPr="00AB7BD9">
        <w:t xml:space="preserve"> years.  The types of records to be retained for valve testing are </w:t>
      </w:r>
      <w:r w:rsidRPr="00AB7BD9">
        <w:t>similar to</w:t>
      </w:r>
      <w:r w:rsidRPr="00AB7BD9">
        <w:t xml:space="preserve"> those identified above for pump testing.  </w:t>
      </w:r>
    </w:p>
    <w:p w:rsidR="00E54322" w:rsidP="00E54322" w14:paraId="125481DD" w14:textId="77777777">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54322" w:rsidP="00E54322" w14:paraId="4F06A432" w14:textId="380F77D6">
      <w:pPr>
        <w:pStyle w:val="Level1"/>
        <w:numPr>
          <w:ilvl w:val="0"/>
          <w:numId w:val="16"/>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Pr>
          <w:rFonts w:ascii="Arial" w:hAnsi="Arial" w:cs="Arial"/>
          <w:sz w:val="22"/>
          <w:szCs w:val="22"/>
          <w:u w:val="single"/>
        </w:rPr>
        <w:t>Pump Pressure Instruments.</w:t>
      </w:r>
      <w:r>
        <w:rPr>
          <w:rFonts w:ascii="Arial" w:hAnsi="Arial" w:cs="Arial"/>
          <w:sz w:val="22"/>
          <w:szCs w:val="22"/>
        </w:rPr>
        <w:t xml:space="preserve">  Table ISTB</w:t>
      </w:r>
      <w:r w:rsidR="00AD10E2">
        <w:rPr>
          <w:rFonts w:ascii="Arial" w:hAnsi="Arial" w:cs="Arial"/>
          <w:sz w:val="22"/>
          <w:szCs w:val="22"/>
        </w:rPr>
        <w:t>-</w:t>
      </w:r>
      <w:r w:rsidR="0096640B">
        <w:rPr>
          <w:rFonts w:ascii="Arial" w:hAnsi="Arial" w:cs="Arial"/>
          <w:sz w:val="22"/>
          <w:szCs w:val="22"/>
        </w:rPr>
        <w:t>3510-1</w:t>
      </w:r>
      <w:r>
        <w:rPr>
          <w:rFonts w:ascii="Arial" w:hAnsi="Arial" w:cs="Arial"/>
          <w:sz w:val="22"/>
          <w:szCs w:val="22"/>
        </w:rPr>
        <w:t xml:space="preserve"> requires more accurate pressure instruments for the comprehensive and preservice pump tests.  Records are required for the procurement and periodic calibration of these instruments.  </w:t>
      </w:r>
    </w:p>
    <w:p w:rsidR="00BA4619" w:rsidP="004E48EB" w14:paraId="595981B6" w14:textId="77777777">
      <w:pPr>
        <w:pStyle w:val="ListParagraph"/>
      </w:pPr>
    </w:p>
    <w:p w:rsidR="00BA4619" w:rsidP="00BA4619" w14:paraId="77E856C5" w14:textId="77777777">
      <w:pPr>
        <w:pStyle w:val="ListParagraph"/>
        <w:numPr>
          <w:ilvl w:val="0"/>
          <w:numId w:val="16"/>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A5807">
        <w:rPr>
          <w:u w:val="single"/>
        </w:rPr>
        <w:t>IST Reporting Requirements.</w:t>
      </w:r>
      <w:r w:rsidRPr="0063196D">
        <w:t xml:space="preserve"> </w:t>
      </w:r>
      <w:r>
        <w:t xml:space="preserve">  IST</w:t>
      </w:r>
      <w:r w:rsidRPr="0063196D">
        <w:t xml:space="preserve"> Program Test and Examination Plans (IST Plans) for pumps, valves, and dynamic restraints (snubbers) prepared to meet the requirements of the ASME OM Code must be submitted to the NRC within 90 days of their implementation for the applicable 120-month IST Program interval. </w:t>
      </w:r>
    </w:p>
    <w:p w:rsidR="00E54322" w:rsidP="00E54322" w14:paraId="4CD5F2BF" w14:textId="77777777">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515AE1" w:rsidP="00515AE1" w14:paraId="48476088" w14:textId="77777777">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Pr>
          <w:rFonts w:ascii="Arial" w:hAnsi="Arial" w:cs="Arial"/>
          <w:b/>
          <w:bCs/>
          <w:i/>
          <w:iCs/>
          <w:sz w:val="22"/>
          <w:szCs w:val="22"/>
        </w:rPr>
        <w:t>10 CFR 50.55a</w:t>
      </w:r>
      <w:r>
        <w:rPr>
          <w:rFonts w:ascii="Arial" w:hAnsi="Arial" w:cs="Arial"/>
          <w:i/>
          <w:iCs/>
          <w:sz w:val="22"/>
          <w:szCs w:val="22"/>
        </w:rPr>
        <w:t xml:space="preserve"> </w:t>
      </w:r>
    </w:p>
    <w:p w:rsidR="00515AE1" w:rsidP="00515AE1" w14:paraId="754F0F07" w14:textId="77777777">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p>
    <w:p w:rsidR="00F270F3" w:rsidP="00B811DA" w14:paraId="75AFFC4C" w14:textId="7561CC3D">
      <w:pPr>
        <w:pStyle w:val="Level1"/>
        <w:numPr>
          <w:ilvl w:val="0"/>
          <w:numId w:val="10"/>
        </w:num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0634D1">
        <w:rPr>
          <w:rFonts w:ascii="Arial" w:hAnsi="Arial" w:cs="Arial"/>
          <w:sz w:val="22"/>
          <w:szCs w:val="22"/>
          <w:u w:val="single"/>
        </w:rPr>
        <w:t>Requests for alternatives</w:t>
      </w:r>
      <w:r w:rsidRPr="000634D1">
        <w:rPr>
          <w:rFonts w:ascii="Arial" w:hAnsi="Arial" w:cs="Arial"/>
          <w:sz w:val="22"/>
          <w:szCs w:val="22"/>
        </w:rPr>
        <w:t xml:space="preserve">.  10 CFR 50.55a(z) allows applicants to use alternatives to the requirements of 10 CFR 50.55a paragraphs (c), (d), (e), (f), (g), and (h) when authorized by the NRC.  </w:t>
      </w:r>
    </w:p>
    <w:p w:rsidR="00187E7A" w:rsidP="009E1856" w14:paraId="0139896E" w14:textId="77777777">
      <w:pPr>
        <w:ind w:left="720" w:firstLine="360"/>
        <w:rPr>
          <w:rFonts w:ascii="Arial" w:hAnsi="Arial" w:cs="Arial"/>
          <w:sz w:val="22"/>
          <w:szCs w:val="22"/>
          <w:u w:val="single"/>
        </w:rPr>
      </w:pPr>
    </w:p>
    <w:p w:rsidR="00515AE1" w:rsidP="00E76BEF" w14:paraId="36BFCD2A" w14:textId="715C691E">
      <w:pPr>
        <w:pStyle w:val="ListParagraph"/>
        <w:numPr>
          <w:ilvl w:val="0"/>
          <w:numId w:val="10"/>
        </w:numPr>
        <w:spacing w:line="240" w:lineRule="auto"/>
      </w:pPr>
      <w:r w:rsidRPr="005C63EC">
        <w:rPr>
          <w:u w:val="single"/>
        </w:rPr>
        <w:t>Relief requests</w:t>
      </w:r>
      <w:r w:rsidRPr="005C63EC">
        <w:t>.  10 CFR 50.55a(f)(5) and 10 CFR 50.55a(g)(5) allow applicants to</w:t>
      </w:r>
      <w:r w:rsidRPr="005C63EC" w:rsidR="00DE236A">
        <w:t xml:space="preserve"> obtai</w:t>
      </w:r>
      <w:r w:rsidRPr="005C63EC" w:rsidR="00D87352">
        <w:t>n relief from conformance with ISI and IST code requirements when granted by the NRC.</w:t>
      </w:r>
      <w:r w:rsidRPr="005C63EC">
        <w:t xml:space="preserve"> </w:t>
      </w:r>
    </w:p>
    <w:p w:rsidR="00753527" w:rsidRPr="005C63EC" w:rsidP="00753527" w14:paraId="1B889929" w14:textId="77777777"/>
    <w:p w:rsidR="00753527" w:rsidRPr="00753527" w:rsidP="00753527" w14:paraId="61DF422E" w14:textId="77777777">
      <w:pPr>
        <w:ind w:firstLine="720"/>
        <w:rPr>
          <w:rFonts w:ascii="Arial" w:hAnsi="Arial" w:cs="Arial"/>
          <w:b/>
          <w:bCs/>
          <w:i/>
          <w:iCs/>
          <w:sz w:val="22"/>
          <w:szCs w:val="22"/>
        </w:rPr>
      </w:pPr>
      <w:r w:rsidRPr="00753527">
        <w:rPr>
          <w:rFonts w:ascii="Arial" w:hAnsi="Arial" w:cs="Arial"/>
          <w:b/>
          <w:bCs/>
          <w:i/>
          <w:iCs/>
          <w:sz w:val="22"/>
          <w:szCs w:val="22"/>
        </w:rPr>
        <w:t>IEEE Standards</w:t>
      </w:r>
    </w:p>
    <w:p w:rsidR="00753527" w:rsidRPr="00753527" w:rsidP="00753527" w14:paraId="4CFAC2AA" w14:textId="77777777">
      <w:pPr>
        <w:pStyle w:val="ListParagraph"/>
        <w:ind w:left="1080"/>
        <w:rPr>
          <w14:ligatures w14:val="standardContextual"/>
        </w:rPr>
      </w:pPr>
    </w:p>
    <w:p w:rsidR="00753527" w:rsidRPr="00753527" w:rsidP="00753527" w14:paraId="4B0AD96F" w14:textId="77777777">
      <w:pPr>
        <w:pStyle w:val="ListParagraph"/>
        <w:numPr>
          <w:ilvl w:val="0"/>
          <w:numId w:val="10"/>
        </w:numPr>
      </w:pPr>
      <w:r w:rsidRPr="00753527">
        <w:t xml:space="preserve">The IEEE standards incorporated by reference in 10 CFR 50.55a impose certain recordkeeping requirements on licensees.  Unlike the ASME BPV Code and OM Code requirements discussed above, these requirements are accounted for under other regulations in 10 CFR Part 50, which is covered by </w:t>
      </w:r>
      <w:r w:rsidRPr="00753527">
        <w:rPr>
          <w:color w:val="000000"/>
        </w:rPr>
        <w:t>OMB Clearance 3150-0011</w:t>
      </w:r>
      <w:r w:rsidRPr="00753527">
        <w:t>.</w:t>
      </w:r>
    </w:p>
    <w:p w:rsidR="006673CC" w:rsidP="00017D67" w14:paraId="4D9864E1" w14:textId="77777777">
      <w:pPr>
        <w:rPr>
          <w:rFonts w:ascii="Arial" w:hAnsi="Arial" w:cs="Arial"/>
          <w:sz w:val="22"/>
          <w:szCs w:val="22"/>
        </w:rPr>
      </w:pPr>
    </w:p>
    <w:p w:rsidR="003E2B01" w14:paraId="726DB879" w14:textId="34DA26FB">
      <w:r>
        <w:br w:type="page"/>
      </w:r>
    </w:p>
    <w:p w:rsidR="003E2B01" w:rsidRPr="000C72CB" w:rsidP="003E2B01" w14:paraId="0F844457" w14:textId="42479ED8">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rFonts w:ascii="Arial" w:hAnsi="Arial" w:cs="Arial"/>
          <w:sz w:val="22"/>
          <w:szCs w:val="22"/>
        </w:rPr>
      </w:pPr>
      <w:r>
        <w:rPr>
          <w:rFonts w:ascii="Arial" w:hAnsi="Arial" w:cs="Arial"/>
          <w:sz w:val="22"/>
          <w:szCs w:val="22"/>
        </w:rPr>
        <w:t>GUIDANCE DOCUMENTS FOR</w:t>
      </w:r>
      <w:r w:rsidRPr="000C72CB">
        <w:rPr>
          <w:rFonts w:ascii="Arial" w:hAnsi="Arial" w:cs="Arial"/>
          <w:sz w:val="22"/>
          <w:szCs w:val="22"/>
        </w:rPr>
        <w:t xml:space="preserve"> INFORMATION COLLECTION REQUIREMENTS</w:t>
      </w:r>
    </w:p>
    <w:p w:rsidR="003E2B01" w:rsidRPr="000C72CB" w:rsidP="003E2B01" w14:paraId="603E6CA6"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rFonts w:ascii="Arial" w:hAnsi="Arial" w:cs="Arial"/>
          <w:sz w:val="22"/>
          <w:szCs w:val="22"/>
        </w:rPr>
      </w:pPr>
      <w:r w:rsidRPr="000C72CB">
        <w:rPr>
          <w:rFonts w:ascii="Arial" w:hAnsi="Arial" w:cs="Arial"/>
          <w:sz w:val="22"/>
          <w:szCs w:val="22"/>
        </w:rPr>
        <w:t>CONTAINED IN</w:t>
      </w:r>
    </w:p>
    <w:p w:rsidR="00101487" w:rsidP="00101487" w14:paraId="6D5FAB2E" w14:textId="185254DF">
      <w:pPr>
        <w:tabs>
          <w:tab w:val="center" w:pos="4680"/>
        </w:tabs>
        <w:jc w:val="center"/>
        <w:rPr>
          <w:rFonts w:ascii="Arial" w:hAnsi="Arial"/>
          <w:sz w:val="22"/>
        </w:rPr>
      </w:pPr>
      <w:r>
        <w:rPr>
          <w:rFonts w:ascii="Arial" w:hAnsi="Arial"/>
          <w:sz w:val="22"/>
        </w:rPr>
        <w:t>10 CFR PART 50</w:t>
      </w:r>
      <w:r w:rsidR="00DA13FA">
        <w:rPr>
          <w:rFonts w:ascii="Arial" w:hAnsi="Arial"/>
          <w:sz w:val="22"/>
        </w:rPr>
        <w:t>.55a</w:t>
      </w:r>
    </w:p>
    <w:p w:rsidR="00101487" w:rsidP="00DA13FA" w14:paraId="7DFB3E7B" w14:textId="7AF111E7">
      <w:pPr>
        <w:tabs>
          <w:tab w:val="center" w:pos="4680"/>
        </w:tabs>
        <w:jc w:val="center"/>
        <w:rPr>
          <w:rFonts w:ascii="Arial" w:hAnsi="Arial"/>
          <w:sz w:val="22"/>
        </w:rPr>
      </w:pPr>
      <w:r>
        <w:rPr>
          <w:rFonts w:ascii="Arial" w:hAnsi="Arial" w:cs="Arial"/>
          <w:sz w:val="22"/>
          <w:szCs w:val="22"/>
        </w:rPr>
        <w:t>CODES AND STANDARDS</w:t>
      </w:r>
    </w:p>
    <w:p w:rsidR="000C72CB" w:rsidP="000C72CB" w14:paraId="30164938"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pPr>
    </w:p>
    <w:tbl>
      <w:tblPr>
        <w:tblStyle w:val="TableGrid"/>
        <w:tblW w:w="0" w:type="auto"/>
        <w:tblLook w:val="04A0"/>
      </w:tblPr>
      <w:tblGrid>
        <w:gridCol w:w="4677"/>
        <w:gridCol w:w="4685"/>
      </w:tblGrid>
      <w:tr w14:paraId="7BB1BA14" w14:textId="77777777" w:rsidTr="008F0D6F">
        <w:tblPrEx>
          <w:tblW w:w="0" w:type="auto"/>
          <w:tblLook w:val="04A0"/>
        </w:tblPrEx>
        <w:tc>
          <w:tcPr>
            <w:tcW w:w="4677" w:type="dxa"/>
          </w:tcPr>
          <w:p w:rsidR="003E2B01" w:rsidRPr="003E2B01" w:rsidP="003E2B01" w14:paraId="711A7385" w14:textId="7DA7E73B">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rFonts w:ascii="Arial" w:hAnsi="Arial" w:cs="Arial"/>
                <w:sz w:val="22"/>
                <w:szCs w:val="22"/>
              </w:rPr>
            </w:pPr>
            <w:r w:rsidRPr="003E2B01">
              <w:rPr>
                <w:rFonts w:ascii="Arial" w:hAnsi="Arial" w:cs="Arial"/>
                <w:sz w:val="22"/>
                <w:szCs w:val="22"/>
              </w:rPr>
              <w:t>Title</w:t>
            </w:r>
          </w:p>
        </w:tc>
        <w:tc>
          <w:tcPr>
            <w:tcW w:w="4685" w:type="dxa"/>
          </w:tcPr>
          <w:p w:rsidR="003E2B01" w:rsidRPr="003E2B01" w:rsidP="003E2B01" w14:paraId="1ECEB991" w14:textId="2D5ECB54">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rFonts w:ascii="Arial" w:hAnsi="Arial" w:cs="Arial"/>
                <w:sz w:val="22"/>
                <w:szCs w:val="22"/>
              </w:rPr>
            </w:pPr>
            <w:r w:rsidRPr="003E2B01">
              <w:rPr>
                <w:rFonts w:ascii="Arial" w:hAnsi="Arial" w:cs="Arial"/>
                <w:sz w:val="22"/>
                <w:szCs w:val="22"/>
              </w:rPr>
              <w:t>Accession number</w:t>
            </w:r>
          </w:p>
        </w:tc>
      </w:tr>
      <w:tr w14:paraId="2D24E879" w14:textId="77777777" w:rsidTr="008F0D6F">
        <w:tblPrEx>
          <w:tblW w:w="0" w:type="auto"/>
          <w:tblLook w:val="04A0"/>
        </w:tblPrEx>
        <w:tc>
          <w:tcPr>
            <w:tcW w:w="4677" w:type="dxa"/>
          </w:tcPr>
          <w:p w:rsidR="00626DD7" w:rsidP="00626DD7" w14:paraId="4E4B1F39" w14:textId="654D9691">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Pr>
                <w:rFonts w:ascii="Arial" w:hAnsi="Arial" w:cs="Arial"/>
                <w:sz w:val="22"/>
                <w:szCs w:val="22"/>
              </w:rPr>
              <w:t>NUREG-1482, Rev. 3</w:t>
            </w:r>
            <w:r w:rsidRPr="00545FD2">
              <w:rPr>
                <w:rFonts w:ascii="Arial" w:hAnsi="Arial" w:cs="Arial"/>
                <w:sz w:val="22"/>
                <w:szCs w:val="22"/>
              </w:rPr>
              <w:t>, “</w:t>
            </w:r>
            <w:r w:rsidRPr="00545FD2">
              <w:rPr>
                <w:rFonts w:ascii="Helvetica" w:hAnsi="Helvetica"/>
                <w:sz w:val="21"/>
                <w:szCs w:val="21"/>
                <w:shd w:val="clear" w:color="auto" w:fill="FFFFFF"/>
              </w:rPr>
              <w:t>Guidelines for Inservice Testing at Nuclear Power Plants”</w:t>
            </w:r>
          </w:p>
        </w:tc>
        <w:tc>
          <w:tcPr>
            <w:tcW w:w="4685" w:type="dxa"/>
          </w:tcPr>
          <w:p w:rsidR="00626DD7" w:rsidP="00626DD7" w14:paraId="32F99DBB" w14:textId="6C96289E">
            <w:pPr>
              <w:tabs>
                <w:tab w:val="left" w:pos="-1080"/>
                <w:tab w:val="left" w:pos="-360"/>
                <w:tab w:val="left" w:pos="0"/>
                <w:tab w:val="left" w:pos="600"/>
                <w:tab w:val="left" w:pos="1200"/>
                <w:tab w:val="center" w:pos="2297"/>
              </w:tabs>
              <w:spacing w:line="0" w:lineRule="atLeast"/>
              <w:rPr>
                <w:rFonts w:ascii="Arial" w:hAnsi="Arial" w:cs="Arial"/>
                <w:sz w:val="22"/>
                <w:szCs w:val="22"/>
              </w:rPr>
            </w:pPr>
            <w:r>
              <w:rPr>
                <w:rFonts w:ascii="Arial" w:hAnsi="Arial" w:cs="Arial"/>
                <w:sz w:val="22"/>
                <w:szCs w:val="22"/>
              </w:rPr>
              <w:t>ML20202A473</w:t>
            </w:r>
          </w:p>
        </w:tc>
      </w:tr>
      <w:tr w14:paraId="24BF72E3" w14:textId="77777777" w:rsidTr="008F0D6F">
        <w:tblPrEx>
          <w:tblW w:w="0" w:type="auto"/>
          <w:tblLook w:val="04A0"/>
        </w:tblPrEx>
        <w:tc>
          <w:tcPr>
            <w:tcW w:w="4677" w:type="dxa"/>
          </w:tcPr>
          <w:p w:rsidR="00626DD7" w:rsidP="00626DD7" w14:paraId="735203DD" w14:textId="2DB35F59">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Pr>
                <w:rFonts w:ascii="Arial" w:hAnsi="Arial" w:cs="Arial"/>
                <w:sz w:val="22"/>
                <w:szCs w:val="22"/>
              </w:rPr>
              <w:t>Regulatory Guide 1.84, Rev. 39, “Design, Fabrication, and Materials Code Case Acceptability, ASME Section III”</w:t>
            </w:r>
          </w:p>
        </w:tc>
        <w:tc>
          <w:tcPr>
            <w:tcW w:w="4685" w:type="dxa"/>
          </w:tcPr>
          <w:p w:rsidR="00626DD7" w:rsidP="00626DD7" w14:paraId="2C6B2036" w14:textId="0508E3AC">
            <w:pPr>
              <w:tabs>
                <w:tab w:val="left" w:pos="-1080"/>
                <w:tab w:val="left" w:pos="-360"/>
                <w:tab w:val="left" w:pos="0"/>
                <w:tab w:val="left" w:pos="600"/>
                <w:tab w:val="left" w:pos="1200"/>
                <w:tab w:val="center" w:pos="2297"/>
              </w:tabs>
              <w:spacing w:line="0" w:lineRule="atLeast"/>
              <w:rPr>
                <w:rFonts w:ascii="Arial" w:hAnsi="Arial" w:cs="Arial"/>
                <w:sz w:val="22"/>
                <w:szCs w:val="22"/>
              </w:rPr>
            </w:pPr>
            <w:r>
              <w:rPr>
                <w:rFonts w:ascii="Arial" w:hAnsi="Arial" w:cs="Arial"/>
                <w:sz w:val="22"/>
                <w:szCs w:val="22"/>
              </w:rPr>
              <w:t>ML21181A225</w:t>
            </w:r>
          </w:p>
        </w:tc>
      </w:tr>
      <w:tr w14:paraId="1C7EF0D7" w14:textId="77777777" w:rsidTr="008F0D6F">
        <w:tblPrEx>
          <w:tblW w:w="0" w:type="auto"/>
          <w:tblLook w:val="04A0"/>
        </w:tblPrEx>
        <w:tc>
          <w:tcPr>
            <w:tcW w:w="4677" w:type="dxa"/>
          </w:tcPr>
          <w:p w:rsidR="00626DD7" w:rsidP="00626DD7" w14:paraId="520E9E60" w14:textId="4CEA2852">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Pr>
                <w:rFonts w:ascii="Arial" w:hAnsi="Arial" w:cs="Arial"/>
                <w:sz w:val="22"/>
                <w:szCs w:val="22"/>
              </w:rPr>
              <w:t>Regulatory Guide 1.147, Rev. 20, “Inservice Inspection Code Case Acceptability, ASME Section XI, Division 1”</w:t>
            </w:r>
          </w:p>
        </w:tc>
        <w:tc>
          <w:tcPr>
            <w:tcW w:w="4685" w:type="dxa"/>
          </w:tcPr>
          <w:p w:rsidR="00626DD7" w:rsidP="00626DD7" w14:paraId="15DEB97F" w14:textId="47EE8746">
            <w:pPr>
              <w:tabs>
                <w:tab w:val="left" w:pos="-1080"/>
                <w:tab w:val="left" w:pos="-360"/>
                <w:tab w:val="left" w:pos="0"/>
                <w:tab w:val="left" w:pos="600"/>
                <w:tab w:val="left" w:pos="1200"/>
                <w:tab w:val="center" w:pos="2297"/>
              </w:tabs>
              <w:spacing w:line="0" w:lineRule="atLeast"/>
              <w:rPr>
                <w:rFonts w:ascii="Arial" w:hAnsi="Arial" w:cs="Arial"/>
                <w:sz w:val="22"/>
                <w:szCs w:val="22"/>
              </w:rPr>
            </w:pPr>
            <w:r>
              <w:rPr>
                <w:rFonts w:ascii="Arial" w:hAnsi="Arial" w:cs="Arial"/>
                <w:sz w:val="22"/>
                <w:szCs w:val="22"/>
              </w:rPr>
              <w:t>ML21181A222</w:t>
            </w:r>
          </w:p>
        </w:tc>
      </w:tr>
      <w:tr w14:paraId="6790408E" w14:textId="77777777" w:rsidTr="008F0D6F">
        <w:tblPrEx>
          <w:tblW w:w="0" w:type="auto"/>
          <w:tblLook w:val="04A0"/>
        </w:tblPrEx>
        <w:tc>
          <w:tcPr>
            <w:tcW w:w="4677" w:type="dxa"/>
          </w:tcPr>
          <w:p w:rsidR="00626DD7" w:rsidP="00626DD7" w14:paraId="2687580B" w14:textId="24096EC4">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Pr>
                <w:rFonts w:ascii="Arial" w:hAnsi="Arial" w:cs="Arial"/>
                <w:sz w:val="22"/>
                <w:szCs w:val="22"/>
              </w:rPr>
              <w:t>Regulatory Guide 1.175, Rev. 1, “</w:t>
            </w:r>
            <w:r w:rsidRPr="00DA5914">
              <w:rPr>
                <w:rFonts w:ascii="Arial" w:hAnsi="Arial" w:cs="Arial"/>
                <w:sz w:val="22"/>
                <w:szCs w:val="22"/>
              </w:rPr>
              <w:t>An Approach for Plant-Specific, Risk-Informed Decisionmaking: Inservice Testing</w:t>
            </w:r>
            <w:r>
              <w:rPr>
                <w:rFonts w:ascii="Arial" w:hAnsi="Arial" w:cs="Arial"/>
                <w:sz w:val="22"/>
                <w:szCs w:val="22"/>
              </w:rPr>
              <w:t>”</w:t>
            </w:r>
          </w:p>
        </w:tc>
        <w:tc>
          <w:tcPr>
            <w:tcW w:w="4685" w:type="dxa"/>
          </w:tcPr>
          <w:p w:rsidR="00626DD7" w:rsidP="00626DD7" w14:paraId="3149640E" w14:textId="18EB0D41">
            <w:pPr>
              <w:tabs>
                <w:tab w:val="left" w:pos="-1080"/>
                <w:tab w:val="left" w:pos="-360"/>
                <w:tab w:val="left" w:pos="0"/>
                <w:tab w:val="left" w:pos="600"/>
                <w:tab w:val="left" w:pos="1200"/>
                <w:tab w:val="center" w:pos="2297"/>
              </w:tabs>
              <w:spacing w:line="0" w:lineRule="atLeast"/>
              <w:rPr>
                <w:rFonts w:ascii="Arial" w:hAnsi="Arial" w:cs="Arial"/>
                <w:sz w:val="22"/>
                <w:szCs w:val="22"/>
              </w:rPr>
            </w:pPr>
            <w:r>
              <w:rPr>
                <w:rFonts w:ascii="Arial" w:hAnsi="Arial" w:cs="Arial"/>
                <w:sz w:val="22"/>
                <w:szCs w:val="22"/>
              </w:rPr>
              <w:t>ML21140A055</w:t>
            </w:r>
          </w:p>
        </w:tc>
      </w:tr>
      <w:tr w14:paraId="5DF4B762" w14:textId="77777777" w:rsidTr="008F0D6F">
        <w:tblPrEx>
          <w:tblW w:w="0" w:type="auto"/>
          <w:tblLook w:val="04A0"/>
        </w:tblPrEx>
        <w:tc>
          <w:tcPr>
            <w:tcW w:w="4677" w:type="dxa"/>
          </w:tcPr>
          <w:p w:rsidR="00626DD7" w:rsidP="00626DD7" w14:paraId="0A25735F" w14:textId="102C0AAA">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Pr>
                <w:rFonts w:ascii="Arial" w:hAnsi="Arial" w:cs="Arial"/>
                <w:sz w:val="22"/>
                <w:szCs w:val="22"/>
              </w:rPr>
              <w:t>Regulatory Guide 1.178, Rev. 2, “</w:t>
            </w:r>
            <w:r w:rsidRPr="0064327A">
              <w:rPr>
                <w:rFonts w:ascii="Arial" w:hAnsi="Arial" w:cs="Arial"/>
                <w:sz w:val="22"/>
                <w:szCs w:val="22"/>
              </w:rPr>
              <w:t>An Approach for Plant-Specific Risk-Informed Decisionmaking for Inservice Inspection of Piping</w:t>
            </w:r>
            <w:r>
              <w:rPr>
                <w:rFonts w:ascii="Arial" w:hAnsi="Arial" w:cs="Arial"/>
                <w:sz w:val="22"/>
                <w:szCs w:val="22"/>
              </w:rPr>
              <w:t>”</w:t>
            </w:r>
          </w:p>
        </w:tc>
        <w:tc>
          <w:tcPr>
            <w:tcW w:w="4685" w:type="dxa"/>
          </w:tcPr>
          <w:p w:rsidR="00626DD7" w:rsidP="00626DD7" w14:paraId="59C7B843" w14:textId="04A1C9FE">
            <w:pPr>
              <w:tabs>
                <w:tab w:val="left" w:pos="-1080"/>
                <w:tab w:val="left" w:pos="-360"/>
                <w:tab w:val="left" w:pos="0"/>
                <w:tab w:val="left" w:pos="600"/>
                <w:tab w:val="left" w:pos="1200"/>
                <w:tab w:val="center" w:pos="2297"/>
              </w:tabs>
              <w:spacing w:line="0" w:lineRule="atLeast"/>
              <w:rPr>
                <w:rFonts w:ascii="Arial" w:hAnsi="Arial" w:cs="Arial"/>
                <w:sz w:val="22"/>
                <w:szCs w:val="22"/>
              </w:rPr>
            </w:pPr>
            <w:r>
              <w:rPr>
                <w:rFonts w:ascii="Arial" w:hAnsi="Arial" w:cs="Arial"/>
                <w:sz w:val="22"/>
                <w:szCs w:val="22"/>
              </w:rPr>
              <w:t>ML21036A105</w:t>
            </w:r>
          </w:p>
        </w:tc>
      </w:tr>
      <w:tr w14:paraId="462A941A" w14:textId="77777777" w:rsidTr="008F0D6F">
        <w:tblPrEx>
          <w:tblW w:w="0" w:type="auto"/>
          <w:tblLook w:val="04A0"/>
        </w:tblPrEx>
        <w:tc>
          <w:tcPr>
            <w:tcW w:w="4677" w:type="dxa"/>
          </w:tcPr>
          <w:p w:rsidR="00626DD7" w:rsidP="00626DD7" w14:paraId="0ED33995" w14:textId="6A807A4A">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Pr>
                <w:rFonts w:ascii="Arial" w:hAnsi="Arial" w:cs="Arial"/>
                <w:sz w:val="22"/>
                <w:szCs w:val="22"/>
              </w:rPr>
              <w:t>Regulatory Guide 1.192, Rev. 4, “Operation and Maintenance Code Case Acceptability, ASME OM Code”</w:t>
            </w:r>
          </w:p>
        </w:tc>
        <w:tc>
          <w:tcPr>
            <w:tcW w:w="4685" w:type="dxa"/>
          </w:tcPr>
          <w:p w:rsidR="00626DD7" w:rsidP="00626DD7" w14:paraId="5854BEDA" w14:textId="051DE351">
            <w:pPr>
              <w:tabs>
                <w:tab w:val="left" w:pos="-1080"/>
                <w:tab w:val="left" w:pos="-360"/>
                <w:tab w:val="left" w:pos="0"/>
                <w:tab w:val="left" w:pos="600"/>
                <w:tab w:val="left" w:pos="1200"/>
                <w:tab w:val="center" w:pos="2297"/>
              </w:tabs>
              <w:spacing w:line="0" w:lineRule="atLeast"/>
              <w:rPr>
                <w:rFonts w:ascii="Arial" w:hAnsi="Arial" w:cs="Arial"/>
                <w:sz w:val="22"/>
                <w:szCs w:val="22"/>
              </w:rPr>
            </w:pPr>
            <w:r>
              <w:rPr>
                <w:rFonts w:ascii="Arial" w:hAnsi="Arial" w:cs="Arial"/>
                <w:sz w:val="22"/>
                <w:szCs w:val="22"/>
              </w:rPr>
              <w:t>ML21181A223</w:t>
            </w:r>
          </w:p>
        </w:tc>
      </w:tr>
      <w:tr w14:paraId="65256A9F" w14:textId="77777777" w:rsidTr="008F0D6F">
        <w:tblPrEx>
          <w:tblW w:w="0" w:type="auto"/>
          <w:tblLook w:val="04A0"/>
        </w:tblPrEx>
        <w:tc>
          <w:tcPr>
            <w:tcW w:w="4677" w:type="dxa"/>
          </w:tcPr>
          <w:p w:rsidR="00626DD7" w:rsidP="00626DD7" w14:paraId="2B6DBED1" w14:textId="67783598">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Pr>
                <w:rFonts w:ascii="Arial" w:hAnsi="Arial" w:cs="Arial"/>
                <w:sz w:val="22"/>
                <w:szCs w:val="22"/>
              </w:rPr>
              <w:t xml:space="preserve">Regulatory Guide 1.193, Rev. 7, “ASME Code Cases Not Approved </w:t>
            </w:r>
            <w:r>
              <w:rPr>
                <w:rFonts w:ascii="Arial" w:hAnsi="Arial" w:cs="Arial"/>
                <w:sz w:val="22"/>
                <w:szCs w:val="22"/>
              </w:rPr>
              <w:t>For</w:t>
            </w:r>
            <w:r>
              <w:rPr>
                <w:rFonts w:ascii="Arial" w:hAnsi="Arial" w:cs="Arial"/>
                <w:sz w:val="22"/>
                <w:szCs w:val="22"/>
              </w:rPr>
              <w:t xml:space="preserve"> Use”</w:t>
            </w:r>
          </w:p>
        </w:tc>
        <w:tc>
          <w:tcPr>
            <w:tcW w:w="4685" w:type="dxa"/>
          </w:tcPr>
          <w:p w:rsidR="00626DD7" w:rsidP="00626DD7" w14:paraId="2C3E17D7" w14:textId="09ACEE46">
            <w:pPr>
              <w:tabs>
                <w:tab w:val="left" w:pos="-1080"/>
                <w:tab w:val="left" w:pos="-360"/>
                <w:tab w:val="left" w:pos="0"/>
                <w:tab w:val="left" w:pos="600"/>
                <w:tab w:val="left" w:pos="1200"/>
                <w:tab w:val="center" w:pos="2297"/>
              </w:tabs>
              <w:spacing w:line="0" w:lineRule="atLeast"/>
              <w:rPr>
                <w:rFonts w:ascii="Arial" w:hAnsi="Arial" w:cs="Arial"/>
                <w:sz w:val="22"/>
                <w:szCs w:val="22"/>
              </w:rPr>
            </w:pPr>
            <w:r>
              <w:rPr>
                <w:rFonts w:ascii="Arial" w:hAnsi="Arial" w:cs="Arial"/>
                <w:sz w:val="22"/>
                <w:szCs w:val="22"/>
              </w:rPr>
              <w:t>ML21181A224</w:t>
            </w:r>
          </w:p>
        </w:tc>
      </w:tr>
      <w:tr w14:paraId="56BADAA4" w14:textId="77777777" w:rsidTr="008F0D6F">
        <w:tblPrEx>
          <w:tblW w:w="0" w:type="auto"/>
          <w:tblLook w:val="04A0"/>
        </w:tblPrEx>
        <w:tc>
          <w:tcPr>
            <w:tcW w:w="4677" w:type="dxa"/>
          </w:tcPr>
          <w:p w:rsidR="00626DD7" w:rsidP="00626DD7" w14:paraId="371D6EF2" w14:textId="5962A4F6">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sidRPr="00A5760F">
              <w:rPr>
                <w:rFonts w:ascii="Arial" w:hAnsi="Arial" w:cs="Arial"/>
                <w:sz w:val="22"/>
                <w:szCs w:val="22"/>
              </w:rPr>
              <w:t>Regulatory Guide 1.106, Rev. 2, “Thermal Overload Protection for Electric Motors on Motor-Operated Valves”</w:t>
            </w:r>
          </w:p>
        </w:tc>
        <w:tc>
          <w:tcPr>
            <w:tcW w:w="4685" w:type="dxa"/>
          </w:tcPr>
          <w:p w:rsidR="00626DD7" w:rsidP="00626DD7" w14:paraId="7F360716" w14:textId="385F53F9">
            <w:pPr>
              <w:tabs>
                <w:tab w:val="left" w:pos="-1080"/>
                <w:tab w:val="left" w:pos="-360"/>
                <w:tab w:val="left" w:pos="0"/>
                <w:tab w:val="left" w:pos="600"/>
                <w:tab w:val="left" w:pos="1200"/>
                <w:tab w:val="center" w:pos="2297"/>
              </w:tabs>
              <w:spacing w:line="0" w:lineRule="atLeast"/>
              <w:rPr>
                <w:rFonts w:ascii="Arial" w:hAnsi="Arial" w:cs="Arial"/>
                <w:sz w:val="22"/>
                <w:szCs w:val="22"/>
              </w:rPr>
            </w:pPr>
            <w:r>
              <w:rPr>
                <w:rFonts w:ascii="Arial" w:hAnsi="Arial" w:cs="Arial"/>
                <w:sz w:val="22"/>
                <w:szCs w:val="22"/>
              </w:rPr>
              <w:t>ML112580358</w:t>
            </w:r>
          </w:p>
        </w:tc>
      </w:tr>
      <w:tr w14:paraId="3294F4FF" w14:textId="77777777" w:rsidTr="008F0D6F">
        <w:tblPrEx>
          <w:tblW w:w="0" w:type="auto"/>
          <w:tblLook w:val="04A0"/>
        </w:tblPrEx>
        <w:tc>
          <w:tcPr>
            <w:tcW w:w="4677" w:type="dxa"/>
          </w:tcPr>
          <w:p w:rsidR="00626DD7" w:rsidRPr="00A5760F" w:rsidP="00626DD7" w14:paraId="5D5AC35C" w14:textId="1787AC63">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sidRPr="00A5760F">
              <w:rPr>
                <w:rFonts w:ascii="Arial" w:hAnsi="Arial" w:cs="Arial"/>
                <w:sz w:val="22"/>
                <w:szCs w:val="22"/>
              </w:rPr>
              <w:t>Regulatory Guide 1.118, Rev. 3, “Periodic Testing of Electric Power and Protection Systems”</w:t>
            </w:r>
          </w:p>
        </w:tc>
        <w:tc>
          <w:tcPr>
            <w:tcW w:w="4685" w:type="dxa"/>
          </w:tcPr>
          <w:p w:rsidR="00626DD7" w:rsidP="00626DD7" w14:paraId="7E057636" w14:textId="4AED0BF6">
            <w:pPr>
              <w:tabs>
                <w:tab w:val="left" w:pos="-1080"/>
                <w:tab w:val="left" w:pos="-360"/>
                <w:tab w:val="left" w:pos="0"/>
                <w:tab w:val="left" w:pos="600"/>
                <w:tab w:val="left" w:pos="1200"/>
                <w:tab w:val="center" w:pos="2297"/>
              </w:tabs>
              <w:spacing w:line="0" w:lineRule="atLeast"/>
              <w:rPr>
                <w:rFonts w:ascii="Arial" w:hAnsi="Arial" w:cs="Arial"/>
                <w:sz w:val="22"/>
                <w:szCs w:val="22"/>
              </w:rPr>
            </w:pPr>
            <w:r>
              <w:rPr>
                <w:rFonts w:ascii="Arial" w:hAnsi="Arial" w:cs="Arial"/>
                <w:sz w:val="22"/>
                <w:szCs w:val="22"/>
              </w:rPr>
              <w:t>ML003739468</w:t>
            </w:r>
          </w:p>
        </w:tc>
      </w:tr>
      <w:tr w14:paraId="4CCA2FC6" w14:textId="77777777" w:rsidTr="008F0D6F">
        <w:tblPrEx>
          <w:tblW w:w="0" w:type="auto"/>
          <w:tblLook w:val="04A0"/>
        </w:tblPrEx>
        <w:tc>
          <w:tcPr>
            <w:tcW w:w="4677" w:type="dxa"/>
          </w:tcPr>
          <w:p w:rsidR="00626DD7" w:rsidRPr="00A5760F" w:rsidP="00626DD7" w14:paraId="6020E073" w14:textId="0397AA28">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sidRPr="00A5760F">
              <w:rPr>
                <w:rFonts w:ascii="Arial" w:hAnsi="Arial" w:cs="Arial"/>
                <w:sz w:val="22"/>
                <w:szCs w:val="22"/>
              </w:rPr>
              <w:t>Regulatory Guide 1.137, Rev. 2, “</w:t>
            </w:r>
            <w:r w:rsidRPr="000F00A4">
              <w:rPr>
                <w:rFonts w:ascii="Arial" w:hAnsi="Arial" w:cs="Arial"/>
                <w:color w:val="333333"/>
                <w:sz w:val="22"/>
                <w:szCs w:val="22"/>
                <w:shd w:val="clear" w:color="auto" w:fill="FFFFFF"/>
              </w:rPr>
              <w:t>Fuel Oil Systems for Emergency Power Supplies</w:t>
            </w:r>
            <w:r w:rsidRPr="00A5760F">
              <w:rPr>
                <w:rFonts w:ascii="Arial" w:hAnsi="Arial" w:cs="Arial"/>
                <w:sz w:val="22"/>
                <w:szCs w:val="22"/>
              </w:rPr>
              <w:t>”</w:t>
            </w:r>
          </w:p>
        </w:tc>
        <w:tc>
          <w:tcPr>
            <w:tcW w:w="4685" w:type="dxa"/>
          </w:tcPr>
          <w:p w:rsidR="00626DD7" w:rsidP="00626DD7" w14:paraId="684F7F0E" w14:textId="6C67713B">
            <w:pPr>
              <w:tabs>
                <w:tab w:val="left" w:pos="-1080"/>
                <w:tab w:val="left" w:pos="-360"/>
                <w:tab w:val="left" w:pos="0"/>
                <w:tab w:val="left" w:pos="600"/>
                <w:tab w:val="left" w:pos="1200"/>
                <w:tab w:val="center" w:pos="2297"/>
              </w:tabs>
              <w:spacing w:line="0" w:lineRule="atLeast"/>
              <w:rPr>
                <w:rFonts w:ascii="Arial" w:hAnsi="Arial" w:cs="Arial"/>
                <w:sz w:val="22"/>
                <w:szCs w:val="22"/>
              </w:rPr>
            </w:pPr>
            <w:r>
              <w:rPr>
                <w:rFonts w:ascii="Arial" w:hAnsi="Arial" w:cs="Arial"/>
                <w:sz w:val="22"/>
                <w:szCs w:val="22"/>
              </w:rPr>
              <w:t>ML12300A122</w:t>
            </w:r>
          </w:p>
        </w:tc>
      </w:tr>
      <w:tr w14:paraId="1A347787" w14:textId="77777777" w:rsidTr="008F0D6F">
        <w:tblPrEx>
          <w:tblW w:w="0" w:type="auto"/>
          <w:tblLook w:val="04A0"/>
        </w:tblPrEx>
        <w:tc>
          <w:tcPr>
            <w:tcW w:w="4677" w:type="dxa"/>
          </w:tcPr>
          <w:p w:rsidR="00626DD7" w:rsidRPr="00A5760F" w:rsidP="00626DD7" w14:paraId="02755803" w14:textId="69DA2519">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sidRPr="00A5760F">
              <w:rPr>
                <w:rFonts w:ascii="Arial" w:hAnsi="Arial" w:cs="Arial"/>
                <w:sz w:val="22"/>
                <w:szCs w:val="22"/>
              </w:rPr>
              <w:t>Regulatory Guide 1.151, Rev. 2, “</w:t>
            </w:r>
            <w:r w:rsidRPr="000F00A4">
              <w:rPr>
                <w:rFonts w:ascii="Arial" w:hAnsi="Arial" w:cs="Arial"/>
                <w:color w:val="333333"/>
                <w:sz w:val="22"/>
                <w:szCs w:val="22"/>
                <w:shd w:val="clear" w:color="auto" w:fill="FFFFFF"/>
              </w:rPr>
              <w:t>Instrument Sensing Lines</w:t>
            </w:r>
            <w:r w:rsidRPr="00A5760F">
              <w:rPr>
                <w:rFonts w:ascii="Arial" w:hAnsi="Arial" w:cs="Arial"/>
                <w:sz w:val="22"/>
                <w:szCs w:val="22"/>
              </w:rPr>
              <w:t>”</w:t>
            </w:r>
          </w:p>
        </w:tc>
        <w:tc>
          <w:tcPr>
            <w:tcW w:w="4685" w:type="dxa"/>
          </w:tcPr>
          <w:p w:rsidR="00626DD7" w:rsidP="00626DD7" w14:paraId="6ABE1B91" w14:textId="2BC6EFC1">
            <w:pPr>
              <w:tabs>
                <w:tab w:val="left" w:pos="-1080"/>
                <w:tab w:val="left" w:pos="-360"/>
                <w:tab w:val="left" w:pos="0"/>
                <w:tab w:val="left" w:pos="600"/>
                <w:tab w:val="left" w:pos="1200"/>
                <w:tab w:val="center" w:pos="2297"/>
              </w:tabs>
              <w:spacing w:line="0" w:lineRule="atLeast"/>
              <w:rPr>
                <w:rFonts w:ascii="Arial" w:hAnsi="Arial" w:cs="Arial"/>
                <w:sz w:val="22"/>
                <w:szCs w:val="22"/>
              </w:rPr>
            </w:pPr>
            <w:r>
              <w:rPr>
                <w:rFonts w:ascii="Arial" w:hAnsi="Arial" w:cs="Arial"/>
                <w:sz w:val="22"/>
                <w:szCs w:val="22"/>
              </w:rPr>
              <w:t>ML19156A129</w:t>
            </w:r>
          </w:p>
        </w:tc>
      </w:tr>
      <w:tr w14:paraId="2BCA7498" w14:textId="77777777" w:rsidTr="008F0D6F">
        <w:tblPrEx>
          <w:tblW w:w="0" w:type="auto"/>
          <w:tblLook w:val="04A0"/>
        </w:tblPrEx>
        <w:tc>
          <w:tcPr>
            <w:tcW w:w="4677" w:type="dxa"/>
          </w:tcPr>
          <w:p w:rsidR="00626DD7" w:rsidRPr="00A5760F" w:rsidP="00626DD7" w14:paraId="3D33796F" w14:textId="0870231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sidRPr="00A5760F">
              <w:rPr>
                <w:rFonts w:ascii="Arial" w:hAnsi="Arial" w:cs="Arial"/>
                <w:sz w:val="22"/>
                <w:szCs w:val="22"/>
              </w:rPr>
              <w:t xml:space="preserve">Regulatory Guide 1.152, Rev. </w:t>
            </w:r>
            <w:r w:rsidR="00B74E0A">
              <w:rPr>
                <w:rFonts w:ascii="Arial" w:hAnsi="Arial" w:cs="Arial"/>
                <w:sz w:val="22"/>
                <w:szCs w:val="22"/>
              </w:rPr>
              <w:t>4</w:t>
            </w:r>
            <w:r w:rsidRPr="00A5760F">
              <w:rPr>
                <w:rFonts w:ascii="Arial" w:hAnsi="Arial" w:cs="Arial"/>
                <w:sz w:val="22"/>
                <w:szCs w:val="22"/>
              </w:rPr>
              <w:t>, “</w:t>
            </w:r>
            <w:r w:rsidRPr="000F00A4">
              <w:rPr>
                <w:rFonts w:ascii="Arial" w:hAnsi="Arial" w:cs="Arial"/>
                <w:color w:val="333333"/>
                <w:sz w:val="22"/>
                <w:szCs w:val="22"/>
                <w:shd w:val="clear" w:color="auto" w:fill="FFFFFF"/>
              </w:rPr>
              <w:t>Criteria for Use of Computers in Safety Systems of Nuclear Power Plants</w:t>
            </w:r>
            <w:r w:rsidRPr="00A5760F">
              <w:rPr>
                <w:rFonts w:ascii="Arial" w:hAnsi="Arial" w:cs="Arial"/>
                <w:sz w:val="22"/>
                <w:szCs w:val="22"/>
              </w:rPr>
              <w:t>”</w:t>
            </w:r>
          </w:p>
        </w:tc>
        <w:tc>
          <w:tcPr>
            <w:tcW w:w="4685" w:type="dxa"/>
          </w:tcPr>
          <w:p w:rsidR="00626DD7" w:rsidP="00626DD7" w14:paraId="7AC67D86" w14:textId="7AA2C520">
            <w:pPr>
              <w:tabs>
                <w:tab w:val="left" w:pos="-1080"/>
                <w:tab w:val="left" w:pos="-360"/>
                <w:tab w:val="left" w:pos="0"/>
                <w:tab w:val="left" w:pos="600"/>
                <w:tab w:val="left" w:pos="1200"/>
                <w:tab w:val="center" w:pos="2297"/>
              </w:tabs>
              <w:spacing w:line="0" w:lineRule="atLeast"/>
              <w:rPr>
                <w:rFonts w:ascii="Arial" w:hAnsi="Arial" w:cs="Arial"/>
                <w:sz w:val="22"/>
                <w:szCs w:val="22"/>
              </w:rPr>
            </w:pPr>
            <w:r w:rsidRPr="00AF4188">
              <w:rPr>
                <w:rFonts w:ascii="Arial" w:hAnsi="Arial" w:cs="Arial"/>
                <w:sz w:val="22"/>
                <w:szCs w:val="22"/>
              </w:rPr>
              <w:t>ML23054A463</w:t>
            </w:r>
          </w:p>
        </w:tc>
      </w:tr>
      <w:tr w14:paraId="723D148D" w14:textId="77777777" w:rsidTr="008F0D6F">
        <w:tblPrEx>
          <w:tblW w:w="0" w:type="auto"/>
          <w:tblLook w:val="04A0"/>
        </w:tblPrEx>
        <w:tc>
          <w:tcPr>
            <w:tcW w:w="4677" w:type="dxa"/>
          </w:tcPr>
          <w:p w:rsidR="00626DD7" w:rsidRPr="00A5760F" w:rsidP="00626DD7" w14:paraId="21A42312" w14:textId="2C4A4F2C">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sidRPr="00A5760F">
              <w:rPr>
                <w:rFonts w:ascii="Arial" w:hAnsi="Arial" w:cs="Arial"/>
                <w:sz w:val="22"/>
                <w:szCs w:val="22"/>
              </w:rPr>
              <w:t>Regulatory Guide 1.153, Rev. 1, “</w:t>
            </w:r>
            <w:r w:rsidRPr="000F00A4">
              <w:rPr>
                <w:rFonts w:ascii="Arial" w:hAnsi="Arial" w:cs="Arial"/>
                <w:color w:val="333333"/>
                <w:sz w:val="22"/>
                <w:szCs w:val="22"/>
                <w:shd w:val="clear" w:color="auto" w:fill="FFFFFF"/>
              </w:rPr>
              <w:t>Criteria for Safety Systems</w:t>
            </w:r>
            <w:r w:rsidRPr="00A5760F">
              <w:rPr>
                <w:rFonts w:ascii="Arial" w:hAnsi="Arial" w:cs="Arial"/>
                <w:sz w:val="22"/>
                <w:szCs w:val="22"/>
              </w:rPr>
              <w:t>”</w:t>
            </w:r>
          </w:p>
        </w:tc>
        <w:tc>
          <w:tcPr>
            <w:tcW w:w="4685" w:type="dxa"/>
          </w:tcPr>
          <w:p w:rsidR="00626DD7" w:rsidP="00626DD7" w14:paraId="30E23CA3" w14:textId="66C78EAB">
            <w:pPr>
              <w:tabs>
                <w:tab w:val="left" w:pos="-1080"/>
                <w:tab w:val="left" w:pos="-360"/>
                <w:tab w:val="left" w:pos="0"/>
                <w:tab w:val="left" w:pos="600"/>
                <w:tab w:val="left" w:pos="1200"/>
                <w:tab w:val="center" w:pos="2297"/>
              </w:tabs>
              <w:spacing w:line="0" w:lineRule="atLeast"/>
              <w:rPr>
                <w:rFonts w:ascii="Arial" w:hAnsi="Arial" w:cs="Arial"/>
                <w:sz w:val="22"/>
                <w:szCs w:val="22"/>
              </w:rPr>
            </w:pPr>
            <w:r>
              <w:rPr>
                <w:rFonts w:ascii="Arial" w:hAnsi="Arial" w:cs="Arial"/>
                <w:sz w:val="22"/>
                <w:szCs w:val="22"/>
              </w:rPr>
              <w:t>ML003740022</w:t>
            </w:r>
          </w:p>
        </w:tc>
      </w:tr>
      <w:tr w14:paraId="7DD1047E" w14:textId="77777777" w:rsidTr="008F0D6F">
        <w:tblPrEx>
          <w:tblW w:w="0" w:type="auto"/>
          <w:tblLook w:val="04A0"/>
        </w:tblPrEx>
        <w:tc>
          <w:tcPr>
            <w:tcW w:w="4677" w:type="dxa"/>
          </w:tcPr>
          <w:p w:rsidR="00626DD7" w:rsidRPr="00A5760F" w:rsidP="00626DD7" w14:paraId="2C6BF671" w14:textId="56A645DD">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sidRPr="00A5760F">
              <w:rPr>
                <w:rFonts w:ascii="Arial" w:hAnsi="Arial" w:cs="Arial"/>
                <w:sz w:val="22"/>
                <w:szCs w:val="22"/>
              </w:rPr>
              <w:t>Regulatory Guide 1.168, Rev. 2, “</w:t>
            </w:r>
            <w:r w:rsidRPr="000F00A4">
              <w:rPr>
                <w:rFonts w:ascii="Arial" w:hAnsi="Arial" w:cs="Arial"/>
                <w:color w:val="333333"/>
                <w:sz w:val="22"/>
                <w:szCs w:val="22"/>
                <w:shd w:val="clear" w:color="auto" w:fill="FFFFFF"/>
              </w:rPr>
              <w:t>Verification, Validation, Reviews, and Audits for Digital Computer Software Used in Safety Systems of Nuclear Power Plants</w:t>
            </w:r>
            <w:r w:rsidRPr="00A5760F">
              <w:rPr>
                <w:rFonts w:ascii="Arial" w:hAnsi="Arial" w:cs="Arial"/>
                <w:sz w:val="22"/>
                <w:szCs w:val="22"/>
              </w:rPr>
              <w:t>”</w:t>
            </w:r>
          </w:p>
        </w:tc>
        <w:tc>
          <w:tcPr>
            <w:tcW w:w="4685" w:type="dxa"/>
          </w:tcPr>
          <w:p w:rsidR="00626DD7" w:rsidP="00626DD7" w14:paraId="44DA17D4" w14:textId="43D3254C">
            <w:pPr>
              <w:tabs>
                <w:tab w:val="left" w:pos="-1080"/>
                <w:tab w:val="left" w:pos="-360"/>
                <w:tab w:val="left" w:pos="0"/>
                <w:tab w:val="left" w:pos="600"/>
                <w:tab w:val="left" w:pos="1200"/>
                <w:tab w:val="center" w:pos="2297"/>
              </w:tabs>
              <w:spacing w:line="0" w:lineRule="atLeast"/>
              <w:rPr>
                <w:rFonts w:ascii="Arial" w:hAnsi="Arial" w:cs="Arial"/>
                <w:sz w:val="22"/>
                <w:szCs w:val="22"/>
              </w:rPr>
            </w:pPr>
            <w:r>
              <w:rPr>
                <w:rFonts w:ascii="Arial" w:hAnsi="Arial" w:cs="Arial"/>
                <w:sz w:val="22"/>
                <w:szCs w:val="22"/>
              </w:rPr>
              <w:t>ML13073A210</w:t>
            </w:r>
          </w:p>
        </w:tc>
      </w:tr>
      <w:tr w14:paraId="4C612C73" w14:textId="77777777" w:rsidTr="008F0D6F">
        <w:tblPrEx>
          <w:tblW w:w="0" w:type="auto"/>
          <w:tblLook w:val="04A0"/>
        </w:tblPrEx>
        <w:tc>
          <w:tcPr>
            <w:tcW w:w="4677" w:type="dxa"/>
          </w:tcPr>
          <w:p w:rsidR="00626DD7" w:rsidRPr="00A5760F" w:rsidP="00626DD7" w14:paraId="65E33577" w14:textId="46F32672">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sidRPr="00A5760F">
              <w:rPr>
                <w:rFonts w:ascii="Arial" w:hAnsi="Arial" w:cs="Arial"/>
                <w:sz w:val="22"/>
                <w:szCs w:val="22"/>
              </w:rPr>
              <w:t>Regulatory Guide 1.169, Rev. 2, “</w:t>
            </w:r>
            <w:r w:rsidRPr="000F00A4">
              <w:rPr>
                <w:rFonts w:ascii="Arial" w:hAnsi="Arial" w:cs="Arial"/>
                <w:color w:val="333333"/>
                <w:sz w:val="22"/>
                <w:szCs w:val="22"/>
                <w:shd w:val="clear" w:color="auto" w:fill="FFFFFF"/>
              </w:rPr>
              <w:t>Configuration Management Plans for Digital Computer Software Used in Safety Systems of Nuclear Power Plants</w:t>
            </w:r>
            <w:r w:rsidRPr="00A5760F">
              <w:rPr>
                <w:rFonts w:ascii="Arial" w:hAnsi="Arial" w:cs="Arial"/>
                <w:sz w:val="22"/>
                <w:szCs w:val="22"/>
              </w:rPr>
              <w:t>”</w:t>
            </w:r>
          </w:p>
        </w:tc>
        <w:tc>
          <w:tcPr>
            <w:tcW w:w="4685" w:type="dxa"/>
          </w:tcPr>
          <w:p w:rsidR="00626DD7" w:rsidP="00626DD7" w14:paraId="5886F490" w14:textId="7916C81D">
            <w:pPr>
              <w:tabs>
                <w:tab w:val="left" w:pos="-1080"/>
                <w:tab w:val="left" w:pos="-360"/>
                <w:tab w:val="left" w:pos="0"/>
                <w:tab w:val="left" w:pos="600"/>
                <w:tab w:val="left" w:pos="1200"/>
                <w:tab w:val="center" w:pos="2297"/>
              </w:tabs>
              <w:spacing w:line="0" w:lineRule="atLeast"/>
              <w:rPr>
                <w:rFonts w:ascii="Arial" w:hAnsi="Arial" w:cs="Arial"/>
                <w:sz w:val="22"/>
                <w:szCs w:val="22"/>
              </w:rPr>
            </w:pPr>
            <w:r>
              <w:rPr>
                <w:rFonts w:ascii="Arial" w:hAnsi="Arial" w:cs="Arial"/>
                <w:sz w:val="22"/>
                <w:szCs w:val="22"/>
              </w:rPr>
              <w:t>ML12355A642</w:t>
            </w:r>
          </w:p>
        </w:tc>
      </w:tr>
      <w:tr w14:paraId="411185B5" w14:textId="77777777" w:rsidTr="008F0D6F">
        <w:tblPrEx>
          <w:tblW w:w="0" w:type="auto"/>
          <w:tblLook w:val="04A0"/>
        </w:tblPrEx>
        <w:tc>
          <w:tcPr>
            <w:tcW w:w="4677" w:type="dxa"/>
          </w:tcPr>
          <w:p w:rsidR="00626DD7" w:rsidRPr="00A5760F" w:rsidP="00626DD7" w14:paraId="5E490337" w14:textId="5843518F">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sidRPr="00A5760F">
              <w:rPr>
                <w:rFonts w:ascii="Arial" w:hAnsi="Arial" w:cs="Arial"/>
                <w:sz w:val="22"/>
                <w:szCs w:val="22"/>
              </w:rPr>
              <w:t>Regulatory Guide 1.170, Rev. 1, “</w:t>
            </w:r>
            <w:r w:rsidRPr="000F00A4">
              <w:rPr>
                <w:rFonts w:ascii="Arial" w:hAnsi="Arial" w:cs="Arial"/>
                <w:color w:val="333333"/>
                <w:sz w:val="22"/>
                <w:szCs w:val="22"/>
                <w:shd w:val="clear" w:color="auto" w:fill="FFFFFF"/>
              </w:rPr>
              <w:t xml:space="preserve">Test Documentation for Digital Computer Software </w:t>
            </w:r>
            <w:r w:rsidRPr="000F00A4">
              <w:rPr>
                <w:rFonts w:ascii="Arial" w:hAnsi="Arial" w:cs="Arial"/>
                <w:color w:val="333333"/>
                <w:sz w:val="22"/>
                <w:szCs w:val="22"/>
                <w:shd w:val="clear" w:color="auto" w:fill="FFFFFF"/>
              </w:rPr>
              <w:t>Used in Safety Systems of Nuclear Power Plants</w:t>
            </w:r>
            <w:r w:rsidRPr="00A5760F">
              <w:rPr>
                <w:rFonts w:ascii="Arial" w:hAnsi="Arial" w:cs="Arial"/>
                <w:sz w:val="22"/>
                <w:szCs w:val="22"/>
              </w:rPr>
              <w:t>”</w:t>
            </w:r>
          </w:p>
        </w:tc>
        <w:tc>
          <w:tcPr>
            <w:tcW w:w="4685" w:type="dxa"/>
          </w:tcPr>
          <w:p w:rsidR="00626DD7" w:rsidP="00626DD7" w14:paraId="320D3E08" w14:textId="299CCEDD">
            <w:pPr>
              <w:tabs>
                <w:tab w:val="left" w:pos="-1080"/>
                <w:tab w:val="left" w:pos="-360"/>
                <w:tab w:val="left" w:pos="0"/>
                <w:tab w:val="left" w:pos="600"/>
                <w:tab w:val="left" w:pos="1200"/>
                <w:tab w:val="center" w:pos="2297"/>
              </w:tabs>
              <w:spacing w:line="0" w:lineRule="atLeast"/>
              <w:rPr>
                <w:rFonts w:ascii="Arial" w:hAnsi="Arial" w:cs="Arial"/>
                <w:sz w:val="22"/>
                <w:szCs w:val="22"/>
              </w:rPr>
            </w:pPr>
            <w:r>
              <w:rPr>
                <w:rFonts w:ascii="Arial" w:hAnsi="Arial" w:cs="Arial"/>
                <w:sz w:val="22"/>
                <w:szCs w:val="22"/>
              </w:rPr>
              <w:t>ML13003A216</w:t>
            </w:r>
          </w:p>
        </w:tc>
      </w:tr>
      <w:tr w14:paraId="7CCBE936" w14:textId="77777777" w:rsidTr="008F0D6F">
        <w:tblPrEx>
          <w:tblW w:w="0" w:type="auto"/>
          <w:tblLook w:val="04A0"/>
        </w:tblPrEx>
        <w:tc>
          <w:tcPr>
            <w:tcW w:w="4677" w:type="dxa"/>
          </w:tcPr>
          <w:p w:rsidR="00626DD7" w:rsidRPr="00A5760F" w:rsidP="00626DD7" w14:paraId="09B59A30" w14:textId="35BEBFD1">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sidRPr="00A5760F">
              <w:rPr>
                <w:rFonts w:ascii="Arial" w:hAnsi="Arial" w:cs="Arial"/>
                <w:sz w:val="22"/>
                <w:szCs w:val="22"/>
              </w:rPr>
              <w:t>Regulatory Guide 1.1</w:t>
            </w:r>
            <w:r>
              <w:rPr>
                <w:rFonts w:ascii="Arial" w:hAnsi="Arial" w:cs="Arial"/>
                <w:sz w:val="22"/>
                <w:szCs w:val="22"/>
              </w:rPr>
              <w:t>71</w:t>
            </w:r>
            <w:r w:rsidRPr="00A5760F">
              <w:rPr>
                <w:rFonts w:ascii="Arial" w:hAnsi="Arial" w:cs="Arial"/>
                <w:sz w:val="22"/>
                <w:szCs w:val="22"/>
              </w:rPr>
              <w:t xml:space="preserve">, Rev. </w:t>
            </w:r>
            <w:r>
              <w:rPr>
                <w:rFonts w:ascii="Arial" w:hAnsi="Arial" w:cs="Arial"/>
                <w:sz w:val="22"/>
                <w:szCs w:val="22"/>
              </w:rPr>
              <w:t>1</w:t>
            </w:r>
            <w:r w:rsidRPr="00A5760F">
              <w:rPr>
                <w:rFonts w:ascii="Arial" w:hAnsi="Arial" w:cs="Arial"/>
                <w:sz w:val="22"/>
                <w:szCs w:val="22"/>
              </w:rPr>
              <w:t>, “</w:t>
            </w:r>
            <w:r w:rsidRPr="006E6F50">
              <w:rPr>
                <w:rFonts w:ascii="Arial" w:hAnsi="Arial" w:cs="Arial"/>
                <w:color w:val="333333"/>
                <w:sz w:val="22"/>
                <w:szCs w:val="22"/>
                <w:shd w:val="clear" w:color="auto" w:fill="FFFFFF"/>
              </w:rPr>
              <w:t>Software Unit Testing for Digital Computer Software Used in Safety Systems of Nuclear Power Plants</w:t>
            </w:r>
            <w:r w:rsidRPr="00A5760F">
              <w:rPr>
                <w:rFonts w:ascii="Arial" w:hAnsi="Arial" w:cs="Arial"/>
                <w:sz w:val="22"/>
                <w:szCs w:val="22"/>
              </w:rPr>
              <w:t>”</w:t>
            </w:r>
          </w:p>
        </w:tc>
        <w:tc>
          <w:tcPr>
            <w:tcW w:w="4685" w:type="dxa"/>
          </w:tcPr>
          <w:p w:rsidR="00626DD7" w:rsidP="00626DD7" w14:paraId="16E8D1F9" w14:textId="71D190DC">
            <w:pPr>
              <w:tabs>
                <w:tab w:val="left" w:pos="-1080"/>
                <w:tab w:val="left" w:pos="-360"/>
                <w:tab w:val="left" w:pos="0"/>
                <w:tab w:val="left" w:pos="600"/>
                <w:tab w:val="left" w:pos="1200"/>
                <w:tab w:val="center" w:pos="2297"/>
              </w:tabs>
              <w:spacing w:line="0" w:lineRule="atLeast"/>
              <w:rPr>
                <w:rFonts w:ascii="Arial" w:hAnsi="Arial" w:cs="Arial"/>
                <w:sz w:val="22"/>
                <w:szCs w:val="22"/>
              </w:rPr>
            </w:pPr>
            <w:r>
              <w:rPr>
                <w:rFonts w:ascii="Arial" w:hAnsi="Arial" w:cs="Arial"/>
                <w:sz w:val="22"/>
                <w:szCs w:val="22"/>
              </w:rPr>
              <w:t>ML13004A375</w:t>
            </w:r>
          </w:p>
        </w:tc>
      </w:tr>
      <w:tr w14:paraId="60350251" w14:textId="77777777" w:rsidTr="008F0D6F">
        <w:tblPrEx>
          <w:tblW w:w="0" w:type="auto"/>
          <w:tblLook w:val="04A0"/>
        </w:tblPrEx>
        <w:tc>
          <w:tcPr>
            <w:tcW w:w="4677" w:type="dxa"/>
          </w:tcPr>
          <w:p w:rsidR="00626DD7" w:rsidRPr="00A5760F" w:rsidP="00626DD7" w14:paraId="7EB8AAD8" w14:textId="6CA6CC51">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sidRPr="00A5760F">
              <w:rPr>
                <w:rFonts w:ascii="Arial" w:hAnsi="Arial" w:cs="Arial"/>
                <w:sz w:val="22"/>
                <w:szCs w:val="22"/>
              </w:rPr>
              <w:t>Regulatory Guide 1.1</w:t>
            </w:r>
            <w:r>
              <w:rPr>
                <w:rFonts w:ascii="Arial" w:hAnsi="Arial" w:cs="Arial"/>
                <w:sz w:val="22"/>
                <w:szCs w:val="22"/>
              </w:rPr>
              <w:t>72</w:t>
            </w:r>
            <w:r w:rsidRPr="00A5760F">
              <w:rPr>
                <w:rFonts w:ascii="Arial" w:hAnsi="Arial" w:cs="Arial"/>
                <w:sz w:val="22"/>
                <w:szCs w:val="22"/>
              </w:rPr>
              <w:t xml:space="preserve">, Rev. </w:t>
            </w:r>
            <w:r>
              <w:rPr>
                <w:rFonts w:ascii="Arial" w:hAnsi="Arial" w:cs="Arial"/>
                <w:sz w:val="22"/>
                <w:szCs w:val="22"/>
              </w:rPr>
              <w:t>1</w:t>
            </w:r>
            <w:r w:rsidRPr="00A5760F">
              <w:rPr>
                <w:rFonts w:ascii="Arial" w:hAnsi="Arial" w:cs="Arial"/>
                <w:sz w:val="22"/>
                <w:szCs w:val="22"/>
              </w:rPr>
              <w:t>, “</w:t>
            </w:r>
            <w:r w:rsidRPr="00564930">
              <w:rPr>
                <w:rFonts w:ascii="Arial" w:hAnsi="Arial" w:cs="Arial"/>
                <w:color w:val="333333"/>
                <w:sz w:val="22"/>
                <w:szCs w:val="22"/>
                <w:shd w:val="clear" w:color="auto" w:fill="FFFFFF"/>
              </w:rPr>
              <w:t>Software Requirement Specifications for Digital Computer Software and Complex Electronics Used in Safety Systems of Nuclear Power Plants</w:t>
            </w:r>
            <w:r w:rsidRPr="00A5760F">
              <w:rPr>
                <w:rFonts w:ascii="Arial" w:hAnsi="Arial" w:cs="Arial"/>
                <w:sz w:val="22"/>
                <w:szCs w:val="22"/>
              </w:rPr>
              <w:t>”</w:t>
            </w:r>
          </w:p>
        </w:tc>
        <w:tc>
          <w:tcPr>
            <w:tcW w:w="4685" w:type="dxa"/>
          </w:tcPr>
          <w:p w:rsidR="00626DD7" w:rsidP="00626DD7" w14:paraId="0D7F1AD4" w14:textId="55F93909">
            <w:pPr>
              <w:tabs>
                <w:tab w:val="left" w:pos="-1080"/>
                <w:tab w:val="left" w:pos="-360"/>
                <w:tab w:val="left" w:pos="0"/>
                <w:tab w:val="left" w:pos="600"/>
                <w:tab w:val="left" w:pos="1200"/>
                <w:tab w:val="center" w:pos="2297"/>
              </w:tabs>
              <w:spacing w:line="0" w:lineRule="atLeast"/>
              <w:rPr>
                <w:rFonts w:ascii="Arial" w:hAnsi="Arial" w:cs="Arial"/>
                <w:sz w:val="22"/>
                <w:szCs w:val="22"/>
              </w:rPr>
            </w:pPr>
            <w:r>
              <w:rPr>
                <w:rFonts w:ascii="Arial" w:hAnsi="Arial" w:cs="Arial"/>
                <w:sz w:val="22"/>
                <w:szCs w:val="22"/>
              </w:rPr>
              <w:t>ML13007A173</w:t>
            </w:r>
          </w:p>
        </w:tc>
      </w:tr>
      <w:tr w14:paraId="43BDF0A8" w14:textId="77777777" w:rsidTr="008F0D6F">
        <w:tblPrEx>
          <w:tblW w:w="0" w:type="auto"/>
          <w:tblLook w:val="04A0"/>
        </w:tblPrEx>
        <w:tc>
          <w:tcPr>
            <w:tcW w:w="4677" w:type="dxa"/>
          </w:tcPr>
          <w:p w:rsidR="00626DD7" w:rsidRPr="00A5760F" w:rsidP="00626DD7" w14:paraId="077F19CC" w14:textId="68C64448">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sidRPr="00A5760F">
              <w:rPr>
                <w:rFonts w:ascii="Arial" w:hAnsi="Arial" w:cs="Arial"/>
                <w:sz w:val="22"/>
                <w:szCs w:val="22"/>
              </w:rPr>
              <w:t>Regulatory Guide 1.1</w:t>
            </w:r>
            <w:r>
              <w:rPr>
                <w:rFonts w:ascii="Arial" w:hAnsi="Arial" w:cs="Arial"/>
                <w:sz w:val="22"/>
                <w:szCs w:val="22"/>
              </w:rPr>
              <w:t>73</w:t>
            </w:r>
            <w:r w:rsidRPr="00A5760F">
              <w:rPr>
                <w:rFonts w:ascii="Arial" w:hAnsi="Arial" w:cs="Arial"/>
                <w:sz w:val="22"/>
                <w:szCs w:val="22"/>
              </w:rPr>
              <w:t xml:space="preserve">, Rev. </w:t>
            </w:r>
            <w:r>
              <w:rPr>
                <w:rFonts w:ascii="Arial" w:hAnsi="Arial" w:cs="Arial"/>
                <w:sz w:val="22"/>
                <w:szCs w:val="22"/>
              </w:rPr>
              <w:t>1</w:t>
            </w:r>
            <w:r w:rsidRPr="00A5760F">
              <w:rPr>
                <w:rFonts w:ascii="Arial" w:hAnsi="Arial" w:cs="Arial"/>
                <w:sz w:val="22"/>
                <w:szCs w:val="22"/>
              </w:rPr>
              <w:t>, “</w:t>
            </w:r>
            <w:r w:rsidRPr="00962390">
              <w:rPr>
                <w:rFonts w:ascii="Arial" w:hAnsi="Arial" w:cs="Arial"/>
                <w:color w:val="333333"/>
                <w:sz w:val="22"/>
                <w:szCs w:val="22"/>
                <w:shd w:val="clear" w:color="auto" w:fill="FFFFFF"/>
              </w:rPr>
              <w:t>Developing Software Life Cycle Processes for Digital Computer Software Used in Safety Systems of Nuclear Power Plants</w:t>
            </w:r>
            <w:r w:rsidRPr="00A5760F">
              <w:rPr>
                <w:rFonts w:ascii="Arial" w:hAnsi="Arial" w:cs="Arial"/>
                <w:sz w:val="22"/>
                <w:szCs w:val="22"/>
              </w:rPr>
              <w:t>”</w:t>
            </w:r>
          </w:p>
        </w:tc>
        <w:tc>
          <w:tcPr>
            <w:tcW w:w="4685" w:type="dxa"/>
          </w:tcPr>
          <w:p w:rsidR="00626DD7" w:rsidP="00626DD7" w14:paraId="320D4FDF" w14:textId="19366389">
            <w:pPr>
              <w:tabs>
                <w:tab w:val="left" w:pos="-1080"/>
                <w:tab w:val="left" w:pos="-360"/>
                <w:tab w:val="left" w:pos="0"/>
                <w:tab w:val="left" w:pos="600"/>
                <w:tab w:val="left" w:pos="1200"/>
                <w:tab w:val="center" w:pos="2297"/>
              </w:tabs>
              <w:spacing w:line="0" w:lineRule="atLeast"/>
              <w:rPr>
                <w:rFonts w:ascii="Arial" w:hAnsi="Arial" w:cs="Arial"/>
                <w:sz w:val="22"/>
                <w:szCs w:val="22"/>
              </w:rPr>
            </w:pPr>
            <w:r>
              <w:rPr>
                <w:rFonts w:ascii="Arial" w:hAnsi="Arial" w:cs="Arial"/>
                <w:sz w:val="22"/>
                <w:szCs w:val="22"/>
              </w:rPr>
              <w:t>ML13009A190</w:t>
            </w:r>
          </w:p>
        </w:tc>
      </w:tr>
      <w:tr w14:paraId="3920EFAC" w14:textId="77777777" w:rsidTr="008F0D6F">
        <w:tblPrEx>
          <w:tblW w:w="0" w:type="auto"/>
          <w:tblLook w:val="04A0"/>
        </w:tblPrEx>
        <w:tc>
          <w:tcPr>
            <w:tcW w:w="4677" w:type="dxa"/>
          </w:tcPr>
          <w:p w:rsidR="00626DD7" w:rsidRPr="00A5760F" w:rsidP="00626DD7" w14:paraId="40116ACF" w14:textId="3F9767EF">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sidRPr="00A5760F">
              <w:rPr>
                <w:rFonts w:ascii="Arial" w:hAnsi="Arial" w:cs="Arial"/>
                <w:sz w:val="22"/>
                <w:szCs w:val="22"/>
              </w:rPr>
              <w:t>Regulatory Guide 1.1</w:t>
            </w:r>
            <w:r>
              <w:rPr>
                <w:rFonts w:ascii="Arial" w:hAnsi="Arial" w:cs="Arial"/>
                <w:sz w:val="22"/>
                <w:szCs w:val="22"/>
              </w:rPr>
              <w:t>80</w:t>
            </w:r>
            <w:r w:rsidRPr="00A5760F">
              <w:rPr>
                <w:rFonts w:ascii="Arial" w:hAnsi="Arial" w:cs="Arial"/>
                <w:sz w:val="22"/>
                <w:szCs w:val="22"/>
              </w:rPr>
              <w:t>, Rev. 2, “</w:t>
            </w:r>
            <w:r w:rsidRPr="007649AD">
              <w:rPr>
                <w:rFonts w:ascii="Arial" w:hAnsi="Arial" w:cs="Arial"/>
                <w:color w:val="333333"/>
                <w:sz w:val="22"/>
                <w:szCs w:val="22"/>
                <w:shd w:val="clear" w:color="auto" w:fill="FFFFFF"/>
              </w:rPr>
              <w:t>Guidelines for Evaluating Electromagnetic and Radio-Frequency Interference in Safety-Related Instrumentation and Control Systems</w:t>
            </w:r>
            <w:r w:rsidRPr="00A5760F">
              <w:rPr>
                <w:rFonts w:ascii="Arial" w:hAnsi="Arial" w:cs="Arial"/>
                <w:sz w:val="22"/>
                <w:szCs w:val="22"/>
              </w:rPr>
              <w:t>”</w:t>
            </w:r>
          </w:p>
        </w:tc>
        <w:tc>
          <w:tcPr>
            <w:tcW w:w="4685" w:type="dxa"/>
          </w:tcPr>
          <w:p w:rsidR="00626DD7" w:rsidP="00626DD7" w14:paraId="773B4DB4" w14:textId="2E7B1C7C">
            <w:pPr>
              <w:tabs>
                <w:tab w:val="left" w:pos="-1080"/>
                <w:tab w:val="left" w:pos="-360"/>
                <w:tab w:val="left" w:pos="0"/>
                <w:tab w:val="left" w:pos="600"/>
                <w:tab w:val="left" w:pos="1200"/>
                <w:tab w:val="center" w:pos="2297"/>
              </w:tabs>
              <w:spacing w:line="0" w:lineRule="atLeast"/>
              <w:rPr>
                <w:rFonts w:ascii="Arial" w:hAnsi="Arial" w:cs="Arial"/>
                <w:sz w:val="22"/>
                <w:szCs w:val="22"/>
              </w:rPr>
            </w:pPr>
            <w:r>
              <w:rPr>
                <w:rFonts w:ascii="Arial" w:hAnsi="Arial" w:cs="Arial"/>
                <w:sz w:val="22"/>
                <w:szCs w:val="22"/>
              </w:rPr>
              <w:t>ML19175A044</w:t>
            </w:r>
          </w:p>
        </w:tc>
      </w:tr>
      <w:tr w14:paraId="691DA3DF" w14:textId="77777777" w:rsidTr="008F0D6F">
        <w:tblPrEx>
          <w:tblW w:w="0" w:type="auto"/>
          <w:tblLook w:val="04A0"/>
        </w:tblPrEx>
        <w:tc>
          <w:tcPr>
            <w:tcW w:w="4677" w:type="dxa"/>
          </w:tcPr>
          <w:p w:rsidR="00626DD7" w:rsidRPr="00A5760F" w:rsidP="00626DD7" w14:paraId="66BFFA5F" w14:textId="312493FB">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sidRPr="00A5760F">
              <w:rPr>
                <w:rFonts w:ascii="Arial" w:hAnsi="Arial" w:cs="Arial"/>
                <w:sz w:val="22"/>
                <w:szCs w:val="22"/>
              </w:rPr>
              <w:t>Regulatory Guide 1.</w:t>
            </w:r>
            <w:r>
              <w:rPr>
                <w:rFonts w:ascii="Arial" w:hAnsi="Arial" w:cs="Arial"/>
                <w:sz w:val="22"/>
                <w:szCs w:val="22"/>
              </w:rPr>
              <w:t>209</w:t>
            </w:r>
            <w:r w:rsidRPr="00A5760F">
              <w:rPr>
                <w:rFonts w:ascii="Arial" w:hAnsi="Arial" w:cs="Arial"/>
                <w:sz w:val="22"/>
                <w:szCs w:val="22"/>
              </w:rPr>
              <w:t xml:space="preserve">, Rev. </w:t>
            </w:r>
            <w:r>
              <w:rPr>
                <w:rFonts w:ascii="Arial" w:hAnsi="Arial" w:cs="Arial"/>
                <w:sz w:val="22"/>
                <w:szCs w:val="22"/>
              </w:rPr>
              <w:t>0</w:t>
            </w:r>
            <w:r w:rsidRPr="00A5760F">
              <w:rPr>
                <w:rFonts w:ascii="Arial" w:hAnsi="Arial" w:cs="Arial"/>
                <w:sz w:val="22"/>
                <w:szCs w:val="22"/>
              </w:rPr>
              <w:t>, “</w:t>
            </w:r>
            <w:r w:rsidRPr="00BA7E58">
              <w:rPr>
                <w:rFonts w:ascii="Arial" w:hAnsi="Arial" w:cs="Arial"/>
                <w:color w:val="333333"/>
                <w:sz w:val="22"/>
                <w:szCs w:val="22"/>
                <w:shd w:val="clear" w:color="auto" w:fill="FFFFFF"/>
              </w:rPr>
              <w:t>Guidelines for Environmental Qualification of Safety-Related Computer-Based Instrumentation and Control Systems in Nuclear Power Plants</w:t>
            </w:r>
            <w:r w:rsidRPr="00A5760F">
              <w:rPr>
                <w:rFonts w:ascii="Arial" w:hAnsi="Arial" w:cs="Arial"/>
                <w:sz w:val="22"/>
                <w:szCs w:val="22"/>
              </w:rPr>
              <w:t>”</w:t>
            </w:r>
          </w:p>
        </w:tc>
        <w:tc>
          <w:tcPr>
            <w:tcW w:w="4685" w:type="dxa"/>
          </w:tcPr>
          <w:p w:rsidR="00626DD7" w:rsidP="00626DD7" w14:paraId="6DF4F310" w14:textId="634DC239">
            <w:pPr>
              <w:tabs>
                <w:tab w:val="left" w:pos="-1080"/>
                <w:tab w:val="left" w:pos="-360"/>
                <w:tab w:val="left" w:pos="0"/>
                <w:tab w:val="left" w:pos="600"/>
                <w:tab w:val="left" w:pos="1200"/>
                <w:tab w:val="center" w:pos="2297"/>
              </w:tabs>
              <w:spacing w:line="0" w:lineRule="atLeast"/>
              <w:rPr>
                <w:rFonts w:ascii="Arial" w:hAnsi="Arial" w:cs="Arial"/>
                <w:sz w:val="22"/>
                <w:szCs w:val="22"/>
              </w:rPr>
            </w:pPr>
            <w:r>
              <w:rPr>
                <w:rFonts w:ascii="Arial" w:hAnsi="Arial" w:cs="Arial"/>
                <w:sz w:val="22"/>
                <w:szCs w:val="22"/>
              </w:rPr>
              <w:t>ML07019029</w:t>
            </w:r>
          </w:p>
        </w:tc>
      </w:tr>
      <w:tr w14:paraId="7D5FF244" w14:textId="77777777" w:rsidTr="008F0D6F">
        <w:tblPrEx>
          <w:tblW w:w="0" w:type="auto"/>
          <w:tblLook w:val="04A0"/>
        </w:tblPrEx>
        <w:tc>
          <w:tcPr>
            <w:tcW w:w="4677" w:type="dxa"/>
          </w:tcPr>
          <w:p w:rsidR="00626DD7" w:rsidRPr="00A5760F" w:rsidP="00626DD7" w14:paraId="1B81067E" w14:textId="64DE1D8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sidRPr="00A5760F">
              <w:rPr>
                <w:rFonts w:ascii="Arial" w:hAnsi="Arial" w:cs="Arial"/>
                <w:sz w:val="22"/>
                <w:szCs w:val="22"/>
              </w:rPr>
              <w:t>Regulatory Guide 1.</w:t>
            </w:r>
            <w:r>
              <w:rPr>
                <w:rFonts w:ascii="Arial" w:hAnsi="Arial" w:cs="Arial"/>
                <w:sz w:val="22"/>
                <w:szCs w:val="22"/>
              </w:rPr>
              <w:t>47</w:t>
            </w:r>
            <w:r w:rsidRPr="00A5760F">
              <w:rPr>
                <w:rFonts w:ascii="Arial" w:hAnsi="Arial" w:cs="Arial"/>
                <w:sz w:val="22"/>
                <w:szCs w:val="22"/>
              </w:rPr>
              <w:t xml:space="preserve">, Rev. </w:t>
            </w:r>
            <w:r>
              <w:rPr>
                <w:rFonts w:ascii="Arial" w:hAnsi="Arial" w:cs="Arial"/>
                <w:sz w:val="22"/>
                <w:szCs w:val="22"/>
              </w:rPr>
              <w:t>1</w:t>
            </w:r>
            <w:r w:rsidRPr="00A5760F">
              <w:rPr>
                <w:rFonts w:ascii="Arial" w:hAnsi="Arial" w:cs="Arial"/>
                <w:sz w:val="22"/>
                <w:szCs w:val="22"/>
              </w:rPr>
              <w:t>, “</w:t>
            </w:r>
            <w:r w:rsidRPr="00A91EAF">
              <w:rPr>
                <w:rFonts w:ascii="Arial" w:hAnsi="Arial" w:cs="Arial"/>
                <w:color w:val="333333"/>
                <w:sz w:val="22"/>
                <w:szCs w:val="22"/>
                <w:shd w:val="clear" w:color="auto" w:fill="FFFFFF"/>
              </w:rPr>
              <w:t>Bypassed and Inoperable Status Indication for Nuclear Power Plant Safety Systems</w:t>
            </w:r>
            <w:r w:rsidRPr="00A5760F">
              <w:rPr>
                <w:rFonts w:ascii="Arial" w:hAnsi="Arial" w:cs="Arial"/>
                <w:sz w:val="22"/>
                <w:szCs w:val="22"/>
              </w:rPr>
              <w:t>”</w:t>
            </w:r>
          </w:p>
        </w:tc>
        <w:tc>
          <w:tcPr>
            <w:tcW w:w="4685" w:type="dxa"/>
          </w:tcPr>
          <w:p w:rsidR="00626DD7" w:rsidP="00626DD7" w14:paraId="3FE2DDB3" w14:textId="381FA394">
            <w:pPr>
              <w:tabs>
                <w:tab w:val="left" w:pos="-1080"/>
                <w:tab w:val="left" w:pos="-360"/>
                <w:tab w:val="left" w:pos="0"/>
                <w:tab w:val="left" w:pos="600"/>
                <w:tab w:val="left" w:pos="1200"/>
                <w:tab w:val="center" w:pos="2297"/>
              </w:tabs>
              <w:spacing w:line="0" w:lineRule="atLeast"/>
              <w:rPr>
                <w:rFonts w:ascii="Arial" w:hAnsi="Arial" w:cs="Arial"/>
                <w:sz w:val="22"/>
                <w:szCs w:val="22"/>
              </w:rPr>
            </w:pPr>
            <w:r>
              <w:rPr>
                <w:rFonts w:ascii="Arial" w:hAnsi="Arial" w:cs="Arial"/>
                <w:sz w:val="22"/>
                <w:szCs w:val="22"/>
              </w:rPr>
              <w:t>ML</w:t>
            </w:r>
            <w:r w:rsidRPr="001A0A63">
              <w:rPr>
                <w:rFonts w:ascii="Arial" w:hAnsi="Arial" w:cs="Arial"/>
                <w:sz w:val="22"/>
                <w:szCs w:val="22"/>
              </w:rPr>
              <w:t>092330064</w:t>
            </w:r>
          </w:p>
        </w:tc>
      </w:tr>
      <w:tr w14:paraId="3A8AF41F" w14:textId="77777777" w:rsidTr="008F0D6F">
        <w:tblPrEx>
          <w:tblW w:w="0" w:type="auto"/>
          <w:tblLook w:val="04A0"/>
        </w:tblPrEx>
        <w:tc>
          <w:tcPr>
            <w:tcW w:w="4677" w:type="dxa"/>
          </w:tcPr>
          <w:p w:rsidR="00626DD7" w:rsidRPr="00A5760F" w:rsidP="00626DD7" w14:paraId="5611B06C" w14:textId="7FC41F33">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sidRPr="00A5760F">
              <w:rPr>
                <w:rFonts w:ascii="Arial" w:hAnsi="Arial" w:cs="Arial"/>
                <w:sz w:val="22"/>
                <w:szCs w:val="22"/>
              </w:rPr>
              <w:t>Regulatory Guide 1.</w:t>
            </w:r>
            <w:r>
              <w:rPr>
                <w:rFonts w:ascii="Arial" w:hAnsi="Arial" w:cs="Arial"/>
                <w:sz w:val="22"/>
                <w:szCs w:val="22"/>
              </w:rPr>
              <w:t>53</w:t>
            </w:r>
            <w:r w:rsidRPr="00A5760F">
              <w:rPr>
                <w:rFonts w:ascii="Arial" w:hAnsi="Arial" w:cs="Arial"/>
                <w:sz w:val="22"/>
                <w:szCs w:val="22"/>
              </w:rPr>
              <w:t xml:space="preserve">, Rev. </w:t>
            </w:r>
            <w:r>
              <w:rPr>
                <w:rFonts w:ascii="Arial" w:hAnsi="Arial" w:cs="Arial"/>
                <w:sz w:val="22"/>
                <w:szCs w:val="22"/>
              </w:rPr>
              <w:t>2</w:t>
            </w:r>
            <w:r w:rsidRPr="00A5760F">
              <w:rPr>
                <w:rFonts w:ascii="Arial" w:hAnsi="Arial" w:cs="Arial"/>
                <w:sz w:val="22"/>
                <w:szCs w:val="22"/>
              </w:rPr>
              <w:t>, “</w:t>
            </w:r>
            <w:r w:rsidRPr="00A91EAF">
              <w:rPr>
                <w:rFonts w:ascii="Arial" w:hAnsi="Arial" w:cs="Arial"/>
                <w:color w:val="333333"/>
                <w:sz w:val="22"/>
                <w:szCs w:val="22"/>
                <w:shd w:val="clear" w:color="auto" w:fill="FFFFFF"/>
              </w:rPr>
              <w:t>Bypassed and Inoperable Status Indication for Nuclear Power Plant Safety Systems</w:t>
            </w:r>
            <w:r w:rsidRPr="00A5760F">
              <w:rPr>
                <w:rFonts w:ascii="Arial" w:hAnsi="Arial" w:cs="Arial"/>
                <w:sz w:val="22"/>
                <w:szCs w:val="22"/>
              </w:rPr>
              <w:t>”</w:t>
            </w:r>
          </w:p>
        </w:tc>
        <w:tc>
          <w:tcPr>
            <w:tcW w:w="4685" w:type="dxa"/>
          </w:tcPr>
          <w:p w:rsidR="00626DD7" w:rsidP="00626DD7" w14:paraId="7FAA123F" w14:textId="21EDF4D8">
            <w:pPr>
              <w:tabs>
                <w:tab w:val="left" w:pos="-1080"/>
                <w:tab w:val="left" w:pos="-360"/>
                <w:tab w:val="left" w:pos="0"/>
                <w:tab w:val="left" w:pos="600"/>
                <w:tab w:val="left" w:pos="1200"/>
                <w:tab w:val="center" w:pos="2297"/>
              </w:tabs>
              <w:spacing w:line="0" w:lineRule="atLeast"/>
              <w:rPr>
                <w:rFonts w:ascii="Arial" w:hAnsi="Arial" w:cs="Arial"/>
                <w:sz w:val="22"/>
                <w:szCs w:val="22"/>
              </w:rPr>
            </w:pPr>
            <w:r w:rsidRPr="00980DA0">
              <w:rPr>
                <w:rFonts w:ascii="Arial" w:hAnsi="Arial" w:cs="Arial"/>
                <w:sz w:val="22"/>
                <w:szCs w:val="22"/>
              </w:rPr>
              <w:t>ML033220006</w:t>
            </w:r>
          </w:p>
        </w:tc>
      </w:tr>
      <w:tr w14:paraId="040C3C7F" w14:textId="77777777" w:rsidTr="008F0D6F">
        <w:tblPrEx>
          <w:tblW w:w="0" w:type="auto"/>
          <w:tblLook w:val="04A0"/>
        </w:tblPrEx>
        <w:tc>
          <w:tcPr>
            <w:tcW w:w="4677" w:type="dxa"/>
          </w:tcPr>
          <w:p w:rsidR="00626DD7" w:rsidRPr="00A5760F" w:rsidP="00626DD7" w14:paraId="3DB58185" w14:textId="64797A6C">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sidRPr="00A5760F">
              <w:rPr>
                <w:rFonts w:ascii="Arial" w:hAnsi="Arial" w:cs="Arial"/>
                <w:sz w:val="22"/>
                <w:szCs w:val="22"/>
              </w:rPr>
              <w:t>Regulatory Guide 1.</w:t>
            </w:r>
            <w:r>
              <w:rPr>
                <w:rFonts w:ascii="Arial" w:hAnsi="Arial" w:cs="Arial"/>
                <w:sz w:val="22"/>
                <w:szCs w:val="22"/>
              </w:rPr>
              <w:t>62</w:t>
            </w:r>
            <w:r w:rsidRPr="00A5760F">
              <w:rPr>
                <w:rFonts w:ascii="Arial" w:hAnsi="Arial" w:cs="Arial"/>
                <w:sz w:val="22"/>
                <w:szCs w:val="22"/>
              </w:rPr>
              <w:t xml:space="preserve">, Rev. </w:t>
            </w:r>
            <w:r>
              <w:rPr>
                <w:rFonts w:ascii="Arial" w:hAnsi="Arial" w:cs="Arial"/>
                <w:sz w:val="22"/>
                <w:szCs w:val="22"/>
              </w:rPr>
              <w:t>1</w:t>
            </w:r>
            <w:r w:rsidRPr="00A5760F">
              <w:rPr>
                <w:rFonts w:ascii="Arial" w:hAnsi="Arial" w:cs="Arial"/>
                <w:sz w:val="22"/>
                <w:szCs w:val="22"/>
              </w:rPr>
              <w:t>, “</w:t>
            </w:r>
            <w:r w:rsidRPr="000A6E44">
              <w:rPr>
                <w:rFonts w:ascii="Arial" w:hAnsi="Arial" w:cs="Arial"/>
                <w:color w:val="333333"/>
                <w:sz w:val="22"/>
                <w:szCs w:val="22"/>
                <w:shd w:val="clear" w:color="auto" w:fill="FFFFFF"/>
              </w:rPr>
              <w:t>Manual Initiation of Protective Actions</w:t>
            </w:r>
            <w:r w:rsidRPr="00A5760F">
              <w:rPr>
                <w:rFonts w:ascii="Arial" w:hAnsi="Arial" w:cs="Arial"/>
                <w:sz w:val="22"/>
                <w:szCs w:val="22"/>
              </w:rPr>
              <w:t>”</w:t>
            </w:r>
          </w:p>
        </w:tc>
        <w:tc>
          <w:tcPr>
            <w:tcW w:w="4685" w:type="dxa"/>
          </w:tcPr>
          <w:p w:rsidR="00626DD7" w:rsidRPr="00980DA0" w:rsidP="00626DD7" w14:paraId="77369558" w14:textId="235A7A78">
            <w:pPr>
              <w:tabs>
                <w:tab w:val="left" w:pos="-1080"/>
                <w:tab w:val="left" w:pos="-360"/>
                <w:tab w:val="left" w:pos="0"/>
                <w:tab w:val="left" w:pos="600"/>
                <w:tab w:val="left" w:pos="1200"/>
                <w:tab w:val="center" w:pos="2297"/>
              </w:tabs>
              <w:spacing w:line="0" w:lineRule="atLeast"/>
              <w:rPr>
                <w:rFonts w:ascii="Arial" w:hAnsi="Arial" w:cs="Arial"/>
                <w:sz w:val="22"/>
                <w:szCs w:val="22"/>
              </w:rPr>
            </w:pPr>
            <w:r w:rsidRPr="00840763">
              <w:rPr>
                <w:rFonts w:ascii="Arial" w:hAnsi="Arial" w:cs="Arial"/>
                <w:sz w:val="22"/>
                <w:szCs w:val="22"/>
              </w:rPr>
              <w:t>ML101540348</w:t>
            </w:r>
          </w:p>
        </w:tc>
      </w:tr>
      <w:tr w14:paraId="2C2DBB8B" w14:textId="77777777" w:rsidTr="008F0D6F">
        <w:tblPrEx>
          <w:tblW w:w="0" w:type="auto"/>
          <w:tblLook w:val="04A0"/>
        </w:tblPrEx>
        <w:tc>
          <w:tcPr>
            <w:tcW w:w="4677" w:type="dxa"/>
          </w:tcPr>
          <w:p w:rsidR="00626DD7" w:rsidRPr="00A5760F" w:rsidP="00626DD7" w14:paraId="78A81FED" w14:textId="71809D8F">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sidRPr="00A5760F">
              <w:rPr>
                <w:rFonts w:ascii="Arial" w:hAnsi="Arial" w:cs="Arial"/>
                <w:sz w:val="22"/>
                <w:szCs w:val="22"/>
              </w:rPr>
              <w:t>Regulatory Guide 1.</w:t>
            </w:r>
            <w:r>
              <w:rPr>
                <w:rFonts w:ascii="Arial" w:hAnsi="Arial" w:cs="Arial"/>
                <w:sz w:val="22"/>
                <w:szCs w:val="22"/>
              </w:rPr>
              <w:t>75</w:t>
            </w:r>
            <w:r w:rsidRPr="00A5760F">
              <w:rPr>
                <w:rFonts w:ascii="Arial" w:hAnsi="Arial" w:cs="Arial"/>
                <w:sz w:val="22"/>
                <w:szCs w:val="22"/>
              </w:rPr>
              <w:t xml:space="preserve">, Rev. </w:t>
            </w:r>
            <w:r>
              <w:rPr>
                <w:rFonts w:ascii="Arial" w:hAnsi="Arial" w:cs="Arial"/>
                <w:sz w:val="22"/>
                <w:szCs w:val="22"/>
              </w:rPr>
              <w:t>3</w:t>
            </w:r>
            <w:r w:rsidRPr="00A5760F">
              <w:rPr>
                <w:rFonts w:ascii="Arial" w:hAnsi="Arial" w:cs="Arial"/>
                <w:sz w:val="22"/>
                <w:szCs w:val="22"/>
              </w:rPr>
              <w:t>, “</w:t>
            </w:r>
            <w:r>
              <w:rPr>
                <w:rFonts w:ascii="Arial" w:hAnsi="Arial" w:cs="Arial"/>
                <w:color w:val="333333"/>
                <w:sz w:val="22"/>
                <w:szCs w:val="22"/>
                <w:shd w:val="clear" w:color="auto" w:fill="FFFFFF"/>
              </w:rPr>
              <w:t>Physical Independence of Electric Systems</w:t>
            </w:r>
            <w:r w:rsidRPr="00A5760F">
              <w:rPr>
                <w:rFonts w:ascii="Arial" w:hAnsi="Arial" w:cs="Arial"/>
                <w:sz w:val="22"/>
                <w:szCs w:val="22"/>
              </w:rPr>
              <w:t>”</w:t>
            </w:r>
          </w:p>
        </w:tc>
        <w:tc>
          <w:tcPr>
            <w:tcW w:w="4685" w:type="dxa"/>
          </w:tcPr>
          <w:p w:rsidR="00626DD7" w:rsidRPr="00840763" w:rsidP="00626DD7" w14:paraId="64DDCDD1" w14:textId="6E295D86">
            <w:pPr>
              <w:tabs>
                <w:tab w:val="left" w:pos="-1080"/>
                <w:tab w:val="left" w:pos="-360"/>
                <w:tab w:val="left" w:pos="0"/>
                <w:tab w:val="left" w:pos="600"/>
                <w:tab w:val="left" w:pos="1200"/>
                <w:tab w:val="center" w:pos="2297"/>
              </w:tabs>
              <w:spacing w:line="0" w:lineRule="atLeast"/>
              <w:rPr>
                <w:rFonts w:ascii="Arial" w:hAnsi="Arial" w:cs="Arial"/>
                <w:sz w:val="22"/>
                <w:szCs w:val="22"/>
              </w:rPr>
            </w:pPr>
            <w:r>
              <w:rPr>
                <w:rFonts w:ascii="Arial" w:hAnsi="Arial" w:cs="Arial"/>
                <w:sz w:val="22"/>
                <w:szCs w:val="22"/>
              </w:rPr>
              <w:t>ML043630448</w:t>
            </w:r>
          </w:p>
        </w:tc>
      </w:tr>
      <w:tr w14:paraId="0211ADC2" w14:textId="77777777" w:rsidTr="008F0D6F">
        <w:tblPrEx>
          <w:tblW w:w="0" w:type="auto"/>
          <w:tblLook w:val="04A0"/>
        </w:tblPrEx>
        <w:tc>
          <w:tcPr>
            <w:tcW w:w="4677" w:type="dxa"/>
          </w:tcPr>
          <w:p w:rsidR="00626DD7" w:rsidRPr="00A5760F" w:rsidP="00626DD7" w14:paraId="718E2BC6" w14:textId="6D5BEFD3">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sidRPr="00A5760F">
              <w:rPr>
                <w:rFonts w:ascii="Arial" w:hAnsi="Arial" w:cs="Arial"/>
                <w:sz w:val="22"/>
                <w:szCs w:val="22"/>
              </w:rPr>
              <w:t>Regulatory Guide 1.</w:t>
            </w:r>
            <w:r>
              <w:rPr>
                <w:rFonts w:ascii="Arial" w:hAnsi="Arial" w:cs="Arial"/>
                <w:sz w:val="22"/>
                <w:szCs w:val="22"/>
              </w:rPr>
              <w:t>212</w:t>
            </w:r>
            <w:r w:rsidRPr="00A5760F">
              <w:rPr>
                <w:rFonts w:ascii="Arial" w:hAnsi="Arial" w:cs="Arial"/>
                <w:sz w:val="22"/>
                <w:szCs w:val="22"/>
              </w:rPr>
              <w:t xml:space="preserve">, Rev. </w:t>
            </w:r>
            <w:r w:rsidR="005C3976">
              <w:rPr>
                <w:rFonts w:ascii="Arial" w:hAnsi="Arial" w:cs="Arial"/>
                <w:sz w:val="22"/>
                <w:szCs w:val="22"/>
              </w:rPr>
              <w:t>2</w:t>
            </w:r>
            <w:r w:rsidRPr="00A5760F">
              <w:rPr>
                <w:rFonts w:ascii="Arial" w:hAnsi="Arial" w:cs="Arial"/>
                <w:sz w:val="22"/>
                <w:szCs w:val="22"/>
              </w:rPr>
              <w:t>, “</w:t>
            </w:r>
            <w:r>
              <w:rPr>
                <w:rFonts w:ascii="Arial" w:hAnsi="Arial" w:cs="Arial"/>
                <w:color w:val="333333"/>
                <w:sz w:val="22"/>
                <w:szCs w:val="22"/>
                <w:shd w:val="clear" w:color="auto" w:fill="FFFFFF"/>
              </w:rPr>
              <w:t>Sizing of Large Lead-Acid Storage Batteries</w:t>
            </w:r>
            <w:r w:rsidRPr="00A5760F">
              <w:rPr>
                <w:rFonts w:ascii="Arial" w:hAnsi="Arial" w:cs="Arial"/>
                <w:sz w:val="22"/>
                <w:szCs w:val="22"/>
              </w:rPr>
              <w:t>”</w:t>
            </w:r>
          </w:p>
        </w:tc>
        <w:tc>
          <w:tcPr>
            <w:tcW w:w="4685" w:type="dxa"/>
          </w:tcPr>
          <w:p w:rsidR="00626DD7" w:rsidRPr="005C3976" w:rsidP="00626DD7" w14:paraId="7632486E" w14:textId="3350AFE0">
            <w:pPr>
              <w:tabs>
                <w:tab w:val="left" w:pos="-1080"/>
                <w:tab w:val="left" w:pos="-360"/>
                <w:tab w:val="left" w:pos="0"/>
                <w:tab w:val="left" w:pos="600"/>
                <w:tab w:val="left" w:pos="1200"/>
                <w:tab w:val="center" w:pos="2297"/>
              </w:tabs>
              <w:spacing w:line="0" w:lineRule="atLeast"/>
              <w:rPr>
                <w:rFonts w:ascii="Arial" w:hAnsi="Arial" w:cs="Arial"/>
                <w:sz w:val="22"/>
                <w:szCs w:val="22"/>
              </w:rPr>
            </w:pPr>
            <w:r w:rsidRPr="00CF24AA">
              <w:rPr>
                <w:rFonts w:ascii="Arial" w:hAnsi="Arial" w:cs="Arial"/>
                <w:sz w:val="22"/>
                <w:szCs w:val="22"/>
              </w:rPr>
              <w:t>ML23118A344</w:t>
            </w:r>
          </w:p>
        </w:tc>
      </w:tr>
      <w:tr w14:paraId="616C5C6F" w14:textId="77777777" w:rsidTr="008F0D6F">
        <w:tblPrEx>
          <w:tblW w:w="0" w:type="auto"/>
          <w:tblLook w:val="04A0"/>
        </w:tblPrEx>
        <w:tc>
          <w:tcPr>
            <w:tcW w:w="4677" w:type="dxa"/>
          </w:tcPr>
          <w:p w:rsidR="00626DD7" w:rsidRPr="00A5760F" w:rsidP="00626DD7" w14:paraId="2F9D6F5E" w14:textId="15230251">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sidRPr="00A5760F">
              <w:rPr>
                <w:rFonts w:ascii="Arial" w:hAnsi="Arial" w:cs="Arial"/>
                <w:sz w:val="22"/>
                <w:szCs w:val="22"/>
              </w:rPr>
              <w:t>Regulatory Guide 1.</w:t>
            </w:r>
            <w:r>
              <w:rPr>
                <w:rFonts w:ascii="Arial" w:hAnsi="Arial" w:cs="Arial"/>
                <w:sz w:val="22"/>
                <w:szCs w:val="22"/>
              </w:rPr>
              <w:t>137</w:t>
            </w:r>
            <w:r w:rsidRPr="00A5760F">
              <w:rPr>
                <w:rFonts w:ascii="Arial" w:hAnsi="Arial" w:cs="Arial"/>
                <w:sz w:val="22"/>
                <w:szCs w:val="22"/>
              </w:rPr>
              <w:t xml:space="preserve">, Rev. </w:t>
            </w:r>
            <w:r>
              <w:rPr>
                <w:rFonts w:ascii="Arial" w:hAnsi="Arial" w:cs="Arial"/>
                <w:sz w:val="22"/>
                <w:szCs w:val="22"/>
              </w:rPr>
              <w:t>2</w:t>
            </w:r>
            <w:r w:rsidRPr="00A5760F">
              <w:rPr>
                <w:rFonts w:ascii="Arial" w:hAnsi="Arial" w:cs="Arial"/>
                <w:sz w:val="22"/>
                <w:szCs w:val="22"/>
              </w:rPr>
              <w:t>, “</w:t>
            </w:r>
            <w:r w:rsidRPr="0047623C">
              <w:rPr>
                <w:rFonts w:ascii="Arial" w:hAnsi="Arial" w:cs="Arial"/>
                <w:color w:val="333333"/>
                <w:sz w:val="22"/>
                <w:szCs w:val="22"/>
                <w:shd w:val="clear" w:color="auto" w:fill="FFFFFF"/>
              </w:rPr>
              <w:t>Fuel Oil Systems for Emergency Power Supplies</w:t>
            </w:r>
            <w:r w:rsidRPr="00A5760F">
              <w:rPr>
                <w:rFonts w:ascii="Arial" w:hAnsi="Arial" w:cs="Arial"/>
                <w:sz w:val="22"/>
                <w:szCs w:val="22"/>
              </w:rPr>
              <w:t>”</w:t>
            </w:r>
          </w:p>
        </w:tc>
        <w:tc>
          <w:tcPr>
            <w:tcW w:w="4685" w:type="dxa"/>
          </w:tcPr>
          <w:p w:rsidR="00626DD7" w:rsidP="00626DD7" w14:paraId="45C63F04" w14:textId="7B1C97CB">
            <w:pPr>
              <w:tabs>
                <w:tab w:val="left" w:pos="-1080"/>
                <w:tab w:val="left" w:pos="-360"/>
                <w:tab w:val="left" w:pos="0"/>
                <w:tab w:val="left" w:pos="600"/>
                <w:tab w:val="left" w:pos="1200"/>
                <w:tab w:val="center" w:pos="2297"/>
              </w:tabs>
              <w:spacing w:line="0" w:lineRule="atLeast"/>
              <w:rPr>
                <w:rFonts w:ascii="Arial" w:hAnsi="Arial" w:cs="Arial"/>
                <w:sz w:val="22"/>
                <w:szCs w:val="22"/>
              </w:rPr>
            </w:pPr>
            <w:r w:rsidRPr="001C361B">
              <w:rPr>
                <w:rFonts w:ascii="Arial" w:hAnsi="Arial" w:cs="Arial"/>
                <w:sz w:val="22"/>
                <w:szCs w:val="22"/>
              </w:rPr>
              <w:t>ML12300A121</w:t>
            </w:r>
          </w:p>
        </w:tc>
      </w:tr>
      <w:tr w14:paraId="00926AAA" w14:textId="77777777" w:rsidTr="008F0D6F">
        <w:tblPrEx>
          <w:tblW w:w="0" w:type="auto"/>
          <w:tblLook w:val="04A0"/>
        </w:tblPrEx>
        <w:tc>
          <w:tcPr>
            <w:tcW w:w="4677" w:type="dxa"/>
          </w:tcPr>
          <w:p w:rsidR="00626DD7" w:rsidRPr="00A5760F" w:rsidP="00626DD7" w14:paraId="00C81A83" w14:textId="0C12A742">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Pr>
                <w:rFonts w:ascii="Arial" w:hAnsi="Arial" w:cs="Arial"/>
                <w:sz w:val="22"/>
                <w:szCs w:val="22"/>
              </w:rPr>
              <w:t>Regulatory Guide 1.22, Rev. 0, “</w:t>
            </w:r>
            <w:r>
              <w:rPr>
                <w:rFonts w:ascii="Helvetica" w:hAnsi="Helvetica" w:cs="Helvetica"/>
                <w:color w:val="333333"/>
                <w:sz w:val="21"/>
                <w:szCs w:val="21"/>
              </w:rPr>
              <w:t>Periodic Testing of Protection System Actuation Functions (Safety Guide 22)”</w:t>
            </w:r>
          </w:p>
        </w:tc>
        <w:tc>
          <w:tcPr>
            <w:tcW w:w="4685" w:type="dxa"/>
          </w:tcPr>
          <w:p w:rsidR="00626DD7" w:rsidRPr="00042308" w:rsidP="00626DD7" w14:paraId="17ADC605" w14:textId="39B6E9FC">
            <w:pPr>
              <w:tabs>
                <w:tab w:val="left" w:pos="-1080"/>
                <w:tab w:val="left" w:pos="-360"/>
                <w:tab w:val="left" w:pos="0"/>
                <w:tab w:val="left" w:pos="600"/>
                <w:tab w:val="left" w:pos="1200"/>
                <w:tab w:val="center" w:pos="2297"/>
              </w:tabs>
              <w:spacing w:line="0" w:lineRule="atLeast"/>
              <w:rPr>
                <w:rFonts w:ascii="Arial" w:hAnsi="Arial" w:cs="Arial"/>
                <w:sz w:val="22"/>
                <w:szCs w:val="22"/>
              </w:rPr>
            </w:pPr>
            <w:r>
              <w:rPr>
                <w:rFonts w:ascii="Arial" w:hAnsi="Arial" w:cs="Arial"/>
                <w:sz w:val="22"/>
                <w:szCs w:val="22"/>
              </w:rPr>
              <w:t>ML083300530</w:t>
            </w:r>
            <w:r w:rsidR="00042308">
              <w:rPr>
                <w:rFonts w:ascii="Arial" w:hAnsi="Arial" w:cs="Arial"/>
                <w:sz w:val="22"/>
                <w:szCs w:val="22"/>
              </w:rPr>
              <w:t xml:space="preserve"> </w:t>
            </w:r>
          </w:p>
        </w:tc>
      </w:tr>
      <w:tr w14:paraId="278217CD" w14:textId="77777777" w:rsidTr="008F0D6F">
        <w:tblPrEx>
          <w:tblW w:w="0" w:type="auto"/>
          <w:tblLook w:val="04A0"/>
        </w:tblPrEx>
        <w:tc>
          <w:tcPr>
            <w:tcW w:w="4677" w:type="dxa"/>
          </w:tcPr>
          <w:p w:rsidR="00626DD7" w:rsidP="00626DD7" w14:paraId="02E5681B" w14:textId="6C5756C0">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Pr>
                <w:rFonts w:ascii="Arial" w:hAnsi="Arial" w:cs="Arial"/>
                <w:sz w:val="22"/>
                <w:szCs w:val="22"/>
              </w:rPr>
              <w:t xml:space="preserve">Regulatory Guide 1.89, Rev </w:t>
            </w:r>
            <w:r w:rsidR="008F0D6F">
              <w:rPr>
                <w:rFonts w:ascii="Arial" w:hAnsi="Arial" w:cs="Arial"/>
                <w:sz w:val="22"/>
                <w:szCs w:val="22"/>
              </w:rPr>
              <w:t>2</w:t>
            </w:r>
            <w:r>
              <w:rPr>
                <w:rFonts w:ascii="Arial" w:hAnsi="Arial" w:cs="Arial"/>
                <w:sz w:val="22"/>
                <w:szCs w:val="22"/>
              </w:rPr>
              <w:t>, “</w:t>
            </w:r>
            <w:r w:rsidRPr="00FA30EF">
              <w:rPr>
                <w:rFonts w:ascii="Arial" w:hAnsi="Arial" w:cs="Arial"/>
                <w:sz w:val="22"/>
                <w:szCs w:val="22"/>
              </w:rPr>
              <w:t>Environmental Qualification of Certain Electric Equipment Important to Safety for Nuclear Power Plants</w:t>
            </w:r>
            <w:r>
              <w:rPr>
                <w:rFonts w:ascii="Arial" w:hAnsi="Arial" w:cs="Arial"/>
                <w:sz w:val="22"/>
                <w:szCs w:val="22"/>
              </w:rPr>
              <w:t>”</w:t>
            </w:r>
          </w:p>
        </w:tc>
        <w:tc>
          <w:tcPr>
            <w:tcW w:w="4685" w:type="dxa"/>
          </w:tcPr>
          <w:p w:rsidR="00626DD7" w:rsidRPr="008F0D6F" w:rsidP="00626DD7" w14:paraId="35D78124" w14:textId="79290753">
            <w:pPr>
              <w:tabs>
                <w:tab w:val="left" w:pos="-1080"/>
                <w:tab w:val="left" w:pos="-360"/>
                <w:tab w:val="left" w:pos="0"/>
                <w:tab w:val="left" w:pos="600"/>
                <w:tab w:val="left" w:pos="1200"/>
                <w:tab w:val="center" w:pos="2297"/>
              </w:tabs>
              <w:spacing w:line="0" w:lineRule="atLeast"/>
              <w:rPr>
                <w:rFonts w:ascii="Arial" w:hAnsi="Arial" w:cs="Arial"/>
                <w:sz w:val="22"/>
                <w:szCs w:val="22"/>
              </w:rPr>
            </w:pPr>
            <w:r w:rsidRPr="008F0D6F">
              <w:rPr>
                <w:rFonts w:ascii="Arial" w:hAnsi="Arial" w:cs="Arial"/>
                <w:sz w:val="22"/>
                <w:szCs w:val="22"/>
              </w:rPr>
              <w:t>ML22272A602</w:t>
            </w:r>
          </w:p>
        </w:tc>
      </w:tr>
    </w:tbl>
    <w:p w:rsidR="003E2B01" w:rsidP="000C72CB" w14:paraId="50A5959E"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pPr>
    </w:p>
    <w:p w:rsidR="00A035CA" w:rsidRPr="007334E7" w:rsidP="00A035CA" w14:paraId="646A71FE" w14:textId="77777777">
      <w:pPr>
        <w:rPr>
          <w:rFonts w:ascii="Arial" w:hAnsi="Arial" w:cs="Arial"/>
          <w:sz w:val="22"/>
          <w:szCs w:val="22"/>
        </w:rPr>
      </w:pPr>
    </w:p>
    <w:p w:rsidR="00A035CA" w:rsidP="000C72CB" w14:paraId="4C7FF86E"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pPr>
    </w:p>
    <w:sectPr w:rsidSect="000C72CB">
      <w:headerReference w:type="even" r:id="rId6"/>
      <w:footerReference w:type="even" r:id="rId7"/>
      <w:footerReference w:type="default" r:id="rId8"/>
      <w:pgSz w:w="12240" w:h="15840"/>
      <w:pgMar w:top="1170" w:right="1170" w:bottom="1440" w:left="1440" w:header="1440" w:footer="117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a Lisa Recut">
    <w:altName w:val="Mangal"/>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BA3" w14:paraId="73E8E279" w14:textId="5D3EFE3C">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pPr>
    <w:r>
      <w:rPr>
        <w:rFonts w:ascii="Arial" w:hAnsi="Arial"/>
        <w:sz w:val="22"/>
      </w:rPr>
      <w:fldChar w:fldCharType="begin"/>
    </w:r>
    <w:r>
      <w:rPr>
        <w:rFonts w:ascii="Arial" w:hAnsi="Arial"/>
        <w:sz w:val="22"/>
      </w:rPr>
      <w:instrText>PAGE</w:instrText>
    </w:r>
    <w:r>
      <w:rPr>
        <w:rFonts w:ascii="Arial" w:hAnsi="Arial"/>
        <w:sz w:val="22"/>
      </w:rPr>
      <w:fldChar w:fldCharType="separate"/>
    </w:r>
    <w:r>
      <w:rPr>
        <w:rFonts w:ascii="Arial" w:hAnsi="Arial"/>
        <w:sz w:val="22"/>
      </w:rPr>
      <w:t>XXX</w:t>
    </w:r>
    <w:r>
      <w:rPr>
        <w:rFonts w:ascii="Arial" w:hAnsi="Arial"/>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BA3" w14:paraId="2366BF8A"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BA3" w14:paraId="6F37882D"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9486422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2"/>
    <w:multiLevelType w:val="multilevel"/>
    <w:tmpl w:val="00000002"/>
    <w:lvl w:ilvl="0">
      <w:start w:val="14"/>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3">
    <w:nsid w:val="02E37290"/>
    <w:multiLevelType w:val="hybridMultilevel"/>
    <w:tmpl w:val="A01A7F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6CC46C4"/>
    <w:multiLevelType w:val="hybridMultilevel"/>
    <w:tmpl w:val="31004054"/>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
    <w:nsid w:val="1EC46D91"/>
    <w:multiLevelType w:val="hybridMultilevel"/>
    <w:tmpl w:val="5C0800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22643B1"/>
    <w:multiLevelType w:val="multilevel"/>
    <w:tmpl w:val="00000001"/>
    <w:lvl w:ilvl="0">
      <w:start w:val="1"/>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7">
    <w:nsid w:val="26776986"/>
    <w:multiLevelType w:val="hybridMultilevel"/>
    <w:tmpl w:val="1A90665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29E149CC"/>
    <w:multiLevelType w:val="hybridMultilevel"/>
    <w:tmpl w:val="CE1C82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1210518"/>
    <w:multiLevelType w:val="hybridMultilevel"/>
    <w:tmpl w:val="57B29CF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2646D6F"/>
    <w:multiLevelType w:val="hybridMultilevel"/>
    <w:tmpl w:val="F7CAA1D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1">
    <w:nsid w:val="3D731B5A"/>
    <w:multiLevelType w:val="hybridMultilevel"/>
    <w:tmpl w:val="FE06D7E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4210166D"/>
    <w:multiLevelType w:val="hybridMultilevel"/>
    <w:tmpl w:val="5C50DDB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48372F50"/>
    <w:multiLevelType w:val="hybridMultilevel"/>
    <w:tmpl w:val="4F32C9CA"/>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4">
    <w:nsid w:val="519039C6"/>
    <w:multiLevelType w:val="hybridMultilevel"/>
    <w:tmpl w:val="414082EE"/>
    <w:lvl w:ilvl="0">
      <w:start w:val="1"/>
      <w:numFmt w:val="bullet"/>
      <w:lvlText w:val=""/>
      <w:lvlJc w:val="left"/>
      <w:pPr>
        <w:ind w:left="1860" w:hanging="360"/>
      </w:pPr>
      <w:rPr>
        <w:rFonts w:ascii="Symbol" w:hAnsi="Symbol" w:hint="default"/>
      </w:rPr>
    </w:lvl>
    <w:lvl w:ilvl="1" w:tentative="1">
      <w:start w:val="1"/>
      <w:numFmt w:val="bullet"/>
      <w:lvlText w:val="o"/>
      <w:lvlJc w:val="left"/>
      <w:pPr>
        <w:ind w:left="2580" w:hanging="360"/>
      </w:pPr>
      <w:rPr>
        <w:rFonts w:ascii="Courier New" w:hAnsi="Courier New" w:cs="Courier New" w:hint="default"/>
      </w:rPr>
    </w:lvl>
    <w:lvl w:ilvl="2" w:tentative="1">
      <w:start w:val="1"/>
      <w:numFmt w:val="bullet"/>
      <w:lvlText w:val=""/>
      <w:lvlJc w:val="left"/>
      <w:pPr>
        <w:ind w:left="3300" w:hanging="360"/>
      </w:pPr>
      <w:rPr>
        <w:rFonts w:ascii="Wingdings" w:hAnsi="Wingdings" w:hint="default"/>
      </w:rPr>
    </w:lvl>
    <w:lvl w:ilvl="3" w:tentative="1">
      <w:start w:val="1"/>
      <w:numFmt w:val="bullet"/>
      <w:lvlText w:val=""/>
      <w:lvlJc w:val="left"/>
      <w:pPr>
        <w:ind w:left="4020" w:hanging="360"/>
      </w:pPr>
      <w:rPr>
        <w:rFonts w:ascii="Symbol" w:hAnsi="Symbol" w:hint="default"/>
      </w:rPr>
    </w:lvl>
    <w:lvl w:ilvl="4" w:tentative="1">
      <w:start w:val="1"/>
      <w:numFmt w:val="bullet"/>
      <w:lvlText w:val="o"/>
      <w:lvlJc w:val="left"/>
      <w:pPr>
        <w:ind w:left="4740" w:hanging="360"/>
      </w:pPr>
      <w:rPr>
        <w:rFonts w:ascii="Courier New" w:hAnsi="Courier New" w:cs="Courier New" w:hint="default"/>
      </w:rPr>
    </w:lvl>
    <w:lvl w:ilvl="5" w:tentative="1">
      <w:start w:val="1"/>
      <w:numFmt w:val="bullet"/>
      <w:lvlText w:val=""/>
      <w:lvlJc w:val="left"/>
      <w:pPr>
        <w:ind w:left="5460" w:hanging="360"/>
      </w:pPr>
      <w:rPr>
        <w:rFonts w:ascii="Wingdings" w:hAnsi="Wingdings" w:hint="default"/>
      </w:rPr>
    </w:lvl>
    <w:lvl w:ilvl="6" w:tentative="1">
      <w:start w:val="1"/>
      <w:numFmt w:val="bullet"/>
      <w:lvlText w:val=""/>
      <w:lvlJc w:val="left"/>
      <w:pPr>
        <w:ind w:left="6180" w:hanging="360"/>
      </w:pPr>
      <w:rPr>
        <w:rFonts w:ascii="Symbol" w:hAnsi="Symbol" w:hint="default"/>
      </w:rPr>
    </w:lvl>
    <w:lvl w:ilvl="7" w:tentative="1">
      <w:start w:val="1"/>
      <w:numFmt w:val="bullet"/>
      <w:lvlText w:val="o"/>
      <w:lvlJc w:val="left"/>
      <w:pPr>
        <w:ind w:left="6900" w:hanging="360"/>
      </w:pPr>
      <w:rPr>
        <w:rFonts w:ascii="Courier New" w:hAnsi="Courier New" w:cs="Courier New" w:hint="default"/>
      </w:rPr>
    </w:lvl>
    <w:lvl w:ilvl="8" w:tentative="1">
      <w:start w:val="1"/>
      <w:numFmt w:val="bullet"/>
      <w:lvlText w:val=""/>
      <w:lvlJc w:val="left"/>
      <w:pPr>
        <w:ind w:left="7620" w:hanging="360"/>
      </w:pPr>
      <w:rPr>
        <w:rFonts w:ascii="Wingdings" w:hAnsi="Wingdings" w:hint="default"/>
      </w:rPr>
    </w:lvl>
  </w:abstractNum>
  <w:abstractNum w:abstractNumId="15">
    <w:nsid w:val="545D2C40"/>
    <w:multiLevelType w:val="hybridMultilevel"/>
    <w:tmpl w:val="00000002"/>
    <w:lvl w:ilvl="0">
      <w:start w:val="14"/>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6">
    <w:nsid w:val="5CD05B45"/>
    <w:multiLevelType w:val="hybridMultilevel"/>
    <w:tmpl w:val="60C24B4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60903406"/>
    <w:multiLevelType w:val="hybridMultilevel"/>
    <w:tmpl w:val="FE1C203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6FB0054D"/>
    <w:multiLevelType w:val="hybridMultilevel"/>
    <w:tmpl w:val="35067A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92840C1"/>
    <w:multiLevelType w:val="hybridMultilevel"/>
    <w:tmpl w:val="2F949D8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79CF4516"/>
    <w:multiLevelType w:val="hybridMultilevel"/>
    <w:tmpl w:val="2C9A56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CF47B94"/>
    <w:multiLevelType w:val="multilevel"/>
    <w:tmpl w:val="0000000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num w:numId="1" w16cid:durableId="1709915026">
    <w:abstractNumId w:val="1"/>
  </w:num>
  <w:num w:numId="2" w16cid:durableId="690111316">
    <w:abstractNumId w:val="2"/>
  </w:num>
  <w:num w:numId="3" w16cid:durableId="1348559271">
    <w:abstractNumId w:val="15"/>
  </w:num>
  <w:num w:numId="4" w16cid:durableId="542139478">
    <w:abstractNumId w:val="10"/>
  </w:num>
  <w:num w:numId="5" w16cid:durableId="1967268701">
    <w:abstractNumId w:val="1"/>
    <w:lvlOverride w:ilvl="0">
      <w:lvl w:ilvl="0">
        <w:start w:val="1"/>
        <w:numFmt w:val="decimal"/>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start w:val="0"/>
        <w:numFmt w:val="decimal"/>
        <w:lvlJc w:val="left"/>
      </w:lvl>
    </w:lvlOverride>
  </w:num>
  <w:num w:numId="6" w16cid:durableId="1178158677">
    <w:abstractNumId w:val="6"/>
  </w:num>
  <w:num w:numId="7" w16cid:durableId="663121932">
    <w:abstractNumId w:val="21"/>
  </w:num>
  <w:num w:numId="8" w16cid:durableId="819347211">
    <w:abstractNumId w:val="13"/>
  </w:num>
  <w:num w:numId="9" w16cid:durableId="372654221">
    <w:abstractNumId w:val="7"/>
  </w:num>
  <w:num w:numId="10" w16cid:durableId="1558585718">
    <w:abstractNumId w:val="12"/>
  </w:num>
  <w:num w:numId="11" w16cid:durableId="1542790458">
    <w:abstractNumId w:val="11"/>
  </w:num>
  <w:num w:numId="12" w16cid:durableId="1258707485">
    <w:abstractNumId w:val="8"/>
  </w:num>
  <w:num w:numId="13" w16cid:durableId="310981704">
    <w:abstractNumId w:val="18"/>
  </w:num>
  <w:num w:numId="14" w16cid:durableId="771823701">
    <w:abstractNumId w:val="3"/>
  </w:num>
  <w:num w:numId="15" w16cid:durableId="366182043">
    <w:abstractNumId w:val="5"/>
  </w:num>
  <w:num w:numId="16" w16cid:durableId="942110603">
    <w:abstractNumId w:val="17"/>
  </w:num>
  <w:num w:numId="17" w16cid:durableId="1834761208">
    <w:abstractNumId w:val="19"/>
  </w:num>
  <w:num w:numId="18" w16cid:durableId="1941913973">
    <w:abstractNumId w:val="20"/>
  </w:num>
  <w:num w:numId="19" w16cid:durableId="377828467">
    <w:abstractNumId w:val="9"/>
  </w:num>
  <w:num w:numId="20" w16cid:durableId="1060396414">
    <w:abstractNumId w:val="16"/>
  </w:num>
  <w:num w:numId="21" w16cid:durableId="810562740">
    <w:abstractNumId w:val="0"/>
  </w:num>
  <w:num w:numId="22" w16cid:durableId="270166067">
    <w:abstractNumId w:val="14"/>
  </w:num>
  <w:num w:numId="23" w16cid:durableId="24647864">
    <w:abstractNumId w:val="4"/>
  </w:num>
  <w:num w:numId="24" w16cid:durableId="20526856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FBC"/>
    <w:rsid w:val="00001E25"/>
    <w:rsid w:val="0000209B"/>
    <w:rsid w:val="0000459D"/>
    <w:rsid w:val="0001069D"/>
    <w:rsid w:val="00011ACF"/>
    <w:rsid w:val="00013F53"/>
    <w:rsid w:val="00017D67"/>
    <w:rsid w:val="000202F6"/>
    <w:rsid w:val="0002215B"/>
    <w:rsid w:val="00022EED"/>
    <w:rsid w:val="0002321E"/>
    <w:rsid w:val="00023444"/>
    <w:rsid w:val="00024471"/>
    <w:rsid w:val="00024668"/>
    <w:rsid w:val="0002614D"/>
    <w:rsid w:val="00026E42"/>
    <w:rsid w:val="00027940"/>
    <w:rsid w:val="00036DAC"/>
    <w:rsid w:val="00042308"/>
    <w:rsid w:val="00042CFF"/>
    <w:rsid w:val="00045200"/>
    <w:rsid w:val="000463B5"/>
    <w:rsid w:val="00046E67"/>
    <w:rsid w:val="00046ED0"/>
    <w:rsid w:val="000510E6"/>
    <w:rsid w:val="000521B6"/>
    <w:rsid w:val="00052419"/>
    <w:rsid w:val="00052FB5"/>
    <w:rsid w:val="0005680A"/>
    <w:rsid w:val="00061956"/>
    <w:rsid w:val="00062A9F"/>
    <w:rsid w:val="000634D1"/>
    <w:rsid w:val="00063D54"/>
    <w:rsid w:val="000667DB"/>
    <w:rsid w:val="000668C3"/>
    <w:rsid w:val="0006798C"/>
    <w:rsid w:val="00067C53"/>
    <w:rsid w:val="00067D27"/>
    <w:rsid w:val="00070617"/>
    <w:rsid w:val="00075C82"/>
    <w:rsid w:val="00076791"/>
    <w:rsid w:val="00077657"/>
    <w:rsid w:val="00077A0D"/>
    <w:rsid w:val="00081DC4"/>
    <w:rsid w:val="000874F1"/>
    <w:rsid w:val="00090795"/>
    <w:rsid w:val="00093A7E"/>
    <w:rsid w:val="000943F0"/>
    <w:rsid w:val="0009512E"/>
    <w:rsid w:val="00095DA2"/>
    <w:rsid w:val="000976C8"/>
    <w:rsid w:val="0009792C"/>
    <w:rsid w:val="000A177B"/>
    <w:rsid w:val="000A19D9"/>
    <w:rsid w:val="000A2A8B"/>
    <w:rsid w:val="000A3349"/>
    <w:rsid w:val="000A4E3C"/>
    <w:rsid w:val="000A5F2C"/>
    <w:rsid w:val="000A6E44"/>
    <w:rsid w:val="000A7A9A"/>
    <w:rsid w:val="000A7F39"/>
    <w:rsid w:val="000B0FDC"/>
    <w:rsid w:val="000C1299"/>
    <w:rsid w:val="000C25AE"/>
    <w:rsid w:val="000C3BA3"/>
    <w:rsid w:val="000C3F53"/>
    <w:rsid w:val="000C6117"/>
    <w:rsid w:val="000C72CB"/>
    <w:rsid w:val="000D0E62"/>
    <w:rsid w:val="000D2215"/>
    <w:rsid w:val="000D2D92"/>
    <w:rsid w:val="000D3F95"/>
    <w:rsid w:val="000E0E11"/>
    <w:rsid w:val="000E1897"/>
    <w:rsid w:val="000E2025"/>
    <w:rsid w:val="000E60F8"/>
    <w:rsid w:val="000E61E9"/>
    <w:rsid w:val="000F00A4"/>
    <w:rsid w:val="000F08F0"/>
    <w:rsid w:val="000F2857"/>
    <w:rsid w:val="000F442E"/>
    <w:rsid w:val="000F59C4"/>
    <w:rsid w:val="000F679E"/>
    <w:rsid w:val="000F68BF"/>
    <w:rsid w:val="000F6BEB"/>
    <w:rsid w:val="000F7EE6"/>
    <w:rsid w:val="00100283"/>
    <w:rsid w:val="001002CC"/>
    <w:rsid w:val="0010130F"/>
    <w:rsid w:val="00101487"/>
    <w:rsid w:val="00101ECB"/>
    <w:rsid w:val="00105D09"/>
    <w:rsid w:val="00107072"/>
    <w:rsid w:val="001124EE"/>
    <w:rsid w:val="00112524"/>
    <w:rsid w:val="00112F97"/>
    <w:rsid w:val="001141EB"/>
    <w:rsid w:val="0011458D"/>
    <w:rsid w:val="001204C2"/>
    <w:rsid w:val="0012051C"/>
    <w:rsid w:val="00120BE7"/>
    <w:rsid w:val="00120C21"/>
    <w:rsid w:val="001210C1"/>
    <w:rsid w:val="00130365"/>
    <w:rsid w:val="00130D72"/>
    <w:rsid w:val="0013346F"/>
    <w:rsid w:val="00135E7B"/>
    <w:rsid w:val="001402F6"/>
    <w:rsid w:val="001414F8"/>
    <w:rsid w:val="00141BC5"/>
    <w:rsid w:val="00146880"/>
    <w:rsid w:val="00147089"/>
    <w:rsid w:val="0015068C"/>
    <w:rsid w:val="00162900"/>
    <w:rsid w:val="001632C6"/>
    <w:rsid w:val="00163C9C"/>
    <w:rsid w:val="001672FE"/>
    <w:rsid w:val="00170646"/>
    <w:rsid w:val="00171B4C"/>
    <w:rsid w:val="00171CB3"/>
    <w:rsid w:val="00172A65"/>
    <w:rsid w:val="00172BA0"/>
    <w:rsid w:val="00173E6E"/>
    <w:rsid w:val="00174494"/>
    <w:rsid w:val="00174FA6"/>
    <w:rsid w:val="0017503B"/>
    <w:rsid w:val="0017583E"/>
    <w:rsid w:val="001759C8"/>
    <w:rsid w:val="0017795C"/>
    <w:rsid w:val="00180903"/>
    <w:rsid w:val="00182CE4"/>
    <w:rsid w:val="00187BC6"/>
    <w:rsid w:val="00187E7A"/>
    <w:rsid w:val="00192040"/>
    <w:rsid w:val="00193068"/>
    <w:rsid w:val="00193986"/>
    <w:rsid w:val="00195501"/>
    <w:rsid w:val="00196D63"/>
    <w:rsid w:val="00197E75"/>
    <w:rsid w:val="001A0A63"/>
    <w:rsid w:val="001A25FB"/>
    <w:rsid w:val="001A35CE"/>
    <w:rsid w:val="001A3A32"/>
    <w:rsid w:val="001A48CE"/>
    <w:rsid w:val="001A55A0"/>
    <w:rsid w:val="001A7090"/>
    <w:rsid w:val="001A745A"/>
    <w:rsid w:val="001B00D2"/>
    <w:rsid w:val="001B2AE4"/>
    <w:rsid w:val="001B3772"/>
    <w:rsid w:val="001B42C8"/>
    <w:rsid w:val="001B7742"/>
    <w:rsid w:val="001C32A5"/>
    <w:rsid w:val="001C361B"/>
    <w:rsid w:val="001C39C4"/>
    <w:rsid w:val="001C6CCA"/>
    <w:rsid w:val="001D0485"/>
    <w:rsid w:val="001D05EA"/>
    <w:rsid w:val="001D1398"/>
    <w:rsid w:val="001D1B5D"/>
    <w:rsid w:val="001D2DCC"/>
    <w:rsid w:val="001D446A"/>
    <w:rsid w:val="001D6890"/>
    <w:rsid w:val="001D739F"/>
    <w:rsid w:val="001D7850"/>
    <w:rsid w:val="001E2E0E"/>
    <w:rsid w:val="001E30FC"/>
    <w:rsid w:val="001E35D5"/>
    <w:rsid w:val="001E4CFE"/>
    <w:rsid w:val="001E4EA2"/>
    <w:rsid w:val="001E7662"/>
    <w:rsid w:val="001E7FFA"/>
    <w:rsid w:val="001F011D"/>
    <w:rsid w:val="001F1423"/>
    <w:rsid w:val="001F1A8F"/>
    <w:rsid w:val="001F1CA1"/>
    <w:rsid w:val="001F244E"/>
    <w:rsid w:val="001F296B"/>
    <w:rsid w:val="001F7EC5"/>
    <w:rsid w:val="00200D3B"/>
    <w:rsid w:val="00200E5F"/>
    <w:rsid w:val="00201CDE"/>
    <w:rsid w:val="002033CA"/>
    <w:rsid w:val="00206787"/>
    <w:rsid w:val="00206F7A"/>
    <w:rsid w:val="002102E8"/>
    <w:rsid w:val="00210CDD"/>
    <w:rsid w:val="00213E59"/>
    <w:rsid w:val="00214BC8"/>
    <w:rsid w:val="002158F4"/>
    <w:rsid w:val="002177E3"/>
    <w:rsid w:val="00217905"/>
    <w:rsid w:val="002206B3"/>
    <w:rsid w:val="00225F00"/>
    <w:rsid w:val="00226F6B"/>
    <w:rsid w:val="002301D4"/>
    <w:rsid w:val="00232B0E"/>
    <w:rsid w:val="00234719"/>
    <w:rsid w:val="00234D74"/>
    <w:rsid w:val="0024093C"/>
    <w:rsid w:val="00243060"/>
    <w:rsid w:val="00243720"/>
    <w:rsid w:val="0024530E"/>
    <w:rsid w:val="0024545D"/>
    <w:rsid w:val="0024713E"/>
    <w:rsid w:val="00251D91"/>
    <w:rsid w:val="002541D4"/>
    <w:rsid w:val="00261049"/>
    <w:rsid w:val="002620FE"/>
    <w:rsid w:val="0026238E"/>
    <w:rsid w:val="0026509B"/>
    <w:rsid w:val="0026636D"/>
    <w:rsid w:val="0027462E"/>
    <w:rsid w:val="0027520A"/>
    <w:rsid w:val="00276413"/>
    <w:rsid w:val="002765EC"/>
    <w:rsid w:val="00277568"/>
    <w:rsid w:val="00284905"/>
    <w:rsid w:val="00284982"/>
    <w:rsid w:val="00284AB7"/>
    <w:rsid w:val="00285D03"/>
    <w:rsid w:val="00293145"/>
    <w:rsid w:val="0029317F"/>
    <w:rsid w:val="00293465"/>
    <w:rsid w:val="00293B4A"/>
    <w:rsid w:val="00293BD4"/>
    <w:rsid w:val="0029416D"/>
    <w:rsid w:val="00294CF5"/>
    <w:rsid w:val="00294DC7"/>
    <w:rsid w:val="00297950"/>
    <w:rsid w:val="002A3D9A"/>
    <w:rsid w:val="002A4D26"/>
    <w:rsid w:val="002A5331"/>
    <w:rsid w:val="002A5DCE"/>
    <w:rsid w:val="002B4177"/>
    <w:rsid w:val="002B4945"/>
    <w:rsid w:val="002B4A0F"/>
    <w:rsid w:val="002C046C"/>
    <w:rsid w:val="002C1A3E"/>
    <w:rsid w:val="002C21C7"/>
    <w:rsid w:val="002C2E8A"/>
    <w:rsid w:val="002C363C"/>
    <w:rsid w:val="002C368D"/>
    <w:rsid w:val="002C4308"/>
    <w:rsid w:val="002C5D5E"/>
    <w:rsid w:val="002C5DB3"/>
    <w:rsid w:val="002C6860"/>
    <w:rsid w:val="002C6F66"/>
    <w:rsid w:val="002D1C64"/>
    <w:rsid w:val="002D27D7"/>
    <w:rsid w:val="002D34C8"/>
    <w:rsid w:val="002D48BB"/>
    <w:rsid w:val="002D7109"/>
    <w:rsid w:val="002E25AD"/>
    <w:rsid w:val="002E2DC1"/>
    <w:rsid w:val="002E7B15"/>
    <w:rsid w:val="002E7D83"/>
    <w:rsid w:val="002F056A"/>
    <w:rsid w:val="002F1086"/>
    <w:rsid w:val="002F1BC5"/>
    <w:rsid w:val="002F33CC"/>
    <w:rsid w:val="002F4A06"/>
    <w:rsid w:val="002F5076"/>
    <w:rsid w:val="002F6071"/>
    <w:rsid w:val="003000D0"/>
    <w:rsid w:val="00301A19"/>
    <w:rsid w:val="00302020"/>
    <w:rsid w:val="003044B5"/>
    <w:rsid w:val="00304EEB"/>
    <w:rsid w:val="00305A87"/>
    <w:rsid w:val="00307492"/>
    <w:rsid w:val="0031083E"/>
    <w:rsid w:val="003110B2"/>
    <w:rsid w:val="00314A12"/>
    <w:rsid w:val="003164EE"/>
    <w:rsid w:val="003165A9"/>
    <w:rsid w:val="00316F9E"/>
    <w:rsid w:val="00317ACE"/>
    <w:rsid w:val="00327979"/>
    <w:rsid w:val="003300E9"/>
    <w:rsid w:val="00330B48"/>
    <w:rsid w:val="0033202C"/>
    <w:rsid w:val="00332D2C"/>
    <w:rsid w:val="003404BC"/>
    <w:rsid w:val="00341F19"/>
    <w:rsid w:val="00343EB9"/>
    <w:rsid w:val="003445FD"/>
    <w:rsid w:val="00346BF7"/>
    <w:rsid w:val="00347350"/>
    <w:rsid w:val="003478B0"/>
    <w:rsid w:val="00350EBB"/>
    <w:rsid w:val="003528D6"/>
    <w:rsid w:val="00354598"/>
    <w:rsid w:val="00357AF5"/>
    <w:rsid w:val="00357EC3"/>
    <w:rsid w:val="00360152"/>
    <w:rsid w:val="00361F39"/>
    <w:rsid w:val="00364DAE"/>
    <w:rsid w:val="00367984"/>
    <w:rsid w:val="003706CC"/>
    <w:rsid w:val="00371385"/>
    <w:rsid w:val="00371640"/>
    <w:rsid w:val="003726C4"/>
    <w:rsid w:val="003768FE"/>
    <w:rsid w:val="003800E7"/>
    <w:rsid w:val="00380222"/>
    <w:rsid w:val="0038217F"/>
    <w:rsid w:val="00382F39"/>
    <w:rsid w:val="00383260"/>
    <w:rsid w:val="00384E03"/>
    <w:rsid w:val="00387753"/>
    <w:rsid w:val="003916FC"/>
    <w:rsid w:val="00392AA6"/>
    <w:rsid w:val="00392C26"/>
    <w:rsid w:val="00394244"/>
    <w:rsid w:val="0039588A"/>
    <w:rsid w:val="00396E6B"/>
    <w:rsid w:val="0039781B"/>
    <w:rsid w:val="003A0083"/>
    <w:rsid w:val="003A2058"/>
    <w:rsid w:val="003A2647"/>
    <w:rsid w:val="003A28A6"/>
    <w:rsid w:val="003A293E"/>
    <w:rsid w:val="003A58ED"/>
    <w:rsid w:val="003A612D"/>
    <w:rsid w:val="003B101E"/>
    <w:rsid w:val="003B3F85"/>
    <w:rsid w:val="003B689C"/>
    <w:rsid w:val="003C02D5"/>
    <w:rsid w:val="003D3C5D"/>
    <w:rsid w:val="003D429A"/>
    <w:rsid w:val="003D766C"/>
    <w:rsid w:val="003E2B01"/>
    <w:rsid w:val="003E3699"/>
    <w:rsid w:val="003E5D4E"/>
    <w:rsid w:val="003E6EC2"/>
    <w:rsid w:val="003F0679"/>
    <w:rsid w:val="003F0A44"/>
    <w:rsid w:val="003F1425"/>
    <w:rsid w:val="003F2ADF"/>
    <w:rsid w:val="003F456A"/>
    <w:rsid w:val="003F623B"/>
    <w:rsid w:val="003F78D7"/>
    <w:rsid w:val="0040060A"/>
    <w:rsid w:val="00400C9A"/>
    <w:rsid w:val="00404747"/>
    <w:rsid w:val="004123B2"/>
    <w:rsid w:val="00412605"/>
    <w:rsid w:val="004139B7"/>
    <w:rsid w:val="00414791"/>
    <w:rsid w:val="00417CEE"/>
    <w:rsid w:val="00417ECE"/>
    <w:rsid w:val="00423BC3"/>
    <w:rsid w:val="00424CAF"/>
    <w:rsid w:val="00430190"/>
    <w:rsid w:val="00432713"/>
    <w:rsid w:val="0043324B"/>
    <w:rsid w:val="00433296"/>
    <w:rsid w:val="0043459D"/>
    <w:rsid w:val="0043557A"/>
    <w:rsid w:val="004367C2"/>
    <w:rsid w:val="0043799F"/>
    <w:rsid w:val="00442909"/>
    <w:rsid w:val="00443D17"/>
    <w:rsid w:val="00444BCE"/>
    <w:rsid w:val="00455192"/>
    <w:rsid w:val="004558EC"/>
    <w:rsid w:val="00455B9D"/>
    <w:rsid w:val="00457328"/>
    <w:rsid w:val="004579EE"/>
    <w:rsid w:val="004624BD"/>
    <w:rsid w:val="00462CF9"/>
    <w:rsid w:val="00462E68"/>
    <w:rsid w:val="00464DCF"/>
    <w:rsid w:val="004670C6"/>
    <w:rsid w:val="004704EA"/>
    <w:rsid w:val="004745B1"/>
    <w:rsid w:val="00474A47"/>
    <w:rsid w:val="00475055"/>
    <w:rsid w:val="0047623C"/>
    <w:rsid w:val="004779A1"/>
    <w:rsid w:val="00477AD1"/>
    <w:rsid w:val="00480DBA"/>
    <w:rsid w:val="0048141B"/>
    <w:rsid w:val="00481896"/>
    <w:rsid w:val="00483B47"/>
    <w:rsid w:val="004840E3"/>
    <w:rsid w:val="004844E2"/>
    <w:rsid w:val="004940A3"/>
    <w:rsid w:val="004941EB"/>
    <w:rsid w:val="00495BDF"/>
    <w:rsid w:val="00496B8F"/>
    <w:rsid w:val="004A4F47"/>
    <w:rsid w:val="004A7328"/>
    <w:rsid w:val="004B0BAE"/>
    <w:rsid w:val="004B100D"/>
    <w:rsid w:val="004B29BE"/>
    <w:rsid w:val="004B4024"/>
    <w:rsid w:val="004B50E0"/>
    <w:rsid w:val="004B57EC"/>
    <w:rsid w:val="004C05A8"/>
    <w:rsid w:val="004C0D76"/>
    <w:rsid w:val="004C1729"/>
    <w:rsid w:val="004C21B8"/>
    <w:rsid w:val="004C3D50"/>
    <w:rsid w:val="004C3FF3"/>
    <w:rsid w:val="004C59A0"/>
    <w:rsid w:val="004C5ECD"/>
    <w:rsid w:val="004C7D1E"/>
    <w:rsid w:val="004C7EAA"/>
    <w:rsid w:val="004D2063"/>
    <w:rsid w:val="004D22BB"/>
    <w:rsid w:val="004D2CC6"/>
    <w:rsid w:val="004D3877"/>
    <w:rsid w:val="004D3920"/>
    <w:rsid w:val="004D4D47"/>
    <w:rsid w:val="004D7DFC"/>
    <w:rsid w:val="004E2151"/>
    <w:rsid w:val="004E2809"/>
    <w:rsid w:val="004E33A6"/>
    <w:rsid w:val="004E3BD5"/>
    <w:rsid w:val="004E48EB"/>
    <w:rsid w:val="004E506B"/>
    <w:rsid w:val="004E5200"/>
    <w:rsid w:val="004E6340"/>
    <w:rsid w:val="004E7B59"/>
    <w:rsid w:val="004F07D3"/>
    <w:rsid w:val="004F24BD"/>
    <w:rsid w:val="004F3979"/>
    <w:rsid w:val="004F4953"/>
    <w:rsid w:val="004F5088"/>
    <w:rsid w:val="004F56C3"/>
    <w:rsid w:val="00502A17"/>
    <w:rsid w:val="00502BEA"/>
    <w:rsid w:val="005052D8"/>
    <w:rsid w:val="00513DC0"/>
    <w:rsid w:val="0051595D"/>
    <w:rsid w:val="00515AE1"/>
    <w:rsid w:val="00520736"/>
    <w:rsid w:val="00521C53"/>
    <w:rsid w:val="00522C56"/>
    <w:rsid w:val="00522DAA"/>
    <w:rsid w:val="00525843"/>
    <w:rsid w:val="00530040"/>
    <w:rsid w:val="00531547"/>
    <w:rsid w:val="0053336D"/>
    <w:rsid w:val="005340EE"/>
    <w:rsid w:val="00535540"/>
    <w:rsid w:val="00535F07"/>
    <w:rsid w:val="005360A3"/>
    <w:rsid w:val="0054240C"/>
    <w:rsid w:val="005428B8"/>
    <w:rsid w:val="00543D0A"/>
    <w:rsid w:val="00545118"/>
    <w:rsid w:val="00545FD2"/>
    <w:rsid w:val="0054681E"/>
    <w:rsid w:val="00550B23"/>
    <w:rsid w:val="00551068"/>
    <w:rsid w:val="005532B4"/>
    <w:rsid w:val="00553879"/>
    <w:rsid w:val="00554152"/>
    <w:rsid w:val="00555A2F"/>
    <w:rsid w:val="005561A5"/>
    <w:rsid w:val="00556C98"/>
    <w:rsid w:val="005571D7"/>
    <w:rsid w:val="005611A7"/>
    <w:rsid w:val="00563443"/>
    <w:rsid w:val="00564930"/>
    <w:rsid w:val="00564B01"/>
    <w:rsid w:val="00564B21"/>
    <w:rsid w:val="00565E9C"/>
    <w:rsid w:val="00567B52"/>
    <w:rsid w:val="00570384"/>
    <w:rsid w:val="0057224E"/>
    <w:rsid w:val="00572450"/>
    <w:rsid w:val="005724B5"/>
    <w:rsid w:val="005808CD"/>
    <w:rsid w:val="00580C90"/>
    <w:rsid w:val="00582BA8"/>
    <w:rsid w:val="00583A07"/>
    <w:rsid w:val="0059006F"/>
    <w:rsid w:val="00590682"/>
    <w:rsid w:val="0059207B"/>
    <w:rsid w:val="00592272"/>
    <w:rsid w:val="0059448B"/>
    <w:rsid w:val="00596D0E"/>
    <w:rsid w:val="00597C5B"/>
    <w:rsid w:val="005A55F4"/>
    <w:rsid w:val="005A7CAE"/>
    <w:rsid w:val="005B1034"/>
    <w:rsid w:val="005B2157"/>
    <w:rsid w:val="005B34FB"/>
    <w:rsid w:val="005B5BD3"/>
    <w:rsid w:val="005C01B0"/>
    <w:rsid w:val="005C3976"/>
    <w:rsid w:val="005C6259"/>
    <w:rsid w:val="005C63EC"/>
    <w:rsid w:val="005C78D6"/>
    <w:rsid w:val="005D0061"/>
    <w:rsid w:val="005D0341"/>
    <w:rsid w:val="005D0543"/>
    <w:rsid w:val="005D451E"/>
    <w:rsid w:val="005D45A8"/>
    <w:rsid w:val="005D552D"/>
    <w:rsid w:val="005D6EDC"/>
    <w:rsid w:val="005D7268"/>
    <w:rsid w:val="005D77CE"/>
    <w:rsid w:val="005D7D2A"/>
    <w:rsid w:val="005E18E2"/>
    <w:rsid w:val="005E3CC0"/>
    <w:rsid w:val="005E73ED"/>
    <w:rsid w:val="005E7E1B"/>
    <w:rsid w:val="005F09E1"/>
    <w:rsid w:val="005F6B38"/>
    <w:rsid w:val="00601088"/>
    <w:rsid w:val="006027D8"/>
    <w:rsid w:val="006046CF"/>
    <w:rsid w:val="00606E3D"/>
    <w:rsid w:val="006070E0"/>
    <w:rsid w:val="00610E90"/>
    <w:rsid w:val="00610EA1"/>
    <w:rsid w:val="0061258F"/>
    <w:rsid w:val="00612930"/>
    <w:rsid w:val="00612DA5"/>
    <w:rsid w:val="0061657D"/>
    <w:rsid w:val="0061726E"/>
    <w:rsid w:val="00620FB9"/>
    <w:rsid w:val="00622D3B"/>
    <w:rsid w:val="00623937"/>
    <w:rsid w:val="00626DD7"/>
    <w:rsid w:val="006271C1"/>
    <w:rsid w:val="00630A13"/>
    <w:rsid w:val="0063196D"/>
    <w:rsid w:val="006401ED"/>
    <w:rsid w:val="00640594"/>
    <w:rsid w:val="00640C11"/>
    <w:rsid w:val="006417ED"/>
    <w:rsid w:val="006418C2"/>
    <w:rsid w:val="0064327A"/>
    <w:rsid w:val="006440AF"/>
    <w:rsid w:val="00645497"/>
    <w:rsid w:val="00645670"/>
    <w:rsid w:val="00645B07"/>
    <w:rsid w:val="00650B70"/>
    <w:rsid w:val="006532A3"/>
    <w:rsid w:val="0065577A"/>
    <w:rsid w:val="00656FB7"/>
    <w:rsid w:val="006574DD"/>
    <w:rsid w:val="00664BDD"/>
    <w:rsid w:val="0066578B"/>
    <w:rsid w:val="00665989"/>
    <w:rsid w:val="006673CC"/>
    <w:rsid w:val="00670567"/>
    <w:rsid w:val="00670FEA"/>
    <w:rsid w:val="0067196D"/>
    <w:rsid w:val="00672DAE"/>
    <w:rsid w:val="006744F6"/>
    <w:rsid w:val="00674AEE"/>
    <w:rsid w:val="00675712"/>
    <w:rsid w:val="006763BB"/>
    <w:rsid w:val="00685279"/>
    <w:rsid w:val="006858AD"/>
    <w:rsid w:val="00686CB0"/>
    <w:rsid w:val="00691EF8"/>
    <w:rsid w:val="006929B4"/>
    <w:rsid w:val="00694471"/>
    <w:rsid w:val="006974D1"/>
    <w:rsid w:val="006A0BA0"/>
    <w:rsid w:val="006A1CEF"/>
    <w:rsid w:val="006A272E"/>
    <w:rsid w:val="006A29CB"/>
    <w:rsid w:val="006A4D38"/>
    <w:rsid w:val="006A706A"/>
    <w:rsid w:val="006A7FD0"/>
    <w:rsid w:val="006B0A04"/>
    <w:rsid w:val="006B0B4E"/>
    <w:rsid w:val="006B2680"/>
    <w:rsid w:val="006B5D25"/>
    <w:rsid w:val="006B5EF1"/>
    <w:rsid w:val="006B6BB0"/>
    <w:rsid w:val="006C12D5"/>
    <w:rsid w:val="006C14ED"/>
    <w:rsid w:val="006C2268"/>
    <w:rsid w:val="006C32F2"/>
    <w:rsid w:val="006C3AD9"/>
    <w:rsid w:val="006C613A"/>
    <w:rsid w:val="006C6411"/>
    <w:rsid w:val="006C7211"/>
    <w:rsid w:val="006C756D"/>
    <w:rsid w:val="006D00D8"/>
    <w:rsid w:val="006D2CA5"/>
    <w:rsid w:val="006D7AB8"/>
    <w:rsid w:val="006E448A"/>
    <w:rsid w:val="006E5444"/>
    <w:rsid w:val="006E6F50"/>
    <w:rsid w:val="006E7DAB"/>
    <w:rsid w:val="006F38AF"/>
    <w:rsid w:val="006F4735"/>
    <w:rsid w:val="006F4ED6"/>
    <w:rsid w:val="006F507C"/>
    <w:rsid w:val="006F6289"/>
    <w:rsid w:val="00701969"/>
    <w:rsid w:val="007052A2"/>
    <w:rsid w:val="00705C3D"/>
    <w:rsid w:val="00705C95"/>
    <w:rsid w:val="007111BF"/>
    <w:rsid w:val="0071237D"/>
    <w:rsid w:val="007175BC"/>
    <w:rsid w:val="00724B76"/>
    <w:rsid w:val="00727A36"/>
    <w:rsid w:val="0073060F"/>
    <w:rsid w:val="00731006"/>
    <w:rsid w:val="00731A91"/>
    <w:rsid w:val="00732257"/>
    <w:rsid w:val="00732B79"/>
    <w:rsid w:val="007334E7"/>
    <w:rsid w:val="00735FA0"/>
    <w:rsid w:val="00736DA3"/>
    <w:rsid w:val="00737032"/>
    <w:rsid w:val="00737660"/>
    <w:rsid w:val="00740114"/>
    <w:rsid w:val="00741FC3"/>
    <w:rsid w:val="007432DC"/>
    <w:rsid w:val="00745390"/>
    <w:rsid w:val="00745DE8"/>
    <w:rsid w:val="00745DF6"/>
    <w:rsid w:val="00746F6F"/>
    <w:rsid w:val="007470F6"/>
    <w:rsid w:val="0075164F"/>
    <w:rsid w:val="00753527"/>
    <w:rsid w:val="0075498D"/>
    <w:rsid w:val="0075571E"/>
    <w:rsid w:val="007573A8"/>
    <w:rsid w:val="00757DF7"/>
    <w:rsid w:val="00760CB3"/>
    <w:rsid w:val="00760DF7"/>
    <w:rsid w:val="007618B8"/>
    <w:rsid w:val="007620FD"/>
    <w:rsid w:val="00762D45"/>
    <w:rsid w:val="007649AD"/>
    <w:rsid w:val="00765721"/>
    <w:rsid w:val="007657D6"/>
    <w:rsid w:val="007667D6"/>
    <w:rsid w:val="0076776F"/>
    <w:rsid w:val="00767E76"/>
    <w:rsid w:val="00770D8B"/>
    <w:rsid w:val="00772E4F"/>
    <w:rsid w:val="00774038"/>
    <w:rsid w:val="007744DE"/>
    <w:rsid w:val="007752B5"/>
    <w:rsid w:val="0078057A"/>
    <w:rsid w:val="00784C17"/>
    <w:rsid w:val="00785D1C"/>
    <w:rsid w:val="007875BD"/>
    <w:rsid w:val="00791715"/>
    <w:rsid w:val="00791D39"/>
    <w:rsid w:val="00792CB2"/>
    <w:rsid w:val="00793CE4"/>
    <w:rsid w:val="00795B20"/>
    <w:rsid w:val="007A2C38"/>
    <w:rsid w:val="007A47D2"/>
    <w:rsid w:val="007A58CB"/>
    <w:rsid w:val="007A7A98"/>
    <w:rsid w:val="007B29F0"/>
    <w:rsid w:val="007B2EF9"/>
    <w:rsid w:val="007C06AD"/>
    <w:rsid w:val="007C0CF6"/>
    <w:rsid w:val="007C323A"/>
    <w:rsid w:val="007C324C"/>
    <w:rsid w:val="007C41AA"/>
    <w:rsid w:val="007C4300"/>
    <w:rsid w:val="007D0309"/>
    <w:rsid w:val="007D394D"/>
    <w:rsid w:val="007D4858"/>
    <w:rsid w:val="007D5D9C"/>
    <w:rsid w:val="007D5F26"/>
    <w:rsid w:val="007D618F"/>
    <w:rsid w:val="007D70DC"/>
    <w:rsid w:val="007D7DA0"/>
    <w:rsid w:val="007D7FB6"/>
    <w:rsid w:val="007E162F"/>
    <w:rsid w:val="007E78EF"/>
    <w:rsid w:val="007F06A3"/>
    <w:rsid w:val="007F2ABC"/>
    <w:rsid w:val="007F5935"/>
    <w:rsid w:val="007F5D84"/>
    <w:rsid w:val="008002BA"/>
    <w:rsid w:val="00801CB4"/>
    <w:rsid w:val="0080750C"/>
    <w:rsid w:val="00807C2B"/>
    <w:rsid w:val="00810B27"/>
    <w:rsid w:val="0081161E"/>
    <w:rsid w:val="008121C1"/>
    <w:rsid w:val="00812937"/>
    <w:rsid w:val="008139FE"/>
    <w:rsid w:val="00814267"/>
    <w:rsid w:val="00816689"/>
    <w:rsid w:val="00816C00"/>
    <w:rsid w:val="008172F1"/>
    <w:rsid w:val="008210AE"/>
    <w:rsid w:val="00822DAA"/>
    <w:rsid w:val="00825E5E"/>
    <w:rsid w:val="0082605E"/>
    <w:rsid w:val="00826CC8"/>
    <w:rsid w:val="00826D27"/>
    <w:rsid w:val="00827AC2"/>
    <w:rsid w:val="00830315"/>
    <w:rsid w:val="008320DD"/>
    <w:rsid w:val="0083225C"/>
    <w:rsid w:val="00836144"/>
    <w:rsid w:val="008368A0"/>
    <w:rsid w:val="00840763"/>
    <w:rsid w:val="00850751"/>
    <w:rsid w:val="00850C3E"/>
    <w:rsid w:val="00851ED7"/>
    <w:rsid w:val="00855E0C"/>
    <w:rsid w:val="008574E4"/>
    <w:rsid w:val="00857614"/>
    <w:rsid w:val="00857DD6"/>
    <w:rsid w:val="008619BF"/>
    <w:rsid w:val="00862D8D"/>
    <w:rsid w:val="0086580F"/>
    <w:rsid w:val="00865977"/>
    <w:rsid w:val="00866E17"/>
    <w:rsid w:val="008719E6"/>
    <w:rsid w:val="00872079"/>
    <w:rsid w:val="008733C2"/>
    <w:rsid w:val="00874FD4"/>
    <w:rsid w:val="008771E1"/>
    <w:rsid w:val="00877C1B"/>
    <w:rsid w:val="00886D2D"/>
    <w:rsid w:val="00891A83"/>
    <w:rsid w:val="00892484"/>
    <w:rsid w:val="0089267E"/>
    <w:rsid w:val="00897002"/>
    <w:rsid w:val="00897373"/>
    <w:rsid w:val="00897E39"/>
    <w:rsid w:val="008A100C"/>
    <w:rsid w:val="008A20A6"/>
    <w:rsid w:val="008A2967"/>
    <w:rsid w:val="008A30F8"/>
    <w:rsid w:val="008A6756"/>
    <w:rsid w:val="008B0AC7"/>
    <w:rsid w:val="008B1032"/>
    <w:rsid w:val="008B1CA8"/>
    <w:rsid w:val="008C0B20"/>
    <w:rsid w:val="008C12C1"/>
    <w:rsid w:val="008C20EE"/>
    <w:rsid w:val="008C2CB2"/>
    <w:rsid w:val="008C4B95"/>
    <w:rsid w:val="008D11BB"/>
    <w:rsid w:val="008D3BAC"/>
    <w:rsid w:val="008D423E"/>
    <w:rsid w:val="008D726C"/>
    <w:rsid w:val="008D7824"/>
    <w:rsid w:val="008E0019"/>
    <w:rsid w:val="008E1CA1"/>
    <w:rsid w:val="008E27ED"/>
    <w:rsid w:val="008E2A61"/>
    <w:rsid w:val="008E6C54"/>
    <w:rsid w:val="008E7517"/>
    <w:rsid w:val="008E759E"/>
    <w:rsid w:val="008E7E51"/>
    <w:rsid w:val="008F0D6F"/>
    <w:rsid w:val="008F1F6B"/>
    <w:rsid w:val="008F46B3"/>
    <w:rsid w:val="008F4FB7"/>
    <w:rsid w:val="00900110"/>
    <w:rsid w:val="00900516"/>
    <w:rsid w:val="00902445"/>
    <w:rsid w:val="00902F1C"/>
    <w:rsid w:val="00906F6B"/>
    <w:rsid w:val="00907592"/>
    <w:rsid w:val="009157B6"/>
    <w:rsid w:val="00920757"/>
    <w:rsid w:val="00921B93"/>
    <w:rsid w:val="009250E8"/>
    <w:rsid w:val="009266AA"/>
    <w:rsid w:val="00927A0B"/>
    <w:rsid w:val="009305A9"/>
    <w:rsid w:val="0093083A"/>
    <w:rsid w:val="009325E1"/>
    <w:rsid w:val="00932F94"/>
    <w:rsid w:val="0093422A"/>
    <w:rsid w:val="009352A1"/>
    <w:rsid w:val="00936077"/>
    <w:rsid w:val="00937B8D"/>
    <w:rsid w:val="00940EDB"/>
    <w:rsid w:val="00941A2B"/>
    <w:rsid w:val="0094267D"/>
    <w:rsid w:val="009464DC"/>
    <w:rsid w:val="00954379"/>
    <w:rsid w:val="009545D3"/>
    <w:rsid w:val="00960DA0"/>
    <w:rsid w:val="00962390"/>
    <w:rsid w:val="00962456"/>
    <w:rsid w:val="00964775"/>
    <w:rsid w:val="00965332"/>
    <w:rsid w:val="00965FF3"/>
    <w:rsid w:val="0096640B"/>
    <w:rsid w:val="00967A63"/>
    <w:rsid w:val="00967E1E"/>
    <w:rsid w:val="0097079C"/>
    <w:rsid w:val="009715FF"/>
    <w:rsid w:val="00975435"/>
    <w:rsid w:val="00976D61"/>
    <w:rsid w:val="009771DA"/>
    <w:rsid w:val="009773CB"/>
    <w:rsid w:val="00977476"/>
    <w:rsid w:val="00977647"/>
    <w:rsid w:val="00980DA0"/>
    <w:rsid w:val="009825EC"/>
    <w:rsid w:val="0098476B"/>
    <w:rsid w:val="009873DE"/>
    <w:rsid w:val="0099165D"/>
    <w:rsid w:val="00992289"/>
    <w:rsid w:val="00993001"/>
    <w:rsid w:val="00993E60"/>
    <w:rsid w:val="00995226"/>
    <w:rsid w:val="00995B22"/>
    <w:rsid w:val="009A3EA2"/>
    <w:rsid w:val="009A769C"/>
    <w:rsid w:val="009B0595"/>
    <w:rsid w:val="009B0D17"/>
    <w:rsid w:val="009B224E"/>
    <w:rsid w:val="009B3464"/>
    <w:rsid w:val="009B4CFB"/>
    <w:rsid w:val="009B6068"/>
    <w:rsid w:val="009C1EF2"/>
    <w:rsid w:val="009C430A"/>
    <w:rsid w:val="009C4516"/>
    <w:rsid w:val="009C73B5"/>
    <w:rsid w:val="009D0043"/>
    <w:rsid w:val="009D0E06"/>
    <w:rsid w:val="009D3432"/>
    <w:rsid w:val="009D5114"/>
    <w:rsid w:val="009D515C"/>
    <w:rsid w:val="009D7AB2"/>
    <w:rsid w:val="009E018D"/>
    <w:rsid w:val="009E0E95"/>
    <w:rsid w:val="009E1856"/>
    <w:rsid w:val="009E3C08"/>
    <w:rsid w:val="009E409A"/>
    <w:rsid w:val="009E4635"/>
    <w:rsid w:val="009E5CD7"/>
    <w:rsid w:val="009E67E9"/>
    <w:rsid w:val="009F0945"/>
    <w:rsid w:val="009F1462"/>
    <w:rsid w:val="009F2628"/>
    <w:rsid w:val="009F4907"/>
    <w:rsid w:val="009F55C8"/>
    <w:rsid w:val="00A01037"/>
    <w:rsid w:val="00A01D9F"/>
    <w:rsid w:val="00A03028"/>
    <w:rsid w:val="00A035CA"/>
    <w:rsid w:val="00A03B8C"/>
    <w:rsid w:val="00A06850"/>
    <w:rsid w:val="00A10177"/>
    <w:rsid w:val="00A113BA"/>
    <w:rsid w:val="00A12199"/>
    <w:rsid w:val="00A208CA"/>
    <w:rsid w:val="00A3068A"/>
    <w:rsid w:val="00A30EF9"/>
    <w:rsid w:val="00A3414F"/>
    <w:rsid w:val="00A353FF"/>
    <w:rsid w:val="00A4119F"/>
    <w:rsid w:val="00A44C65"/>
    <w:rsid w:val="00A44F48"/>
    <w:rsid w:val="00A46FAB"/>
    <w:rsid w:val="00A5169B"/>
    <w:rsid w:val="00A547F2"/>
    <w:rsid w:val="00A55232"/>
    <w:rsid w:val="00A55306"/>
    <w:rsid w:val="00A55B73"/>
    <w:rsid w:val="00A5760F"/>
    <w:rsid w:val="00A57ED4"/>
    <w:rsid w:val="00A619B6"/>
    <w:rsid w:val="00A64B2C"/>
    <w:rsid w:val="00A74BBC"/>
    <w:rsid w:val="00A758D8"/>
    <w:rsid w:val="00A75DFC"/>
    <w:rsid w:val="00A7716A"/>
    <w:rsid w:val="00A77316"/>
    <w:rsid w:val="00A80772"/>
    <w:rsid w:val="00A82C4C"/>
    <w:rsid w:val="00A82EC5"/>
    <w:rsid w:val="00A84622"/>
    <w:rsid w:val="00A864F2"/>
    <w:rsid w:val="00A86E33"/>
    <w:rsid w:val="00A8797E"/>
    <w:rsid w:val="00A9179C"/>
    <w:rsid w:val="00A91EAF"/>
    <w:rsid w:val="00A92022"/>
    <w:rsid w:val="00A93F9B"/>
    <w:rsid w:val="00A96775"/>
    <w:rsid w:val="00A96850"/>
    <w:rsid w:val="00AA0935"/>
    <w:rsid w:val="00AA2389"/>
    <w:rsid w:val="00AA31D5"/>
    <w:rsid w:val="00AA4B1B"/>
    <w:rsid w:val="00AA4C56"/>
    <w:rsid w:val="00AA4E54"/>
    <w:rsid w:val="00AA52CF"/>
    <w:rsid w:val="00AB1EBF"/>
    <w:rsid w:val="00AB2604"/>
    <w:rsid w:val="00AB5AB3"/>
    <w:rsid w:val="00AB7BD9"/>
    <w:rsid w:val="00AC0919"/>
    <w:rsid w:val="00AC2E9C"/>
    <w:rsid w:val="00AC46A1"/>
    <w:rsid w:val="00AC470A"/>
    <w:rsid w:val="00AC5D50"/>
    <w:rsid w:val="00AC71FE"/>
    <w:rsid w:val="00AD10E2"/>
    <w:rsid w:val="00AD1881"/>
    <w:rsid w:val="00AD1E0C"/>
    <w:rsid w:val="00AD459E"/>
    <w:rsid w:val="00AD4FF3"/>
    <w:rsid w:val="00AD50FC"/>
    <w:rsid w:val="00AE03BC"/>
    <w:rsid w:val="00AE41BA"/>
    <w:rsid w:val="00AE496A"/>
    <w:rsid w:val="00AE4EF2"/>
    <w:rsid w:val="00AE6656"/>
    <w:rsid w:val="00AE6943"/>
    <w:rsid w:val="00AF0D01"/>
    <w:rsid w:val="00AF1367"/>
    <w:rsid w:val="00AF2857"/>
    <w:rsid w:val="00AF4188"/>
    <w:rsid w:val="00AF6FD4"/>
    <w:rsid w:val="00B040A1"/>
    <w:rsid w:val="00B04941"/>
    <w:rsid w:val="00B04999"/>
    <w:rsid w:val="00B052E9"/>
    <w:rsid w:val="00B07ADB"/>
    <w:rsid w:val="00B12109"/>
    <w:rsid w:val="00B139EB"/>
    <w:rsid w:val="00B14A6B"/>
    <w:rsid w:val="00B16BEC"/>
    <w:rsid w:val="00B200D3"/>
    <w:rsid w:val="00B20A4D"/>
    <w:rsid w:val="00B2392D"/>
    <w:rsid w:val="00B24B84"/>
    <w:rsid w:val="00B26673"/>
    <w:rsid w:val="00B26A27"/>
    <w:rsid w:val="00B26C7E"/>
    <w:rsid w:val="00B30BB7"/>
    <w:rsid w:val="00B31D4B"/>
    <w:rsid w:val="00B3209F"/>
    <w:rsid w:val="00B32CCA"/>
    <w:rsid w:val="00B353F9"/>
    <w:rsid w:val="00B41930"/>
    <w:rsid w:val="00B42F7B"/>
    <w:rsid w:val="00B4388D"/>
    <w:rsid w:val="00B47599"/>
    <w:rsid w:val="00B477B7"/>
    <w:rsid w:val="00B51E19"/>
    <w:rsid w:val="00B52025"/>
    <w:rsid w:val="00B5209B"/>
    <w:rsid w:val="00B52674"/>
    <w:rsid w:val="00B528AC"/>
    <w:rsid w:val="00B52BC3"/>
    <w:rsid w:val="00B53601"/>
    <w:rsid w:val="00B56148"/>
    <w:rsid w:val="00B56E58"/>
    <w:rsid w:val="00B603DD"/>
    <w:rsid w:val="00B62125"/>
    <w:rsid w:val="00B62622"/>
    <w:rsid w:val="00B629D6"/>
    <w:rsid w:val="00B62F62"/>
    <w:rsid w:val="00B6479D"/>
    <w:rsid w:val="00B648FF"/>
    <w:rsid w:val="00B651EB"/>
    <w:rsid w:val="00B70652"/>
    <w:rsid w:val="00B70815"/>
    <w:rsid w:val="00B71047"/>
    <w:rsid w:val="00B720E2"/>
    <w:rsid w:val="00B72B96"/>
    <w:rsid w:val="00B74E0A"/>
    <w:rsid w:val="00B7510F"/>
    <w:rsid w:val="00B765A3"/>
    <w:rsid w:val="00B8087B"/>
    <w:rsid w:val="00B811DA"/>
    <w:rsid w:val="00B8164D"/>
    <w:rsid w:val="00B84768"/>
    <w:rsid w:val="00B86F21"/>
    <w:rsid w:val="00B87364"/>
    <w:rsid w:val="00B92C0C"/>
    <w:rsid w:val="00B92F59"/>
    <w:rsid w:val="00B97C62"/>
    <w:rsid w:val="00BA02D7"/>
    <w:rsid w:val="00BA1355"/>
    <w:rsid w:val="00BA1DFF"/>
    <w:rsid w:val="00BA2E68"/>
    <w:rsid w:val="00BA4619"/>
    <w:rsid w:val="00BA4C9B"/>
    <w:rsid w:val="00BA4CA2"/>
    <w:rsid w:val="00BA7E58"/>
    <w:rsid w:val="00BB09FD"/>
    <w:rsid w:val="00BB0CBB"/>
    <w:rsid w:val="00BB3FAB"/>
    <w:rsid w:val="00BB670B"/>
    <w:rsid w:val="00BB7AA1"/>
    <w:rsid w:val="00BC0807"/>
    <w:rsid w:val="00BC561F"/>
    <w:rsid w:val="00BC6717"/>
    <w:rsid w:val="00BD07AF"/>
    <w:rsid w:val="00BD0D1F"/>
    <w:rsid w:val="00BD1102"/>
    <w:rsid w:val="00BD4F00"/>
    <w:rsid w:val="00BD6176"/>
    <w:rsid w:val="00BD7477"/>
    <w:rsid w:val="00BD770D"/>
    <w:rsid w:val="00BE12CB"/>
    <w:rsid w:val="00BE1502"/>
    <w:rsid w:val="00BE29DA"/>
    <w:rsid w:val="00BE3181"/>
    <w:rsid w:val="00BE54FB"/>
    <w:rsid w:val="00BF32AF"/>
    <w:rsid w:val="00BF53A3"/>
    <w:rsid w:val="00C00911"/>
    <w:rsid w:val="00C05D19"/>
    <w:rsid w:val="00C069CB"/>
    <w:rsid w:val="00C07CA6"/>
    <w:rsid w:val="00C07E62"/>
    <w:rsid w:val="00C10F8C"/>
    <w:rsid w:val="00C111F0"/>
    <w:rsid w:val="00C12F39"/>
    <w:rsid w:val="00C1318E"/>
    <w:rsid w:val="00C142C8"/>
    <w:rsid w:val="00C1482B"/>
    <w:rsid w:val="00C169BE"/>
    <w:rsid w:val="00C2164F"/>
    <w:rsid w:val="00C22CC2"/>
    <w:rsid w:val="00C2433F"/>
    <w:rsid w:val="00C243ED"/>
    <w:rsid w:val="00C245F2"/>
    <w:rsid w:val="00C267C4"/>
    <w:rsid w:val="00C27F67"/>
    <w:rsid w:val="00C3078C"/>
    <w:rsid w:val="00C3095D"/>
    <w:rsid w:val="00C3226F"/>
    <w:rsid w:val="00C33B79"/>
    <w:rsid w:val="00C35FA3"/>
    <w:rsid w:val="00C3733F"/>
    <w:rsid w:val="00C43B71"/>
    <w:rsid w:val="00C47D7E"/>
    <w:rsid w:val="00C50545"/>
    <w:rsid w:val="00C51149"/>
    <w:rsid w:val="00C5189C"/>
    <w:rsid w:val="00C53954"/>
    <w:rsid w:val="00C6460C"/>
    <w:rsid w:val="00C64FFC"/>
    <w:rsid w:val="00C65BED"/>
    <w:rsid w:val="00C753A4"/>
    <w:rsid w:val="00C77D33"/>
    <w:rsid w:val="00C8001F"/>
    <w:rsid w:val="00C80F32"/>
    <w:rsid w:val="00C828F0"/>
    <w:rsid w:val="00C83510"/>
    <w:rsid w:val="00C83901"/>
    <w:rsid w:val="00C83A81"/>
    <w:rsid w:val="00C85265"/>
    <w:rsid w:val="00C85DA5"/>
    <w:rsid w:val="00C905F3"/>
    <w:rsid w:val="00C90BC5"/>
    <w:rsid w:val="00C92A41"/>
    <w:rsid w:val="00C93505"/>
    <w:rsid w:val="00C94277"/>
    <w:rsid w:val="00C943EC"/>
    <w:rsid w:val="00C96AE4"/>
    <w:rsid w:val="00CA0EDB"/>
    <w:rsid w:val="00CA0FC3"/>
    <w:rsid w:val="00CA5C4C"/>
    <w:rsid w:val="00CA7DEC"/>
    <w:rsid w:val="00CB3B92"/>
    <w:rsid w:val="00CB4CEA"/>
    <w:rsid w:val="00CB5799"/>
    <w:rsid w:val="00CB5D9F"/>
    <w:rsid w:val="00CC0BEE"/>
    <w:rsid w:val="00CC0F15"/>
    <w:rsid w:val="00CC23B5"/>
    <w:rsid w:val="00CC3F23"/>
    <w:rsid w:val="00CC40BE"/>
    <w:rsid w:val="00CC43FC"/>
    <w:rsid w:val="00CC56CC"/>
    <w:rsid w:val="00CC57AD"/>
    <w:rsid w:val="00CC5E70"/>
    <w:rsid w:val="00CC5EE7"/>
    <w:rsid w:val="00CC632F"/>
    <w:rsid w:val="00CC6338"/>
    <w:rsid w:val="00CD54B1"/>
    <w:rsid w:val="00CE0C9D"/>
    <w:rsid w:val="00CF0623"/>
    <w:rsid w:val="00CF24AA"/>
    <w:rsid w:val="00D017C4"/>
    <w:rsid w:val="00D01DAD"/>
    <w:rsid w:val="00D02D92"/>
    <w:rsid w:val="00D031D6"/>
    <w:rsid w:val="00D04020"/>
    <w:rsid w:val="00D042A8"/>
    <w:rsid w:val="00D058B2"/>
    <w:rsid w:val="00D07496"/>
    <w:rsid w:val="00D07B8C"/>
    <w:rsid w:val="00D108EA"/>
    <w:rsid w:val="00D14883"/>
    <w:rsid w:val="00D14B3B"/>
    <w:rsid w:val="00D202AC"/>
    <w:rsid w:val="00D20CF8"/>
    <w:rsid w:val="00D21ECE"/>
    <w:rsid w:val="00D224F9"/>
    <w:rsid w:val="00D25DC4"/>
    <w:rsid w:val="00D2717D"/>
    <w:rsid w:val="00D27A04"/>
    <w:rsid w:val="00D3070B"/>
    <w:rsid w:val="00D30F82"/>
    <w:rsid w:val="00D315CD"/>
    <w:rsid w:val="00D32EE8"/>
    <w:rsid w:val="00D3355A"/>
    <w:rsid w:val="00D34558"/>
    <w:rsid w:val="00D36011"/>
    <w:rsid w:val="00D37DBA"/>
    <w:rsid w:val="00D40301"/>
    <w:rsid w:val="00D43EA7"/>
    <w:rsid w:val="00D479B4"/>
    <w:rsid w:val="00D50D46"/>
    <w:rsid w:val="00D51A28"/>
    <w:rsid w:val="00D57931"/>
    <w:rsid w:val="00D57EB7"/>
    <w:rsid w:val="00D6118E"/>
    <w:rsid w:val="00D62206"/>
    <w:rsid w:val="00D644B6"/>
    <w:rsid w:val="00D653B4"/>
    <w:rsid w:val="00D67EA2"/>
    <w:rsid w:val="00D72217"/>
    <w:rsid w:val="00D76049"/>
    <w:rsid w:val="00D8041F"/>
    <w:rsid w:val="00D81CDD"/>
    <w:rsid w:val="00D84D3A"/>
    <w:rsid w:val="00D87319"/>
    <w:rsid w:val="00D87352"/>
    <w:rsid w:val="00D923F3"/>
    <w:rsid w:val="00D92F81"/>
    <w:rsid w:val="00D92FE9"/>
    <w:rsid w:val="00D93891"/>
    <w:rsid w:val="00D94957"/>
    <w:rsid w:val="00D952EE"/>
    <w:rsid w:val="00D958D7"/>
    <w:rsid w:val="00D95B4E"/>
    <w:rsid w:val="00D96F8A"/>
    <w:rsid w:val="00DA0099"/>
    <w:rsid w:val="00DA13FA"/>
    <w:rsid w:val="00DA4A27"/>
    <w:rsid w:val="00DA5914"/>
    <w:rsid w:val="00DA7E40"/>
    <w:rsid w:val="00DB15ED"/>
    <w:rsid w:val="00DB1EB8"/>
    <w:rsid w:val="00DB2158"/>
    <w:rsid w:val="00DB295C"/>
    <w:rsid w:val="00DB347D"/>
    <w:rsid w:val="00DC0A84"/>
    <w:rsid w:val="00DC2ACA"/>
    <w:rsid w:val="00DC3F5E"/>
    <w:rsid w:val="00DC5985"/>
    <w:rsid w:val="00DD0DE1"/>
    <w:rsid w:val="00DD107F"/>
    <w:rsid w:val="00DD4BB4"/>
    <w:rsid w:val="00DD5019"/>
    <w:rsid w:val="00DD6A2E"/>
    <w:rsid w:val="00DE1E5C"/>
    <w:rsid w:val="00DE236A"/>
    <w:rsid w:val="00DE4333"/>
    <w:rsid w:val="00DE4CD3"/>
    <w:rsid w:val="00DE5705"/>
    <w:rsid w:val="00DF2880"/>
    <w:rsid w:val="00DF5976"/>
    <w:rsid w:val="00DF5C8B"/>
    <w:rsid w:val="00DF6062"/>
    <w:rsid w:val="00DF750A"/>
    <w:rsid w:val="00DF7CAB"/>
    <w:rsid w:val="00E0073F"/>
    <w:rsid w:val="00E0414A"/>
    <w:rsid w:val="00E052EA"/>
    <w:rsid w:val="00E10606"/>
    <w:rsid w:val="00E13736"/>
    <w:rsid w:val="00E13BCB"/>
    <w:rsid w:val="00E20694"/>
    <w:rsid w:val="00E207D8"/>
    <w:rsid w:val="00E23C53"/>
    <w:rsid w:val="00E23F84"/>
    <w:rsid w:val="00E25435"/>
    <w:rsid w:val="00E26B7A"/>
    <w:rsid w:val="00E276B3"/>
    <w:rsid w:val="00E278BB"/>
    <w:rsid w:val="00E27C28"/>
    <w:rsid w:val="00E301DD"/>
    <w:rsid w:val="00E3063B"/>
    <w:rsid w:val="00E31185"/>
    <w:rsid w:val="00E32425"/>
    <w:rsid w:val="00E34769"/>
    <w:rsid w:val="00E35CC0"/>
    <w:rsid w:val="00E40E9F"/>
    <w:rsid w:val="00E40F7A"/>
    <w:rsid w:val="00E45842"/>
    <w:rsid w:val="00E46218"/>
    <w:rsid w:val="00E46B15"/>
    <w:rsid w:val="00E47C51"/>
    <w:rsid w:val="00E509D8"/>
    <w:rsid w:val="00E51113"/>
    <w:rsid w:val="00E5278B"/>
    <w:rsid w:val="00E53A6A"/>
    <w:rsid w:val="00E54322"/>
    <w:rsid w:val="00E54B2A"/>
    <w:rsid w:val="00E56889"/>
    <w:rsid w:val="00E711E4"/>
    <w:rsid w:val="00E71E40"/>
    <w:rsid w:val="00E734F2"/>
    <w:rsid w:val="00E7538E"/>
    <w:rsid w:val="00E7661B"/>
    <w:rsid w:val="00E76663"/>
    <w:rsid w:val="00E76BEF"/>
    <w:rsid w:val="00E77E35"/>
    <w:rsid w:val="00E77ED8"/>
    <w:rsid w:val="00E80E83"/>
    <w:rsid w:val="00E83BD3"/>
    <w:rsid w:val="00E8565A"/>
    <w:rsid w:val="00E86973"/>
    <w:rsid w:val="00E87121"/>
    <w:rsid w:val="00E91561"/>
    <w:rsid w:val="00E91925"/>
    <w:rsid w:val="00E92362"/>
    <w:rsid w:val="00E936A3"/>
    <w:rsid w:val="00E9799A"/>
    <w:rsid w:val="00EA1A91"/>
    <w:rsid w:val="00EA2238"/>
    <w:rsid w:val="00EB0394"/>
    <w:rsid w:val="00EB3AC4"/>
    <w:rsid w:val="00EB449D"/>
    <w:rsid w:val="00EB6CAE"/>
    <w:rsid w:val="00EC182D"/>
    <w:rsid w:val="00EC3611"/>
    <w:rsid w:val="00EC3FB0"/>
    <w:rsid w:val="00EC4876"/>
    <w:rsid w:val="00EC723F"/>
    <w:rsid w:val="00ED56CC"/>
    <w:rsid w:val="00ED7B8C"/>
    <w:rsid w:val="00EE0567"/>
    <w:rsid w:val="00EE16DA"/>
    <w:rsid w:val="00EF0039"/>
    <w:rsid w:val="00EF454C"/>
    <w:rsid w:val="00EF4D4F"/>
    <w:rsid w:val="00EF7651"/>
    <w:rsid w:val="00EF7FBC"/>
    <w:rsid w:val="00F03442"/>
    <w:rsid w:val="00F04CC1"/>
    <w:rsid w:val="00F06894"/>
    <w:rsid w:val="00F10BD1"/>
    <w:rsid w:val="00F129B2"/>
    <w:rsid w:val="00F177EA"/>
    <w:rsid w:val="00F2130B"/>
    <w:rsid w:val="00F21E41"/>
    <w:rsid w:val="00F270F3"/>
    <w:rsid w:val="00F30E63"/>
    <w:rsid w:val="00F328B2"/>
    <w:rsid w:val="00F32A64"/>
    <w:rsid w:val="00F32BAA"/>
    <w:rsid w:val="00F354E0"/>
    <w:rsid w:val="00F367D2"/>
    <w:rsid w:val="00F37D7D"/>
    <w:rsid w:val="00F415F5"/>
    <w:rsid w:val="00F43231"/>
    <w:rsid w:val="00F43CD6"/>
    <w:rsid w:val="00F4444A"/>
    <w:rsid w:val="00F45F34"/>
    <w:rsid w:val="00F5006A"/>
    <w:rsid w:val="00F50438"/>
    <w:rsid w:val="00F51F2E"/>
    <w:rsid w:val="00F52BB0"/>
    <w:rsid w:val="00F52FE9"/>
    <w:rsid w:val="00F542E2"/>
    <w:rsid w:val="00F550AE"/>
    <w:rsid w:val="00F612F8"/>
    <w:rsid w:val="00F614EB"/>
    <w:rsid w:val="00F62F4C"/>
    <w:rsid w:val="00F66B37"/>
    <w:rsid w:val="00F66DD3"/>
    <w:rsid w:val="00F67093"/>
    <w:rsid w:val="00F72CDB"/>
    <w:rsid w:val="00F73530"/>
    <w:rsid w:val="00F756A6"/>
    <w:rsid w:val="00F77CAB"/>
    <w:rsid w:val="00F8327F"/>
    <w:rsid w:val="00F839D1"/>
    <w:rsid w:val="00F84341"/>
    <w:rsid w:val="00F90952"/>
    <w:rsid w:val="00F90B81"/>
    <w:rsid w:val="00F90F67"/>
    <w:rsid w:val="00F9335F"/>
    <w:rsid w:val="00FA30EF"/>
    <w:rsid w:val="00FA326C"/>
    <w:rsid w:val="00FA344A"/>
    <w:rsid w:val="00FA487C"/>
    <w:rsid w:val="00FA5807"/>
    <w:rsid w:val="00FA5B59"/>
    <w:rsid w:val="00FA797F"/>
    <w:rsid w:val="00FB4819"/>
    <w:rsid w:val="00FB4856"/>
    <w:rsid w:val="00FB4F55"/>
    <w:rsid w:val="00FB4FF1"/>
    <w:rsid w:val="00FB518E"/>
    <w:rsid w:val="00FC1E73"/>
    <w:rsid w:val="00FC28B6"/>
    <w:rsid w:val="00FC4784"/>
    <w:rsid w:val="00FC570E"/>
    <w:rsid w:val="00FD06F6"/>
    <w:rsid w:val="00FD2CD9"/>
    <w:rsid w:val="00FD2DBB"/>
    <w:rsid w:val="00FD2FAC"/>
    <w:rsid w:val="00FD3445"/>
    <w:rsid w:val="00FD49E2"/>
    <w:rsid w:val="00FD4B01"/>
    <w:rsid w:val="00FD4F0E"/>
    <w:rsid w:val="00FD758B"/>
    <w:rsid w:val="00FE3053"/>
    <w:rsid w:val="00FE3236"/>
    <w:rsid w:val="00FE478F"/>
    <w:rsid w:val="00FE5CE8"/>
    <w:rsid w:val="00FE7BDF"/>
    <w:rsid w:val="00FF00E5"/>
    <w:rsid w:val="00FF3510"/>
    <w:rsid w:val="00FF3FBF"/>
    <w:rsid w:val="00FF52C1"/>
    <w:rsid w:val="00FF57CA"/>
    <w:rsid w:val="00FF7E66"/>
    <w:rsid w:val="06BFADED"/>
    <w:rsid w:val="06C0888A"/>
    <w:rsid w:val="0A97D346"/>
    <w:rsid w:val="0B87E37A"/>
    <w:rsid w:val="0FC901BD"/>
    <w:rsid w:val="1516E8F9"/>
    <w:rsid w:val="18612C17"/>
    <w:rsid w:val="25B8A44A"/>
    <w:rsid w:val="27C723CE"/>
    <w:rsid w:val="2EB0D39B"/>
    <w:rsid w:val="36ED84D1"/>
    <w:rsid w:val="385A3223"/>
    <w:rsid w:val="3BB5E6C2"/>
    <w:rsid w:val="453A5FE6"/>
    <w:rsid w:val="4CE65660"/>
    <w:rsid w:val="4F56247F"/>
    <w:rsid w:val="5BF429ED"/>
    <w:rsid w:val="6B0C7BC4"/>
    <w:rsid w:val="72EE93A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AF3D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F7FBC"/>
    <w:pPr>
      <w:tabs>
        <w:tab w:val="center" w:pos="4320"/>
        <w:tab w:val="righ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DefaultPara">
    <w:name w:val="Default Para"/>
    <w:basedOn w:val="DefaultParagraphFont"/>
  </w:style>
  <w:style w:type="paragraph" w:styleId="Footer">
    <w:name w:val="footer"/>
    <w:basedOn w:val="Normal"/>
    <w:rsid w:val="00EF7FBC"/>
    <w:pPr>
      <w:tabs>
        <w:tab w:val="center" w:pos="4320"/>
        <w:tab w:val="right" w:pos="8640"/>
      </w:tabs>
    </w:pPr>
  </w:style>
  <w:style w:type="paragraph" w:styleId="BalloonText">
    <w:name w:val="Balloon Text"/>
    <w:basedOn w:val="Normal"/>
    <w:semiHidden/>
    <w:rsid w:val="0075498D"/>
    <w:rPr>
      <w:rFonts w:ascii="Tahoma" w:hAnsi="Tahoma" w:cs="Tahoma"/>
      <w:sz w:val="16"/>
      <w:szCs w:val="16"/>
    </w:rPr>
  </w:style>
  <w:style w:type="character" w:styleId="PageNumber">
    <w:name w:val="page number"/>
    <w:rsid w:val="00A92022"/>
    <w:rPr>
      <w:rFonts w:ascii="Arial" w:hAnsi="Arial"/>
      <w:sz w:val="22"/>
    </w:rPr>
  </w:style>
  <w:style w:type="character" w:styleId="Hyperlink">
    <w:name w:val="Hyperlink"/>
    <w:basedOn w:val="DefaultParagraphFont"/>
    <w:uiPriority w:val="99"/>
    <w:unhideWhenUsed/>
    <w:rsid w:val="00E53A6A"/>
    <w:rPr>
      <w:color w:val="0563C1" w:themeColor="hyperlink"/>
      <w:u w:val="single"/>
    </w:rPr>
  </w:style>
  <w:style w:type="character" w:styleId="CommentReference">
    <w:name w:val="annotation reference"/>
    <w:basedOn w:val="DefaultParagraphFont"/>
    <w:rsid w:val="00404747"/>
    <w:rPr>
      <w:sz w:val="16"/>
      <w:szCs w:val="16"/>
    </w:rPr>
  </w:style>
  <w:style w:type="paragraph" w:styleId="CommentText">
    <w:name w:val="annotation text"/>
    <w:basedOn w:val="Normal"/>
    <w:link w:val="CommentTextChar"/>
    <w:rsid w:val="00404747"/>
    <w:rPr>
      <w:sz w:val="20"/>
    </w:rPr>
  </w:style>
  <w:style w:type="character" w:customStyle="1" w:styleId="CommentTextChar">
    <w:name w:val="Comment Text Char"/>
    <w:basedOn w:val="DefaultParagraphFont"/>
    <w:link w:val="CommentText"/>
    <w:rsid w:val="00404747"/>
  </w:style>
  <w:style w:type="paragraph" w:styleId="CommentSubject">
    <w:name w:val="annotation subject"/>
    <w:basedOn w:val="CommentText"/>
    <w:next w:val="CommentText"/>
    <w:link w:val="CommentSubjectChar"/>
    <w:rsid w:val="00404747"/>
    <w:rPr>
      <w:b/>
      <w:bCs/>
    </w:rPr>
  </w:style>
  <w:style w:type="character" w:customStyle="1" w:styleId="CommentSubjectChar">
    <w:name w:val="Comment Subject Char"/>
    <w:basedOn w:val="CommentTextChar"/>
    <w:link w:val="CommentSubject"/>
    <w:rsid w:val="00404747"/>
    <w:rPr>
      <w:b/>
      <w:bCs/>
    </w:rPr>
  </w:style>
  <w:style w:type="paragraph" w:styleId="ListParagraph">
    <w:name w:val="List Paragraph"/>
    <w:basedOn w:val="Normal"/>
    <w:uiPriority w:val="1"/>
    <w:qFormat/>
    <w:rsid w:val="001E7FFA"/>
    <w:pPr>
      <w:spacing w:line="276" w:lineRule="auto"/>
      <w:ind w:left="720"/>
      <w:contextualSpacing/>
    </w:pPr>
    <w:rPr>
      <w:rFonts w:ascii="Arial" w:hAnsi="Arial" w:eastAsiaTheme="minorHAnsi" w:cs="Arial"/>
      <w:sz w:val="22"/>
      <w:szCs w:val="22"/>
    </w:rPr>
  </w:style>
  <w:style w:type="table" w:styleId="TableGrid">
    <w:name w:val="Table Grid"/>
    <w:basedOn w:val="TableNormal"/>
    <w:rsid w:val="003E2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515AE1"/>
  </w:style>
  <w:style w:type="paragraph" w:styleId="FootnoteText">
    <w:name w:val="footnote text"/>
    <w:basedOn w:val="Normal"/>
    <w:link w:val="FootnoteTextChar"/>
    <w:rsid w:val="00515AE1"/>
    <w:pPr>
      <w:widowControl w:val="0"/>
      <w:autoSpaceDE w:val="0"/>
      <w:autoSpaceDN w:val="0"/>
      <w:adjustRightInd w:val="0"/>
    </w:pPr>
    <w:rPr>
      <w:rFonts w:ascii="Mona Lisa Recut" w:hAnsi="Mona Lisa Recut"/>
      <w:sz w:val="20"/>
    </w:rPr>
  </w:style>
  <w:style w:type="character" w:customStyle="1" w:styleId="FootnoteTextChar">
    <w:name w:val="Footnote Text Char"/>
    <w:basedOn w:val="DefaultParagraphFont"/>
    <w:link w:val="FootnoteText"/>
    <w:rsid w:val="00515AE1"/>
    <w:rPr>
      <w:rFonts w:ascii="Mona Lisa Recut" w:hAnsi="Mona Lisa Recut"/>
    </w:rPr>
  </w:style>
  <w:style w:type="paragraph" w:styleId="ListBullet">
    <w:name w:val="List Bullet"/>
    <w:basedOn w:val="Normal"/>
    <w:rsid w:val="007C4300"/>
    <w:pPr>
      <w:numPr>
        <w:numId w:val="21"/>
      </w:numPr>
      <w:contextualSpacing/>
    </w:pPr>
  </w:style>
  <w:style w:type="character" w:customStyle="1" w:styleId="normaltextrun">
    <w:name w:val="normaltextrun"/>
    <w:basedOn w:val="DefaultParagraphFont"/>
    <w:rsid w:val="009F4907"/>
  </w:style>
  <w:style w:type="character" w:customStyle="1" w:styleId="eop">
    <w:name w:val="eop"/>
    <w:basedOn w:val="DefaultParagraphFont"/>
    <w:rsid w:val="009F4907"/>
  </w:style>
  <w:style w:type="character" w:styleId="UnresolvedMention">
    <w:name w:val="Unresolved Mention"/>
    <w:basedOn w:val="DefaultParagraphFont"/>
    <w:uiPriority w:val="99"/>
    <w:semiHidden/>
    <w:unhideWhenUsed/>
    <w:rsid w:val="00A9179C"/>
    <w:rPr>
      <w:color w:val="605E5C"/>
      <w:shd w:val="clear" w:color="auto" w:fill="E1DFDD"/>
    </w:rPr>
  </w:style>
  <w:style w:type="paragraph" w:styleId="Revision">
    <w:name w:val="Revision"/>
    <w:hidden/>
    <w:uiPriority w:val="99"/>
    <w:semiHidden/>
    <w:rsid w:val="003A28A6"/>
    <w:rPr>
      <w:sz w:val="24"/>
    </w:rPr>
  </w:style>
  <w:style w:type="paragraph" w:styleId="BodyText">
    <w:name w:val="Body Text"/>
    <w:basedOn w:val="Normal"/>
    <w:link w:val="BodyTextChar"/>
    <w:semiHidden/>
    <w:unhideWhenUsed/>
    <w:rsid w:val="00B71047"/>
    <w:pPr>
      <w:spacing w:after="120"/>
    </w:pPr>
  </w:style>
  <w:style w:type="character" w:customStyle="1" w:styleId="BodyTextChar">
    <w:name w:val="Body Text Char"/>
    <w:basedOn w:val="DefaultParagraphFont"/>
    <w:link w:val="BodyText"/>
    <w:semiHidden/>
    <w:rsid w:val="00B7104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nrc.gov/site-help/electronic-sub-ref-mat.html"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10016-4188-42F8-BFB0-2FEAFA67BC8C}">
  <ds:schemaRefs>
    <ds:schemaRef ds:uri="http://schemas.openxmlformats.org/officeDocument/2006/bibliography"/>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4902</Words>
  <Characters>27947</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2023-09-13T14:56:00Z</dcterms:created>
  <dcterms:modified xsi:type="dcterms:W3CDTF">2023-11-27T15:06:00Z</dcterms:modified>
</cp:coreProperties>
</file>