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0719" w14:paraId="30EE7C1B" w14:textId="77777777">
      <w:pPr>
        <w:widowControl w:val="0"/>
        <w:jc w:val="center"/>
        <w:rPr>
          <w:rFonts w:ascii="Courier New" w:eastAsia="Courier New" w:hAnsi="Courier New" w:cs="Courier New"/>
          <w:b/>
        </w:rPr>
      </w:pPr>
      <w:r>
        <w:rPr>
          <w:rFonts w:ascii="Courier New" w:eastAsia="Courier New" w:hAnsi="Courier New" w:cs="Courier New"/>
          <w:b/>
        </w:rPr>
        <w:t>Federal Acquisition Regulation (FAR)</w:t>
      </w:r>
    </w:p>
    <w:p w:rsidR="00150719" w14:paraId="481BE642" w14:textId="77777777">
      <w:pPr>
        <w:widowControl w:val="0"/>
        <w:jc w:val="center"/>
        <w:rPr>
          <w:rFonts w:ascii="Courier New" w:eastAsia="Courier New" w:hAnsi="Courier New" w:cs="Courier New"/>
          <w:b/>
        </w:rPr>
      </w:pPr>
      <w:r>
        <w:rPr>
          <w:rFonts w:ascii="Courier New" w:eastAsia="Courier New" w:hAnsi="Courier New" w:cs="Courier New"/>
          <w:b/>
        </w:rPr>
        <w:t>Architect-Engineer Qualifications (SF-330)</w:t>
      </w:r>
    </w:p>
    <w:p w:rsidR="00150719" w14:paraId="715D52A2" w14:textId="77777777">
      <w:pPr>
        <w:jc w:val="center"/>
        <w:rPr>
          <w:rFonts w:ascii="Courier New" w:eastAsia="Courier New" w:hAnsi="Courier New" w:cs="Courier New"/>
          <w:b/>
          <w:color w:val="0000FF"/>
          <w:u w:val="single"/>
        </w:rPr>
      </w:pPr>
      <w:r>
        <w:rPr>
          <w:rFonts w:ascii="Courier New" w:eastAsia="Courier New" w:hAnsi="Courier New" w:cs="Courier New"/>
          <w:b/>
        </w:rPr>
        <w:t>OMB Control No. 9000-0157</w:t>
      </w:r>
    </w:p>
    <w:p w:rsidR="00150719" w14:paraId="2437F6D5" w14:textId="77777777">
      <w:pPr>
        <w:jc w:val="center"/>
        <w:rPr>
          <w:rFonts w:ascii="Courier New" w:eastAsia="Courier New" w:hAnsi="Courier New" w:cs="Courier New"/>
        </w:rPr>
      </w:pPr>
      <w:r>
        <w:rPr>
          <w:rFonts w:ascii="Courier New" w:eastAsia="Courier New" w:hAnsi="Courier New" w:cs="Courier New"/>
          <w:b/>
        </w:rPr>
        <w:t>Justification – Part A Supporting Statement</w:t>
      </w:r>
    </w:p>
    <w:p w:rsidR="00150719" w14:paraId="1205051A" w14:textId="77777777">
      <w:pPr>
        <w:rPr>
          <w:rFonts w:ascii="Courier New" w:eastAsia="Courier New" w:hAnsi="Courier New" w:cs="Courier New"/>
        </w:rPr>
      </w:pPr>
    </w:p>
    <w:p w:rsidR="00150719" w14:paraId="65A16101" w14:textId="77777777">
      <w:pPr>
        <w:rPr>
          <w:rFonts w:ascii="Courier New" w:eastAsia="Courier New" w:hAnsi="Courier New" w:cs="Courier New"/>
        </w:rPr>
      </w:pPr>
      <w:r>
        <w:rPr>
          <w:rFonts w:ascii="Courier New" w:eastAsia="Courier New" w:hAnsi="Courier New" w:cs="Courier New"/>
          <w:b/>
        </w:rPr>
        <w:t>FAR section affected:  SF 330</w:t>
      </w:r>
    </w:p>
    <w:p w:rsidR="00150719" w14:paraId="7B1343CB" w14:textId="77777777">
      <w:pPr>
        <w:widowControl w:val="0"/>
        <w:rPr>
          <w:rFonts w:ascii="Courier New" w:eastAsia="Courier New" w:hAnsi="Courier New" w:cs="Courier New"/>
          <w:u w:val="single"/>
        </w:rPr>
      </w:pPr>
    </w:p>
    <w:p w:rsidR="00150719" w14:paraId="2D1CBA2F" w14:textId="77777777">
      <w:pPr>
        <w:widowControl w:val="0"/>
        <w:rPr>
          <w:rFonts w:ascii="Courier New" w:eastAsia="Courier New" w:hAnsi="Courier New" w:cs="Courier New"/>
        </w:rPr>
      </w:pPr>
      <w:r>
        <w:rPr>
          <w:rFonts w:ascii="Courier New" w:eastAsia="Courier New" w:hAnsi="Courier New" w:cs="Courier New"/>
          <w:u w:val="single"/>
        </w:rPr>
        <w:t>Overview of Information Collection:</w:t>
      </w:r>
    </w:p>
    <w:p w:rsidR="00150719" w14:paraId="421F653B" w14:textId="77777777">
      <w:pPr>
        <w:widowControl w:val="0"/>
        <w:numPr>
          <w:ilvl w:val="0"/>
          <w:numId w:val="6"/>
        </w:numPr>
        <w:tabs>
          <w:tab w:val="left" w:pos="820"/>
          <w:tab w:val="left" w:pos="821"/>
        </w:tabs>
        <w:ind w:right="195"/>
      </w:pPr>
      <w:r>
        <w:rPr>
          <w:rFonts w:ascii="Courier New" w:eastAsia="Courier New" w:hAnsi="Courier New" w:cs="Courier New"/>
        </w:rPr>
        <w:t>This justification supports clearance of an extension of the collection.</w:t>
      </w:r>
    </w:p>
    <w:p w:rsidR="00150719" w14:paraId="497B5F33" w14:textId="77777777">
      <w:pPr>
        <w:widowControl w:val="0"/>
        <w:tabs>
          <w:tab w:val="left" w:pos="820"/>
          <w:tab w:val="left" w:pos="821"/>
        </w:tabs>
        <w:ind w:left="360" w:right="195"/>
        <w:rPr>
          <w:rFonts w:ascii="Courier New" w:eastAsia="Courier New" w:hAnsi="Courier New" w:cs="Courier New"/>
        </w:rPr>
      </w:pPr>
    </w:p>
    <w:p w:rsidR="00150719" w14:paraId="1D000E68" w14:textId="77777777">
      <w:pPr>
        <w:widowControl w:val="0"/>
        <w:tabs>
          <w:tab w:val="left" w:pos="820"/>
          <w:tab w:val="left" w:pos="821"/>
        </w:tabs>
        <w:ind w:left="360" w:right="195"/>
        <w:rPr>
          <w:rFonts w:ascii="Courier New" w:eastAsia="Courier New" w:hAnsi="Courier New" w:cs="Courier New"/>
        </w:rPr>
      </w:pPr>
      <w:r>
        <w:rPr>
          <w:rFonts w:ascii="Courier New" w:eastAsia="Courier New" w:hAnsi="Courier New" w:cs="Courier New"/>
        </w:rPr>
        <w:t>There are no program changes. The FAR requirements remain the same. This extension includes adjustments to the burden due to use of the latest Federal Procurement Data System (FPDS) data available, and the calendar year 2023 OPM GS wage rates for the rest of the United States as explained in item 15.</w:t>
      </w:r>
    </w:p>
    <w:p w:rsidR="00150719" w14:paraId="26356E52" w14:textId="77777777">
      <w:pPr>
        <w:widowControl w:val="0"/>
        <w:tabs>
          <w:tab w:val="left" w:pos="820"/>
          <w:tab w:val="left" w:pos="821"/>
        </w:tabs>
        <w:ind w:right="195"/>
        <w:rPr>
          <w:rFonts w:ascii="Courier New" w:eastAsia="Courier New" w:hAnsi="Courier New" w:cs="Courier New"/>
        </w:rPr>
      </w:pPr>
    </w:p>
    <w:p w:rsidR="00150719" w14:paraId="6AD5FEA7" w14:textId="77777777">
      <w:pPr>
        <w:widowControl w:val="0"/>
        <w:numPr>
          <w:ilvl w:val="0"/>
          <w:numId w:val="5"/>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Need &amp; Method for the Information Collection.</w:t>
      </w:r>
      <w:r>
        <w:rPr>
          <w:rFonts w:ascii="Courier New" w:eastAsia="Courier New" w:hAnsi="Courier New" w:cs="Courier New"/>
        </w:rPr>
        <w:t xml:space="preserve"> This clearance covers the information that offerors must submit to comply with the following FAR requirements:</w:t>
      </w:r>
    </w:p>
    <w:p w:rsidR="00150719" w14:paraId="2E9735B8" w14:textId="77777777">
      <w:pPr>
        <w:tabs>
          <w:tab w:val="left" w:pos="0"/>
          <w:tab w:val="left" w:pos="630"/>
          <w:tab w:val="left" w:pos="1680"/>
          <w:tab w:val="left" w:pos="2240"/>
        </w:tabs>
        <w:spacing w:before="240"/>
        <w:rPr>
          <w:rFonts w:ascii="Courier New" w:eastAsia="Courier New" w:hAnsi="Courier New" w:cs="Courier New"/>
        </w:rPr>
      </w:pPr>
      <w:r>
        <w:rPr>
          <w:rFonts w:ascii="Courier New" w:eastAsia="Courier New" w:hAnsi="Courier New" w:cs="Courier New"/>
          <w:b/>
        </w:rPr>
        <w:t xml:space="preserve">Standard Form (SF) 330, Architect-Engineer Qualifications. </w:t>
      </w:r>
      <w:r>
        <w:rPr>
          <w:rFonts w:ascii="Courier New" w:eastAsia="Courier New" w:hAnsi="Courier New" w:cs="Courier New"/>
        </w:rPr>
        <w:t xml:space="preserve">As specified in FAR 36.702(b), an architect-engineer firm must provide information about its qualifications for a specific contract when the contract amount is expected to exceed the simplified acquisition threshold (SAT). </w:t>
      </w:r>
    </w:p>
    <w:p w:rsidR="00150719" w14:paraId="79F4A0CB" w14:textId="77777777">
      <w:pPr>
        <w:tabs>
          <w:tab w:val="left" w:pos="0"/>
          <w:tab w:val="left" w:pos="630"/>
          <w:tab w:val="left" w:pos="1680"/>
          <w:tab w:val="left" w:pos="2240"/>
        </w:tabs>
        <w:spacing w:before="240"/>
        <w:rPr>
          <w:rFonts w:ascii="Courier New" w:eastAsia="Courier New" w:hAnsi="Courier New" w:cs="Courier New"/>
        </w:rPr>
      </w:pPr>
      <w:r>
        <w:rPr>
          <w:rFonts w:ascii="Courier New" w:eastAsia="Courier New" w:hAnsi="Courier New" w:cs="Courier New"/>
        </w:rPr>
        <w:tab/>
        <w:t>Part I—Contract-Specific Qualifications. The information on the form is reviewed by a selection panel composed of professionals and assists the panel in selecting the most qualified architect-engineer firm to perform the specific project. The form is designed to provide a uniform method for architect-engineer firms to submit information on experience, personnel, and capabilities of the architect-engineer firm to perform along with information on the consultants they expect to collaborate with on the specif</w:t>
      </w:r>
      <w:r>
        <w:rPr>
          <w:rFonts w:ascii="Courier New" w:eastAsia="Courier New" w:hAnsi="Courier New" w:cs="Courier New"/>
        </w:rPr>
        <w:t>ic project. Part I of the SF 330 may be used when the contract amount is expected to be at or below the SAT, if the contracting officer determines that its use is appropriate.</w:t>
      </w:r>
    </w:p>
    <w:p w:rsidR="00150719" w14:paraId="38C97A7E" w14:textId="77777777">
      <w:pPr>
        <w:tabs>
          <w:tab w:val="left" w:pos="0"/>
          <w:tab w:val="left" w:pos="630"/>
          <w:tab w:val="left" w:pos="1680"/>
          <w:tab w:val="left" w:pos="2240"/>
        </w:tabs>
        <w:spacing w:before="240"/>
        <w:rPr>
          <w:rFonts w:ascii="Courier New" w:eastAsia="Courier New" w:hAnsi="Courier New" w:cs="Courier New"/>
        </w:rPr>
      </w:pPr>
      <w:r>
        <w:rPr>
          <w:rFonts w:ascii="Courier New" w:eastAsia="Courier New" w:hAnsi="Courier New" w:cs="Courier New"/>
        </w:rPr>
        <w:tab/>
        <w:t>Part II—General Qualifications. The information obtained on this form is used to determine if a firm should be solicited for architect-engineer projects. Architect-engineer firms are encouraged to update the form annually. Part II of the SF 330 is used to obtain information from an architect-engineer firm about its general professional qualifications.</w:t>
      </w:r>
    </w:p>
    <w:p w:rsidR="00150719" w14:paraId="246CF9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rPr>
      </w:pPr>
    </w:p>
    <w:p w:rsidR="00150719" w14:paraId="03A234E3" w14:textId="77777777">
      <w:pPr>
        <w:widowControl w:val="0"/>
        <w:rPr>
          <w:rFonts w:ascii="Courier New" w:eastAsia="Courier New" w:hAnsi="Courier New" w:cs="Courier New"/>
          <w:strike/>
        </w:rPr>
      </w:pPr>
      <w:r>
        <w:rPr>
          <w:rFonts w:ascii="Courier New" w:eastAsia="Courier New" w:hAnsi="Courier New" w:cs="Courier New"/>
        </w:rPr>
        <w:t>The</w:t>
      </w:r>
      <w:r>
        <w:rPr>
          <w:rFonts w:ascii="Courier New" w:eastAsia="Courier New" w:hAnsi="Courier New" w:cs="Courier New"/>
          <w:b/>
        </w:rPr>
        <w:t xml:space="preserve"> </w:t>
      </w:r>
      <w:r>
        <w:rPr>
          <w:rFonts w:ascii="Courier New" w:eastAsia="Courier New" w:hAnsi="Courier New" w:cs="Courier New"/>
        </w:rPr>
        <w:t>SF 330 accomplishes the following:</w:t>
      </w:r>
    </w:p>
    <w:p w:rsidR="00150719" w14:paraId="00D3A3E3" w14:textId="77777777">
      <w:pPr>
        <w:widowControl w:val="0"/>
        <w:numPr>
          <w:ilvl w:val="0"/>
          <w:numId w:val="3"/>
        </w:numPr>
        <w:ind w:left="720"/>
        <w:rPr>
          <w:rFonts w:ascii="Courier New" w:eastAsia="Courier New" w:hAnsi="Courier New" w:cs="Courier New"/>
        </w:rPr>
      </w:pPr>
      <w:r>
        <w:rPr>
          <w:rFonts w:ascii="Courier New" w:eastAsia="Courier New" w:hAnsi="Courier New" w:cs="Courier New"/>
        </w:rPr>
        <w:t>Expands essential information about qualifications and experience data including:</w:t>
      </w:r>
      <w:r>
        <w:rPr>
          <w:rFonts w:ascii="Courier New" w:eastAsia="Courier New" w:hAnsi="Courier New" w:cs="Courier New"/>
          <w:strike/>
        </w:rPr>
        <w:t xml:space="preserve"> </w:t>
      </w:r>
    </w:p>
    <w:p w:rsidR="00150719" w14:paraId="5242F083" w14:textId="77777777">
      <w:pPr>
        <w:widowControl w:val="0"/>
        <w:numPr>
          <w:ilvl w:val="0"/>
          <w:numId w:val="7"/>
        </w:numPr>
      </w:pPr>
      <w:r>
        <w:rPr>
          <w:rFonts w:ascii="Courier New" w:eastAsia="Courier New" w:hAnsi="Courier New" w:cs="Courier New"/>
        </w:rPr>
        <w:t>An organizational chart of all participating firms and key personnel.</w:t>
      </w:r>
    </w:p>
    <w:p w:rsidR="00150719" w14:paraId="6D11C281" w14:textId="77777777">
      <w:pPr>
        <w:widowControl w:val="0"/>
        <w:numPr>
          <w:ilvl w:val="0"/>
          <w:numId w:val="7"/>
        </w:numPr>
      </w:pPr>
      <w:r>
        <w:rPr>
          <w:rFonts w:ascii="Courier New" w:eastAsia="Courier New" w:hAnsi="Courier New" w:cs="Courier New"/>
        </w:rPr>
        <w:t>For all key personnel, a description of their experience in 5 relevant projects.</w:t>
      </w:r>
    </w:p>
    <w:p w:rsidR="00150719" w14:paraId="5D5FD043" w14:textId="77777777">
      <w:pPr>
        <w:widowControl w:val="0"/>
        <w:numPr>
          <w:ilvl w:val="0"/>
          <w:numId w:val="7"/>
        </w:numPr>
      </w:pPr>
      <w:r>
        <w:rPr>
          <w:rFonts w:ascii="Courier New" w:eastAsia="Courier New" w:hAnsi="Courier New" w:cs="Courier New"/>
        </w:rPr>
        <w:t>A description of each example project performed by the project team (or some elements of the project team) and its relevance to the agency’s proposed contract.</w:t>
      </w:r>
    </w:p>
    <w:p w:rsidR="00150719" w14:paraId="3FC58EDB" w14:textId="77777777">
      <w:pPr>
        <w:widowControl w:val="0"/>
        <w:numPr>
          <w:ilvl w:val="0"/>
          <w:numId w:val="7"/>
        </w:numPr>
      </w:pPr>
      <w:r>
        <w:rPr>
          <w:rFonts w:ascii="Courier New" w:eastAsia="Courier New" w:hAnsi="Courier New" w:cs="Courier New"/>
        </w:rPr>
        <w:t>A matrix of key personnel who participated in the example projects. This matrix graphically illustrates the degree to which the proposed key personnel have worked together before on similar projects.</w:t>
      </w:r>
    </w:p>
    <w:p w:rsidR="00150719" w14:paraId="19062C58" w14:textId="77777777">
      <w:pPr>
        <w:widowControl w:val="0"/>
        <w:numPr>
          <w:ilvl w:val="0"/>
          <w:numId w:val="8"/>
        </w:numPr>
        <w:ind w:left="720"/>
      </w:pPr>
      <w:r>
        <w:rPr>
          <w:rFonts w:ascii="Courier New" w:eastAsia="Courier New" w:hAnsi="Courier New" w:cs="Courier New"/>
        </w:rPr>
        <w:t xml:space="preserve">Reflects current architect-engineer disciplines, experience types and technology. </w:t>
      </w:r>
    </w:p>
    <w:p w:rsidR="00150719" w14:paraId="1CDFFC12" w14:textId="77777777">
      <w:pPr>
        <w:widowControl w:val="0"/>
        <w:numPr>
          <w:ilvl w:val="0"/>
          <w:numId w:val="4"/>
        </w:numPr>
        <w:tabs>
          <w:tab w:val="left" w:pos="360"/>
          <w:tab w:val="left" w:pos="720"/>
        </w:tabs>
        <w:ind w:left="720"/>
      </w:pPr>
      <w:r>
        <w:rPr>
          <w:rFonts w:ascii="Courier New" w:eastAsia="Courier New" w:hAnsi="Courier New" w:cs="Courier New"/>
        </w:rPr>
        <w:t>Permits limited submission length thereby reducing costs for both the architect-engineer industry and the Government. Lengthy submissions do not necessarily lead to a better decision on the best-qualified firm. The proposed SF 330 indicates that agencies may limit the length of a firm's submissions, either certain sections or the entire package. The Government’s right to impose such limitations was established in case law (</w:t>
      </w:r>
      <w:r>
        <w:rPr>
          <w:rFonts w:ascii="Courier New" w:eastAsia="Courier New" w:hAnsi="Courier New" w:cs="Courier New"/>
          <w:u w:val="single"/>
        </w:rPr>
        <w:t>Coffman Specialties, Inc</w:t>
      </w:r>
      <w:r>
        <w:rPr>
          <w:rFonts w:ascii="Courier New" w:eastAsia="Courier New" w:hAnsi="Courier New" w:cs="Courier New"/>
        </w:rPr>
        <w:t xml:space="preserve">., B-284546. N-284546/2, 2000 </w:t>
      </w:r>
      <w:r>
        <w:rPr>
          <w:rFonts w:ascii="Courier New" w:eastAsia="Courier New" w:hAnsi="Courier New" w:cs="Courier New"/>
        </w:rPr>
        <w:t>U.</w:t>
      </w:r>
      <w:r>
        <w:rPr>
          <w:rFonts w:ascii="Courier New" w:eastAsia="Courier New" w:hAnsi="Courier New" w:cs="Courier New"/>
        </w:rPr>
        <w:t>S.Comp.Gen</w:t>
      </w:r>
      <w:r>
        <w:rPr>
          <w:rFonts w:ascii="Courier New" w:eastAsia="Courier New" w:hAnsi="Courier New" w:cs="Courier New"/>
        </w:rPr>
        <w:t>.LEXIS</w:t>
      </w:r>
      <w:r>
        <w:rPr>
          <w:rFonts w:ascii="Courier New" w:eastAsia="Courier New" w:hAnsi="Courier New" w:cs="Courier New"/>
        </w:rPr>
        <w:t xml:space="preserve"> 58, May 10, 2000).</w:t>
      </w:r>
    </w:p>
    <w:p w:rsidR="00150719" w14:paraId="57D5F8AF" w14:textId="77777777">
      <w:pPr>
        <w:rPr>
          <w:rFonts w:ascii="Courier New" w:eastAsia="Courier New" w:hAnsi="Courier New" w:cs="Courier New"/>
          <w:u w:val="single"/>
        </w:rPr>
      </w:pPr>
    </w:p>
    <w:p w:rsidR="00150719" w14:paraId="46B2299D" w14:textId="77777777">
      <w:pPr>
        <w:widowControl w:val="0"/>
        <w:numPr>
          <w:ilvl w:val="0"/>
          <w:numId w:val="5"/>
        </w:numPr>
        <w:tabs>
          <w:tab w:val="left" w:pos="360"/>
          <w:tab w:val="left" w:pos="630"/>
          <w:tab w:val="left" w:pos="720"/>
          <w:tab w:val="left" w:pos="1080"/>
        </w:tabs>
        <w:rPr>
          <w:rFonts w:ascii="Courier New" w:eastAsia="Courier New" w:hAnsi="Courier New" w:cs="Courier New"/>
        </w:rPr>
      </w:pPr>
      <w:r>
        <w:rPr>
          <w:rFonts w:ascii="Courier New" w:eastAsia="Courier New" w:hAnsi="Courier New" w:cs="Courier New"/>
          <w:u w:val="single"/>
        </w:rPr>
        <w:t>Use of the Information.</w:t>
      </w:r>
      <w:r>
        <w:rPr>
          <w:rFonts w:ascii="Courier New" w:eastAsia="Courier New" w:hAnsi="Courier New" w:cs="Courier New"/>
        </w:rPr>
        <w:t xml:space="preserve"> The contracting officer uses the information provided on the SF 330 to evaluate firms to select an architect-engineer firm for a contract.</w:t>
      </w:r>
    </w:p>
    <w:p w:rsidR="00150719" w14:paraId="3BF35649" w14:textId="77777777">
      <w:pPr>
        <w:rPr>
          <w:rFonts w:ascii="Courier New" w:eastAsia="Courier New" w:hAnsi="Courier New" w:cs="Courier New"/>
          <w:u w:val="single"/>
        </w:rPr>
      </w:pPr>
      <w:r>
        <w:rPr>
          <w:rFonts w:ascii="Courier New" w:eastAsia="Courier New" w:hAnsi="Courier New" w:cs="Courier New"/>
        </w:rPr>
        <w:t> </w:t>
      </w:r>
    </w:p>
    <w:p w:rsidR="00150719" w14:paraId="0141F7BB"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Use of Information Technology.</w:t>
      </w:r>
      <w:r>
        <w:rPr>
          <w:rFonts w:ascii="Courier New" w:eastAsia="Courier New" w:hAnsi="Courier New" w:cs="Courier New"/>
        </w:rPr>
        <w:t xml:space="preserve"> Federal agencies use information technology to the maximum extent practicable. Where both the Government agency and contractors are capable of electronic interchange, the offerors may submit this information collection requirement electronically.</w:t>
      </w:r>
    </w:p>
    <w:p w:rsidR="00150719" w14:paraId="5AC95FCE" w14:textId="77777777">
      <w:pPr>
        <w:widowControl w:val="0"/>
        <w:tabs>
          <w:tab w:val="left" w:pos="360"/>
          <w:tab w:val="left" w:pos="720"/>
          <w:tab w:val="left" w:pos="1080"/>
        </w:tabs>
        <w:rPr>
          <w:rFonts w:ascii="Courier New" w:eastAsia="Courier New" w:hAnsi="Courier New" w:cs="Courier New"/>
        </w:rPr>
      </w:pPr>
    </w:p>
    <w:p w:rsidR="00150719" w14:paraId="7A6D3561"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Non-duplication.</w:t>
      </w:r>
      <w:r>
        <w:rPr>
          <w:rFonts w:ascii="Courier New" w:eastAsia="Courier New" w:hAnsi="Courier New" w:cs="Courier New"/>
        </w:rPr>
        <w:t xml:space="preserve"> These requirements are issued under the FAR, which has been developed to standardize Federal procurement practices and eliminate unnecessary duplication.</w:t>
      </w:r>
    </w:p>
    <w:p w:rsidR="00150719" w14:paraId="4AA5C3D9" w14:textId="77777777">
      <w:pPr>
        <w:widowControl w:val="0"/>
        <w:tabs>
          <w:tab w:val="left" w:pos="360"/>
          <w:tab w:val="left" w:pos="720"/>
          <w:tab w:val="left" w:pos="1080"/>
          <w:tab w:val="left" w:pos="1440"/>
        </w:tabs>
        <w:rPr>
          <w:rFonts w:ascii="Courier New" w:eastAsia="Courier New" w:hAnsi="Courier New" w:cs="Courier New"/>
        </w:rPr>
      </w:pPr>
    </w:p>
    <w:p w:rsidR="00150719" w14:paraId="54572E2D"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on Small Business.</w:t>
      </w:r>
      <w:r>
        <w:rPr>
          <w:rFonts w:ascii="Courier New" w:eastAsia="Courier New" w:hAnsi="Courier New" w:cs="Courier New"/>
        </w:rPr>
        <w:t xml:space="preserve"> The burden applied to small businesses is the minimum consistent with applicable laws, Executive orders, regulations, and prudent business practices.</w:t>
      </w:r>
    </w:p>
    <w:p w:rsidR="00150719" w14:paraId="2F936617" w14:textId="77777777">
      <w:pPr>
        <w:widowControl w:val="0"/>
        <w:tabs>
          <w:tab w:val="left" w:pos="360"/>
          <w:tab w:val="left" w:pos="720"/>
          <w:tab w:val="left" w:pos="1080"/>
          <w:tab w:val="left" w:pos="1440"/>
        </w:tabs>
        <w:ind w:left="360"/>
        <w:rPr>
          <w:rFonts w:ascii="Courier New" w:eastAsia="Courier New" w:hAnsi="Courier New" w:cs="Courier New"/>
        </w:rPr>
      </w:pPr>
    </w:p>
    <w:p w:rsidR="00150719" w14:paraId="44C04FDB"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Less Frequent Collection.</w:t>
      </w:r>
      <w:r>
        <w:rPr>
          <w:rFonts w:ascii="Courier New" w:eastAsia="Courier New" w:hAnsi="Courier New" w:cs="Courier New"/>
        </w:rPr>
        <w:t xml:space="preserve"> Collection of information on a basis </w:t>
      </w:r>
      <w:r>
        <w:rPr>
          <w:rFonts w:ascii="Courier New" w:eastAsia="Courier New" w:hAnsi="Courier New" w:cs="Courier New"/>
        </w:rPr>
        <w:t>other than solicitation-by-solicitation is not practical.</w:t>
      </w:r>
    </w:p>
    <w:p w:rsidR="00150719" w14:paraId="20C453AF" w14:textId="77777777">
      <w:pPr>
        <w:rPr>
          <w:rFonts w:ascii="Courier New" w:eastAsia="Courier New" w:hAnsi="Courier New" w:cs="Courier New"/>
        </w:rPr>
      </w:pPr>
    </w:p>
    <w:p w:rsidR="00150719" w14:paraId="26CB3339"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Paperwork Reduction Act Guidelines.</w:t>
      </w:r>
      <w:r>
        <w:rPr>
          <w:rFonts w:ascii="Courier New" w:eastAsia="Courier New" w:hAnsi="Courier New" w:cs="Courier New"/>
        </w:rPr>
        <w:t xml:space="preserve"> Collection is consistent with guidelines in 5 CFR 1320.5(d)(2).</w:t>
      </w:r>
    </w:p>
    <w:p w:rsidR="00150719" w14:paraId="5C78D298" w14:textId="77777777">
      <w:pPr>
        <w:widowControl w:val="0"/>
        <w:tabs>
          <w:tab w:val="left" w:pos="360"/>
          <w:tab w:val="left" w:pos="720"/>
          <w:tab w:val="left" w:pos="1080"/>
          <w:tab w:val="left" w:pos="1440"/>
        </w:tabs>
        <w:ind w:left="-360"/>
        <w:rPr>
          <w:rFonts w:ascii="Courier New" w:eastAsia="Courier New" w:hAnsi="Courier New" w:cs="Courier New"/>
        </w:rPr>
      </w:pPr>
    </w:p>
    <w:p w:rsidR="00150719" w14:paraId="2233F699" w14:textId="77777777">
      <w:pPr>
        <w:widowControl w:val="0"/>
        <w:numPr>
          <w:ilvl w:val="0"/>
          <w:numId w:val="5"/>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u w:val="single"/>
        </w:rPr>
        <w:t>Consultation and Public Comments.</w:t>
      </w:r>
      <w:r>
        <w:rPr>
          <w:rFonts w:ascii="Courier New" w:eastAsia="Courier New" w:hAnsi="Courier New" w:cs="Courier New"/>
        </w:rPr>
        <w:t xml:space="preserve"> </w:t>
      </w:r>
    </w:p>
    <w:p w:rsidR="00150719" w14:paraId="3E881C35" w14:textId="77777777">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60-day notice was published in the </w:t>
      </w:r>
      <w:r>
        <w:rPr>
          <w:rFonts w:ascii="Courier New" w:eastAsia="Courier New" w:hAnsi="Courier New" w:cs="Courier New"/>
          <w:i/>
        </w:rPr>
        <w:t>Federal Register</w:t>
      </w:r>
      <w:r>
        <w:rPr>
          <w:rFonts w:ascii="Courier New" w:eastAsia="Courier New" w:hAnsi="Courier New" w:cs="Courier New"/>
        </w:rPr>
        <w:t xml:space="preserve"> at 88 FR 60209, on August 31, 2023. Two identical comments were received in Regulations.gov but not posted to be publicly viewable because they were not relevant or responsive to the request for comments. The identical comments seem to be unsolicited bulk email.</w:t>
      </w:r>
    </w:p>
    <w:p w:rsidR="00150719" w14:paraId="06AEE1D1" w14:textId="77777777">
      <w:pPr>
        <w:widowControl w:val="0"/>
        <w:tabs>
          <w:tab w:val="left" w:pos="360"/>
          <w:tab w:val="left" w:pos="720"/>
          <w:tab w:val="left" w:pos="1080"/>
          <w:tab w:val="left" w:pos="1440"/>
        </w:tabs>
        <w:ind w:left="720" w:right="183"/>
        <w:rPr>
          <w:rFonts w:ascii="Courier New" w:eastAsia="Courier New" w:hAnsi="Courier New" w:cs="Courier New"/>
        </w:rPr>
      </w:pPr>
    </w:p>
    <w:p w:rsidR="00150719" w14:paraId="7E19CA1E" w14:textId="379D483A">
      <w:pPr>
        <w:widowControl w:val="0"/>
        <w:numPr>
          <w:ilvl w:val="0"/>
          <w:numId w:val="2"/>
        </w:numPr>
        <w:tabs>
          <w:tab w:val="left" w:pos="360"/>
          <w:tab w:val="left" w:pos="720"/>
          <w:tab w:val="left" w:pos="1080"/>
          <w:tab w:val="left" w:pos="1440"/>
        </w:tabs>
        <w:ind w:right="183"/>
        <w:rPr>
          <w:rFonts w:ascii="Courier New" w:eastAsia="Courier New" w:hAnsi="Courier New" w:cs="Courier New"/>
        </w:rPr>
      </w:pPr>
      <w:r>
        <w:rPr>
          <w:rFonts w:ascii="Courier New" w:eastAsia="Courier New" w:hAnsi="Courier New" w:cs="Courier New"/>
        </w:rPr>
        <w:t xml:space="preserve">A 30-day notice was published in the </w:t>
      </w:r>
      <w:r>
        <w:rPr>
          <w:rFonts w:ascii="Courier New" w:eastAsia="Courier New" w:hAnsi="Courier New" w:cs="Courier New"/>
          <w:i/>
        </w:rPr>
        <w:t>Federal Register</w:t>
      </w:r>
      <w:r>
        <w:rPr>
          <w:rFonts w:ascii="Courier New" w:eastAsia="Courier New" w:hAnsi="Courier New" w:cs="Courier New"/>
        </w:rPr>
        <w:t xml:space="preserve"> at </w:t>
      </w:r>
      <w:r w:rsidRPr="00240D60">
        <w:rPr>
          <w:rFonts w:ascii="Courier New" w:eastAsia="Courier New" w:hAnsi="Courier New" w:cs="Courier New"/>
        </w:rPr>
        <w:t>87</w:t>
      </w:r>
      <w:r w:rsidRPr="00240D60">
        <w:rPr>
          <w:rFonts w:ascii="Courier New" w:eastAsia="Courier New" w:hAnsi="Courier New" w:cs="Courier New"/>
        </w:rPr>
        <w:t xml:space="preserve"> FR 78037 on November 14, 2023.</w:t>
      </w:r>
    </w:p>
    <w:p w:rsidR="00150719" w14:paraId="3E6BCDC5" w14:textId="77777777">
      <w:pPr>
        <w:widowControl w:val="0"/>
        <w:tabs>
          <w:tab w:val="left" w:pos="360"/>
          <w:tab w:val="left" w:pos="720"/>
          <w:tab w:val="left" w:pos="1080"/>
          <w:tab w:val="left" w:pos="1440"/>
        </w:tabs>
        <w:rPr>
          <w:rFonts w:ascii="Courier New" w:eastAsia="Courier New" w:hAnsi="Courier New" w:cs="Courier New"/>
        </w:rPr>
      </w:pPr>
    </w:p>
    <w:p w:rsidR="00150719" w14:paraId="48C1D58F"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Gifts or Payment.</w:t>
      </w:r>
      <w:r>
        <w:rPr>
          <w:rFonts w:ascii="Courier New" w:eastAsia="Courier New" w:hAnsi="Courier New" w:cs="Courier New"/>
        </w:rPr>
        <w:t xml:space="preserve"> This collection does not provide any payment or gift to respondents, other than remuneration of contractors.</w:t>
      </w:r>
    </w:p>
    <w:p w:rsidR="00150719" w14:paraId="4F2AA45E" w14:textId="77777777">
      <w:pPr>
        <w:widowControl w:val="0"/>
        <w:tabs>
          <w:tab w:val="left" w:pos="360"/>
          <w:tab w:val="left" w:pos="720"/>
          <w:tab w:val="left" w:pos="820"/>
          <w:tab w:val="left" w:pos="821"/>
          <w:tab w:val="left" w:pos="1080"/>
          <w:tab w:val="left" w:pos="1440"/>
        </w:tabs>
        <w:ind w:left="720" w:right="183"/>
        <w:rPr>
          <w:rFonts w:ascii="Courier New" w:eastAsia="Courier New" w:hAnsi="Courier New" w:cs="Courier New"/>
          <w:color w:val="0000FF"/>
        </w:rPr>
      </w:pPr>
    </w:p>
    <w:p w:rsidR="00150719" w14:paraId="31F086B0"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Privacy &amp; Confidentiality.</w:t>
      </w:r>
      <w:r>
        <w:rPr>
          <w:rFonts w:ascii="Courier New" w:eastAsia="Courier New" w:hAnsi="Courier New" w:cs="Courier New"/>
        </w:rPr>
        <w:t xml:space="preserve"> This information is disclosed only to the extent consistent with prudent business practices, current regulations, and statutory requirements.</w:t>
      </w:r>
    </w:p>
    <w:p w:rsidR="00150719" w14:paraId="736BCDEC" w14:textId="77777777">
      <w:pPr>
        <w:rPr>
          <w:rFonts w:ascii="Courier New" w:eastAsia="Courier New" w:hAnsi="Courier New" w:cs="Courier New"/>
        </w:rPr>
      </w:pPr>
    </w:p>
    <w:p w:rsidR="00150719" w14:paraId="09C7DB96"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Sensitive Questions.</w:t>
      </w:r>
      <w:r>
        <w:rPr>
          <w:rFonts w:ascii="Courier New" w:eastAsia="Courier New" w:hAnsi="Courier New" w:cs="Courier New"/>
        </w:rPr>
        <w:t xml:space="preserve"> No sensitive questions are involved.</w:t>
      </w:r>
    </w:p>
    <w:p w:rsidR="00150719" w14:paraId="533FBEEA" w14:textId="77777777">
      <w:pPr>
        <w:rPr>
          <w:rFonts w:ascii="Courier New" w:eastAsia="Courier New" w:hAnsi="Courier New" w:cs="Courier New"/>
        </w:rPr>
      </w:pPr>
    </w:p>
    <w:p w:rsidR="00150719" w14:paraId="4F8C0467" w14:textId="77777777">
      <w:pPr>
        <w:widowControl w:val="0"/>
        <w:numPr>
          <w:ilvl w:val="0"/>
          <w:numId w:val="5"/>
        </w:numPr>
        <w:tabs>
          <w:tab w:val="left" w:pos="360"/>
          <w:tab w:val="left" w:pos="720"/>
          <w:tab w:val="left" w:pos="1080"/>
          <w:tab w:val="left" w:pos="1440"/>
        </w:tabs>
        <w:rPr>
          <w:rFonts w:ascii="Courier New" w:eastAsia="Courier New" w:hAnsi="Courier New" w:cs="Courier New"/>
        </w:rPr>
      </w:pPr>
      <w:r>
        <w:rPr>
          <w:rFonts w:ascii="Courier New" w:eastAsia="Courier New" w:hAnsi="Courier New" w:cs="Courier New"/>
          <w:u w:val="single"/>
        </w:rPr>
        <w:t>Burden Estimate.</w:t>
      </w:r>
    </w:p>
    <w:p w:rsidR="00150719" w14:paraId="4991C4C0" w14:textId="77777777">
      <w:pPr>
        <w:ind w:right="-40"/>
        <w:jc w:val="center"/>
        <w:rPr>
          <w:rFonts w:ascii="Courier New" w:eastAsia="Courier New" w:hAnsi="Courier New" w:cs="Courier New"/>
        </w:rPr>
      </w:pPr>
      <w:r>
        <w:rPr>
          <w:rFonts w:ascii="Courier New" w:eastAsia="Courier New" w:hAnsi="Courier New" w:cs="Courier New"/>
          <w:b/>
        </w:rPr>
        <w:t>Estimated total annual public hour and cost burden</w:t>
      </w:r>
      <w:r>
        <w:rPr>
          <w:rFonts w:ascii="Courier New" w:eastAsia="Courier New" w:hAnsi="Courier New" w:cs="Courier New"/>
        </w:rPr>
        <w:t>.</w:t>
      </w:r>
    </w:p>
    <w:p w:rsidR="00150719" w14:paraId="7835D1B6" w14:textId="77777777">
      <w:pPr>
        <w:rPr>
          <w:rFonts w:ascii="Courier New" w:eastAsia="Courier New" w:hAnsi="Courier New" w:cs="Courier New"/>
        </w:rPr>
      </w:pPr>
      <w:r>
        <w:rPr>
          <w:rFonts w:ascii="Courier New" w:eastAsia="Courier New" w:hAnsi="Courier New" w:cs="Courier New"/>
        </w:rPr>
        <w:t>Subject matter experts have determined that the public reporting burden for this collection of information is estimated to average 29 hours (25 hours for Part I and 4 hours for Part II) per response, including the time for reading the instructions, gathering the facts, and answering the questions. Because of the tailoring required by the form for each project submittal, there are virtually no savings in burden hours by repeat submittals. The annual average number of new Architectural Services contracts (NAI</w:t>
      </w:r>
      <w:r>
        <w:rPr>
          <w:rFonts w:ascii="Courier New" w:eastAsia="Courier New" w:hAnsi="Courier New" w:cs="Courier New"/>
        </w:rPr>
        <w:t>CS code 541310) awarded in FPDS between fiscal years 2020 through 2022 was 682. The annual reporting burden is estimated as follows:</w:t>
      </w:r>
    </w:p>
    <w:p w:rsidR="00150719" w14:paraId="43BB3CC3" w14:textId="77777777">
      <w:pPr>
        <w:rPr>
          <w:rFonts w:ascii="Courier New" w:eastAsia="Courier New" w:hAnsi="Courier New" w:cs="Courier New"/>
        </w:rPr>
      </w:pPr>
    </w:p>
    <w:p w:rsidR="00150719" w14:paraId="0116D23F" w14:textId="77777777">
      <w:pPr>
        <w:rPr>
          <w:rFonts w:ascii="Courier New" w:eastAsia="Courier New" w:hAnsi="Courier New" w:cs="Courier New"/>
        </w:rPr>
      </w:pPr>
      <w:r>
        <w:rPr>
          <w:rFonts w:ascii="Courier New" w:eastAsia="Courier New" w:hAnsi="Courier New" w:cs="Courier New"/>
        </w:rPr>
        <w:t>Estimated number of respondents/yr...........  682</w:t>
      </w:r>
    </w:p>
    <w:p w:rsidR="00150719" w14:paraId="638C6059" w14:textId="77777777">
      <w:pPr>
        <w:ind w:right="-80"/>
        <w:rPr>
          <w:rFonts w:ascii="Courier New" w:eastAsia="Courier New" w:hAnsi="Courier New" w:cs="Courier New"/>
        </w:rPr>
      </w:pPr>
      <w:r>
        <w:rPr>
          <w:rFonts w:ascii="Courier New" w:eastAsia="Courier New" w:hAnsi="Courier New" w:cs="Courier New"/>
        </w:rPr>
        <w:t xml:space="preserve">Responses per respondent..................     </w:t>
      </w:r>
      <w:r>
        <w:rPr>
          <w:rFonts w:ascii="Courier New" w:eastAsia="Courier New" w:hAnsi="Courier New" w:cs="Courier New"/>
          <w:u w:val="single"/>
        </w:rPr>
        <w:t>x 4</w:t>
      </w:r>
    </w:p>
    <w:p w:rsidR="00150719" w14:paraId="1B592FA5" w14:textId="77777777">
      <w:pPr>
        <w:ind w:right="-80"/>
        <w:rPr>
          <w:rFonts w:ascii="Courier New" w:eastAsia="Courier New" w:hAnsi="Courier New" w:cs="Courier New"/>
        </w:rPr>
      </w:pPr>
      <w:r>
        <w:rPr>
          <w:rFonts w:ascii="Courier New" w:eastAsia="Courier New" w:hAnsi="Courier New" w:cs="Courier New"/>
        </w:rPr>
        <w:t>Total annual responses....................   2,728</w:t>
      </w:r>
    </w:p>
    <w:p w:rsidR="00150719" w14:paraId="47858ECE" w14:textId="77777777">
      <w:pPr>
        <w:rPr>
          <w:rFonts w:ascii="Courier New" w:eastAsia="Courier New" w:hAnsi="Courier New" w:cs="Courier New"/>
        </w:rPr>
      </w:pPr>
      <w:r>
        <w:rPr>
          <w:rFonts w:ascii="Courier New" w:eastAsia="Courier New" w:hAnsi="Courier New" w:cs="Courier New"/>
        </w:rPr>
        <w:t xml:space="preserve">Estimated </w:t>
      </w:r>
      <w:r>
        <w:rPr>
          <w:rFonts w:ascii="Courier New" w:eastAsia="Courier New" w:hAnsi="Courier New" w:cs="Courier New"/>
        </w:rPr>
        <w:t>hrs</w:t>
      </w:r>
      <w:r>
        <w:rPr>
          <w:rFonts w:ascii="Courier New" w:eastAsia="Courier New" w:hAnsi="Courier New" w:cs="Courier New"/>
        </w:rPr>
        <w:t xml:space="preserve">/response....................  </w:t>
      </w:r>
      <w:r>
        <w:rPr>
          <w:rFonts w:ascii="Courier New" w:eastAsia="Courier New" w:hAnsi="Courier New" w:cs="Courier New"/>
          <w:u w:val="single"/>
        </w:rPr>
        <w:t>x   29</w:t>
      </w:r>
    </w:p>
    <w:p w:rsidR="00150719" w14:paraId="69C441B6" w14:textId="77777777">
      <w:pPr>
        <w:rPr>
          <w:rFonts w:ascii="Courier New" w:eastAsia="Courier New" w:hAnsi="Courier New" w:cs="Courier New"/>
        </w:rPr>
      </w:pPr>
      <w:r>
        <w:rPr>
          <w:rFonts w:ascii="Courier New" w:eastAsia="Courier New" w:hAnsi="Courier New" w:cs="Courier New"/>
        </w:rPr>
        <w:t>Estimated annual burden hours...............</w:t>
      </w:r>
      <w:r>
        <w:rPr>
          <w:rFonts w:ascii="Courier New" w:eastAsia="Courier New" w:hAnsi="Courier New" w:cs="Courier New"/>
        </w:rPr>
        <w:t>79,112</w:t>
      </w:r>
    </w:p>
    <w:p w:rsidR="00150719" w14:paraId="2919CAE5" w14:textId="77777777">
      <w:pPr>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$79</w:t>
      </w:r>
    </w:p>
    <w:p w:rsidR="00150719" w14:paraId="5D897C9F" w14:textId="77777777">
      <w:pPr>
        <w:rPr>
          <w:rFonts w:ascii="Courier New" w:eastAsia="Courier New" w:hAnsi="Courier New" w:cs="Courier New"/>
        </w:rPr>
      </w:pPr>
      <w:r>
        <w:rPr>
          <w:rFonts w:ascii="Courier New" w:eastAsia="Courier New" w:hAnsi="Courier New" w:cs="Courier New"/>
        </w:rPr>
        <w:t>Estimated annual cost to the public</w:t>
      </w:r>
      <w:r>
        <w:rPr>
          <w:rFonts w:ascii="Courier New" w:eastAsia="Courier New" w:hAnsi="Courier New" w:cs="Courier New"/>
        </w:rPr>
        <w:t>.....</w:t>
      </w:r>
      <w:r>
        <w:rPr>
          <w:rFonts w:ascii="Courier New" w:eastAsia="Courier New" w:hAnsi="Courier New" w:cs="Courier New"/>
        </w:rPr>
        <w:t>$6,249,848</w:t>
      </w:r>
    </w:p>
    <w:p w:rsidR="00150719" w14:paraId="7E7EB9E6" w14:textId="77777777">
      <w:pPr>
        <w:rPr>
          <w:rFonts w:ascii="Courier New" w:eastAsia="Courier New" w:hAnsi="Courier New" w:cs="Courier New"/>
        </w:rPr>
      </w:pPr>
    </w:p>
    <w:p w:rsidR="00150719" w14:paraId="5EAE9A19" w14:textId="77777777">
      <w:pPr>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Fully burdened rate includes a 36.25 percent fringe factor (pursuant to the rate provided in OMB memorandum M-08-13 for use in public-private competition), and a 12 percent overhead rate (from A-76 revised supplemental handbook). Based on the Office of Personnel Management (OPM) 2023 General Schedule (GS) 13/step 5 salary for the rest of the United States ($53.49 per hour) plus the fringe factor and the overhead rate, rounded to the nearest whole dollar ($79).</w:t>
      </w:r>
    </w:p>
    <w:p w:rsidR="00150719" w14:paraId="6B5AA080" w14:textId="77777777">
      <w:pPr>
        <w:widowControl w:val="0"/>
        <w:tabs>
          <w:tab w:val="left" w:pos="360"/>
          <w:tab w:val="left" w:pos="720"/>
          <w:tab w:val="left" w:pos="1080"/>
          <w:tab w:val="left" w:pos="1440"/>
        </w:tabs>
        <w:rPr>
          <w:rFonts w:ascii="Courier New" w:eastAsia="Courier New" w:hAnsi="Courier New" w:cs="Courier New"/>
          <w:u w:val="single"/>
        </w:rPr>
      </w:pPr>
    </w:p>
    <w:p w:rsidR="00150719" w14:paraId="0ECC2C2A"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nonrecurring costs</w:t>
      </w:r>
      <w:r>
        <w:rPr>
          <w:rFonts w:ascii="Courier New" w:eastAsia="Courier New" w:hAnsi="Courier New" w:cs="Courier New"/>
        </w:rPr>
        <w:t>. Not applicable.</w:t>
      </w:r>
    </w:p>
    <w:p w:rsidR="00150719" w14:paraId="49C6FCD5" w14:textId="77777777">
      <w:pPr>
        <w:widowControl w:val="0"/>
        <w:tabs>
          <w:tab w:val="left" w:pos="360"/>
          <w:tab w:val="left" w:pos="720"/>
          <w:tab w:val="left" w:pos="1080"/>
        </w:tabs>
        <w:rPr>
          <w:rFonts w:ascii="Courier New" w:eastAsia="Courier New" w:hAnsi="Courier New" w:cs="Courier New"/>
        </w:rPr>
      </w:pPr>
    </w:p>
    <w:p w:rsidR="00150719" w14:paraId="71DE4C58"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Estimated cost to the Government</w:t>
      </w:r>
      <w:r>
        <w:rPr>
          <w:rFonts w:ascii="Courier New" w:eastAsia="Courier New" w:hAnsi="Courier New" w:cs="Courier New"/>
        </w:rPr>
        <w:t>. Time required to review information is estimated at 4 hours per response.</w:t>
      </w:r>
    </w:p>
    <w:p w:rsidR="00150719" w14:paraId="7823CB6B" w14:textId="77777777">
      <w:pPr>
        <w:rPr>
          <w:rFonts w:ascii="Courier New" w:eastAsia="Courier New" w:hAnsi="Courier New" w:cs="Courier New"/>
        </w:rPr>
      </w:pPr>
    </w:p>
    <w:p w:rsidR="00150719" w14:paraId="103FC707" w14:textId="77777777">
      <w:pPr>
        <w:rPr>
          <w:rFonts w:ascii="Courier New" w:eastAsia="Courier New" w:hAnsi="Courier New" w:cs="Courier New"/>
        </w:rPr>
      </w:pPr>
      <w:r>
        <w:rPr>
          <w:rFonts w:ascii="Courier New" w:eastAsia="Courier New" w:hAnsi="Courier New" w:cs="Courier New"/>
        </w:rPr>
        <w:t>Estimated responses/yr.......................2,728</w:t>
      </w:r>
    </w:p>
    <w:p w:rsidR="00150719" w14:paraId="79C31475" w14:textId="77777777">
      <w:pPr>
        <w:ind w:right="-80"/>
        <w:rPr>
          <w:rFonts w:ascii="Courier New" w:eastAsia="Courier New" w:hAnsi="Courier New" w:cs="Courier New"/>
        </w:rPr>
      </w:pPr>
      <w:r>
        <w:rPr>
          <w:rFonts w:ascii="Courier New" w:eastAsia="Courier New" w:hAnsi="Courier New" w:cs="Courier New"/>
        </w:rPr>
        <w:t>Reviewing time (</w:t>
      </w:r>
      <w:r>
        <w:rPr>
          <w:rFonts w:ascii="Courier New" w:eastAsia="Courier New" w:hAnsi="Courier New" w:cs="Courier New"/>
        </w:rPr>
        <w:t>hr</w:t>
      </w:r>
      <w:r>
        <w:rPr>
          <w:rFonts w:ascii="Courier New" w:eastAsia="Courier New" w:hAnsi="Courier New" w:cs="Courier New"/>
        </w:rPr>
        <w:t xml:space="preserve">)/response...............    </w:t>
      </w:r>
      <w:r>
        <w:rPr>
          <w:rFonts w:ascii="Courier New" w:eastAsia="Courier New" w:hAnsi="Courier New" w:cs="Courier New"/>
          <w:u w:val="single"/>
        </w:rPr>
        <w:t>x 4</w:t>
      </w:r>
    </w:p>
    <w:p w:rsidR="00150719" w14:paraId="4BF4C031" w14:textId="77777777">
      <w:pPr>
        <w:ind w:right="-80"/>
        <w:rPr>
          <w:rFonts w:ascii="Courier New" w:eastAsia="Courier New" w:hAnsi="Courier New" w:cs="Courier New"/>
        </w:rPr>
      </w:pPr>
      <w:r>
        <w:rPr>
          <w:rFonts w:ascii="Courier New" w:eastAsia="Courier New" w:hAnsi="Courier New" w:cs="Courier New"/>
        </w:rPr>
        <w:t>Review time /yr............................ 10,912</w:t>
      </w:r>
    </w:p>
    <w:p w:rsidR="00150719" w14:paraId="077E0307" w14:textId="77777777">
      <w:pPr>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$79</w:t>
      </w:r>
    </w:p>
    <w:p w:rsidR="00150719" w14:paraId="0846D440" w14:textId="77777777">
      <w:pPr>
        <w:rPr>
          <w:rFonts w:ascii="Courier New" w:eastAsia="Courier New" w:hAnsi="Courier New" w:cs="Courier New"/>
        </w:rPr>
      </w:pPr>
      <w:r>
        <w:rPr>
          <w:rFonts w:ascii="Courier New" w:eastAsia="Courier New" w:hAnsi="Courier New" w:cs="Courier New"/>
        </w:rPr>
        <w:t>Estimated annual cost to the Government...$</w:t>
      </w:r>
      <w:r>
        <w:rPr>
          <w:rFonts w:ascii="Courier New" w:eastAsia="Courier New" w:hAnsi="Courier New" w:cs="Courier New"/>
        </w:rPr>
        <w:t>862,048</w:t>
      </w:r>
    </w:p>
    <w:p w:rsidR="00150719" w14:paraId="20495147" w14:textId="77777777">
      <w:pPr>
        <w:rPr>
          <w:rFonts w:ascii="Courier New" w:eastAsia="Courier New" w:hAnsi="Courier New" w:cs="Courier New"/>
        </w:rPr>
      </w:pPr>
    </w:p>
    <w:p w:rsidR="00150719" w14:paraId="37BFC2D9"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Reasons for changes</w:t>
      </w:r>
      <w:r>
        <w:rPr>
          <w:rFonts w:ascii="Courier New" w:eastAsia="Courier New" w:hAnsi="Courier New" w:cs="Courier New"/>
        </w:rPr>
        <w:t>.</w:t>
      </w:r>
    </w:p>
    <w:p w:rsidR="00150719" w14:paraId="52A2BF32" w14:textId="77777777">
      <w:pPr>
        <w:ind w:right="-40"/>
        <w:rPr>
          <w:rFonts w:ascii="Courier New" w:eastAsia="Courier New" w:hAnsi="Courier New" w:cs="Courier New"/>
        </w:rPr>
      </w:pPr>
      <w:r>
        <w:rPr>
          <w:rFonts w:ascii="Courier New" w:eastAsia="Courier New" w:hAnsi="Courier New" w:cs="Courier New"/>
          <w:highlight w:val="white"/>
        </w:rPr>
        <w:t>There are no program changes. The FAR requirements remain the same. This extension includes adjustments to the public and Government burden estimates based on the following:</w:t>
      </w:r>
    </w:p>
    <w:p w:rsidR="00150719" w14:paraId="488DBC20" w14:textId="77777777">
      <w:pPr>
        <w:widowControl w:val="0"/>
        <w:numPr>
          <w:ilvl w:val="0"/>
          <w:numId w:val="1"/>
        </w:numPr>
        <w:ind w:right="-40"/>
        <w:rPr>
          <w:rFonts w:ascii="Courier New" w:eastAsia="Courier New" w:hAnsi="Courier New" w:cs="Courier New"/>
          <w:highlight w:val="white"/>
        </w:rPr>
      </w:pPr>
      <w:r>
        <w:rPr>
          <w:rFonts w:ascii="Courier New" w:eastAsia="Courier New" w:hAnsi="Courier New" w:cs="Courier New"/>
          <w:highlight w:val="white"/>
        </w:rPr>
        <w:t>The estimated number of respondents and responses per year is based on the historical average of FPDS data for the three most recent fiscal years (2020 through 2022).</w:t>
      </w:r>
    </w:p>
    <w:p w:rsidR="00150719" w14:paraId="00770519" w14:textId="77777777">
      <w:pPr>
        <w:widowControl w:val="0"/>
        <w:numPr>
          <w:ilvl w:val="0"/>
          <w:numId w:val="1"/>
        </w:numPr>
        <w:ind w:right="-40"/>
        <w:rPr>
          <w:rFonts w:ascii="Courier New" w:eastAsia="Courier New" w:hAnsi="Courier New" w:cs="Courier New"/>
          <w:highlight w:val="white"/>
        </w:rPr>
      </w:pPr>
      <w:r>
        <w:rPr>
          <w:rFonts w:ascii="Courier New" w:eastAsia="Courier New" w:hAnsi="Courier New" w:cs="Courier New"/>
          <w:highlight w:val="white"/>
        </w:rPr>
        <w:t>The estimated cost per hour is based on use of the calendar year 2023 OPM GS wage rate for the rest of the United States.</w:t>
      </w:r>
    </w:p>
    <w:p w:rsidR="00150719" w14:paraId="710B5204" w14:textId="77777777">
      <w:pPr>
        <w:widowControl w:val="0"/>
        <w:tabs>
          <w:tab w:val="left" w:pos="360"/>
          <w:tab w:val="left" w:pos="720"/>
          <w:tab w:val="left" w:pos="1080"/>
        </w:tabs>
        <w:rPr>
          <w:rFonts w:ascii="Courier New" w:eastAsia="Courier New" w:hAnsi="Courier New" w:cs="Courier New"/>
        </w:rPr>
      </w:pPr>
    </w:p>
    <w:tbl>
      <w:tblPr>
        <w:tblStyle w:val="a"/>
        <w:tblW w:w="6000" w:type="dxa"/>
        <w:tblBorders>
          <w:top w:val="nil"/>
          <w:left w:val="nil"/>
          <w:bottom w:val="nil"/>
          <w:right w:val="nil"/>
          <w:insideH w:val="nil"/>
          <w:insideV w:val="nil"/>
        </w:tblBorders>
        <w:tblLayout w:type="fixed"/>
        <w:tblLook w:val="0600"/>
      </w:tblPr>
      <w:tblGrid>
        <w:gridCol w:w="1500"/>
        <w:gridCol w:w="1500"/>
        <w:gridCol w:w="1500"/>
        <w:gridCol w:w="1500"/>
      </w:tblGrid>
      <w:tr w14:paraId="18E584C4" w14:textId="77777777">
        <w:tblPrEx>
          <w:tblW w:w="6000" w:type="dxa"/>
          <w:tblBorders>
            <w:top w:val="nil"/>
            <w:left w:val="nil"/>
            <w:bottom w:val="nil"/>
            <w:right w:val="nil"/>
            <w:insideH w:val="nil"/>
            <w:insideV w:val="nil"/>
          </w:tblBorders>
          <w:tblLayout w:type="fixed"/>
          <w:tblLook w:val="0600"/>
        </w:tblPrEx>
        <w:trPr>
          <w:trHeight w:val="645"/>
        </w:trPr>
        <w:tc>
          <w:tcPr>
            <w:tcW w:w="150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5A565DA9" w14:textId="77777777">
            <w:pPr>
              <w:widowControl w:val="0"/>
              <w:spacing w:line="276" w:lineRule="auto"/>
              <w:rPr>
                <w:rFonts w:ascii="Arial" w:eastAsia="Arial" w:hAnsi="Arial" w:cs="Arial"/>
                <w:sz w:val="20"/>
                <w:szCs w:val="20"/>
              </w:rPr>
            </w:pPr>
          </w:p>
        </w:tc>
        <w:tc>
          <w:tcPr>
            <w:tcW w:w="15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3E540BAA" w14:textId="77777777">
            <w:pPr>
              <w:widowControl w:val="0"/>
              <w:spacing w:line="276" w:lineRule="auto"/>
              <w:jc w:val="right"/>
              <w:rPr>
                <w:rFonts w:ascii="Arial" w:eastAsia="Arial" w:hAnsi="Arial" w:cs="Arial"/>
                <w:sz w:val="20"/>
                <w:szCs w:val="20"/>
              </w:rPr>
            </w:pPr>
            <w:r>
              <w:rPr>
                <w:color w:val="222222"/>
              </w:rPr>
              <w:t>2020 Estimate</w:t>
            </w:r>
          </w:p>
        </w:tc>
        <w:tc>
          <w:tcPr>
            <w:tcW w:w="15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3950487B" w14:textId="77777777">
            <w:pPr>
              <w:widowControl w:val="0"/>
              <w:spacing w:line="276" w:lineRule="auto"/>
              <w:jc w:val="right"/>
              <w:rPr>
                <w:rFonts w:ascii="Arial" w:eastAsia="Arial" w:hAnsi="Arial" w:cs="Arial"/>
                <w:sz w:val="20"/>
                <w:szCs w:val="20"/>
              </w:rPr>
            </w:pPr>
            <w:r>
              <w:rPr>
                <w:color w:val="222222"/>
              </w:rPr>
              <w:t>2023 Estimate</w:t>
            </w:r>
          </w:p>
        </w:tc>
        <w:tc>
          <w:tcPr>
            <w:tcW w:w="15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57F97AB6" w14:textId="77777777">
            <w:pPr>
              <w:widowControl w:val="0"/>
              <w:spacing w:line="276" w:lineRule="auto"/>
              <w:jc w:val="right"/>
              <w:rPr>
                <w:rFonts w:ascii="Arial" w:eastAsia="Arial" w:hAnsi="Arial" w:cs="Arial"/>
                <w:sz w:val="20"/>
                <w:szCs w:val="20"/>
              </w:rPr>
            </w:pPr>
            <w:r>
              <w:rPr>
                <w:color w:val="222222"/>
              </w:rPr>
              <w:t>Change in Burden</w:t>
            </w:r>
          </w:p>
        </w:tc>
      </w:tr>
      <w:tr w14:paraId="0F3FFA57" w14:textId="77777777">
        <w:tblPrEx>
          <w:tblW w:w="6000" w:type="dxa"/>
          <w:tblLayout w:type="fixed"/>
          <w:tblLook w:val="0600"/>
        </w:tblPrEx>
        <w:trPr>
          <w:trHeight w:val="540"/>
        </w:trPr>
        <w:tc>
          <w:tcPr>
            <w:tcW w:w="150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38231537" w14:textId="77777777">
            <w:pPr>
              <w:widowControl w:val="0"/>
              <w:spacing w:line="276" w:lineRule="auto"/>
              <w:rPr>
                <w:rFonts w:ascii="Arial" w:eastAsia="Arial" w:hAnsi="Arial" w:cs="Arial"/>
                <w:sz w:val="20"/>
                <w:szCs w:val="20"/>
              </w:rPr>
            </w:pPr>
            <w:r>
              <w:rPr>
                <w:rFonts w:ascii="Arial" w:eastAsia="Arial" w:hAnsi="Arial" w:cs="Arial"/>
                <w:sz w:val="20"/>
                <w:szCs w:val="20"/>
              </w:rPr>
              <w:t>Number of respondents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34F1B9CB" w14:textId="77777777">
            <w:pPr>
              <w:widowControl w:val="0"/>
              <w:spacing w:line="276" w:lineRule="auto"/>
              <w:jc w:val="right"/>
              <w:rPr>
                <w:rFonts w:ascii="Arial" w:eastAsia="Arial" w:hAnsi="Arial" w:cs="Arial"/>
                <w:sz w:val="20"/>
                <w:szCs w:val="20"/>
              </w:rPr>
            </w:pPr>
            <w:r>
              <w:rPr>
                <w:color w:val="222222"/>
              </w:rPr>
              <w:t>411</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38718048" w14:textId="77777777">
            <w:pPr>
              <w:widowControl w:val="0"/>
              <w:spacing w:line="276" w:lineRule="auto"/>
              <w:jc w:val="right"/>
              <w:rPr>
                <w:rFonts w:ascii="Arial" w:eastAsia="Arial" w:hAnsi="Arial" w:cs="Arial"/>
                <w:sz w:val="20"/>
                <w:szCs w:val="20"/>
              </w:rPr>
            </w:pPr>
            <w:r>
              <w:rPr>
                <w:color w:val="222222"/>
              </w:rPr>
              <w:t>682</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75531455" w14:textId="77777777">
            <w:pPr>
              <w:widowControl w:val="0"/>
              <w:spacing w:line="276" w:lineRule="auto"/>
              <w:jc w:val="right"/>
              <w:rPr>
                <w:rFonts w:ascii="Arial" w:eastAsia="Arial" w:hAnsi="Arial" w:cs="Arial"/>
                <w:sz w:val="20"/>
                <w:szCs w:val="20"/>
              </w:rPr>
            </w:pPr>
            <w:r>
              <w:rPr>
                <w:color w:val="222222"/>
              </w:rPr>
              <w:t>271</w:t>
            </w:r>
          </w:p>
        </w:tc>
      </w:tr>
      <w:tr w14:paraId="205BCA3E" w14:textId="77777777">
        <w:tblPrEx>
          <w:tblW w:w="6000" w:type="dxa"/>
          <w:tblLayout w:type="fixed"/>
          <w:tblLook w:val="0600"/>
        </w:tblPrEx>
        <w:trPr>
          <w:trHeight w:val="645"/>
        </w:trPr>
        <w:tc>
          <w:tcPr>
            <w:tcW w:w="150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2473A004" w14:textId="77777777">
            <w:pPr>
              <w:widowControl w:val="0"/>
              <w:spacing w:line="276" w:lineRule="auto"/>
              <w:rPr>
                <w:rFonts w:ascii="Arial" w:eastAsia="Arial" w:hAnsi="Arial" w:cs="Arial"/>
                <w:sz w:val="20"/>
                <w:szCs w:val="20"/>
              </w:rPr>
            </w:pPr>
            <w:r>
              <w:rPr>
                <w:color w:val="222222"/>
              </w:rPr>
              <w:t>Total annual responses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02CE8D14" w14:textId="77777777">
            <w:pPr>
              <w:widowControl w:val="0"/>
              <w:spacing w:line="276" w:lineRule="auto"/>
              <w:jc w:val="right"/>
              <w:rPr>
                <w:rFonts w:ascii="Arial" w:eastAsia="Arial" w:hAnsi="Arial" w:cs="Arial"/>
                <w:sz w:val="20"/>
                <w:szCs w:val="20"/>
              </w:rPr>
            </w:pPr>
            <w:r>
              <w:rPr>
                <w:color w:val="222222"/>
              </w:rPr>
              <w:t>1,644</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4906E0A7" w14:textId="77777777">
            <w:pPr>
              <w:widowControl w:val="0"/>
              <w:spacing w:line="276" w:lineRule="auto"/>
              <w:jc w:val="right"/>
              <w:rPr>
                <w:rFonts w:ascii="Arial" w:eastAsia="Arial" w:hAnsi="Arial" w:cs="Arial"/>
                <w:sz w:val="20"/>
                <w:szCs w:val="20"/>
              </w:rPr>
            </w:pPr>
            <w:r>
              <w:rPr>
                <w:color w:val="222222"/>
              </w:rPr>
              <w:t>2,728</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27E53CD7" w14:textId="77777777">
            <w:pPr>
              <w:widowControl w:val="0"/>
              <w:spacing w:line="276" w:lineRule="auto"/>
              <w:jc w:val="right"/>
              <w:rPr>
                <w:rFonts w:ascii="Arial" w:eastAsia="Arial" w:hAnsi="Arial" w:cs="Arial"/>
                <w:sz w:val="20"/>
                <w:szCs w:val="20"/>
              </w:rPr>
            </w:pPr>
            <w:r>
              <w:rPr>
                <w:color w:val="222222"/>
              </w:rPr>
              <w:t>1,084</w:t>
            </w:r>
          </w:p>
        </w:tc>
      </w:tr>
      <w:tr w14:paraId="11603D6F" w14:textId="77777777">
        <w:tblPrEx>
          <w:tblW w:w="6000" w:type="dxa"/>
          <w:tblLayout w:type="fixed"/>
          <w:tblLook w:val="0600"/>
        </w:tblPrEx>
        <w:trPr>
          <w:trHeight w:val="645"/>
        </w:trPr>
        <w:tc>
          <w:tcPr>
            <w:tcW w:w="150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7C6A6098" w14:textId="77777777">
            <w:pPr>
              <w:widowControl w:val="0"/>
              <w:spacing w:line="276" w:lineRule="auto"/>
              <w:rPr>
                <w:rFonts w:ascii="Arial" w:eastAsia="Arial" w:hAnsi="Arial" w:cs="Arial"/>
                <w:sz w:val="20"/>
                <w:szCs w:val="20"/>
              </w:rPr>
            </w:pPr>
            <w:r>
              <w:rPr>
                <w:color w:val="222222"/>
              </w:rPr>
              <w:t>Total burden hours</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1808B0A4" w14:textId="77777777">
            <w:pPr>
              <w:widowControl w:val="0"/>
              <w:spacing w:line="276" w:lineRule="auto"/>
              <w:jc w:val="right"/>
              <w:rPr>
                <w:rFonts w:ascii="Arial" w:eastAsia="Arial" w:hAnsi="Arial" w:cs="Arial"/>
                <w:sz w:val="20"/>
                <w:szCs w:val="20"/>
              </w:rPr>
            </w:pPr>
            <w:r>
              <w:rPr>
                <w:color w:val="222222"/>
              </w:rPr>
              <w:t>47,676</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206D3C27" w14:textId="77777777">
            <w:pPr>
              <w:widowControl w:val="0"/>
              <w:spacing w:line="276" w:lineRule="auto"/>
              <w:jc w:val="right"/>
              <w:rPr>
                <w:rFonts w:ascii="Arial" w:eastAsia="Arial" w:hAnsi="Arial" w:cs="Arial"/>
                <w:sz w:val="20"/>
                <w:szCs w:val="20"/>
              </w:rPr>
            </w:pPr>
            <w:r>
              <w:rPr>
                <w:color w:val="222222"/>
              </w:rPr>
              <w:t>79,112</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19A95CF7" w14:textId="77777777">
            <w:pPr>
              <w:widowControl w:val="0"/>
              <w:spacing w:line="276" w:lineRule="auto"/>
              <w:jc w:val="right"/>
              <w:rPr>
                <w:rFonts w:ascii="Arial" w:eastAsia="Arial" w:hAnsi="Arial" w:cs="Arial"/>
                <w:sz w:val="20"/>
                <w:szCs w:val="20"/>
              </w:rPr>
            </w:pPr>
            <w:r>
              <w:rPr>
                <w:color w:val="222222"/>
              </w:rPr>
              <w:t>31,436</w:t>
            </w:r>
          </w:p>
        </w:tc>
      </w:tr>
      <w:tr w14:paraId="6C0CF253" w14:textId="77777777">
        <w:tblPrEx>
          <w:tblW w:w="6000" w:type="dxa"/>
          <w:tblLayout w:type="fixed"/>
          <w:tblLook w:val="0600"/>
        </w:tblPrEx>
        <w:trPr>
          <w:trHeight w:val="645"/>
        </w:trPr>
        <w:tc>
          <w:tcPr>
            <w:tcW w:w="1500"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34218CAA" w14:textId="77777777">
            <w:pPr>
              <w:widowControl w:val="0"/>
              <w:spacing w:line="276" w:lineRule="auto"/>
              <w:rPr>
                <w:rFonts w:ascii="Arial" w:eastAsia="Arial" w:hAnsi="Arial" w:cs="Arial"/>
                <w:sz w:val="20"/>
                <w:szCs w:val="20"/>
              </w:rPr>
            </w:pPr>
            <w:r>
              <w:rPr>
                <w:color w:val="222222"/>
              </w:rPr>
              <w:t>Total annual cost to public</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061E1839" w14:textId="77777777">
            <w:pPr>
              <w:widowControl w:val="0"/>
              <w:spacing w:line="276" w:lineRule="auto"/>
              <w:jc w:val="right"/>
              <w:rPr>
                <w:rFonts w:ascii="Arial" w:eastAsia="Arial" w:hAnsi="Arial" w:cs="Arial"/>
                <w:sz w:val="20"/>
                <w:szCs w:val="20"/>
              </w:rPr>
            </w:pPr>
            <w:r>
              <w:rPr>
                <w:color w:val="222222"/>
              </w:rPr>
              <w:t>$3,194,292</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4B93FA9A" w14:textId="77777777">
            <w:pPr>
              <w:widowControl w:val="0"/>
              <w:spacing w:line="276" w:lineRule="auto"/>
              <w:jc w:val="right"/>
              <w:rPr>
                <w:rFonts w:ascii="Arial" w:eastAsia="Arial" w:hAnsi="Arial" w:cs="Arial"/>
                <w:sz w:val="20"/>
                <w:szCs w:val="20"/>
              </w:rPr>
            </w:pPr>
            <w:r>
              <w:rPr>
                <w:color w:val="222222"/>
              </w:rPr>
              <w:t>$6,249,848</w:t>
            </w:r>
          </w:p>
        </w:tc>
        <w:tc>
          <w:tcPr>
            <w:tcW w:w="150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0701D31F" w14:textId="77777777">
            <w:pPr>
              <w:widowControl w:val="0"/>
              <w:spacing w:line="276" w:lineRule="auto"/>
              <w:jc w:val="right"/>
              <w:rPr>
                <w:rFonts w:ascii="Arial" w:eastAsia="Arial" w:hAnsi="Arial" w:cs="Arial"/>
                <w:sz w:val="20"/>
                <w:szCs w:val="20"/>
              </w:rPr>
            </w:pPr>
            <w:r>
              <w:rPr>
                <w:color w:val="222222"/>
              </w:rPr>
              <w:t>$3,055,556</w:t>
            </w:r>
          </w:p>
        </w:tc>
      </w:tr>
    </w:tbl>
    <w:p w:rsidR="00150719" w14:paraId="47B93E7B" w14:textId="77777777">
      <w:pPr>
        <w:widowControl w:val="0"/>
        <w:tabs>
          <w:tab w:val="left" w:pos="360"/>
          <w:tab w:val="left" w:pos="720"/>
          <w:tab w:val="left" w:pos="1080"/>
        </w:tabs>
        <w:rPr>
          <w:rFonts w:ascii="Courier New" w:eastAsia="Courier New" w:hAnsi="Courier New" w:cs="Courier New"/>
        </w:rPr>
      </w:pPr>
    </w:p>
    <w:p w:rsidR="00150719" w14:paraId="289ED6EB"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Publicizing Results.</w:t>
      </w:r>
      <w:r>
        <w:rPr>
          <w:rFonts w:ascii="Courier New" w:eastAsia="Courier New" w:hAnsi="Courier New" w:cs="Courier New"/>
        </w:rPr>
        <w:t xml:space="preserve"> Results will not be tabulated or published.</w:t>
      </w:r>
    </w:p>
    <w:p w:rsidR="00150719" w14:paraId="70A7ADDD" w14:textId="77777777">
      <w:pPr>
        <w:widowControl w:val="0"/>
        <w:tabs>
          <w:tab w:val="left" w:pos="360"/>
          <w:tab w:val="left" w:pos="720"/>
          <w:tab w:val="left" w:pos="1080"/>
        </w:tabs>
        <w:rPr>
          <w:rFonts w:ascii="Courier New" w:eastAsia="Courier New" w:hAnsi="Courier New" w:cs="Courier New"/>
        </w:rPr>
      </w:pPr>
    </w:p>
    <w:p w:rsidR="00150719" w14:paraId="6BC5F5D6"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OMB Not to Display Approval.</w:t>
      </w:r>
      <w:r>
        <w:rPr>
          <w:rFonts w:ascii="Courier New" w:eastAsia="Courier New" w:hAnsi="Courier New" w:cs="Courier New"/>
        </w:rPr>
        <w:t xml:space="preserve"> Approval to </w:t>
      </w:r>
      <w:r>
        <w:rPr>
          <w:rFonts w:ascii="Courier New" w:eastAsia="Courier New" w:hAnsi="Courier New" w:cs="Courier New"/>
          <w:i/>
        </w:rPr>
        <w:t>not</w:t>
      </w:r>
      <w:r>
        <w:rPr>
          <w:rFonts w:ascii="Courier New" w:eastAsia="Courier New" w:hAnsi="Courier New" w:cs="Courier New"/>
        </w:rPr>
        <w:t xml:space="preserve"> display the expiration date for OMB approval of the information collection is not sought.</w:t>
      </w:r>
    </w:p>
    <w:p w:rsidR="00150719" w14:paraId="24750B01" w14:textId="77777777">
      <w:pPr>
        <w:widowControl w:val="0"/>
        <w:tabs>
          <w:tab w:val="left" w:pos="360"/>
          <w:tab w:val="left" w:pos="720"/>
          <w:tab w:val="left" w:pos="1080"/>
        </w:tabs>
        <w:rPr>
          <w:rFonts w:ascii="Courier New" w:eastAsia="Courier New" w:hAnsi="Courier New" w:cs="Courier New"/>
        </w:rPr>
      </w:pPr>
    </w:p>
    <w:p w:rsidR="00150719" w14:paraId="3933ED5F"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u w:val="single"/>
        </w:rPr>
        <w:t>Exceptions to "Certification for Paperwork Reduction Submissions."</w:t>
      </w:r>
      <w:r>
        <w:rPr>
          <w:rFonts w:ascii="Courier New" w:eastAsia="Courier New" w:hAnsi="Courier New" w:cs="Courier New"/>
        </w:rPr>
        <w:t xml:space="preserve"> There is no exception to the certification statement.</w:t>
      </w:r>
    </w:p>
    <w:p w:rsidR="00150719" w14:paraId="18261E58" w14:textId="77777777">
      <w:pPr>
        <w:widowControl w:val="0"/>
        <w:tabs>
          <w:tab w:val="left" w:pos="360"/>
          <w:tab w:val="left" w:pos="720"/>
          <w:tab w:val="left" w:pos="1080"/>
        </w:tabs>
        <w:rPr>
          <w:rFonts w:ascii="Courier New" w:eastAsia="Courier New" w:hAnsi="Courier New" w:cs="Courier New"/>
        </w:rPr>
      </w:pPr>
    </w:p>
    <w:p w:rsidR="00150719" w14:paraId="0966DEBA" w14:textId="77777777">
      <w:pPr>
        <w:widowControl w:val="0"/>
        <w:numPr>
          <w:ilvl w:val="0"/>
          <w:numId w:val="5"/>
        </w:numPr>
        <w:tabs>
          <w:tab w:val="left" w:pos="360"/>
          <w:tab w:val="left" w:pos="720"/>
          <w:tab w:val="left" w:pos="1080"/>
        </w:tabs>
        <w:rPr>
          <w:rFonts w:ascii="Courier New" w:eastAsia="Courier New" w:hAnsi="Courier New" w:cs="Courier New"/>
        </w:rPr>
      </w:pPr>
      <w:r>
        <w:rPr>
          <w:rFonts w:ascii="Courier New" w:eastAsia="Courier New" w:hAnsi="Courier New" w:cs="Courier New"/>
          <w:u w:val="single"/>
        </w:rPr>
        <w:t>Surveys, Censuses, and Other Collections that Employ Statistical Methods.</w:t>
      </w:r>
      <w:r>
        <w:rPr>
          <w:rFonts w:ascii="Courier New" w:eastAsia="Courier New" w:hAnsi="Courier New" w:cs="Courier New"/>
        </w:rPr>
        <w:t xml:space="preserve"> Statistical methods are not used in this information collection. A Part B supporting statement is not needed, or required, and therefore was not completed.</w:t>
      </w:r>
    </w:p>
    <w:p w:rsidR="00150719" w14:paraId="4A7B475B" w14:textId="77777777">
      <w:pPr>
        <w:widowControl w:val="0"/>
        <w:tabs>
          <w:tab w:val="left" w:pos="360"/>
          <w:tab w:val="left" w:pos="720"/>
          <w:tab w:val="left" w:pos="1080"/>
        </w:tabs>
        <w:rPr>
          <w:rFonts w:ascii="Courier New" w:eastAsia="Courier New" w:hAnsi="Courier New" w:cs="Courier New"/>
        </w:rPr>
      </w:pPr>
    </w:p>
    <w:p w:rsidR="00150719" w14:paraId="766D5A54" w14:textId="77777777">
      <w:pPr>
        <w:widowControl w:val="0"/>
        <w:tabs>
          <w:tab w:val="left" w:pos="360"/>
          <w:tab w:val="left" w:pos="720"/>
          <w:tab w:val="left" w:pos="1080"/>
        </w:tabs>
        <w:rPr>
          <w:rFonts w:ascii="Courier New" w:eastAsia="Courier New" w:hAnsi="Courier New" w:cs="Courier New"/>
        </w:rPr>
      </w:pPr>
    </w:p>
    <w:p w:rsidR="00150719" w14:paraId="5C2F3469" w14:textId="77777777">
      <w:pPr>
        <w:widowControl w:val="0"/>
        <w:tabs>
          <w:tab w:val="left" w:pos="360"/>
          <w:tab w:val="left" w:pos="720"/>
          <w:tab w:val="left" w:pos="1080"/>
        </w:tabs>
        <w:rPr>
          <w:rFonts w:ascii="Courier New" w:eastAsia="Courier New" w:hAnsi="Courier New" w:cs="Courier New"/>
        </w:rPr>
      </w:pPr>
    </w:p>
    <w:tbl>
      <w:tblPr>
        <w:tblStyle w:val="a0"/>
        <w:tblW w:w="4500" w:type="dxa"/>
        <w:tblBorders>
          <w:top w:val="nil"/>
          <w:left w:val="nil"/>
          <w:bottom w:val="nil"/>
          <w:right w:val="nil"/>
          <w:insideH w:val="nil"/>
          <w:insideV w:val="nil"/>
        </w:tblBorders>
        <w:tblLayout w:type="fixed"/>
        <w:tblLook w:val="0600"/>
      </w:tblPr>
      <w:tblGrid>
        <w:gridCol w:w="1500"/>
        <w:gridCol w:w="1500"/>
        <w:gridCol w:w="1500"/>
      </w:tblGrid>
      <w:tr w14:paraId="25C8803F" w14:textId="77777777">
        <w:tblPrEx>
          <w:tblW w:w="4500" w:type="dxa"/>
          <w:tblBorders>
            <w:top w:val="nil"/>
            <w:left w:val="nil"/>
            <w:bottom w:val="nil"/>
            <w:right w:val="nil"/>
            <w:insideH w:val="nil"/>
            <w:insideV w:val="nil"/>
          </w:tblBorders>
          <w:tblLayout w:type="fixed"/>
          <w:tblLook w:val="0600"/>
        </w:tblPrEx>
        <w:trPr>
          <w:trHeight w:val="315"/>
        </w:trPr>
        <w:tc>
          <w:tcPr>
            <w:tcW w:w="150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19FA8F91" w14:textId="77777777">
            <w:pPr>
              <w:widowControl w:val="0"/>
              <w:spacing w:line="276" w:lineRule="auto"/>
              <w:jc w:val="center"/>
              <w:rPr>
                <w:rFonts w:ascii="Arial" w:eastAsia="Arial" w:hAnsi="Arial" w:cs="Arial"/>
                <w:b/>
                <w:sz w:val="20"/>
                <w:szCs w:val="20"/>
                <w:u w:val="single"/>
              </w:rPr>
            </w:pPr>
            <w:r>
              <w:rPr>
                <w:rFonts w:ascii="Arial" w:eastAsia="Arial" w:hAnsi="Arial" w:cs="Arial"/>
                <w:b/>
                <w:sz w:val="20"/>
                <w:szCs w:val="20"/>
                <w:u w:val="single"/>
              </w:rPr>
              <w:t>FY</w:t>
            </w:r>
          </w:p>
        </w:tc>
        <w:tc>
          <w:tcPr>
            <w:tcW w:w="3000" w:type="dxa"/>
            <w:gridSpan w:val="2"/>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rsidR="00150719" w14:paraId="3C6264F9" w14:textId="77777777">
            <w:pPr>
              <w:widowControl w:val="0"/>
              <w:spacing w:line="276" w:lineRule="auto"/>
              <w:jc w:val="center"/>
              <w:rPr>
                <w:rFonts w:ascii="Arial" w:eastAsia="Arial" w:hAnsi="Arial" w:cs="Arial"/>
                <w:sz w:val="20"/>
                <w:szCs w:val="20"/>
              </w:rPr>
            </w:pPr>
            <w:r>
              <w:rPr>
                <w:rFonts w:ascii="Arial" w:eastAsia="Arial" w:hAnsi="Arial" w:cs="Arial"/>
                <w:b/>
                <w:sz w:val="20"/>
                <w:szCs w:val="20"/>
                <w:u w:val="single"/>
              </w:rPr>
              <w:t>Totals</w:t>
            </w:r>
          </w:p>
        </w:tc>
      </w:tr>
      <w:tr w14:paraId="5FA9DE7D" w14:textId="77777777">
        <w:tblPrEx>
          <w:tblW w:w="4500" w:type="dxa"/>
          <w:tblLayout w:type="fixed"/>
          <w:tblLook w:val="0600"/>
        </w:tblPrEx>
        <w:trPr>
          <w:trHeight w:val="540"/>
        </w:trPr>
        <w:tc>
          <w:tcPr>
            <w:tcW w:w="1500" w:type="dxa"/>
            <w:vMerge/>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rsidR="00150719" w14:paraId="17ECB7EC" w14:textId="77777777">
            <w:pPr>
              <w:widowControl w:val="0"/>
              <w:pBdr>
                <w:top w:val="nil"/>
                <w:left w:val="nil"/>
                <w:bottom w:val="nil"/>
                <w:right w:val="nil"/>
                <w:between w:val="nil"/>
              </w:pBdr>
              <w:spacing w:line="276" w:lineRule="auto"/>
              <w:rPr>
                <w:rFonts w:ascii="Arial" w:eastAsia="Arial" w:hAnsi="Arial" w:cs="Arial"/>
                <w:sz w:val="20"/>
                <w:szCs w:val="20"/>
              </w:rPr>
            </w:pP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6F5893B3" w14:textId="77777777">
            <w:pPr>
              <w:widowControl w:val="0"/>
              <w:spacing w:line="276" w:lineRule="auto"/>
              <w:jc w:val="center"/>
              <w:rPr>
                <w:rFonts w:ascii="Arial" w:eastAsia="Arial" w:hAnsi="Arial" w:cs="Arial"/>
                <w:sz w:val="20"/>
                <w:szCs w:val="20"/>
              </w:rPr>
            </w:pPr>
            <w:r>
              <w:rPr>
                <w:rFonts w:ascii="Arial" w:eastAsia="Arial" w:hAnsi="Arial" w:cs="Arial"/>
                <w:b/>
                <w:sz w:val="20"/>
                <w:szCs w:val="20"/>
                <w:u w:val="single"/>
              </w:rPr>
              <w:t>Awards</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3427385C" w14:textId="77777777">
            <w:pPr>
              <w:widowControl w:val="0"/>
              <w:spacing w:line="276" w:lineRule="auto"/>
              <w:jc w:val="center"/>
              <w:rPr>
                <w:rFonts w:ascii="Arial" w:eastAsia="Arial" w:hAnsi="Arial" w:cs="Arial"/>
                <w:sz w:val="20"/>
                <w:szCs w:val="20"/>
              </w:rPr>
            </w:pPr>
            <w:r>
              <w:rPr>
                <w:rFonts w:ascii="Arial" w:eastAsia="Arial" w:hAnsi="Arial" w:cs="Arial"/>
                <w:b/>
                <w:sz w:val="20"/>
                <w:szCs w:val="20"/>
                <w:u w:val="single"/>
              </w:rPr>
              <w:t>Unique entities</w:t>
            </w:r>
          </w:p>
        </w:tc>
      </w:tr>
      <w:tr w14:paraId="7ECF57B3" w14:textId="77777777">
        <w:tblPrEx>
          <w:tblW w:w="4500" w:type="dxa"/>
          <w:tblLayout w:type="fixed"/>
          <w:tblLook w:val="0600"/>
        </w:tblPrEx>
        <w:trPr>
          <w:trHeight w:val="315"/>
        </w:trPr>
        <w:tc>
          <w:tcPr>
            <w:tcW w:w="150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12C93CAD"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2020</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4D297577"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791</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4A8C2E0C"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330</w:t>
            </w:r>
          </w:p>
        </w:tc>
      </w:tr>
      <w:tr w14:paraId="4C7452EC" w14:textId="77777777">
        <w:tblPrEx>
          <w:tblW w:w="4500" w:type="dxa"/>
          <w:tblLayout w:type="fixed"/>
          <w:tblLook w:val="0600"/>
        </w:tblPrEx>
        <w:trPr>
          <w:trHeight w:val="315"/>
        </w:trPr>
        <w:tc>
          <w:tcPr>
            <w:tcW w:w="150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736469F5"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2021</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6E41C6A0"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689</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6C6DD43F"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299</w:t>
            </w:r>
          </w:p>
        </w:tc>
      </w:tr>
      <w:tr w14:paraId="71B0D76A" w14:textId="77777777">
        <w:tblPrEx>
          <w:tblW w:w="4500" w:type="dxa"/>
          <w:tblLayout w:type="fixed"/>
          <w:tblLook w:val="0600"/>
        </w:tblPrEx>
        <w:trPr>
          <w:trHeight w:val="315"/>
        </w:trPr>
        <w:tc>
          <w:tcPr>
            <w:tcW w:w="150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259E0014"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2022</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3975B8A9"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567</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743A0A7A" w14:textId="77777777">
            <w:pPr>
              <w:widowControl w:val="0"/>
              <w:spacing w:line="276" w:lineRule="auto"/>
              <w:jc w:val="right"/>
              <w:rPr>
                <w:rFonts w:ascii="Arial" w:eastAsia="Arial" w:hAnsi="Arial" w:cs="Arial"/>
                <w:sz w:val="20"/>
                <w:szCs w:val="20"/>
              </w:rPr>
            </w:pPr>
            <w:r>
              <w:rPr>
                <w:rFonts w:ascii="Arial" w:eastAsia="Arial" w:hAnsi="Arial" w:cs="Arial"/>
                <w:sz w:val="20"/>
                <w:szCs w:val="20"/>
              </w:rPr>
              <w:t>256</w:t>
            </w:r>
          </w:p>
        </w:tc>
      </w:tr>
      <w:tr w14:paraId="17EF930C" w14:textId="77777777">
        <w:tblPrEx>
          <w:tblW w:w="4500" w:type="dxa"/>
          <w:tblLayout w:type="fixed"/>
          <w:tblLook w:val="0600"/>
        </w:tblPrEx>
        <w:trPr>
          <w:trHeight w:val="315"/>
        </w:trPr>
        <w:tc>
          <w:tcPr>
            <w:tcW w:w="1500"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2844E955" w14:textId="77777777">
            <w:pPr>
              <w:widowControl w:val="0"/>
              <w:spacing w:line="276" w:lineRule="auto"/>
              <w:rPr>
                <w:rFonts w:ascii="Arial" w:eastAsia="Arial" w:hAnsi="Arial" w:cs="Arial"/>
                <w:sz w:val="20"/>
                <w:szCs w:val="20"/>
              </w:rPr>
            </w:pPr>
            <w:r>
              <w:rPr>
                <w:rFonts w:ascii="Arial" w:eastAsia="Arial" w:hAnsi="Arial" w:cs="Arial"/>
                <w:b/>
                <w:sz w:val="20"/>
                <w:szCs w:val="20"/>
              </w:rPr>
              <w:t>Average</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76B8240A" w14:textId="77777777">
            <w:pPr>
              <w:widowControl w:val="0"/>
              <w:spacing w:line="276" w:lineRule="auto"/>
              <w:jc w:val="right"/>
              <w:rPr>
                <w:rFonts w:ascii="Arial" w:eastAsia="Arial" w:hAnsi="Arial" w:cs="Arial"/>
                <w:sz w:val="20"/>
                <w:szCs w:val="20"/>
              </w:rPr>
            </w:pPr>
            <w:r>
              <w:rPr>
                <w:rFonts w:ascii="Arial" w:eastAsia="Arial" w:hAnsi="Arial" w:cs="Arial"/>
                <w:b/>
                <w:sz w:val="20"/>
                <w:szCs w:val="20"/>
              </w:rPr>
              <w:t>682</w:t>
            </w:r>
          </w:p>
        </w:tc>
        <w:tc>
          <w:tcPr>
            <w:tcW w:w="15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0719" w14:paraId="114B7C63" w14:textId="77777777">
            <w:pPr>
              <w:widowControl w:val="0"/>
              <w:spacing w:line="276" w:lineRule="auto"/>
              <w:jc w:val="right"/>
              <w:rPr>
                <w:rFonts w:ascii="Arial" w:eastAsia="Arial" w:hAnsi="Arial" w:cs="Arial"/>
                <w:sz w:val="20"/>
                <w:szCs w:val="20"/>
              </w:rPr>
            </w:pPr>
            <w:r>
              <w:rPr>
                <w:rFonts w:ascii="Arial" w:eastAsia="Arial" w:hAnsi="Arial" w:cs="Arial"/>
                <w:b/>
                <w:sz w:val="20"/>
                <w:szCs w:val="20"/>
              </w:rPr>
              <w:t>295</w:t>
            </w:r>
          </w:p>
        </w:tc>
      </w:tr>
    </w:tbl>
    <w:p w:rsidR="00150719" w14:paraId="5CE8E5DC" w14:textId="77777777">
      <w:pPr>
        <w:widowControl w:val="0"/>
        <w:tabs>
          <w:tab w:val="left" w:pos="360"/>
          <w:tab w:val="left" w:pos="720"/>
          <w:tab w:val="left" w:pos="1080"/>
        </w:tabs>
        <w:rPr>
          <w:rFonts w:ascii="Courier New" w:eastAsia="Courier New" w:hAnsi="Courier New" w:cs="Courier New"/>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37AB3"/>
    <w:multiLevelType w:val="multilevel"/>
    <w:tmpl w:val="D0664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7E35FE2"/>
    <w:multiLevelType w:val="multilevel"/>
    <w:tmpl w:val="3A345A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C381EC4"/>
    <w:multiLevelType w:val="multilevel"/>
    <w:tmpl w:val="0764DA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304A4249"/>
    <w:multiLevelType w:val="multilevel"/>
    <w:tmpl w:val="388E1A94"/>
    <w:lvl w:ilvl="0">
      <w:start w:val="1"/>
      <w:numFmt w:val="bullet"/>
      <w:lvlText w:val="✔"/>
      <w:lvlJc w:val="left"/>
      <w:pPr>
        <w:ind w:left="1080" w:hanging="360"/>
      </w:pPr>
      <w:rPr>
        <w:rFonts w:ascii="Noto Sans Symbols" w:eastAsia="Noto Sans Symbols" w:hAnsi="Noto Sans Symbols" w:cs="Noto Sans Symbols"/>
        <w:strike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34747808"/>
    <w:multiLevelType w:val="multilevel"/>
    <w:tmpl w:val="3F7CC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45D4979"/>
    <w:multiLevelType w:val="multilevel"/>
    <w:tmpl w:val="ED821322"/>
    <w:lvl w:ilvl="0">
      <w:start w:val="1"/>
      <w:numFmt w:val="decimal"/>
      <w:lvlText w:val="%1."/>
      <w:lvlJc w:val="left"/>
      <w:pPr>
        <w:ind w:left="-360" w:firstLine="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EAB083C"/>
    <w:multiLevelType w:val="multilevel"/>
    <w:tmpl w:val="46E8A0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7">
    <w:nsid w:val="77955922"/>
    <w:multiLevelType w:val="multilevel"/>
    <w:tmpl w:val="564ADE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0062892">
    <w:abstractNumId w:val="4"/>
  </w:num>
  <w:num w:numId="2" w16cid:durableId="920062451">
    <w:abstractNumId w:val="7"/>
  </w:num>
  <w:num w:numId="3" w16cid:durableId="115217311">
    <w:abstractNumId w:val="1"/>
  </w:num>
  <w:num w:numId="4" w16cid:durableId="576212726">
    <w:abstractNumId w:val="2"/>
  </w:num>
  <w:num w:numId="5" w16cid:durableId="1514683191">
    <w:abstractNumId w:val="5"/>
  </w:num>
  <w:num w:numId="6" w16cid:durableId="1078401072">
    <w:abstractNumId w:val="0"/>
  </w:num>
  <w:num w:numId="7" w16cid:durableId="320744576">
    <w:abstractNumId w:val="3"/>
  </w:num>
  <w:num w:numId="8" w16cid:durableId="1448113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19"/>
    <w:rsid w:val="00150719"/>
    <w:rsid w:val="00240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46853"/>
  <w15:docId w15:val="{E4B39271-57C3-4976-9AD7-CEB90E69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1261</Words>
  <Characters>7192</Characters>
  <Application>Microsoft Office Word</Application>
  <DocSecurity>0</DocSecurity>
  <Lines>59</Lines>
  <Paragraphs>16</Paragraphs>
  <ScaleCrop>false</ScaleCrop>
  <Company>General Services Administration</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2</cp:revision>
  <dcterms:created xsi:type="dcterms:W3CDTF">2023-11-14T19:36:00Z</dcterms:created>
  <dcterms:modified xsi:type="dcterms:W3CDTF">2023-11-14T19:45:00Z</dcterms:modified>
</cp:coreProperties>
</file>