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CF2" w:rsidP="00853CF2" w:rsidRDefault="00853CF2">
      <w:pPr>
        <w:ind w:left="360"/>
        <w:rPr>
          <w:rFonts w:ascii="Times New Roman" w:hAnsi="Times New Roman"/>
          <w:sz w:val="24"/>
          <w:szCs w:val="24"/>
        </w:rPr>
      </w:pPr>
      <w:r>
        <w:rPr>
          <w:rFonts w:ascii="Times New Roman" w:hAnsi="Times New Roman"/>
          <w:sz w:val="24"/>
          <w:szCs w:val="24"/>
        </w:rPr>
        <w:t>The Agency will be collecting information from the proposer to evaluate the strengths and weaknesses to which the proposal concept possesses or lacks the attributes set forth in the proposed content and evaluation criteria.  RHS will use the collected information to select the most feasible proposals that will enhance the Agency’s chances in accomplishing the demonstration objective.  The information will be utilized to sustain and modify RHS’ current policies pertaining to revitalization and preservation of affordable rental housing in rural areas.</w:t>
      </w:r>
    </w:p>
    <w:p w:rsidR="00853CF2" w:rsidP="00853CF2" w:rsidRDefault="00853CF2">
      <w:pPr>
        <w:ind w:left="360"/>
        <w:rPr>
          <w:rFonts w:ascii="Times New Roman" w:hAnsi="Times New Roman"/>
          <w:sz w:val="24"/>
          <w:szCs w:val="24"/>
        </w:rPr>
      </w:pPr>
    </w:p>
    <w:p w:rsidR="00853CF2" w:rsidP="00853CF2" w:rsidRDefault="00853CF2">
      <w:pPr>
        <w:ind w:left="360"/>
        <w:rPr>
          <w:rFonts w:ascii="Times New Roman" w:hAnsi="Times New Roman"/>
          <w:sz w:val="24"/>
          <w:szCs w:val="24"/>
        </w:rPr>
      </w:pPr>
      <w:r>
        <w:rPr>
          <w:rFonts w:ascii="Times New Roman" w:hAnsi="Times New Roman"/>
          <w:sz w:val="24"/>
          <w:szCs w:val="24"/>
        </w:rPr>
        <w:t>The forms to be completed and signed by those that receive restructuring assistance include:</w:t>
      </w:r>
    </w:p>
    <w:p w:rsidR="00853CF2" w:rsidP="00853CF2" w:rsidRDefault="00853CF2">
      <w:pPr>
        <w:ind w:left="360"/>
        <w:rPr>
          <w:rFonts w:ascii="Times New Roman" w:hAnsi="Times New Roman"/>
          <w:sz w:val="24"/>
          <w:szCs w:val="24"/>
        </w:rPr>
      </w:pPr>
    </w:p>
    <w:p w:rsidR="00853CF2" w:rsidP="00853CF2" w:rsidRDefault="00853CF2">
      <w:pPr>
        <w:ind w:left="360"/>
        <w:rPr>
          <w:rFonts w:ascii="Times New Roman" w:hAnsi="Times New Roman"/>
          <w:sz w:val="24"/>
          <w:szCs w:val="24"/>
        </w:rPr>
      </w:pPr>
      <w:bookmarkStart w:name="_GoBack" w:id="0"/>
      <w:bookmarkEnd w:id="0"/>
      <w:r>
        <w:rPr>
          <w:rFonts w:ascii="Times New Roman" w:hAnsi="Times New Roman"/>
          <w:sz w:val="24"/>
          <w:szCs w:val="24"/>
        </w:rPr>
        <w:t>REPORTING REQUIREMENTS – NONFORMS</w:t>
      </w:r>
    </w:p>
    <w:p w:rsidR="00853CF2" w:rsidP="00853CF2" w:rsidRDefault="00853CF2">
      <w:pPr>
        <w:ind w:left="720"/>
        <w:rPr>
          <w:rFonts w:ascii="Times New Roman" w:hAnsi="Times New Roman"/>
          <w:sz w:val="24"/>
          <w:szCs w:val="24"/>
        </w:rPr>
      </w:pPr>
    </w:p>
    <w:p w:rsidR="00853CF2" w:rsidP="00853CF2" w:rsidRDefault="00853CF2">
      <w:pPr>
        <w:numPr>
          <w:ilvl w:val="0"/>
          <w:numId w:val="1"/>
        </w:numPr>
        <w:rPr>
          <w:rFonts w:ascii="Times New Roman" w:hAnsi="Times New Roman"/>
          <w:sz w:val="24"/>
          <w:szCs w:val="24"/>
        </w:rPr>
      </w:pPr>
      <w:r>
        <w:rPr>
          <w:rFonts w:ascii="Times New Roman" w:hAnsi="Times New Roman"/>
          <w:sz w:val="24"/>
          <w:szCs w:val="24"/>
          <w:u w:val="single"/>
        </w:rPr>
        <w:t>MPR Pre-Application</w:t>
      </w:r>
      <w:r>
        <w:rPr>
          <w:rFonts w:ascii="Times New Roman" w:hAnsi="Times New Roman"/>
          <w:sz w:val="24"/>
          <w:szCs w:val="24"/>
        </w:rPr>
        <w:t xml:space="preserve"> - Form is used by MFH borrowers to inform the Agency of their interest in participating in the MPR demonstration program and is used by the Agency to evaluate the project for funding potential.</w:t>
      </w:r>
    </w:p>
    <w:p w:rsidR="00853CF2" w:rsidP="00853CF2" w:rsidRDefault="00853CF2">
      <w:pPr>
        <w:numPr>
          <w:ilvl w:val="0"/>
          <w:numId w:val="1"/>
        </w:numPr>
        <w:rPr>
          <w:rFonts w:ascii="Times New Roman" w:hAnsi="Times New Roman"/>
          <w:sz w:val="24"/>
          <w:szCs w:val="24"/>
        </w:rPr>
      </w:pPr>
      <w:r>
        <w:rPr>
          <w:rFonts w:ascii="Times New Roman" w:hAnsi="Times New Roman"/>
          <w:sz w:val="24"/>
          <w:szCs w:val="24"/>
          <w:u w:val="single"/>
        </w:rPr>
        <w:t xml:space="preserve">MPR Conditional Commitment </w:t>
      </w:r>
      <w:r>
        <w:rPr>
          <w:rFonts w:ascii="Times New Roman" w:hAnsi="Times New Roman"/>
          <w:sz w:val="24"/>
          <w:szCs w:val="24"/>
        </w:rPr>
        <w:t>– Legal document that states the Agency has committed to the offer being made to the applicant under certain conditions and terms, and the borrower’s acceptance of that offer subject to the availability of sufficient funds being appropriated to fund the commitment.</w:t>
      </w:r>
    </w:p>
    <w:p w:rsidR="00853CF2" w:rsidP="00853CF2" w:rsidRDefault="00853CF2">
      <w:pPr>
        <w:numPr>
          <w:ilvl w:val="0"/>
          <w:numId w:val="1"/>
        </w:numPr>
        <w:rPr>
          <w:rFonts w:ascii="Times New Roman" w:hAnsi="Times New Roman"/>
          <w:sz w:val="24"/>
          <w:szCs w:val="24"/>
        </w:rPr>
      </w:pPr>
      <w:r>
        <w:rPr>
          <w:rFonts w:ascii="Times New Roman" w:hAnsi="Times New Roman"/>
          <w:sz w:val="24"/>
          <w:szCs w:val="24"/>
          <w:u w:val="single"/>
        </w:rPr>
        <w:t>Debt Deferral Agreement</w:t>
      </w:r>
      <w:r>
        <w:rPr>
          <w:rFonts w:ascii="Times New Roman" w:hAnsi="Times New Roman"/>
          <w:sz w:val="24"/>
          <w:szCs w:val="24"/>
        </w:rPr>
        <w:t xml:space="preserve"> - Legal document completed by the Agency for review and acceptance by the recipient.  The document indicates the recipient understands that the principle and interest payments are being deferred by the Agency for a specified term and the borrowers continued compliance with the respective program requirements.</w:t>
      </w:r>
    </w:p>
    <w:p w:rsidR="00853CF2" w:rsidP="00853CF2" w:rsidRDefault="00853CF2">
      <w:pPr>
        <w:numPr>
          <w:ilvl w:val="0"/>
          <w:numId w:val="1"/>
        </w:numPr>
        <w:rPr>
          <w:rFonts w:ascii="Times New Roman" w:hAnsi="Times New Roman"/>
          <w:sz w:val="24"/>
          <w:szCs w:val="24"/>
        </w:rPr>
      </w:pPr>
      <w:r>
        <w:rPr>
          <w:rFonts w:ascii="Times New Roman" w:hAnsi="Times New Roman"/>
          <w:sz w:val="24"/>
          <w:szCs w:val="24"/>
          <w:u w:val="single"/>
        </w:rPr>
        <w:t>Restrictive-Use Covenant</w:t>
      </w:r>
      <w:r>
        <w:rPr>
          <w:rFonts w:ascii="Times New Roman" w:hAnsi="Times New Roman"/>
          <w:sz w:val="24"/>
          <w:szCs w:val="24"/>
        </w:rPr>
        <w:t xml:space="preserve"> - Legal document that is required as a condition of receiving assistance under the MPR demonstration program. The document is </w:t>
      </w:r>
      <w:bookmarkStart w:name="OLE_LINK2" w:id="1"/>
      <w:r>
        <w:rPr>
          <w:rFonts w:ascii="Times New Roman" w:hAnsi="Times New Roman"/>
          <w:sz w:val="24"/>
          <w:szCs w:val="24"/>
        </w:rPr>
        <w:t>completed by the Agency, and signed to document the recipient’s acceptance by with professional legal assistance</w:t>
      </w:r>
      <w:bookmarkEnd w:id="1"/>
      <w:r>
        <w:rPr>
          <w:rFonts w:ascii="Times New Roman" w:hAnsi="Times New Roman"/>
          <w:sz w:val="24"/>
          <w:szCs w:val="24"/>
        </w:rPr>
        <w:t>.  The document is filed with the property’s deed that limits the uses of the property for 20 years.</w:t>
      </w:r>
    </w:p>
    <w:p w:rsidR="00853CF2" w:rsidP="00853CF2" w:rsidRDefault="00853CF2">
      <w:pPr>
        <w:numPr>
          <w:ilvl w:val="0"/>
          <w:numId w:val="1"/>
        </w:numPr>
        <w:rPr>
          <w:rFonts w:ascii="Times New Roman" w:hAnsi="Times New Roman"/>
          <w:sz w:val="24"/>
          <w:szCs w:val="24"/>
        </w:rPr>
      </w:pPr>
      <w:r>
        <w:rPr>
          <w:rFonts w:ascii="Times New Roman" w:hAnsi="Times New Roman"/>
          <w:sz w:val="24"/>
          <w:szCs w:val="24"/>
          <w:u w:val="single"/>
        </w:rPr>
        <w:t>Restrictive-Use Subordination Agreement</w:t>
      </w:r>
      <w:r>
        <w:rPr>
          <w:rFonts w:ascii="Times New Roman" w:hAnsi="Times New Roman"/>
          <w:sz w:val="24"/>
          <w:szCs w:val="24"/>
        </w:rPr>
        <w:t xml:space="preserve"> - Completed by the Agency and recipient and filed as a public record.  It documents the Agency’s subordination of existing loan agreements to the Restrictive-Use Covenant.</w:t>
      </w:r>
    </w:p>
    <w:p w:rsidR="00853CF2" w:rsidP="00853CF2" w:rsidRDefault="00853CF2">
      <w:pPr>
        <w:numPr>
          <w:ilvl w:val="0"/>
          <w:numId w:val="1"/>
        </w:numPr>
        <w:rPr>
          <w:rFonts w:ascii="Times New Roman" w:hAnsi="Times New Roman"/>
          <w:sz w:val="24"/>
          <w:szCs w:val="24"/>
        </w:rPr>
      </w:pPr>
      <w:r>
        <w:rPr>
          <w:rFonts w:ascii="Times New Roman" w:hAnsi="Times New Roman"/>
          <w:sz w:val="24"/>
          <w:szCs w:val="24"/>
          <w:u w:val="single"/>
        </w:rPr>
        <w:t>Form of Legal Opinion</w:t>
      </w:r>
      <w:r>
        <w:rPr>
          <w:rFonts w:ascii="Times New Roman" w:hAnsi="Times New Roman"/>
          <w:sz w:val="24"/>
          <w:szCs w:val="24"/>
        </w:rPr>
        <w:t xml:space="preserve"> - Provided by recipient’s attorney to the Agency assuring legal requirements of MPR have been met.</w:t>
      </w:r>
    </w:p>
    <w:p w:rsidR="00853CF2" w:rsidP="00853CF2" w:rsidRDefault="00853CF2">
      <w:pPr>
        <w:numPr>
          <w:ilvl w:val="0"/>
          <w:numId w:val="1"/>
        </w:numPr>
        <w:rPr>
          <w:rFonts w:ascii="Times New Roman" w:hAnsi="Times New Roman"/>
          <w:sz w:val="24"/>
          <w:szCs w:val="24"/>
        </w:rPr>
      </w:pPr>
      <w:bookmarkStart w:name="OLE_LINK1" w:id="2"/>
      <w:r>
        <w:rPr>
          <w:rFonts w:ascii="Times New Roman" w:hAnsi="Times New Roman"/>
          <w:sz w:val="24"/>
          <w:szCs w:val="24"/>
          <w:u w:val="single"/>
        </w:rPr>
        <w:t>MPR Grant Agreement</w:t>
      </w:r>
      <w:r>
        <w:rPr>
          <w:rFonts w:ascii="Times New Roman" w:hAnsi="Times New Roman"/>
          <w:sz w:val="24"/>
          <w:szCs w:val="24"/>
        </w:rPr>
        <w:t xml:space="preserve"> </w:t>
      </w:r>
      <w:bookmarkEnd w:id="2"/>
      <w:r>
        <w:rPr>
          <w:rFonts w:ascii="Times New Roman" w:hAnsi="Times New Roman"/>
          <w:sz w:val="24"/>
          <w:szCs w:val="24"/>
        </w:rPr>
        <w:t>- Legal document that is required as a condition of receiving a grant under the MPR demonstration program that is completed by the recipient with professional legal assistance.  It documents the Federal requirements for receiving federal grant funds.</w:t>
      </w:r>
    </w:p>
    <w:p w:rsidR="00853CF2" w:rsidP="00853CF2" w:rsidRDefault="00853CF2">
      <w:pPr>
        <w:numPr>
          <w:ilvl w:val="0"/>
          <w:numId w:val="1"/>
        </w:numPr>
        <w:rPr>
          <w:rFonts w:ascii="Times New Roman" w:hAnsi="Times New Roman"/>
          <w:sz w:val="24"/>
          <w:szCs w:val="24"/>
        </w:rPr>
      </w:pPr>
      <w:r>
        <w:rPr>
          <w:rFonts w:ascii="Times New Roman" w:hAnsi="Times New Roman"/>
          <w:sz w:val="24"/>
          <w:szCs w:val="24"/>
          <w:u w:val="single"/>
        </w:rPr>
        <w:t>MPR Loan and Grant Resolution (Non-Profit Corporation)</w:t>
      </w:r>
      <w:r>
        <w:rPr>
          <w:rFonts w:ascii="Times New Roman" w:hAnsi="Times New Roman"/>
          <w:sz w:val="24"/>
          <w:szCs w:val="24"/>
        </w:rPr>
        <w:t xml:space="preserve"> - Provides evidence that a non-profit organization has properly considered the terms and conditions of the restructuring and has authorized the acceptance of the condition.  The recipient completes it with professional legal assistance.</w:t>
      </w:r>
    </w:p>
    <w:p w:rsidR="00853CF2" w:rsidP="00853CF2" w:rsidRDefault="00853CF2">
      <w:pPr>
        <w:numPr>
          <w:ilvl w:val="0"/>
          <w:numId w:val="1"/>
        </w:numPr>
        <w:rPr>
          <w:rFonts w:ascii="Times New Roman" w:hAnsi="Times New Roman"/>
          <w:sz w:val="24"/>
          <w:szCs w:val="24"/>
        </w:rPr>
      </w:pPr>
      <w:r>
        <w:rPr>
          <w:rFonts w:ascii="Times New Roman" w:hAnsi="Times New Roman"/>
          <w:sz w:val="24"/>
          <w:szCs w:val="24"/>
          <w:u w:val="single"/>
        </w:rPr>
        <w:t>Restructuring Conditional Commitment</w:t>
      </w:r>
      <w:r>
        <w:rPr>
          <w:rFonts w:ascii="Times New Roman" w:hAnsi="Times New Roman"/>
          <w:sz w:val="24"/>
          <w:szCs w:val="24"/>
        </w:rPr>
        <w:t xml:space="preserve"> - The Agency and recipient complete the form that states the terms and conditions under which the Agency will defer debt service for up to 20 years.</w:t>
      </w:r>
    </w:p>
    <w:p w:rsidR="00853CF2" w:rsidP="00853CF2" w:rsidRDefault="00853CF2">
      <w:pPr>
        <w:numPr>
          <w:ilvl w:val="0"/>
          <w:numId w:val="1"/>
        </w:numPr>
        <w:rPr>
          <w:rFonts w:ascii="Times New Roman" w:hAnsi="Times New Roman"/>
          <w:sz w:val="24"/>
          <w:szCs w:val="24"/>
        </w:rPr>
      </w:pPr>
      <w:r>
        <w:rPr>
          <w:rFonts w:ascii="Times New Roman" w:hAnsi="Times New Roman"/>
          <w:sz w:val="24"/>
          <w:szCs w:val="24"/>
          <w:u w:val="single"/>
        </w:rPr>
        <w:t>Addendum to Debt Deferral Agreement</w:t>
      </w:r>
      <w:r>
        <w:rPr>
          <w:rFonts w:ascii="Times New Roman" w:hAnsi="Times New Roman"/>
          <w:sz w:val="24"/>
          <w:szCs w:val="24"/>
        </w:rPr>
        <w:t xml:space="preserve"> - Clarifies Agency servicing authority at the time the deferred loan becomes due.  </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Discrimination Complaints</w:t>
      </w:r>
      <w:r>
        <w:rPr>
          <w:rFonts w:ascii="Times New Roman" w:hAnsi="Times New Roman"/>
          <w:sz w:val="24"/>
          <w:szCs w:val="24"/>
        </w:rPr>
        <w:t xml:space="preserve">.  Any tenant/member or prospective tenant/member may file a complaint if he/she believes they have been discriminated against because of race, color, religion, sex, familial status, national origin, age, or disability. </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Compliance with Other Federal Requirements</w:t>
      </w:r>
      <w:r>
        <w:rPr>
          <w:rFonts w:ascii="Times New Roman" w:hAnsi="Times New Roman"/>
          <w:sz w:val="24"/>
          <w:szCs w:val="24"/>
        </w:rPr>
        <w:t>.  For contracts exceeding $100,000, contractors must comply with all applicable standards, orders or requirements issued under section 306 of the Clean Air Act (42 U.S.C. 1857(h)), section 508 of the Clean Water Act (33 U.S.C. 1368), Executive Order 11738, and Environmental Protection Agency (EPA) regulations.  Applicants must comply with the provisions of the National Historic Preservation Act of 1966, the Archeological and Historical Preservation Act of 1974 (Public Law 93-291), and Executive Order 11593 dated May 13, 1971.</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Exception Requests</w:t>
      </w:r>
      <w:r>
        <w:rPr>
          <w:rFonts w:ascii="Times New Roman" w:hAnsi="Times New Roman"/>
          <w:sz w:val="24"/>
          <w:szCs w:val="24"/>
        </w:rPr>
        <w:t>.  The Agency Administrator may make an exception to any provision of the regulation provided that the exception is supported by the applicable statute and is in the best interest of the government.  The request must be submitted in writing to the State Director for concurrence before the State Office forwards it to the Administrator.</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Market Feasibility</w:t>
      </w:r>
      <w:r>
        <w:rPr>
          <w:rFonts w:ascii="Times New Roman" w:hAnsi="Times New Roman"/>
          <w:sz w:val="24"/>
          <w:szCs w:val="24"/>
        </w:rPr>
        <w:t>.  Market studies are used by the Agency to examine the general market conditions of supply, demand, and pricing of rents or the demand for housing in a specific area.  A market feasibility study would be a necessary component of a conventional loan package made by a commercial lender.</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Notification of Other Assistance</w:t>
      </w:r>
      <w:r>
        <w:rPr>
          <w:rFonts w:ascii="Times New Roman" w:hAnsi="Times New Roman"/>
          <w:sz w:val="24"/>
          <w:szCs w:val="24"/>
        </w:rPr>
        <w:t>.  The applicant must provide amount, type, rate, and terms for other sources of funding.  This requirement is necessary in order to assure the government is not providing excess assistance.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Written Contract for Legal Services</w:t>
      </w:r>
      <w:r>
        <w:rPr>
          <w:rFonts w:ascii="Times New Roman" w:hAnsi="Times New Roman"/>
          <w:sz w:val="24"/>
          <w:szCs w:val="24"/>
        </w:rPr>
        <w:t>.  Loan applicants must have written contracts for any legal services that are to be paid out of loan funds.  A model legal services agreement is available for use by cooperative or other nonprofit organizations that specifies the required legal services necessary to the organization.</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Property, Liability, and Fidelity Insurance, Surety Bonding</w:t>
      </w:r>
      <w:r>
        <w:rPr>
          <w:rFonts w:ascii="Times New Roman" w:hAnsi="Times New Roman"/>
          <w:sz w:val="24"/>
          <w:szCs w:val="24"/>
        </w:rPr>
        <w:t>.  Evidence of insurance is usually in the form of a policy.  A written binder is acceptable for a specified period of time.  The government’s interest in the secured property must be protected and the government must be shown on the policy as loss payee.  Evidence that premium has been paid, such as a receipt of the policy or bill stamped “paid,” must be included.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Cost Overruns</w:t>
      </w:r>
      <w:r>
        <w:rPr>
          <w:rFonts w:ascii="Times New Roman" w:hAnsi="Times New Roman"/>
          <w:sz w:val="24"/>
          <w:szCs w:val="24"/>
        </w:rPr>
        <w:t>.  This is a statement by the applicant to pay construction or development costs in excess of those approved by the Agency.  Exceptions may be granted for increases caused by factors beyond the applicant’s control.</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Adequacy of Initial Operating Capital</w:t>
      </w:r>
      <w:r>
        <w:rPr>
          <w:rFonts w:ascii="Times New Roman" w:hAnsi="Times New Roman"/>
          <w:sz w:val="24"/>
          <w:szCs w:val="24"/>
        </w:rPr>
        <w:t>.  The borrower is required to deposit cash equal to 2 percent of the loan amount in an operation account. (Eligible Nonprofit applicants may be able to include this in their RD loan request.) This account is used to pay project operating costs before and after operating cash flow starts.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Establish Reserve Account</w:t>
      </w:r>
      <w:r>
        <w:rPr>
          <w:rFonts w:ascii="Times New Roman" w:hAnsi="Times New Roman"/>
          <w:sz w:val="24"/>
          <w:szCs w:val="24"/>
        </w:rPr>
        <w:t>.  To meet major capital expenses of a project, borrower must establish and fund a reserve account.  The borrower must make monthly contributions at a minimum in amounts that will equal an annual contribution of 1 percent of the total development cost.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Evidence That Funds from Other Sources Are Available</w:t>
      </w:r>
      <w:r>
        <w:rPr>
          <w:rFonts w:ascii="Times New Roman" w:hAnsi="Times New Roman"/>
          <w:sz w:val="24"/>
          <w:szCs w:val="24"/>
        </w:rPr>
        <w:t>.  Applicants must provide evidence that financing arrangements from other sources as proposed in the loan application are available and have not changed.  This information would be required of a commercial lender before a loan was closed and is considered a prudent lending practice.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Architect’s Statement Certifying Substantial Completion</w:t>
      </w:r>
      <w:r>
        <w:rPr>
          <w:rFonts w:ascii="Times New Roman" w:hAnsi="Times New Roman"/>
          <w:sz w:val="24"/>
          <w:szCs w:val="24"/>
        </w:rPr>
        <w:t>.  In cases of interim financing, before an Agency loan is closed, a dated and signed statement from the owner’s architect certifying to substantial completion of the housing project must be provided.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Evidence That Agency-Approved Accounting System Is in Place</w:t>
      </w:r>
      <w:r>
        <w:rPr>
          <w:rFonts w:ascii="Times New Roman" w:hAnsi="Times New Roman"/>
          <w:sz w:val="24"/>
          <w:szCs w:val="24"/>
        </w:rPr>
        <w:t>.  This is generally a letter from the borrower’s accountant outlining the accounting system to be used.  This is a loan closing requirement and is a good lending practice.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Subsequent Loan Requirements</w:t>
      </w:r>
      <w:r>
        <w:rPr>
          <w:rFonts w:ascii="Times New Roman" w:hAnsi="Times New Roman"/>
          <w:sz w:val="24"/>
          <w:szCs w:val="24"/>
        </w:rPr>
        <w:t>.  The Agency may make a subsequent loan to a borrower to complete or develop additional units, improve, repair, or make modifications to multi-family housing initially financed by the Agency, or for equity or other authorized purposes as defined by the respective program regulation, NOSA, or Appropriation.  The borrower will have already submitted much of the required information in the initial loan application or transfer application package; therefore, much of the information will just have to be updated for the subsequent loan requirements.</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Management Plan.</w:t>
      </w:r>
      <w:r>
        <w:rPr>
          <w:rFonts w:ascii="Times New Roman" w:hAnsi="Times New Roman"/>
          <w:sz w:val="24"/>
          <w:szCs w:val="24"/>
        </w:rPr>
        <w:t xml:space="preserve">  The management plan establishes responsibility for the operation of the project, sets procedures to rent units to eligible tenants, and ensures that the requirements of the loan and/or grant are met, and the property is maintained.  Updated or revised management plans must be submitted to the Agency.  If there are no changes to the management plan, borrowers must submit a certification every 3 years stating that operations are consistent with the management plan.</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Revisions to Management Plan</w:t>
      </w:r>
      <w:r>
        <w:rPr>
          <w:rFonts w:ascii="Times New Roman" w:hAnsi="Times New Roman"/>
          <w:sz w:val="24"/>
          <w:szCs w:val="24"/>
        </w:rPr>
        <w:t>.  When deficiencies in management are noted by the Agency, the borrower will revise the management plan or provide a description of corrective actions to ensure that the management plan is followed.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Written Request for Agency Approval </w:t>
      </w:r>
      <w:proofErr w:type="spellStart"/>
      <w:r>
        <w:rPr>
          <w:rFonts w:ascii="Times New Roman" w:hAnsi="Times New Roman"/>
          <w:sz w:val="24"/>
          <w:szCs w:val="24"/>
          <w:u w:val="single"/>
        </w:rPr>
        <w:t>f</w:t>
      </w:r>
      <w:proofErr w:type="spellEnd"/>
      <w:r>
        <w:rPr>
          <w:rFonts w:ascii="Times New Roman" w:hAnsi="Times New Roman"/>
          <w:sz w:val="24"/>
          <w:szCs w:val="24"/>
          <w:u w:val="single"/>
        </w:rPr>
        <w:t xml:space="preserve"> Management Entity</w:t>
      </w:r>
      <w:r>
        <w:rPr>
          <w:rFonts w:ascii="Times New Roman" w:hAnsi="Times New Roman"/>
          <w:sz w:val="24"/>
          <w:szCs w:val="24"/>
        </w:rPr>
        <w:t>.  If there is a change in the management entity for a project, the borrower must seek Agency approval for the change.  This ensures that management is carried out in accordance with program objectives.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Management Agreement</w:t>
      </w:r>
      <w:r>
        <w:rPr>
          <w:rFonts w:ascii="Times New Roman" w:hAnsi="Times New Roman"/>
          <w:sz w:val="24"/>
          <w:szCs w:val="24"/>
        </w:rPr>
        <w:t xml:space="preserve">.  This agreement is the contract between the borrower and the management agent hired to manage operation of the security property.  It is essential to have a clear understanding between the owner, management agent, and the Agency, of the division of responsibilities and compensation for service provided.  This agreement impacts directly on the </w:t>
      </w:r>
      <w:r>
        <w:rPr>
          <w:rFonts w:ascii="Times New Roman" w:hAnsi="Times New Roman"/>
          <w:sz w:val="24"/>
          <w:szCs w:val="24"/>
        </w:rPr>
        <w:lastRenderedPageBreak/>
        <w:t>borrower’s ability to fulfill its loan agreement and obligations.  This agreement is prepared when the agent is initially hired and is reviewed and modified as needed or required to achieve loan objectives.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Capital Needs Assessment</w:t>
      </w:r>
      <w:r>
        <w:rPr>
          <w:rFonts w:ascii="Times New Roman" w:hAnsi="Times New Roman"/>
          <w:sz w:val="24"/>
          <w:szCs w:val="24"/>
        </w:rPr>
        <w:t xml:space="preserve">.  The long-term capital plan will be developed as part of the budget process.  This plan ensures that long-range needs of the project will be met and that tenants will continue to reside in safe, decent, sanitary housing conditions. </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Eviction of Tenants Who Do Not Recertify</w:t>
      </w:r>
      <w:r>
        <w:rPr>
          <w:rFonts w:ascii="Times New Roman" w:hAnsi="Times New Roman"/>
          <w:sz w:val="24"/>
          <w:szCs w:val="24"/>
        </w:rPr>
        <w:t>.  If a tenant refuses to cooperate in verifying income and other information, they may be evicted.  This ensures that ineligible tenants are not occupying the units.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Request to Rent to Ineligible Occupants</w:t>
      </w:r>
      <w:r>
        <w:rPr>
          <w:rFonts w:ascii="Times New Roman" w:hAnsi="Times New Roman"/>
          <w:sz w:val="24"/>
          <w:szCs w:val="24"/>
        </w:rPr>
        <w:t xml:space="preserve">: The Agency may authorize the borrower in writing, upon receiving the borrower’s written request with the necessary documentation, to rent vacant units to ineligible persons for temporary periods to protect the financial interest of the Government. </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Tenant Application Forms</w:t>
      </w:r>
      <w:r>
        <w:rPr>
          <w:rFonts w:ascii="Times New Roman" w:hAnsi="Times New Roman"/>
          <w:sz w:val="24"/>
          <w:szCs w:val="24"/>
        </w:rPr>
        <w:t>.  Borrowers must use tenant application forms that collect sufficient information to properly determine household eligibility and to monitor compliance with the Fair Housing Act.  These files enable the Agency to verify eligibility of tenants, Fair Housing and civil rights compliance by the borrower.</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Authorization for Information Verification</w:t>
      </w:r>
      <w:r>
        <w:rPr>
          <w:rFonts w:ascii="Times New Roman" w:hAnsi="Times New Roman"/>
          <w:sz w:val="24"/>
          <w:szCs w:val="24"/>
        </w:rPr>
        <w:t>.  Authorization must be signed by borrowers/applicants, tenants, etc., so that we can verify such things as employment, other income, and account balances.  These verifications ensure that the borrower is providing appropriate assistance to eligible persons.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Waiting Lists</w:t>
      </w:r>
      <w:r>
        <w:rPr>
          <w:rFonts w:ascii="Times New Roman" w:hAnsi="Times New Roman"/>
          <w:sz w:val="24"/>
          <w:szCs w:val="24"/>
        </w:rPr>
        <w:t>.  This list is required to assure that eligible tenant applicants are afforded fairness of selection according to Agency requirements. Information on the place and times for tenant application submission is required to be documented in the housing project’s management plan and Affirmative Fair Housing Marketing Plan.</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Notification to Ineligible Applicants/Rejections</w:t>
      </w:r>
      <w:r>
        <w:rPr>
          <w:rFonts w:ascii="Times New Roman" w:hAnsi="Times New Roman"/>
          <w:sz w:val="24"/>
          <w:szCs w:val="24"/>
        </w:rPr>
        <w:t>.  The borrower, using his own written format, must inform a tenant applicant of his eligibility or rejections for occupancy in a rental housing project.  This requirement ensures that an applicant’s rights are protected, and a rejected applicant is given appeal rights.</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Lease/Lease Modifications</w:t>
      </w:r>
      <w:r>
        <w:rPr>
          <w:rFonts w:ascii="Times New Roman" w:hAnsi="Times New Roman"/>
          <w:sz w:val="24"/>
          <w:szCs w:val="24"/>
        </w:rPr>
        <w:t>.  The tenant lease is the basic written confirmation of agreement to the terms and conditions of tenant occupancy and the responsibility between a tenant and landlord (borrower).  It is entered into at the tenant’s initial occupancy and then subsequently with each new 1-year lease term.  The Agency requires use of a written tenant lease for consistency in program conformity.  Although leases are usual and customary, the Agency requires specific language clauses dealing with specific program requirements.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Occupancy Rules</w:t>
      </w:r>
      <w:r>
        <w:rPr>
          <w:rFonts w:ascii="Times New Roman" w:hAnsi="Times New Roman"/>
          <w:sz w:val="24"/>
          <w:szCs w:val="24"/>
        </w:rPr>
        <w:t xml:space="preserve">.  The purpose of a borrower’s occupancy rules is to outline the basis for the tenant and management relationship.  Prior to Agency approval of occupancy rules, borrowers </w:t>
      </w:r>
      <w:r>
        <w:rPr>
          <w:rFonts w:ascii="Times New Roman" w:hAnsi="Times New Roman"/>
          <w:sz w:val="24"/>
          <w:szCs w:val="24"/>
        </w:rPr>
        <w:lastRenderedPageBreak/>
        <w:t>must provide written certification from their attorney that the housing project’s occupancy rules are consistent with applicable federal, state, and local laws, as well as Agency requirements and the requirements of other programs participating in the project.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Notice of Lease Violation</w:t>
      </w:r>
      <w:r>
        <w:rPr>
          <w:rFonts w:ascii="Times New Roman" w:hAnsi="Times New Roman"/>
          <w:sz w:val="24"/>
          <w:szCs w:val="24"/>
        </w:rPr>
        <w:t>.  The borrower or agent issues this notice to inform a tenant of violation of one or more terms of the lease agreement.  The notice advises the tenant that failure to correct the violation, or further violation, can result in termination of occupancy benefits.  The notice must be mailed to the tenant as well as hand delivered at the tenant’s apartment unit.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Occupancy Termination Notice</w:t>
      </w:r>
      <w:r>
        <w:rPr>
          <w:rFonts w:ascii="Times New Roman" w:hAnsi="Times New Roman"/>
          <w:sz w:val="24"/>
          <w:szCs w:val="24"/>
        </w:rPr>
        <w:t>.  The notice follows the notice of lease violation when a tenant fails to correct previously noted lease violations.  It is the tenant’s notice that the borrower expects the tenant to cease occupancy by a prescribed date, and that failure to do so will result in the borrower seeking eviction through judicial proceedings.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Tenant Protection and Grievance Procedures</w:t>
      </w:r>
      <w:r>
        <w:rPr>
          <w:rFonts w:ascii="Times New Roman" w:hAnsi="Times New Roman"/>
          <w:sz w:val="24"/>
          <w:szCs w:val="24"/>
        </w:rPr>
        <w:t>.  The Agency will provide borrowers/management agents with a booklet outlining tenant protection and grievance procedures to distribute to tenants.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Notification to Tenant of Adverse Action</w:t>
      </w:r>
      <w:r>
        <w:rPr>
          <w:rFonts w:ascii="Times New Roman" w:hAnsi="Times New Roman"/>
          <w:sz w:val="24"/>
          <w:szCs w:val="24"/>
        </w:rPr>
        <w:t>.  The borrower must notify a tenant before they proceed with any adverse action.  This requirement provides due notice to tenant.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Grievance </w:t>
      </w:r>
      <w:proofErr w:type="gramStart"/>
      <w:r>
        <w:rPr>
          <w:rFonts w:ascii="Times New Roman" w:hAnsi="Times New Roman"/>
          <w:sz w:val="24"/>
          <w:szCs w:val="24"/>
          <w:u w:val="single"/>
        </w:rPr>
        <w:t>Or</w:t>
      </w:r>
      <w:proofErr w:type="gramEnd"/>
      <w:r>
        <w:rPr>
          <w:rFonts w:ascii="Times New Roman" w:hAnsi="Times New Roman"/>
          <w:sz w:val="24"/>
          <w:szCs w:val="24"/>
          <w:u w:val="single"/>
        </w:rPr>
        <w:t xml:space="preserve"> Response To Adverse Action</w:t>
      </w:r>
      <w:r>
        <w:rPr>
          <w:rFonts w:ascii="Times New Roman" w:hAnsi="Times New Roman"/>
          <w:sz w:val="24"/>
          <w:szCs w:val="24"/>
        </w:rPr>
        <w:t>.  The tenant must communicate to the borrower any grievance or response within 10 calendar days after occurrence of adverse action or receipt of a notice of adverse action.</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Summary and Submission </w:t>
      </w:r>
      <w:proofErr w:type="gramStart"/>
      <w:r>
        <w:rPr>
          <w:rFonts w:ascii="Times New Roman" w:hAnsi="Times New Roman"/>
          <w:sz w:val="24"/>
          <w:szCs w:val="24"/>
          <w:u w:val="single"/>
        </w:rPr>
        <w:t>Of</w:t>
      </w:r>
      <w:proofErr w:type="gramEnd"/>
      <w:r>
        <w:rPr>
          <w:rFonts w:ascii="Times New Roman" w:hAnsi="Times New Roman"/>
          <w:sz w:val="24"/>
          <w:szCs w:val="24"/>
          <w:u w:val="single"/>
        </w:rPr>
        <w:t xml:space="preserve"> Problem</w:t>
      </w:r>
      <w:r>
        <w:rPr>
          <w:rFonts w:ascii="Times New Roman" w:hAnsi="Times New Roman"/>
          <w:sz w:val="24"/>
          <w:szCs w:val="24"/>
        </w:rPr>
        <w:t>.  If a tenant’s grievance is not resolved during an informal meeting, the borrower must prepare a summary of the problem and submit the summary to the tenant and the Agency.  This requirement makes the Agency aware of problems and enables the Agency to help resolve the problem.</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Escrow for Tenant Payments</w:t>
      </w:r>
      <w:r>
        <w:rPr>
          <w:rFonts w:ascii="Times New Roman" w:hAnsi="Times New Roman"/>
          <w:sz w:val="24"/>
          <w:szCs w:val="24"/>
        </w:rPr>
        <w:t>.  When there is a dispute between the tenant and management, the tenant’s rent payments must be held in escrow.  This protects the tenant’s rights while still ensuring that the payment(s) will be available if the dispute is not resolved in the tenant’s favor.</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Certification That Funds from Other Sources to Reduce Rents Will Not Be Paid </w:t>
      </w:r>
      <w:proofErr w:type="gramStart"/>
      <w:r>
        <w:rPr>
          <w:rFonts w:ascii="Times New Roman" w:hAnsi="Times New Roman"/>
          <w:sz w:val="24"/>
          <w:szCs w:val="24"/>
          <w:u w:val="single"/>
        </w:rPr>
        <w:t>From</w:t>
      </w:r>
      <w:proofErr w:type="gramEnd"/>
      <w:r>
        <w:rPr>
          <w:rFonts w:ascii="Times New Roman" w:hAnsi="Times New Roman"/>
          <w:sz w:val="24"/>
          <w:szCs w:val="24"/>
          <w:u w:val="single"/>
        </w:rPr>
        <w:t xml:space="preserve"> Agency Funds</w:t>
      </w:r>
      <w:r>
        <w:rPr>
          <w:rFonts w:ascii="Times New Roman" w:hAnsi="Times New Roman"/>
          <w:sz w:val="24"/>
          <w:szCs w:val="24"/>
        </w:rPr>
        <w:t>.  When funds contributed from sources other than the Agency are used for housing project expenses, the borrower must certify in writing that these funds will not need to be repaid with Agency funds.  Such funds could include state or local grants, or private contributions to reduce general operating and management expenses.  Housing project rents must be reduced to reflect the funding being used to offset project expenses.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Request for Rent Changes</w:t>
      </w:r>
      <w:r>
        <w:rPr>
          <w:rFonts w:ascii="Times New Roman" w:hAnsi="Times New Roman"/>
          <w:sz w:val="24"/>
          <w:szCs w:val="24"/>
        </w:rPr>
        <w:t>.  If it becomes necessary to modify a shelter cost, the borrower must seek Agency approval.  These requests are included as part of the budget process.  Rents must be reviewed and approved by the Agency to maintain affordability for tenants and sufficient cash flow for borrowers.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lastRenderedPageBreak/>
        <w:t>Summary of Tenant Comments</w:t>
      </w:r>
      <w:r>
        <w:rPr>
          <w:rFonts w:ascii="Times New Roman" w:hAnsi="Times New Roman"/>
          <w:sz w:val="24"/>
          <w:szCs w:val="24"/>
        </w:rPr>
        <w:t>.  Upon receiving notice of a pending rent change, a tenant is given the opportunity to make written comments or objections to the proposed rent change.  It is a tenant’s opportunity for response, not a requirement.  The tenant submits the written comments or objections to the Agency servicing official.</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Documentation That There Are No Very Low-Income Households or That Occupancy </w:t>
      </w:r>
      <w:proofErr w:type="gramStart"/>
      <w:r>
        <w:rPr>
          <w:rFonts w:ascii="Times New Roman" w:hAnsi="Times New Roman"/>
          <w:sz w:val="24"/>
          <w:szCs w:val="24"/>
          <w:u w:val="single"/>
        </w:rPr>
        <w:t>By</w:t>
      </w:r>
      <w:proofErr w:type="gramEnd"/>
      <w:r>
        <w:rPr>
          <w:rFonts w:ascii="Times New Roman" w:hAnsi="Times New Roman"/>
          <w:sz w:val="24"/>
          <w:szCs w:val="24"/>
          <w:u w:val="single"/>
        </w:rPr>
        <w:t xml:space="preserve"> Low-Income Households Is Limited</w:t>
      </w:r>
      <w:r>
        <w:rPr>
          <w:rFonts w:ascii="Times New Roman" w:hAnsi="Times New Roman"/>
          <w:sz w:val="24"/>
          <w:szCs w:val="24"/>
        </w:rPr>
        <w:t>.  The Housing and Urban-Rural Renewal Recovery Act of 1983 (HURRA 83) requires that in projects initially occupied prior to November 30, 1983, no more than 25 percent of all units receiving rental assistance may be occupied by low-income tenants other than very low-income tenants.  For projects initially occupied on or after November 30, 1983, it is no more than 5 percent.  There can be up to 25 percent and 5 percent of RA units respectively used by low-income tenants.  The balance must be used by very low-income tenants.  When local market conditions do not allow a project to meet these requirements, the borrower may request in writing a variance from this rule.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Rental Subsidies </w:t>
      </w:r>
      <w:proofErr w:type="gramStart"/>
      <w:r>
        <w:rPr>
          <w:rFonts w:ascii="Times New Roman" w:hAnsi="Times New Roman"/>
          <w:sz w:val="24"/>
          <w:szCs w:val="24"/>
          <w:u w:val="single"/>
        </w:rPr>
        <w:t>From</w:t>
      </w:r>
      <w:proofErr w:type="gramEnd"/>
      <w:r>
        <w:rPr>
          <w:rFonts w:ascii="Times New Roman" w:hAnsi="Times New Roman"/>
          <w:sz w:val="24"/>
          <w:szCs w:val="24"/>
          <w:u w:val="single"/>
        </w:rPr>
        <w:t xml:space="preserve"> Non-Agency Sources</w:t>
      </w:r>
      <w:r>
        <w:rPr>
          <w:rFonts w:ascii="Times New Roman" w:hAnsi="Times New Roman"/>
          <w:sz w:val="24"/>
          <w:szCs w:val="24"/>
        </w:rPr>
        <w:t>.  Loan applicants using non-Agency rental subsidy must provide market documentation and the rental subsidy agreement.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CPA Certification of Separate Accountability</w:t>
      </w:r>
      <w:r>
        <w:rPr>
          <w:rFonts w:ascii="Times New Roman" w:hAnsi="Times New Roman"/>
          <w:sz w:val="24"/>
          <w:szCs w:val="24"/>
        </w:rPr>
        <w:t>.  Housing project funds may be combined in one or more bank accounts for two or more housing projects as long as the borrower’s accounting system separately tracks funds for each project.  When the borrower requests Agency approval for such an accounting system, they must include a statement from a CPA stating that the accounting system is structured to segregate and maintain separate accountability for each housing project.  This requirement ensures that program objectives are met for each housing project.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Withdrawal of Initial 2 Percent</w:t>
      </w:r>
      <w:r>
        <w:rPr>
          <w:rFonts w:ascii="Times New Roman" w:hAnsi="Times New Roman"/>
          <w:sz w:val="24"/>
          <w:szCs w:val="24"/>
        </w:rPr>
        <w:t>.  Between the end of the second and seventh year of operation, the Agency provides the borrower the opportunity to withdraw the initial two percent, provided certain fiscal conditions exist.  The borrower must request the withdrawal in writing.  The Agency will review the borrower’s request and supporting justification before withdrawal is permitted.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Maintain Reserve Funds Accounts.</w:t>
      </w:r>
      <w:r>
        <w:rPr>
          <w:rFonts w:ascii="Times New Roman" w:hAnsi="Times New Roman"/>
          <w:sz w:val="24"/>
          <w:szCs w:val="24"/>
        </w:rPr>
        <w:t xml:space="preserve"> The Borrower is required to annually fund the reserve account based upon the terms of their loan agreement or resolution.  Funds may be withdrawn from the account typically for capital needs.  Borrowers must receive Agency approval prior to withdrawing any funds.  Borrower management of the reserve account is subject to the requirements of 7 CFR part 1902, subpart A regarding supervised bank accounts.  When reserve funds are invested in securities, the borrower must record the price actually paid for the securities.  When designated as a reserve deposit, the price paid must equal the required contribution to reserves.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Request for Approval of Advancement of Owners Funds.</w:t>
      </w:r>
      <w:r>
        <w:rPr>
          <w:rFonts w:ascii="Times New Roman" w:hAnsi="Times New Roman"/>
          <w:sz w:val="24"/>
          <w:szCs w:val="24"/>
        </w:rPr>
        <w:t xml:space="preserve"> Prior written approval by the Servicing Office is required. Such advances may be authorized when justified by unusual short-term conditions. </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lastRenderedPageBreak/>
        <w:t>Reports</w:t>
      </w:r>
      <w:r>
        <w:rPr>
          <w:rFonts w:ascii="Times New Roman" w:hAnsi="Times New Roman"/>
          <w:sz w:val="24"/>
          <w:szCs w:val="24"/>
        </w:rPr>
        <w:t>.  The Agency may require quarterly or monthly reports to monitor financial progress when closer supervision is warranted.  The reports must be submitted using an Agency approved format.  Also see Forms RD 3560-7 or 3560-7A.</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Response to Agency Notification of Deficiencies or Violations</w:t>
      </w:r>
      <w:r>
        <w:rPr>
          <w:rFonts w:ascii="Times New Roman" w:hAnsi="Times New Roman"/>
          <w:sz w:val="24"/>
          <w:szCs w:val="24"/>
        </w:rPr>
        <w:t>.  Borrowers will be notified in writing of any deficiencies or violations noted by the Agency.  There will be a specified time period by which the borrower must respond to the Agency and/or remedy the deficiencies or compliance violations.  These actions are necessary to ensure program compliance.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Request for Payoff</w:t>
      </w:r>
      <w:r>
        <w:rPr>
          <w:rFonts w:ascii="Times New Roman" w:hAnsi="Times New Roman"/>
          <w:sz w:val="24"/>
          <w:szCs w:val="24"/>
        </w:rPr>
        <w:t>.  At the borrower’s request, the Agency will prepare a payoff statement.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Documentation of Organization Structure/Changes </w:t>
      </w:r>
      <w:proofErr w:type="gramStart"/>
      <w:r>
        <w:rPr>
          <w:rFonts w:ascii="Times New Roman" w:hAnsi="Times New Roman"/>
          <w:sz w:val="24"/>
          <w:szCs w:val="24"/>
          <w:u w:val="single"/>
        </w:rPr>
        <w:t>In</w:t>
      </w:r>
      <w:proofErr w:type="gramEnd"/>
      <w:r>
        <w:rPr>
          <w:rFonts w:ascii="Times New Roman" w:hAnsi="Times New Roman"/>
          <w:sz w:val="24"/>
          <w:szCs w:val="24"/>
          <w:u w:val="single"/>
        </w:rPr>
        <w:t xml:space="preserve"> Ownership Entity/Agency Approval For Ownership Changes Or Sales</w:t>
      </w:r>
      <w:r>
        <w:rPr>
          <w:rFonts w:ascii="Times New Roman" w:hAnsi="Times New Roman"/>
          <w:sz w:val="24"/>
          <w:szCs w:val="24"/>
        </w:rPr>
        <w:t>.  Changes in organization structure or ownership require Agency approval to ensure the continued eligibility of the borrower organization/entity.  Information to be submitted includes a list of members, financial statements from general partners and stockholders with more than a 10 percent interest (or a statement of net worth), statements of net worth for limited partners, statements identifying identity of interest and experience, statements evidencing lack of other available credit, evidence of assumption of original or withdrawing partner’s obligations, and amendments to organizational documents.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Signed Agreement Listing All Known Repairs</w:t>
      </w:r>
      <w:r>
        <w:rPr>
          <w:rFonts w:ascii="Times New Roman" w:hAnsi="Times New Roman"/>
          <w:sz w:val="24"/>
          <w:szCs w:val="24"/>
        </w:rPr>
        <w:t xml:space="preserve">.  An agreement must be signed by the borrower and transferee or buyer listing all known repairs necessary to bring project into compliance.  The agreement must specify whether each repair will be completed by the borrower prior to transfer, or by the transferee or buyer.  This requirement ensures that the project will </w:t>
      </w:r>
      <w:proofErr w:type="gramStart"/>
      <w:r>
        <w:rPr>
          <w:rFonts w:ascii="Times New Roman" w:hAnsi="Times New Roman"/>
          <w:sz w:val="24"/>
          <w:szCs w:val="24"/>
        </w:rPr>
        <w:t>be in compliance with</w:t>
      </w:r>
      <w:proofErr w:type="gramEnd"/>
      <w:r>
        <w:rPr>
          <w:rFonts w:ascii="Times New Roman" w:hAnsi="Times New Roman"/>
          <w:sz w:val="24"/>
          <w:szCs w:val="24"/>
        </w:rPr>
        <w:t xml:space="preserve"> Agency requirements for decent, safe and sanitary housing.</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Financial Reports for Transferee/Buyer</w:t>
      </w:r>
      <w:r>
        <w:rPr>
          <w:rFonts w:ascii="Times New Roman" w:hAnsi="Times New Roman"/>
          <w:sz w:val="24"/>
          <w:szCs w:val="24"/>
        </w:rPr>
        <w:t>.  The underwriting requirement for financial reports applies to transfers.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No Liens, Judgments</w:t>
      </w:r>
      <w:r>
        <w:rPr>
          <w:rFonts w:ascii="Times New Roman" w:hAnsi="Times New Roman"/>
          <w:sz w:val="24"/>
          <w:szCs w:val="24"/>
        </w:rPr>
        <w:t>.  A transferee or buyer must establish that there are no liens, judgments or claims against the project other than those by the Agency and those to which the Agency had previously agreed.  This requirement ensures that the Agency’s security position is maintained.</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Certification That Equity Payments to Borrower Will Not Be Paid from Project Funds (Identify Sources).</w:t>
      </w:r>
      <w:r>
        <w:rPr>
          <w:rFonts w:ascii="Times New Roman" w:hAnsi="Times New Roman"/>
          <w:sz w:val="24"/>
          <w:szCs w:val="24"/>
        </w:rPr>
        <w:t xml:space="preserve">  If a full equity payment to the transferor is not paid at the time of transfer or sale, or has not been paid through an Agency equity loan to the borrower, the transferee or buyer must certify that equity payments due to the borrower will not be paid from project funds.  The source of such payments must be identified.  This requirement ensures proper use of project funds.</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Applicable Restrictive Use Agreement to Be Executed </w:t>
      </w:r>
      <w:proofErr w:type="gramStart"/>
      <w:r>
        <w:rPr>
          <w:rFonts w:ascii="Times New Roman" w:hAnsi="Times New Roman"/>
          <w:sz w:val="24"/>
          <w:szCs w:val="24"/>
          <w:u w:val="single"/>
        </w:rPr>
        <w:t>By</w:t>
      </w:r>
      <w:proofErr w:type="gramEnd"/>
      <w:r>
        <w:rPr>
          <w:rFonts w:ascii="Times New Roman" w:hAnsi="Times New Roman"/>
          <w:sz w:val="24"/>
          <w:szCs w:val="24"/>
          <w:u w:val="single"/>
        </w:rPr>
        <w:t xml:space="preserve"> Transferee/Borrower</w:t>
      </w:r>
      <w:r>
        <w:rPr>
          <w:rFonts w:ascii="Times New Roman" w:hAnsi="Times New Roman"/>
          <w:sz w:val="24"/>
          <w:szCs w:val="24"/>
        </w:rPr>
        <w:t>.  A restrictive use agreement must be executed by transferee at loan closing.  This is to ensure property retains use as affordable housing as required by law.</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Written Consent for Subordination and Junior Liens</w:t>
      </w:r>
      <w:r>
        <w:rPr>
          <w:rFonts w:ascii="Times New Roman" w:hAnsi="Times New Roman"/>
          <w:sz w:val="24"/>
          <w:szCs w:val="24"/>
        </w:rPr>
        <w:t xml:space="preserve">. Borrowers must obtain Agency consent prior to entering into any financial transaction that will require a subordination of the Agency </w:t>
      </w:r>
      <w:r>
        <w:rPr>
          <w:rFonts w:ascii="Times New Roman" w:hAnsi="Times New Roman"/>
          <w:sz w:val="24"/>
          <w:szCs w:val="24"/>
        </w:rPr>
        <w:lastRenderedPageBreak/>
        <w:t>security interest in the property.  The subordination must not adversely impact the Agency’s ability to service the loan.</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Filing of Financing Statement, Loan Document </w:t>
      </w:r>
      <w:proofErr w:type="gramStart"/>
      <w:r>
        <w:rPr>
          <w:rFonts w:ascii="Times New Roman" w:hAnsi="Times New Roman"/>
          <w:sz w:val="24"/>
          <w:szCs w:val="24"/>
          <w:u w:val="single"/>
        </w:rPr>
        <w:t>Or</w:t>
      </w:r>
      <w:proofErr w:type="gramEnd"/>
      <w:r>
        <w:rPr>
          <w:rFonts w:ascii="Times New Roman" w:hAnsi="Times New Roman"/>
          <w:sz w:val="24"/>
          <w:szCs w:val="24"/>
          <w:u w:val="single"/>
        </w:rPr>
        <w:t xml:space="preserve"> Contract And Security Agreement</w:t>
      </w:r>
      <w:r>
        <w:rPr>
          <w:rFonts w:ascii="Times New Roman" w:hAnsi="Times New Roman"/>
          <w:sz w:val="24"/>
          <w:szCs w:val="24"/>
        </w:rPr>
        <w:t>.  In cases where other liens against property with Agency consent, borrowers must complete and file with the Agency a copy of the financing statement, loan document, or contract, as applicable, as well as a security agreement acceptable to the Agency.  This requirement enables the Agency to protect the government’s security interest.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Workout Agreements/Revised Agreements</w:t>
      </w:r>
      <w:r>
        <w:rPr>
          <w:rFonts w:ascii="Times New Roman" w:hAnsi="Times New Roman"/>
          <w:sz w:val="24"/>
          <w:szCs w:val="24"/>
        </w:rPr>
        <w:t>.  Borrowers must submit a workout agreement in order for the Agency to assist the borrower in overcoming a default or problem.</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Special Servicing Rent</w:t>
      </w:r>
      <w:r>
        <w:rPr>
          <w:rFonts w:ascii="Times New Roman" w:hAnsi="Times New Roman"/>
          <w:sz w:val="24"/>
          <w:szCs w:val="24"/>
        </w:rPr>
        <w:t>.  Special servicing note rents are a means of lowering a project’s maximum rental rate to encourage occupancy of vacant units or to prevent vacant units in a poor local economic market.  To justify the special “market” rental rate, the borrower is expected to document the hardship on the project and demonstrate that it is due to poor rental market conditions rather than on poor management practices.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Termination of Management Agreement</w:t>
      </w:r>
      <w:r>
        <w:rPr>
          <w:rFonts w:ascii="Times New Roman" w:hAnsi="Times New Roman"/>
          <w:sz w:val="24"/>
          <w:szCs w:val="24"/>
        </w:rPr>
        <w:t xml:space="preserve">.  If the Agency determines that a compliance violation or loan default was caused by the actions or inactions of the </w:t>
      </w:r>
      <w:proofErr w:type="gramStart"/>
      <w:r>
        <w:rPr>
          <w:rFonts w:ascii="Times New Roman" w:hAnsi="Times New Roman"/>
          <w:sz w:val="24"/>
          <w:szCs w:val="24"/>
        </w:rPr>
        <w:t>projects</w:t>
      </w:r>
      <w:proofErr w:type="gramEnd"/>
      <w:r>
        <w:rPr>
          <w:rFonts w:ascii="Times New Roman" w:hAnsi="Times New Roman"/>
          <w:sz w:val="24"/>
          <w:szCs w:val="24"/>
        </w:rPr>
        <w:t xml:space="preserve"> management agent, the Agency may require that the borrower terminate the management agreement with that agent.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Bill of Sale Itemizing Chattel Property</w:t>
      </w:r>
      <w:r>
        <w:rPr>
          <w:rFonts w:ascii="Times New Roman" w:hAnsi="Times New Roman"/>
          <w:sz w:val="24"/>
          <w:szCs w:val="24"/>
        </w:rPr>
        <w:t xml:space="preserve">.  If the Agency decides to accept an offer of voluntary conveyance of chattel property, the borrower must provide an itemized listing of each item being conveyed and provide title to vehicles or other equipment, where applicable.  </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Letters of Credit for Additional Security</w:t>
      </w:r>
      <w:r>
        <w:rPr>
          <w:rFonts w:ascii="Times New Roman" w:hAnsi="Times New Roman"/>
          <w:sz w:val="24"/>
          <w:szCs w:val="24"/>
        </w:rPr>
        <w:t>.  In problem account situations, the Agency may require borrowers to provide additional security in the form of real estate, dash reserves, letters of credit, or other security to improve the chances that the Agency will not suffer a loss.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Special Borrower Circumstances</w:t>
      </w:r>
      <w:r>
        <w:rPr>
          <w:rFonts w:ascii="Times New Roman" w:hAnsi="Times New Roman"/>
          <w:sz w:val="24"/>
          <w:szCs w:val="24"/>
        </w:rPr>
        <w:t>.  In order for the Agency to make servicing decisions in cases such as deceased borrower, bankruptcy, insolvency, and divorce actions, the borrower or his representative will provide the Agency with information such as the status of the borrower organization, the financial status of the borrower, the status of the security property, and the impact of the identified actions on the operation of the project.</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Certification That Farm Workers Are Involved in Applicant’s Agricultural Operations</w:t>
      </w:r>
      <w:r>
        <w:rPr>
          <w:rFonts w:ascii="Times New Roman" w:hAnsi="Times New Roman"/>
          <w:sz w:val="24"/>
          <w:szCs w:val="24"/>
        </w:rPr>
        <w:t>.  Borrowers applying for a farm labor housing loan must certify that farm workers are involved in the applicant’s agricultural operations.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Certification That Operations Will Be Conducted in A Nonprofit Manner</w:t>
      </w:r>
      <w:r>
        <w:rPr>
          <w:rFonts w:ascii="Times New Roman" w:hAnsi="Times New Roman"/>
          <w:sz w:val="24"/>
          <w:szCs w:val="24"/>
        </w:rPr>
        <w:t>.  Farm labor housing applicants must certify that housing operations will be conducted in such a manner that income from the housing does not exceed eligible expenses associated with the housing.  Eligible expenditures include, but are not limited to, housing repairs, payment of loan installments, taxes, insurance, and reserves.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lastRenderedPageBreak/>
        <w:t>Additional Security for Loans</w:t>
      </w:r>
      <w:r>
        <w:rPr>
          <w:rFonts w:ascii="Times New Roman" w:hAnsi="Times New Roman"/>
          <w:sz w:val="24"/>
          <w:szCs w:val="24"/>
        </w:rPr>
        <w:t>.  If necessary to provide adequate security for an on-farm labor housing loan, personal liability and recourse will be required of all borrowers and the Agency may require that any household furnishings purchased with loan funds also be secured.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Prepayment Request</w:t>
      </w:r>
      <w:r>
        <w:rPr>
          <w:rFonts w:ascii="Times New Roman" w:hAnsi="Times New Roman"/>
          <w:sz w:val="24"/>
          <w:szCs w:val="24"/>
        </w:rPr>
        <w:t>.  For Rural Development to determine the borrower’s ability to prepay and to determine the need for the rental housing to remain in the low-income program, the borrower must submit documentation on the local housing market and (borrower’s) ability to prepay.  Upon borrower request and Agency concurrence, the Agency may grant exceptions to the request submission notice of loan prepayment.  Borrowers seeking to prepay an Agency loan must submit a written prepayment request to the Agency at least 180 days in advance of the anticipated prepayment date and must obtain Agency approval before the Agency will accept prepayment deadline. The prepayment request will contain the following:</w:t>
      </w:r>
    </w:p>
    <w:p w:rsidR="00853CF2" w:rsidP="00853CF2" w:rsidRDefault="00853CF2">
      <w:pPr>
        <w:numPr>
          <w:ilvl w:val="0"/>
          <w:numId w:val="2"/>
        </w:numPr>
        <w:rPr>
          <w:rFonts w:ascii="Times New Roman" w:hAnsi="Times New Roman"/>
          <w:sz w:val="24"/>
          <w:szCs w:val="24"/>
        </w:rPr>
      </w:pPr>
      <w:r>
        <w:rPr>
          <w:rFonts w:ascii="Times New Roman" w:hAnsi="Times New Roman"/>
          <w:sz w:val="24"/>
          <w:szCs w:val="24"/>
        </w:rPr>
        <w:t>Copy of waiting list</w:t>
      </w:r>
    </w:p>
    <w:p w:rsidR="00853CF2" w:rsidP="00853CF2" w:rsidRDefault="00853CF2">
      <w:pPr>
        <w:numPr>
          <w:ilvl w:val="0"/>
          <w:numId w:val="2"/>
        </w:numPr>
        <w:rPr>
          <w:rFonts w:ascii="Times New Roman" w:hAnsi="Times New Roman"/>
          <w:sz w:val="24"/>
          <w:szCs w:val="24"/>
        </w:rPr>
      </w:pPr>
      <w:r>
        <w:rPr>
          <w:rFonts w:ascii="Times New Roman" w:hAnsi="Times New Roman"/>
          <w:sz w:val="24"/>
          <w:szCs w:val="24"/>
        </w:rPr>
        <w:t>Copy of lease language</w:t>
      </w:r>
    </w:p>
    <w:p w:rsidR="00853CF2" w:rsidP="00853CF2" w:rsidRDefault="00853CF2">
      <w:pPr>
        <w:numPr>
          <w:ilvl w:val="0"/>
          <w:numId w:val="2"/>
        </w:numPr>
        <w:rPr>
          <w:rFonts w:ascii="Times New Roman" w:hAnsi="Times New Roman"/>
          <w:sz w:val="24"/>
          <w:szCs w:val="24"/>
        </w:rPr>
      </w:pPr>
      <w:r>
        <w:rPr>
          <w:rFonts w:ascii="Times New Roman" w:hAnsi="Times New Roman"/>
          <w:sz w:val="24"/>
          <w:szCs w:val="24"/>
        </w:rPr>
        <w:t>Ability to prepay</w:t>
      </w:r>
    </w:p>
    <w:p w:rsidR="00853CF2" w:rsidP="00853CF2" w:rsidRDefault="00853CF2">
      <w:pPr>
        <w:numPr>
          <w:ilvl w:val="0"/>
          <w:numId w:val="2"/>
        </w:numPr>
        <w:rPr>
          <w:rFonts w:ascii="Times New Roman" w:hAnsi="Times New Roman"/>
          <w:sz w:val="24"/>
          <w:szCs w:val="24"/>
        </w:rPr>
      </w:pPr>
      <w:r>
        <w:rPr>
          <w:rFonts w:ascii="Times New Roman" w:hAnsi="Times New Roman"/>
          <w:sz w:val="24"/>
          <w:szCs w:val="24"/>
        </w:rPr>
        <w:t>Federal, state, or local law compliance</w:t>
      </w:r>
    </w:p>
    <w:p w:rsidR="00853CF2" w:rsidP="00853CF2" w:rsidRDefault="00853CF2">
      <w:pPr>
        <w:numPr>
          <w:ilvl w:val="0"/>
          <w:numId w:val="2"/>
        </w:numPr>
        <w:rPr>
          <w:rFonts w:ascii="Times New Roman" w:hAnsi="Times New Roman"/>
          <w:sz w:val="24"/>
          <w:szCs w:val="24"/>
        </w:rPr>
      </w:pPr>
      <w:r>
        <w:rPr>
          <w:rFonts w:ascii="Times New Roman" w:hAnsi="Times New Roman"/>
          <w:sz w:val="24"/>
          <w:szCs w:val="24"/>
        </w:rPr>
        <w:t>Financial assistance certification</w:t>
      </w:r>
    </w:p>
    <w:p w:rsidR="00853CF2" w:rsidP="00853CF2" w:rsidRDefault="00853CF2">
      <w:pPr>
        <w:numPr>
          <w:ilvl w:val="0"/>
          <w:numId w:val="2"/>
        </w:numPr>
        <w:rPr>
          <w:rFonts w:ascii="Times New Roman" w:hAnsi="Times New Roman"/>
          <w:sz w:val="24"/>
          <w:szCs w:val="24"/>
        </w:rPr>
      </w:pPr>
      <w:r>
        <w:rPr>
          <w:rFonts w:ascii="Times New Roman" w:hAnsi="Times New Roman"/>
          <w:sz w:val="24"/>
          <w:szCs w:val="24"/>
        </w:rPr>
        <w:t>Fair Housing Act Certification</w:t>
      </w:r>
    </w:p>
    <w:p w:rsidR="00853CF2" w:rsidP="00853CF2" w:rsidRDefault="00853CF2">
      <w:pPr>
        <w:numPr>
          <w:ilvl w:val="0"/>
          <w:numId w:val="2"/>
        </w:numPr>
        <w:rPr>
          <w:rFonts w:ascii="Times New Roman" w:hAnsi="Times New Roman"/>
          <w:sz w:val="24"/>
          <w:szCs w:val="24"/>
        </w:rPr>
      </w:pPr>
      <w:r>
        <w:rPr>
          <w:rFonts w:ascii="Times New Roman" w:hAnsi="Times New Roman"/>
          <w:sz w:val="24"/>
          <w:szCs w:val="24"/>
        </w:rPr>
        <w:t>Proposed use after prepayment</w:t>
      </w:r>
    </w:p>
    <w:p w:rsidR="00853CF2" w:rsidP="00853CF2" w:rsidRDefault="00853CF2">
      <w:pPr>
        <w:numPr>
          <w:ilvl w:val="0"/>
          <w:numId w:val="2"/>
        </w:numPr>
        <w:rPr>
          <w:rFonts w:ascii="Times New Roman" w:hAnsi="Times New Roman"/>
          <w:sz w:val="24"/>
          <w:szCs w:val="24"/>
        </w:rPr>
      </w:pPr>
      <w:r>
        <w:rPr>
          <w:rFonts w:ascii="Times New Roman" w:hAnsi="Times New Roman"/>
          <w:sz w:val="24"/>
          <w:szCs w:val="24"/>
        </w:rPr>
        <w:t>Prepayment market study</w:t>
      </w:r>
    </w:p>
    <w:p w:rsidR="00853CF2" w:rsidP="00853CF2" w:rsidRDefault="00853CF2">
      <w:pPr>
        <w:numPr>
          <w:ilvl w:val="0"/>
          <w:numId w:val="2"/>
        </w:numPr>
        <w:rPr>
          <w:rFonts w:ascii="Times New Roman" w:hAnsi="Times New Roman"/>
          <w:sz w:val="24"/>
          <w:szCs w:val="24"/>
        </w:rPr>
      </w:pPr>
      <w:r>
        <w:rPr>
          <w:rFonts w:ascii="Times New Roman" w:hAnsi="Times New Roman"/>
          <w:sz w:val="24"/>
          <w:szCs w:val="24"/>
        </w:rPr>
        <w:t>Description of the loan to be prepaid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Posting Prepayment Notices</w:t>
      </w:r>
      <w:r>
        <w:rPr>
          <w:rFonts w:ascii="Times New Roman" w:hAnsi="Times New Roman"/>
          <w:sz w:val="24"/>
          <w:szCs w:val="24"/>
        </w:rPr>
        <w:t>.  Borrowers must post the Agency’s prepayment request notice, prepayment acceptance notice, or notice of proposed sale to a nonprofit in public areas throughout the housing project.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Tenants May Request LOPE</w:t>
      </w:r>
      <w:r>
        <w:rPr>
          <w:rFonts w:ascii="Times New Roman" w:hAnsi="Times New Roman"/>
          <w:sz w:val="24"/>
          <w:szCs w:val="24"/>
        </w:rPr>
        <w:t>.  Rural Development must immediately notify each tenant that a request for prepayment has been received and advise the tenant that all displaced tenants and those experiencing rent overburden due to the proposed prepayment will be eligible for a LOPE that will place them at the top of all occupancy waiting lists for any Rural Development project in any location for which they qualify.</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Borrower Must Accept or Reject Incentive Offer</w:t>
      </w:r>
      <w:r>
        <w:rPr>
          <w:rFonts w:ascii="Times New Roman" w:hAnsi="Times New Roman"/>
          <w:sz w:val="24"/>
          <w:szCs w:val="24"/>
        </w:rPr>
        <w:t>. The borrower must accept or reject the incentive offer within 30 days.  If no answer to the offer is received within 30 days, the Agency may void the prepayment request.  Incentive offers are not subject to appeal.</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Appraisal Reports (Prepayment Only)</w:t>
      </w:r>
      <w:r>
        <w:rPr>
          <w:rFonts w:ascii="Times New Roman" w:hAnsi="Times New Roman"/>
          <w:sz w:val="24"/>
          <w:szCs w:val="24"/>
        </w:rPr>
        <w:t>.  The Agency will use appraisals to determine whether the security offered is adequate to secure a loan or to determine appropriate servicing or preservation decisions.  Appraisal form format may be a form appraisal or a narrative appraisal and must meet the requirements of Uniform Standard Appraisal Procedures, commonly known as USPAP.</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Borrower May Offer to Sell to Nonprofit</w:t>
      </w:r>
      <w:r>
        <w:rPr>
          <w:rFonts w:ascii="Times New Roman" w:hAnsi="Times New Roman"/>
          <w:sz w:val="24"/>
          <w:szCs w:val="24"/>
        </w:rPr>
        <w:t>.  If no incentive agreement is reached between Rural Development and a borrower requesting prepayment, and a need remains for the housing, the borrower must offer to sell the project to a nonprofit organization or public agency.  The borrower must first advertise the housing for sale to qualified local nonprofit organizations and public agencies.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Provide Interested Entities with Information Regarding Project and Provide Additional Materials Requested </w:t>
      </w:r>
      <w:proofErr w:type="gramStart"/>
      <w:r>
        <w:rPr>
          <w:rFonts w:ascii="Times New Roman" w:hAnsi="Times New Roman"/>
          <w:sz w:val="24"/>
          <w:szCs w:val="24"/>
          <w:u w:val="single"/>
        </w:rPr>
        <w:t>By</w:t>
      </w:r>
      <w:proofErr w:type="gramEnd"/>
      <w:r>
        <w:rPr>
          <w:rFonts w:ascii="Times New Roman" w:hAnsi="Times New Roman"/>
          <w:sz w:val="24"/>
          <w:szCs w:val="24"/>
          <w:u w:val="single"/>
        </w:rPr>
        <w:t xml:space="preserve"> Interested Parties</w:t>
      </w:r>
      <w:r>
        <w:rPr>
          <w:rFonts w:ascii="Times New Roman" w:hAnsi="Times New Roman"/>
          <w:sz w:val="24"/>
          <w:szCs w:val="24"/>
        </w:rPr>
        <w:t>.  If no local nonprofit organization or public agency submits an offer to purchase, the borrower is expected to contact each organization or agency on the regional or nationwide potential buyer list with an offer to sell and with enough information about the project to allow the prospective purchaser to make an informed decision.</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Document Compliance with Restrictive Use Provisions</w:t>
      </w:r>
      <w:r>
        <w:rPr>
          <w:rFonts w:ascii="Times New Roman" w:hAnsi="Times New Roman"/>
          <w:sz w:val="24"/>
          <w:szCs w:val="24"/>
        </w:rPr>
        <w:t>.  A borrower who has prepaid a loan with restrictive-use provisions as a condition of prepayment must document compliance and make the documentation and the project site available for Agency inspection upon request.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Notification of Unauthorized Assistance</w:t>
      </w:r>
      <w:r>
        <w:rPr>
          <w:rFonts w:ascii="Times New Roman" w:hAnsi="Times New Roman"/>
          <w:sz w:val="24"/>
          <w:szCs w:val="24"/>
        </w:rPr>
        <w:t>.  A notice must be sent to a tenant when the borrower determines a tenant’s failure to fully report income.  The borrower is required to notify the tenant that overpaid rental assistance is due and must be collected.  This results in preservation of rental assistance for eligible tenants.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Corrective Actions by Tenants or Borrowers</w:t>
      </w:r>
      <w:r>
        <w:rPr>
          <w:rFonts w:ascii="Times New Roman" w:hAnsi="Times New Roman"/>
          <w:sz w:val="24"/>
          <w:szCs w:val="24"/>
        </w:rPr>
        <w:t>.  When a borrower or tenant was responsible for the circumstances causing the unauthorized assistance, they must take appropriate action to correct the problem within 90 days of the unauthorized assistance determination notice date unless an alternative date is agreed to by the Agency.</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Submit Proposed Tenant Repayment Arrangements</w:t>
      </w:r>
      <w:r>
        <w:rPr>
          <w:rFonts w:ascii="Times New Roman" w:hAnsi="Times New Roman"/>
          <w:sz w:val="24"/>
          <w:szCs w:val="24"/>
        </w:rPr>
        <w:t>.  Borrower must submit documentation of arrangements borrower has made with tenant for repayment of unauthorized assistance.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Recapture of Unauthorized Assistance</w:t>
      </w:r>
      <w:r>
        <w:rPr>
          <w:rFonts w:ascii="Times New Roman" w:hAnsi="Times New Roman"/>
          <w:sz w:val="24"/>
          <w:szCs w:val="24"/>
        </w:rPr>
        <w:t>. If a borrower or tenant agrees to repay unauthorized assistance, the borrower or tenant proposed repayment schedule must be approved by Agency prior to implementation.  The borrower must retain copies of all correspondence and a record of all conversations between the borrower and a tenant, regarding unauthorized assistance received by a tenant with the tenants file records.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Environmental Report</w:t>
      </w:r>
      <w:r>
        <w:rPr>
          <w:rFonts w:ascii="Times New Roman" w:hAnsi="Times New Roman"/>
          <w:sz w:val="24"/>
          <w:szCs w:val="24"/>
        </w:rPr>
        <w:t>. This requires the applicant to provide environmental information on the proposed project site and the activities to be conducted at the site by the applicant.    For actions classified as categorical exclusions, the form need not be completed at all.   The information on this form provides a basis for an environmental assessment from which the Agency official may determine whether or not an environmental impact statement (EIS) is necessary to comply with NEPA. This written report has taken the place of RD Form 1940-20 which was made obsolete.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rPr>
        <w:t>REPORTING REQUIREMENTS – FORMS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440-34, Option to Purchase Real Estate.</w:t>
      </w:r>
      <w:r>
        <w:rPr>
          <w:rFonts w:ascii="Times New Roman" w:hAnsi="Times New Roman"/>
          <w:sz w:val="24"/>
          <w:szCs w:val="24"/>
        </w:rPr>
        <w:t xml:space="preserve">  This form is used by the borrower to obtain an option on real estate to be purchased.  A standard contract may be used in lieu of this form.</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3560-1, Application for Partial Release, Subordination or Consent.</w:t>
      </w:r>
      <w:r>
        <w:rPr>
          <w:rFonts w:ascii="Times New Roman" w:hAnsi="Times New Roman"/>
          <w:sz w:val="24"/>
          <w:szCs w:val="24"/>
        </w:rPr>
        <w:t xml:space="preserve">  This form is used by borrowers to obtain consent from the Agency to permit Junior liens, or request partial release from terms of real estate security instruments.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lastRenderedPageBreak/>
        <w:t>Form RD 3560-7, Multi-Family Housing Project Budget/Utility Allowance</w:t>
      </w:r>
      <w:r>
        <w:rPr>
          <w:rFonts w:ascii="Times New Roman" w:hAnsi="Times New Roman"/>
          <w:sz w:val="24"/>
          <w:szCs w:val="24"/>
        </w:rPr>
        <w:t>.  This form itemizes the project budget for the ensuing year of operation.  It includes utility allowances and rent schedules.  This document supports any request for a rent change.  This document assists the Agency in management analysis and decision making necessary to meet program objectives in a changing economic environment.  A budget may occasionally be requested more than once a year in certain servicing situations. The budget provides the borrower and the Agency with factual information to identify initial or subsequent borrower performance in meeting program objectives. The Agency may require quarterly or monthly reports to monitor financial progress when closer supervision is warranted.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3560-7A, On-Farm Labor Housing Project Budget</w:t>
      </w:r>
      <w:r>
        <w:rPr>
          <w:rFonts w:ascii="Times New Roman" w:hAnsi="Times New Roman"/>
          <w:sz w:val="24"/>
          <w:szCs w:val="24"/>
        </w:rPr>
        <w:t>.  Each on-farm labor housing borrower must complete this form showing expenses of the farming business.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3560-8, Tenant Certification and annual recertification</w:t>
      </w:r>
      <w:r>
        <w:rPr>
          <w:rFonts w:ascii="Times New Roman" w:hAnsi="Times New Roman"/>
          <w:sz w:val="24"/>
          <w:szCs w:val="24"/>
        </w:rPr>
        <w:t xml:space="preserve">.  This form is prepared by the owner and signed by every tenant living in a subsidized project, except in those instances where Section 8 subsidy is provided and HUD forms are used for this same purpose.  It is necessary for the Agency to fulfill its mandate to monitor the borrower and the tenant to determine that the borrower </w:t>
      </w:r>
      <w:proofErr w:type="gramStart"/>
      <w:r>
        <w:rPr>
          <w:rFonts w:ascii="Times New Roman" w:hAnsi="Times New Roman"/>
          <w:sz w:val="24"/>
          <w:szCs w:val="24"/>
        </w:rPr>
        <w:t>is in compliance with</w:t>
      </w:r>
      <w:proofErr w:type="gramEnd"/>
      <w:r>
        <w:rPr>
          <w:rFonts w:ascii="Times New Roman" w:hAnsi="Times New Roman"/>
          <w:sz w:val="24"/>
          <w:szCs w:val="24"/>
        </w:rPr>
        <w:t xml:space="preserve"> regulations and equal opportunity requirements, that only eligible tenants occupy the projects, that rental assistance is being provided only to qualified tenants, and that rental assistance and interest credit requested does not exceed the maximum benefit actually accruing to the project or tenant.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3560-9, Multi-Family Housing Interest Credit and Rental Assistance Agreement.</w:t>
      </w:r>
      <w:r>
        <w:rPr>
          <w:rFonts w:ascii="Times New Roman" w:hAnsi="Times New Roman"/>
          <w:sz w:val="24"/>
          <w:szCs w:val="24"/>
        </w:rPr>
        <w:t xml:space="preserve">  This form is used for MFH loan, assumption agreements, re-amortizations, credit sales, conversion of payment method, loan consolidations and for existing loans to provide interest credit.</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3560-10, Multi-Family Housing Balance Sheet</w:t>
      </w:r>
      <w:r>
        <w:rPr>
          <w:rFonts w:ascii="Times New Roman" w:hAnsi="Times New Roman"/>
          <w:sz w:val="24"/>
          <w:szCs w:val="24"/>
        </w:rPr>
        <w:t>.  This form provides a comparison of year-end financial condition with the financial condition one year earlier.  It is a statement of borrower financial condition as of a specific date and is used for analysis of borrower progress.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3560-12, Request for Authorization to Withdraw Reserve Funds</w:t>
      </w:r>
      <w:r>
        <w:rPr>
          <w:rFonts w:ascii="Times New Roman" w:hAnsi="Times New Roman"/>
          <w:sz w:val="24"/>
          <w:szCs w:val="24"/>
        </w:rPr>
        <w:t>.  This form is to assure the steady buildup of the reserve fund, its use is restricted by requiring approval of the Agency prior to use of any portion of the reserve.  In cases of extreme emergency, the Agency can post-approve such withdrawals.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3560-13, Multifamily Project Owner’s/Management Agent’s Management Certification.</w:t>
      </w:r>
      <w:r>
        <w:rPr>
          <w:rFonts w:ascii="Times New Roman" w:hAnsi="Times New Roman"/>
          <w:sz w:val="24"/>
          <w:szCs w:val="24"/>
        </w:rPr>
        <w:t xml:space="preserve">  This form is completed by Owners of Agency multifamily housing projects that are required to submit certain data for review by the Agency for approval of a new management agent. </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Form RD 3560-15, </w:t>
      </w:r>
      <w:proofErr w:type="spellStart"/>
      <w:r>
        <w:rPr>
          <w:rFonts w:ascii="Times New Roman" w:hAnsi="Times New Roman"/>
          <w:sz w:val="24"/>
          <w:szCs w:val="24"/>
          <w:u w:val="single"/>
        </w:rPr>
        <w:t>Reamortization</w:t>
      </w:r>
      <w:proofErr w:type="spellEnd"/>
      <w:r>
        <w:rPr>
          <w:rFonts w:ascii="Times New Roman" w:hAnsi="Times New Roman"/>
          <w:sz w:val="24"/>
          <w:szCs w:val="24"/>
          <w:u w:val="single"/>
        </w:rPr>
        <w:t xml:space="preserve"> Request.</w:t>
      </w:r>
      <w:r>
        <w:rPr>
          <w:rFonts w:ascii="Times New Roman" w:hAnsi="Times New Roman"/>
          <w:sz w:val="24"/>
          <w:szCs w:val="24"/>
        </w:rPr>
        <w:t xml:space="preserve">  This form is used to request </w:t>
      </w:r>
      <w:proofErr w:type="spellStart"/>
      <w:r>
        <w:rPr>
          <w:rFonts w:ascii="Times New Roman" w:hAnsi="Times New Roman"/>
          <w:sz w:val="24"/>
          <w:szCs w:val="24"/>
        </w:rPr>
        <w:t>reamortization</w:t>
      </w:r>
      <w:proofErr w:type="spellEnd"/>
      <w:r>
        <w:rPr>
          <w:rFonts w:ascii="Times New Roman" w:hAnsi="Times New Roman"/>
          <w:sz w:val="24"/>
          <w:szCs w:val="24"/>
        </w:rPr>
        <w:t xml:space="preserve"> of certain loan types.  The terms of the existing note may be modified through use of this form.</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3560-20, Multi-Family Housing Transfer and Assumption Review and Recommendation.</w:t>
      </w:r>
      <w:r>
        <w:rPr>
          <w:rFonts w:ascii="Times New Roman" w:hAnsi="Times New Roman"/>
          <w:sz w:val="24"/>
          <w:szCs w:val="24"/>
        </w:rPr>
        <w:t xml:space="preserve">  This form is used by the Agency to assemble information needed in planning transfers of real estate security.</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3560-22, Offer to Convey Security.</w:t>
      </w:r>
      <w:r>
        <w:rPr>
          <w:rFonts w:ascii="Times New Roman" w:hAnsi="Times New Roman"/>
          <w:sz w:val="24"/>
          <w:szCs w:val="24"/>
        </w:rPr>
        <w:t xml:space="preserve">  This form is used by borrowers in offering to convey real estate security property to the Agency.</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3560-25, Request for Rental Assistance/Operating Assistance</w:t>
      </w:r>
      <w:r>
        <w:rPr>
          <w:rFonts w:ascii="Times New Roman" w:hAnsi="Times New Roman"/>
          <w:sz w:val="24"/>
          <w:szCs w:val="24"/>
        </w:rPr>
        <w:t>.  This form is utilized to document the initial need for rental assistance for a project.  Subsequent needs will be a checkbox on annual budgets submitted by borrower.</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3560-27, Rental Assistance Agreement</w:t>
      </w:r>
      <w:r>
        <w:rPr>
          <w:rFonts w:ascii="Times New Roman" w:hAnsi="Times New Roman"/>
          <w:sz w:val="24"/>
          <w:szCs w:val="24"/>
        </w:rPr>
        <w:t>.  This form, executed by the borrower, contains the agreement between the borrower and the Agency as to the amount of rental assistance made available to a project and the conditions for its use.  This form is used whenever the Agency has approved and obligated rental assistance to a borrower.</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3560-27A, Operating Assistance Agreement</w:t>
      </w:r>
      <w:r>
        <w:rPr>
          <w:rFonts w:ascii="Times New Roman" w:hAnsi="Times New Roman"/>
          <w:sz w:val="24"/>
          <w:szCs w:val="24"/>
        </w:rPr>
        <w:t>.  This form, executed by the borrower, contains the agreement between the borrower and the Agency as to the amount of operating assistance made available to a project and the conditions for its use.  This form is used whenever the Agency has approved and obligated operating assistance to a borrower.  Operating assistance is only available for Off-Farm Labor Housing.</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3560-29, Notice of Payment Due Report</w:t>
      </w:r>
      <w:r>
        <w:rPr>
          <w:rFonts w:ascii="Times New Roman" w:hAnsi="Times New Roman"/>
          <w:sz w:val="24"/>
          <w:szCs w:val="24"/>
        </w:rPr>
        <w:t>.  This form is sent by the borrower with the monthly loan payment to certify the need for interest credit and rental assistance for that month.  This status changes monthly in the project.  This document serves as a summary income source document for the borrower.  Most borrowers are using the Agency’s printout sent to them each month and stapling it to this form.</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3560-31, Identity of Interest Disclosure and Qualification Certificate</w:t>
      </w:r>
      <w:r>
        <w:rPr>
          <w:rFonts w:ascii="Times New Roman" w:hAnsi="Times New Roman"/>
          <w:sz w:val="24"/>
          <w:szCs w:val="24"/>
        </w:rPr>
        <w:t xml:space="preserve">.  This form must be completed by the principal for each trade or business with an identity of interest relationship with the borrower.  </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Forms RD 3560-33, 3560-34, 3560-35, Loan Agreement/Resolution</w:t>
      </w:r>
      <w:r>
        <w:rPr>
          <w:rFonts w:ascii="Times New Roman" w:hAnsi="Times New Roman"/>
          <w:sz w:val="24"/>
          <w:szCs w:val="24"/>
        </w:rPr>
        <w:t>.  Individuals, partnerships, or corporations execute the applicable form.  These documents contain regulatory provisions governing the housing and related operations and assure full understanding of all responsibilities of both the Agency and the borrower.</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Forms RD 3560-39, 3560-40, 3560-41, 3560-42, 3560-43, Labor Housing Resolution and loan/grant agreement.</w:t>
      </w:r>
      <w:r>
        <w:rPr>
          <w:rFonts w:ascii="Times New Roman" w:hAnsi="Times New Roman"/>
          <w:sz w:val="24"/>
          <w:szCs w:val="24"/>
        </w:rPr>
        <w:t xml:space="preserve"> Individuals, partnerships, or corporations execute the applicable form.  These documents contain regulatory provisions governing the labor housing and related operations and assure full understanding of all responsibilities of both the Agency and the borrower.</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Forms RD 3560-33A, 3560-34A, 3560-35A, Loan Consolidation</w:t>
      </w:r>
      <w:r>
        <w:rPr>
          <w:rFonts w:ascii="Times New Roman" w:hAnsi="Times New Roman"/>
          <w:sz w:val="24"/>
          <w:szCs w:val="24"/>
        </w:rPr>
        <w:t xml:space="preserve">.  With the Agency’s approval, loans may be consolidated to reduce the administrative burden, improve cost effectiveness, and utilize facilities common to housing projects.  </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3560-44, Farm Labor Housing Technical Assistance Grant Agreement.</w:t>
      </w:r>
      <w:r>
        <w:rPr>
          <w:rFonts w:ascii="Times New Roman" w:hAnsi="Times New Roman"/>
          <w:sz w:val="24"/>
          <w:szCs w:val="24"/>
        </w:rPr>
        <w:t xml:space="preserve">  The Agency may award technical assistance grants to eligible private and public nonprofit agencies.  These </w:t>
      </w:r>
      <w:r>
        <w:rPr>
          <w:rFonts w:ascii="Times New Roman" w:hAnsi="Times New Roman"/>
          <w:sz w:val="24"/>
          <w:szCs w:val="24"/>
        </w:rPr>
        <w:lastRenderedPageBreak/>
        <w:t xml:space="preserve">grant recipients will assist other organizations to obtain loans and grants for the construction of farm labor housing.  </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3560-38, Application for Cooperative Housing Membership.</w:t>
      </w:r>
      <w:r>
        <w:rPr>
          <w:rFonts w:ascii="Times New Roman" w:hAnsi="Times New Roman"/>
          <w:sz w:val="24"/>
          <w:szCs w:val="24"/>
        </w:rPr>
        <w:t xml:space="preserve">  This form is used by cooperatives to obtain formal applications from persons seeking membership in a rural housing cooperative.</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3560-51, MFH Obligation Fund Analysis.</w:t>
      </w:r>
      <w:r>
        <w:rPr>
          <w:rFonts w:ascii="Times New Roman" w:hAnsi="Times New Roman"/>
          <w:sz w:val="24"/>
          <w:szCs w:val="24"/>
        </w:rPr>
        <w:t xml:space="preserve">  This form is used to obligate loan funds and grants for MFH projects.  It may be used to obligate or de-obligate rental or operating assistance.</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Form RD 3560-57, Application for Settlement of Indebtedness</w:t>
      </w:r>
      <w:r>
        <w:rPr>
          <w:rFonts w:ascii="Times New Roman" w:hAnsi="Times New Roman"/>
          <w:sz w:val="24"/>
          <w:szCs w:val="24"/>
        </w:rPr>
        <w:t xml:space="preserve">.  Borrowers requesting debt settlement must submit complete and accurate information from which the Agency can </w:t>
      </w:r>
      <w:proofErr w:type="gramStart"/>
      <w:r>
        <w:rPr>
          <w:rFonts w:ascii="Times New Roman" w:hAnsi="Times New Roman"/>
          <w:sz w:val="24"/>
          <w:szCs w:val="24"/>
        </w:rPr>
        <w:t>make a decision</w:t>
      </w:r>
      <w:proofErr w:type="gramEnd"/>
      <w:r>
        <w:rPr>
          <w:rFonts w:ascii="Times New Roman" w:hAnsi="Times New Roman"/>
          <w:sz w:val="24"/>
          <w:szCs w:val="24"/>
        </w:rPr>
        <w:t>.  Offers that are rejected will be returned to the borrower with comments on potential points of negotiation.  The borrower may resubmit his/her offer at any time.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rPr>
      </w:pPr>
      <w:r>
        <w:rPr>
          <w:rFonts w:ascii="Times New Roman" w:hAnsi="Times New Roman"/>
          <w:sz w:val="24"/>
          <w:szCs w:val="24"/>
          <w:u w:val="single"/>
        </w:rPr>
        <w:t>Form RD 440-11, Estimate of Funds Needed for 30-Day Period Commencing</w:t>
      </w:r>
    </w:p>
    <w:p w:rsidR="00853CF2" w:rsidP="00853CF2" w:rsidRDefault="00853CF2">
      <w:pPr>
        <w:rPr>
          <w:rFonts w:ascii="Times New Roman" w:hAnsi="Times New Roman"/>
          <w:sz w:val="24"/>
          <w:szCs w:val="24"/>
        </w:rPr>
      </w:pPr>
      <w:r>
        <w:rPr>
          <w:rFonts w:ascii="Times New Roman" w:hAnsi="Times New Roman"/>
          <w:sz w:val="24"/>
          <w:szCs w:val="24"/>
        </w:rPr>
        <w:t>This form is a request used by the applicant to indicate the amount of funds required in construction projects for a 30-day period.  It is concurred in by Rural Development as to the reasonableness of the amount.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1924-1,</w:t>
      </w:r>
      <w:r>
        <w:rPr>
          <w:rFonts w:ascii="Arial" w:hAnsi="Arial" w:cs="Arial"/>
          <w:sz w:val="18"/>
          <w:szCs w:val="18"/>
          <w:u w:val="single"/>
        </w:rPr>
        <w:t xml:space="preserve"> </w:t>
      </w:r>
      <w:r>
        <w:rPr>
          <w:rFonts w:ascii="Times New Roman" w:hAnsi="Times New Roman"/>
          <w:sz w:val="24"/>
          <w:szCs w:val="24"/>
          <w:u w:val="single"/>
        </w:rPr>
        <w:t>Development Plan</w:t>
      </w:r>
    </w:p>
    <w:p w:rsidR="00853CF2" w:rsidP="00853CF2" w:rsidRDefault="00853CF2">
      <w:pPr>
        <w:rPr>
          <w:rFonts w:ascii="Times New Roman" w:hAnsi="Times New Roman"/>
          <w:sz w:val="24"/>
          <w:szCs w:val="24"/>
          <w:u w:val="single"/>
        </w:rPr>
      </w:pPr>
      <w:r>
        <w:rPr>
          <w:rFonts w:ascii="Times New Roman" w:hAnsi="Times New Roman"/>
          <w:sz w:val="24"/>
          <w:szCs w:val="24"/>
        </w:rPr>
        <w:t>This form is prepared by the Agency after the applicant/borrower has furnished the Agency with sufficient information to fully describe the planned construction and development work.  It provides the basis for a mutual understanding between the borrower and the Agency regarding the development to be accomplished.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1924-2, Description of Materials</w:t>
      </w:r>
    </w:p>
    <w:p w:rsidR="00853CF2" w:rsidP="00853CF2" w:rsidRDefault="00853CF2">
      <w:pPr>
        <w:rPr>
          <w:rFonts w:ascii="Times New Roman" w:hAnsi="Times New Roman"/>
          <w:sz w:val="24"/>
          <w:szCs w:val="24"/>
        </w:rPr>
      </w:pPr>
      <w:r>
        <w:rPr>
          <w:rFonts w:ascii="Times New Roman" w:hAnsi="Times New Roman"/>
          <w:sz w:val="24"/>
          <w:szCs w:val="24"/>
        </w:rPr>
        <w:t>This form is prepared by an applicant/borrower, builder or designer to furnish the Agency with sufficient information to fully describe the materials, equipment, and fixtures to be used in the construction or repairs of a residential dwelling unit.  The collection of information for the form is a normal business practice.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1924-3, Service Building Specifications</w:t>
      </w:r>
    </w:p>
    <w:p w:rsidR="00853CF2" w:rsidP="00853CF2" w:rsidRDefault="00853CF2">
      <w:pPr>
        <w:rPr>
          <w:rFonts w:ascii="Times New Roman" w:hAnsi="Times New Roman"/>
          <w:sz w:val="24"/>
          <w:szCs w:val="24"/>
        </w:rPr>
      </w:pPr>
      <w:r>
        <w:rPr>
          <w:rFonts w:ascii="Times New Roman" w:hAnsi="Times New Roman"/>
          <w:sz w:val="24"/>
          <w:szCs w:val="24"/>
        </w:rPr>
        <w:t>This form is prepared by the applicant/borrower, builder, or designer to furnish the Agency with sufficient information to fully describe the materials, equipment, and fixtures to be used in the construction of a farm service building.  The collection of information for the form is a normal business practice.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1924-5, Invitation for Bid</w:t>
      </w:r>
    </w:p>
    <w:p w:rsidR="00853CF2" w:rsidP="00853CF2" w:rsidRDefault="00853CF2">
      <w:pPr>
        <w:rPr>
          <w:rFonts w:ascii="Times New Roman" w:hAnsi="Times New Roman"/>
          <w:sz w:val="24"/>
          <w:szCs w:val="24"/>
        </w:rPr>
      </w:pPr>
      <w:r>
        <w:rPr>
          <w:rFonts w:ascii="Times New Roman" w:hAnsi="Times New Roman"/>
          <w:sz w:val="24"/>
          <w:szCs w:val="24"/>
        </w:rPr>
        <w:t xml:space="preserve">This form is prepared by an applicant/borrower or architect to invite builders to submit bids for constructing service buildings, single family homes, or multi-family housing units by the </w:t>
      </w:r>
      <w:r>
        <w:rPr>
          <w:rFonts w:ascii="Times New Roman" w:hAnsi="Times New Roman"/>
          <w:sz w:val="24"/>
          <w:szCs w:val="24"/>
        </w:rPr>
        <w:lastRenderedPageBreak/>
        <w:t>contract method.  The collection of information for the form is a normal business practice for contracts that are competitively bid.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1924-6, Construction Contract</w:t>
      </w:r>
    </w:p>
    <w:p w:rsidR="00853CF2" w:rsidP="00853CF2" w:rsidRDefault="00853CF2">
      <w:pPr>
        <w:rPr>
          <w:rFonts w:ascii="Times New Roman" w:hAnsi="Times New Roman"/>
          <w:sz w:val="24"/>
          <w:szCs w:val="24"/>
        </w:rPr>
      </w:pPr>
      <w:r>
        <w:rPr>
          <w:rFonts w:ascii="Times New Roman" w:hAnsi="Times New Roman"/>
          <w:sz w:val="24"/>
          <w:szCs w:val="24"/>
        </w:rPr>
        <w:t>This form is prepared by an applicant/borrower, builder, architect, or engineer to set forth specific conditions and terms of a construction contract.  The applicant/borrower and builder must sign the form indicating their commitment to fulfill their responsibilities described in the agreement.  The collection of information for the form is a normal business practice.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1924-7, Contract Change Order</w:t>
      </w:r>
    </w:p>
    <w:p w:rsidR="00853CF2" w:rsidP="00853CF2" w:rsidRDefault="00853CF2">
      <w:pPr>
        <w:rPr>
          <w:rFonts w:ascii="Times New Roman" w:hAnsi="Times New Roman"/>
          <w:sz w:val="24"/>
          <w:szCs w:val="24"/>
        </w:rPr>
      </w:pPr>
      <w:r>
        <w:rPr>
          <w:rFonts w:ascii="Times New Roman" w:hAnsi="Times New Roman"/>
          <w:sz w:val="24"/>
          <w:szCs w:val="24"/>
        </w:rPr>
        <w:t>This form is prepared by an applicant/borrower, contractor, architect, or engineer to record any changes in the development work performed by the contract method.  An applicant/borrower, contractor, architect/engineer, and the Agency indicating mutual approval of the change sign the form.  The collection of information for the form is a normal business practice.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b/>
          <w:sz w:val="24"/>
          <w:szCs w:val="24"/>
        </w:rPr>
      </w:pPr>
    </w:p>
    <w:p w:rsidR="00853CF2" w:rsidP="00853CF2" w:rsidRDefault="00853CF2">
      <w:pPr>
        <w:rPr>
          <w:rFonts w:ascii="Times New Roman" w:hAnsi="Times New Roman"/>
          <w:b/>
          <w:sz w:val="24"/>
          <w:szCs w:val="24"/>
        </w:rPr>
      </w:pPr>
    </w:p>
    <w:p w:rsidR="00853CF2" w:rsidP="00853CF2" w:rsidRDefault="00853CF2">
      <w:pPr>
        <w:rPr>
          <w:rFonts w:ascii="Times New Roman" w:hAnsi="Times New Roman"/>
          <w:b/>
          <w:sz w:val="24"/>
          <w:szCs w:val="24"/>
        </w:rPr>
      </w:pP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1924-9,</w:t>
      </w:r>
      <w:r>
        <w:rPr>
          <w:u w:val="single"/>
        </w:rPr>
        <w:t xml:space="preserve"> </w:t>
      </w:r>
      <w:r>
        <w:rPr>
          <w:rFonts w:ascii="Times New Roman" w:hAnsi="Times New Roman"/>
          <w:sz w:val="24"/>
          <w:szCs w:val="24"/>
          <w:u w:val="single"/>
        </w:rPr>
        <w:t>Certification of Contractor's Release</w:t>
      </w:r>
    </w:p>
    <w:p w:rsidR="00853CF2" w:rsidP="00853CF2" w:rsidRDefault="00853CF2">
      <w:pPr>
        <w:rPr>
          <w:rFonts w:ascii="Times New Roman" w:hAnsi="Times New Roman"/>
          <w:sz w:val="24"/>
          <w:szCs w:val="24"/>
        </w:rPr>
      </w:pPr>
      <w:r>
        <w:rPr>
          <w:rFonts w:ascii="Times New Roman" w:hAnsi="Times New Roman"/>
          <w:sz w:val="24"/>
          <w:szCs w:val="24"/>
        </w:rPr>
        <w:t>This form is prepared by a contractor to certify that payments have been made in full for all material and labor used in the performance of a construction contract and to release an applicant/borrower from any claims which might arise by virtue of the contract.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1924-10, Release by Claimants</w:t>
      </w:r>
    </w:p>
    <w:p w:rsidR="00853CF2" w:rsidP="00853CF2" w:rsidRDefault="00853CF2">
      <w:pPr>
        <w:rPr>
          <w:rFonts w:ascii="Times New Roman" w:hAnsi="Times New Roman"/>
          <w:sz w:val="24"/>
          <w:szCs w:val="24"/>
        </w:rPr>
      </w:pPr>
      <w:r>
        <w:rPr>
          <w:rFonts w:ascii="Times New Roman" w:hAnsi="Times New Roman"/>
          <w:sz w:val="24"/>
          <w:szCs w:val="24"/>
        </w:rPr>
        <w:t>This form is prepared by a contractor to show that the contractor has paid all materials and labor used in a construction contract.  All subcontractors and suppliers who have provided material and/or labor for the development work sign the form.  Their signatures indicate their release to the applicant/borrower from any claims.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1924-11, Statement of Labor Performed</w:t>
      </w:r>
    </w:p>
    <w:p w:rsidR="00853CF2" w:rsidP="00853CF2" w:rsidRDefault="00853CF2">
      <w:pPr>
        <w:rPr>
          <w:rFonts w:ascii="Times New Roman" w:hAnsi="Times New Roman"/>
          <w:sz w:val="24"/>
          <w:szCs w:val="24"/>
        </w:rPr>
      </w:pPr>
      <w:r>
        <w:rPr>
          <w:rFonts w:ascii="Times New Roman" w:hAnsi="Times New Roman"/>
          <w:sz w:val="24"/>
          <w:szCs w:val="24"/>
        </w:rPr>
        <w:t xml:space="preserve">This form is prepared by an applicant/borrower when requesting countersignatures by the Agency on checks for payment of labor performed by hired workers involved with the construction of </w:t>
      </w:r>
      <w:proofErr w:type="gramStart"/>
      <w:r>
        <w:rPr>
          <w:rFonts w:ascii="Times New Roman" w:hAnsi="Times New Roman"/>
          <w:sz w:val="24"/>
          <w:szCs w:val="24"/>
        </w:rPr>
        <w:t>single family</w:t>
      </w:r>
      <w:proofErr w:type="gramEnd"/>
      <w:r>
        <w:rPr>
          <w:rFonts w:ascii="Times New Roman" w:hAnsi="Times New Roman"/>
          <w:sz w:val="24"/>
          <w:szCs w:val="24"/>
        </w:rPr>
        <w:t xml:space="preserve"> home or multi-family housing units.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1924-12, Inspection Report</w:t>
      </w:r>
    </w:p>
    <w:p w:rsidR="00853CF2" w:rsidP="00853CF2" w:rsidRDefault="00853CF2">
      <w:pPr>
        <w:rPr>
          <w:rFonts w:ascii="Times New Roman" w:hAnsi="Times New Roman"/>
          <w:sz w:val="24"/>
          <w:szCs w:val="24"/>
        </w:rPr>
      </w:pPr>
      <w:r>
        <w:rPr>
          <w:rFonts w:ascii="Times New Roman" w:hAnsi="Times New Roman"/>
          <w:sz w:val="24"/>
          <w:szCs w:val="24"/>
        </w:rPr>
        <w:t>This form is prepared by the Agency to record the results of an inspection of development work or an existing dwelling or other type building.  An applicant/borrower signs the form indicating acceptance of the completed development work or existing facility.</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1924-13, Estimate and Certificate of Actual Cost</w:t>
      </w:r>
    </w:p>
    <w:p w:rsidR="00853CF2" w:rsidP="00853CF2" w:rsidRDefault="00853CF2">
      <w:pPr>
        <w:rPr>
          <w:rFonts w:ascii="Times New Roman" w:hAnsi="Times New Roman"/>
          <w:sz w:val="24"/>
          <w:szCs w:val="24"/>
        </w:rPr>
      </w:pPr>
      <w:r>
        <w:rPr>
          <w:rFonts w:ascii="Times New Roman" w:hAnsi="Times New Roman"/>
          <w:sz w:val="24"/>
          <w:szCs w:val="24"/>
        </w:rPr>
        <w:t xml:space="preserve">This form, prepared by all applicants for Section 515 loans, is used to provide the applicant/borrowers and the Agency with a trade-item cost breakdown of the proposed development work for evaluation.  The form is also used to certify actual cost of construction work performed.  In its efforts to combat fraud, waste, and abuse in the 515 </w:t>
      </w:r>
      <w:proofErr w:type="gramStart"/>
      <w:r>
        <w:rPr>
          <w:rFonts w:ascii="Times New Roman" w:hAnsi="Times New Roman"/>
          <w:sz w:val="24"/>
          <w:szCs w:val="24"/>
        </w:rPr>
        <w:t>program</w:t>
      </w:r>
      <w:proofErr w:type="gramEnd"/>
      <w:r>
        <w:rPr>
          <w:rFonts w:ascii="Times New Roman" w:hAnsi="Times New Roman"/>
          <w:sz w:val="24"/>
          <w:szCs w:val="24"/>
        </w:rPr>
        <w:t xml:space="preserve">, the Agency scrutinizes proposed construction costs to preclude unnecessary expenditures of Government </w:t>
      </w:r>
      <w:r>
        <w:rPr>
          <w:rFonts w:ascii="Times New Roman" w:hAnsi="Times New Roman"/>
          <w:sz w:val="24"/>
          <w:szCs w:val="24"/>
        </w:rPr>
        <w:lastRenderedPageBreak/>
        <w:t>funds.  This form requires a line item breakdown of costs, thus enabling the Agency to capture needed information.</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1924-18, Partial Payment Estimate</w:t>
      </w:r>
    </w:p>
    <w:p w:rsidR="00853CF2" w:rsidP="00853CF2" w:rsidRDefault="00853CF2">
      <w:pPr>
        <w:rPr>
          <w:rFonts w:ascii="Times New Roman" w:hAnsi="Times New Roman"/>
          <w:sz w:val="24"/>
          <w:szCs w:val="24"/>
        </w:rPr>
      </w:pPr>
      <w:r>
        <w:rPr>
          <w:rFonts w:ascii="Times New Roman" w:hAnsi="Times New Roman"/>
          <w:sz w:val="24"/>
          <w:szCs w:val="24"/>
        </w:rPr>
        <w:t>A contractor to request partial payment prepares this form for work performed on financed construction.  The completed form provides the applicant/borrower and Agency information on the quantity and value of work performed.  The applicant/borrower and Agency indicating their acceptance/approval of the request sign the form.  The collection of information for the form is a normal business practice.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1924-19, Builder's Warranty</w:t>
      </w:r>
    </w:p>
    <w:p w:rsidR="00853CF2" w:rsidP="00853CF2" w:rsidRDefault="00853CF2">
      <w:pPr>
        <w:rPr>
          <w:rFonts w:ascii="Times New Roman" w:hAnsi="Times New Roman"/>
          <w:sz w:val="24"/>
          <w:szCs w:val="24"/>
        </w:rPr>
      </w:pPr>
      <w:r>
        <w:rPr>
          <w:rFonts w:ascii="Times New Roman" w:hAnsi="Times New Roman"/>
          <w:sz w:val="24"/>
          <w:szCs w:val="24"/>
        </w:rPr>
        <w:t>This form is completed by a contractor/builder and issued to the applicant/borrower at the completion or acceptance of the development work.  The completed form protects the applicant/borrower against deficient materials and workmanship.  The collection of information for this form is a normal business practice.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1924-25, Plan Certification</w:t>
      </w:r>
    </w:p>
    <w:p w:rsidR="00853CF2" w:rsidP="00853CF2" w:rsidRDefault="00853CF2">
      <w:pPr>
        <w:rPr>
          <w:rFonts w:ascii="Times New Roman" w:hAnsi="Times New Roman"/>
          <w:sz w:val="24"/>
          <w:szCs w:val="24"/>
        </w:rPr>
      </w:pPr>
      <w:r>
        <w:rPr>
          <w:rFonts w:ascii="Times New Roman" w:hAnsi="Times New Roman"/>
          <w:sz w:val="24"/>
          <w:szCs w:val="24"/>
        </w:rPr>
        <w:t>This form is prepared by licensed architects, professional engineers, plan reviewers, local building officials, National codes organizations, registered professional building designers, local communities, plan services, or builders/contractors to certify that final drawings and specifications and any modifications thereof are in conformance with the applicable development standard.  The collection of information for the form is a normal business practice.</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1927-5, Affidavit Regarding Work of Improvement</w:t>
      </w:r>
    </w:p>
    <w:p w:rsidR="00853CF2" w:rsidP="00853CF2" w:rsidRDefault="00853CF2">
      <w:pPr>
        <w:rPr>
          <w:rFonts w:ascii="Times New Roman" w:hAnsi="Times New Roman"/>
          <w:sz w:val="24"/>
          <w:szCs w:val="24"/>
        </w:rPr>
      </w:pPr>
      <w:r>
        <w:rPr>
          <w:rFonts w:ascii="Times New Roman" w:hAnsi="Times New Roman"/>
          <w:sz w:val="24"/>
          <w:szCs w:val="24"/>
        </w:rPr>
        <w:t>This form is used by the Closing Agent/Attorney to obtain an affidavit regarding improvement work that has been done to the property being financed.  The applicant(s) and/or seller(s) certify that they have not incurred any obligations for repairs on the property that will result in a lien on the Agency financed property.</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RD1927-8, Agreement with Prior Lienholder</w:t>
      </w:r>
    </w:p>
    <w:p w:rsidR="00853CF2" w:rsidP="00853CF2" w:rsidRDefault="00853CF2">
      <w:pPr>
        <w:rPr>
          <w:rFonts w:ascii="Times New Roman" w:hAnsi="Times New Roman"/>
          <w:sz w:val="24"/>
          <w:szCs w:val="24"/>
        </w:rPr>
      </w:pPr>
      <w:r>
        <w:rPr>
          <w:rFonts w:ascii="Times New Roman" w:hAnsi="Times New Roman"/>
          <w:sz w:val="24"/>
          <w:szCs w:val="24"/>
        </w:rPr>
        <w:t>This form is used by the Loan Approval Official in conjunction with a loan made subject to an existing lien when it is determined necessary to protect the Government’s security interest against foreclosure action by the prior Lienholder.  It is also used by participating leveraged lenders in RHS to show their lien priority on the joint loan.</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1927-9, Preliminary Title Opinion</w:t>
      </w:r>
    </w:p>
    <w:p w:rsidR="00853CF2" w:rsidP="00853CF2" w:rsidRDefault="00853CF2">
      <w:pPr>
        <w:rPr>
          <w:rFonts w:ascii="Times New Roman" w:hAnsi="Times New Roman"/>
          <w:sz w:val="24"/>
          <w:szCs w:val="24"/>
        </w:rPr>
      </w:pPr>
      <w:r>
        <w:rPr>
          <w:rFonts w:ascii="Times New Roman" w:hAnsi="Times New Roman"/>
          <w:sz w:val="24"/>
          <w:szCs w:val="24"/>
        </w:rPr>
        <w:t>This form is used by the Closing Attorney to furnish a preliminary title opinion in connection with this regulation occasionally for loans being closed by RHS.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RD1927-10, Final Title Opinion</w:t>
      </w:r>
    </w:p>
    <w:p w:rsidR="00853CF2" w:rsidP="00853CF2" w:rsidRDefault="00853CF2">
      <w:pPr>
        <w:rPr>
          <w:rFonts w:ascii="Times New Roman" w:hAnsi="Times New Roman"/>
          <w:sz w:val="24"/>
          <w:szCs w:val="24"/>
        </w:rPr>
      </w:pPr>
      <w:r>
        <w:rPr>
          <w:rFonts w:ascii="Times New Roman" w:hAnsi="Times New Roman"/>
          <w:sz w:val="24"/>
          <w:szCs w:val="24"/>
        </w:rPr>
        <w:t>This form is used by the Closing Attorney to furnish a final title opinion for loans using an attorney’s opinion and being closed in connection with this regulation.</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1927-19, Certification of Attorney,</w:t>
      </w:r>
      <w:r>
        <w:rPr>
          <w:rFonts w:ascii="Times New Roman" w:hAnsi="Times New Roman"/>
          <w:sz w:val="24"/>
          <w:szCs w:val="24"/>
        </w:rPr>
        <w:t xml:space="preserve"> and</w:t>
      </w:r>
    </w:p>
    <w:p w:rsidR="00853CF2" w:rsidP="00853CF2" w:rsidRDefault="00853CF2">
      <w:pPr>
        <w:rPr>
          <w:rFonts w:ascii="Times New Roman" w:hAnsi="Times New Roman"/>
          <w:sz w:val="24"/>
          <w:szCs w:val="24"/>
          <w:u w:val="single"/>
        </w:rPr>
      </w:pPr>
      <w:r>
        <w:rPr>
          <w:rFonts w:ascii="Times New Roman" w:hAnsi="Times New Roman"/>
          <w:sz w:val="24"/>
          <w:szCs w:val="24"/>
          <w:u w:val="single"/>
        </w:rPr>
        <w:lastRenderedPageBreak/>
        <w:t>Form RD 1927-20, Certification of Title Insurance Company</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rPr>
        <w:t>These forms are used by the Closing Agent/Attorney, selected by the applicant to close an Agency loan, to certify that the Closing Agent/Attorney meets the required conditions of 7 CFR 1927-B.  Since the forms contain professional information about the Closing Agent/Attorney, they are not expected to require any research.</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RD Form 402-1, Deposit Agreement</w:t>
      </w:r>
    </w:p>
    <w:p w:rsidR="00853CF2" w:rsidP="00853CF2" w:rsidRDefault="00853CF2">
      <w:pPr>
        <w:rPr>
          <w:rFonts w:ascii="Times New Roman" w:hAnsi="Times New Roman"/>
          <w:sz w:val="24"/>
          <w:szCs w:val="24"/>
        </w:rPr>
      </w:pPr>
      <w:r>
        <w:rPr>
          <w:rFonts w:ascii="Times New Roman" w:hAnsi="Times New Roman"/>
          <w:sz w:val="24"/>
          <w:szCs w:val="24"/>
        </w:rPr>
        <w:t>A deposit agreement will be typically used to hold funds in a non-</w:t>
      </w:r>
      <w:proofErr w:type="gramStart"/>
      <w:r>
        <w:rPr>
          <w:rFonts w:ascii="Times New Roman" w:hAnsi="Times New Roman"/>
          <w:sz w:val="24"/>
          <w:szCs w:val="24"/>
        </w:rPr>
        <w:t>interest bearing</w:t>
      </w:r>
      <w:proofErr w:type="gramEnd"/>
      <w:r>
        <w:rPr>
          <w:rFonts w:ascii="Times New Roman" w:hAnsi="Times New Roman"/>
          <w:sz w:val="24"/>
          <w:szCs w:val="24"/>
        </w:rPr>
        <w:t xml:space="preserve"> account for a short period of time.  This agreement may be used for any program administered by the Agency which may require the holding of funds for very short periods of time in a non-</w:t>
      </w:r>
      <w:proofErr w:type="gramStart"/>
      <w:r>
        <w:rPr>
          <w:rFonts w:ascii="Times New Roman" w:hAnsi="Times New Roman"/>
          <w:sz w:val="24"/>
          <w:szCs w:val="24"/>
        </w:rPr>
        <w:t>interest bearing</w:t>
      </w:r>
      <w:proofErr w:type="gramEnd"/>
      <w:r>
        <w:rPr>
          <w:rFonts w:ascii="Times New Roman" w:hAnsi="Times New Roman"/>
          <w:sz w:val="24"/>
          <w:szCs w:val="24"/>
        </w:rPr>
        <w:t xml:space="preserve"> account.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400-1, Equal Opportunity Agreement</w:t>
      </w:r>
    </w:p>
    <w:p w:rsidR="00853CF2" w:rsidP="00853CF2" w:rsidRDefault="00853CF2">
      <w:pPr>
        <w:rPr>
          <w:rFonts w:ascii="Times New Roman" w:hAnsi="Times New Roman"/>
          <w:sz w:val="24"/>
          <w:szCs w:val="24"/>
        </w:rPr>
      </w:pPr>
      <w:r>
        <w:rPr>
          <w:rFonts w:ascii="Times New Roman" w:hAnsi="Times New Roman"/>
          <w:sz w:val="24"/>
          <w:szCs w:val="24"/>
        </w:rPr>
        <w:t>This form is an agreement between Rural Development and a recipient of Federal financial assistance when a construction contract of $10,000 or more is involved.  The borrower agrees not to discriminate against any employee, or applicant for employment, and agrees to abide by the requirements of Executive Order 11246.  The form is read and signed by the recipient.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Form RD 400-4, Assurance Agreement</w:t>
      </w:r>
    </w:p>
    <w:p w:rsidR="00853CF2" w:rsidP="00853CF2" w:rsidRDefault="00853CF2">
      <w:pPr>
        <w:rPr>
          <w:rFonts w:ascii="Times New Roman" w:hAnsi="Times New Roman"/>
          <w:sz w:val="24"/>
          <w:szCs w:val="24"/>
        </w:rPr>
      </w:pPr>
      <w:r>
        <w:rPr>
          <w:rFonts w:ascii="Times New Roman" w:hAnsi="Times New Roman"/>
          <w:sz w:val="24"/>
          <w:szCs w:val="24"/>
        </w:rPr>
        <w:t>This form is executed by recipients of Rural Development’s Federal financial assistance as an assurance that the recipient will comply with the requirements of Title VI of the Civil Rights Act of 1964.  This form is read and signed by the recipient.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400-8, Compliance Review</w:t>
      </w:r>
    </w:p>
    <w:p w:rsidR="00853CF2" w:rsidP="00853CF2" w:rsidRDefault="00853CF2">
      <w:pPr>
        <w:rPr>
          <w:rFonts w:ascii="Times New Roman" w:hAnsi="Times New Roman"/>
          <w:sz w:val="24"/>
          <w:szCs w:val="24"/>
        </w:rPr>
      </w:pPr>
      <w:r>
        <w:rPr>
          <w:rFonts w:ascii="Times New Roman" w:hAnsi="Times New Roman"/>
          <w:sz w:val="24"/>
          <w:szCs w:val="24"/>
        </w:rPr>
        <w:t xml:space="preserve">RD created the current form RD-400-8 with the capability to make direct comparison of the eligible population data obtained from the census data and the participation of the beneficiaries the recipients served.  The race and ethnic data will be provided by the recipients of the various loan and grant programs and is evaluated and compared to the eligible census data to determine if similar situated groups are receiving the same benefits and services of the particular program or activity.  The additional information required will be collected by RD compliance officials from the review of the recipients’ records.  All sections of the compliance review do not pertain to all recipients; </w:t>
      </w:r>
      <w:proofErr w:type="gramStart"/>
      <w:r>
        <w:rPr>
          <w:rFonts w:ascii="Times New Roman" w:hAnsi="Times New Roman"/>
          <w:sz w:val="24"/>
          <w:szCs w:val="24"/>
        </w:rPr>
        <w:t>therefore</w:t>
      </w:r>
      <w:proofErr w:type="gramEnd"/>
      <w:r>
        <w:rPr>
          <w:rFonts w:ascii="Times New Roman" w:hAnsi="Times New Roman"/>
          <w:sz w:val="24"/>
          <w:szCs w:val="24"/>
        </w:rPr>
        <w:t xml:space="preserve"> they will not be completed.</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Form RD 440-24, Position Fidelity Schedule Bond Declarations</w:t>
      </w:r>
    </w:p>
    <w:p w:rsidR="00853CF2" w:rsidP="00853CF2" w:rsidRDefault="00853CF2">
      <w:pPr>
        <w:rPr>
          <w:rFonts w:ascii="Times New Roman" w:hAnsi="Times New Roman"/>
          <w:sz w:val="24"/>
          <w:szCs w:val="24"/>
        </w:rPr>
      </w:pPr>
      <w:r>
        <w:rPr>
          <w:rFonts w:ascii="Times New Roman" w:hAnsi="Times New Roman"/>
          <w:sz w:val="24"/>
          <w:szCs w:val="24"/>
        </w:rPr>
        <w:t xml:space="preserve">This form may be used by organizations (where permitted by state law) to provide fidelity bond coverage for certain officials entrusted with funds. </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rPr>
        <w:t>REPORTING REQUIREMENT – FORM BURDEN APPROVED UNDER OTHER OMB NUMBERS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Application for Federal Assistance (For Non-Construction) (SF-424) – (OMB No. 4040-0004 Expiration Date: 8/31/2016)</w:t>
      </w:r>
    </w:p>
    <w:p w:rsidR="00853CF2" w:rsidP="00853CF2" w:rsidRDefault="00853CF2">
      <w:pPr>
        <w:rPr>
          <w:rFonts w:ascii="Times New Roman" w:hAnsi="Times New Roman"/>
          <w:sz w:val="24"/>
          <w:szCs w:val="24"/>
        </w:rPr>
      </w:pPr>
      <w:r>
        <w:rPr>
          <w:rFonts w:ascii="Times New Roman" w:hAnsi="Times New Roman"/>
          <w:sz w:val="24"/>
          <w:szCs w:val="24"/>
        </w:rPr>
        <w:t>This form provides general information and signature documenting application. Accounted for in separate Request for Common Forms (RCF).</w:t>
      </w:r>
    </w:p>
    <w:p w:rsidR="00853CF2" w:rsidP="00853CF2" w:rsidRDefault="00853CF2">
      <w:pPr>
        <w:rPr>
          <w:rFonts w:ascii="Times New Roman" w:hAnsi="Times New Roman"/>
          <w:sz w:val="24"/>
          <w:szCs w:val="24"/>
          <w:u w:val="single"/>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HUD Form 935.2A, Affirmative Fair Housing Marketing AFHM Plan - Multifamily Housing and 935.2B, Affirmative Fair Housing Marketing Plan - Single Family Housing, (OMB No. 2529-0013 Expiration Date: 12/31/2016).</w:t>
      </w:r>
    </w:p>
    <w:p w:rsidR="00853CF2" w:rsidP="00853CF2" w:rsidRDefault="00853CF2">
      <w:pPr>
        <w:rPr>
          <w:rFonts w:ascii="Times New Roman" w:hAnsi="Times New Roman"/>
          <w:sz w:val="24"/>
          <w:szCs w:val="24"/>
        </w:rPr>
      </w:pPr>
      <w:r>
        <w:rPr>
          <w:rFonts w:ascii="Times New Roman" w:hAnsi="Times New Roman"/>
          <w:sz w:val="24"/>
          <w:szCs w:val="24"/>
        </w:rPr>
        <w:t>The implementing regulations issued by the Department of Housing and Urban Development (HUD) and adopted by RD, require recipients and other participants in RD housing programs to prepare affirmative fair housing marketing plans (AFHMP), and to collect and maintain data to reflect compliance with the requirements of that plan.  The AFHMP is a HUD form that is used by RD housing recipients to assure that recipients are marketing housing in a non-discriminatory manner to groups which are least likely to apply for housing.</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u w:val="single"/>
        </w:rPr>
      </w:pPr>
      <w:r>
        <w:rPr>
          <w:rFonts w:ascii="Times New Roman" w:hAnsi="Times New Roman"/>
          <w:sz w:val="24"/>
          <w:szCs w:val="24"/>
          <w:u w:val="single"/>
        </w:rPr>
        <w:t>HUD Form 2530, Previous Participation Certification (OMB No. 2502-0118 Expiration Date: 5/31/2019).</w:t>
      </w:r>
    </w:p>
    <w:p w:rsidR="00853CF2" w:rsidP="00853CF2" w:rsidRDefault="00853CF2">
      <w:pPr>
        <w:rPr>
          <w:rFonts w:ascii="Times New Roman" w:hAnsi="Times New Roman"/>
          <w:sz w:val="24"/>
          <w:szCs w:val="24"/>
        </w:rPr>
      </w:pPr>
      <w:r>
        <w:rPr>
          <w:rFonts w:ascii="Times New Roman" w:hAnsi="Times New Roman"/>
          <w:sz w:val="24"/>
          <w:szCs w:val="24"/>
        </w:rPr>
        <w:t>Applicants must file a form HUD-2530 upon initial participation for HUD’s multifamily programs or when notifying HUD of a proposed substitution or addition of a principal.  The form HUD-2530 must also be filed when or if there are changes in roles or proposed participation in a different capacity from what has been previously approved.  Respondents can include owners, managers, consultants, general contractors, and nursing home operators and administrators.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rPr>
        <w:t>RECORDKEEPING REQUIREMENTS</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Retain Tenant Applications</w:t>
      </w:r>
      <w:r>
        <w:rPr>
          <w:rFonts w:ascii="Times New Roman" w:hAnsi="Times New Roman"/>
          <w:sz w:val="24"/>
          <w:szCs w:val="24"/>
        </w:rPr>
        <w:t>.  Borrowers must retain all tenant application forms for at least three years.  The Agency may require borrowers to submit application information for Agency review.</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 xml:space="preserve">Retain Copies of Correspondence and A Record </w:t>
      </w:r>
      <w:proofErr w:type="gramStart"/>
      <w:r>
        <w:rPr>
          <w:rFonts w:ascii="Times New Roman" w:hAnsi="Times New Roman"/>
          <w:sz w:val="24"/>
          <w:szCs w:val="24"/>
          <w:u w:val="single"/>
        </w:rPr>
        <w:t>Of</w:t>
      </w:r>
      <w:proofErr w:type="gramEnd"/>
      <w:r>
        <w:rPr>
          <w:rFonts w:ascii="Times New Roman" w:hAnsi="Times New Roman"/>
          <w:sz w:val="24"/>
          <w:szCs w:val="24"/>
          <w:u w:val="single"/>
        </w:rPr>
        <w:t xml:space="preserve"> Conversations Regarding Unauthorized Assistance Received By Tenants</w:t>
      </w:r>
      <w:r>
        <w:rPr>
          <w:rFonts w:ascii="Times New Roman" w:hAnsi="Times New Roman"/>
          <w:sz w:val="24"/>
          <w:szCs w:val="24"/>
        </w:rPr>
        <w:t>. Borrowers must retain correspondence and record of conversations regarding unauthorized assistance for at least three years.  The Agency may require borrowers to submit correspondence and records of conversations for Agency review in order to service any unauthorized assistance received and paid back by the tenant.</w:t>
      </w:r>
    </w:p>
    <w:p w:rsidR="00853CF2" w:rsidP="00853CF2" w:rsidRDefault="00853CF2">
      <w:pPr>
        <w:rPr>
          <w:rFonts w:ascii="Times New Roman" w:hAnsi="Times New Roman"/>
          <w:sz w:val="24"/>
          <w:szCs w:val="24"/>
        </w:rPr>
      </w:pPr>
    </w:p>
    <w:p w:rsidR="00853CF2" w:rsidP="00853CF2" w:rsidRDefault="00853CF2">
      <w:pPr>
        <w:rPr>
          <w:rFonts w:ascii="Times New Roman" w:hAnsi="Times New Roman"/>
          <w:sz w:val="24"/>
          <w:szCs w:val="24"/>
        </w:rPr>
      </w:pPr>
      <w:r>
        <w:rPr>
          <w:rFonts w:ascii="Times New Roman" w:hAnsi="Times New Roman"/>
          <w:sz w:val="24"/>
          <w:szCs w:val="24"/>
          <w:u w:val="single"/>
        </w:rPr>
        <w:t>Marketing Records</w:t>
      </w:r>
      <w:r>
        <w:rPr>
          <w:rFonts w:ascii="Times New Roman" w:hAnsi="Times New Roman"/>
          <w:sz w:val="24"/>
          <w:szCs w:val="24"/>
        </w:rPr>
        <w:t>.  The borrower must maintain records that reflect efforts to fulfill the affirmative fair housing marketing plan.  The Agency may require borrowers to submit records and to update plans as needed.</w:t>
      </w:r>
    </w:p>
    <w:p w:rsidR="006E0A06" w:rsidRDefault="006E0A06"/>
    <w:sectPr w:rsidR="006E0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28A"/>
    <w:multiLevelType w:val="hybridMultilevel"/>
    <w:tmpl w:val="C60411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FD6D41"/>
    <w:multiLevelType w:val="hybridMultilevel"/>
    <w:tmpl w:val="4DD2F1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F2"/>
    <w:rsid w:val="006E0A06"/>
    <w:rsid w:val="0085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88E48-4B69-4815-B496-AB49E567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CF2"/>
    <w:pPr>
      <w:overflowPunct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01625">
      <w:bodyDiv w:val="1"/>
      <w:marLeft w:val="0"/>
      <w:marRight w:val="0"/>
      <w:marTop w:val="0"/>
      <w:marBottom w:val="0"/>
      <w:divBdr>
        <w:top w:val="none" w:sz="0" w:space="0" w:color="auto"/>
        <w:left w:val="none" w:sz="0" w:space="0" w:color="auto"/>
        <w:bottom w:val="none" w:sz="0" w:space="0" w:color="auto"/>
        <w:right w:val="none" w:sz="0" w:space="0" w:color="auto"/>
      </w:divBdr>
    </w:div>
    <w:div w:id="5706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7323</Words>
  <Characters>41742</Characters>
  <Application>Microsoft Office Word</Application>
  <DocSecurity>0</DocSecurity>
  <Lines>347</Lines>
  <Paragraphs>97</Paragraphs>
  <ScaleCrop>false</ScaleCrop>
  <Company>White House Communications Agency</Company>
  <LinksUpToDate>false</LinksUpToDate>
  <CharactersWithSpaces>48968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2021-08-03T14:45:00Z</dcterms:created>
  <dcterms:modified xsi:type="dcterms:W3CDTF">2021-08-03T14:47:00Z</dcterms:modified>
</cp:coreProperties>
</file>