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6C6E" w:rsidP="2D629091" w14:paraId="07255CE2" w14:textId="1AB8688C">
      <w:pPr>
        <w:widowControl/>
        <w:autoSpaceDE w:val="0"/>
        <w:autoSpaceDN w:val="0"/>
        <w:adjustRightInd w:val="0"/>
        <w:spacing w:line="480" w:lineRule="auto"/>
        <w:jc w:val="center"/>
        <w:rPr>
          <w:b/>
          <w:bCs/>
        </w:rPr>
      </w:pPr>
      <w:bookmarkStart w:id="0" w:name="_Toc236553874"/>
      <w:r w:rsidRPr="2D629091">
        <w:rPr>
          <w:b/>
          <w:bCs/>
        </w:rPr>
        <w:t xml:space="preserve">Qualitative Research on Food Safety Behaviors </w:t>
      </w:r>
      <w:r w:rsidRPr="2D629091" w:rsidR="00D85A42">
        <w:rPr>
          <w:b/>
          <w:bCs/>
        </w:rPr>
        <w:t>A</w:t>
      </w:r>
      <w:r w:rsidRPr="2D629091">
        <w:rPr>
          <w:b/>
          <w:bCs/>
        </w:rPr>
        <w:t xml:space="preserve">mong </w:t>
      </w:r>
      <w:r w:rsidRPr="2D629091" w:rsidR="6673DEE8">
        <w:rPr>
          <w:b/>
          <w:bCs/>
        </w:rPr>
        <w:t>Dual Caregivers</w:t>
      </w:r>
    </w:p>
    <w:p w:rsidR="00A06C6E" w:rsidRPr="00ED52DB" w:rsidP="00A06C6E" w14:paraId="01E336E1" w14:textId="524DA0F9">
      <w:pPr>
        <w:widowControl/>
        <w:autoSpaceDE w:val="0"/>
        <w:autoSpaceDN w:val="0"/>
        <w:adjustRightInd w:val="0"/>
        <w:spacing w:line="480" w:lineRule="auto"/>
        <w:jc w:val="center"/>
        <w:rPr>
          <w:b/>
          <w:szCs w:val="24"/>
        </w:rPr>
      </w:pPr>
      <w:r>
        <w:rPr>
          <w:b/>
          <w:szCs w:val="24"/>
        </w:rPr>
        <w:t>In Depth Interview Research</w:t>
      </w:r>
    </w:p>
    <w:p w:rsidR="00A06C6E" w:rsidRPr="00ED52DB" w:rsidP="00A06C6E" w14:paraId="04BD01E0" w14:textId="0E6812F5">
      <w:pPr>
        <w:pStyle w:val="Heading1"/>
        <w:rPr>
          <w:rFonts w:ascii="Times New Roman" w:hAnsi="Times New Roman" w:cs="Times New Roman"/>
        </w:rPr>
      </w:pPr>
      <w:r w:rsidRPr="00A91C01">
        <w:rPr>
          <w:rFonts w:ascii="Times New Roman" w:hAnsi="Times New Roman" w:cs="Times New Roman"/>
        </w:rPr>
        <w:t xml:space="preserve">OMB No. </w:t>
      </w:r>
      <w:r w:rsidRPr="00A91C01" w:rsidR="00A91C01">
        <w:t>0583–NEW</w:t>
      </w:r>
    </w:p>
    <w:p w:rsidR="00A06C6E" w:rsidRPr="00ED52DB" w:rsidP="00A06C6E" w14:paraId="61FDA154" w14:textId="77777777">
      <w:pPr>
        <w:pStyle w:val="Heading1"/>
        <w:rPr>
          <w:rFonts w:ascii="Times New Roman" w:hAnsi="Times New Roman" w:cs="Times New Roman"/>
        </w:rPr>
      </w:pPr>
      <w:r w:rsidRPr="00ED52DB">
        <w:rPr>
          <w:rFonts w:ascii="Times New Roman" w:hAnsi="Times New Roman" w:cs="Times New Roman"/>
        </w:rPr>
        <w:t>Supporting Statement</w:t>
      </w:r>
    </w:p>
    <w:p w:rsidR="00A06C6E" w:rsidRPr="00ED52DB" w:rsidP="00A06C6E" w14:paraId="5A22F1C4" w14:textId="77777777">
      <w:pPr>
        <w:pStyle w:val="Heading1"/>
      </w:pPr>
      <w:r w:rsidRPr="00ED52DB">
        <w:t>A. Justification</w:t>
      </w:r>
    </w:p>
    <w:p w:rsidR="00A06C6E" w:rsidRPr="00ED52DB" w:rsidP="00A06C6E" w14:paraId="09A1CA18" w14:textId="77777777">
      <w:pPr>
        <w:pStyle w:val="Heading2"/>
        <w:rPr>
          <w:rFonts w:ascii="Times New Roman" w:hAnsi="Times New Roman" w:cs="Times New Roman"/>
        </w:rPr>
      </w:pPr>
      <w:r w:rsidRPr="00ED52DB">
        <w:rPr>
          <w:rFonts w:ascii="Times New Roman" w:hAnsi="Times New Roman" w:cs="Times New Roman"/>
        </w:rPr>
        <w:t>A.1.</w:t>
      </w:r>
      <w:r w:rsidRPr="00ED52DB">
        <w:rPr>
          <w:rFonts w:ascii="Times New Roman" w:hAnsi="Times New Roman" w:cs="Times New Roman"/>
        </w:rPr>
        <w:tab/>
        <w:t>Circumstances Making Collection of Information Necessary</w:t>
      </w:r>
      <w:bookmarkEnd w:id="0"/>
    </w:p>
    <w:p w:rsidR="00EB5FA1" w:rsidRPr="00EB5FA1" w:rsidP="003611E5" w14:paraId="3F5266EB" w14:textId="4DEE0078">
      <w:pPr>
        <w:pStyle w:val="BodyText1"/>
      </w:pPr>
      <w:r>
        <w:t xml:space="preserve">The U.S. Department of Agriculture, </w:t>
      </w:r>
      <w:r w:rsidR="00464908">
        <w:t>Food Safety Inspection Service</w:t>
      </w:r>
      <w:r w:rsidR="00503C3B">
        <w:t xml:space="preserve">, Office of Public Affairs and Consumer Education (USDA, FSIS, OPACE) ensures </w:t>
      </w:r>
      <w:r w:rsidR="003611E5">
        <w:t xml:space="preserve">that members of the American public are equipped with the tools they need to reduce </w:t>
      </w:r>
      <w:r w:rsidRPr="00EB5FA1" w:rsidR="000514A1">
        <w:t>their risk of foodborne illness</w:t>
      </w:r>
      <w:r w:rsidRPr="00EB5FA1" w:rsidR="00374FC3">
        <w:t xml:space="preserve"> by teaching others how to safely handle, prepare, and store food.</w:t>
      </w:r>
      <w:r w:rsidR="0060097B">
        <w:t xml:space="preserve"> </w:t>
      </w:r>
      <w:r w:rsidR="009477B8">
        <w:t xml:space="preserve">OPACE </w:t>
      </w:r>
      <w:r w:rsidR="00CC7D5E">
        <w:t>staff</w:t>
      </w:r>
      <w:r w:rsidR="00DF3FF8">
        <w:t xml:space="preserve"> are responsible for designing</w:t>
      </w:r>
      <w:r w:rsidR="00647254">
        <w:t xml:space="preserve"> and implementing </w:t>
      </w:r>
      <w:r w:rsidR="00A33E14">
        <w:t>education</w:t>
      </w:r>
      <w:r w:rsidR="00647254">
        <w:t xml:space="preserve"> efforts to promote safe food handling procedures and reduce the likelihood of foodborne illness. </w:t>
      </w:r>
    </w:p>
    <w:p w:rsidR="00BC73A1" w:rsidP="00BE623F" w14:paraId="6A920589" w14:textId="595DBF22">
      <w:pPr>
        <w:pStyle w:val="BodyText1"/>
        <w:rPr>
          <w:color w:val="000000"/>
        </w:rPr>
      </w:pPr>
      <w:r w:rsidRPr="00EB5FA1">
        <w:rPr>
          <w:color w:val="000000"/>
        </w:rPr>
        <w:t>OPACE strives to continuously increase consumer awareness of recommended food safety practices with the intent to improve food</w:t>
      </w:r>
      <w:r w:rsidR="00B5179C">
        <w:rPr>
          <w:color w:val="000000"/>
        </w:rPr>
        <w:t xml:space="preserve"> </w:t>
      </w:r>
      <w:r w:rsidRPr="00EB5FA1">
        <w:rPr>
          <w:color w:val="000000"/>
        </w:rPr>
        <w:t>handling behaviors at home. OPACE</w:t>
      </w:r>
      <w:r w:rsidR="007B0BF4">
        <w:rPr>
          <w:color w:val="000000"/>
        </w:rPr>
        <w:t xml:space="preserve"> has</w:t>
      </w:r>
      <w:r w:rsidR="00A9759E">
        <w:rPr>
          <w:color w:val="000000"/>
        </w:rPr>
        <w:t xml:space="preserve"> already</w:t>
      </w:r>
      <w:r w:rsidRPr="00EB5FA1">
        <w:rPr>
          <w:color w:val="000000"/>
        </w:rPr>
        <w:t xml:space="preserve"> </w:t>
      </w:r>
      <w:r w:rsidR="00A33E14">
        <w:rPr>
          <w:color w:val="000000"/>
        </w:rPr>
        <w:t>carrie</w:t>
      </w:r>
      <w:r w:rsidR="00AC11C6">
        <w:rPr>
          <w:color w:val="000000"/>
        </w:rPr>
        <w:t>d</w:t>
      </w:r>
      <w:r w:rsidR="00A33E14">
        <w:rPr>
          <w:color w:val="000000"/>
        </w:rPr>
        <w:t xml:space="preserve"> out this </w:t>
      </w:r>
      <w:r w:rsidR="00B5179C">
        <w:rPr>
          <w:color w:val="000000"/>
        </w:rPr>
        <w:t>mission</w:t>
      </w:r>
      <w:r w:rsidRPr="00EB5FA1">
        <w:rPr>
          <w:color w:val="000000"/>
        </w:rPr>
        <w:t xml:space="preserve"> through</w:t>
      </w:r>
      <w:r w:rsidR="008C5E20">
        <w:rPr>
          <w:color w:val="000000"/>
        </w:rPr>
        <w:t xml:space="preserve"> </w:t>
      </w:r>
      <w:r w:rsidR="00B5179C">
        <w:rPr>
          <w:color w:val="000000"/>
        </w:rPr>
        <w:t>many</w:t>
      </w:r>
      <w:r w:rsidR="00A33E14">
        <w:rPr>
          <w:color w:val="000000"/>
        </w:rPr>
        <w:t xml:space="preserve"> campaign and public education efforts</w:t>
      </w:r>
      <w:r w:rsidR="008C5E20">
        <w:rPr>
          <w:color w:val="000000"/>
        </w:rPr>
        <w:t xml:space="preserve"> including the Fight</w:t>
      </w:r>
      <w:r w:rsidR="00A9759E">
        <w:rPr>
          <w:color w:val="000000"/>
        </w:rPr>
        <w:t xml:space="preserve"> BAC!</w:t>
      </w:r>
      <w:r w:rsidR="008C5E20">
        <w:rPr>
          <w:color w:val="000000"/>
        </w:rPr>
        <w:t xml:space="preserve"> campaign, social media</w:t>
      </w:r>
      <w:r w:rsidR="00AC11C6">
        <w:rPr>
          <w:color w:val="000000"/>
        </w:rPr>
        <w:t xml:space="preserve"> content</w:t>
      </w:r>
      <w:r w:rsidR="008C5E20">
        <w:rPr>
          <w:color w:val="000000"/>
        </w:rPr>
        <w:t xml:space="preserve">, the FSIS website, </w:t>
      </w:r>
      <w:r w:rsidR="00BE623F">
        <w:rPr>
          <w:color w:val="000000"/>
        </w:rPr>
        <w:t xml:space="preserve">FoodSafety.gov, research publications and events. </w:t>
      </w:r>
      <w:r w:rsidR="007B0BF4">
        <w:rPr>
          <w:color w:val="000000"/>
        </w:rPr>
        <w:t xml:space="preserve">Now, OPACE seeks to </w:t>
      </w:r>
      <w:r w:rsidR="009405A1">
        <w:rPr>
          <w:color w:val="000000"/>
        </w:rPr>
        <w:t>create</w:t>
      </w:r>
      <w:r w:rsidR="007B0BF4">
        <w:rPr>
          <w:color w:val="000000"/>
        </w:rPr>
        <w:t xml:space="preserve"> a new consumer education effort to promote food safety behaviors among </w:t>
      </w:r>
      <w:r w:rsidR="002370AA">
        <w:rPr>
          <w:color w:val="000000"/>
        </w:rPr>
        <w:t xml:space="preserve">populations that have not </w:t>
      </w:r>
      <w:r w:rsidR="000658AD">
        <w:rPr>
          <w:color w:val="000000"/>
        </w:rPr>
        <w:t>previously</w:t>
      </w:r>
      <w:r w:rsidR="002370AA">
        <w:rPr>
          <w:color w:val="000000"/>
        </w:rPr>
        <w:t xml:space="preserve"> benefited from</w:t>
      </w:r>
      <w:r w:rsidR="0047498F">
        <w:rPr>
          <w:color w:val="000000"/>
        </w:rPr>
        <w:t xml:space="preserve"> direct </w:t>
      </w:r>
      <w:r w:rsidR="005605A1">
        <w:rPr>
          <w:color w:val="000000"/>
        </w:rPr>
        <w:t xml:space="preserve">and culturally tailored </w:t>
      </w:r>
      <w:r w:rsidR="000658AD">
        <w:rPr>
          <w:color w:val="000000"/>
        </w:rPr>
        <w:t xml:space="preserve">USDA </w:t>
      </w:r>
      <w:r w:rsidR="0047498F">
        <w:rPr>
          <w:color w:val="000000"/>
        </w:rPr>
        <w:t xml:space="preserve">consumer food safety outreach in the past. </w:t>
      </w:r>
    </w:p>
    <w:p w:rsidR="0047498F" w:rsidRPr="00F85764" w:rsidP="2D629091" w14:paraId="60CF9DB0" w14:textId="60C0A52A">
      <w:pPr>
        <w:pStyle w:val="BodyText1"/>
      </w:pPr>
      <w:r>
        <w:t xml:space="preserve">Specifically, to extend their longstanding dedication to educating the public about food safety and reducing the risk of foodborne illness, </w:t>
      </w:r>
      <w:r w:rsidR="00E9100F">
        <w:t>FSIS</w:t>
      </w:r>
      <w:r>
        <w:t xml:space="preserve"> is seeking to focus on “</w:t>
      </w:r>
      <w:r w:rsidR="558000E0">
        <w:t>dual caregivers</w:t>
      </w:r>
      <w:r>
        <w:t>” (those who are caring for both children and older adults)</w:t>
      </w:r>
      <w:r w:rsidR="00E63C83">
        <w:t xml:space="preserve"> as</w:t>
      </w:r>
      <w:r>
        <w:t xml:space="preserve"> a</w:t>
      </w:r>
      <w:r w:rsidR="00E9100F">
        <w:t xml:space="preserve"> priority audience for this new food safety campaign</w:t>
      </w:r>
      <w:r>
        <w:t>.</w:t>
      </w:r>
      <w:r w:rsidR="00AA077F">
        <w:t xml:space="preserve"> This </w:t>
      </w:r>
      <w:r w:rsidR="0028395E">
        <w:t>project</w:t>
      </w:r>
      <w:r w:rsidR="00AA077F">
        <w:t xml:space="preserve"> will focus on African American and Hispanic/Latino </w:t>
      </w:r>
      <w:r w:rsidR="3D565D36">
        <w:t xml:space="preserve">dual </w:t>
      </w:r>
      <w:r w:rsidR="3D565D36">
        <w:t>caregivers</w:t>
      </w:r>
      <w:r w:rsidR="00AA077F">
        <w:t xml:space="preserve"> to design and implement outreach with audiences who have not directly benefitted from these approaches in the past.</w:t>
      </w:r>
      <w:r>
        <w:t xml:space="preserve"> USDA is taking this approach to carry out their commitment to reaching a broader range of audiences, including those who speak Spanish with culturally appropriate messaging. There is a critical need to reach all communities, especially those who have had the least amount of exposure to</w:t>
      </w:r>
      <w:r w:rsidR="005B68A0">
        <w:t xml:space="preserve"> </w:t>
      </w:r>
      <w:r>
        <w:t xml:space="preserve">food safety messages, potentially due to language barriers, limited literacy, or other reasons. </w:t>
      </w:r>
    </w:p>
    <w:p w:rsidR="00BC73A1" w:rsidP="00BE623F" w14:paraId="21772289" w14:textId="24C0928B">
      <w:pPr>
        <w:pStyle w:val="BodyText1"/>
        <w:rPr>
          <w:color w:val="000000"/>
        </w:rPr>
      </w:pPr>
      <w:r>
        <w:rPr>
          <w:color w:val="000000"/>
        </w:rPr>
        <w:t>Th</w:t>
      </w:r>
      <w:r w:rsidR="00BF1BE0">
        <w:rPr>
          <w:color w:val="000000"/>
        </w:rPr>
        <w:t>is planned</w:t>
      </w:r>
      <w:r>
        <w:rPr>
          <w:color w:val="000000"/>
        </w:rPr>
        <w:t xml:space="preserve"> campaign </w:t>
      </w:r>
      <w:r w:rsidR="00BF1BE0">
        <w:rPr>
          <w:color w:val="000000"/>
        </w:rPr>
        <w:t>supports the</w:t>
      </w:r>
      <w:r>
        <w:rPr>
          <w:color w:val="000000"/>
        </w:rPr>
        <w:t xml:space="preserve"> FSIS 2023-2026 Strategic Plan </w:t>
      </w:r>
      <w:r>
        <w:rPr>
          <w:color w:val="000000"/>
        </w:rPr>
        <w:t xml:space="preserve">which </w:t>
      </w:r>
      <w:r w:rsidR="00130DFC">
        <w:rPr>
          <w:color w:val="000000"/>
        </w:rPr>
        <w:t xml:space="preserve">focuses on </w:t>
      </w:r>
      <w:r>
        <w:rPr>
          <w:color w:val="000000"/>
        </w:rPr>
        <w:t xml:space="preserve">the need to continue to expand consumer education </w:t>
      </w:r>
      <w:r w:rsidR="00A42522">
        <w:rPr>
          <w:color w:val="000000"/>
        </w:rPr>
        <w:t>about</w:t>
      </w:r>
      <w:r>
        <w:rPr>
          <w:color w:val="000000"/>
        </w:rPr>
        <w:t xml:space="preserve"> food safety while also </w:t>
      </w:r>
      <w:r w:rsidR="002D6C21">
        <w:rPr>
          <w:color w:val="000000"/>
        </w:rPr>
        <w:t xml:space="preserve">reaching out to larger and more diverse audiences. Specifically, </w:t>
      </w:r>
      <w:r w:rsidR="001865D0">
        <w:rPr>
          <w:color w:val="000000"/>
        </w:rPr>
        <w:t>this plan notes,</w:t>
      </w:r>
      <w:r w:rsidR="002D6C21">
        <w:rPr>
          <w:color w:val="000000"/>
        </w:rPr>
        <w:t xml:space="preserve"> “</w:t>
      </w:r>
      <w:r w:rsidR="00276367">
        <w:rPr>
          <w:color w:val="000000"/>
        </w:rPr>
        <w:t>FSIS’ outreach and educational activities extend to consumers</w:t>
      </w:r>
      <w:r w:rsidR="00EF1791">
        <w:rPr>
          <w:color w:val="000000"/>
        </w:rPr>
        <w:t>.</w:t>
      </w:r>
      <w:r w:rsidR="00276367">
        <w:rPr>
          <w:color w:val="000000"/>
        </w:rPr>
        <w:t xml:space="preserve"> The Agency will continue to extend and expand its food safety messaging to </w:t>
      </w:r>
      <w:r w:rsidR="000B7AD4">
        <w:rPr>
          <w:color w:val="000000"/>
        </w:rPr>
        <w:t>larger and more diverse audiences. FSIS will continue to use public service announcements, media outreach, events, partnerships, and campaigns that include social media channels to convey food safety to consumers.</w:t>
      </w:r>
      <w:r w:rsidR="0038614E">
        <w:rPr>
          <w:color w:val="000000"/>
        </w:rPr>
        <w:t xml:space="preserve"> Additionally, the Agency will tailor safe food handling messages to consumers</w:t>
      </w:r>
      <w:r w:rsidR="005B376F">
        <w:rPr>
          <w:color w:val="000000"/>
        </w:rPr>
        <w:t>…”</w:t>
      </w:r>
    </w:p>
    <w:p w:rsidR="004B47F5" w:rsidP="00DB4D7A" w14:paraId="30BE20F8" w14:textId="7DD15084">
      <w:pPr>
        <w:pStyle w:val="BodyText1"/>
        <w:rPr>
          <w:color w:val="000000"/>
        </w:rPr>
      </w:pPr>
      <w:r>
        <w:rPr>
          <w:color w:val="000000"/>
        </w:rPr>
        <w:t xml:space="preserve">Preliminary research </w:t>
      </w:r>
      <w:r w:rsidR="008238C4">
        <w:rPr>
          <w:color w:val="000000"/>
        </w:rPr>
        <w:t xml:space="preserve">must be undertaken to learn more about audience members’ knowledge, attitudes, </w:t>
      </w:r>
      <w:r w:rsidR="00376116">
        <w:rPr>
          <w:color w:val="000000"/>
        </w:rPr>
        <w:t>and current behaviors regarding food safety prior to being able to appropriately</w:t>
      </w:r>
      <w:r w:rsidR="0076459D">
        <w:rPr>
          <w:color w:val="000000"/>
        </w:rPr>
        <w:t xml:space="preserve"> develop</w:t>
      </w:r>
      <w:r w:rsidR="00195E54">
        <w:rPr>
          <w:color w:val="000000"/>
        </w:rPr>
        <w:t xml:space="preserve"> and tailor appropriate </w:t>
      </w:r>
      <w:r w:rsidR="0076459D">
        <w:rPr>
          <w:color w:val="000000"/>
        </w:rPr>
        <w:t xml:space="preserve">consumer </w:t>
      </w:r>
      <w:r w:rsidR="00D64549">
        <w:rPr>
          <w:color w:val="000000"/>
        </w:rPr>
        <w:t>messages</w:t>
      </w:r>
      <w:r w:rsidR="00376116">
        <w:rPr>
          <w:color w:val="000000"/>
        </w:rPr>
        <w:t xml:space="preserve">. Further, audience </w:t>
      </w:r>
      <w:r w:rsidR="009405A1">
        <w:rPr>
          <w:color w:val="000000"/>
        </w:rPr>
        <w:t>perspectives</w:t>
      </w:r>
      <w:r w:rsidR="00376116">
        <w:rPr>
          <w:color w:val="000000"/>
        </w:rPr>
        <w:t xml:space="preserve"> regarding </w:t>
      </w:r>
      <w:r w:rsidR="000D05BD">
        <w:rPr>
          <w:color w:val="000000"/>
        </w:rPr>
        <w:t xml:space="preserve">proposed </w:t>
      </w:r>
      <w:r w:rsidR="00376116">
        <w:rPr>
          <w:color w:val="000000"/>
        </w:rPr>
        <w:t xml:space="preserve">messaging </w:t>
      </w:r>
      <w:r w:rsidR="000D05BD">
        <w:rPr>
          <w:color w:val="000000"/>
        </w:rPr>
        <w:t>approaches</w:t>
      </w:r>
      <w:r w:rsidR="00376116">
        <w:rPr>
          <w:color w:val="000000"/>
        </w:rPr>
        <w:t xml:space="preserve"> </w:t>
      </w:r>
      <w:r w:rsidR="009405A1">
        <w:rPr>
          <w:color w:val="000000"/>
        </w:rPr>
        <w:t>are</w:t>
      </w:r>
      <w:r w:rsidR="00376116">
        <w:rPr>
          <w:color w:val="000000"/>
        </w:rPr>
        <w:t xml:space="preserve"> vital to </w:t>
      </w:r>
      <w:r w:rsidR="00F91944">
        <w:rPr>
          <w:color w:val="000000"/>
        </w:rPr>
        <w:t>make sure</w:t>
      </w:r>
      <w:r w:rsidR="00376116">
        <w:rPr>
          <w:color w:val="000000"/>
        </w:rPr>
        <w:t xml:space="preserve"> that campaign messages will resonate with</w:t>
      </w:r>
      <w:r w:rsidR="000D05BD">
        <w:rPr>
          <w:color w:val="000000"/>
        </w:rPr>
        <w:t xml:space="preserve"> audiences</w:t>
      </w:r>
      <w:r w:rsidR="00376116">
        <w:rPr>
          <w:color w:val="000000"/>
        </w:rPr>
        <w:t xml:space="preserve"> rather than </w:t>
      </w:r>
      <w:r>
        <w:rPr>
          <w:color w:val="000000"/>
        </w:rPr>
        <w:t>have no impact at all</w:t>
      </w:r>
      <w:r w:rsidR="00977482">
        <w:rPr>
          <w:color w:val="000000"/>
        </w:rPr>
        <w:t xml:space="preserve">. </w:t>
      </w:r>
    </w:p>
    <w:p w:rsidR="00DB4D7A" w:rsidP="00DB4D7A" w14:paraId="40FB5F1F" w14:textId="10129C76">
      <w:pPr>
        <w:pStyle w:val="BodyText1"/>
        <w:rPr>
          <w:color w:val="000000"/>
        </w:rPr>
      </w:pPr>
      <w:r>
        <w:rPr>
          <w:color w:val="000000"/>
        </w:rPr>
        <w:t>Therefore</w:t>
      </w:r>
      <w:r w:rsidR="00940358">
        <w:rPr>
          <w:color w:val="000000"/>
        </w:rPr>
        <w:t>,</w:t>
      </w:r>
      <w:r>
        <w:rPr>
          <w:color w:val="000000"/>
        </w:rPr>
        <w:t xml:space="preserve"> the proposed effort seeks to undertake two rounds of interviews with members </w:t>
      </w:r>
      <w:r w:rsidR="007A5595">
        <w:rPr>
          <w:color w:val="000000"/>
        </w:rPr>
        <w:t>of target audiences to</w:t>
      </w:r>
      <w:r>
        <w:rPr>
          <w:color w:val="000000"/>
        </w:rPr>
        <w:t xml:space="preserve"> gain a greater understanding of </w:t>
      </w:r>
      <w:r w:rsidR="0052547A">
        <w:rPr>
          <w:color w:val="000000"/>
        </w:rPr>
        <w:t xml:space="preserve">those who </w:t>
      </w:r>
      <w:r w:rsidR="007A5595">
        <w:rPr>
          <w:color w:val="000000"/>
        </w:rPr>
        <w:t>have the potential to benefit from this campaign</w:t>
      </w:r>
      <w:r w:rsidR="0052547A">
        <w:rPr>
          <w:color w:val="000000"/>
        </w:rPr>
        <w:t xml:space="preserve">. </w:t>
      </w:r>
      <w:r w:rsidR="003F067E">
        <w:rPr>
          <w:color w:val="000000"/>
        </w:rPr>
        <w:t xml:space="preserve">These </w:t>
      </w:r>
      <w:r w:rsidR="00F34423">
        <w:rPr>
          <w:color w:val="000000"/>
        </w:rPr>
        <w:t>research activities</w:t>
      </w:r>
      <w:r w:rsidR="003F067E">
        <w:rPr>
          <w:color w:val="000000"/>
        </w:rPr>
        <w:t xml:space="preserve"> will </w:t>
      </w:r>
      <w:r w:rsidR="00F34423">
        <w:rPr>
          <w:color w:val="000000"/>
        </w:rPr>
        <w:t>also involve collecting</w:t>
      </w:r>
      <w:r w:rsidR="003F067E">
        <w:rPr>
          <w:color w:val="000000"/>
        </w:rPr>
        <w:t xml:space="preserve"> qualitative information</w:t>
      </w:r>
      <w:r w:rsidR="00F34423">
        <w:rPr>
          <w:color w:val="000000"/>
        </w:rPr>
        <w:t xml:space="preserve"> pertaining to</w:t>
      </w:r>
      <w:r w:rsidR="003F067E">
        <w:rPr>
          <w:color w:val="000000"/>
        </w:rPr>
        <w:t xml:space="preserve"> consumer food safety knowledge, attitudes, </w:t>
      </w:r>
      <w:r w:rsidR="00BA515D">
        <w:rPr>
          <w:color w:val="000000"/>
        </w:rPr>
        <w:t>behaviors,</w:t>
      </w:r>
      <w:r w:rsidR="0088792D">
        <w:rPr>
          <w:color w:val="000000"/>
        </w:rPr>
        <w:t xml:space="preserve"> and preferred </w:t>
      </w:r>
      <w:r w:rsidR="006817B5">
        <w:rPr>
          <w:color w:val="000000"/>
        </w:rPr>
        <w:t xml:space="preserve">methods of </w:t>
      </w:r>
      <w:r w:rsidR="006817B5">
        <w:rPr>
          <w:color w:val="000000"/>
        </w:rPr>
        <w:t>finding out more information on food safety topics</w:t>
      </w:r>
      <w:r w:rsidR="0054365B">
        <w:rPr>
          <w:color w:val="000000"/>
        </w:rPr>
        <w:t>.</w:t>
      </w:r>
      <w:r w:rsidR="003F067E">
        <w:rPr>
          <w:color w:val="000000"/>
        </w:rPr>
        <w:t xml:space="preserve"> </w:t>
      </w:r>
      <w:r w:rsidR="0054365B">
        <w:rPr>
          <w:color w:val="000000"/>
        </w:rPr>
        <w:t>A final goal will be to</w:t>
      </w:r>
      <w:r w:rsidR="003F067E">
        <w:rPr>
          <w:color w:val="000000"/>
        </w:rPr>
        <w:t xml:space="preserve"> </w:t>
      </w:r>
      <w:r w:rsidR="001778EC">
        <w:rPr>
          <w:color w:val="000000"/>
        </w:rPr>
        <w:t>collect</w:t>
      </w:r>
      <w:r w:rsidR="003F067E">
        <w:rPr>
          <w:color w:val="000000"/>
        </w:rPr>
        <w:t xml:space="preserve"> responses </w:t>
      </w:r>
      <w:r>
        <w:rPr>
          <w:color w:val="000000"/>
        </w:rPr>
        <w:t xml:space="preserve">to </w:t>
      </w:r>
      <w:r w:rsidR="00A0310F">
        <w:rPr>
          <w:color w:val="000000"/>
        </w:rPr>
        <w:t xml:space="preserve">draft </w:t>
      </w:r>
      <w:r>
        <w:rPr>
          <w:color w:val="000000"/>
        </w:rPr>
        <w:t xml:space="preserve">FSIS food safety messages and </w:t>
      </w:r>
      <w:r w:rsidR="00055E3C">
        <w:rPr>
          <w:color w:val="000000"/>
        </w:rPr>
        <w:t xml:space="preserve">gauge their possible </w:t>
      </w:r>
      <w:r w:rsidR="00EA0E17">
        <w:rPr>
          <w:color w:val="000000"/>
        </w:rPr>
        <w:t>influence</w:t>
      </w:r>
      <w:r>
        <w:rPr>
          <w:color w:val="000000"/>
        </w:rPr>
        <w:t xml:space="preserve"> on</w:t>
      </w:r>
      <w:r w:rsidR="00EA0E17">
        <w:rPr>
          <w:color w:val="000000"/>
        </w:rPr>
        <w:t xml:space="preserve"> future</w:t>
      </w:r>
      <w:r>
        <w:rPr>
          <w:color w:val="000000"/>
        </w:rPr>
        <w:t xml:space="preserve"> food safety behaviors</w:t>
      </w:r>
      <w:r w:rsidR="00EA0E17">
        <w:rPr>
          <w:color w:val="000000"/>
        </w:rPr>
        <w:t xml:space="preserve"> among consumers.</w:t>
      </w:r>
    </w:p>
    <w:p w:rsidR="00BC73A1" w:rsidP="00DB4D7A" w14:paraId="0217AF51" w14:textId="233BE48F">
      <w:pPr>
        <w:pStyle w:val="BodyText1"/>
        <w:rPr>
          <w:color w:val="000000"/>
        </w:rPr>
      </w:pPr>
      <w:r>
        <w:rPr>
          <w:color w:val="000000"/>
        </w:rPr>
        <w:t xml:space="preserve">Findings from the </w:t>
      </w:r>
      <w:r w:rsidR="00646667">
        <w:rPr>
          <w:color w:val="000000"/>
        </w:rPr>
        <w:t xml:space="preserve">interviews will provide </w:t>
      </w:r>
      <w:r>
        <w:rPr>
          <w:color w:val="000000"/>
        </w:rPr>
        <w:t>FSIS</w:t>
      </w:r>
      <w:r w:rsidR="00646667">
        <w:rPr>
          <w:color w:val="000000"/>
        </w:rPr>
        <w:t xml:space="preserve"> </w:t>
      </w:r>
      <w:r w:rsidR="0035758A">
        <w:rPr>
          <w:color w:val="000000"/>
        </w:rPr>
        <w:t xml:space="preserve">with the information needed to develop </w:t>
      </w:r>
      <w:r w:rsidR="00264B6A">
        <w:rPr>
          <w:color w:val="000000"/>
        </w:rPr>
        <w:t>an effective messaging campaign</w:t>
      </w:r>
      <w:r w:rsidR="001117B4">
        <w:rPr>
          <w:color w:val="000000"/>
        </w:rPr>
        <w:t xml:space="preserve"> to try to enhance food safety </w:t>
      </w:r>
      <w:r w:rsidR="00264B6A">
        <w:rPr>
          <w:color w:val="000000"/>
        </w:rPr>
        <w:t xml:space="preserve">in </w:t>
      </w:r>
      <w:r w:rsidR="001117B4">
        <w:rPr>
          <w:color w:val="000000"/>
        </w:rPr>
        <w:t>home</w:t>
      </w:r>
      <w:r w:rsidR="00264B6A">
        <w:rPr>
          <w:color w:val="000000"/>
        </w:rPr>
        <w:t>/personal</w:t>
      </w:r>
      <w:r w:rsidR="001117B4">
        <w:rPr>
          <w:color w:val="000000"/>
        </w:rPr>
        <w:t xml:space="preserve"> food preparation. </w:t>
      </w:r>
      <w:r w:rsidRPr="00ED52DB" w:rsidR="009B215E">
        <w:t xml:space="preserve">Findings from </w:t>
      </w:r>
      <w:r w:rsidR="009B215E">
        <w:t>the interviews</w:t>
      </w:r>
      <w:r w:rsidRPr="00ED52DB" w:rsidR="009B215E">
        <w:t xml:space="preserve"> will provide </w:t>
      </w:r>
      <w:r w:rsidR="001778EC">
        <w:t>information on</w:t>
      </w:r>
      <w:r w:rsidRPr="00ED52DB" w:rsidR="009B215E">
        <w:t xml:space="preserve"> how to </w:t>
      </w:r>
      <w:r w:rsidR="00BA515D">
        <w:t>best</w:t>
      </w:r>
      <w:r w:rsidRPr="00ED52DB" w:rsidR="009B215E">
        <w:t xml:space="preserve"> inform consumers of recommended safe food handling practices. </w:t>
      </w:r>
    </w:p>
    <w:p w:rsidR="0076459D" w:rsidP="0076459D" w14:paraId="7FAB7900" w14:textId="34850659">
      <w:pPr>
        <w:pStyle w:val="BodyText2"/>
      </w:pPr>
      <w:r>
        <w:t>Qualitative i</w:t>
      </w:r>
      <w:r w:rsidR="009B215E">
        <w:t>nterviews</w:t>
      </w:r>
      <w:r w:rsidRPr="00ED52DB">
        <w:t xml:space="preserve"> </w:t>
      </w:r>
      <w:r>
        <w:t xml:space="preserve">have been selected as the </w:t>
      </w:r>
      <w:r w:rsidR="002257E3">
        <w:t xml:space="preserve">research method of choice for this </w:t>
      </w:r>
      <w:r w:rsidR="0073045E">
        <w:t>activity</w:t>
      </w:r>
      <w:r w:rsidR="002257E3">
        <w:t>.</w:t>
      </w:r>
      <w:r>
        <w:t xml:space="preserve"> Interviews </w:t>
      </w:r>
      <w:r w:rsidRPr="00ED52DB">
        <w:t xml:space="preserve">are </w:t>
      </w:r>
      <w:r w:rsidR="009B215E">
        <w:t>often</w:t>
      </w:r>
      <w:r w:rsidRPr="00ED52DB">
        <w:t xml:space="preserve"> used </w:t>
      </w:r>
      <w:r>
        <w:t>to</w:t>
      </w:r>
      <w:r w:rsidRPr="00ED52DB">
        <w:t xml:space="preserve"> develop and test health communication messages. Qualitative research is particularly useful in </w:t>
      </w:r>
      <w:r w:rsidR="00D72B3B">
        <w:t>studies that are</w:t>
      </w:r>
      <w:r w:rsidRPr="00ED52DB">
        <w:t xml:space="preserve"> exploratory in nature. These findings help provide insight and direction into the topics of interest and provide an understanding of the “why” behind the audience</w:t>
      </w:r>
      <w:r>
        <w:t>’</w:t>
      </w:r>
      <w:r w:rsidRPr="00ED52DB">
        <w:t>s attitudes</w:t>
      </w:r>
      <w:r w:rsidR="00094A53">
        <w:t>,</w:t>
      </w:r>
      <w:r w:rsidRPr="00ED52DB">
        <w:t xml:space="preserve"> behaviors</w:t>
      </w:r>
      <w:r w:rsidR="00094A53">
        <w:t>, and reactions to draft messages and materials</w:t>
      </w:r>
      <w:r w:rsidRPr="00ED52DB">
        <w:t>.</w:t>
      </w:r>
    </w:p>
    <w:p w:rsidR="0006725A" w:rsidRPr="00A81597" w:rsidP="005B367D" w14:paraId="59A763CD" w14:textId="029E4DA5">
      <w:pPr>
        <w:pStyle w:val="BodyText2"/>
      </w:pPr>
      <w:r w:rsidRPr="00A81597">
        <w:t xml:space="preserve">FSIS has contracted with Fors Marsh to conduct two series of </w:t>
      </w:r>
      <w:r w:rsidRPr="00A81597" w:rsidR="008856BA">
        <w:t>interviews</w:t>
      </w:r>
      <w:r w:rsidRPr="00A81597">
        <w:t xml:space="preserve"> with adults</w:t>
      </w:r>
      <w:r w:rsidRPr="00A81597" w:rsidR="008856BA">
        <w:t xml:space="preserve"> from the </w:t>
      </w:r>
      <w:r w:rsidRPr="00A81597" w:rsidR="00FD01AE">
        <w:t>populations</w:t>
      </w:r>
      <w:r w:rsidRPr="00A81597" w:rsidR="008856BA">
        <w:t xml:space="preserve"> of focus</w:t>
      </w:r>
      <w:r w:rsidRPr="00A81597">
        <w:t xml:space="preserve">. Each series will include </w:t>
      </w:r>
      <w:r w:rsidRPr="00A81597" w:rsidR="002257E3">
        <w:t>1</w:t>
      </w:r>
      <w:r w:rsidRPr="00A81597" w:rsidR="000366DB">
        <w:t>5</w:t>
      </w:r>
      <w:r w:rsidRPr="00A81597" w:rsidR="002257E3">
        <w:t xml:space="preserve"> interviews</w:t>
      </w:r>
      <w:r w:rsidRPr="00A81597">
        <w:t xml:space="preserve">. </w:t>
      </w:r>
      <w:r w:rsidRPr="00A81597" w:rsidR="008856BA">
        <w:t xml:space="preserve">Both series of interviews will take place in FY </w:t>
      </w:r>
      <w:r w:rsidRPr="00A81597" w:rsidR="006F64DC">
        <w:t>202</w:t>
      </w:r>
      <w:r w:rsidR="006F64DC">
        <w:t>4</w:t>
      </w:r>
      <w:r w:rsidRPr="00A81597" w:rsidR="008856BA">
        <w:t xml:space="preserve">. </w:t>
      </w:r>
      <w:r w:rsidRPr="00A81597" w:rsidR="00C53A16">
        <w:t xml:space="preserve">The supporting statement describes the topics and methods for </w:t>
      </w:r>
      <w:r w:rsidRPr="00A81597" w:rsidR="005B367D">
        <w:t xml:space="preserve">the first </w:t>
      </w:r>
      <w:r w:rsidRPr="00A81597" w:rsidR="00B72FD0">
        <w:t xml:space="preserve">and second </w:t>
      </w:r>
      <w:r w:rsidRPr="00A81597" w:rsidR="00C53A16">
        <w:t xml:space="preserve">series of interviews. The recruitment materials and </w:t>
      </w:r>
      <w:r w:rsidRPr="00A81597" w:rsidR="00164CC8">
        <w:t>interview</w:t>
      </w:r>
      <w:r w:rsidRPr="00A81597" w:rsidR="00C53A16">
        <w:t xml:space="preserve"> guide</w:t>
      </w:r>
      <w:r w:rsidRPr="00A81597" w:rsidR="00164CC8">
        <w:t>s</w:t>
      </w:r>
      <w:r w:rsidRPr="00A81597" w:rsidR="00C53A16">
        <w:t xml:space="preserve"> are also provided in the appendices.</w:t>
      </w:r>
      <w:r w:rsidRPr="00A81597" w:rsidR="005B367D">
        <w:t xml:space="preserve"> </w:t>
      </w:r>
    </w:p>
    <w:p w:rsidR="00FD01AE" w:rsidRPr="00ED6FD7" w:rsidP="008E5F82" w14:paraId="35ECA282" w14:textId="23BAD560">
      <w:pPr>
        <w:pStyle w:val="BodyText2"/>
      </w:pPr>
      <w:r>
        <w:t xml:space="preserve">In FY </w:t>
      </w:r>
      <w:r w:rsidR="009326B1">
        <w:t>2024</w:t>
      </w:r>
      <w:r>
        <w:t>, two sets of interviews will be conducted, with 1</w:t>
      </w:r>
      <w:r w:rsidR="00131F77">
        <w:t>5</w:t>
      </w:r>
      <w:r>
        <w:t xml:space="preserve"> individuals per set, for a total of </w:t>
      </w:r>
      <w:r w:rsidR="00131F77">
        <w:t>30</w:t>
      </w:r>
      <w:r>
        <w:t xml:space="preserve"> interviews. Each set of interviews is described below.</w:t>
      </w:r>
    </w:p>
    <w:p w:rsidR="00F56B16" w:rsidRPr="00ED52DB" w:rsidP="00F56B16" w14:paraId="352860C6" w14:textId="77777777">
      <w:pPr>
        <w:pStyle w:val="BodyText1"/>
        <w:widowControl w:val="0"/>
        <w:jc w:val="both"/>
        <w:rPr>
          <w:color w:val="000000"/>
        </w:rPr>
      </w:pPr>
      <w:r w:rsidRPr="00ED52DB">
        <w:rPr>
          <w:b/>
          <w:bCs/>
        </w:rPr>
        <w:t>Table A</w:t>
      </w:r>
      <w:r>
        <w:rPr>
          <w:b/>
          <w:bCs/>
        </w:rPr>
        <w:t>1.1</w:t>
      </w:r>
      <w:r w:rsidRPr="00ED52DB">
        <w:rPr>
          <w:b/>
          <w:bCs/>
        </w:rPr>
        <w:t xml:space="preserve">. Estimated </w:t>
      </w:r>
      <w:r>
        <w:rPr>
          <w:b/>
          <w:bCs/>
        </w:rPr>
        <w:t xml:space="preserve">Enrollment in </w:t>
      </w:r>
      <w:r>
        <w:rPr>
          <w:b/>
          <w:color w:val="000000"/>
        </w:rPr>
        <w:t>Interview Study</w:t>
      </w:r>
    </w:p>
    <w:tbl>
      <w:tblPr>
        <w:tblW w:w="9400" w:type="dxa"/>
        <w:tblInd w:w="90" w:type="dxa"/>
        <w:tblBorders>
          <w:top w:val="single" w:sz="12" w:space="0" w:color="auto"/>
          <w:bottom w:val="single" w:sz="12" w:space="0" w:color="auto"/>
        </w:tblBorders>
        <w:tblLayout w:type="fixed"/>
        <w:tblLook w:val="0000"/>
      </w:tblPr>
      <w:tblGrid>
        <w:gridCol w:w="1440"/>
        <w:gridCol w:w="1620"/>
        <w:gridCol w:w="19"/>
        <w:gridCol w:w="2551"/>
        <w:gridCol w:w="1885"/>
        <w:gridCol w:w="1885"/>
      </w:tblGrid>
      <w:tr w14:paraId="38D57610" w14:textId="2E911356" w:rsidTr="00131F77">
        <w:tblPrEx>
          <w:tblW w:w="9400" w:type="dxa"/>
          <w:tblInd w:w="90" w:type="dxa"/>
          <w:tblBorders>
            <w:top w:val="single" w:sz="12" w:space="0" w:color="auto"/>
            <w:bottom w:val="single" w:sz="12" w:space="0" w:color="auto"/>
          </w:tblBorders>
          <w:tblLayout w:type="fixed"/>
          <w:tblLook w:val="0000"/>
        </w:tblPrEx>
        <w:trPr>
          <w:trHeight w:val="489"/>
        </w:trPr>
        <w:tc>
          <w:tcPr>
            <w:tcW w:w="1440" w:type="dxa"/>
            <w:tcBorders>
              <w:top w:val="single" w:sz="12" w:space="0" w:color="auto"/>
              <w:bottom w:val="single" w:sz="4" w:space="0" w:color="auto"/>
            </w:tcBorders>
            <w:shd w:val="clear" w:color="auto" w:fill="auto"/>
            <w:vAlign w:val="bottom"/>
          </w:tcPr>
          <w:p w:rsidR="00F56B16" w:rsidRPr="0048325A" w14:paraId="691567A4" w14:textId="77777777">
            <w:pPr>
              <w:pStyle w:val="Tabletext"/>
              <w:spacing w:before="0" w:after="0"/>
              <w:jc w:val="center"/>
              <w:rPr>
                <w:rFonts w:eastAsia="SimSun"/>
                <w:b/>
                <w:sz w:val="22"/>
                <w:szCs w:val="22"/>
                <w:lang w:eastAsia="zh-CN"/>
              </w:rPr>
            </w:pPr>
          </w:p>
        </w:tc>
        <w:tc>
          <w:tcPr>
            <w:tcW w:w="1620" w:type="dxa"/>
            <w:tcBorders>
              <w:top w:val="single" w:sz="12" w:space="0" w:color="auto"/>
              <w:bottom w:val="single" w:sz="4" w:space="0" w:color="auto"/>
            </w:tcBorders>
            <w:shd w:val="clear" w:color="auto" w:fill="auto"/>
            <w:vAlign w:val="bottom"/>
          </w:tcPr>
          <w:p w:rsidR="00F56B16" w14:paraId="7535E501" w14:textId="77777777">
            <w:pPr>
              <w:pStyle w:val="Tabletext"/>
              <w:spacing w:before="0" w:after="0"/>
              <w:jc w:val="center"/>
              <w:rPr>
                <w:rFonts w:eastAsia="SimSun"/>
                <w:b/>
                <w:sz w:val="22"/>
                <w:szCs w:val="22"/>
                <w:lang w:eastAsia="zh-CN"/>
              </w:rPr>
            </w:pPr>
            <w:r w:rsidRPr="0048325A">
              <w:rPr>
                <w:rFonts w:eastAsia="SimSun"/>
                <w:b/>
                <w:sz w:val="22"/>
                <w:szCs w:val="22"/>
                <w:lang w:eastAsia="zh-CN"/>
              </w:rPr>
              <w:t>African American Adults</w:t>
            </w:r>
          </w:p>
          <w:p w:rsidR="00F56B16" w:rsidRPr="0048325A" w14:paraId="2F9F3CD1" w14:textId="77777777">
            <w:pPr>
              <w:pStyle w:val="Tabletext"/>
              <w:spacing w:before="0" w:after="0"/>
              <w:jc w:val="center"/>
              <w:rPr>
                <w:rFonts w:eastAsia="SimSun"/>
                <w:b/>
                <w:sz w:val="22"/>
                <w:szCs w:val="22"/>
                <w:lang w:eastAsia="zh-CN"/>
              </w:rPr>
            </w:pPr>
          </w:p>
        </w:tc>
        <w:tc>
          <w:tcPr>
            <w:tcW w:w="2570" w:type="dxa"/>
            <w:gridSpan w:val="2"/>
            <w:tcBorders>
              <w:top w:val="single" w:sz="12" w:space="0" w:color="auto"/>
              <w:bottom w:val="single" w:sz="4" w:space="0" w:color="auto"/>
            </w:tcBorders>
            <w:shd w:val="clear" w:color="auto" w:fill="auto"/>
            <w:vAlign w:val="bottom"/>
          </w:tcPr>
          <w:p w:rsidR="00F56B16" w:rsidRPr="0048325A" w14:paraId="0AECF5AC" w14:textId="77777777">
            <w:pPr>
              <w:pStyle w:val="Tabletext"/>
              <w:spacing w:before="0" w:after="0"/>
              <w:jc w:val="center"/>
              <w:rPr>
                <w:rFonts w:eastAsia="SimSun"/>
                <w:b/>
                <w:sz w:val="22"/>
                <w:szCs w:val="22"/>
                <w:lang w:eastAsia="zh-CN"/>
              </w:rPr>
            </w:pPr>
            <w:r w:rsidRPr="0048325A">
              <w:rPr>
                <w:rFonts w:eastAsia="SimSun"/>
                <w:b/>
                <w:sz w:val="22"/>
                <w:szCs w:val="22"/>
                <w:lang w:eastAsia="zh-CN"/>
              </w:rPr>
              <w:t>First Generation Hispanic/Latino Adults</w:t>
            </w:r>
          </w:p>
          <w:p w:rsidR="00F56B16" w:rsidRPr="0048325A" w14:paraId="3F996F7F" w14:textId="60C2609B">
            <w:pPr>
              <w:pStyle w:val="Tabletext"/>
              <w:spacing w:before="0" w:after="0"/>
              <w:jc w:val="center"/>
              <w:rPr>
                <w:rFonts w:eastAsia="SimSun"/>
                <w:b/>
                <w:sz w:val="22"/>
                <w:szCs w:val="22"/>
                <w:lang w:eastAsia="zh-CN"/>
              </w:rPr>
            </w:pPr>
            <w:r w:rsidRPr="0048325A">
              <w:rPr>
                <w:rFonts w:eastAsia="SimSun"/>
                <w:b/>
                <w:sz w:val="22"/>
                <w:szCs w:val="22"/>
                <w:lang w:eastAsia="zh-CN"/>
              </w:rPr>
              <w:t>In US 10 or More Years</w:t>
            </w:r>
            <w:r w:rsidR="00FD01AE">
              <w:rPr>
                <w:rFonts w:eastAsia="SimSun"/>
                <w:b/>
                <w:sz w:val="22"/>
                <w:szCs w:val="22"/>
                <w:lang w:eastAsia="zh-CN"/>
              </w:rPr>
              <w:t>/Prefer English</w:t>
            </w:r>
          </w:p>
          <w:p w:rsidR="00F56B16" w:rsidRPr="0048325A" w14:paraId="7C5734D3" w14:textId="77777777">
            <w:pPr>
              <w:pStyle w:val="Tabletext"/>
              <w:spacing w:before="0" w:after="0"/>
              <w:jc w:val="center"/>
              <w:rPr>
                <w:rFonts w:eastAsia="SimSun"/>
                <w:b/>
                <w:sz w:val="22"/>
                <w:szCs w:val="22"/>
                <w:lang w:eastAsia="zh-CN"/>
              </w:rPr>
            </w:pPr>
          </w:p>
        </w:tc>
        <w:tc>
          <w:tcPr>
            <w:tcW w:w="1885" w:type="dxa"/>
            <w:tcBorders>
              <w:top w:val="single" w:sz="12" w:space="0" w:color="auto"/>
              <w:bottom w:val="single" w:sz="4" w:space="0" w:color="auto"/>
            </w:tcBorders>
            <w:shd w:val="clear" w:color="auto" w:fill="auto"/>
            <w:vAlign w:val="bottom"/>
          </w:tcPr>
          <w:p w:rsidR="00F56B16" w:rsidRPr="0048325A" w14:paraId="38926CC0" w14:textId="77777777">
            <w:pPr>
              <w:pStyle w:val="Tabletext"/>
              <w:spacing w:before="0" w:after="0"/>
              <w:jc w:val="center"/>
              <w:rPr>
                <w:rFonts w:eastAsia="SimSun"/>
                <w:b/>
                <w:sz w:val="22"/>
                <w:szCs w:val="22"/>
                <w:lang w:eastAsia="zh-CN"/>
              </w:rPr>
            </w:pPr>
            <w:r w:rsidRPr="0048325A">
              <w:rPr>
                <w:rFonts w:eastAsia="SimSun"/>
                <w:b/>
                <w:sz w:val="22"/>
                <w:szCs w:val="22"/>
                <w:lang w:eastAsia="zh-CN"/>
              </w:rPr>
              <w:t>First Generation Hispanic/Latino Adults</w:t>
            </w:r>
          </w:p>
          <w:p w:rsidR="00F56B16" w:rsidRPr="0048325A" w14:paraId="6462E361" w14:textId="4A3F01DB">
            <w:pPr>
              <w:pStyle w:val="Tabletext"/>
              <w:spacing w:before="0" w:after="0"/>
              <w:jc w:val="center"/>
              <w:rPr>
                <w:rFonts w:eastAsia="SimSun"/>
                <w:b/>
                <w:sz w:val="22"/>
                <w:szCs w:val="22"/>
                <w:lang w:eastAsia="zh-CN"/>
              </w:rPr>
            </w:pPr>
            <w:r w:rsidRPr="0048325A">
              <w:rPr>
                <w:rFonts w:eastAsia="SimSun"/>
                <w:b/>
                <w:sz w:val="22"/>
                <w:szCs w:val="22"/>
                <w:lang w:eastAsia="zh-CN"/>
              </w:rPr>
              <w:t>In US Fewer Than 10 Years</w:t>
            </w:r>
            <w:r w:rsidR="00FD01AE">
              <w:rPr>
                <w:rFonts w:eastAsia="SimSun"/>
                <w:b/>
                <w:sz w:val="22"/>
                <w:szCs w:val="22"/>
                <w:lang w:eastAsia="zh-CN"/>
              </w:rPr>
              <w:t>/Prefer Spanish</w:t>
            </w:r>
          </w:p>
          <w:p w:rsidR="00F56B16" w:rsidRPr="0048325A" w14:paraId="40B9F414" w14:textId="77777777">
            <w:pPr>
              <w:pStyle w:val="Tabletext"/>
              <w:spacing w:before="0" w:after="0"/>
              <w:jc w:val="center"/>
              <w:rPr>
                <w:rFonts w:eastAsia="SimSun"/>
                <w:b/>
                <w:sz w:val="22"/>
                <w:szCs w:val="22"/>
                <w:lang w:eastAsia="zh-CN"/>
              </w:rPr>
            </w:pPr>
          </w:p>
        </w:tc>
        <w:tc>
          <w:tcPr>
            <w:tcW w:w="1885" w:type="dxa"/>
            <w:tcBorders>
              <w:top w:val="single" w:sz="12" w:space="0" w:color="auto"/>
              <w:bottom w:val="single" w:sz="4" w:space="0" w:color="auto"/>
            </w:tcBorders>
            <w:shd w:val="clear" w:color="auto" w:fill="auto"/>
            <w:vAlign w:val="bottom"/>
          </w:tcPr>
          <w:p w:rsidR="3D5FC574" w:rsidP="4CBCBAA7" w14:paraId="6741CEFA" w14:textId="5878D18A">
            <w:pPr>
              <w:pStyle w:val="Tabletext"/>
              <w:spacing w:before="0" w:after="0"/>
              <w:jc w:val="center"/>
            </w:pPr>
            <w:r w:rsidRPr="4CBCBAA7">
              <w:rPr>
                <w:rFonts w:eastAsia="SimSun"/>
                <w:b/>
                <w:bCs/>
                <w:sz w:val="22"/>
                <w:szCs w:val="22"/>
                <w:lang w:eastAsia="zh-CN"/>
              </w:rPr>
              <w:t xml:space="preserve">Total by Round </w:t>
            </w:r>
          </w:p>
          <w:p w:rsidR="3D5FC574" w:rsidRPr="4CBCBAA7" w:rsidP="4CBCBAA7" w14:paraId="5730645F" w14:textId="01EABF0F">
            <w:pPr>
              <w:pStyle w:val="Tabletext"/>
              <w:spacing w:before="0" w:after="0"/>
              <w:jc w:val="center"/>
              <w:rPr>
                <w:rFonts w:eastAsia="SimSun"/>
                <w:b/>
                <w:bCs/>
                <w:sz w:val="22"/>
                <w:szCs w:val="22"/>
                <w:lang w:eastAsia="zh-CN"/>
              </w:rPr>
            </w:pPr>
          </w:p>
        </w:tc>
      </w:tr>
      <w:tr w14:paraId="7EF7538E" w14:textId="7166971F" w:rsidTr="00131F77">
        <w:tblPrEx>
          <w:tblW w:w="9400" w:type="dxa"/>
          <w:tblInd w:w="90" w:type="dxa"/>
          <w:tblLayout w:type="fixed"/>
          <w:tblLook w:val="0000"/>
        </w:tblPrEx>
        <w:trPr>
          <w:trHeight w:val="70"/>
        </w:trPr>
        <w:tc>
          <w:tcPr>
            <w:tcW w:w="1440" w:type="dxa"/>
            <w:tcBorders>
              <w:top w:val="single" w:sz="4" w:space="0" w:color="auto"/>
            </w:tcBorders>
            <w:shd w:val="clear" w:color="auto" w:fill="auto"/>
          </w:tcPr>
          <w:p w:rsidR="00F56B16" w:rsidRPr="0048325A" w14:paraId="701F12A2" w14:textId="77777777">
            <w:pPr>
              <w:pStyle w:val="Tabletext"/>
              <w:spacing w:before="0" w:after="0"/>
              <w:jc w:val="center"/>
              <w:rPr>
                <w:rFonts w:eastAsia="SimSun"/>
                <w:sz w:val="22"/>
                <w:szCs w:val="22"/>
                <w:lang w:eastAsia="zh-CN"/>
              </w:rPr>
            </w:pPr>
            <w:r w:rsidRPr="0048325A">
              <w:rPr>
                <w:rFonts w:eastAsia="SimSun"/>
                <w:sz w:val="22"/>
                <w:szCs w:val="22"/>
                <w:lang w:eastAsia="zh-CN"/>
              </w:rPr>
              <w:t>Goal Number of Interviews Completed</w:t>
            </w:r>
            <w:r>
              <w:rPr>
                <w:rFonts w:eastAsia="SimSun"/>
                <w:sz w:val="22"/>
                <w:szCs w:val="22"/>
                <w:lang w:eastAsia="zh-CN"/>
              </w:rPr>
              <w:t xml:space="preserve"> Round 1</w:t>
            </w:r>
          </w:p>
        </w:tc>
        <w:tc>
          <w:tcPr>
            <w:tcW w:w="1639" w:type="dxa"/>
            <w:gridSpan w:val="2"/>
            <w:tcBorders>
              <w:top w:val="single" w:sz="4" w:space="0" w:color="auto"/>
            </w:tcBorders>
            <w:shd w:val="clear" w:color="auto" w:fill="auto"/>
          </w:tcPr>
          <w:p w:rsidR="00F56B16" w:rsidRPr="0048325A" w14:paraId="731AD459" w14:textId="3C88DAFA">
            <w:pPr>
              <w:pStyle w:val="Tabletext"/>
              <w:spacing w:before="0" w:after="0"/>
              <w:jc w:val="center"/>
              <w:rPr>
                <w:rFonts w:eastAsia="SimSun"/>
                <w:sz w:val="22"/>
                <w:szCs w:val="22"/>
                <w:lang w:eastAsia="zh-CN"/>
              </w:rPr>
            </w:pPr>
            <w:r>
              <w:rPr>
                <w:rFonts w:eastAsia="SimSun"/>
                <w:sz w:val="22"/>
                <w:szCs w:val="22"/>
                <w:lang w:eastAsia="zh-CN"/>
              </w:rPr>
              <w:t>5</w:t>
            </w:r>
          </w:p>
        </w:tc>
        <w:tc>
          <w:tcPr>
            <w:tcW w:w="2551" w:type="dxa"/>
            <w:tcBorders>
              <w:top w:val="single" w:sz="4" w:space="0" w:color="auto"/>
            </w:tcBorders>
            <w:shd w:val="clear" w:color="auto" w:fill="auto"/>
          </w:tcPr>
          <w:p w:rsidR="00F56B16" w:rsidRPr="0048325A" w14:paraId="67515224" w14:textId="2BF170B6">
            <w:pPr>
              <w:pStyle w:val="Tabletext"/>
              <w:spacing w:before="0" w:after="0"/>
              <w:jc w:val="center"/>
              <w:rPr>
                <w:rFonts w:eastAsia="SimSun"/>
                <w:sz w:val="22"/>
                <w:szCs w:val="22"/>
                <w:lang w:eastAsia="zh-CN"/>
              </w:rPr>
            </w:pPr>
            <w:r>
              <w:rPr>
                <w:rFonts w:eastAsia="SimSun"/>
                <w:sz w:val="22"/>
                <w:szCs w:val="22"/>
                <w:lang w:eastAsia="zh-CN"/>
              </w:rPr>
              <w:t>5</w:t>
            </w:r>
          </w:p>
        </w:tc>
        <w:tc>
          <w:tcPr>
            <w:tcW w:w="1885" w:type="dxa"/>
            <w:tcBorders>
              <w:top w:val="single" w:sz="4" w:space="0" w:color="auto"/>
            </w:tcBorders>
            <w:shd w:val="clear" w:color="auto" w:fill="auto"/>
          </w:tcPr>
          <w:p w:rsidR="00F56B16" w:rsidRPr="0048325A" w14:paraId="35C91A00" w14:textId="3DFE9769">
            <w:pPr>
              <w:pStyle w:val="Tabletext"/>
              <w:spacing w:before="0" w:after="0"/>
              <w:jc w:val="center"/>
              <w:rPr>
                <w:rFonts w:eastAsia="SimSun"/>
                <w:sz w:val="22"/>
                <w:szCs w:val="22"/>
                <w:lang w:eastAsia="zh-CN"/>
              </w:rPr>
            </w:pPr>
            <w:r>
              <w:rPr>
                <w:rFonts w:eastAsia="SimSun"/>
                <w:sz w:val="22"/>
                <w:szCs w:val="22"/>
                <w:lang w:eastAsia="zh-CN"/>
              </w:rPr>
              <w:t>5</w:t>
            </w:r>
          </w:p>
        </w:tc>
        <w:tc>
          <w:tcPr>
            <w:tcW w:w="1885" w:type="dxa"/>
            <w:tcBorders>
              <w:top w:val="single" w:sz="4" w:space="0" w:color="auto"/>
            </w:tcBorders>
            <w:shd w:val="clear" w:color="auto" w:fill="auto"/>
          </w:tcPr>
          <w:p w:rsidR="42662EE9" w:rsidRPr="4CBCBAA7" w:rsidP="4CBCBAA7" w14:paraId="12609F6F" w14:textId="59926BF8">
            <w:pPr>
              <w:pStyle w:val="Tabletext"/>
              <w:jc w:val="center"/>
              <w:rPr>
                <w:rFonts w:eastAsia="SimSun"/>
                <w:sz w:val="22"/>
                <w:szCs w:val="22"/>
                <w:lang w:eastAsia="zh-CN"/>
              </w:rPr>
            </w:pPr>
            <w:r>
              <w:rPr>
                <w:rFonts w:eastAsia="SimSun"/>
                <w:sz w:val="22"/>
                <w:szCs w:val="22"/>
                <w:lang w:eastAsia="zh-CN"/>
              </w:rPr>
              <w:t>15</w:t>
            </w:r>
          </w:p>
        </w:tc>
      </w:tr>
      <w:tr w14:paraId="39D8B481" w14:textId="52D960C6" w:rsidTr="00131F77">
        <w:tblPrEx>
          <w:tblW w:w="9400" w:type="dxa"/>
          <w:tblInd w:w="90" w:type="dxa"/>
          <w:tblLayout w:type="fixed"/>
          <w:tblLook w:val="0000"/>
        </w:tblPrEx>
        <w:trPr>
          <w:trHeight w:val="70"/>
        </w:trPr>
        <w:tc>
          <w:tcPr>
            <w:tcW w:w="1440" w:type="dxa"/>
            <w:tcBorders>
              <w:top w:val="single" w:sz="4" w:space="0" w:color="auto"/>
              <w:bottom w:val="single" w:sz="4" w:space="0" w:color="auto"/>
            </w:tcBorders>
            <w:shd w:val="clear" w:color="auto" w:fill="auto"/>
          </w:tcPr>
          <w:p w:rsidR="00F56B16" w:rsidRPr="0048325A" w14:paraId="714D5B74" w14:textId="77777777">
            <w:pPr>
              <w:pStyle w:val="Tabletext"/>
              <w:spacing w:before="0" w:after="0"/>
              <w:jc w:val="center"/>
              <w:rPr>
                <w:rFonts w:eastAsia="SimSun"/>
                <w:sz w:val="22"/>
                <w:szCs w:val="22"/>
                <w:lang w:eastAsia="zh-CN"/>
              </w:rPr>
            </w:pPr>
            <w:r w:rsidRPr="0048325A">
              <w:rPr>
                <w:rFonts w:eastAsia="SimSun"/>
                <w:sz w:val="22"/>
                <w:szCs w:val="22"/>
                <w:lang w:eastAsia="zh-CN"/>
              </w:rPr>
              <w:t>Goal Number of Interviews Completed</w:t>
            </w:r>
            <w:r>
              <w:rPr>
                <w:rFonts w:eastAsia="SimSun"/>
                <w:sz w:val="22"/>
                <w:szCs w:val="22"/>
                <w:lang w:eastAsia="zh-CN"/>
              </w:rPr>
              <w:t xml:space="preserve"> Round 2</w:t>
            </w:r>
          </w:p>
        </w:tc>
        <w:tc>
          <w:tcPr>
            <w:tcW w:w="1639" w:type="dxa"/>
            <w:gridSpan w:val="2"/>
            <w:tcBorders>
              <w:top w:val="single" w:sz="4" w:space="0" w:color="auto"/>
              <w:bottom w:val="single" w:sz="4" w:space="0" w:color="auto"/>
            </w:tcBorders>
            <w:shd w:val="clear" w:color="auto" w:fill="auto"/>
          </w:tcPr>
          <w:p w:rsidR="00F56B16" w:rsidRPr="0048325A" w14:paraId="3FBA6E7F" w14:textId="2B527608">
            <w:pPr>
              <w:pStyle w:val="Tabletext"/>
              <w:spacing w:before="0" w:after="0"/>
              <w:jc w:val="center"/>
              <w:rPr>
                <w:rFonts w:eastAsia="SimSun"/>
                <w:sz w:val="22"/>
                <w:szCs w:val="22"/>
                <w:lang w:eastAsia="zh-CN"/>
              </w:rPr>
            </w:pPr>
            <w:r>
              <w:rPr>
                <w:rFonts w:eastAsia="SimSun"/>
                <w:sz w:val="22"/>
                <w:szCs w:val="22"/>
                <w:lang w:eastAsia="zh-CN"/>
              </w:rPr>
              <w:t>5</w:t>
            </w:r>
          </w:p>
        </w:tc>
        <w:tc>
          <w:tcPr>
            <w:tcW w:w="2551" w:type="dxa"/>
            <w:tcBorders>
              <w:top w:val="single" w:sz="4" w:space="0" w:color="auto"/>
              <w:bottom w:val="single" w:sz="4" w:space="0" w:color="auto"/>
            </w:tcBorders>
            <w:shd w:val="clear" w:color="auto" w:fill="auto"/>
          </w:tcPr>
          <w:p w:rsidR="00F56B16" w:rsidRPr="0048325A" w14:paraId="6E2DD3A1" w14:textId="71B50C67">
            <w:pPr>
              <w:pStyle w:val="Tabletext"/>
              <w:spacing w:before="0" w:after="0"/>
              <w:jc w:val="center"/>
              <w:rPr>
                <w:rFonts w:eastAsia="SimSun"/>
                <w:sz w:val="22"/>
                <w:szCs w:val="22"/>
                <w:lang w:eastAsia="zh-CN"/>
              </w:rPr>
            </w:pPr>
            <w:r>
              <w:rPr>
                <w:rFonts w:eastAsia="SimSun"/>
                <w:sz w:val="22"/>
                <w:szCs w:val="22"/>
                <w:lang w:eastAsia="zh-CN"/>
              </w:rPr>
              <w:t>5</w:t>
            </w:r>
          </w:p>
        </w:tc>
        <w:tc>
          <w:tcPr>
            <w:tcW w:w="1885" w:type="dxa"/>
            <w:tcBorders>
              <w:top w:val="single" w:sz="4" w:space="0" w:color="auto"/>
              <w:bottom w:val="single" w:sz="4" w:space="0" w:color="auto"/>
            </w:tcBorders>
            <w:shd w:val="clear" w:color="auto" w:fill="auto"/>
          </w:tcPr>
          <w:p w:rsidR="00F56B16" w:rsidRPr="0048325A" w14:paraId="6F1CAAFE" w14:textId="1234A1AB">
            <w:pPr>
              <w:pStyle w:val="Tabletext"/>
              <w:spacing w:before="0" w:after="0"/>
              <w:jc w:val="center"/>
              <w:rPr>
                <w:rFonts w:eastAsia="SimSun"/>
                <w:sz w:val="22"/>
                <w:szCs w:val="22"/>
                <w:lang w:eastAsia="zh-CN"/>
              </w:rPr>
            </w:pPr>
            <w:r>
              <w:rPr>
                <w:rFonts w:eastAsia="SimSun"/>
                <w:sz w:val="22"/>
                <w:szCs w:val="22"/>
                <w:lang w:eastAsia="zh-CN"/>
              </w:rPr>
              <w:t>5</w:t>
            </w:r>
          </w:p>
        </w:tc>
        <w:tc>
          <w:tcPr>
            <w:tcW w:w="1885" w:type="dxa"/>
            <w:tcBorders>
              <w:top w:val="single" w:sz="4" w:space="0" w:color="auto"/>
              <w:bottom w:val="single" w:sz="4" w:space="0" w:color="auto"/>
            </w:tcBorders>
            <w:shd w:val="clear" w:color="auto" w:fill="auto"/>
          </w:tcPr>
          <w:p w:rsidR="5C5216F8" w:rsidRPr="4CBCBAA7" w:rsidP="4CBCBAA7" w14:paraId="767EA31C" w14:textId="555F56D3">
            <w:pPr>
              <w:pStyle w:val="Tabletext"/>
              <w:jc w:val="center"/>
              <w:rPr>
                <w:rFonts w:eastAsia="SimSun"/>
                <w:sz w:val="22"/>
                <w:szCs w:val="22"/>
                <w:lang w:eastAsia="zh-CN"/>
              </w:rPr>
            </w:pPr>
            <w:r>
              <w:rPr>
                <w:rFonts w:eastAsia="SimSun"/>
                <w:sz w:val="22"/>
                <w:szCs w:val="22"/>
                <w:lang w:eastAsia="zh-CN"/>
              </w:rPr>
              <w:t>15</w:t>
            </w:r>
          </w:p>
        </w:tc>
      </w:tr>
    </w:tbl>
    <w:p w:rsidR="00F56B16" w:rsidRPr="00ED52DB" w:rsidP="0078299C" w14:paraId="5360E5A2" w14:textId="77777777">
      <w:pPr>
        <w:pStyle w:val="BodyText2"/>
        <w:ind w:firstLine="0"/>
      </w:pPr>
    </w:p>
    <w:p w:rsidR="00707550" w:rsidRPr="00295AB3" w:rsidP="00F37EDB" w14:paraId="385F6EA8" w14:textId="2F43F500">
      <w:pPr>
        <w:ind w:left="720"/>
        <w:rPr>
          <w:b/>
          <w:bCs/>
          <w:color w:val="000000"/>
          <w:szCs w:val="24"/>
          <w:u w:val="single"/>
        </w:rPr>
      </w:pPr>
      <w:r w:rsidRPr="00295AB3">
        <w:rPr>
          <w:b/>
          <w:bCs/>
          <w:color w:val="000000"/>
          <w:szCs w:val="24"/>
          <w:u w:val="single"/>
        </w:rPr>
        <w:t xml:space="preserve">Set 1 </w:t>
      </w:r>
      <w:r w:rsidRPr="00295AB3" w:rsidR="00C16237">
        <w:rPr>
          <w:b/>
          <w:bCs/>
          <w:color w:val="000000"/>
          <w:szCs w:val="24"/>
          <w:u w:val="single"/>
        </w:rPr>
        <w:t>Interviews</w:t>
      </w:r>
      <w:r w:rsidRPr="00295AB3">
        <w:rPr>
          <w:b/>
          <w:bCs/>
          <w:color w:val="000000"/>
          <w:szCs w:val="24"/>
          <w:u w:val="single"/>
        </w:rPr>
        <w:t>: Food Safety Knowledge, Attitudes, Behaviors and Concept Testing</w:t>
      </w:r>
    </w:p>
    <w:p w:rsidR="00707550" w:rsidP="00707550" w14:paraId="4024EBC9" w14:textId="77777777">
      <w:pPr>
        <w:rPr>
          <w:b/>
          <w:bCs/>
          <w:i/>
          <w:iCs/>
          <w:color w:val="000000"/>
          <w:szCs w:val="24"/>
          <w:u w:val="single"/>
        </w:rPr>
      </w:pPr>
    </w:p>
    <w:p w:rsidR="006C1815" w:rsidP="00707550" w14:paraId="28AE8A59" w14:textId="620633C3">
      <w:pPr>
        <w:spacing w:line="480" w:lineRule="auto"/>
        <w:rPr>
          <w:color w:val="000000"/>
          <w:szCs w:val="24"/>
        </w:rPr>
      </w:pPr>
      <w:r>
        <w:rPr>
          <w:color w:val="000000"/>
          <w:szCs w:val="24"/>
        </w:rPr>
        <w:tab/>
        <w:t xml:space="preserve">The </w:t>
      </w:r>
      <w:r w:rsidRPr="005D4142">
        <w:rPr>
          <w:color w:val="000000"/>
          <w:szCs w:val="24"/>
        </w:rPr>
        <w:t xml:space="preserve">first set of </w:t>
      </w:r>
      <w:r w:rsidRPr="005D4142" w:rsidR="00C55278">
        <w:rPr>
          <w:color w:val="000000"/>
          <w:szCs w:val="24"/>
        </w:rPr>
        <w:t>1</w:t>
      </w:r>
      <w:r w:rsidRPr="005D4142" w:rsidR="000366DB">
        <w:rPr>
          <w:color w:val="000000"/>
          <w:szCs w:val="24"/>
        </w:rPr>
        <w:t>5</w:t>
      </w:r>
      <w:r w:rsidRPr="005D4142">
        <w:rPr>
          <w:color w:val="000000"/>
          <w:szCs w:val="24"/>
        </w:rPr>
        <w:t xml:space="preserve"> </w:t>
      </w:r>
      <w:r w:rsidRPr="005D4142" w:rsidR="00C16237">
        <w:rPr>
          <w:color w:val="000000"/>
          <w:szCs w:val="24"/>
        </w:rPr>
        <w:t>interviews</w:t>
      </w:r>
      <w:r w:rsidRPr="005D4142">
        <w:rPr>
          <w:color w:val="000000"/>
          <w:szCs w:val="24"/>
        </w:rPr>
        <w:t xml:space="preserve"> will take</w:t>
      </w:r>
      <w:r>
        <w:rPr>
          <w:color w:val="000000"/>
          <w:szCs w:val="24"/>
        </w:rPr>
        <w:t xml:space="preserve"> place in FY 202</w:t>
      </w:r>
      <w:r w:rsidR="004D4FEA">
        <w:rPr>
          <w:color w:val="000000"/>
          <w:szCs w:val="24"/>
        </w:rPr>
        <w:t>4</w:t>
      </w:r>
      <w:r>
        <w:rPr>
          <w:color w:val="000000"/>
          <w:szCs w:val="24"/>
        </w:rPr>
        <w:t xml:space="preserve"> and will be conducted with African American/Black adults and first</w:t>
      </w:r>
      <w:r w:rsidR="007177DE">
        <w:rPr>
          <w:color w:val="000000"/>
          <w:szCs w:val="24"/>
        </w:rPr>
        <w:t>-</w:t>
      </w:r>
      <w:r>
        <w:rPr>
          <w:color w:val="000000"/>
          <w:szCs w:val="24"/>
        </w:rPr>
        <w:t xml:space="preserve">generation Hispanic/Latino adults. These </w:t>
      </w:r>
      <w:r w:rsidR="007177DE">
        <w:rPr>
          <w:color w:val="000000"/>
          <w:szCs w:val="24"/>
        </w:rPr>
        <w:t>interviews</w:t>
      </w:r>
      <w:r>
        <w:rPr>
          <w:color w:val="000000"/>
          <w:szCs w:val="24"/>
        </w:rPr>
        <w:t xml:space="preserve"> will be </w:t>
      </w:r>
      <w:r w:rsidR="00A50FA5">
        <w:rPr>
          <w:color w:val="000000"/>
          <w:szCs w:val="24"/>
        </w:rPr>
        <w:t>segmented</w:t>
      </w:r>
      <w:r w:rsidR="0079591F">
        <w:rPr>
          <w:color w:val="000000"/>
          <w:szCs w:val="24"/>
        </w:rPr>
        <w:t xml:space="preserve"> </w:t>
      </w:r>
      <w:r>
        <w:rPr>
          <w:color w:val="000000"/>
          <w:szCs w:val="24"/>
        </w:rPr>
        <w:t xml:space="preserve">based on ethnicity. The </w:t>
      </w:r>
      <w:r w:rsidR="007177DE">
        <w:rPr>
          <w:color w:val="000000"/>
          <w:szCs w:val="24"/>
        </w:rPr>
        <w:t>interviews</w:t>
      </w:r>
      <w:r>
        <w:rPr>
          <w:color w:val="000000"/>
          <w:szCs w:val="24"/>
        </w:rPr>
        <w:t xml:space="preserve"> with Hispanic/Latino populations will be further </w:t>
      </w:r>
      <w:r w:rsidR="00A50FA5">
        <w:rPr>
          <w:color w:val="000000"/>
          <w:szCs w:val="24"/>
        </w:rPr>
        <w:t>segmented</w:t>
      </w:r>
      <w:r>
        <w:rPr>
          <w:color w:val="000000"/>
          <w:szCs w:val="24"/>
        </w:rPr>
        <w:t xml:space="preserve"> based on </w:t>
      </w:r>
      <w:r w:rsidR="00245420">
        <w:rPr>
          <w:color w:val="000000"/>
          <w:szCs w:val="24"/>
        </w:rPr>
        <w:t xml:space="preserve">time spent within the United States </w:t>
      </w:r>
      <w:r w:rsidR="009F3FA6">
        <w:rPr>
          <w:color w:val="000000"/>
          <w:szCs w:val="24"/>
        </w:rPr>
        <w:t xml:space="preserve">and language preference </w:t>
      </w:r>
      <w:r>
        <w:rPr>
          <w:color w:val="000000"/>
          <w:szCs w:val="24"/>
        </w:rPr>
        <w:t xml:space="preserve">(e.g., whether participants have spent 10 or more years in the United States </w:t>
      </w:r>
      <w:r w:rsidR="00872034">
        <w:rPr>
          <w:color w:val="000000"/>
          <w:szCs w:val="24"/>
        </w:rPr>
        <w:t xml:space="preserve">and prefer English </w:t>
      </w:r>
      <w:r>
        <w:rPr>
          <w:color w:val="000000"/>
          <w:szCs w:val="24"/>
        </w:rPr>
        <w:t>or fewer than 10 years in the United States</w:t>
      </w:r>
      <w:r w:rsidR="00872034">
        <w:rPr>
          <w:color w:val="000000"/>
          <w:szCs w:val="24"/>
        </w:rPr>
        <w:t xml:space="preserve"> and prefer Spanish</w:t>
      </w:r>
      <w:r>
        <w:rPr>
          <w:color w:val="000000"/>
          <w:szCs w:val="24"/>
        </w:rPr>
        <w:t xml:space="preserve">). </w:t>
      </w:r>
    </w:p>
    <w:p w:rsidR="00707550" w:rsidP="006C1815" w14:paraId="6376662B" w14:textId="29E156CE">
      <w:pPr>
        <w:spacing w:line="480" w:lineRule="auto"/>
        <w:ind w:firstLine="720"/>
        <w:rPr>
          <w:color w:val="000000"/>
          <w:szCs w:val="24"/>
        </w:rPr>
      </w:pPr>
      <w:r>
        <w:rPr>
          <w:color w:val="000000"/>
          <w:szCs w:val="24"/>
        </w:rPr>
        <w:t xml:space="preserve"> The goals of these interviews will be to (a) gather information about consumers’ knowledge, attitudes, and behaviors surrounding food safety, (b) learn more about preferred communication </w:t>
      </w:r>
      <w:r w:rsidR="00C938C3">
        <w:rPr>
          <w:color w:val="000000"/>
          <w:szCs w:val="24"/>
        </w:rPr>
        <w:t>methods</w:t>
      </w:r>
      <w:r>
        <w:rPr>
          <w:color w:val="000000"/>
          <w:szCs w:val="24"/>
        </w:rPr>
        <w:t xml:space="preserve"> used by consumers when learning about food safety, and (c) gather feedback on consumers</w:t>
      </w:r>
      <w:r w:rsidR="007177DE">
        <w:rPr>
          <w:color w:val="000000"/>
          <w:szCs w:val="24"/>
        </w:rPr>
        <w:t>’</w:t>
      </w:r>
      <w:r>
        <w:rPr>
          <w:color w:val="000000"/>
          <w:szCs w:val="24"/>
        </w:rPr>
        <w:t xml:space="preserve"> perspectives relating to </w:t>
      </w:r>
      <w:r w:rsidR="009F3FA6">
        <w:rPr>
          <w:color w:val="000000"/>
          <w:szCs w:val="24"/>
        </w:rPr>
        <w:t>possible themes</w:t>
      </w:r>
      <w:r>
        <w:rPr>
          <w:color w:val="000000"/>
          <w:szCs w:val="24"/>
        </w:rPr>
        <w:t xml:space="preserve"> for the campaign. The need for interviews to address these topics is described below. </w:t>
      </w:r>
    </w:p>
    <w:p w:rsidR="00707550" w:rsidP="2D629091" w14:paraId="503A6BE4" w14:textId="0A53EAA5">
      <w:pPr>
        <w:spacing w:line="480" w:lineRule="auto"/>
        <w:rPr>
          <w:color w:val="000000" w:themeColor="text1"/>
        </w:rPr>
      </w:pPr>
      <w:r>
        <w:rPr>
          <w:color w:val="000000"/>
          <w:szCs w:val="24"/>
        </w:rPr>
        <w:tab/>
      </w:r>
      <w:r w:rsidRPr="2D629091">
        <w:rPr>
          <w:color w:val="000000"/>
        </w:rPr>
        <w:t xml:space="preserve">OPACE is actively planning to </w:t>
      </w:r>
      <w:r w:rsidRPr="2D629091" w:rsidR="00C938C3">
        <w:rPr>
          <w:color w:val="000000"/>
        </w:rPr>
        <w:t>create</w:t>
      </w:r>
      <w:r w:rsidRPr="2D629091">
        <w:rPr>
          <w:color w:val="000000"/>
        </w:rPr>
        <w:t xml:space="preserve"> a research-driven campaign effort to promote food safety among </w:t>
      </w:r>
      <w:r w:rsidRPr="2D629091" w:rsidR="09A5472E">
        <w:rPr>
          <w:color w:val="000000" w:themeColor="text1"/>
        </w:rPr>
        <w:t>dual caregivers</w:t>
      </w:r>
      <w:r w:rsidRPr="2D629091">
        <w:rPr>
          <w:color w:val="000000"/>
        </w:rPr>
        <w:t xml:space="preserve">. While </w:t>
      </w:r>
      <w:r w:rsidRPr="2D629091" w:rsidR="002C00F4">
        <w:rPr>
          <w:color w:val="000000"/>
        </w:rPr>
        <w:t>educational materials</w:t>
      </w:r>
      <w:r w:rsidRPr="2D629091">
        <w:rPr>
          <w:color w:val="000000"/>
        </w:rPr>
        <w:t xml:space="preserve"> exist pertaining to food safety among some populations of focus (such as individuals who are Black/African American and Hispanic/Latino), </w:t>
      </w:r>
      <w:r w:rsidRPr="2D629091" w:rsidR="002C00F4">
        <w:rPr>
          <w:color w:val="000000"/>
        </w:rPr>
        <w:t>minimal</w:t>
      </w:r>
      <w:r w:rsidRPr="2D629091">
        <w:rPr>
          <w:color w:val="000000"/>
        </w:rPr>
        <w:t xml:space="preserve"> work explores barriers and drivers of food safety behavior among </w:t>
      </w:r>
      <w:r w:rsidRPr="2D629091" w:rsidR="0CA68869">
        <w:rPr>
          <w:color w:val="000000" w:themeColor="text1"/>
        </w:rPr>
        <w:t>dual caregivers.</w:t>
      </w:r>
      <w:r w:rsidRPr="2D629091">
        <w:rPr>
          <w:color w:val="000000"/>
        </w:rPr>
        <w:t xml:space="preserve"> Given the substantial and competing </w:t>
      </w:r>
      <w:r w:rsidRPr="2D629091" w:rsidR="002C00F4">
        <w:rPr>
          <w:color w:val="000000"/>
        </w:rPr>
        <w:t>responsibilities</w:t>
      </w:r>
      <w:r w:rsidRPr="2D629091">
        <w:rPr>
          <w:color w:val="000000"/>
        </w:rPr>
        <w:t xml:space="preserve"> </w:t>
      </w:r>
      <w:r w:rsidRPr="2D629091" w:rsidR="00D86E86">
        <w:rPr>
          <w:color w:val="000000"/>
        </w:rPr>
        <w:t>these</w:t>
      </w:r>
      <w:r w:rsidRPr="2D629091">
        <w:rPr>
          <w:color w:val="000000"/>
        </w:rPr>
        <w:t xml:space="preserve"> individuals face on a daily basis, it is essential to gather in-depth information on consumers</w:t>
      </w:r>
      <w:r w:rsidRPr="2D629091" w:rsidR="00DD6341">
        <w:rPr>
          <w:color w:val="000000"/>
        </w:rPr>
        <w:t>’</w:t>
      </w:r>
      <w:r w:rsidRPr="2D629091">
        <w:rPr>
          <w:color w:val="000000"/>
        </w:rPr>
        <w:t xml:space="preserve"> knowledge, attitudes, and </w:t>
      </w:r>
      <w:r w:rsidRPr="2D629091">
        <w:rPr>
          <w:color w:val="000000"/>
        </w:rPr>
        <w:t xml:space="preserve">behaviors </w:t>
      </w:r>
      <w:r w:rsidRPr="2D629091" w:rsidR="00A83CF8">
        <w:rPr>
          <w:color w:val="000000"/>
        </w:rPr>
        <w:t>surrounding food safety</w:t>
      </w:r>
      <w:r w:rsidRPr="2D629091">
        <w:rPr>
          <w:color w:val="000000"/>
        </w:rPr>
        <w:t xml:space="preserve">. It is also </w:t>
      </w:r>
      <w:r w:rsidRPr="2D629091" w:rsidR="00DD6341">
        <w:rPr>
          <w:color w:val="000000"/>
        </w:rPr>
        <w:t>important</w:t>
      </w:r>
      <w:r w:rsidRPr="2D629091">
        <w:rPr>
          <w:color w:val="000000"/>
        </w:rPr>
        <w:t xml:space="preserve"> to learn more about the </w:t>
      </w:r>
      <w:r w:rsidRPr="2D629091" w:rsidR="00DD6341">
        <w:rPr>
          <w:color w:val="000000"/>
        </w:rPr>
        <w:t>specific</w:t>
      </w:r>
      <w:r w:rsidRPr="2D629091">
        <w:rPr>
          <w:color w:val="000000"/>
        </w:rPr>
        <w:t xml:space="preserve"> sources consumers trust when seeking out information about food safety and foodborne illness.</w:t>
      </w:r>
    </w:p>
    <w:p w:rsidR="00707550" w:rsidP="00707550" w14:paraId="6C49F5B9" w14:textId="76DDB608">
      <w:pPr>
        <w:spacing w:line="480" w:lineRule="auto"/>
        <w:rPr>
          <w:color w:val="000000"/>
          <w:szCs w:val="24"/>
        </w:rPr>
      </w:pPr>
      <w:r>
        <w:rPr>
          <w:color w:val="000000"/>
          <w:szCs w:val="24"/>
        </w:rPr>
        <w:tab/>
        <w:t>In addition to gathering base-level information on knowledge, attitudes, and information sources</w:t>
      </w:r>
      <w:r w:rsidR="0048325A">
        <w:rPr>
          <w:color w:val="000000"/>
          <w:szCs w:val="24"/>
        </w:rPr>
        <w:t xml:space="preserve"> used </w:t>
      </w:r>
      <w:r w:rsidR="00D86E86">
        <w:rPr>
          <w:color w:val="000000"/>
          <w:szCs w:val="24"/>
        </w:rPr>
        <w:t>to learn about</w:t>
      </w:r>
      <w:r w:rsidR="0048325A">
        <w:rPr>
          <w:color w:val="000000"/>
          <w:szCs w:val="24"/>
        </w:rPr>
        <w:t xml:space="preserve"> food safety</w:t>
      </w:r>
      <w:r>
        <w:rPr>
          <w:color w:val="000000"/>
          <w:szCs w:val="24"/>
        </w:rPr>
        <w:t xml:space="preserve">, </w:t>
      </w:r>
      <w:r w:rsidR="00D21377">
        <w:rPr>
          <w:color w:val="000000"/>
          <w:szCs w:val="24"/>
        </w:rPr>
        <w:t>this project</w:t>
      </w:r>
      <w:r>
        <w:rPr>
          <w:color w:val="000000"/>
          <w:szCs w:val="24"/>
        </w:rPr>
        <w:t xml:space="preserve"> will collect participant reactions and opinions regarding </w:t>
      </w:r>
      <w:r w:rsidR="00D21377">
        <w:rPr>
          <w:color w:val="000000"/>
          <w:szCs w:val="24"/>
        </w:rPr>
        <w:t>possible</w:t>
      </w:r>
      <w:r>
        <w:rPr>
          <w:color w:val="000000"/>
          <w:szCs w:val="24"/>
        </w:rPr>
        <w:t xml:space="preserve"> directions for</w:t>
      </w:r>
      <w:r w:rsidR="00D21377">
        <w:rPr>
          <w:color w:val="000000"/>
          <w:szCs w:val="24"/>
        </w:rPr>
        <w:t xml:space="preserve"> the</w:t>
      </w:r>
      <w:r>
        <w:rPr>
          <w:color w:val="000000"/>
          <w:szCs w:val="24"/>
        </w:rPr>
        <w:t xml:space="preserve"> food safety campaign. A team of creative experts </w:t>
      </w:r>
      <w:r w:rsidR="0048325A">
        <w:rPr>
          <w:color w:val="000000"/>
          <w:szCs w:val="24"/>
        </w:rPr>
        <w:t xml:space="preserve">from the contractor Fors Marsh </w:t>
      </w:r>
      <w:r>
        <w:rPr>
          <w:color w:val="000000"/>
          <w:szCs w:val="24"/>
        </w:rPr>
        <w:t xml:space="preserve">will be working to draft initial ideas for food safety campaign efforts. Prior to developing specific campaign materials, the campaign team would first like to get feedback from audience members on proposed campaign “themes” including suggested directions for messaging content and </w:t>
      </w:r>
      <w:r w:rsidR="00AA2181">
        <w:rPr>
          <w:color w:val="000000"/>
          <w:szCs w:val="24"/>
        </w:rPr>
        <w:t>methods of distribution</w:t>
      </w:r>
      <w:r w:rsidR="006B6860">
        <w:rPr>
          <w:color w:val="000000"/>
          <w:szCs w:val="24"/>
        </w:rPr>
        <w:t xml:space="preserve"> (e.g., television, radio, social media</w:t>
      </w:r>
      <w:r w:rsidR="00FB15DD">
        <w:rPr>
          <w:color w:val="000000"/>
          <w:szCs w:val="24"/>
        </w:rPr>
        <w:t>)</w:t>
      </w:r>
      <w:r>
        <w:rPr>
          <w:color w:val="000000"/>
          <w:szCs w:val="24"/>
        </w:rPr>
        <w:t xml:space="preserve">. This type of preliminary feedback is essential in culturally tailored campaign efforts to </w:t>
      </w:r>
      <w:r w:rsidR="00270A85">
        <w:rPr>
          <w:color w:val="000000"/>
          <w:szCs w:val="24"/>
        </w:rPr>
        <w:t>make sure</w:t>
      </w:r>
      <w:r>
        <w:rPr>
          <w:color w:val="000000"/>
          <w:szCs w:val="24"/>
        </w:rPr>
        <w:t xml:space="preserve"> that messages will resonate with audience members</w:t>
      </w:r>
      <w:r w:rsidR="00BE467C">
        <w:rPr>
          <w:color w:val="000000"/>
          <w:szCs w:val="24"/>
        </w:rPr>
        <w:t xml:space="preserve"> before more resources are spent on turning the concepts into materials (e.g., social media posts, factsheets)</w:t>
      </w:r>
      <w:r>
        <w:rPr>
          <w:color w:val="000000"/>
          <w:szCs w:val="24"/>
        </w:rPr>
        <w:t xml:space="preserve">. </w:t>
      </w:r>
    </w:p>
    <w:p w:rsidR="00707550" w:rsidP="2D629091" w14:paraId="6C64A99F" w14:textId="55253C3C">
      <w:pPr>
        <w:spacing w:line="480" w:lineRule="auto"/>
        <w:rPr>
          <w:color w:val="000000"/>
        </w:rPr>
      </w:pPr>
      <w:r>
        <w:rPr>
          <w:color w:val="000000"/>
          <w:szCs w:val="24"/>
        </w:rPr>
        <w:tab/>
      </w:r>
      <w:r w:rsidRPr="4CBCBAA7">
        <w:rPr>
          <w:color w:val="000000"/>
        </w:rPr>
        <w:t xml:space="preserve">While valuable previous work has been completed by OPACE, these activities do not provide the same type of information needed to appropriately develop this </w:t>
      </w:r>
      <w:r w:rsidRPr="4CBCBAA7" w:rsidR="0059353C">
        <w:rPr>
          <w:color w:val="000000"/>
        </w:rPr>
        <w:t>particular</w:t>
      </w:r>
      <w:r w:rsidRPr="4CBCBAA7">
        <w:rPr>
          <w:color w:val="000000"/>
        </w:rPr>
        <w:t xml:space="preserve"> food safety campaign. Specifically, findings from previous focus group research conducted by OPACE such as</w:t>
      </w:r>
      <w:r w:rsidRPr="2D629091">
        <w:rPr>
          <w:i/>
          <w:iCs/>
          <w:color w:val="000000"/>
        </w:rPr>
        <w:t xml:space="preserve"> Office of Management and Budget [OMB] No. 0583-0166, Professional Services to Support Requirement Gathering Sessions for Safe Food Handling Instructions [SHI]) </w:t>
      </w:r>
      <w:r w:rsidRPr="2D629091">
        <w:rPr>
          <w:color w:val="000000"/>
        </w:rPr>
        <w:t>and</w:t>
      </w:r>
      <w:r w:rsidRPr="2D629091">
        <w:rPr>
          <w:i/>
          <w:iCs/>
          <w:color w:val="000000"/>
          <w:sz w:val="27"/>
          <w:szCs w:val="27"/>
        </w:rPr>
        <w:t xml:space="preserve"> </w:t>
      </w:r>
      <w:r w:rsidRPr="2D629091">
        <w:rPr>
          <w:i/>
          <w:iCs/>
          <w:color w:val="000000"/>
        </w:rPr>
        <w:t>[OMB] No. 0583-</w:t>
      </w:r>
      <w:r w:rsidRPr="2D629091" w:rsidR="001D03D7">
        <w:rPr>
          <w:i/>
          <w:iCs/>
          <w:color w:val="000000"/>
        </w:rPr>
        <w:t>0178</w:t>
      </w:r>
      <w:r w:rsidRPr="2D629091">
        <w:rPr>
          <w:i/>
          <w:iCs/>
          <w:color w:val="000000"/>
        </w:rPr>
        <w:t>,</w:t>
      </w:r>
      <w:r w:rsidRPr="2D629091">
        <w:rPr>
          <w:b/>
          <w:bCs/>
          <w:i/>
          <w:iCs/>
          <w:color w:val="000000"/>
        </w:rPr>
        <w:t xml:space="preserve"> </w:t>
      </w:r>
      <w:r w:rsidRPr="2D629091" w:rsidR="001D03D7">
        <w:rPr>
          <w:i/>
          <w:iCs/>
          <w:color w:val="000000"/>
        </w:rPr>
        <w:t xml:space="preserve">In-Home </w:t>
      </w:r>
      <w:r w:rsidRPr="2D629091">
        <w:rPr>
          <w:i/>
          <w:iCs/>
          <w:color w:val="000000"/>
        </w:rPr>
        <w:t xml:space="preserve">Food Safety Behaviors and Consumer Education: </w:t>
      </w:r>
      <w:r w:rsidRPr="2D629091" w:rsidR="00A4769E">
        <w:rPr>
          <w:i/>
          <w:iCs/>
          <w:color w:val="000000"/>
        </w:rPr>
        <w:t xml:space="preserve">Web Survey </w:t>
      </w:r>
      <w:r w:rsidRPr="4CBCBAA7">
        <w:rPr>
          <w:color w:val="000000"/>
        </w:rPr>
        <w:t xml:space="preserve">does not address the specific experiences and perspectives of individuals who </w:t>
      </w:r>
      <w:r w:rsidRPr="4CBCBAA7" w:rsidR="46B9F721">
        <w:rPr>
          <w:color w:val="000000"/>
        </w:rPr>
        <w:t>are dual cargivers</w:t>
      </w:r>
      <w:r w:rsidRPr="4CBCBAA7">
        <w:rPr>
          <w:color w:val="000000"/>
        </w:rPr>
        <w:t xml:space="preserve"> </w:t>
      </w:r>
      <w:r w:rsidRPr="2D629091">
        <w:rPr>
          <w:i/>
          <w:iCs/>
          <w:color w:val="000000"/>
        </w:rPr>
        <w:t>and</w:t>
      </w:r>
      <w:r w:rsidRPr="4CBCBAA7">
        <w:rPr>
          <w:color w:val="000000"/>
        </w:rPr>
        <w:t xml:space="preserve"> are Black/African American or </w:t>
      </w:r>
      <w:r w:rsidR="00E718A7">
        <w:rPr>
          <w:color w:val="000000"/>
        </w:rPr>
        <w:t>f</w:t>
      </w:r>
      <w:r w:rsidRPr="4CBCBAA7" w:rsidR="0059353C">
        <w:rPr>
          <w:color w:val="000000"/>
        </w:rPr>
        <w:t xml:space="preserve">irst </w:t>
      </w:r>
      <w:r w:rsidR="00E718A7">
        <w:rPr>
          <w:color w:val="000000"/>
        </w:rPr>
        <w:t>g</w:t>
      </w:r>
      <w:r w:rsidRPr="4CBCBAA7" w:rsidR="0059353C">
        <w:rPr>
          <w:color w:val="000000"/>
        </w:rPr>
        <w:t xml:space="preserve">eneration </w:t>
      </w:r>
      <w:r w:rsidRPr="4CBCBAA7">
        <w:rPr>
          <w:color w:val="000000"/>
        </w:rPr>
        <w:t xml:space="preserve">Hispanic/Latino. Further, this effort seeks to gather feedback on </w:t>
      </w:r>
      <w:r w:rsidR="00270A85">
        <w:rPr>
          <w:color w:val="000000"/>
        </w:rPr>
        <w:t>possible themes related to</w:t>
      </w:r>
      <w:r w:rsidRPr="4CBCBAA7">
        <w:rPr>
          <w:color w:val="000000"/>
        </w:rPr>
        <w:t xml:space="preserve"> a </w:t>
      </w:r>
      <w:r w:rsidRPr="2D629091">
        <w:rPr>
          <w:i/>
          <w:iCs/>
          <w:color w:val="000000"/>
        </w:rPr>
        <w:t xml:space="preserve">new </w:t>
      </w:r>
      <w:r w:rsidRPr="4CBCBAA7">
        <w:rPr>
          <w:color w:val="000000"/>
        </w:rPr>
        <w:t xml:space="preserve">campaign effort. </w:t>
      </w:r>
    </w:p>
    <w:p w:rsidR="00707550" w:rsidRPr="00295AB3" w:rsidP="00F37EDB" w14:paraId="6CCC3CDC" w14:textId="1861F792">
      <w:pPr>
        <w:ind w:firstLine="720"/>
        <w:rPr>
          <w:b/>
          <w:bCs/>
          <w:color w:val="000000"/>
          <w:szCs w:val="24"/>
          <w:u w:val="single"/>
        </w:rPr>
      </w:pPr>
      <w:r w:rsidRPr="00295AB3">
        <w:rPr>
          <w:b/>
          <w:bCs/>
          <w:color w:val="000000"/>
          <w:szCs w:val="24"/>
          <w:u w:val="single"/>
        </w:rPr>
        <w:t xml:space="preserve">Set 2 </w:t>
      </w:r>
      <w:r w:rsidRPr="00295AB3" w:rsidR="00C16237">
        <w:rPr>
          <w:b/>
          <w:bCs/>
          <w:color w:val="000000"/>
          <w:szCs w:val="24"/>
          <w:u w:val="single"/>
        </w:rPr>
        <w:t>Interviews</w:t>
      </w:r>
      <w:r w:rsidRPr="00295AB3">
        <w:rPr>
          <w:b/>
          <w:bCs/>
          <w:color w:val="000000"/>
          <w:szCs w:val="24"/>
          <w:u w:val="single"/>
        </w:rPr>
        <w:t xml:space="preserve">: Campaign Strategy and </w:t>
      </w:r>
      <w:r w:rsidR="00626EB1">
        <w:rPr>
          <w:b/>
          <w:bCs/>
          <w:color w:val="000000"/>
          <w:szCs w:val="24"/>
          <w:u w:val="single"/>
        </w:rPr>
        <w:t>Material</w:t>
      </w:r>
      <w:r w:rsidRPr="00295AB3" w:rsidR="00626EB1">
        <w:rPr>
          <w:b/>
          <w:bCs/>
          <w:color w:val="000000"/>
          <w:szCs w:val="24"/>
          <w:u w:val="single"/>
        </w:rPr>
        <w:t xml:space="preserve"> </w:t>
      </w:r>
      <w:r w:rsidRPr="00295AB3">
        <w:rPr>
          <w:b/>
          <w:bCs/>
          <w:color w:val="000000"/>
          <w:szCs w:val="24"/>
          <w:u w:val="single"/>
        </w:rPr>
        <w:t xml:space="preserve">Testing </w:t>
      </w:r>
    </w:p>
    <w:p w:rsidR="00707550" w:rsidP="00707550" w14:paraId="7247A6C0" w14:textId="77777777">
      <w:pPr>
        <w:rPr>
          <w:b/>
          <w:bCs/>
          <w:i/>
          <w:iCs/>
          <w:color w:val="000000"/>
          <w:szCs w:val="24"/>
          <w:u w:val="single"/>
        </w:rPr>
      </w:pPr>
    </w:p>
    <w:p w:rsidR="00707550" w:rsidP="5E506425" w14:paraId="2409E4CE" w14:textId="611E62DA">
      <w:pPr>
        <w:spacing w:line="480" w:lineRule="auto"/>
        <w:rPr>
          <w:color w:val="000000"/>
        </w:rPr>
      </w:pPr>
      <w:r>
        <w:rPr>
          <w:color w:val="000000"/>
          <w:szCs w:val="24"/>
        </w:rPr>
        <w:tab/>
      </w:r>
      <w:r w:rsidRPr="5E506425">
        <w:rPr>
          <w:color w:val="000000"/>
        </w:rPr>
        <w:t xml:space="preserve">After information is collected from the first set of </w:t>
      </w:r>
      <w:r w:rsidRPr="5E506425" w:rsidR="00613FFF">
        <w:rPr>
          <w:color w:val="000000"/>
        </w:rPr>
        <w:t>interviews</w:t>
      </w:r>
      <w:r w:rsidRPr="5E506425">
        <w:rPr>
          <w:color w:val="000000"/>
        </w:rPr>
        <w:t xml:space="preserve">, </w:t>
      </w:r>
      <w:r w:rsidRPr="5E506425" w:rsidR="00596238">
        <w:rPr>
          <w:color w:val="000000"/>
        </w:rPr>
        <w:t>this information will be</w:t>
      </w:r>
      <w:r w:rsidRPr="5E506425">
        <w:rPr>
          <w:color w:val="000000"/>
        </w:rPr>
        <w:t xml:space="preserve"> </w:t>
      </w:r>
      <w:r w:rsidRPr="5E506425" w:rsidR="00596238">
        <w:rPr>
          <w:color w:val="000000"/>
        </w:rPr>
        <w:t xml:space="preserve">used to </w:t>
      </w:r>
      <w:r w:rsidR="00952019">
        <w:rPr>
          <w:color w:val="000000"/>
        </w:rPr>
        <w:t>develop</w:t>
      </w:r>
      <w:r w:rsidRPr="5E506425">
        <w:rPr>
          <w:color w:val="000000"/>
        </w:rPr>
        <w:t xml:space="preserve"> a campaign strategy and specific</w:t>
      </w:r>
      <w:r w:rsidR="003D7FD7">
        <w:rPr>
          <w:color w:val="000000"/>
        </w:rPr>
        <w:t xml:space="preserve"> campaign</w:t>
      </w:r>
      <w:r w:rsidRPr="5E506425">
        <w:rPr>
          <w:color w:val="000000"/>
        </w:rPr>
        <w:t xml:space="preserve"> materials. At this point, a second set </w:t>
      </w:r>
      <w:r w:rsidRPr="00945B4A">
        <w:rPr>
          <w:color w:val="000000"/>
        </w:rPr>
        <w:t xml:space="preserve">of </w:t>
      </w:r>
      <w:r w:rsidRPr="00945B4A" w:rsidR="00613FFF">
        <w:rPr>
          <w:color w:val="000000"/>
        </w:rPr>
        <w:t>1</w:t>
      </w:r>
      <w:r w:rsidRPr="00945B4A" w:rsidR="001C6EBD">
        <w:rPr>
          <w:color w:val="000000"/>
        </w:rPr>
        <w:t>5</w:t>
      </w:r>
      <w:r w:rsidRPr="00945B4A">
        <w:rPr>
          <w:color w:val="000000"/>
        </w:rPr>
        <w:t xml:space="preserve"> </w:t>
      </w:r>
      <w:r w:rsidRPr="00945B4A" w:rsidR="00C16237">
        <w:rPr>
          <w:color w:val="000000"/>
        </w:rPr>
        <w:t>interviews</w:t>
      </w:r>
      <w:r w:rsidRPr="00945B4A">
        <w:rPr>
          <w:color w:val="000000"/>
        </w:rPr>
        <w:t xml:space="preserve"> will be conducted to further </w:t>
      </w:r>
      <w:r w:rsidRPr="00945B4A" w:rsidR="00C132F1">
        <w:rPr>
          <w:color w:val="000000"/>
        </w:rPr>
        <w:t>understand</w:t>
      </w:r>
      <w:r w:rsidRPr="00945B4A">
        <w:rPr>
          <w:color w:val="000000"/>
        </w:rPr>
        <w:t xml:space="preserve"> audience reactions to proposed materials. These messages will focus on</w:t>
      </w:r>
      <w:r w:rsidRPr="5E506425">
        <w:rPr>
          <w:color w:val="000000"/>
        </w:rPr>
        <w:t xml:space="preserve"> enhancing food safety and reducing cross-contamination; however, the specific message content, form, and structure will be decided based on essential information drawn from the first round of </w:t>
      </w:r>
      <w:r w:rsidRPr="5E506425" w:rsidR="004742CB">
        <w:rPr>
          <w:color w:val="000000"/>
        </w:rPr>
        <w:t>interviews</w:t>
      </w:r>
      <w:r w:rsidRPr="5E506425">
        <w:rPr>
          <w:color w:val="000000"/>
        </w:rPr>
        <w:t xml:space="preserve">. The purpose of the </w:t>
      </w:r>
      <w:r w:rsidR="00670228">
        <w:rPr>
          <w:color w:val="000000"/>
        </w:rPr>
        <w:t xml:space="preserve">second set of </w:t>
      </w:r>
      <w:r w:rsidRPr="5E506425" w:rsidR="004742CB">
        <w:rPr>
          <w:color w:val="000000"/>
        </w:rPr>
        <w:t>interviews</w:t>
      </w:r>
      <w:r w:rsidRPr="5E506425">
        <w:rPr>
          <w:color w:val="000000"/>
        </w:rPr>
        <w:t xml:space="preserve"> will be to understand consumer preferences pertaining to food safety messaging</w:t>
      </w:r>
      <w:r w:rsidR="00670228">
        <w:rPr>
          <w:color w:val="000000"/>
        </w:rPr>
        <w:t>.</w:t>
      </w:r>
    </w:p>
    <w:p w:rsidR="00707550" w:rsidP="2D629091" w14:paraId="2A9B8A81" w14:textId="79BB1C1A">
      <w:pPr>
        <w:spacing w:line="480" w:lineRule="auto"/>
        <w:ind w:firstLine="720"/>
        <w:rPr>
          <w:color w:val="000000"/>
        </w:rPr>
      </w:pPr>
      <w:r w:rsidRPr="2D629091">
        <w:rPr>
          <w:color w:val="000000" w:themeColor="text1"/>
        </w:rPr>
        <w:t xml:space="preserve">Once again, these </w:t>
      </w:r>
      <w:r w:rsidRPr="2D629091" w:rsidR="004C4DE4">
        <w:rPr>
          <w:color w:val="000000" w:themeColor="text1"/>
        </w:rPr>
        <w:t>intervie</w:t>
      </w:r>
      <w:r w:rsidRPr="2D629091" w:rsidR="00E42B94">
        <w:rPr>
          <w:color w:val="000000" w:themeColor="text1"/>
        </w:rPr>
        <w:t>w</w:t>
      </w:r>
      <w:r w:rsidRPr="2D629091" w:rsidR="004C4DE4">
        <w:rPr>
          <w:color w:val="000000" w:themeColor="text1"/>
        </w:rPr>
        <w:t>s</w:t>
      </w:r>
      <w:r w:rsidRPr="2D629091">
        <w:rPr>
          <w:color w:val="000000" w:themeColor="text1"/>
        </w:rPr>
        <w:t xml:space="preserve"> will be c</w:t>
      </w:r>
      <w:r w:rsidRPr="2D629091" w:rsidR="00670228">
        <w:rPr>
          <w:color w:val="000000" w:themeColor="text1"/>
        </w:rPr>
        <w:t>ompleted</w:t>
      </w:r>
      <w:r w:rsidRPr="2D629091">
        <w:rPr>
          <w:color w:val="000000" w:themeColor="text1"/>
        </w:rPr>
        <w:t xml:space="preserve"> with African American/Black adults and first-generation Hispanic/Latino adults</w:t>
      </w:r>
      <w:r w:rsidRPr="2D629091" w:rsidR="00945B4A">
        <w:rPr>
          <w:color w:val="000000" w:themeColor="text1"/>
        </w:rPr>
        <w:t xml:space="preserve"> who are </w:t>
      </w:r>
      <w:r w:rsidRPr="2D629091" w:rsidR="4FACA988">
        <w:rPr>
          <w:color w:val="000000" w:themeColor="text1"/>
        </w:rPr>
        <w:t>dual caregivers</w:t>
      </w:r>
      <w:r w:rsidRPr="2D629091">
        <w:rPr>
          <w:color w:val="000000" w:themeColor="text1"/>
        </w:rPr>
        <w:t xml:space="preserve">. These </w:t>
      </w:r>
      <w:r w:rsidRPr="2D629091" w:rsidR="004C4DE4">
        <w:rPr>
          <w:color w:val="000000" w:themeColor="text1"/>
        </w:rPr>
        <w:t>interviews</w:t>
      </w:r>
      <w:r w:rsidRPr="2D629091">
        <w:rPr>
          <w:color w:val="000000" w:themeColor="text1"/>
        </w:rPr>
        <w:t xml:space="preserve"> will </w:t>
      </w:r>
      <w:r w:rsidRPr="2D629091" w:rsidR="004C4DE4">
        <w:rPr>
          <w:color w:val="000000" w:themeColor="text1"/>
        </w:rPr>
        <w:t xml:space="preserve">first </w:t>
      </w:r>
      <w:r w:rsidRPr="2D629091">
        <w:rPr>
          <w:color w:val="000000" w:themeColor="text1"/>
        </w:rPr>
        <w:t xml:space="preserve">be </w:t>
      </w:r>
      <w:r w:rsidRPr="2D629091" w:rsidR="00C132F1">
        <w:rPr>
          <w:color w:val="000000" w:themeColor="text1"/>
        </w:rPr>
        <w:t>organized</w:t>
      </w:r>
      <w:r w:rsidRPr="2D629091">
        <w:rPr>
          <w:color w:val="000000" w:themeColor="text1"/>
        </w:rPr>
        <w:t xml:space="preserve"> based on ethnicity. The </w:t>
      </w:r>
      <w:r w:rsidRPr="2D629091" w:rsidR="004C4DE4">
        <w:rPr>
          <w:color w:val="000000" w:themeColor="text1"/>
        </w:rPr>
        <w:t>interviews</w:t>
      </w:r>
      <w:r w:rsidRPr="2D629091">
        <w:rPr>
          <w:color w:val="000000" w:themeColor="text1"/>
        </w:rPr>
        <w:t xml:space="preserve"> with</w:t>
      </w:r>
      <w:r w:rsidRPr="2D629091" w:rsidR="00457783">
        <w:rPr>
          <w:color w:val="000000" w:themeColor="text1"/>
        </w:rPr>
        <w:t xml:space="preserve"> </w:t>
      </w:r>
      <w:r w:rsidRPr="2D629091" w:rsidR="00670228">
        <w:rPr>
          <w:color w:val="000000" w:themeColor="text1"/>
        </w:rPr>
        <w:t>f</w:t>
      </w:r>
      <w:r w:rsidRPr="2D629091" w:rsidR="00457783">
        <w:rPr>
          <w:color w:val="000000" w:themeColor="text1"/>
        </w:rPr>
        <w:t xml:space="preserve">irst </w:t>
      </w:r>
      <w:r w:rsidRPr="2D629091" w:rsidR="00670228">
        <w:rPr>
          <w:color w:val="000000" w:themeColor="text1"/>
        </w:rPr>
        <w:t>g</w:t>
      </w:r>
      <w:r w:rsidRPr="2D629091" w:rsidR="00457783">
        <w:rPr>
          <w:color w:val="000000" w:themeColor="text1"/>
        </w:rPr>
        <w:t>eneration</w:t>
      </w:r>
      <w:r w:rsidRPr="2D629091">
        <w:rPr>
          <w:color w:val="000000" w:themeColor="text1"/>
        </w:rPr>
        <w:t xml:space="preserve"> Hispanic/Latino populations will be further segmented based on acculturation level (e.g., whether participants have spent 10 or more years in the United States </w:t>
      </w:r>
      <w:r w:rsidRPr="2D629091" w:rsidR="00872034">
        <w:rPr>
          <w:color w:val="000000" w:themeColor="text1"/>
        </w:rPr>
        <w:t xml:space="preserve">and prefer English </w:t>
      </w:r>
      <w:r w:rsidRPr="2D629091">
        <w:rPr>
          <w:color w:val="000000" w:themeColor="text1"/>
        </w:rPr>
        <w:t>or fewer than 10 years in the United States</w:t>
      </w:r>
      <w:r w:rsidRPr="2D629091" w:rsidR="00872034">
        <w:rPr>
          <w:color w:val="000000" w:themeColor="text1"/>
        </w:rPr>
        <w:t xml:space="preserve"> and prefer Spanish</w:t>
      </w:r>
      <w:r w:rsidRPr="2D629091">
        <w:rPr>
          <w:color w:val="000000" w:themeColor="text1"/>
        </w:rPr>
        <w:t xml:space="preserve">).  </w:t>
      </w:r>
    </w:p>
    <w:p w:rsidR="00707550" w:rsidRPr="00A8294B" w:rsidP="5E506425" w14:paraId="2C1D3E46" w14:textId="694EBDFC">
      <w:pPr>
        <w:spacing w:line="480" w:lineRule="auto"/>
        <w:ind w:firstLine="720"/>
        <w:rPr>
          <w:i/>
          <w:iCs/>
          <w:color w:val="000000"/>
        </w:rPr>
      </w:pPr>
      <w:r w:rsidRPr="5E506425">
        <w:rPr>
          <w:color w:val="000000" w:themeColor="text1"/>
        </w:rPr>
        <w:t xml:space="preserve">The need for the second round </w:t>
      </w:r>
      <w:r w:rsidRPr="5E506425" w:rsidR="004C4DE4">
        <w:rPr>
          <w:color w:val="000000" w:themeColor="text1"/>
        </w:rPr>
        <w:t xml:space="preserve">of </w:t>
      </w:r>
      <w:r w:rsidRPr="5E506425">
        <w:rPr>
          <w:color w:val="000000" w:themeColor="text1"/>
        </w:rPr>
        <w:t xml:space="preserve">interviews builds on </w:t>
      </w:r>
      <w:r w:rsidRPr="5E506425" w:rsidR="004C4DE4">
        <w:rPr>
          <w:color w:val="000000" w:themeColor="text1"/>
        </w:rPr>
        <w:t>information drawn from the first round of interviews</w:t>
      </w:r>
      <w:r w:rsidRPr="5E506425">
        <w:rPr>
          <w:color w:val="000000" w:themeColor="text1"/>
        </w:rPr>
        <w:t xml:space="preserve">. </w:t>
      </w:r>
      <w:r w:rsidRPr="5E506425" w:rsidR="004C4DE4">
        <w:rPr>
          <w:color w:val="000000" w:themeColor="text1"/>
        </w:rPr>
        <w:t xml:space="preserve">Data collected from the first round of interviews will be used to develop campaign messaging materials. Therefore, the second round of interviews will be essential to gather feedback on the </w:t>
      </w:r>
      <w:r w:rsidR="00B37FE1">
        <w:rPr>
          <w:color w:val="000000" w:themeColor="text1"/>
        </w:rPr>
        <w:t>effectiveness</w:t>
      </w:r>
      <w:r w:rsidRPr="5E506425" w:rsidR="004C4DE4">
        <w:rPr>
          <w:color w:val="000000" w:themeColor="text1"/>
        </w:rPr>
        <w:t xml:space="preserve"> of these materials</w:t>
      </w:r>
      <w:r w:rsidRPr="5E506425" w:rsidR="00E94FD5">
        <w:rPr>
          <w:color w:val="000000" w:themeColor="text1"/>
        </w:rPr>
        <w:t>.</w:t>
      </w:r>
      <w:r w:rsidRPr="5E506425" w:rsidR="25174AFB">
        <w:rPr>
          <w:color w:val="000000" w:themeColor="text1"/>
        </w:rPr>
        <w:t xml:space="preserve"> The second round of interviews will also be essential to ensure the creative approach and images used are culturally appropriate.</w:t>
      </w:r>
      <w:r w:rsidRPr="5E506425" w:rsidR="00E94FD5">
        <w:rPr>
          <w:color w:val="000000" w:themeColor="text1"/>
        </w:rPr>
        <w:t xml:space="preserve"> </w:t>
      </w:r>
      <w:r w:rsidRPr="5E506425" w:rsidR="00966DB8">
        <w:rPr>
          <w:color w:val="000000" w:themeColor="text1"/>
        </w:rPr>
        <w:t>A</w:t>
      </w:r>
      <w:r w:rsidRPr="5E506425" w:rsidR="2B7DE15F">
        <w:rPr>
          <w:color w:val="000000" w:themeColor="text1"/>
        </w:rPr>
        <w:t>dditionally</w:t>
      </w:r>
      <w:r w:rsidRPr="5E506425" w:rsidR="00966DB8">
        <w:rPr>
          <w:color w:val="000000" w:themeColor="text1"/>
        </w:rPr>
        <w:t xml:space="preserve">, </w:t>
      </w:r>
      <w:r w:rsidRPr="5E506425" w:rsidR="004C4DE4">
        <w:rPr>
          <w:color w:val="000000" w:themeColor="text1"/>
        </w:rPr>
        <w:t xml:space="preserve">since </w:t>
      </w:r>
      <w:r w:rsidRPr="5E506425" w:rsidR="00966DB8">
        <w:rPr>
          <w:color w:val="000000" w:themeColor="text1"/>
        </w:rPr>
        <w:t xml:space="preserve">this effort </w:t>
      </w:r>
      <w:r w:rsidRPr="5E506425" w:rsidR="00E94FD5">
        <w:rPr>
          <w:color w:val="000000" w:themeColor="text1"/>
        </w:rPr>
        <w:t>seeks to gather feedback o</w:t>
      </w:r>
      <w:r w:rsidRPr="5E506425" w:rsidR="004C4DE4">
        <w:rPr>
          <w:color w:val="000000" w:themeColor="text1"/>
        </w:rPr>
        <w:t xml:space="preserve">n materials from a </w:t>
      </w:r>
      <w:r w:rsidRPr="5E506425" w:rsidR="004C4DE4">
        <w:rPr>
          <w:i/>
          <w:iCs/>
          <w:color w:val="000000" w:themeColor="text1"/>
        </w:rPr>
        <w:t xml:space="preserve">completely new </w:t>
      </w:r>
      <w:r w:rsidRPr="5E506425" w:rsidR="004C4DE4">
        <w:rPr>
          <w:color w:val="000000" w:themeColor="text1"/>
        </w:rPr>
        <w:t>campaign effort</w:t>
      </w:r>
      <w:r w:rsidR="00EB351A">
        <w:rPr>
          <w:color w:val="000000" w:themeColor="text1"/>
        </w:rPr>
        <w:t>,</w:t>
      </w:r>
      <w:r w:rsidRPr="5E506425" w:rsidR="004C4DE4">
        <w:rPr>
          <w:color w:val="000000" w:themeColor="text1"/>
        </w:rPr>
        <w:t xml:space="preserve"> there will be</w:t>
      </w:r>
      <w:r w:rsidRPr="5E506425" w:rsidR="00966DB8">
        <w:rPr>
          <w:color w:val="000000" w:themeColor="text1"/>
        </w:rPr>
        <w:t xml:space="preserve"> no existing </w:t>
      </w:r>
      <w:r w:rsidRPr="5E506425" w:rsidR="0027796F">
        <w:rPr>
          <w:color w:val="000000" w:themeColor="text1"/>
        </w:rPr>
        <w:t xml:space="preserve">datasets that will be able to provide specific responses to </w:t>
      </w:r>
      <w:r w:rsidRPr="5E506425" w:rsidR="00605E5C">
        <w:rPr>
          <w:color w:val="000000" w:themeColor="text1"/>
        </w:rPr>
        <w:t xml:space="preserve">the creative materials and proposed messaging approaches that will be </w:t>
      </w:r>
      <w:r w:rsidRPr="5E506425" w:rsidR="00FA6B02">
        <w:rPr>
          <w:color w:val="000000" w:themeColor="text1"/>
        </w:rPr>
        <w:t xml:space="preserve">drafted by the Fors Marsh team. </w:t>
      </w:r>
      <w:r w:rsidR="00734724">
        <w:rPr>
          <w:i/>
          <w:iCs/>
          <w:color w:val="000000" w:themeColor="text1"/>
        </w:rPr>
        <w:t>Note:</w:t>
      </w:r>
      <w:r w:rsidRPr="00F14129" w:rsidR="00F14129">
        <w:rPr>
          <w:i/>
          <w:iCs/>
          <w:color w:val="000000" w:themeColor="text1"/>
        </w:rPr>
        <w:t xml:space="preserve"> </w:t>
      </w:r>
      <w:r w:rsidR="00734724">
        <w:rPr>
          <w:i/>
          <w:iCs/>
          <w:color w:val="000000" w:themeColor="text1"/>
        </w:rPr>
        <w:t>A</w:t>
      </w:r>
      <w:r w:rsidRPr="00F14129" w:rsidR="00B37FE1">
        <w:rPr>
          <w:i/>
          <w:iCs/>
          <w:color w:val="000000" w:themeColor="text1"/>
        </w:rPr>
        <w:t xml:space="preserve">ll </w:t>
      </w:r>
      <w:r w:rsidRPr="00F14129" w:rsidR="009133A5">
        <w:rPr>
          <w:i/>
          <w:iCs/>
          <w:color w:val="000000" w:themeColor="text1"/>
        </w:rPr>
        <w:t xml:space="preserve">draft campaign </w:t>
      </w:r>
      <w:r w:rsidRPr="00F14129" w:rsidR="00B37FE1">
        <w:rPr>
          <w:i/>
          <w:iCs/>
          <w:color w:val="000000" w:themeColor="text1"/>
        </w:rPr>
        <w:t xml:space="preserve">materials developed </w:t>
      </w:r>
      <w:r w:rsidRPr="00F14129" w:rsidR="009133A5">
        <w:rPr>
          <w:i/>
          <w:iCs/>
          <w:color w:val="000000" w:themeColor="text1"/>
        </w:rPr>
        <w:t>will be submitted to OMB for review via an amendment prior to seeking participant feedback in the second set of interview</w:t>
      </w:r>
      <w:r w:rsidR="00404F5C">
        <w:rPr>
          <w:i/>
          <w:iCs/>
          <w:color w:val="000000" w:themeColor="text1"/>
        </w:rPr>
        <w:t>s</w:t>
      </w:r>
      <w:r w:rsidRPr="00F14129" w:rsidR="009133A5">
        <w:rPr>
          <w:i/>
          <w:iCs/>
          <w:color w:val="000000" w:themeColor="text1"/>
        </w:rPr>
        <w:t>.</w:t>
      </w:r>
      <w:r w:rsidR="009133A5">
        <w:rPr>
          <w:color w:val="000000" w:themeColor="text1"/>
        </w:rPr>
        <w:t xml:space="preserve"> </w:t>
      </w:r>
    </w:p>
    <w:p w:rsidR="002C1167" w:rsidP="002C1167" w14:paraId="024FF458" w14:textId="07B5766E">
      <w:pPr>
        <w:pStyle w:val="Heading2"/>
        <w:rPr>
          <w:rFonts w:ascii="Times New Roman" w:hAnsi="Times New Roman" w:cs="Times New Roman"/>
        </w:rPr>
      </w:pPr>
      <w:r w:rsidRPr="00ED52DB">
        <w:rPr>
          <w:rFonts w:ascii="Times New Roman" w:hAnsi="Times New Roman" w:cs="Times New Roman"/>
        </w:rPr>
        <w:t>A.</w:t>
      </w:r>
      <w:r>
        <w:rPr>
          <w:rFonts w:ascii="Times New Roman" w:hAnsi="Times New Roman" w:cs="Times New Roman"/>
        </w:rPr>
        <w:t>2</w:t>
      </w:r>
      <w:r w:rsidRPr="00ED52DB">
        <w:rPr>
          <w:rFonts w:ascii="Times New Roman" w:hAnsi="Times New Roman" w:cs="Times New Roman"/>
        </w:rPr>
        <w:t>.</w:t>
      </w:r>
      <w:r w:rsidRPr="00ED52DB">
        <w:rPr>
          <w:rFonts w:ascii="Times New Roman" w:hAnsi="Times New Roman" w:cs="Times New Roman"/>
        </w:rPr>
        <w:tab/>
      </w:r>
      <w:r w:rsidR="008E1E37">
        <w:rPr>
          <w:rFonts w:ascii="Times New Roman" w:hAnsi="Times New Roman" w:cs="Times New Roman"/>
        </w:rPr>
        <w:t xml:space="preserve">How, by Whom, </w:t>
      </w:r>
      <w:r w:rsidR="00EF448B">
        <w:rPr>
          <w:rFonts w:ascii="Times New Roman" w:hAnsi="Times New Roman" w:cs="Times New Roman"/>
        </w:rPr>
        <w:t xml:space="preserve">and Purpose Information </w:t>
      </w:r>
      <w:r w:rsidR="00FB679F">
        <w:rPr>
          <w:rFonts w:ascii="Times New Roman" w:hAnsi="Times New Roman" w:cs="Times New Roman"/>
        </w:rPr>
        <w:t>I</w:t>
      </w:r>
      <w:r w:rsidR="00EF448B">
        <w:rPr>
          <w:rFonts w:ascii="Times New Roman" w:hAnsi="Times New Roman" w:cs="Times New Roman"/>
        </w:rPr>
        <w:t xml:space="preserve">s to </w:t>
      </w:r>
      <w:r w:rsidR="00FB679F">
        <w:rPr>
          <w:rFonts w:ascii="Times New Roman" w:hAnsi="Times New Roman" w:cs="Times New Roman"/>
        </w:rPr>
        <w:t>B</w:t>
      </w:r>
      <w:r w:rsidR="00EF448B">
        <w:rPr>
          <w:rFonts w:ascii="Times New Roman" w:hAnsi="Times New Roman" w:cs="Times New Roman"/>
        </w:rPr>
        <w:t xml:space="preserve">e Used </w:t>
      </w:r>
    </w:p>
    <w:p w:rsidR="00C16237" w:rsidP="00FA6B02" w14:paraId="38FDE596" w14:textId="18C4A452">
      <w:pPr>
        <w:ind w:left="720"/>
        <w:rPr>
          <w:b/>
          <w:bCs/>
          <w:color w:val="000000"/>
          <w:szCs w:val="24"/>
          <w:u w:val="single"/>
        </w:rPr>
      </w:pPr>
      <w:r w:rsidRPr="00295AB3">
        <w:rPr>
          <w:b/>
          <w:bCs/>
          <w:color w:val="000000"/>
          <w:szCs w:val="24"/>
          <w:u w:val="single"/>
        </w:rPr>
        <w:t>Set 1 Interviews: Food Safety Knowledge, Attitudes, Behaviors and Concept Testing</w:t>
      </w:r>
    </w:p>
    <w:p w:rsidR="00FA6B02" w:rsidRPr="00FA6B02" w:rsidP="00FA6B02" w14:paraId="27900894" w14:textId="77777777">
      <w:pPr>
        <w:ind w:left="720"/>
        <w:rPr>
          <w:b/>
          <w:bCs/>
          <w:color w:val="000000"/>
          <w:szCs w:val="24"/>
          <w:u w:val="single"/>
        </w:rPr>
      </w:pPr>
    </w:p>
    <w:p w:rsidR="00287C11" w:rsidRPr="00CA1B1D" w:rsidP="00C16237" w14:paraId="567F412B" w14:textId="334A1A7A">
      <w:pPr>
        <w:pStyle w:val="BodyText2"/>
      </w:pPr>
      <w:r w:rsidRPr="00ED52DB">
        <w:t xml:space="preserve">The first set of </w:t>
      </w:r>
      <w:r>
        <w:t>interviews</w:t>
      </w:r>
      <w:r w:rsidRPr="00ED52DB">
        <w:t xml:space="preserve"> in FY </w:t>
      </w:r>
      <w:r w:rsidRPr="00ED52DB" w:rsidR="00E80BEC">
        <w:t>20</w:t>
      </w:r>
      <w:r w:rsidR="00E80BEC">
        <w:t>24</w:t>
      </w:r>
      <w:r w:rsidRPr="00ED52DB" w:rsidR="00E80BEC">
        <w:t xml:space="preserve"> </w:t>
      </w:r>
      <w:r w:rsidRPr="00ED52DB">
        <w:t xml:space="preserve">will be conducted </w:t>
      </w:r>
      <w:r>
        <w:t xml:space="preserve">with </w:t>
      </w:r>
      <w:r w:rsidR="004318BB">
        <w:t xml:space="preserve">individuals who are simultaneously providing </w:t>
      </w:r>
      <w:r w:rsidR="006261BE">
        <w:t>support</w:t>
      </w:r>
      <w:r w:rsidR="004318BB">
        <w:t xml:space="preserve"> to children </w:t>
      </w:r>
      <w:r w:rsidRPr="00ED52DB" w:rsidR="004318BB">
        <w:t>(&lt;18 years)</w:t>
      </w:r>
      <w:r w:rsidR="004318BB">
        <w:t xml:space="preserve"> and older adults </w:t>
      </w:r>
      <w:r w:rsidRPr="00ED52DB" w:rsidR="004318BB">
        <w:t>(</w:t>
      </w:r>
      <w:r w:rsidR="004318BB">
        <w:t>&gt;65</w:t>
      </w:r>
      <w:r w:rsidRPr="00ED52DB" w:rsidR="004318BB">
        <w:t xml:space="preserve"> years)</w:t>
      </w:r>
      <w:r w:rsidR="004318BB">
        <w:t xml:space="preserve">. Interviews will only take place with individuals who fulfill these criteria and are (a) Black/African American </w:t>
      </w:r>
      <w:r w:rsidR="00DF585A">
        <w:t>or</w:t>
      </w:r>
      <w:r w:rsidR="004318BB">
        <w:t xml:space="preserve"> (b) Hispanic/Latino </w:t>
      </w:r>
      <w:r w:rsidR="00FF27B3">
        <w:t xml:space="preserve">individuals who are the first generation of their family to live in the United States. To </w:t>
      </w:r>
      <w:r w:rsidR="006C25C7">
        <w:t>account for</w:t>
      </w:r>
      <w:r w:rsidR="00FF27B3">
        <w:t xml:space="preserve"> geographic diversity, interviews will be held virtually with individuals from various areas of the United States. </w:t>
      </w:r>
      <w:r w:rsidR="00CA1B1D">
        <w:t xml:space="preserve">Interviews will be held in English </w:t>
      </w:r>
      <w:r w:rsidRPr="00CA1B1D" w:rsidR="00CA1B1D">
        <w:t>or Spanish</w:t>
      </w:r>
      <w:r w:rsidR="00CA1B1D">
        <w:t xml:space="preserve"> depending on an individuals’ preferred language of choice. A screening questionnaire </w:t>
      </w:r>
      <w:r w:rsidR="00E65097">
        <w:t xml:space="preserve">demonstrating all screening criteria can be found in </w:t>
      </w:r>
      <w:r w:rsidRPr="00510A29" w:rsidR="00E65097">
        <w:t xml:space="preserve">Appendix </w:t>
      </w:r>
      <w:r w:rsidRPr="00510A29" w:rsidR="00510A29">
        <w:t>B</w:t>
      </w:r>
      <w:r w:rsidRPr="00510A29" w:rsidR="00E65097">
        <w:t>.</w:t>
      </w:r>
      <w:r w:rsidR="00E65097">
        <w:t xml:space="preserve"> </w:t>
      </w:r>
    </w:p>
    <w:p w:rsidR="00C16237" w:rsidP="00CA1B1D" w14:paraId="3C9545F5" w14:textId="5F52DECD">
      <w:pPr>
        <w:pStyle w:val="BodyText2"/>
      </w:pPr>
      <w:r w:rsidRPr="007F6B94">
        <w:t>A</w:t>
      </w:r>
      <w:r w:rsidR="00CA1B1D">
        <w:t>n</w:t>
      </w:r>
      <w:r w:rsidRPr="007F6B94">
        <w:t xml:space="preserve"> </w:t>
      </w:r>
      <w:r w:rsidR="00CA1B1D">
        <w:t>interviewer</w:t>
      </w:r>
      <w:r w:rsidRPr="007F6B94">
        <w:t xml:space="preserve"> guide (see </w:t>
      </w:r>
      <w:r w:rsidR="00510A29">
        <w:t>Appendices D, E, and F</w:t>
      </w:r>
      <w:r w:rsidRPr="007F6B94">
        <w:t>) will</w:t>
      </w:r>
      <w:r w:rsidRPr="00ED52DB">
        <w:t xml:space="preserve"> provide structure for the </w:t>
      </w:r>
      <w:r w:rsidR="00CA1B1D">
        <w:t>interview</w:t>
      </w:r>
      <w:r w:rsidRPr="00ED52DB">
        <w:t xml:space="preserve"> discussions and </w:t>
      </w:r>
      <w:r w:rsidR="00686738">
        <w:t>make sure</w:t>
      </w:r>
      <w:r w:rsidRPr="00ED52DB">
        <w:t xml:space="preserve"> that topics of interest are addressed. </w:t>
      </w:r>
      <w:r>
        <w:t>T</w:t>
      </w:r>
      <w:r w:rsidRPr="00ED52DB">
        <w:t>he guide will address the following topics:</w:t>
      </w:r>
    </w:p>
    <w:p w:rsidR="00615DA4" w:rsidRPr="00BA2745" w:rsidP="00BA2745" w14:paraId="6DB58E74" w14:textId="1178AC0C">
      <w:pPr>
        <w:pStyle w:val="ListParagraph"/>
        <w:numPr>
          <w:ilvl w:val="0"/>
          <w:numId w:val="9"/>
        </w:numPr>
        <w:rPr>
          <w:b/>
          <w:bCs/>
          <w:color w:val="000000"/>
          <w:szCs w:val="24"/>
          <w:u w:val="single"/>
        </w:rPr>
      </w:pPr>
      <w:r>
        <w:rPr>
          <w:color w:val="000000"/>
          <w:szCs w:val="24"/>
        </w:rPr>
        <w:t>K</w:t>
      </w:r>
      <w:r w:rsidR="00C80322">
        <w:rPr>
          <w:color w:val="000000"/>
          <w:szCs w:val="24"/>
        </w:rPr>
        <w:t>nowledge, attitudes, and food safety behaviors</w:t>
      </w:r>
    </w:p>
    <w:p w:rsidR="00C80322" w:rsidRPr="00BA2745" w:rsidP="00BA2745" w14:paraId="617223BD" w14:textId="72360A90">
      <w:pPr>
        <w:pStyle w:val="ListParagraph"/>
        <w:numPr>
          <w:ilvl w:val="0"/>
          <w:numId w:val="9"/>
        </w:numPr>
        <w:rPr>
          <w:b/>
          <w:bCs/>
          <w:color w:val="000000"/>
          <w:szCs w:val="24"/>
          <w:u w:val="single"/>
        </w:rPr>
      </w:pPr>
      <w:r>
        <w:rPr>
          <w:color w:val="000000"/>
          <w:szCs w:val="24"/>
        </w:rPr>
        <w:t>P</w:t>
      </w:r>
      <w:r w:rsidR="00615DA4">
        <w:rPr>
          <w:color w:val="000000"/>
          <w:szCs w:val="24"/>
        </w:rPr>
        <w:t>referred information sources for food safety information</w:t>
      </w:r>
    </w:p>
    <w:p w:rsidR="00C80322" w:rsidRPr="00BA2745" w:rsidP="00BA2745" w14:paraId="0743B438" w14:textId="7FE819D1">
      <w:pPr>
        <w:pStyle w:val="ListParagraph"/>
        <w:numPr>
          <w:ilvl w:val="0"/>
          <w:numId w:val="9"/>
        </w:numPr>
        <w:rPr>
          <w:b/>
          <w:bCs/>
          <w:color w:val="000000"/>
          <w:szCs w:val="24"/>
          <w:u w:val="single"/>
        </w:rPr>
      </w:pPr>
      <w:r>
        <w:rPr>
          <w:color w:val="000000"/>
          <w:szCs w:val="24"/>
        </w:rPr>
        <w:t>Reactions to</w:t>
      </w:r>
      <w:r>
        <w:rPr>
          <w:color w:val="000000"/>
          <w:szCs w:val="24"/>
        </w:rPr>
        <w:t xml:space="preserve"> </w:t>
      </w:r>
      <w:r w:rsidR="004C4DE4">
        <w:rPr>
          <w:color w:val="000000"/>
          <w:szCs w:val="24"/>
        </w:rPr>
        <w:t xml:space="preserve">proposed campaign </w:t>
      </w:r>
      <w:r w:rsidR="001828B7">
        <w:rPr>
          <w:color w:val="000000"/>
          <w:szCs w:val="24"/>
        </w:rPr>
        <w:t>themes</w:t>
      </w:r>
    </w:p>
    <w:p w:rsidR="00C80322" w:rsidP="00C80322" w14:paraId="10FE0570" w14:textId="77777777">
      <w:pPr>
        <w:rPr>
          <w:b/>
          <w:bCs/>
          <w:color w:val="000000"/>
          <w:szCs w:val="24"/>
          <w:u w:val="single"/>
        </w:rPr>
      </w:pPr>
    </w:p>
    <w:p w:rsidR="00C80322" w:rsidRPr="00C80322" w:rsidP="00C80322" w14:paraId="604E253C" w14:textId="77777777">
      <w:pPr>
        <w:rPr>
          <w:b/>
          <w:bCs/>
          <w:color w:val="000000"/>
          <w:szCs w:val="24"/>
          <w:u w:val="single"/>
        </w:rPr>
      </w:pPr>
    </w:p>
    <w:p w:rsidR="00C16237" w:rsidP="006C25C7" w14:paraId="3CAAB2A6" w14:textId="3AFF6517">
      <w:pPr>
        <w:ind w:firstLine="720"/>
        <w:rPr>
          <w:b/>
          <w:bCs/>
          <w:color w:val="000000"/>
          <w:szCs w:val="24"/>
          <w:u w:val="single"/>
        </w:rPr>
      </w:pPr>
      <w:r w:rsidRPr="00295AB3">
        <w:rPr>
          <w:b/>
          <w:bCs/>
          <w:color w:val="000000"/>
          <w:szCs w:val="24"/>
          <w:u w:val="single"/>
        </w:rPr>
        <w:t xml:space="preserve">Set 2 Interviews: Campaign Strategy and Message Testing </w:t>
      </w:r>
    </w:p>
    <w:p w:rsidR="006C25C7" w:rsidRPr="006C25C7" w:rsidP="006C25C7" w14:paraId="5D77DF3C" w14:textId="77777777">
      <w:pPr>
        <w:ind w:firstLine="720"/>
        <w:rPr>
          <w:b/>
          <w:bCs/>
          <w:color w:val="000000"/>
          <w:szCs w:val="24"/>
          <w:u w:val="single"/>
        </w:rPr>
      </w:pPr>
    </w:p>
    <w:p w:rsidR="00295AB3" w:rsidRPr="00CA1B1D" w:rsidP="00295AB3" w14:paraId="78300210" w14:textId="79FF56E2">
      <w:pPr>
        <w:pStyle w:val="BodyText2"/>
      </w:pPr>
      <w:r w:rsidRPr="00ED52DB">
        <w:t xml:space="preserve">The </w:t>
      </w:r>
      <w:r>
        <w:t>second</w:t>
      </w:r>
      <w:r w:rsidRPr="00ED52DB">
        <w:t xml:space="preserve"> set of </w:t>
      </w:r>
      <w:r>
        <w:t>interviews</w:t>
      </w:r>
      <w:r w:rsidRPr="00ED52DB">
        <w:t xml:space="preserve"> in FY </w:t>
      </w:r>
      <w:r w:rsidRPr="00ED52DB" w:rsidR="007B5BD1">
        <w:t>20</w:t>
      </w:r>
      <w:r w:rsidR="007B5BD1">
        <w:t>24</w:t>
      </w:r>
      <w:r w:rsidRPr="00ED52DB" w:rsidR="007B5BD1">
        <w:t xml:space="preserve"> </w:t>
      </w:r>
      <w:r w:rsidRPr="00ED52DB">
        <w:t xml:space="preserve">will be conducted </w:t>
      </w:r>
      <w:r>
        <w:t xml:space="preserve">with individuals who are simultaneously providing care to children </w:t>
      </w:r>
      <w:r w:rsidRPr="00ED52DB">
        <w:t>(&lt;18 years)</w:t>
      </w:r>
      <w:r>
        <w:t xml:space="preserve"> and older adults </w:t>
      </w:r>
      <w:r w:rsidRPr="00ED52DB">
        <w:t>(</w:t>
      </w:r>
      <w:r>
        <w:t>&gt;65</w:t>
      </w:r>
      <w:r w:rsidRPr="00ED52DB">
        <w:t xml:space="preserve"> years)</w:t>
      </w:r>
      <w:r>
        <w:t xml:space="preserve">. Interviews will only take place with individuals who fulfill these criteria and are (a) Black/African American </w:t>
      </w:r>
      <w:r w:rsidR="00D4734C">
        <w:t>or</w:t>
      </w:r>
      <w:r>
        <w:t xml:space="preserve"> (b) Hispanic/Latino individuals who are the first generation </w:t>
      </w:r>
      <w:r w:rsidR="004C4DE4">
        <w:t xml:space="preserve">of </w:t>
      </w:r>
      <w:r>
        <w:t xml:space="preserve">their family to live in the United States. To </w:t>
      </w:r>
      <w:r w:rsidR="006C25C7">
        <w:t>account for</w:t>
      </w:r>
      <w:r>
        <w:t xml:space="preserve"> geographic diversity, interviews will be held virtually with individuals from various areas of the United States. Interviews will be held in English </w:t>
      </w:r>
      <w:r w:rsidRPr="00CA1B1D">
        <w:t>or Spanish</w:t>
      </w:r>
      <w:r>
        <w:t xml:space="preserve"> </w:t>
      </w:r>
      <w:r>
        <w:t xml:space="preserve">depending on an individuals’ preferred language of choice. A screening questionnaire will be used to screen participants for eligibility (Appendix </w:t>
      </w:r>
      <w:r w:rsidR="00995DC1">
        <w:t>B</w:t>
      </w:r>
      <w:r>
        <w:t xml:space="preserve">). </w:t>
      </w:r>
    </w:p>
    <w:p w:rsidR="006D68B6" w:rsidP="004C4DE4" w14:paraId="55A5CE4C" w14:textId="510EC5EB">
      <w:pPr>
        <w:pStyle w:val="BodyText2"/>
      </w:pPr>
      <w:r w:rsidRPr="007F6B94">
        <w:t>A</w:t>
      </w:r>
      <w:r>
        <w:t>n</w:t>
      </w:r>
      <w:r w:rsidRPr="007F6B94">
        <w:t xml:space="preserve"> </w:t>
      </w:r>
      <w:r>
        <w:t>interviewer’s</w:t>
      </w:r>
      <w:r w:rsidRPr="007F6B94">
        <w:t xml:space="preserve"> guide (see </w:t>
      </w:r>
      <w:r w:rsidR="00995DC1">
        <w:t xml:space="preserve">Appendices </w:t>
      </w:r>
      <w:r w:rsidR="00163DFF">
        <w:t>G</w:t>
      </w:r>
      <w:r w:rsidR="00995DC1">
        <w:t xml:space="preserve">, </w:t>
      </w:r>
      <w:r w:rsidR="007F2F2F">
        <w:t>H</w:t>
      </w:r>
      <w:r w:rsidR="00995DC1">
        <w:t xml:space="preserve">, and </w:t>
      </w:r>
      <w:r w:rsidR="007F2F2F">
        <w:t>I</w:t>
      </w:r>
      <w:r w:rsidRPr="007F6B94">
        <w:t>) will</w:t>
      </w:r>
      <w:r w:rsidRPr="00ED52DB">
        <w:t xml:space="preserve"> provide structure for the </w:t>
      </w:r>
      <w:r>
        <w:t>interview</w:t>
      </w:r>
      <w:r w:rsidRPr="00ED52DB">
        <w:t xml:space="preserve"> discussions and ensure that topics of interest are addressed. </w:t>
      </w:r>
      <w:r>
        <w:t>T</w:t>
      </w:r>
      <w:r w:rsidRPr="00ED52DB">
        <w:t>he guide will address the following topics:</w:t>
      </w:r>
    </w:p>
    <w:p w:rsidR="004C4DE4" w:rsidRPr="00C80322" w:rsidP="004C4DE4" w14:paraId="51EC9F2A" w14:textId="52D75F00">
      <w:pPr>
        <w:pStyle w:val="ListParagraph"/>
        <w:numPr>
          <w:ilvl w:val="0"/>
          <w:numId w:val="9"/>
        </w:numPr>
        <w:rPr>
          <w:b/>
          <w:bCs/>
          <w:color w:val="000000"/>
          <w:szCs w:val="24"/>
          <w:u w:val="single"/>
        </w:rPr>
      </w:pPr>
      <w:r>
        <w:rPr>
          <w:color w:val="000000"/>
          <w:szCs w:val="24"/>
        </w:rPr>
        <w:t>Reactions to</w:t>
      </w:r>
      <w:r>
        <w:rPr>
          <w:color w:val="000000"/>
          <w:szCs w:val="24"/>
        </w:rPr>
        <w:t xml:space="preserve"> proposed campaign materials</w:t>
      </w:r>
      <w:r w:rsidR="00017409">
        <w:rPr>
          <w:color w:val="000000"/>
          <w:szCs w:val="24"/>
        </w:rPr>
        <w:t>.</w:t>
      </w:r>
    </w:p>
    <w:p w:rsidR="004C4DE4" w:rsidRPr="00C80322" w:rsidP="004C4DE4" w14:paraId="2E445846" w14:textId="2B647651">
      <w:pPr>
        <w:pStyle w:val="ListParagraph"/>
        <w:numPr>
          <w:ilvl w:val="0"/>
          <w:numId w:val="9"/>
        </w:numPr>
        <w:rPr>
          <w:b/>
          <w:bCs/>
          <w:color w:val="000000"/>
          <w:szCs w:val="24"/>
          <w:u w:val="single"/>
        </w:rPr>
      </w:pPr>
      <w:r>
        <w:rPr>
          <w:color w:val="000000"/>
          <w:szCs w:val="24"/>
        </w:rPr>
        <w:t>Reactions to</w:t>
      </w:r>
      <w:r>
        <w:rPr>
          <w:color w:val="000000"/>
          <w:szCs w:val="24"/>
        </w:rPr>
        <w:t xml:space="preserve"> proposed campaign logo and icons</w:t>
      </w:r>
      <w:r w:rsidR="00017409">
        <w:rPr>
          <w:color w:val="000000"/>
          <w:szCs w:val="24"/>
        </w:rPr>
        <w:t>.</w:t>
      </w:r>
    </w:p>
    <w:p w:rsidR="004C4DE4" w:rsidRPr="00C80322" w:rsidP="004C4DE4" w14:paraId="14B3F38A" w14:textId="6A9CA4AE">
      <w:pPr>
        <w:pStyle w:val="ListParagraph"/>
        <w:numPr>
          <w:ilvl w:val="0"/>
          <w:numId w:val="9"/>
        </w:numPr>
        <w:rPr>
          <w:b/>
          <w:bCs/>
          <w:color w:val="000000"/>
          <w:szCs w:val="24"/>
          <w:u w:val="single"/>
        </w:rPr>
      </w:pPr>
      <w:r>
        <w:rPr>
          <w:color w:val="000000"/>
          <w:szCs w:val="24"/>
        </w:rPr>
        <w:t xml:space="preserve">Discussion </w:t>
      </w:r>
      <w:r>
        <w:rPr>
          <w:color w:val="000000"/>
          <w:szCs w:val="24"/>
        </w:rPr>
        <w:t>of alternative campaign materials</w:t>
      </w:r>
      <w:r w:rsidR="00017409">
        <w:rPr>
          <w:color w:val="000000"/>
          <w:szCs w:val="24"/>
        </w:rPr>
        <w:t>.</w:t>
      </w:r>
    </w:p>
    <w:p w:rsidR="006D68B6" w:rsidP="006D68B6" w14:paraId="0DE4E241" w14:textId="77777777">
      <w:pPr>
        <w:rPr>
          <w:b/>
          <w:bCs/>
          <w:color w:val="000000"/>
          <w:szCs w:val="24"/>
          <w:u w:val="single"/>
        </w:rPr>
      </w:pPr>
    </w:p>
    <w:p w:rsidR="00EE46C8" w:rsidP="00EE46C8" w14:paraId="0B41BDD3" w14:textId="77777777">
      <w:pPr>
        <w:pStyle w:val="Heading2"/>
        <w:rPr>
          <w:rFonts w:ascii="Times New Roman" w:hAnsi="Times New Roman" w:cs="Times New Roman"/>
        </w:rPr>
      </w:pPr>
      <w:bookmarkStart w:id="1" w:name="_Toc236553876"/>
      <w:r w:rsidRPr="00ED52DB">
        <w:rPr>
          <w:rFonts w:ascii="Times New Roman" w:hAnsi="Times New Roman" w:cs="Times New Roman"/>
        </w:rPr>
        <w:t>A.3.</w:t>
      </w:r>
      <w:r w:rsidRPr="00ED52DB">
        <w:rPr>
          <w:rFonts w:ascii="Times New Roman" w:hAnsi="Times New Roman" w:cs="Times New Roman"/>
        </w:rPr>
        <w:tab/>
        <w:t>Use of Improved Information Technology</w:t>
      </w:r>
      <w:bookmarkEnd w:id="1"/>
    </w:p>
    <w:p w:rsidR="00EE46C8" w:rsidRPr="00ED52DB" w:rsidP="00EE46C8" w14:paraId="741BFCA0" w14:textId="17E071E4">
      <w:pPr>
        <w:pStyle w:val="BodyText1"/>
      </w:pPr>
      <w:r w:rsidRPr="00ED52DB">
        <w:t xml:space="preserve">To </w:t>
      </w:r>
      <w:r>
        <w:t xml:space="preserve">provide information to </w:t>
      </w:r>
      <w:r w:rsidRPr="00ED52DB">
        <w:t xml:space="preserve">interpret the study findings, </w:t>
      </w:r>
      <w:r w:rsidR="000131CE">
        <w:t xml:space="preserve">the audio of </w:t>
      </w:r>
      <w:r>
        <w:t>interviews</w:t>
      </w:r>
      <w:r w:rsidRPr="00ED52DB">
        <w:t xml:space="preserve"> will be digitally recorded.</w:t>
      </w:r>
      <w:r w:rsidR="0095676F">
        <w:t xml:space="preserve"> A notetaker will also be present during the interviews to take thorough notes.</w:t>
      </w:r>
      <w:r w:rsidRPr="00ED52DB">
        <w:t xml:space="preserve"> No electronic copies of the questions will be provided to the participants before the </w:t>
      </w:r>
      <w:r w:rsidR="0095676F">
        <w:t xml:space="preserve">interviews. </w:t>
      </w:r>
    </w:p>
    <w:p w:rsidR="00EE46C8" w:rsidP="00EE46C8" w14:paraId="70B77012" w14:textId="77777777">
      <w:pPr>
        <w:pStyle w:val="Heading2"/>
        <w:rPr>
          <w:rFonts w:ascii="Times New Roman" w:hAnsi="Times New Roman" w:cs="Times New Roman"/>
        </w:rPr>
      </w:pPr>
      <w:bookmarkStart w:id="2" w:name="_Toc236553877"/>
      <w:r w:rsidRPr="00ED52DB">
        <w:rPr>
          <w:rFonts w:ascii="Times New Roman" w:hAnsi="Times New Roman" w:cs="Times New Roman"/>
        </w:rPr>
        <w:t>A.4.</w:t>
      </w:r>
      <w:r w:rsidRPr="00ED52DB">
        <w:rPr>
          <w:rFonts w:ascii="Times New Roman" w:hAnsi="Times New Roman" w:cs="Times New Roman"/>
        </w:rPr>
        <w:tab/>
        <w:t>Efforts to Identify and Avoid Duplication</w:t>
      </w:r>
    </w:p>
    <w:p w:rsidR="00EE46C8" w:rsidRPr="00ED52DB" w:rsidP="00EE46C8" w14:paraId="48535CBF" w14:textId="13E0ACA0">
      <w:pPr>
        <w:pStyle w:val="BodyText1"/>
      </w:pPr>
      <w:r>
        <w:t>A thorough literature search and environmental scan was completed by Fors Marsh, and n</w:t>
      </w:r>
      <w:r>
        <w:t xml:space="preserve">o comparable data have been collected by any other entities. This is because no other </w:t>
      </w:r>
      <w:r w:rsidR="0081787C">
        <w:t xml:space="preserve">known </w:t>
      </w:r>
      <w:r>
        <w:t xml:space="preserve">comparable data has been collected from African American </w:t>
      </w:r>
      <w:r w:rsidR="00692BDF">
        <w:t>or</w:t>
      </w:r>
      <w:r w:rsidR="00B40A56">
        <w:t xml:space="preserve"> </w:t>
      </w:r>
      <w:r w:rsidR="759E1441">
        <w:t>f</w:t>
      </w:r>
      <w:r w:rsidR="00B40A56">
        <w:t>irst</w:t>
      </w:r>
      <w:r w:rsidR="00E42F20">
        <w:t>-</w:t>
      </w:r>
      <w:r w:rsidR="1C7013DC">
        <w:t>g</w:t>
      </w:r>
      <w:r w:rsidR="00B40A56">
        <w:t>eneration</w:t>
      </w:r>
      <w:r>
        <w:t xml:space="preserve"> Hispanic/Latino </w:t>
      </w:r>
      <w:r w:rsidR="0605BC14">
        <w:t>dual caregivers</w:t>
      </w:r>
      <w:r>
        <w:t xml:space="preserve">. </w:t>
      </w:r>
      <w:r w:rsidR="00355F2E">
        <w:t xml:space="preserve">Also, no data has been collected that can </w:t>
      </w:r>
      <w:r w:rsidR="005D27CF">
        <w:t>provide insight into audience members’</w:t>
      </w:r>
      <w:r w:rsidR="009917FA">
        <w:t xml:space="preserve"> reactions to the yet-to-be-developed campaign </w:t>
      </w:r>
      <w:r w:rsidR="005D27CF">
        <w:t xml:space="preserve">educational </w:t>
      </w:r>
      <w:r w:rsidR="009917FA">
        <w:t xml:space="preserve">materials. </w:t>
      </w:r>
      <w:r>
        <w:t>This data collection will not duplicate any similar study and the existing knowledge base and literature do not meet the informational need</w:t>
      </w:r>
      <w:r w:rsidR="4E4930D3">
        <w:t>s</w:t>
      </w:r>
      <w:r>
        <w:t xml:space="preserve"> of the investigation. </w:t>
      </w:r>
    </w:p>
    <w:p w:rsidR="00EE46C8" w:rsidRPr="00ED52DB" w:rsidP="00EE46C8" w14:paraId="4119EF1E" w14:textId="77777777">
      <w:pPr>
        <w:pStyle w:val="Heading2"/>
        <w:rPr>
          <w:rFonts w:ascii="Times New Roman" w:hAnsi="Times New Roman" w:cs="Times New Roman"/>
        </w:rPr>
      </w:pPr>
      <w:bookmarkStart w:id="3" w:name="_Toc236553878"/>
      <w:bookmarkEnd w:id="2"/>
      <w:r w:rsidRPr="00ED52DB">
        <w:rPr>
          <w:rFonts w:ascii="Times New Roman" w:hAnsi="Times New Roman" w:cs="Times New Roman"/>
        </w:rPr>
        <w:t>A.5.</w:t>
      </w:r>
      <w:r w:rsidRPr="00ED52DB">
        <w:rPr>
          <w:rFonts w:ascii="Times New Roman" w:hAnsi="Times New Roman" w:cs="Times New Roman"/>
        </w:rPr>
        <w:tab/>
        <w:t>Methods to Minimize Burden on Small Business Entities</w:t>
      </w:r>
    </w:p>
    <w:p w:rsidR="002317E1" w:rsidRPr="00740F12" w:rsidP="002317E1" w14:paraId="64973073" w14:textId="77777777">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720"/>
        <w:rPr>
          <w:b/>
          <w:bCs/>
          <w:szCs w:val="24"/>
        </w:rPr>
      </w:pPr>
      <w:bookmarkStart w:id="4" w:name="_Toc236553879"/>
      <w:bookmarkEnd w:id="3"/>
      <w:r w:rsidRPr="00740F12">
        <w:rPr>
          <w:szCs w:val="24"/>
        </w:rPr>
        <w:t>No small businesses will be involved in this information collection.</w:t>
      </w:r>
    </w:p>
    <w:p w:rsidR="00EE46C8" w:rsidRPr="00ED52DB" w:rsidP="00EE46C8" w14:paraId="15F9F2FC" w14:textId="77777777">
      <w:pPr>
        <w:pStyle w:val="Heading2"/>
        <w:rPr>
          <w:rFonts w:ascii="Times New Roman" w:hAnsi="Times New Roman" w:cs="Times New Roman"/>
        </w:rPr>
      </w:pPr>
      <w:r w:rsidRPr="00ED52DB">
        <w:rPr>
          <w:rFonts w:ascii="Times New Roman" w:hAnsi="Times New Roman" w:cs="Times New Roman"/>
        </w:rPr>
        <w:t>A.6.</w:t>
      </w:r>
      <w:r w:rsidRPr="00ED52DB">
        <w:rPr>
          <w:rFonts w:ascii="Times New Roman" w:hAnsi="Times New Roman" w:cs="Times New Roman"/>
        </w:rPr>
        <w:tab/>
        <w:t>Consequences of Less Frequent Data Collection</w:t>
      </w:r>
    </w:p>
    <w:p w:rsidR="00EE46C8" w:rsidRPr="00ED52DB" w:rsidP="00EE46C8" w14:paraId="30EB6080" w14:textId="457BE8BE">
      <w:pPr>
        <w:pStyle w:val="BodyText1"/>
      </w:pPr>
      <w:r>
        <w:t xml:space="preserve">This is a one-time data collection. Without this study, </w:t>
      </w:r>
      <w:r w:rsidR="009B47C2">
        <w:t>FSIS</w:t>
      </w:r>
      <w:r>
        <w:t xml:space="preserve"> will not have the </w:t>
      </w:r>
      <w:r w:rsidR="00AC6A27">
        <w:t xml:space="preserve">required </w:t>
      </w:r>
      <w:r>
        <w:t xml:space="preserve">information to effectively communicate with </w:t>
      </w:r>
      <w:r w:rsidR="25ADBD67">
        <w:t>dual caregivers</w:t>
      </w:r>
      <w:r>
        <w:t xml:space="preserve"> and improve consumers’ food safety behaviors. This lack of information would </w:t>
      </w:r>
      <w:r w:rsidR="00564802">
        <w:t>minimize</w:t>
      </w:r>
      <w:r>
        <w:t xml:space="preserve"> </w:t>
      </w:r>
      <w:r w:rsidR="009B47C2">
        <w:t>FSIS</w:t>
      </w:r>
      <w:r>
        <w:t xml:space="preserve">’s ability to provide more useful information to consumers to help reduce foodborne illness in the United States. This study is a part of OPACE’s continuing effort to encourage consumers to make informed decisions about food safety when preparing food at home. </w:t>
      </w:r>
    </w:p>
    <w:p w:rsidR="00EE46C8" w:rsidRPr="00F70A27" w:rsidP="00F70A27" w14:paraId="02D2435B" w14:textId="09BE3800">
      <w:pPr>
        <w:pStyle w:val="Heading2"/>
        <w:rPr>
          <w:rFonts w:ascii="Times New Roman" w:hAnsi="Times New Roman" w:cs="Times New Roman"/>
        </w:rPr>
      </w:pPr>
      <w:bookmarkStart w:id="5" w:name="_Toc236553881"/>
      <w:bookmarkEnd w:id="4"/>
      <w:r w:rsidRPr="00ED52DB">
        <w:rPr>
          <w:rFonts w:ascii="Times New Roman" w:hAnsi="Times New Roman" w:cs="Times New Roman"/>
        </w:rPr>
        <w:t>A.7.</w:t>
      </w:r>
      <w:r w:rsidRPr="00ED52DB">
        <w:rPr>
          <w:rFonts w:ascii="Times New Roman" w:hAnsi="Times New Roman" w:cs="Times New Roman"/>
        </w:rPr>
        <w:tab/>
        <w:t xml:space="preserve">Special Circumstances Relating to the Guidelines of 5 CFR 1320.5 </w:t>
      </w:r>
    </w:p>
    <w:p w:rsidR="00EE46C8" w:rsidP="00EE46C8" w14:paraId="576E9F4C" w14:textId="64D8AADF">
      <w:pPr>
        <w:spacing w:line="480" w:lineRule="auto"/>
        <w:ind w:firstLine="720"/>
        <w:rPr>
          <w:color w:val="000000"/>
          <w:szCs w:val="24"/>
        </w:rPr>
      </w:pPr>
      <w:r w:rsidRPr="007C5AD9">
        <w:rPr>
          <w:color w:val="000000"/>
          <w:szCs w:val="24"/>
        </w:rPr>
        <w:t xml:space="preserve">The collection fully complies with 5 CFR 1320.5(d)(2). There are no special circumstances associated with this information collection. The study will not require participants to: report the information more often than quarterly; provide a written response in less than 30 days; submit more than one original plus two copies of the information; or retain records for more than 3 years. The study will not use statistical data that has not yet been reviewed or approved by OMB. </w:t>
      </w:r>
    </w:p>
    <w:p w:rsidR="00EE46C8" w:rsidRPr="007C5AD9" w:rsidP="00EE46C8" w14:paraId="49E20B04" w14:textId="77777777">
      <w:pPr>
        <w:spacing w:line="480" w:lineRule="auto"/>
        <w:ind w:firstLine="720"/>
        <w:rPr>
          <w:szCs w:val="24"/>
        </w:rPr>
      </w:pPr>
      <w:r w:rsidRPr="007C5AD9">
        <w:rPr>
          <w:color w:val="000000"/>
          <w:szCs w:val="24"/>
        </w:rPr>
        <w:t>The study will not include a pledge of confidentiality that is (1) not supported by authority established in statute or regulation; (2) not supported by disclosure and data security policies that are consistent with the pledge; or (3) which unnecessarily impedes sharing of data with other agencies for compatible confidential use. Finally, the study does not involve the submission of trade secrets, proprietary information or other confidential information.</w:t>
      </w:r>
    </w:p>
    <w:p w:rsidR="00E36EF4" w:rsidRPr="005709FF" w:rsidP="00E36EF4" w14:paraId="592F9C38" w14:textId="3182B2BC">
      <w:pPr>
        <w:pStyle w:val="Heading2"/>
        <w:rPr>
          <w:rFonts w:ascii="Times New Roman" w:hAnsi="Times New Roman" w:cs="Times New Roman"/>
          <w:u w:val="single"/>
        </w:rPr>
      </w:pPr>
      <w:r w:rsidRPr="005709FF">
        <w:rPr>
          <w:rFonts w:ascii="Times New Roman" w:hAnsi="Times New Roman" w:cs="Times New Roman"/>
        </w:rPr>
        <w:t>A.8.</w:t>
      </w:r>
      <w:r w:rsidRPr="005709FF">
        <w:tab/>
      </w:r>
      <w:r w:rsidRPr="005709FF" w:rsidR="006E7411">
        <w:rPr>
          <w:rFonts w:ascii="Times New Roman" w:hAnsi="Times New Roman" w:cs="Times New Roman"/>
        </w:rPr>
        <w:t xml:space="preserve">Comments in Response to the Federal Register Notice and </w:t>
      </w:r>
      <w:r w:rsidRPr="005709FF" w:rsidR="00EB6859">
        <w:rPr>
          <w:rFonts w:ascii="Times New Roman" w:hAnsi="Times New Roman" w:cs="Times New Roman"/>
        </w:rPr>
        <w:t>Consultations with Persons Outside the Agency</w:t>
      </w:r>
    </w:p>
    <w:p w:rsidR="00EE46C8" w:rsidRPr="00524601" w:rsidP="005709FF" w14:paraId="07A3990D" w14:textId="730361AA">
      <w:pPr>
        <w:pStyle w:val="HTMLPreformatted"/>
        <w:spacing w:line="480" w:lineRule="auto"/>
        <w:ind w:firstLine="922"/>
        <w:rPr>
          <w:rFonts w:ascii="Times New Roman" w:hAnsi="Times New Roman" w:cs="Times New Roman"/>
          <w:sz w:val="24"/>
          <w:szCs w:val="24"/>
        </w:rPr>
      </w:pPr>
      <w:r w:rsidRPr="00524601">
        <w:rPr>
          <w:rFonts w:ascii="Times New Roman" w:hAnsi="Times New Roman" w:cs="Times New Roman"/>
          <w:sz w:val="24"/>
          <w:szCs w:val="24"/>
        </w:rPr>
        <w:t xml:space="preserve">In accordance with the Paperwork Reduction Act, </w:t>
      </w:r>
      <w:r w:rsidRPr="00524601" w:rsidR="00942156">
        <w:rPr>
          <w:rFonts w:ascii="Times New Roman" w:hAnsi="Times New Roman" w:cs="Times New Roman"/>
          <w:sz w:val="24"/>
          <w:szCs w:val="24"/>
        </w:rPr>
        <w:t xml:space="preserve">USDA </w:t>
      </w:r>
      <w:r w:rsidRPr="00524601">
        <w:rPr>
          <w:rFonts w:ascii="Times New Roman" w:hAnsi="Times New Roman" w:cs="Times New Roman"/>
          <w:sz w:val="24"/>
          <w:szCs w:val="24"/>
        </w:rPr>
        <w:t>FSIS published a 60-day notice for public comment in the Federal Register o</w:t>
      </w:r>
      <w:r w:rsidRPr="00524601" w:rsidR="00B72434">
        <w:rPr>
          <w:rFonts w:ascii="Times New Roman" w:hAnsi="Times New Roman" w:cs="Times New Roman"/>
          <w:sz w:val="24"/>
          <w:szCs w:val="24"/>
        </w:rPr>
        <w:t xml:space="preserve">n July 11, </w:t>
      </w:r>
      <w:r w:rsidRPr="00524601" w:rsidR="00D148D8">
        <w:rPr>
          <w:rFonts w:ascii="Times New Roman" w:hAnsi="Times New Roman" w:cs="Times New Roman"/>
          <w:sz w:val="24"/>
          <w:szCs w:val="24"/>
        </w:rPr>
        <w:t>2023</w:t>
      </w:r>
      <w:r w:rsidRPr="00524601">
        <w:rPr>
          <w:rFonts w:ascii="Times New Roman" w:hAnsi="Times New Roman" w:cs="Times New Roman"/>
          <w:sz w:val="24"/>
          <w:szCs w:val="24"/>
        </w:rPr>
        <w:t xml:space="preserve"> (</w:t>
      </w:r>
      <w:r w:rsidRPr="00524601" w:rsidR="00F5023E">
        <w:rPr>
          <w:rFonts w:ascii="Times New Roman" w:hAnsi="Times New Roman" w:cs="Times New Roman"/>
          <w:sz w:val="24"/>
          <w:szCs w:val="24"/>
        </w:rPr>
        <w:t>88 FR 44103</w:t>
      </w:r>
      <w:r w:rsidRPr="00524601">
        <w:rPr>
          <w:rFonts w:ascii="Times New Roman" w:hAnsi="Times New Roman" w:cs="Times New Roman"/>
          <w:sz w:val="24"/>
          <w:szCs w:val="24"/>
        </w:rPr>
        <w:t xml:space="preserve">). USDA </w:t>
      </w:r>
      <w:r w:rsidRPr="00524601" w:rsidR="00942156">
        <w:rPr>
          <w:rFonts w:ascii="Times New Roman" w:hAnsi="Times New Roman" w:cs="Times New Roman"/>
          <w:sz w:val="24"/>
          <w:szCs w:val="24"/>
        </w:rPr>
        <w:t>FSIS received three public comments</w:t>
      </w:r>
      <w:r w:rsidRPr="00524601" w:rsidR="005D606D">
        <w:rPr>
          <w:rFonts w:ascii="Times New Roman" w:hAnsi="Times New Roman" w:cs="Times New Roman"/>
          <w:sz w:val="24"/>
          <w:szCs w:val="24"/>
        </w:rPr>
        <w:t xml:space="preserve"> that were not relevant to the information collection</w:t>
      </w:r>
      <w:r w:rsidRPr="00524601" w:rsidR="00942156">
        <w:rPr>
          <w:rFonts w:ascii="Times New Roman" w:hAnsi="Times New Roman" w:cs="Times New Roman"/>
          <w:sz w:val="24"/>
          <w:szCs w:val="24"/>
        </w:rPr>
        <w:t xml:space="preserve">. </w:t>
      </w:r>
      <w:bookmarkEnd w:id="5"/>
    </w:p>
    <w:p w:rsidR="00E606AE" w:rsidRPr="008D2285" w:rsidP="005709FF" w14:paraId="4B2D344A" w14:textId="1E6AB457">
      <w:pPr>
        <w:spacing w:line="480" w:lineRule="auto"/>
        <w:ind w:firstLine="720"/>
        <w:rPr>
          <w:szCs w:val="24"/>
        </w:rPr>
      </w:pPr>
      <w:r w:rsidRPr="00524601">
        <w:rPr>
          <w:szCs w:val="24"/>
        </w:rPr>
        <w:t xml:space="preserve">We contacted three individuals to complete the </w:t>
      </w:r>
      <w:r w:rsidRPr="00524601" w:rsidR="006A5F89">
        <w:rPr>
          <w:szCs w:val="24"/>
        </w:rPr>
        <w:t>screener and interviews</w:t>
      </w:r>
      <w:r w:rsidRPr="00524601">
        <w:rPr>
          <w:szCs w:val="24"/>
        </w:rPr>
        <w:t xml:space="preserve"> so we could estimate respondent burden. The names, phone</w:t>
      </w:r>
      <w:r w:rsidRPr="008D2285">
        <w:rPr>
          <w:szCs w:val="24"/>
        </w:rPr>
        <w:t xml:space="preserve"> numbers, and length of time to complete the </w:t>
      </w:r>
      <w:r w:rsidR="006A5F89">
        <w:rPr>
          <w:szCs w:val="24"/>
        </w:rPr>
        <w:t>screener are</w:t>
      </w:r>
      <w:r w:rsidRPr="008D2285">
        <w:rPr>
          <w:szCs w:val="24"/>
        </w:rPr>
        <w:t xml:space="preserve"> provided below:</w:t>
      </w:r>
    </w:p>
    <w:p w:rsidR="00E606AE" w:rsidRPr="001757CC" w:rsidP="00E606AE" w14:paraId="203BD16D" w14:textId="592E7437">
      <w:pPr>
        <w:spacing w:line="480" w:lineRule="auto"/>
        <w:ind w:firstLine="720"/>
        <w:rPr>
          <w:szCs w:val="24"/>
        </w:rPr>
      </w:pPr>
      <w:r>
        <w:rPr>
          <w:szCs w:val="24"/>
        </w:rPr>
        <w:t xml:space="preserve">Ashley Anker, </w:t>
      </w:r>
      <w:r w:rsidR="00911D9F">
        <w:rPr>
          <w:szCs w:val="24"/>
        </w:rPr>
        <w:t>585-738</w:t>
      </w:r>
      <w:r w:rsidR="00490AFA">
        <w:rPr>
          <w:szCs w:val="24"/>
        </w:rPr>
        <w:t>-6254, 1</w:t>
      </w:r>
      <w:r w:rsidR="00981D10">
        <w:rPr>
          <w:szCs w:val="24"/>
        </w:rPr>
        <w:t>5</w:t>
      </w:r>
      <w:r w:rsidR="00490AFA">
        <w:rPr>
          <w:szCs w:val="24"/>
        </w:rPr>
        <w:t xml:space="preserve"> minutes</w:t>
      </w:r>
    </w:p>
    <w:p w:rsidR="0007122E" w:rsidRPr="00490AFA" w:rsidP="0007122E" w14:paraId="5D58CC5C" w14:textId="4EED5407">
      <w:pPr>
        <w:spacing w:line="480" w:lineRule="auto"/>
        <w:ind w:firstLine="720"/>
        <w:rPr>
          <w:szCs w:val="24"/>
        </w:rPr>
      </w:pPr>
      <w:r>
        <w:rPr>
          <w:szCs w:val="24"/>
        </w:rPr>
        <w:t xml:space="preserve">Rosie Pluretti, 315-406-2420, </w:t>
      </w:r>
      <w:r w:rsidR="00981D10">
        <w:rPr>
          <w:szCs w:val="24"/>
        </w:rPr>
        <w:t>13</w:t>
      </w:r>
      <w:r>
        <w:rPr>
          <w:szCs w:val="24"/>
        </w:rPr>
        <w:t xml:space="preserve"> minutes</w:t>
      </w:r>
    </w:p>
    <w:p w:rsidR="006A5F89" w:rsidRPr="00F10E39" w:rsidP="006A5F89" w14:paraId="11D4051B" w14:textId="58A54B13">
      <w:pPr>
        <w:spacing w:line="480" w:lineRule="auto"/>
        <w:ind w:firstLine="720"/>
        <w:rPr>
          <w:szCs w:val="24"/>
        </w:rPr>
      </w:pPr>
      <w:r>
        <w:rPr>
          <w:szCs w:val="24"/>
        </w:rPr>
        <w:t xml:space="preserve">Christopher Hinton, 516-361-3905, 15 minutes </w:t>
      </w:r>
    </w:p>
    <w:p w:rsidR="00564802" w:rsidP="00564802" w14:paraId="0C2FD851" w14:textId="05E87226">
      <w:pPr>
        <w:spacing w:line="480" w:lineRule="auto"/>
        <w:rPr>
          <w:szCs w:val="24"/>
        </w:rPr>
      </w:pPr>
      <w:r>
        <w:rPr>
          <w:szCs w:val="24"/>
        </w:rPr>
        <w:t>T</w:t>
      </w:r>
      <w:r w:rsidRPr="003C46E7">
        <w:rPr>
          <w:szCs w:val="24"/>
        </w:rPr>
        <w:t xml:space="preserve">his corroborates our estimated burden </w:t>
      </w:r>
      <w:r w:rsidRPr="00E82AD0">
        <w:rPr>
          <w:szCs w:val="24"/>
        </w:rPr>
        <w:t xml:space="preserve">of </w:t>
      </w:r>
      <w:r w:rsidRPr="00E82AD0">
        <w:rPr>
          <w:szCs w:val="24"/>
        </w:rPr>
        <w:t>15</w:t>
      </w:r>
      <w:r w:rsidRPr="00E82AD0">
        <w:rPr>
          <w:szCs w:val="24"/>
        </w:rPr>
        <w:t xml:space="preserve"> minutes.</w:t>
      </w:r>
      <w:r w:rsidRPr="00564802">
        <w:rPr>
          <w:szCs w:val="24"/>
        </w:rPr>
        <w:t xml:space="preserve"> </w:t>
      </w:r>
    </w:p>
    <w:p w:rsidR="006A5F89" w:rsidRPr="008D2285" w:rsidP="006A5F89" w14:paraId="0870ECDC" w14:textId="3439889E">
      <w:pPr>
        <w:spacing w:line="480" w:lineRule="auto"/>
        <w:rPr>
          <w:szCs w:val="24"/>
        </w:rPr>
      </w:pPr>
      <w:r w:rsidRPr="008D2285">
        <w:rPr>
          <w:szCs w:val="24"/>
        </w:rPr>
        <w:t xml:space="preserve">The names, phone numbers, and length of time to complete the </w:t>
      </w:r>
      <w:r>
        <w:rPr>
          <w:szCs w:val="24"/>
        </w:rPr>
        <w:t>interview are</w:t>
      </w:r>
      <w:r w:rsidRPr="008D2285">
        <w:rPr>
          <w:szCs w:val="24"/>
        </w:rPr>
        <w:t xml:space="preserve"> provided below:</w:t>
      </w:r>
    </w:p>
    <w:p w:rsidR="00981D10" w:rsidRPr="001757CC" w:rsidP="00981D10" w14:paraId="7690297E" w14:textId="5B03A9EE">
      <w:pPr>
        <w:spacing w:line="480" w:lineRule="auto"/>
        <w:ind w:firstLine="720"/>
        <w:rPr>
          <w:szCs w:val="24"/>
        </w:rPr>
      </w:pPr>
      <w:r>
        <w:rPr>
          <w:szCs w:val="24"/>
        </w:rPr>
        <w:t>Ashley Anker, 585-738-6254, 60 minutes</w:t>
      </w:r>
    </w:p>
    <w:p w:rsidR="00410FD7" w:rsidRPr="00490AFA" w:rsidP="00410FD7" w14:paraId="0B82E031" w14:textId="735359D8">
      <w:pPr>
        <w:spacing w:line="480" w:lineRule="auto"/>
        <w:ind w:firstLine="720"/>
        <w:rPr>
          <w:szCs w:val="24"/>
        </w:rPr>
      </w:pPr>
      <w:r>
        <w:rPr>
          <w:szCs w:val="24"/>
        </w:rPr>
        <w:t xml:space="preserve">Rosie Pluretti, </w:t>
      </w:r>
      <w:r w:rsidR="00063B72">
        <w:rPr>
          <w:szCs w:val="24"/>
        </w:rPr>
        <w:t>315-406-2420</w:t>
      </w:r>
      <w:r>
        <w:rPr>
          <w:szCs w:val="24"/>
        </w:rPr>
        <w:t>, 5</w:t>
      </w:r>
      <w:r w:rsidR="00981D10">
        <w:rPr>
          <w:szCs w:val="24"/>
        </w:rPr>
        <w:t>5</w:t>
      </w:r>
      <w:r>
        <w:rPr>
          <w:szCs w:val="24"/>
        </w:rPr>
        <w:t xml:space="preserve"> minutes</w:t>
      </w:r>
    </w:p>
    <w:p w:rsidR="005E40B0" w:rsidRPr="00F10E39" w:rsidP="005E40B0" w14:paraId="46800DE3" w14:textId="523D9683">
      <w:pPr>
        <w:spacing w:line="480" w:lineRule="auto"/>
        <w:ind w:firstLine="720"/>
        <w:rPr>
          <w:szCs w:val="24"/>
        </w:rPr>
      </w:pPr>
      <w:r>
        <w:rPr>
          <w:szCs w:val="24"/>
        </w:rPr>
        <w:t xml:space="preserve">Christopher Hinton, 516-361-3905, </w:t>
      </w:r>
      <w:r w:rsidR="00E82AD0">
        <w:rPr>
          <w:szCs w:val="24"/>
        </w:rPr>
        <w:t>60</w:t>
      </w:r>
      <w:r>
        <w:rPr>
          <w:szCs w:val="24"/>
        </w:rPr>
        <w:t xml:space="preserve"> minutes </w:t>
      </w:r>
    </w:p>
    <w:p w:rsidR="00E606AE" w:rsidRPr="007C5AD9" w:rsidP="006A5F89" w14:paraId="32C503BD" w14:textId="57A4EE0B">
      <w:pPr>
        <w:spacing w:line="480" w:lineRule="auto"/>
        <w:rPr>
          <w:szCs w:val="24"/>
        </w:rPr>
      </w:pPr>
      <w:r>
        <w:rPr>
          <w:szCs w:val="24"/>
        </w:rPr>
        <w:t>T</w:t>
      </w:r>
      <w:r w:rsidRPr="003C46E7">
        <w:rPr>
          <w:szCs w:val="24"/>
        </w:rPr>
        <w:t>his corroborates our estimated burden of</w:t>
      </w:r>
      <w:r w:rsidRPr="00E82AD0">
        <w:rPr>
          <w:szCs w:val="24"/>
        </w:rPr>
        <w:t xml:space="preserve"> </w:t>
      </w:r>
      <w:r w:rsidRPr="00E82AD0" w:rsidR="00564802">
        <w:rPr>
          <w:szCs w:val="24"/>
        </w:rPr>
        <w:t>60</w:t>
      </w:r>
      <w:r w:rsidRPr="00E82AD0">
        <w:rPr>
          <w:szCs w:val="24"/>
        </w:rPr>
        <w:t xml:space="preserve"> minutes.</w:t>
      </w:r>
      <w:r>
        <w:rPr>
          <w:szCs w:val="24"/>
        </w:rPr>
        <w:t xml:space="preserve"> </w:t>
      </w:r>
    </w:p>
    <w:p w:rsidR="00EE46C8" w:rsidRPr="00ED52DB" w:rsidP="00EE46C8" w14:paraId="2A333EF2" w14:textId="77777777">
      <w:pPr>
        <w:pStyle w:val="Heading2"/>
        <w:rPr>
          <w:rFonts w:ascii="Times New Roman" w:hAnsi="Times New Roman" w:cs="Times New Roman"/>
        </w:rPr>
      </w:pPr>
      <w:bookmarkStart w:id="6" w:name="_Toc236553882"/>
      <w:r w:rsidRPr="00DF4CD4">
        <w:rPr>
          <w:rFonts w:ascii="Times New Roman" w:hAnsi="Times New Roman" w:cs="Times New Roman"/>
        </w:rPr>
        <w:t>A.9.</w:t>
      </w:r>
      <w:r w:rsidRPr="00DF4CD4">
        <w:rPr>
          <w:rFonts w:ascii="Times New Roman" w:hAnsi="Times New Roman" w:cs="Times New Roman"/>
        </w:rPr>
        <w:tab/>
        <w:t>Payments to Respondents</w:t>
      </w:r>
      <w:bookmarkEnd w:id="6"/>
    </w:p>
    <w:p w:rsidR="00EE46C8" w:rsidP="00BB6214" w14:paraId="035DE5BD" w14:textId="6E47474A">
      <w:pPr>
        <w:pStyle w:val="BodyText1"/>
        <w:rPr>
          <w:color w:val="000000"/>
        </w:rPr>
      </w:pPr>
      <w:r w:rsidRPr="007C5AD9">
        <w:rPr>
          <w:b/>
          <w:bCs/>
          <w:color w:val="000000"/>
        </w:rPr>
        <w:t>Interviews</w:t>
      </w:r>
      <w:r w:rsidRPr="007C5AD9">
        <w:rPr>
          <w:color w:val="000000"/>
        </w:rPr>
        <w:t>. Participants in the interviews will be recruited from an online consumer panel</w:t>
      </w:r>
      <w:r w:rsidR="00A37031">
        <w:rPr>
          <w:color w:val="000000"/>
        </w:rPr>
        <w:t xml:space="preserve"> from </w:t>
      </w:r>
      <w:r w:rsidR="00121F23">
        <w:rPr>
          <w:color w:val="000000"/>
        </w:rPr>
        <w:t>Schlesinger</w:t>
      </w:r>
      <w:r w:rsidR="007103A3">
        <w:rPr>
          <w:color w:val="000000"/>
        </w:rPr>
        <w:t xml:space="preserve"> Group</w:t>
      </w:r>
      <w:r w:rsidRPr="007C5AD9">
        <w:rPr>
          <w:color w:val="000000"/>
        </w:rPr>
        <w:t>, and all</w:t>
      </w:r>
      <w:r>
        <w:rPr>
          <w:color w:val="000000"/>
        </w:rPr>
        <w:t xml:space="preserve"> </w:t>
      </w:r>
      <w:r w:rsidRPr="007C5AD9">
        <w:rPr>
          <w:color w:val="000000"/>
        </w:rPr>
        <w:t xml:space="preserve">interviews will be held online. Each participant will receive a </w:t>
      </w:r>
      <w:r>
        <w:rPr>
          <w:color w:val="000000"/>
        </w:rPr>
        <w:t>gift card</w:t>
      </w:r>
      <w:r w:rsidRPr="007C5AD9">
        <w:rPr>
          <w:color w:val="000000"/>
        </w:rPr>
        <w:t xml:space="preserve"> incentive of $75</w:t>
      </w:r>
      <w:r>
        <w:rPr>
          <w:color w:val="000000"/>
        </w:rPr>
        <w:t xml:space="preserve"> </w:t>
      </w:r>
      <w:r w:rsidRPr="007C5AD9">
        <w:rPr>
          <w:color w:val="000000"/>
        </w:rPr>
        <w:t>to participate in a one-hour interview</w:t>
      </w:r>
      <w:r w:rsidR="004A6022">
        <w:rPr>
          <w:color w:val="000000"/>
        </w:rPr>
        <w:t>.</w:t>
      </w:r>
      <w:r w:rsidR="008F518D">
        <w:rPr>
          <w:color w:val="000000"/>
        </w:rPr>
        <w:t xml:space="preserve"> </w:t>
      </w:r>
      <w:r w:rsidR="008F518D">
        <w:rPr>
          <w:rStyle w:val="normaltextrun"/>
          <w:color w:val="000000"/>
          <w:shd w:val="clear" w:color="auto" w:fill="FFFFFF"/>
        </w:rPr>
        <w:t>The $75 incentive was identified based on (1) the level of involvement needed to participate in the 60</w:t>
      </w:r>
      <w:r w:rsidR="00D26DA8">
        <w:rPr>
          <w:rStyle w:val="normaltextrun"/>
          <w:color w:val="000000"/>
          <w:shd w:val="clear" w:color="auto" w:fill="FFFFFF"/>
        </w:rPr>
        <w:t>-</w:t>
      </w:r>
      <w:r w:rsidR="008F518D">
        <w:rPr>
          <w:rStyle w:val="normaltextrun"/>
          <w:color w:val="000000"/>
          <w:shd w:val="clear" w:color="auto" w:fill="FFFFFF"/>
        </w:rPr>
        <w:t xml:space="preserve">minute interview, (2) the important nature of discussion regarding food safety behaviors, (3) the </w:t>
      </w:r>
      <w:r w:rsidR="00F83366">
        <w:rPr>
          <w:rStyle w:val="normaltextrun"/>
          <w:color w:val="000000"/>
          <w:shd w:val="clear" w:color="auto" w:fill="FFFFFF"/>
        </w:rPr>
        <w:t xml:space="preserve">possible </w:t>
      </w:r>
      <w:r w:rsidR="008F518D">
        <w:rPr>
          <w:rStyle w:val="normaltextrun"/>
          <w:color w:val="000000"/>
          <w:shd w:val="clear" w:color="auto" w:fill="FFFFFF"/>
        </w:rPr>
        <w:t xml:space="preserve">recruiting difficulties with identifying respondents who fit the inclusion criteria and are willing to share </w:t>
      </w:r>
      <w:r w:rsidR="008F518D">
        <w:rPr>
          <w:rStyle w:val="normaltextrun"/>
          <w:color w:val="000000"/>
          <w:shd w:val="clear" w:color="auto" w:fill="FFFFFF"/>
        </w:rPr>
        <w:t xml:space="preserve">their personal experiences, and (4) </w:t>
      </w:r>
      <w:r w:rsidR="0050466C">
        <w:rPr>
          <w:rStyle w:val="normaltextrun"/>
          <w:color w:val="000000"/>
          <w:shd w:val="clear" w:color="auto" w:fill="FFFFFF"/>
        </w:rPr>
        <w:t>many recruitment f</w:t>
      </w:r>
      <w:r w:rsidR="006C01AD">
        <w:rPr>
          <w:rStyle w:val="normaltextrun"/>
          <w:color w:val="000000"/>
          <w:shd w:val="clear" w:color="auto" w:fill="FFFFFF"/>
        </w:rPr>
        <w:t>i</w:t>
      </w:r>
      <w:r w:rsidR="0050466C">
        <w:rPr>
          <w:rStyle w:val="normaltextrun"/>
          <w:color w:val="000000"/>
          <w:shd w:val="clear" w:color="auto" w:fill="FFFFFF"/>
        </w:rPr>
        <w:t xml:space="preserve">rms provide this incentive when looking for participants for 60-minute interviews. </w:t>
      </w:r>
      <w:r w:rsidR="008F518D">
        <w:rPr>
          <w:rStyle w:val="eop"/>
          <w:color w:val="000000"/>
          <w:shd w:val="clear" w:color="auto" w:fill="FFFFFF"/>
        </w:rPr>
        <w:t> </w:t>
      </w:r>
    </w:p>
    <w:p w:rsidR="00BB6214" w:rsidRPr="00BB6214" w:rsidP="00BB6214" w14:paraId="44CDF8CB" w14:textId="66338EAC">
      <w:pPr>
        <w:pStyle w:val="paragraph"/>
        <w:spacing w:before="0" w:beforeAutospacing="0" w:after="0" w:afterAutospacing="0" w:line="480" w:lineRule="auto"/>
        <w:ind w:firstLine="720"/>
        <w:jc w:val="both"/>
        <w:textAlignment w:val="baseline"/>
      </w:pPr>
      <w:r>
        <w:rPr>
          <w:rStyle w:val="normaltextrun"/>
        </w:rPr>
        <w:t>As participants often have competing demands for their time, incentives are used to encourage participation.</w:t>
      </w:r>
      <w:r w:rsidR="007056D3">
        <w:rPr>
          <w:rStyle w:val="normaltextrun"/>
        </w:rPr>
        <w:t xml:space="preserve"> </w:t>
      </w:r>
      <w:r>
        <w:rPr>
          <w:rStyle w:val="normaltextrun"/>
        </w:rPr>
        <w:t xml:space="preserve">The use of incentives treats participants justly and with respect by recognizing and acknowledging the effort they expend to participate. In this particular information collection, we will be asking respondents to share experiences </w:t>
      </w:r>
      <w:r w:rsidR="008F1D91">
        <w:rPr>
          <w:rStyle w:val="normaltextrun"/>
        </w:rPr>
        <w:t xml:space="preserve">and provide a </w:t>
      </w:r>
      <w:r>
        <w:rPr>
          <w:rStyle w:val="normaltextrun"/>
        </w:rPr>
        <w:t>high level of participation.</w:t>
      </w:r>
      <w:r w:rsidR="00DF4CD4">
        <w:rPr>
          <w:rStyle w:val="normaltextrun"/>
        </w:rPr>
        <w:t xml:space="preserve"> </w:t>
      </w:r>
      <w:r>
        <w:rPr>
          <w:rStyle w:val="normaltextrun"/>
        </w:rPr>
        <w:t>When applied in a reasonable manner, incentives are not an unjust inducement and are an approach that acknowledges respondents for their participation (Halpern, et al., 2004).</w:t>
      </w:r>
      <w:r>
        <w:rPr>
          <w:rStyle w:val="eop"/>
        </w:rPr>
        <w:t> </w:t>
      </w:r>
    </w:p>
    <w:p w:rsidR="00BB6214" w:rsidP="00EA6561" w14:paraId="7C19B3E6" w14:textId="50D16306">
      <w:pPr>
        <w:pStyle w:val="paragraph"/>
        <w:spacing w:before="0" w:beforeAutospacing="0" w:after="0" w:afterAutospacing="0" w:line="480" w:lineRule="auto"/>
        <w:ind w:firstLine="720"/>
        <w:jc w:val="both"/>
        <w:textAlignment w:val="baseline"/>
        <w:rPr>
          <w:rFonts w:ascii="Segoe UI" w:hAnsi="Segoe UI" w:cs="Segoe UI"/>
          <w:sz w:val="18"/>
          <w:szCs w:val="18"/>
        </w:rPr>
      </w:pPr>
      <w:r>
        <w:rPr>
          <w:rStyle w:val="normaltextrun"/>
        </w:rPr>
        <w:t>Incentives must be high enough to equalize the burden placed on respondents with respect to their time and cost of participation (Russell et al., 2000) as well as provide enough motivation for them to participate in the project. If the incentive is not adequate, participants might agree to participate and then not show up or drop out early. Low participation could result in inadequate information collection or, in the worst cases, loss of Government funds associated with facility rental as well as moderator and observer time (Morgan &amp; Scannell, 1998). </w:t>
      </w:r>
      <w:r>
        <w:rPr>
          <w:rStyle w:val="eop"/>
        </w:rPr>
        <w:t> </w:t>
      </w:r>
    </w:p>
    <w:p w:rsidR="00EE46C8" w:rsidP="00EA6561" w14:paraId="7E9462F5" w14:textId="77777777">
      <w:pPr>
        <w:pStyle w:val="Heading2"/>
        <w:ind w:left="0" w:firstLine="0"/>
        <w:rPr>
          <w:rFonts w:ascii="Times New Roman" w:hAnsi="Times New Roman" w:cs="Times New Roman"/>
        </w:rPr>
      </w:pPr>
      <w:bookmarkStart w:id="7" w:name="_Toc236553883"/>
      <w:r w:rsidRPr="00ED52DB">
        <w:rPr>
          <w:rFonts w:ascii="Times New Roman" w:hAnsi="Times New Roman" w:cs="Times New Roman"/>
        </w:rPr>
        <w:t>A.10.</w:t>
      </w:r>
      <w:r w:rsidRPr="00ED52DB">
        <w:rPr>
          <w:rFonts w:ascii="Times New Roman" w:hAnsi="Times New Roman" w:cs="Times New Roman"/>
        </w:rPr>
        <w:tab/>
        <w:t>Assurance of Confidentiality</w:t>
      </w:r>
      <w:bookmarkEnd w:id="7"/>
    </w:p>
    <w:p w:rsidR="00EE46C8" w:rsidP="00EE46C8" w14:paraId="1DA545D2" w14:textId="5BC86CE7">
      <w:pPr>
        <w:pStyle w:val="BodyText1"/>
      </w:pPr>
      <w:r>
        <w:t xml:space="preserve">The privacy of the </w:t>
      </w:r>
      <w:r w:rsidR="00981BF0">
        <w:t>interview</w:t>
      </w:r>
      <w:r w:rsidR="73C0736C">
        <w:t>ed</w:t>
      </w:r>
      <w:r w:rsidR="00981BF0">
        <w:t xml:space="preserve"> </w:t>
      </w:r>
      <w:r>
        <w:t xml:space="preserve">participants will be assured by using an independent </w:t>
      </w:r>
      <w:r w:rsidR="003D76CA">
        <w:t>recruitment vendor</w:t>
      </w:r>
      <w:r w:rsidR="00743F39">
        <w:t>, Schlesinger</w:t>
      </w:r>
      <w:r w:rsidR="007103A3">
        <w:t xml:space="preserve"> Group</w:t>
      </w:r>
      <w:r w:rsidR="00743F39">
        <w:t>,</w:t>
      </w:r>
      <w:r w:rsidR="003D76CA">
        <w:t xml:space="preserve"> </w:t>
      </w:r>
      <w:r>
        <w:t xml:space="preserve">to collect </w:t>
      </w:r>
      <w:r w:rsidR="00601545">
        <w:t>personal</w:t>
      </w:r>
      <w:r w:rsidR="00935F86">
        <w:t>ly identifiable</w:t>
      </w:r>
      <w:r w:rsidR="00601545">
        <w:t xml:space="preserve"> </w:t>
      </w:r>
      <w:r>
        <w:t>information, by enacting procedures to prevent unauthorized access to respondent data, and by preventing the public disclosure of the responses of individual participants.</w:t>
      </w:r>
    </w:p>
    <w:p w:rsidR="001C53C2" w:rsidP="00EE46C8" w14:paraId="14902281" w14:textId="1226AD9A">
      <w:pPr>
        <w:pStyle w:val="BodyText1"/>
      </w:pPr>
      <w:r>
        <w:t xml:space="preserve">The recruitment vendor has a </w:t>
      </w:r>
      <w:r w:rsidRPr="00740F12">
        <w:t xml:space="preserve">system of standard operating procedures in place for documenting all processes relating to maintaining confidentiality and privacy of </w:t>
      </w:r>
      <w:r>
        <w:t xml:space="preserve">participants. </w:t>
      </w:r>
    </w:p>
    <w:p w:rsidR="00EE46C8" w:rsidP="00510124" w14:paraId="687443A8" w14:textId="67ACB52E">
      <w:pPr>
        <w:pStyle w:val="BodyText1"/>
        <w:ind w:firstLine="0"/>
      </w:pPr>
      <w:r w:rsidRPr="00ED52DB">
        <w:t>The only Information in Identifiable Form (IIF) that will be obtained are the participants</w:t>
      </w:r>
      <w:r>
        <w:t>’</w:t>
      </w:r>
      <w:r w:rsidRPr="00ED52DB">
        <w:t xml:space="preserve"> name</w:t>
      </w:r>
      <w:r>
        <w:t>s</w:t>
      </w:r>
      <w:r w:rsidRPr="00ED52DB">
        <w:t xml:space="preserve">, phone numbers, and email </w:t>
      </w:r>
      <w:r w:rsidR="00561445">
        <w:t xml:space="preserve">addresses </w:t>
      </w:r>
      <w:r w:rsidRPr="00ED52DB">
        <w:t>for setting up interview appointments</w:t>
      </w:r>
      <w:r>
        <w:t xml:space="preserve">, </w:t>
      </w:r>
      <w:r w:rsidR="00601545">
        <w:t xml:space="preserve">sending confirmation </w:t>
      </w:r>
      <w:r w:rsidR="00601545">
        <w:t>emails</w:t>
      </w:r>
      <w:r>
        <w:t>, and making reminder phone calls</w:t>
      </w:r>
      <w:r w:rsidRPr="00ED52DB">
        <w:t xml:space="preserve">. This IIF will be maintained </w:t>
      </w:r>
      <w:r w:rsidR="008814F6">
        <w:t xml:space="preserve">in the files of </w:t>
      </w:r>
      <w:r w:rsidR="00510124">
        <w:t>Schlesinger Group and not Fors Marsh or FSIS</w:t>
      </w:r>
      <w:r w:rsidRPr="00ED52DB">
        <w:t xml:space="preserve">. These personal identifiers will not be linked to data and will not be shared with FSIS or </w:t>
      </w:r>
      <w:r w:rsidR="008814F6">
        <w:t xml:space="preserve">Fors Marsh. </w:t>
      </w:r>
      <w:r w:rsidR="00510124">
        <w:t xml:space="preserve">Since Fors Marsh will be holding interviews </w:t>
      </w:r>
      <w:r w:rsidR="00E95868">
        <w:t xml:space="preserve">and taking interview notes independently of Schlesinger Group, identifiable information will not be connected to participant responses at any time. Furthermore, Schlesinger Group will never have access to participant responses and Fors Marsh/FSIS will not be given participant identifiable information by Schlesinger Group. </w:t>
      </w:r>
    </w:p>
    <w:p w:rsidR="00EE46C8" w:rsidP="005D620A" w14:paraId="4F5470FA" w14:textId="42CB78FA">
      <w:pPr>
        <w:pStyle w:val="BodyText1"/>
      </w:pPr>
      <w:r>
        <w:t xml:space="preserve">Participation in the </w:t>
      </w:r>
      <w:r w:rsidR="008814F6">
        <w:t>interviews is voluntary</w:t>
      </w:r>
      <w:r>
        <w:t xml:space="preserve">, and participants will be advised that their responses will be treated in a secure manner and will not be linked to their names. During the </w:t>
      </w:r>
      <w:r w:rsidR="00090DDC">
        <w:t>interviews</w:t>
      </w:r>
      <w:r>
        <w:t xml:space="preserve">, </w:t>
      </w:r>
      <w:r w:rsidR="00782C19">
        <w:t>no</w:t>
      </w:r>
      <w:r w:rsidR="00703C54">
        <w:t xml:space="preserve"> personal identifiers will be documented in the interview notes</w:t>
      </w:r>
      <w:r>
        <w:t>.</w:t>
      </w:r>
      <w:r w:rsidR="00A77A24">
        <w:t xml:space="preserve"> If a participant shares their name during the interview, it will not be documented in the interview notes. </w:t>
      </w:r>
      <w:r w:rsidR="00090DDC">
        <w:t xml:space="preserve">Notes will be taken by the Fors </w:t>
      </w:r>
      <w:r w:rsidR="005D620A">
        <w:t>M</w:t>
      </w:r>
      <w:r w:rsidR="00090DDC">
        <w:t>arsh</w:t>
      </w:r>
      <w:r>
        <w:t xml:space="preserve"> research team</w:t>
      </w:r>
      <w:r w:rsidR="00090DDC">
        <w:t xml:space="preserve">, but only </w:t>
      </w:r>
      <w:r w:rsidR="00782C19">
        <w:t>numeric participant identifiers</w:t>
      </w:r>
      <w:r w:rsidR="00090DDC">
        <w:t xml:space="preserve"> and interview dates will be used to maintain files. Also,</w:t>
      </w:r>
      <w:r w:rsidR="005D620A">
        <w:t xml:space="preserve"> </w:t>
      </w:r>
      <w:r w:rsidR="00E14B32">
        <w:t xml:space="preserve">names </w:t>
      </w:r>
      <w:r w:rsidR="005D620A">
        <w:t xml:space="preserve">will never be reported out in any </w:t>
      </w:r>
      <w:r w:rsidR="356699D9">
        <w:t xml:space="preserve">of </w:t>
      </w:r>
      <w:r w:rsidR="005D620A">
        <w:t xml:space="preserve"> the data or reports stemming from the research. Instead, participants’ first names will be replaced with the word “participant.”</w:t>
      </w:r>
      <w:r>
        <w:t xml:space="preserve"> The digital </w:t>
      </w:r>
      <w:r w:rsidR="005D620A">
        <w:t xml:space="preserve">recordings </w:t>
      </w:r>
      <w:r>
        <w:t xml:space="preserve">will be stored on a password-protected share drive, accessible only to </w:t>
      </w:r>
      <w:r w:rsidR="005D620A">
        <w:t xml:space="preserve">Fors Marsh </w:t>
      </w:r>
      <w:r>
        <w:t>project staff.</w:t>
      </w:r>
    </w:p>
    <w:p w:rsidR="000B162A" w:rsidP="005709FF" w14:paraId="6968EFD7" w14:textId="77777777">
      <w:pPr>
        <w:spacing w:line="480" w:lineRule="auto"/>
        <w:ind w:firstLine="720"/>
        <w:rPr>
          <w:szCs w:val="24"/>
        </w:rPr>
      </w:pPr>
      <w:r>
        <w:t xml:space="preserve">Assurances of data privacy and security are documented in the informed consent form (see </w:t>
      </w:r>
      <w:r w:rsidR="000B1048">
        <w:t xml:space="preserve">Appendix </w:t>
      </w:r>
      <w:r w:rsidR="005F28EB">
        <w:t>C</w:t>
      </w:r>
      <w:r>
        <w:t xml:space="preserve">). The study protocol and instruments were reviewed </w:t>
      </w:r>
      <w:r w:rsidR="21020718">
        <w:t>by</w:t>
      </w:r>
      <w:r>
        <w:t xml:space="preserve"> </w:t>
      </w:r>
      <w:r w:rsidR="00CF5867">
        <w:t>Advarra IRB</w:t>
      </w:r>
      <w:r>
        <w:t xml:space="preserve"> (see </w:t>
      </w:r>
      <w:r w:rsidRPr="00B352F4">
        <w:t xml:space="preserve">Appendix </w:t>
      </w:r>
      <w:r w:rsidRPr="00B352F4" w:rsidR="00B352F4">
        <w:t>K</w:t>
      </w:r>
      <w:r w:rsidRPr="00B352F4">
        <w:t>).</w:t>
      </w:r>
      <w:r>
        <w:t xml:space="preserve"> </w:t>
      </w:r>
    </w:p>
    <w:p w:rsidR="00EC7C54" w:rsidP="005709FF" w14:paraId="48DBC813" w14:textId="79481331">
      <w:pPr>
        <w:spacing w:line="480" w:lineRule="auto"/>
        <w:ind w:firstLine="720"/>
        <w:rPr>
          <w:snapToGrid/>
          <w:szCs w:val="24"/>
        </w:rPr>
      </w:pPr>
      <w:r>
        <w:rPr>
          <w:szCs w:val="24"/>
        </w:rPr>
        <w:t xml:space="preserve">Fors Marsh and </w:t>
      </w:r>
      <w:r>
        <w:rPr>
          <w:szCs w:val="24"/>
        </w:rPr>
        <w:t>FSIS will not have access to focus group participants’ personal information. No personally identifying information will be included in the data files delivered to the Agency. In accordance with the Privacy Threshold Analysis, a Privacy Impact Analysis was prepared.</w:t>
      </w:r>
    </w:p>
    <w:p w:rsidR="00EE46C8" w:rsidRPr="00ED52DB" w:rsidP="005709FF" w14:paraId="24E45E16" w14:textId="77777777">
      <w:pPr>
        <w:pStyle w:val="Heading2"/>
        <w:ind w:left="0" w:firstLine="0"/>
        <w:rPr>
          <w:rFonts w:ascii="Times New Roman" w:hAnsi="Times New Roman" w:cs="Times New Roman"/>
        </w:rPr>
      </w:pPr>
      <w:bookmarkStart w:id="8" w:name="_Toc236553884"/>
      <w:r w:rsidRPr="00ED52DB">
        <w:rPr>
          <w:rFonts w:ascii="Times New Roman" w:hAnsi="Times New Roman" w:cs="Times New Roman"/>
        </w:rPr>
        <w:t>A.11.</w:t>
      </w:r>
      <w:r w:rsidRPr="00ED52DB">
        <w:rPr>
          <w:rFonts w:ascii="Times New Roman" w:hAnsi="Times New Roman" w:cs="Times New Roman"/>
        </w:rPr>
        <w:tab/>
        <w:t xml:space="preserve">Justification for </w:t>
      </w:r>
      <w:bookmarkEnd w:id="8"/>
      <w:r w:rsidRPr="00ED52DB">
        <w:rPr>
          <w:rFonts w:ascii="Times New Roman" w:hAnsi="Times New Roman" w:cs="Times New Roman"/>
        </w:rPr>
        <w:t>Questions of Sensitive Nature</w:t>
      </w:r>
    </w:p>
    <w:p w:rsidR="00EE46C8" w:rsidRPr="00ED52DB" w:rsidP="00EE46C8" w14:paraId="67FA2CA9" w14:textId="06E10209">
      <w:pPr>
        <w:pStyle w:val="BodyText1"/>
      </w:pPr>
      <w:r w:rsidRPr="00ED52DB">
        <w:t xml:space="preserve">During the </w:t>
      </w:r>
      <w:r w:rsidR="001D65E8">
        <w:t>interviews</w:t>
      </w:r>
      <w:r w:rsidRPr="00ED52DB">
        <w:t>, participants will not be asked any questions that are personal or sensitive in nature.</w:t>
      </w:r>
    </w:p>
    <w:p w:rsidR="00EE46C8" w:rsidRPr="00ED52DB" w:rsidP="00EE46C8" w14:paraId="039031DB" w14:textId="77777777">
      <w:pPr>
        <w:pStyle w:val="Heading2"/>
        <w:rPr>
          <w:rFonts w:ascii="Times New Roman" w:hAnsi="Times New Roman" w:cs="Times New Roman"/>
        </w:rPr>
      </w:pPr>
      <w:bookmarkStart w:id="9" w:name="_Toc236553886"/>
      <w:r w:rsidRPr="00ED52DB">
        <w:rPr>
          <w:rFonts w:ascii="Times New Roman" w:hAnsi="Times New Roman" w:cs="Times New Roman"/>
        </w:rPr>
        <w:t>A.12.</w:t>
      </w:r>
      <w:r w:rsidRPr="00ED52DB">
        <w:rPr>
          <w:rFonts w:ascii="Times New Roman" w:hAnsi="Times New Roman" w:cs="Times New Roman"/>
        </w:rPr>
        <w:tab/>
        <w:t>Estimates of Respondent Burden</w:t>
      </w:r>
    </w:p>
    <w:p w:rsidR="003B16DE" w:rsidP="00EE46C8" w14:paraId="2754CD42" w14:textId="193CA1C9">
      <w:pPr>
        <w:pStyle w:val="BodyText1"/>
        <w:widowControl w:val="0"/>
      </w:pPr>
      <w:r>
        <w:rPr>
          <w:rStyle w:val="normaltextrun"/>
          <w:color w:val="000000"/>
          <w:shd w:val="clear" w:color="auto" w:fill="FFFFFF"/>
        </w:rPr>
        <w:t>The burden estimate is based on prior experience with interview studies similar to the plan presented in this document.</w:t>
      </w:r>
      <w:r w:rsidRPr="000C33B6">
        <w:t xml:space="preserve"> </w:t>
      </w:r>
      <w:r w:rsidR="00AA3868">
        <w:t>For both series of interviews combined</w:t>
      </w:r>
      <w:r w:rsidRPr="000C33B6" w:rsidR="00EE46C8">
        <w:t xml:space="preserve">, it is expected that </w:t>
      </w:r>
      <w:r w:rsidR="00456651">
        <w:t xml:space="preserve">3050 </w:t>
      </w:r>
      <w:r w:rsidR="00285D9E">
        <w:t xml:space="preserve">individuals </w:t>
      </w:r>
      <w:r w:rsidR="00456651">
        <w:t>will be sent an invitation</w:t>
      </w:r>
      <w:r w:rsidR="00AA3868">
        <w:t xml:space="preserve"> screen</w:t>
      </w:r>
      <w:r w:rsidR="00DA394D">
        <w:t>,</w:t>
      </w:r>
      <w:r w:rsidRPr="00AA3868" w:rsidR="00456651">
        <w:t xml:space="preserve"> </w:t>
      </w:r>
      <w:r w:rsidRPr="00AA3868" w:rsidR="00AB77D8">
        <w:t>1440</w:t>
      </w:r>
      <w:r w:rsidRPr="00AA3868" w:rsidR="00EE46C8">
        <w:t xml:space="preserve"> individuals</w:t>
      </w:r>
      <w:r w:rsidRPr="000C33B6" w:rsidR="00EE46C8">
        <w:t xml:space="preserve"> will complete the screening questionnaire, and it is assumed that </w:t>
      </w:r>
      <w:r w:rsidR="00DA394D">
        <w:t>30</w:t>
      </w:r>
      <w:r w:rsidR="001B3180">
        <w:t xml:space="preserve"> </w:t>
      </w:r>
      <w:r w:rsidRPr="000C33B6" w:rsidR="00EE46C8">
        <w:t>will be eligible</w:t>
      </w:r>
      <w:r w:rsidR="00152545">
        <w:t xml:space="preserve"> (</w:t>
      </w:r>
      <w:r w:rsidR="00DA394D">
        <w:t>15 per series</w:t>
      </w:r>
      <w:r w:rsidR="00152545">
        <w:t>)</w:t>
      </w:r>
      <w:r w:rsidRPr="000C33B6" w:rsidR="00EE46C8">
        <w:t xml:space="preserve"> and subsequently participate in the </w:t>
      </w:r>
      <w:r w:rsidR="001B3180">
        <w:t>interview study</w:t>
      </w:r>
      <w:r w:rsidRPr="000C33B6" w:rsidR="00EE46C8">
        <w:t xml:space="preserve">. Each screening questionnaire is expected to take </w:t>
      </w:r>
      <w:r w:rsidRPr="00FE11BA" w:rsidR="00A3169E">
        <w:t>15</w:t>
      </w:r>
      <w:r w:rsidRPr="00FE11BA" w:rsidR="00EE46C8">
        <w:t xml:space="preserve"> minutes. Taking part in the </w:t>
      </w:r>
      <w:r w:rsidRPr="00FE11BA" w:rsidR="000220BB">
        <w:t>interview discussion</w:t>
      </w:r>
      <w:r w:rsidRPr="00FE11BA" w:rsidR="00EE46C8">
        <w:t xml:space="preserve"> will take a total of </w:t>
      </w:r>
      <w:r w:rsidRPr="00FE11BA" w:rsidR="000220BB">
        <w:t>6</w:t>
      </w:r>
      <w:r w:rsidRPr="00FE11BA" w:rsidR="00EE46C8">
        <w:t xml:space="preserve">0 minutes. </w:t>
      </w:r>
      <w:r w:rsidR="00C460DE">
        <w:t>See t</w:t>
      </w:r>
      <w:r w:rsidRPr="00FE11BA" w:rsidR="00EE46C8">
        <w:t>able</w:t>
      </w:r>
      <w:r w:rsidR="00FE11BA">
        <w:t>s</w:t>
      </w:r>
      <w:r w:rsidRPr="00FE11BA" w:rsidR="00EE46C8">
        <w:t xml:space="preserve"> A</w:t>
      </w:r>
      <w:r w:rsidRPr="00FE11BA" w:rsidR="003F3B3C">
        <w:t>1</w:t>
      </w:r>
      <w:r w:rsidRPr="00FE11BA" w:rsidR="00EE46C8">
        <w:t>2</w:t>
      </w:r>
      <w:r w:rsidRPr="00FE11BA" w:rsidR="003F3B3C">
        <w:t>.1</w:t>
      </w:r>
      <w:r w:rsidRPr="00FE11BA" w:rsidR="00EE46C8">
        <w:t xml:space="preserve"> </w:t>
      </w:r>
      <w:r w:rsidR="00FE11BA">
        <w:t xml:space="preserve">and A12.2 for </w:t>
      </w:r>
      <w:r w:rsidRPr="00FE11BA" w:rsidR="00EE46C8">
        <w:t>details</w:t>
      </w:r>
      <w:r w:rsidR="00FE11BA">
        <w:t xml:space="preserve"> about</w:t>
      </w:r>
      <w:r w:rsidRPr="00FE11BA" w:rsidR="00EE46C8">
        <w:t xml:space="preserve"> the estimated annual reporting burden</w:t>
      </w:r>
      <w:r w:rsidRPr="00FE11BA" w:rsidR="00EE46C8">
        <w:rPr>
          <w:color w:val="000000"/>
        </w:rPr>
        <w:t xml:space="preserve">. </w:t>
      </w:r>
      <w:r w:rsidRPr="00FE11BA" w:rsidR="00EE46C8">
        <w:t xml:space="preserve">For each series of </w:t>
      </w:r>
      <w:r w:rsidRPr="00FE11BA" w:rsidR="000220BB">
        <w:t>1</w:t>
      </w:r>
      <w:r w:rsidRPr="00FE11BA" w:rsidR="005F28EB">
        <w:t>5</w:t>
      </w:r>
      <w:r w:rsidRPr="00FE11BA" w:rsidR="00EE46C8">
        <w:t xml:space="preserve"> </w:t>
      </w:r>
      <w:r w:rsidRPr="00FE11BA" w:rsidR="000220BB">
        <w:t>interviews</w:t>
      </w:r>
      <w:r w:rsidRPr="00FE11BA" w:rsidR="00EE46C8">
        <w:t>, the estimated reporting burden is</w:t>
      </w:r>
      <w:r w:rsidRPr="00FE11BA" w:rsidR="00144C17">
        <w:t xml:space="preserve"> 273.35</w:t>
      </w:r>
      <w:r w:rsidRPr="00FE11BA" w:rsidR="00F14963">
        <w:t xml:space="preserve"> </w:t>
      </w:r>
      <w:r w:rsidRPr="00FE11BA" w:rsidR="00EE46C8">
        <w:t>hours</w:t>
      </w:r>
      <w:r w:rsidR="00A43B42">
        <w:t>.</w:t>
      </w:r>
      <w:r w:rsidRPr="00FE11BA" w:rsidR="00144C17">
        <w:t xml:space="preserve"> </w:t>
      </w:r>
      <w:r w:rsidR="00A43B42">
        <w:t>Therefore, the</w:t>
      </w:r>
      <w:r w:rsidRPr="00FE11BA" w:rsidR="00144C17">
        <w:t xml:space="preserve"> total burden </w:t>
      </w:r>
      <w:r w:rsidR="00A43B42">
        <w:t>would be</w:t>
      </w:r>
      <w:r w:rsidRPr="00FE11BA" w:rsidR="00144C17">
        <w:t xml:space="preserve"> 546.7 hours</w:t>
      </w:r>
      <w:r w:rsidRPr="00FE11BA" w:rsidR="008D63BB">
        <w:t xml:space="preserve"> across both series of interviews.</w:t>
      </w:r>
      <w:r w:rsidR="008D63BB">
        <w:t xml:space="preserve"> </w:t>
      </w:r>
      <w:r w:rsidR="00144C17">
        <w:t xml:space="preserve"> </w:t>
      </w:r>
    </w:p>
    <w:p w:rsidR="00EE46C8" w:rsidRPr="00ED52DB" w:rsidP="008D63BB" w14:paraId="09DBCA6A" w14:textId="6ADD0494">
      <w:pPr>
        <w:pStyle w:val="BodyText1"/>
        <w:widowControl w:val="0"/>
        <w:ind w:firstLine="0"/>
        <w:jc w:val="center"/>
        <w:rPr>
          <w:color w:val="000000"/>
        </w:rPr>
      </w:pPr>
      <w:r w:rsidRPr="00ED52DB">
        <w:rPr>
          <w:b/>
          <w:bCs/>
        </w:rPr>
        <w:t>Table A</w:t>
      </w:r>
      <w:r w:rsidR="004039F5">
        <w:rPr>
          <w:b/>
          <w:bCs/>
        </w:rPr>
        <w:t>12.1</w:t>
      </w:r>
      <w:r w:rsidRPr="00ED52DB">
        <w:rPr>
          <w:b/>
          <w:bCs/>
        </w:rPr>
        <w:t>. Estimated Annual Reporting Burden</w:t>
      </w:r>
      <w:r w:rsidRPr="00ED52DB">
        <w:rPr>
          <w:color w:val="000000"/>
        </w:rPr>
        <w:t xml:space="preserve"> </w:t>
      </w:r>
      <w:r w:rsidRPr="00ED52DB">
        <w:rPr>
          <w:b/>
          <w:color w:val="000000"/>
        </w:rPr>
        <w:t>for</w:t>
      </w:r>
      <w:r w:rsidR="008C5771">
        <w:rPr>
          <w:b/>
          <w:color w:val="000000"/>
        </w:rPr>
        <w:t xml:space="preserve"> Both</w:t>
      </w:r>
      <w:r w:rsidRPr="00ED52DB">
        <w:rPr>
          <w:b/>
          <w:color w:val="000000"/>
        </w:rPr>
        <w:t xml:space="preserve"> Series </w:t>
      </w:r>
      <w:r w:rsidR="0048325A">
        <w:rPr>
          <w:b/>
          <w:color w:val="000000"/>
        </w:rPr>
        <w:t>of Interviews</w:t>
      </w:r>
    </w:p>
    <w:tbl>
      <w:tblPr>
        <w:tblW w:w="9795" w:type="dxa"/>
        <w:tblBorders>
          <w:top w:val="single" w:sz="12" w:space="0" w:color="auto"/>
          <w:bottom w:val="single" w:sz="12" w:space="0" w:color="auto"/>
        </w:tblBorders>
        <w:tblLayout w:type="fixed"/>
        <w:tblLook w:val="0000"/>
      </w:tblPr>
      <w:tblGrid>
        <w:gridCol w:w="1807"/>
        <w:gridCol w:w="2603"/>
        <w:gridCol w:w="1170"/>
        <w:gridCol w:w="1440"/>
        <w:gridCol w:w="1657"/>
        <w:gridCol w:w="1118"/>
      </w:tblGrid>
      <w:tr w14:paraId="2E4EF1A5" w14:textId="77777777" w:rsidTr="00464213">
        <w:tblPrEx>
          <w:tblW w:w="9795" w:type="dxa"/>
          <w:tblBorders>
            <w:top w:val="single" w:sz="12" w:space="0" w:color="auto"/>
            <w:bottom w:val="single" w:sz="12" w:space="0" w:color="auto"/>
          </w:tblBorders>
          <w:tblLayout w:type="fixed"/>
          <w:tblLook w:val="0000"/>
        </w:tblPrEx>
        <w:trPr>
          <w:trHeight w:val="449"/>
        </w:trPr>
        <w:tc>
          <w:tcPr>
            <w:tcW w:w="1807" w:type="dxa"/>
            <w:tcBorders>
              <w:top w:val="single" w:sz="12" w:space="0" w:color="auto"/>
              <w:bottom w:val="single" w:sz="4" w:space="0" w:color="auto"/>
            </w:tcBorders>
            <w:shd w:val="clear" w:color="auto" w:fill="auto"/>
            <w:vAlign w:val="bottom"/>
          </w:tcPr>
          <w:p w:rsidR="002E2923" w:rsidRPr="00115681" w:rsidP="00E13F2D" w14:paraId="4FF0F117" w14:textId="77777777">
            <w:pPr>
              <w:pStyle w:val="Tabletext"/>
              <w:spacing w:before="40" w:after="40"/>
              <w:jc w:val="center"/>
              <w:rPr>
                <w:rFonts w:eastAsia="SimSun"/>
                <w:b/>
                <w:lang w:eastAsia="zh-CN"/>
              </w:rPr>
            </w:pPr>
            <w:r w:rsidRPr="00115681">
              <w:rPr>
                <w:rFonts w:eastAsia="SimSun"/>
                <w:b/>
                <w:lang w:eastAsia="zh-CN"/>
              </w:rPr>
              <w:t>Portion of Study</w:t>
            </w:r>
          </w:p>
        </w:tc>
        <w:tc>
          <w:tcPr>
            <w:tcW w:w="2603" w:type="dxa"/>
            <w:tcBorders>
              <w:top w:val="single" w:sz="12" w:space="0" w:color="auto"/>
              <w:bottom w:val="single" w:sz="4" w:space="0" w:color="auto"/>
            </w:tcBorders>
          </w:tcPr>
          <w:p w:rsidR="002E2923" w:rsidP="00E13F2D" w14:paraId="2B3BCD5B" w14:textId="77777777">
            <w:pPr>
              <w:pStyle w:val="Tabletext"/>
              <w:spacing w:before="40" w:after="40"/>
              <w:jc w:val="center"/>
              <w:rPr>
                <w:rFonts w:eastAsia="SimSun"/>
                <w:b/>
                <w:lang w:eastAsia="zh-CN"/>
              </w:rPr>
            </w:pPr>
          </w:p>
          <w:p w:rsidR="002E2923" w:rsidRPr="00115681" w:rsidP="00E13F2D" w14:paraId="543F4B87" w14:textId="6A6E7999">
            <w:pPr>
              <w:pStyle w:val="Tabletext"/>
              <w:spacing w:before="40" w:after="40"/>
              <w:jc w:val="center"/>
              <w:rPr>
                <w:rFonts w:eastAsia="SimSun"/>
                <w:b/>
                <w:lang w:eastAsia="zh-CN"/>
              </w:rPr>
            </w:pPr>
            <w:r>
              <w:rPr>
                <w:rFonts w:eastAsia="SimSun"/>
                <w:b/>
                <w:lang w:eastAsia="zh-CN"/>
              </w:rPr>
              <w:t>Description</w:t>
            </w:r>
          </w:p>
        </w:tc>
        <w:tc>
          <w:tcPr>
            <w:tcW w:w="1170" w:type="dxa"/>
            <w:tcBorders>
              <w:top w:val="single" w:sz="12" w:space="0" w:color="auto"/>
              <w:bottom w:val="single" w:sz="4" w:space="0" w:color="auto"/>
            </w:tcBorders>
            <w:shd w:val="clear" w:color="auto" w:fill="auto"/>
            <w:vAlign w:val="bottom"/>
          </w:tcPr>
          <w:p w:rsidR="002E2923" w:rsidRPr="00115681" w:rsidP="00E13F2D" w14:paraId="695DDC1D" w14:textId="59826ACB">
            <w:pPr>
              <w:pStyle w:val="Tabletext"/>
              <w:spacing w:before="40" w:after="40"/>
              <w:jc w:val="center"/>
              <w:rPr>
                <w:rFonts w:eastAsia="SimSun"/>
                <w:b/>
                <w:lang w:eastAsia="zh-CN"/>
              </w:rPr>
            </w:pPr>
            <w:r w:rsidRPr="00115681">
              <w:rPr>
                <w:rFonts w:eastAsia="SimSun"/>
                <w:b/>
                <w:lang w:eastAsia="zh-CN"/>
              </w:rPr>
              <w:t xml:space="preserve">No. of </w:t>
            </w:r>
            <w:r w:rsidR="00464213">
              <w:rPr>
                <w:rFonts w:eastAsia="SimSun"/>
                <w:b/>
                <w:lang w:eastAsia="zh-CN"/>
              </w:rPr>
              <w:t>People Involved</w:t>
            </w:r>
          </w:p>
        </w:tc>
        <w:tc>
          <w:tcPr>
            <w:tcW w:w="1440" w:type="dxa"/>
            <w:tcBorders>
              <w:top w:val="single" w:sz="12" w:space="0" w:color="auto"/>
              <w:bottom w:val="single" w:sz="4" w:space="0" w:color="auto"/>
            </w:tcBorders>
            <w:shd w:val="clear" w:color="auto" w:fill="auto"/>
            <w:vAlign w:val="bottom"/>
          </w:tcPr>
          <w:p w:rsidR="002E2923" w:rsidRPr="00115681" w:rsidP="00E13F2D" w14:paraId="50D23FCB" w14:textId="77777777">
            <w:pPr>
              <w:pStyle w:val="Tabletext"/>
              <w:spacing w:before="40" w:after="40"/>
              <w:jc w:val="center"/>
              <w:rPr>
                <w:rFonts w:eastAsia="SimSun"/>
                <w:b/>
                <w:lang w:eastAsia="zh-CN"/>
              </w:rPr>
            </w:pPr>
            <w:r w:rsidRPr="00115681">
              <w:rPr>
                <w:rFonts w:eastAsia="SimSun"/>
                <w:b/>
                <w:lang w:eastAsia="zh-CN"/>
              </w:rPr>
              <w:t>Annual Frequency per Response</w:t>
            </w:r>
          </w:p>
        </w:tc>
        <w:tc>
          <w:tcPr>
            <w:tcW w:w="1657" w:type="dxa"/>
            <w:tcBorders>
              <w:top w:val="single" w:sz="12" w:space="0" w:color="auto"/>
              <w:bottom w:val="single" w:sz="4" w:space="0" w:color="auto"/>
            </w:tcBorders>
            <w:shd w:val="clear" w:color="auto" w:fill="auto"/>
            <w:vAlign w:val="bottom"/>
          </w:tcPr>
          <w:p w:rsidR="002E2923" w:rsidRPr="00115681" w:rsidP="00E13F2D" w14:paraId="1387C17D" w14:textId="77777777">
            <w:pPr>
              <w:pStyle w:val="Tabletext"/>
              <w:spacing w:before="40" w:after="40"/>
              <w:jc w:val="center"/>
              <w:rPr>
                <w:rFonts w:eastAsia="SimSun"/>
                <w:b/>
                <w:lang w:eastAsia="zh-CN"/>
              </w:rPr>
            </w:pPr>
            <w:r w:rsidRPr="00115681">
              <w:rPr>
                <w:rFonts w:eastAsia="SimSun"/>
                <w:b/>
                <w:lang w:eastAsia="zh-CN"/>
              </w:rPr>
              <w:t>Hours per Response</w:t>
            </w:r>
          </w:p>
        </w:tc>
        <w:tc>
          <w:tcPr>
            <w:tcW w:w="1118" w:type="dxa"/>
            <w:tcBorders>
              <w:top w:val="single" w:sz="12" w:space="0" w:color="auto"/>
              <w:bottom w:val="single" w:sz="4" w:space="0" w:color="auto"/>
            </w:tcBorders>
            <w:shd w:val="clear" w:color="auto" w:fill="auto"/>
            <w:vAlign w:val="bottom"/>
          </w:tcPr>
          <w:p w:rsidR="002E2923" w:rsidRPr="00115681" w:rsidP="00E13F2D" w14:paraId="5A168DE8" w14:textId="77777777">
            <w:pPr>
              <w:pStyle w:val="Tabletext"/>
              <w:spacing w:before="40" w:after="40"/>
              <w:jc w:val="center"/>
              <w:rPr>
                <w:rFonts w:eastAsia="SimSun"/>
                <w:b/>
                <w:lang w:eastAsia="zh-CN"/>
              </w:rPr>
            </w:pPr>
            <w:r w:rsidRPr="00115681">
              <w:rPr>
                <w:rFonts w:eastAsia="SimSun"/>
                <w:b/>
                <w:lang w:eastAsia="zh-CN"/>
              </w:rPr>
              <w:t>Total Hours</w:t>
            </w:r>
          </w:p>
        </w:tc>
      </w:tr>
      <w:tr w14:paraId="53902322" w14:textId="77777777" w:rsidTr="00464213">
        <w:tblPrEx>
          <w:tblW w:w="9795" w:type="dxa"/>
          <w:tblLayout w:type="fixed"/>
          <w:tblLook w:val="0000"/>
        </w:tblPrEx>
        <w:trPr>
          <w:trHeight w:val="593"/>
        </w:trPr>
        <w:tc>
          <w:tcPr>
            <w:tcW w:w="1807" w:type="dxa"/>
            <w:tcBorders>
              <w:top w:val="single" w:sz="4" w:space="0" w:color="auto"/>
            </w:tcBorders>
            <w:shd w:val="clear" w:color="auto" w:fill="auto"/>
          </w:tcPr>
          <w:p w:rsidR="002E2923" w:rsidRPr="00ED52DB" w:rsidP="00E13F2D" w14:paraId="25992427" w14:textId="0BCF21F8">
            <w:pPr>
              <w:pStyle w:val="Tabletext"/>
              <w:spacing w:before="40" w:after="40"/>
              <w:jc w:val="center"/>
              <w:rPr>
                <w:rFonts w:eastAsia="SimSun"/>
                <w:lang w:eastAsia="zh-CN"/>
              </w:rPr>
            </w:pPr>
            <w:r w:rsidRPr="00ED52DB">
              <w:rPr>
                <w:rFonts w:eastAsia="SimSun"/>
                <w:lang w:eastAsia="zh-CN"/>
              </w:rPr>
              <w:t xml:space="preserve">Screening </w:t>
            </w:r>
            <w:r>
              <w:rPr>
                <w:rFonts w:eastAsia="SimSun"/>
                <w:lang w:eastAsia="zh-CN"/>
              </w:rPr>
              <w:t>Invitation</w:t>
            </w:r>
          </w:p>
        </w:tc>
        <w:tc>
          <w:tcPr>
            <w:tcW w:w="2603" w:type="dxa"/>
            <w:tcBorders>
              <w:top w:val="single" w:sz="4" w:space="0" w:color="auto"/>
            </w:tcBorders>
          </w:tcPr>
          <w:p w:rsidR="002E2923" w:rsidP="00E13F2D" w14:paraId="14A585BA" w14:textId="61E55FBC">
            <w:pPr>
              <w:pStyle w:val="Tabletext"/>
              <w:spacing w:before="40" w:after="40"/>
              <w:jc w:val="center"/>
              <w:rPr>
                <w:rFonts w:eastAsia="SimSun"/>
                <w:lang w:eastAsia="zh-CN"/>
              </w:rPr>
            </w:pPr>
            <w:r>
              <w:rPr>
                <w:rFonts w:eastAsia="SimSun"/>
                <w:lang w:eastAsia="zh-CN"/>
              </w:rPr>
              <w:t>Number of individuals invited to screen</w:t>
            </w:r>
            <w:r w:rsidR="00144C17">
              <w:rPr>
                <w:rFonts w:eastAsia="SimSun"/>
                <w:lang w:eastAsia="zh-CN"/>
              </w:rPr>
              <w:t xml:space="preserve"> in series 1 &amp; 2 combined</w:t>
            </w:r>
          </w:p>
        </w:tc>
        <w:tc>
          <w:tcPr>
            <w:tcW w:w="1170" w:type="dxa"/>
            <w:tcBorders>
              <w:top w:val="single" w:sz="4" w:space="0" w:color="auto"/>
            </w:tcBorders>
            <w:shd w:val="clear" w:color="auto" w:fill="auto"/>
          </w:tcPr>
          <w:p w:rsidR="002E2923" w:rsidRPr="00ED52DB" w:rsidP="00E13F2D" w14:paraId="7F0CC481" w14:textId="35799713">
            <w:pPr>
              <w:pStyle w:val="Tabletext"/>
              <w:spacing w:before="40" w:after="40"/>
              <w:jc w:val="center"/>
              <w:rPr>
                <w:rFonts w:eastAsia="SimSun"/>
                <w:lang w:eastAsia="zh-CN"/>
              </w:rPr>
            </w:pPr>
            <w:r>
              <w:rPr>
                <w:rFonts w:eastAsia="SimSun"/>
                <w:lang w:eastAsia="zh-CN"/>
              </w:rPr>
              <w:t>3050</w:t>
            </w:r>
          </w:p>
        </w:tc>
        <w:tc>
          <w:tcPr>
            <w:tcW w:w="1440" w:type="dxa"/>
            <w:tcBorders>
              <w:top w:val="single" w:sz="4" w:space="0" w:color="auto"/>
            </w:tcBorders>
            <w:shd w:val="clear" w:color="auto" w:fill="auto"/>
          </w:tcPr>
          <w:p w:rsidR="002E2923" w:rsidRPr="00ED52DB" w:rsidP="00E13F2D" w14:paraId="27DB8EFD" w14:textId="77777777">
            <w:pPr>
              <w:pStyle w:val="Tabletext"/>
              <w:spacing w:before="40" w:after="40"/>
              <w:jc w:val="center"/>
              <w:rPr>
                <w:rFonts w:eastAsia="SimSun"/>
                <w:lang w:eastAsia="zh-CN"/>
              </w:rPr>
            </w:pPr>
            <w:r w:rsidRPr="00ED52DB">
              <w:rPr>
                <w:rFonts w:eastAsia="SimSun"/>
                <w:lang w:eastAsia="zh-CN"/>
              </w:rPr>
              <w:t>1</w:t>
            </w:r>
          </w:p>
        </w:tc>
        <w:tc>
          <w:tcPr>
            <w:tcW w:w="1657" w:type="dxa"/>
            <w:tcBorders>
              <w:top w:val="single" w:sz="4" w:space="0" w:color="auto"/>
            </w:tcBorders>
            <w:shd w:val="clear" w:color="auto" w:fill="auto"/>
          </w:tcPr>
          <w:p w:rsidR="002E2923" w:rsidRPr="008D305C" w:rsidP="00E13F2D" w14:paraId="55D42553" w14:textId="09C34529">
            <w:pPr>
              <w:pStyle w:val="Tabletext"/>
              <w:spacing w:before="40" w:after="40"/>
              <w:jc w:val="center"/>
              <w:rPr>
                <w:rFonts w:eastAsia="SimSun"/>
                <w:lang w:eastAsia="zh-CN"/>
              </w:rPr>
            </w:pPr>
            <w:r w:rsidRPr="008D305C">
              <w:rPr>
                <w:rFonts w:eastAsia="SimSun"/>
                <w:lang w:eastAsia="zh-CN"/>
              </w:rPr>
              <w:t>.</w:t>
            </w:r>
            <w:r>
              <w:rPr>
                <w:rFonts w:eastAsia="SimSun"/>
                <w:lang w:eastAsia="zh-CN"/>
              </w:rPr>
              <w:t>05</w:t>
            </w:r>
            <w:r w:rsidRPr="008D305C">
              <w:rPr>
                <w:rFonts w:eastAsia="SimSun"/>
                <w:lang w:eastAsia="zh-CN"/>
              </w:rPr>
              <w:t xml:space="preserve"> (</w:t>
            </w:r>
            <w:r>
              <w:rPr>
                <w:rFonts w:eastAsia="SimSun"/>
                <w:lang w:eastAsia="zh-CN"/>
              </w:rPr>
              <w:t>3</w:t>
            </w:r>
            <w:r w:rsidRPr="008D305C">
              <w:rPr>
                <w:rFonts w:eastAsia="SimSun"/>
                <w:lang w:eastAsia="zh-CN"/>
              </w:rPr>
              <w:t xml:space="preserve"> minutes)</w:t>
            </w:r>
          </w:p>
        </w:tc>
        <w:tc>
          <w:tcPr>
            <w:tcW w:w="1118" w:type="dxa"/>
            <w:tcBorders>
              <w:top w:val="single" w:sz="4" w:space="0" w:color="auto"/>
            </w:tcBorders>
            <w:shd w:val="clear" w:color="auto" w:fill="auto"/>
          </w:tcPr>
          <w:p w:rsidR="002E2923" w:rsidRPr="00ED52DB" w:rsidP="00E13F2D" w14:paraId="46A8C4BB" w14:textId="04E90738">
            <w:pPr>
              <w:pStyle w:val="Tabletext"/>
              <w:spacing w:before="40" w:after="40"/>
              <w:jc w:val="center"/>
              <w:rPr>
                <w:rFonts w:eastAsia="SimSun"/>
                <w:lang w:eastAsia="zh-CN"/>
              </w:rPr>
            </w:pPr>
            <w:r>
              <w:rPr>
                <w:rFonts w:eastAsia="SimSun"/>
                <w:lang w:eastAsia="zh-CN"/>
              </w:rPr>
              <w:t>152.5</w:t>
            </w:r>
          </w:p>
        </w:tc>
      </w:tr>
      <w:tr w14:paraId="3EEC92A9" w14:textId="77777777" w:rsidTr="00464213">
        <w:tblPrEx>
          <w:tblW w:w="9795" w:type="dxa"/>
          <w:tblLayout w:type="fixed"/>
          <w:tblLook w:val="0000"/>
        </w:tblPrEx>
        <w:trPr>
          <w:trHeight w:val="593"/>
        </w:trPr>
        <w:tc>
          <w:tcPr>
            <w:tcW w:w="1807" w:type="dxa"/>
            <w:tcBorders>
              <w:top w:val="single" w:sz="4" w:space="0" w:color="auto"/>
            </w:tcBorders>
            <w:shd w:val="clear" w:color="auto" w:fill="auto"/>
          </w:tcPr>
          <w:p w:rsidR="002E2923" w:rsidRPr="00ED52DB" w:rsidP="00E13F2D" w14:paraId="7940FBF2" w14:textId="6B026057">
            <w:pPr>
              <w:pStyle w:val="Tabletext"/>
              <w:spacing w:before="40" w:after="40"/>
              <w:jc w:val="center"/>
              <w:rPr>
                <w:rFonts w:eastAsia="SimSun"/>
                <w:lang w:eastAsia="zh-CN"/>
              </w:rPr>
            </w:pPr>
            <w:r w:rsidRPr="00ED52DB">
              <w:rPr>
                <w:rFonts w:eastAsia="SimSun"/>
                <w:lang w:eastAsia="zh-CN"/>
              </w:rPr>
              <w:t xml:space="preserve">Screening </w:t>
            </w:r>
            <w:r>
              <w:rPr>
                <w:rFonts w:eastAsia="SimSun"/>
                <w:lang w:eastAsia="zh-CN"/>
              </w:rPr>
              <w:t>Questionnaire</w:t>
            </w:r>
          </w:p>
        </w:tc>
        <w:tc>
          <w:tcPr>
            <w:tcW w:w="2603" w:type="dxa"/>
            <w:tcBorders>
              <w:top w:val="single" w:sz="4" w:space="0" w:color="auto"/>
            </w:tcBorders>
          </w:tcPr>
          <w:p w:rsidR="002E2923" w:rsidP="00E13F2D" w14:paraId="390A7455" w14:textId="7DE9B135">
            <w:pPr>
              <w:pStyle w:val="Tabletext"/>
              <w:spacing w:before="40" w:after="40"/>
              <w:jc w:val="center"/>
              <w:rPr>
                <w:rFonts w:eastAsia="SimSun"/>
                <w:lang w:eastAsia="zh-CN"/>
              </w:rPr>
            </w:pPr>
            <w:r>
              <w:rPr>
                <w:rFonts w:eastAsia="SimSun"/>
                <w:lang w:eastAsia="zh-CN"/>
              </w:rPr>
              <w:t>Number of individuals who accept individuals to screen</w:t>
            </w:r>
            <w:r w:rsidR="00144C17">
              <w:rPr>
                <w:rFonts w:eastAsia="SimSun"/>
                <w:lang w:eastAsia="zh-CN"/>
              </w:rPr>
              <w:t xml:space="preserve"> in series 1 &amp; 2 combined</w:t>
            </w:r>
          </w:p>
        </w:tc>
        <w:tc>
          <w:tcPr>
            <w:tcW w:w="1170" w:type="dxa"/>
            <w:tcBorders>
              <w:top w:val="single" w:sz="4" w:space="0" w:color="auto"/>
            </w:tcBorders>
            <w:shd w:val="clear" w:color="auto" w:fill="auto"/>
          </w:tcPr>
          <w:p w:rsidR="002E2923" w:rsidP="00E13F2D" w14:paraId="4D0E6DA5" w14:textId="6ED9EA9D">
            <w:pPr>
              <w:pStyle w:val="Tabletext"/>
              <w:spacing w:before="40" w:after="40"/>
              <w:jc w:val="center"/>
              <w:rPr>
                <w:rFonts w:eastAsia="SimSun"/>
                <w:lang w:eastAsia="zh-CN"/>
              </w:rPr>
            </w:pPr>
            <w:r>
              <w:rPr>
                <w:rFonts w:eastAsia="SimSun"/>
                <w:lang w:eastAsia="zh-CN"/>
              </w:rPr>
              <w:t>1440</w:t>
            </w:r>
          </w:p>
        </w:tc>
        <w:tc>
          <w:tcPr>
            <w:tcW w:w="1440" w:type="dxa"/>
            <w:tcBorders>
              <w:top w:val="single" w:sz="4" w:space="0" w:color="auto"/>
            </w:tcBorders>
            <w:shd w:val="clear" w:color="auto" w:fill="auto"/>
          </w:tcPr>
          <w:p w:rsidR="002E2923" w:rsidRPr="00ED52DB" w:rsidP="00E13F2D" w14:paraId="3D914129" w14:textId="43EA333B">
            <w:pPr>
              <w:pStyle w:val="Tabletext"/>
              <w:spacing w:before="40" w:after="40"/>
              <w:jc w:val="center"/>
              <w:rPr>
                <w:rFonts w:eastAsia="SimSun"/>
                <w:lang w:eastAsia="zh-CN"/>
              </w:rPr>
            </w:pPr>
            <w:r>
              <w:rPr>
                <w:rFonts w:eastAsia="SimSun"/>
                <w:lang w:eastAsia="zh-CN"/>
              </w:rPr>
              <w:t>1</w:t>
            </w:r>
          </w:p>
        </w:tc>
        <w:tc>
          <w:tcPr>
            <w:tcW w:w="1657" w:type="dxa"/>
            <w:tcBorders>
              <w:top w:val="single" w:sz="4" w:space="0" w:color="auto"/>
            </w:tcBorders>
            <w:shd w:val="clear" w:color="auto" w:fill="auto"/>
          </w:tcPr>
          <w:p w:rsidR="002E2923" w:rsidRPr="008D305C" w:rsidP="00E13F2D" w14:paraId="087DA328" w14:textId="5A1A7288">
            <w:pPr>
              <w:pStyle w:val="Tabletext"/>
              <w:spacing w:before="40" w:after="40"/>
              <w:jc w:val="center"/>
              <w:rPr>
                <w:rFonts w:eastAsia="SimSun"/>
                <w:lang w:eastAsia="zh-CN"/>
              </w:rPr>
            </w:pPr>
            <w:r>
              <w:rPr>
                <w:rFonts w:eastAsia="SimSun"/>
                <w:lang w:eastAsia="zh-CN"/>
              </w:rPr>
              <w:t>.</w:t>
            </w:r>
            <w:r w:rsidRPr="008D305C">
              <w:rPr>
                <w:rFonts w:eastAsia="SimSun"/>
                <w:lang w:eastAsia="zh-CN"/>
              </w:rPr>
              <w:t>25 (</w:t>
            </w:r>
            <w:r>
              <w:rPr>
                <w:rFonts w:eastAsia="SimSun"/>
                <w:lang w:eastAsia="zh-CN"/>
              </w:rPr>
              <w:t>15</w:t>
            </w:r>
            <w:r w:rsidRPr="008D305C">
              <w:rPr>
                <w:rFonts w:eastAsia="SimSun"/>
                <w:lang w:eastAsia="zh-CN"/>
              </w:rPr>
              <w:t xml:space="preserve"> minutes)</w:t>
            </w:r>
          </w:p>
        </w:tc>
        <w:tc>
          <w:tcPr>
            <w:tcW w:w="1118" w:type="dxa"/>
            <w:tcBorders>
              <w:top w:val="single" w:sz="4" w:space="0" w:color="auto"/>
            </w:tcBorders>
            <w:shd w:val="clear" w:color="auto" w:fill="auto"/>
          </w:tcPr>
          <w:p w:rsidR="002E2923" w:rsidP="00D11673" w14:paraId="56E8E02A" w14:textId="3668F248">
            <w:pPr>
              <w:pStyle w:val="Tabletext"/>
              <w:spacing w:before="40" w:after="40"/>
              <w:rPr>
                <w:rFonts w:eastAsia="SimSun"/>
                <w:lang w:eastAsia="zh-CN"/>
              </w:rPr>
            </w:pPr>
            <w:r>
              <w:rPr>
                <w:rFonts w:eastAsia="SimSun"/>
                <w:lang w:eastAsia="zh-CN"/>
              </w:rPr>
              <w:t xml:space="preserve">    360</w:t>
            </w:r>
          </w:p>
        </w:tc>
      </w:tr>
      <w:tr w14:paraId="07431965" w14:textId="77777777" w:rsidTr="00464213">
        <w:tblPrEx>
          <w:tblW w:w="9795" w:type="dxa"/>
          <w:tblLayout w:type="fixed"/>
          <w:tblLook w:val="0000"/>
        </w:tblPrEx>
        <w:trPr>
          <w:trHeight w:val="593"/>
        </w:trPr>
        <w:tc>
          <w:tcPr>
            <w:tcW w:w="1807" w:type="dxa"/>
            <w:tcBorders>
              <w:top w:val="single" w:sz="4" w:space="0" w:color="auto"/>
            </w:tcBorders>
            <w:shd w:val="clear" w:color="auto" w:fill="auto"/>
          </w:tcPr>
          <w:p w:rsidR="002E2923" w:rsidRPr="00ED52DB" w:rsidP="00E13F2D" w14:paraId="14B933A6" w14:textId="66FCCCDF">
            <w:pPr>
              <w:pStyle w:val="Tabletext"/>
              <w:spacing w:before="40" w:after="40"/>
              <w:jc w:val="center"/>
              <w:rPr>
                <w:rFonts w:eastAsia="SimSun"/>
                <w:lang w:eastAsia="zh-CN"/>
              </w:rPr>
            </w:pPr>
            <w:r>
              <w:rPr>
                <w:rFonts w:eastAsia="SimSun"/>
                <w:lang w:eastAsia="zh-CN"/>
              </w:rPr>
              <w:t>Interview Invitation</w:t>
            </w:r>
          </w:p>
        </w:tc>
        <w:tc>
          <w:tcPr>
            <w:tcW w:w="2603" w:type="dxa"/>
            <w:tcBorders>
              <w:top w:val="single" w:sz="4" w:space="0" w:color="auto"/>
            </w:tcBorders>
          </w:tcPr>
          <w:p w:rsidR="002E2923" w:rsidP="00E13F2D" w14:paraId="33FB2C8D" w14:textId="4A3293A1">
            <w:pPr>
              <w:pStyle w:val="Tabletext"/>
              <w:spacing w:before="40" w:after="40"/>
              <w:jc w:val="center"/>
              <w:rPr>
                <w:rFonts w:eastAsia="SimSun"/>
                <w:lang w:eastAsia="zh-CN"/>
              </w:rPr>
            </w:pPr>
            <w:r>
              <w:rPr>
                <w:rFonts w:eastAsia="SimSun"/>
                <w:lang w:eastAsia="zh-CN"/>
              </w:rPr>
              <w:t>Number of individuals who pass screener and invited to interview</w:t>
            </w:r>
            <w:r w:rsidR="00144C17">
              <w:rPr>
                <w:rFonts w:eastAsia="SimSun"/>
                <w:lang w:eastAsia="zh-CN"/>
              </w:rPr>
              <w:t xml:space="preserve"> in series 1 &amp; 2 combined</w:t>
            </w:r>
          </w:p>
        </w:tc>
        <w:tc>
          <w:tcPr>
            <w:tcW w:w="1170" w:type="dxa"/>
            <w:tcBorders>
              <w:top w:val="single" w:sz="4" w:space="0" w:color="auto"/>
            </w:tcBorders>
            <w:shd w:val="clear" w:color="auto" w:fill="auto"/>
          </w:tcPr>
          <w:p w:rsidR="002E2923" w:rsidP="00E13F2D" w14:paraId="1FFF128A" w14:textId="0FB52939">
            <w:pPr>
              <w:pStyle w:val="Tabletext"/>
              <w:spacing w:before="40" w:after="40"/>
              <w:jc w:val="center"/>
              <w:rPr>
                <w:rFonts w:eastAsia="SimSun"/>
                <w:lang w:eastAsia="zh-CN"/>
              </w:rPr>
            </w:pPr>
            <w:r>
              <w:rPr>
                <w:rFonts w:eastAsia="SimSun"/>
                <w:lang w:eastAsia="zh-CN"/>
              </w:rPr>
              <w:t>36</w:t>
            </w:r>
          </w:p>
        </w:tc>
        <w:tc>
          <w:tcPr>
            <w:tcW w:w="1440" w:type="dxa"/>
            <w:tcBorders>
              <w:top w:val="single" w:sz="4" w:space="0" w:color="auto"/>
            </w:tcBorders>
            <w:shd w:val="clear" w:color="auto" w:fill="auto"/>
          </w:tcPr>
          <w:p w:rsidR="002E2923" w:rsidRPr="00ED52DB" w:rsidP="00E13F2D" w14:paraId="17770A8F" w14:textId="057E966E">
            <w:pPr>
              <w:pStyle w:val="Tabletext"/>
              <w:spacing w:before="40" w:after="40"/>
              <w:jc w:val="center"/>
              <w:rPr>
                <w:rFonts w:eastAsia="SimSun"/>
                <w:lang w:eastAsia="zh-CN"/>
              </w:rPr>
            </w:pPr>
            <w:r>
              <w:rPr>
                <w:rFonts w:eastAsia="SimSun"/>
                <w:lang w:eastAsia="zh-CN"/>
              </w:rPr>
              <w:t>1</w:t>
            </w:r>
          </w:p>
        </w:tc>
        <w:tc>
          <w:tcPr>
            <w:tcW w:w="1657" w:type="dxa"/>
            <w:tcBorders>
              <w:top w:val="single" w:sz="4" w:space="0" w:color="auto"/>
            </w:tcBorders>
            <w:shd w:val="clear" w:color="auto" w:fill="auto"/>
          </w:tcPr>
          <w:p w:rsidR="002E2923" w:rsidRPr="008D305C" w:rsidP="00E13F2D" w14:paraId="4CDCBBEF" w14:textId="5B0589E4">
            <w:pPr>
              <w:pStyle w:val="Tabletext"/>
              <w:spacing w:before="40" w:after="40"/>
              <w:jc w:val="center"/>
              <w:rPr>
                <w:rFonts w:eastAsia="SimSun"/>
                <w:lang w:eastAsia="zh-CN"/>
              </w:rPr>
            </w:pPr>
            <w:r>
              <w:rPr>
                <w:rFonts w:eastAsia="SimSun"/>
                <w:lang w:eastAsia="zh-CN"/>
              </w:rPr>
              <w:t>.12 (7 minutes)</w:t>
            </w:r>
          </w:p>
        </w:tc>
        <w:tc>
          <w:tcPr>
            <w:tcW w:w="1118" w:type="dxa"/>
            <w:tcBorders>
              <w:top w:val="single" w:sz="4" w:space="0" w:color="auto"/>
            </w:tcBorders>
            <w:shd w:val="clear" w:color="auto" w:fill="auto"/>
          </w:tcPr>
          <w:p w:rsidR="002E2923" w:rsidP="00E13F2D" w14:paraId="4B228B34" w14:textId="0157B925">
            <w:pPr>
              <w:pStyle w:val="Tabletext"/>
              <w:spacing w:before="40" w:after="40"/>
              <w:jc w:val="center"/>
              <w:rPr>
                <w:rFonts w:eastAsia="SimSun"/>
                <w:lang w:eastAsia="zh-CN"/>
              </w:rPr>
            </w:pPr>
            <w:r>
              <w:rPr>
                <w:rFonts w:eastAsia="SimSun"/>
                <w:lang w:eastAsia="zh-CN"/>
              </w:rPr>
              <w:t>4.2</w:t>
            </w:r>
          </w:p>
        </w:tc>
      </w:tr>
      <w:tr w14:paraId="5F695FE2" w14:textId="77777777" w:rsidTr="00464213">
        <w:tblPrEx>
          <w:tblW w:w="9795" w:type="dxa"/>
          <w:tblLayout w:type="fixed"/>
          <w:tblLook w:val="0000"/>
        </w:tblPrEx>
        <w:trPr>
          <w:trHeight w:val="409"/>
        </w:trPr>
        <w:tc>
          <w:tcPr>
            <w:tcW w:w="1807" w:type="dxa"/>
            <w:shd w:val="clear" w:color="auto" w:fill="auto"/>
          </w:tcPr>
          <w:p w:rsidR="002E2923" w:rsidRPr="00ED52DB" w:rsidP="00E13F2D" w14:paraId="5BA0AA17" w14:textId="271966DC">
            <w:pPr>
              <w:pStyle w:val="Tabletext"/>
              <w:spacing w:before="40" w:after="40"/>
              <w:jc w:val="center"/>
              <w:rPr>
                <w:rFonts w:eastAsia="SimSun"/>
                <w:lang w:eastAsia="zh-CN"/>
              </w:rPr>
            </w:pPr>
            <w:r>
              <w:rPr>
                <w:rFonts w:eastAsia="SimSun"/>
                <w:lang w:eastAsia="zh-CN"/>
              </w:rPr>
              <w:t xml:space="preserve">Interview </w:t>
            </w:r>
            <w:r>
              <w:rPr>
                <w:rFonts w:eastAsia="SimSun"/>
                <w:lang w:eastAsia="zh-CN"/>
              </w:rPr>
              <w:t>discussion</w:t>
            </w:r>
          </w:p>
        </w:tc>
        <w:tc>
          <w:tcPr>
            <w:tcW w:w="2603" w:type="dxa"/>
          </w:tcPr>
          <w:p w:rsidR="002E2923" w:rsidP="00E13F2D" w14:paraId="3D6D1A32" w14:textId="28E45CE9">
            <w:pPr>
              <w:pStyle w:val="Tabletext"/>
              <w:spacing w:before="40" w:after="40"/>
              <w:jc w:val="center"/>
              <w:rPr>
                <w:rFonts w:eastAsia="SimSun"/>
                <w:lang w:eastAsia="zh-CN"/>
              </w:rPr>
            </w:pPr>
            <w:r>
              <w:rPr>
                <w:rFonts w:eastAsia="SimSun"/>
                <w:lang w:eastAsia="zh-CN"/>
              </w:rPr>
              <w:t xml:space="preserve">Number of individuals </w:t>
            </w:r>
            <w:r>
              <w:rPr>
                <w:rFonts w:eastAsia="SimSun"/>
                <w:lang w:eastAsia="zh-CN"/>
              </w:rPr>
              <w:t xml:space="preserve">to attend interview </w:t>
            </w:r>
            <w:r w:rsidR="00144C17">
              <w:rPr>
                <w:rFonts w:eastAsia="SimSun"/>
                <w:lang w:eastAsia="zh-CN"/>
              </w:rPr>
              <w:t>in series 1 &amp; 2 combined</w:t>
            </w:r>
          </w:p>
        </w:tc>
        <w:tc>
          <w:tcPr>
            <w:tcW w:w="1170" w:type="dxa"/>
            <w:shd w:val="clear" w:color="auto" w:fill="auto"/>
          </w:tcPr>
          <w:p w:rsidR="002E2923" w:rsidRPr="00ED52DB" w:rsidP="00E13F2D" w14:paraId="3DAA0CEC" w14:textId="5D91CCDD">
            <w:pPr>
              <w:pStyle w:val="Tabletext"/>
              <w:spacing w:before="40" w:after="40"/>
              <w:jc w:val="center"/>
              <w:rPr>
                <w:rFonts w:eastAsia="SimSun"/>
                <w:lang w:eastAsia="zh-CN"/>
              </w:rPr>
            </w:pPr>
            <w:r>
              <w:rPr>
                <w:rFonts w:eastAsia="SimSun"/>
                <w:lang w:eastAsia="zh-CN"/>
              </w:rPr>
              <w:t>30</w:t>
            </w:r>
          </w:p>
        </w:tc>
        <w:tc>
          <w:tcPr>
            <w:tcW w:w="1440" w:type="dxa"/>
            <w:shd w:val="clear" w:color="auto" w:fill="auto"/>
          </w:tcPr>
          <w:p w:rsidR="002E2923" w:rsidRPr="00ED52DB" w:rsidP="00E13F2D" w14:paraId="3FBE8809" w14:textId="77777777">
            <w:pPr>
              <w:pStyle w:val="Tabletext"/>
              <w:spacing w:before="40" w:after="40"/>
              <w:jc w:val="center"/>
              <w:rPr>
                <w:rFonts w:eastAsia="SimSun"/>
                <w:lang w:eastAsia="zh-CN"/>
              </w:rPr>
            </w:pPr>
            <w:r w:rsidRPr="00ED52DB">
              <w:rPr>
                <w:rFonts w:eastAsia="SimSun"/>
                <w:lang w:eastAsia="zh-CN"/>
              </w:rPr>
              <w:t>1</w:t>
            </w:r>
          </w:p>
        </w:tc>
        <w:tc>
          <w:tcPr>
            <w:tcW w:w="1657" w:type="dxa"/>
            <w:shd w:val="clear" w:color="auto" w:fill="auto"/>
          </w:tcPr>
          <w:p w:rsidR="002E2923" w:rsidRPr="00ED52DB" w:rsidP="00E13F2D" w14:paraId="38BB3F21" w14:textId="4D6C2E03">
            <w:pPr>
              <w:pStyle w:val="Tabletext"/>
              <w:spacing w:before="40" w:after="40"/>
              <w:jc w:val="center"/>
              <w:rPr>
                <w:rFonts w:eastAsia="SimSun"/>
                <w:lang w:eastAsia="zh-CN"/>
              </w:rPr>
            </w:pPr>
            <w:r>
              <w:rPr>
                <w:rFonts w:eastAsia="SimSun"/>
                <w:lang w:eastAsia="zh-CN"/>
              </w:rPr>
              <w:t>1 (60 min.)</w:t>
            </w:r>
          </w:p>
        </w:tc>
        <w:tc>
          <w:tcPr>
            <w:tcW w:w="1118" w:type="dxa"/>
            <w:shd w:val="clear" w:color="auto" w:fill="auto"/>
          </w:tcPr>
          <w:p w:rsidR="002E2923" w:rsidRPr="00ED52DB" w:rsidP="00E13F2D" w14:paraId="0271B640" w14:textId="6FB68771">
            <w:pPr>
              <w:pStyle w:val="Tabletext"/>
              <w:spacing w:before="40" w:after="40"/>
              <w:jc w:val="center"/>
              <w:rPr>
                <w:rFonts w:eastAsia="SimSun"/>
                <w:lang w:eastAsia="zh-CN"/>
              </w:rPr>
            </w:pPr>
            <w:r>
              <w:rPr>
                <w:rFonts w:eastAsia="SimSun"/>
                <w:lang w:eastAsia="zh-CN"/>
              </w:rPr>
              <w:t>30</w:t>
            </w:r>
          </w:p>
        </w:tc>
      </w:tr>
      <w:tr w14:paraId="53C0C573" w14:textId="77777777" w:rsidTr="00464213">
        <w:tblPrEx>
          <w:tblW w:w="9795" w:type="dxa"/>
          <w:tblLayout w:type="fixed"/>
          <w:tblLook w:val="0000"/>
        </w:tblPrEx>
        <w:trPr>
          <w:trHeight w:val="277"/>
        </w:trPr>
        <w:tc>
          <w:tcPr>
            <w:tcW w:w="1807" w:type="dxa"/>
            <w:shd w:val="clear" w:color="auto" w:fill="auto"/>
          </w:tcPr>
          <w:p w:rsidR="002E2923" w:rsidRPr="00ED52DB" w:rsidP="00E13F2D" w14:paraId="68904881" w14:textId="77777777">
            <w:pPr>
              <w:pStyle w:val="Tabletext"/>
              <w:spacing w:before="40" w:after="40"/>
              <w:jc w:val="center"/>
              <w:rPr>
                <w:rFonts w:eastAsia="SimSun"/>
                <w:lang w:eastAsia="zh-CN"/>
              </w:rPr>
            </w:pPr>
            <w:r w:rsidRPr="00ED52DB">
              <w:rPr>
                <w:rFonts w:eastAsia="SimSun"/>
                <w:lang w:eastAsia="zh-CN"/>
              </w:rPr>
              <w:t>Total</w:t>
            </w:r>
          </w:p>
        </w:tc>
        <w:tc>
          <w:tcPr>
            <w:tcW w:w="2603" w:type="dxa"/>
          </w:tcPr>
          <w:p w:rsidR="002E2923" w:rsidRPr="00ED52DB" w:rsidP="00E13F2D" w14:paraId="565EC1B6" w14:textId="77777777">
            <w:pPr>
              <w:pStyle w:val="Tabletext"/>
              <w:spacing w:before="40" w:after="40"/>
              <w:jc w:val="center"/>
              <w:rPr>
                <w:rFonts w:eastAsia="SimSun"/>
                <w:lang w:eastAsia="zh-CN"/>
              </w:rPr>
            </w:pPr>
          </w:p>
        </w:tc>
        <w:tc>
          <w:tcPr>
            <w:tcW w:w="1170" w:type="dxa"/>
            <w:shd w:val="clear" w:color="auto" w:fill="auto"/>
          </w:tcPr>
          <w:p w:rsidR="002E2923" w:rsidRPr="00ED52DB" w:rsidP="00E13F2D" w14:paraId="023A60D2" w14:textId="628D00A6">
            <w:pPr>
              <w:pStyle w:val="Tabletext"/>
              <w:spacing w:before="40" w:after="40"/>
              <w:jc w:val="center"/>
              <w:rPr>
                <w:rFonts w:eastAsia="SimSun"/>
                <w:lang w:eastAsia="zh-CN"/>
              </w:rPr>
            </w:pPr>
          </w:p>
        </w:tc>
        <w:tc>
          <w:tcPr>
            <w:tcW w:w="1440" w:type="dxa"/>
            <w:shd w:val="clear" w:color="auto" w:fill="auto"/>
          </w:tcPr>
          <w:p w:rsidR="002E2923" w:rsidRPr="00ED52DB" w:rsidP="00E13F2D" w14:paraId="14A1179B" w14:textId="77777777">
            <w:pPr>
              <w:pStyle w:val="Tabletext"/>
              <w:spacing w:before="40" w:after="40"/>
              <w:jc w:val="center"/>
              <w:rPr>
                <w:rFonts w:eastAsia="SimSun"/>
                <w:lang w:eastAsia="zh-CN"/>
              </w:rPr>
            </w:pPr>
          </w:p>
        </w:tc>
        <w:tc>
          <w:tcPr>
            <w:tcW w:w="1657" w:type="dxa"/>
            <w:shd w:val="clear" w:color="auto" w:fill="auto"/>
          </w:tcPr>
          <w:p w:rsidR="002E2923" w:rsidRPr="00ED52DB" w:rsidP="00E13F2D" w14:paraId="18A7EF7F" w14:textId="77777777">
            <w:pPr>
              <w:pStyle w:val="Tabletext"/>
              <w:spacing w:before="40" w:after="40"/>
              <w:jc w:val="center"/>
              <w:rPr>
                <w:rFonts w:eastAsia="SimSun"/>
                <w:lang w:eastAsia="zh-CN"/>
              </w:rPr>
            </w:pPr>
          </w:p>
        </w:tc>
        <w:tc>
          <w:tcPr>
            <w:tcW w:w="1118" w:type="dxa"/>
            <w:shd w:val="clear" w:color="auto" w:fill="auto"/>
          </w:tcPr>
          <w:p w:rsidR="002E2923" w:rsidRPr="00ED52DB" w:rsidP="00E13F2D" w14:paraId="7D9B8EC3" w14:textId="2B3017B9">
            <w:pPr>
              <w:pStyle w:val="Tabletext"/>
              <w:spacing w:before="40" w:after="40"/>
              <w:jc w:val="center"/>
              <w:rPr>
                <w:rFonts w:eastAsia="SimSun"/>
                <w:lang w:eastAsia="zh-CN"/>
              </w:rPr>
            </w:pPr>
            <w:r>
              <w:rPr>
                <w:rFonts w:eastAsia="SimSun"/>
                <w:lang w:eastAsia="zh-CN"/>
              </w:rPr>
              <w:t>546.7</w:t>
            </w:r>
          </w:p>
        </w:tc>
      </w:tr>
    </w:tbl>
    <w:p w:rsidR="00EE46C8" w:rsidRPr="008C5771" w:rsidP="00EE46C8" w14:paraId="2563BB4C" w14:textId="366D48BB">
      <w:pPr>
        <w:rPr>
          <w:i/>
          <w:iCs/>
        </w:rPr>
      </w:pPr>
      <w:r>
        <w:rPr>
          <w:i/>
          <w:iCs/>
        </w:rPr>
        <w:t xml:space="preserve">Note: </w:t>
      </w:r>
      <w:r w:rsidR="008D63BB">
        <w:rPr>
          <w:i/>
          <w:iCs/>
        </w:rPr>
        <w:t xml:space="preserve">Estimates can be split in half to account for the burden for each individual series of interviews. </w:t>
      </w:r>
    </w:p>
    <w:p w:rsidR="008C5771" w:rsidP="00EE46C8" w14:paraId="1FD5343F" w14:textId="77777777"/>
    <w:p w:rsidR="00286C82" w:rsidP="00EE46C8" w14:paraId="1AEAE45F" w14:textId="77777777"/>
    <w:p w:rsidR="00FE11BA" w:rsidP="00286C82" w14:paraId="2E00F9C0" w14:textId="77777777">
      <w:pPr>
        <w:pStyle w:val="BodyText1"/>
        <w:widowControl w:val="0"/>
        <w:ind w:firstLine="0"/>
        <w:jc w:val="center"/>
        <w:rPr>
          <w:b/>
          <w:color w:val="000000"/>
        </w:rPr>
      </w:pPr>
      <w:r w:rsidRPr="00ED52DB">
        <w:rPr>
          <w:b/>
          <w:bCs/>
        </w:rPr>
        <w:t>Table A</w:t>
      </w:r>
      <w:r>
        <w:rPr>
          <w:b/>
          <w:bCs/>
        </w:rPr>
        <w:t>12.2</w:t>
      </w:r>
      <w:r w:rsidRPr="00ED52DB">
        <w:rPr>
          <w:b/>
          <w:bCs/>
        </w:rPr>
        <w:t>. Estimated Annual Reporting Burden</w:t>
      </w:r>
      <w:r w:rsidRPr="00ED52DB">
        <w:rPr>
          <w:color w:val="000000"/>
        </w:rPr>
        <w:t xml:space="preserve"> </w:t>
      </w:r>
      <w:r>
        <w:rPr>
          <w:b/>
          <w:color w:val="000000"/>
        </w:rPr>
        <w:t xml:space="preserve">with Responses and </w:t>
      </w:r>
    </w:p>
    <w:p w:rsidR="00FE11BA" w:rsidP="00F41731" w14:paraId="24D588D3" w14:textId="1247DD43">
      <w:pPr>
        <w:pStyle w:val="BodyText1"/>
        <w:widowControl w:val="0"/>
        <w:ind w:firstLine="0"/>
        <w:jc w:val="center"/>
        <w:rPr>
          <w:b/>
          <w:color w:val="000000"/>
        </w:rPr>
      </w:pPr>
      <w:r>
        <w:rPr>
          <w:b/>
          <w:color w:val="000000"/>
        </w:rPr>
        <w:t>Non-Responses Included</w:t>
      </w:r>
    </w:p>
    <w:tbl>
      <w:tblPr>
        <w:tblW w:w="11183" w:type="dxa"/>
        <w:tblInd w:w="-928" w:type="dxa"/>
        <w:tblLayout w:type="fixed"/>
        <w:tblLook w:val="04A0"/>
      </w:tblPr>
      <w:tblGrid>
        <w:gridCol w:w="1554"/>
        <w:gridCol w:w="989"/>
        <w:gridCol w:w="810"/>
        <w:gridCol w:w="875"/>
        <w:gridCol w:w="835"/>
        <w:gridCol w:w="876"/>
        <w:gridCol w:w="1014"/>
        <w:gridCol w:w="810"/>
        <w:gridCol w:w="810"/>
        <w:gridCol w:w="711"/>
        <w:gridCol w:w="999"/>
        <w:gridCol w:w="900"/>
      </w:tblGrid>
      <w:tr w14:paraId="25E00DF8" w14:textId="77777777">
        <w:tblPrEx>
          <w:tblW w:w="11183" w:type="dxa"/>
          <w:tblInd w:w="-928" w:type="dxa"/>
          <w:tblLayout w:type="fixed"/>
          <w:tblLook w:val="04A0"/>
        </w:tblPrEx>
        <w:trPr>
          <w:trHeight w:val="357"/>
        </w:trPr>
        <w:tc>
          <w:tcPr>
            <w:tcW w:w="10283"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E11BA" w:rsidRPr="001F42F5" w14:paraId="19FF8666" w14:textId="77777777">
            <w:pPr>
              <w:jc w:val="center"/>
              <w:rPr>
                <w:b/>
                <w:bCs/>
                <w:color w:val="000000"/>
                <w:sz w:val="20"/>
              </w:rPr>
            </w:pPr>
            <w:r w:rsidRPr="001F42F5">
              <w:rPr>
                <w:b/>
                <w:bCs/>
                <w:color w:val="000000"/>
                <w:sz w:val="20"/>
              </w:rPr>
              <w:t xml:space="preserve">Estimated Annual Reporting Burden for Screener and Interviews </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FE11BA" w:rsidRPr="001F42F5" w14:paraId="7AD3AEA6" w14:textId="77777777">
            <w:pPr>
              <w:jc w:val="center"/>
              <w:rPr>
                <w:b/>
                <w:bCs/>
                <w:color w:val="000000"/>
                <w:sz w:val="20"/>
              </w:rPr>
            </w:pPr>
            <w:r w:rsidRPr="001F42F5">
              <w:rPr>
                <w:b/>
                <w:bCs/>
                <w:color w:val="000000"/>
                <w:sz w:val="20"/>
              </w:rPr>
              <w:t>Total Hours</w:t>
            </w:r>
          </w:p>
        </w:tc>
      </w:tr>
      <w:tr w14:paraId="3D5DE2FE" w14:textId="77777777">
        <w:tblPrEx>
          <w:tblW w:w="11183" w:type="dxa"/>
          <w:tblInd w:w="-928" w:type="dxa"/>
          <w:tblLayout w:type="fixed"/>
          <w:tblLook w:val="04A0"/>
        </w:tblPrEx>
        <w:trPr>
          <w:trHeight w:val="678"/>
        </w:trPr>
        <w:tc>
          <w:tcPr>
            <w:tcW w:w="1554" w:type="dxa"/>
            <w:tcBorders>
              <w:top w:val="nil"/>
              <w:left w:val="single" w:sz="4" w:space="0" w:color="auto"/>
              <w:bottom w:val="single" w:sz="4" w:space="0" w:color="auto"/>
              <w:right w:val="single" w:sz="4" w:space="0" w:color="auto"/>
            </w:tcBorders>
            <w:shd w:val="clear" w:color="auto" w:fill="auto"/>
            <w:vAlign w:val="bottom"/>
            <w:hideMark/>
          </w:tcPr>
          <w:p w:rsidR="00FE11BA" w:rsidRPr="001F42F5" w14:paraId="1F8499B8" w14:textId="77777777">
            <w:pPr>
              <w:jc w:val="center"/>
              <w:rPr>
                <w:b/>
                <w:bCs/>
                <w:color w:val="000000"/>
                <w:sz w:val="20"/>
              </w:rPr>
            </w:pPr>
            <w:r w:rsidRPr="001F42F5">
              <w:rPr>
                <w:b/>
                <w:bCs/>
                <w:color w:val="000000"/>
                <w:sz w:val="20"/>
              </w:rPr>
              <w:t> </w:t>
            </w:r>
          </w:p>
        </w:tc>
        <w:tc>
          <w:tcPr>
            <w:tcW w:w="989" w:type="dxa"/>
            <w:tcBorders>
              <w:top w:val="nil"/>
              <w:left w:val="nil"/>
              <w:bottom w:val="single" w:sz="4" w:space="0" w:color="auto"/>
              <w:right w:val="single" w:sz="4" w:space="0" w:color="auto"/>
            </w:tcBorders>
            <w:shd w:val="clear" w:color="auto" w:fill="auto"/>
            <w:noWrap/>
            <w:vAlign w:val="bottom"/>
            <w:hideMark/>
          </w:tcPr>
          <w:p w:rsidR="00FE11BA" w:rsidRPr="001F42F5" w14:paraId="3D09EB48" w14:textId="77777777">
            <w:pPr>
              <w:jc w:val="center"/>
              <w:rPr>
                <w:b/>
                <w:bCs/>
                <w:color w:val="000000"/>
                <w:sz w:val="20"/>
              </w:rPr>
            </w:pPr>
            <w:r w:rsidRPr="001F42F5">
              <w:rPr>
                <w:b/>
                <w:bCs/>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FE11BA" w:rsidRPr="001F42F5" w14:paraId="4093EEEA" w14:textId="77777777">
            <w:pPr>
              <w:jc w:val="center"/>
              <w:rPr>
                <w:b/>
                <w:bCs/>
                <w:color w:val="000000"/>
                <w:sz w:val="20"/>
              </w:rPr>
            </w:pPr>
            <w:r w:rsidRPr="001F42F5">
              <w:rPr>
                <w:b/>
                <w:bCs/>
                <w:color w:val="000000"/>
                <w:sz w:val="20"/>
              </w:rPr>
              <w:t> </w:t>
            </w:r>
          </w:p>
        </w:tc>
        <w:tc>
          <w:tcPr>
            <w:tcW w:w="360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E11BA" w:rsidRPr="001F42F5" w14:paraId="064164F9" w14:textId="77777777">
            <w:pPr>
              <w:jc w:val="center"/>
              <w:rPr>
                <w:b/>
                <w:bCs/>
                <w:color w:val="000000"/>
                <w:sz w:val="20"/>
              </w:rPr>
            </w:pPr>
            <w:r w:rsidRPr="001F42F5">
              <w:rPr>
                <w:b/>
                <w:bCs/>
                <w:color w:val="000000"/>
                <w:sz w:val="20"/>
              </w:rPr>
              <w:t xml:space="preserve">Responses </w:t>
            </w:r>
          </w:p>
        </w:tc>
        <w:tc>
          <w:tcPr>
            <w:tcW w:w="333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FE11BA" w:rsidRPr="001F42F5" w14:paraId="15CB4F65" w14:textId="77777777">
            <w:pPr>
              <w:jc w:val="center"/>
              <w:rPr>
                <w:b/>
                <w:bCs/>
                <w:color w:val="000000"/>
                <w:sz w:val="20"/>
              </w:rPr>
            </w:pPr>
            <w:r w:rsidRPr="001F42F5">
              <w:rPr>
                <w:b/>
                <w:bCs/>
                <w:color w:val="000000"/>
                <w:sz w:val="20"/>
              </w:rPr>
              <w:t xml:space="preserve">Non-Responses </w:t>
            </w:r>
          </w:p>
        </w:tc>
        <w:tc>
          <w:tcPr>
            <w:tcW w:w="900" w:type="dxa"/>
            <w:vMerge/>
            <w:tcBorders>
              <w:top w:val="single" w:sz="4" w:space="0" w:color="auto"/>
              <w:left w:val="single" w:sz="4" w:space="0" w:color="auto"/>
              <w:bottom w:val="single" w:sz="4" w:space="0" w:color="000000"/>
              <w:right w:val="single" w:sz="4" w:space="0" w:color="auto"/>
            </w:tcBorders>
            <w:vAlign w:val="center"/>
            <w:hideMark/>
          </w:tcPr>
          <w:p w:rsidR="00FE11BA" w:rsidRPr="001F42F5" w14:paraId="33B18C3E" w14:textId="77777777">
            <w:pPr>
              <w:rPr>
                <w:b/>
                <w:bCs/>
                <w:color w:val="000000"/>
                <w:sz w:val="20"/>
              </w:rPr>
            </w:pPr>
          </w:p>
        </w:tc>
      </w:tr>
      <w:tr w14:paraId="1EA5E2BF" w14:textId="77777777">
        <w:tblPrEx>
          <w:tblW w:w="11183" w:type="dxa"/>
          <w:tblInd w:w="-928" w:type="dxa"/>
          <w:tblLayout w:type="fixed"/>
          <w:tblLook w:val="04A0"/>
        </w:tblPrEx>
        <w:trPr>
          <w:trHeight w:val="938"/>
        </w:trPr>
        <w:tc>
          <w:tcPr>
            <w:tcW w:w="1554" w:type="dxa"/>
            <w:tcBorders>
              <w:top w:val="nil"/>
              <w:left w:val="single" w:sz="4" w:space="0" w:color="auto"/>
              <w:bottom w:val="single" w:sz="4" w:space="0" w:color="auto"/>
              <w:right w:val="single" w:sz="4" w:space="0" w:color="auto"/>
            </w:tcBorders>
            <w:shd w:val="clear" w:color="auto" w:fill="auto"/>
            <w:vAlign w:val="bottom"/>
            <w:hideMark/>
          </w:tcPr>
          <w:p w:rsidR="00FE11BA" w:rsidRPr="001F42F5" w14:paraId="55D9F427" w14:textId="77777777">
            <w:pPr>
              <w:jc w:val="center"/>
              <w:rPr>
                <w:b/>
                <w:bCs/>
                <w:color w:val="000000"/>
                <w:sz w:val="20"/>
              </w:rPr>
            </w:pPr>
            <w:r w:rsidRPr="001F42F5">
              <w:rPr>
                <w:b/>
                <w:bCs/>
                <w:color w:val="000000"/>
                <w:sz w:val="20"/>
              </w:rPr>
              <w:t>Study Component</w:t>
            </w:r>
          </w:p>
        </w:tc>
        <w:tc>
          <w:tcPr>
            <w:tcW w:w="989" w:type="dxa"/>
            <w:tcBorders>
              <w:top w:val="nil"/>
              <w:left w:val="nil"/>
              <w:bottom w:val="single" w:sz="4" w:space="0" w:color="auto"/>
              <w:right w:val="single" w:sz="4" w:space="0" w:color="auto"/>
            </w:tcBorders>
            <w:shd w:val="clear" w:color="auto" w:fill="auto"/>
            <w:vAlign w:val="bottom"/>
            <w:hideMark/>
          </w:tcPr>
          <w:p w:rsidR="00FE11BA" w:rsidRPr="001F42F5" w14:paraId="257859C1" w14:textId="77777777">
            <w:pPr>
              <w:jc w:val="center"/>
              <w:rPr>
                <w:b/>
                <w:bCs/>
                <w:color w:val="000000"/>
                <w:sz w:val="20"/>
              </w:rPr>
            </w:pPr>
            <w:r w:rsidRPr="001F42F5">
              <w:rPr>
                <w:b/>
                <w:bCs/>
                <w:color w:val="000000"/>
                <w:sz w:val="20"/>
              </w:rPr>
              <w:t>Sample Size</w:t>
            </w:r>
          </w:p>
        </w:tc>
        <w:tc>
          <w:tcPr>
            <w:tcW w:w="810" w:type="dxa"/>
            <w:tcBorders>
              <w:top w:val="nil"/>
              <w:left w:val="nil"/>
              <w:bottom w:val="single" w:sz="4" w:space="0" w:color="auto"/>
              <w:right w:val="single" w:sz="4" w:space="0" w:color="auto"/>
            </w:tcBorders>
            <w:shd w:val="clear" w:color="auto" w:fill="auto"/>
            <w:vAlign w:val="bottom"/>
            <w:hideMark/>
          </w:tcPr>
          <w:p w:rsidR="00FE11BA" w:rsidRPr="001F42F5" w14:paraId="151815EF" w14:textId="77777777">
            <w:pPr>
              <w:jc w:val="center"/>
              <w:rPr>
                <w:b/>
                <w:bCs/>
                <w:color w:val="000000"/>
                <w:sz w:val="20"/>
              </w:rPr>
            </w:pPr>
            <w:r w:rsidRPr="001F42F5">
              <w:rPr>
                <w:b/>
                <w:bCs/>
                <w:color w:val="000000"/>
                <w:sz w:val="20"/>
              </w:rPr>
              <w:t>Freq</w:t>
            </w:r>
          </w:p>
        </w:tc>
        <w:tc>
          <w:tcPr>
            <w:tcW w:w="875" w:type="dxa"/>
            <w:tcBorders>
              <w:top w:val="nil"/>
              <w:left w:val="nil"/>
              <w:bottom w:val="single" w:sz="4" w:space="0" w:color="auto"/>
              <w:right w:val="single" w:sz="4" w:space="0" w:color="auto"/>
            </w:tcBorders>
            <w:shd w:val="clear" w:color="auto" w:fill="auto"/>
            <w:vAlign w:val="bottom"/>
            <w:hideMark/>
          </w:tcPr>
          <w:p w:rsidR="00FE11BA" w:rsidRPr="001F42F5" w14:paraId="580E3CFA" w14:textId="77777777">
            <w:pPr>
              <w:jc w:val="center"/>
              <w:rPr>
                <w:b/>
                <w:bCs/>
                <w:color w:val="000000"/>
                <w:sz w:val="20"/>
              </w:rPr>
            </w:pPr>
            <w:r w:rsidRPr="001F42F5">
              <w:rPr>
                <w:b/>
                <w:bCs/>
                <w:color w:val="000000"/>
                <w:sz w:val="20"/>
              </w:rPr>
              <w:t>Count</w:t>
            </w:r>
          </w:p>
        </w:tc>
        <w:tc>
          <w:tcPr>
            <w:tcW w:w="835" w:type="dxa"/>
            <w:tcBorders>
              <w:top w:val="nil"/>
              <w:left w:val="nil"/>
              <w:bottom w:val="single" w:sz="4" w:space="0" w:color="auto"/>
              <w:right w:val="single" w:sz="4" w:space="0" w:color="auto"/>
            </w:tcBorders>
            <w:shd w:val="clear" w:color="auto" w:fill="auto"/>
            <w:vAlign w:val="bottom"/>
            <w:hideMark/>
          </w:tcPr>
          <w:p w:rsidR="00FE11BA" w:rsidRPr="001F42F5" w14:paraId="354623C7" w14:textId="77777777">
            <w:pPr>
              <w:jc w:val="center"/>
              <w:rPr>
                <w:b/>
                <w:bCs/>
                <w:color w:val="000000"/>
                <w:sz w:val="20"/>
              </w:rPr>
            </w:pPr>
            <w:r w:rsidRPr="001F42F5">
              <w:rPr>
                <w:b/>
                <w:bCs/>
                <w:color w:val="000000"/>
                <w:sz w:val="20"/>
              </w:rPr>
              <w:t>Freq X Count</w:t>
            </w:r>
          </w:p>
        </w:tc>
        <w:tc>
          <w:tcPr>
            <w:tcW w:w="876" w:type="dxa"/>
            <w:tcBorders>
              <w:top w:val="nil"/>
              <w:left w:val="nil"/>
              <w:bottom w:val="single" w:sz="4" w:space="0" w:color="auto"/>
              <w:right w:val="single" w:sz="4" w:space="0" w:color="auto"/>
            </w:tcBorders>
            <w:shd w:val="clear" w:color="auto" w:fill="auto"/>
            <w:vAlign w:val="bottom"/>
            <w:hideMark/>
          </w:tcPr>
          <w:p w:rsidR="00FE11BA" w:rsidRPr="001F42F5" w14:paraId="5ED764C7" w14:textId="77777777">
            <w:pPr>
              <w:jc w:val="center"/>
              <w:rPr>
                <w:b/>
                <w:bCs/>
                <w:color w:val="000000"/>
                <w:sz w:val="20"/>
              </w:rPr>
            </w:pPr>
            <w:r w:rsidRPr="001F42F5">
              <w:rPr>
                <w:b/>
                <w:bCs/>
                <w:color w:val="000000"/>
                <w:sz w:val="20"/>
              </w:rPr>
              <w:t>Min/</w:t>
            </w:r>
          </w:p>
          <w:p w:rsidR="00FE11BA" w:rsidRPr="001F42F5" w14:paraId="08421E2F" w14:textId="77777777">
            <w:pPr>
              <w:jc w:val="center"/>
              <w:rPr>
                <w:b/>
                <w:bCs/>
                <w:color w:val="000000"/>
                <w:sz w:val="20"/>
              </w:rPr>
            </w:pPr>
            <w:r w:rsidRPr="001F42F5">
              <w:rPr>
                <w:b/>
                <w:bCs/>
                <w:color w:val="000000"/>
                <w:sz w:val="20"/>
              </w:rPr>
              <w:t>Resp</w:t>
            </w:r>
          </w:p>
        </w:tc>
        <w:tc>
          <w:tcPr>
            <w:tcW w:w="1014" w:type="dxa"/>
            <w:tcBorders>
              <w:top w:val="nil"/>
              <w:left w:val="nil"/>
              <w:bottom w:val="single" w:sz="4" w:space="0" w:color="auto"/>
              <w:right w:val="single" w:sz="4" w:space="0" w:color="auto"/>
            </w:tcBorders>
            <w:shd w:val="clear" w:color="auto" w:fill="auto"/>
            <w:vAlign w:val="bottom"/>
            <w:hideMark/>
          </w:tcPr>
          <w:p w:rsidR="00FE11BA" w:rsidRPr="001F42F5" w14:paraId="6B8C9629" w14:textId="77777777">
            <w:pPr>
              <w:jc w:val="center"/>
              <w:rPr>
                <w:b/>
                <w:bCs/>
                <w:color w:val="000000"/>
                <w:sz w:val="20"/>
              </w:rPr>
            </w:pPr>
            <w:r w:rsidRPr="001F42F5">
              <w:rPr>
                <w:b/>
                <w:bCs/>
                <w:color w:val="000000"/>
                <w:sz w:val="20"/>
              </w:rPr>
              <w:t>Burden Hours</w:t>
            </w:r>
          </w:p>
        </w:tc>
        <w:tc>
          <w:tcPr>
            <w:tcW w:w="810" w:type="dxa"/>
            <w:tcBorders>
              <w:top w:val="nil"/>
              <w:left w:val="nil"/>
              <w:bottom w:val="single" w:sz="4" w:space="0" w:color="auto"/>
              <w:right w:val="single" w:sz="4" w:space="0" w:color="auto"/>
            </w:tcBorders>
            <w:shd w:val="clear" w:color="auto" w:fill="auto"/>
            <w:vAlign w:val="bottom"/>
            <w:hideMark/>
          </w:tcPr>
          <w:p w:rsidR="00FE11BA" w:rsidRPr="001F42F5" w14:paraId="0B699FBB" w14:textId="77777777">
            <w:pPr>
              <w:jc w:val="center"/>
              <w:rPr>
                <w:b/>
                <w:bCs/>
                <w:color w:val="000000"/>
                <w:sz w:val="20"/>
              </w:rPr>
            </w:pPr>
            <w:r w:rsidRPr="001F42F5">
              <w:rPr>
                <w:b/>
                <w:bCs/>
                <w:color w:val="000000"/>
                <w:sz w:val="20"/>
              </w:rPr>
              <w:t>Count</w:t>
            </w:r>
          </w:p>
        </w:tc>
        <w:tc>
          <w:tcPr>
            <w:tcW w:w="810" w:type="dxa"/>
            <w:tcBorders>
              <w:top w:val="nil"/>
              <w:left w:val="nil"/>
              <w:bottom w:val="single" w:sz="4" w:space="0" w:color="auto"/>
              <w:right w:val="single" w:sz="4" w:space="0" w:color="auto"/>
            </w:tcBorders>
            <w:shd w:val="clear" w:color="auto" w:fill="auto"/>
            <w:vAlign w:val="bottom"/>
            <w:hideMark/>
          </w:tcPr>
          <w:p w:rsidR="00FE11BA" w:rsidRPr="001F42F5" w14:paraId="6E216DB9" w14:textId="77777777">
            <w:pPr>
              <w:jc w:val="center"/>
              <w:rPr>
                <w:b/>
                <w:bCs/>
                <w:color w:val="000000"/>
                <w:sz w:val="20"/>
              </w:rPr>
            </w:pPr>
            <w:r w:rsidRPr="001F42F5">
              <w:rPr>
                <w:b/>
                <w:bCs/>
                <w:color w:val="000000"/>
                <w:sz w:val="20"/>
              </w:rPr>
              <w:t xml:space="preserve">Freq </w:t>
            </w:r>
          </w:p>
          <w:p w:rsidR="00FE11BA" w:rsidRPr="001F42F5" w14:paraId="137B332B" w14:textId="77777777">
            <w:pPr>
              <w:jc w:val="center"/>
              <w:rPr>
                <w:b/>
                <w:bCs/>
                <w:color w:val="000000"/>
                <w:sz w:val="20"/>
              </w:rPr>
            </w:pPr>
            <w:r w:rsidRPr="001F42F5">
              <w:rPr>
                <w:b/>
                <w:bCs/>
                <w:color w:val="000000"/>
                <w:sz w:val="20"/>
              </w:rPr>
              <w:t>X Count</w:t>
            </w:r>
          </w:p>
        </w:tc>
        <w:tc>
          <w:tcPr>
            <w:tcW w:w="711" w:type="dxa"/>
            <w:tcBorders>
              <w:top w:val="nil"/>
              <w:left w:val="nil"/>
              <w:bottom w:val="single" w:sz="4" w:space="0" w:color="auto"/>
              <w:right w:val="single" w:sz="4" w:space="0" w:color="auto"/>
            </w:tcBorders>
            <w:shd w:val="clear" w:color="auto" w:fill="auto"/>
            <w:vAlign w:val="bottom"/>
            <w:hideMark/>
          </w:tcPr>
          <w:p w:rsidR="00FE11BA" w:rsidRPr="001F42F5" w14:paraId="7866ADE4" w14:textId="77777777">
            <w:pPr>
              <w:jc w:val="center"/>
              <w:rPr>
                <w:b/>
                <w:bCs/>
                <w:color w:val="000000"/>
                <w:sz w:val="20"/>
              </w:rPr>
            </w:pPr>
            <w:r w:rsidRPr="001F42F5">
              <w:rPr>
                <w:b/>
                <w:bCs/>
                <w:color w:val="000000"/>
                <w:sz w:val="20"/>
              </w:rPr>
              <w:t>Min/</w:t>
            </w:r>
          </w:p>
          <w:p w:rsidR="00FE11BA" w:rsidRPr="001F42F5" w14:paraId="162A09A7" w14:textId="77777777">
            <w:pPr>
              <w:jc w:val="center"/>
              <w:rPr>
                <w:b/>
                <w:bCs/>
                <w:color w:val="000000"/>
                <w:sz w:val="20"/>
              </w:rPr>
            </w:pPr>
            <w:r w:rsidRPr="001F42F5">
              <w:rPr>
                <w:b/>
                <w:bCs/>
                <w:color w:val="000000"/>
                <w:sz w:val="20"/>
              </w:rPr>
              <w:t>Resp</w:t>
            </w:r>
          </w:p>
        </w:tc>
        <w:tc>
          <w:tcPr>
            <w:tcW w:w="999" w:type="dxa"/>
            <w:tcBorders>
              <w:top w:val="nil"/>
              <w:left w:val="nil"/>
              <w:bottom w:val="single" w:sz="4" w:space="0" w:color="auto"/>
              <w:right w:val="single" w:sz="4" w:space="0" w:color="auto"/>
            </w:tcBorders>
            <w:shd w:val="clear" w:color="auto" w:fill="auto"/>
            <w:vAlign w:val="bottom"/>
            <w:hideMark/>
          </w:tcPr>
          <w:p w:rsidR="00FE11BA" w:rsidRPr="001F42F5" w14:paraId="65C10F07" w14:textId="77777777">
            <w:pPr>
              <w:jc w:val="center"/>
              <w:rPr>
                <w:b/>
                <w:bCs/>
                <w:color w:val="000000"/>
                <w:sz w:val="20"/>
              </w:rPr>
            </w:pPr>
            <w:r w:rsidRPr="001F42F5">
              <w:rPr>
                <w:b/>
                <w:bCs/>
                <w:color w:val="000000"/>
                <w:sz w:val="20"/>
              </w:rPr>
              <w:t>Burden Hours</w:t>
            </w:r>
          </w:p>
        </w:tc>
        <w:tc>
          <w:tcPr>
            <w:tcW w:w="900" w:type="dxa"/>
            <w:tcBorders>
              <w:top w:val="nil"/>
              <w:left w:val="nil"/>
              <w:bottom w:val="single" w:sz="4" w:space="0" w:color="auto"/>
              <w:right w:val="single" w:sz="4" w:space="0" w:color="auto"/>
            </w:tcBorders>
            <w:shd w:val="clear" w:color="auto" w:fill="auto"/>
            <w:noWrap/>
            <w:vAlign w:val="bottom"/>
            <w:hideMark/>
          </w:tcPr>
          <w:p w:rsidR="00FE11BA" w:rsidRPr="001F42F5" w14:paraId="3A6A64B2" w14:textId="77777777">
            <w:pPr>
              <w:jc w:val="center"/>
              <w:rPr>
                <w:b/>
                <w:bCs/>
                <w:color w:val="000000"/>
                <w:sz w:val="20"/>
              </w:rPr>
            </w:pPr>
            <w:r w:rsidRPr="001F42F5">
              <w:rPr>
                <w:b/>
                <w:bCs/>
                <w:color w:val="000000"/>
                <w:sz w:val="20"/>
              </w:rPr>
              <w:t> </w:t>
            </w:r>
          </w:p>
        </w:tc>
      </w:tr>
      <w:tr w14:paraId="0144D338" w14:textId="77777777">
        <w:tblPrEx>
          <w:tblW w:w="11183" w:type="dxa"/>
          <w:tblInd w:w="-928" w:type="dxa"/>
          <w:tblLayout w:type="fixed"/>
          <w:tblLook w:val="04A0"/>
        </w:tblPrEx>
        <w:trPr>
          <w:trHeight w:val="357"/>
        </w:trPr>
        <w:tc>
          <w:tcPr>
            <w:tcW w:w="1554" w:type="dxa"/>
            <w:tcBorders>
              <w:top w:val="nil"/>
              <w:left w:val="single" w:sz="4" w:space="0" w:color="auto"/>
              <w:bottom w:val="single" w:sz="4" w:space="0" w:color="auto"/>
              <w:right w:val="single" w:sz="4" w:space="0" w:color="auto"/>
            </w:tcBorders>
            <w:shd w:val="clear" w:color="auto" w:fill="auto"/>
            <w:vAlign w:val="bottom"/>
            <w:hideMark/>
          </w:tcPr>
          <w:p w:rsidR="00FE11BA" w:rsidRPr="001F42F5" w14:paraId="5CF88A4F" w14:textId="77777777">
            <w:pPr>
              <w:jc w:val="center"/>
              <w:rPr>
                <w:b/>
                <w:bCs/>
                <w:color w:val="000000"/>
                <w:sz w:val="20"/>
              </w:rPr>
            </w:pPr>
            <w:r w:rsidRPr="001F42F5">
              <w:rPr>
                <w:b/>
                <w:bCs/>
                <w:color w:val="000000"/>
                <w:sz w:val="20"/>
              </w:rPr>
              <w:t>Screener</w:t>
            </w:r>
          </w:p>
        </w:tc>
        <w:tc>
          <w:tcPr>
            <w:tcW w:w="989" w:type="dxa"/>
            <w:tcBorders>
              <w:top w:val="nil"/>
              <w:left w:val="nil"/>
              <w:bottom w:val="single" w:sz="4" w:space="0" w:color="auto"/>
              <w:right w:val="single" w:sz="4" w:space="0" w:color="auto"/>
            </w:tcBorders>
            <w:shd w:val="clear" w:color="auto" w:fill="auto"/>
            <w:noWrap/>
            <w:vAlign w:val="bottom"/>
            <w:hideMark/>
          </w:tcPr>
          <w:p w:rsidR="00FE11BA" w:rsidRPr="001F42F5" w14:paraId="45DED922" w14:textId="77777777">
            <w:pPr>
              <w:jc w:val="center"/>
              <w:rPr>
                <w:color w:val="000000"/>
                <w:sz w:val="20"/>
              </w:rPr>
            </w:pPr>
            <w:r w:rsidRPr="001F42F5">
              <w:rPr>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FE11BA" w:rsidRPr="001F42F5" w14:paraId="113CBE6D" w14:textId="77777777">
            <w:pPr>
              <w:jc w:val="center"/>
              <w:rPr>
                <w:color w:val="000000"/>
                <w:sz w:val="20"/>
              </w:rPr>
            </w:pPr>
            <w:r w:rsidRPr="001F42F5">
              <w:rPr>
                <w:color w:val="000000"/>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rsidR="00FE11BA" w:rsidRPr="001F42F5" w14:paraId="6262239A" w14:textId="77777777">
            <w:pPr>
              <w:jc w:val="center"/>
              <w:rPr>
                <w:color w:val="000000"/>
                <w:sz w:val="20"/>
              </w:rPr>
            </w:pPr>
            <w:r w:rsidRPr="001F42F5">
              <w:rPr>
                <w:color w:val="000000"/>
                <w:sz w:val="20"/>
              </w:rPr>
              <w:t> </w:t>
            </w:r>
          </w:p>
        </w:tc>
        <w:tc>
          <w:tcPr>
            <w:tcW w:w="835" w:type="dxa"/>
            <w:tcBorders>
              <w:top w:val="nil"/>
              <w:left w:val="nil"/>
              <w:bottom w:val="single" w:sz="4" w:space="0" w:color="auto"/>
              <w:right w:val="single" w:sz="4" w:space="0" w:color="auto"/>
            </w:tcBorders>
            <w:shd w:val="clear" w:color="auto" w:fill="auto"/>
            <w:noWrap/>
            <w:vAlign w:val="bottom"/>
            <w:hideMark/>
          </w:tcPr>
          <w:p w:rsidR="00FE11BA" w:rsidRPr="001F42F5" w14:paraId="69FCBA23" w14:textId="77777777">
            <w:pPr>
              <w:jc w:val="center"/>
              <w:rPr>
                <w:color w:val="000000"/>
                <w:sz w:val="20"/>
              </w:rPr>
            </w:pPr>
            <w:r w:rsidRPr="001F42F5">
              <w:rPr>
                <w:color w:val="000000"/>
                <w:sz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FE11BA" w:rsidRPr="001F42F5" w14:paraId="1F7DBFD6" w14:textId="77777777">
            <w:pPr>
              <w:jc w:val="center"/>
              <w:rPr>
                <w:color w:val="000000"/>
                <w:sz w:val="20"/>
              </w:rPr>
            </w:pPr>
            <w:r w:rsidRPr="001F42F5">
              <w:rPr>
                <w:color w:val="000000"/>
                <w:sz w:val="20"/>
              </w:rPr>
              <w:t> </w:t>
            </w:r>
          </w:p>
        </w:tc>
        <w:tc>
          <w:tcPr>
            <w:tcW w:w="1014" w:type="dxa"/>
            <w:tcBorders>
              <w:top w:val="nil"/>
              <w:left w:val="nil"/>
              <w:bottom w:val="single" w:sz="4" w:space="0" w:color="auto"/>
              <w:right w:val="single" w:sz="4" w:space="0" w:color="auto"/>
            </w:tcBorders>
            <w:shd w:val="clear" w:color="auto" w:fill="auto"/>
            <w:noWrap/>
            <w:vAlign w:val="bottom"/>
            <w:hideMark/>
          </w:tcPr>
          <w:p w:rsidR="00FE11BA" w:rsidRPr="001F42F5" w14:paraId="36353688" w14:textId="77777777">
            <w:pPr>
              <w:jc w:val="center"/>
              <w:rPr>
                <w:color w:val="000000"/>
                <w:sz w:val="20"/>
              </w:rPr>
            </w:pPr>
            <w:r w:rsidRPr="001F42F5">
              <w:rPr>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FE11BA" w:rsidRPr="001F42F5" w14:paraId="3279C551" w14:textId="77777777">
            <w:pPr>
              <w:jc w:val="center"/>
              <w:rPr>
                <w:color w:val="000000"/>
                <w:sz w:val="20"/>
              </w:rPr>
            </w:pPr>
            <w:r w:rsidRPr="001F42F5">
              <w:rPr>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FE11BA" w:rsidRPr="001F42F5" w14:paraId="049379F7" w14:textId="77777777">
            <w:pPr>
              <w:jc w:val="center"/>
              <w:rPr>
                <w:color w:val="000000"/>
                <w:sz w:val="20"/>
              </w:rPr>
            </w:pPr>
            <w:r w:rsidRPr="001F42F5">
              <w:rPr>
                <w:color w:val="000000"/>
                <w:sz w:val="20"/>
              </w:rPr>
              <w:t> </w:t>
            </w:r>
          </w:p>
        </w:tc>
        <w:tc>
          <w:tcPr>
            <w:tcW w:w="711" w:type="dxa"/>
            <w:tcBorders>
              <w:top w:val="nil"/>
              <w:left w:val="nil"/>
              <w:bottom w:val="single" w:sz="4" w:space="0" w:color="auto"/>
              <w:right w:val="single" w:sz="4" w:space="0" w:color="auto"/>
            </w:tcBorders>
            <w:shd w:val="clear" w:color="auto" w:fill="auto"/>
            <w:noWrap/>
            <w:vAlign w:val="bottom"/>
            <w:hideMark/>
          </w:tcPr>
          <w:p w:rsidR="00FE11BA" w:rsidRPr="001F42F5" w14:paraId="28BA9B6D" w14:textId="77777777">
            <w:pPr>
              <w:jc w:val="center"/>
              <w:rPr>
                <w:color w:val="000000"/>
                <w:sz w:val="20"/>
              </w:rPr>
            </w:pPr>
            <w:r w:rsidRPr="001F42F5">
              <w:rPr>
                <w:color w:val="000000"/>
                <w:sz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FE11BA" w:rsidRPr="001F42F5" w14:paraId="19E95BE6" w14:textId="77777777">
            <w:pPr>
              <w:jc w:val="center"/>
              <w:rPr>
                <w:color w:val="000000"/>
                <w:sz w:val="20"/>
              </w:rPr>
            </w:pPr>
            <w:r w:rsidRPr="001F42F5">
              <w:rPr>
                <w:color w:val="000000"/>
                <w:sz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FE11BA" w:rsidRPr="001F42F5" w14:paraId="28773BFB" w14:textId="77777777">
            <w:pPr>
              <w:jc w:val="center"/>
              <w:rPr>
                <w:color w:val="000000"/>
                <w:sz w:val="20"/>
              </w:rPr>
            </w:pPr>
            <w:r w:rsidRPr="001F42F5">
              <w:rPr>
                <w:color w:val="000000"/>
                <w:sz w:val="20"/>
              </w:rPr>
              <w:t> </w:t>
            </w:r>
          </w:p>
        </w:tc>
      </w:tr>
      <w:tr w14:paraId="72BD0F1A" w14:textId="77777777">
        <w:tblPrEx>
          <w:tblW w:w="11183" w:type="dxa"/>
          <w:tblInd w:w="-928" w:type="dxa"/>
          <w:tblLayout w:type="fixed"/>
          <w:tblLook w:val="04A0"/>
        </w:tblPrEx>
        <w:trPr>
          <w:trHeight w:val="357"/>
        </w:trPr>
        <w:tc>
          <w:tcPr>
            <w:tcW w:w="1554" w:type="dxa"/>
            <w:tcBorders>
              <w:top w:val="nil"/>
              <w:left w:val="single" w:sz="4" w:space="0" w:color="auto"/>
              <w:bottom w:val="single" w:sz="4" w:space="0" w:color="auto"/>
              <w:right w:val="single" w:sz="4" w:space="0" w:color="auto"/>
            </w:tcBorders>
            <w:shd w:val="clear" w:color="auto" w:fill="auto"/>
            <w:vAlign w:val="bottom"/>
            <w:hideMark/>
          </w:tcPr>
          <w:p w:rsidR="00FE11BA" w:rsidRPr="00B33D2F" w14:paraId="4867C650" w14:textId="77777777">
            <w:pPr>
              <w:jc w:val="center"/>
              <w:rPr>
                <w:color w:val="000000"/>
                <w:sz w:val="20"/>
              </w:rPr>
            </w:pPr>
            <w:r w:rsidRPr="00B33D2F">
              <w:rPr>
                <w:color w:val="000000"/>
                <w:sz w:val="20"/>
              </w:rPr>
              <w:t>Email Invitation</w:t>
            </w:r>
          </w:p>
        </w:tc>
        <w:tc>
          <w:tcPr>
            <w:tcW w:w="989" w:type="dxa"/>
            <w:tcBorders>
              <w:top w:val="nil"/>
              <w:left w:val="nil"/>
              <w:bottom w:val="single" w:sz="4" w:space="0" w:color="auto"/>
              <w:right w:val="single" w:sz="4" w:space="0" w:color="auto"/>
            </w:tcBorders>
            <w:shd w:val="clear" w:color="auto" w:fill="auto"/>
            <w:noWrap/>
            <w:vAlign w:val="bottom"/>
            <w:hideMark/>
          </w:tcPr>
          <w:p w:rsidR="00FE11BA" w:rsidRPr="00B33D2F" w14:paraId="502FC307" w14:textId="77777777">
            <w:pPr>
              <w:jc w:val="center"/>
              <w:rPr>
                <w:color w:val="000000"/>
                <w:sz w:val="20"/>
              </w:rPr>
            </w:pPr>
            <w:r w:rsidRPr="00B33D2F">
              <w:rPr>
                <w:color w:val="000000"/>
                <w:sz w:val="20"/>
              </w:rPr>
              <w:t>3050</w:t>
            </w:r>
          </w:p>
        </w:tc>
        <w:tc>
          <w:tcPr>
            <w:tcW w:w="810" w:type="dxa"/>
            <w:tcBorders>
              <w:top w:val="nil"/>
              <w:left w:val="nil"/>
              <w:bottom w:val="single" w:sz="4" w:space="0" w:color="auto"/>
              <w:right w:val="single" w:sz="4" w:space="0" w:color="auto"/>
            </w:tcBorders>
            <w:shd w:val="clear" w:color="auto" w:fill="auto"/>
            <w:noWrap/>
            <w:vAlign w:val="bottom"/>
            <w:hideMark/>
          </w:tcPr>
          <w:p w:rsidR="00FE11BA" w:rsidRPr="00B33D2F" w14:paraId="5359D249" w14:textId="77777777">
            <w:pPr>
              <w:jc w:val="center"/>
              <w:rPr>
                <w:color w:val="000000"/>
                <w:sz w:val="20"/>
              </w:rPr>
            </w:pPr>
            <w:r w:rsidRPr="00B33D2F">
              <w:rPr>
                <w:color w:val="000000"/>
                <w:sz w:val="20"/>
              </w:rPr>
              <w:t>1</w:t>
            </w:r>
          </w:p>
        </w:tc>
        <w:tc>
          <w:tcPr>
            <w:tcW w:w="875" w:type="dxa"/>
            <w:tcBorders>
              <w:top w:val="nil"/>
              <w:left w:val="nil"/>
              <w:bottom w:val="single" w:sz="4" w:space="0" w:color="auto"/>
              <w:right w:val="single" w:sz="4" w:space="0" w:color="auto"/>
            </w:tcBorders>
            <w:shd w:val="clear" w:color="auto" w:fill="auto"/>
            <w:noWrap/>
            <w:vAlign w:val="bottom"/>
            <w:hideMark/>
          </w:tcPr>
          <w:p w:rsidR="00FE11BA" w:rsidRPr="00B33D2F" w14:paraId="37E52631" w14:textId="77777777">
            <w:pPr>
              <w:jc w:val="center"/>
              <w:rPr>
                <w:color w:val="000000"/>
                <w:sz w:val="20"/>
              </w:rPr>
            </w:pPr>
            <w:r w:rsidRPr="00B33D2F">
              <w:rPr>
                <w:color w:val="000000"/>
                <w:sz w:val="20"/>
              </w:rPr>
              <w:t>1440</w:t>
            </w:r>
          </w:p>
        </w:tc>
        <w:tc>
          <w:tcPr>
            <w:tcW w:w="835" w:type="dxa"/>
            <w:tcBorders>
              <w:top w:val="nil"/>
              <w:left w:val="nil"/>
              <w:bottom w:val="single" w:sz="4" w:space="0" w:color="auto"/>
              <w:right w:val="single" w:sz="4" w:space="0" w:color="auto"/>
            </w:tcBorders>
            <w:shd w:val="clear" w:color="auto" w:fill="auto"/>
            <w:noWrap/>
            <w:vAlign w:val="bottom"/>
            <w:hideMark/>
          </w:tcPr>
          <w:p w:rsidR="00FE11BA" w:rsidRPr="00B33D2F" w14:paraId="6CF70050" w14:textId="77777777">
            <w:pPr>
              <w:jc w:val="center"/>
              <w:rPr>
                <w:color w:val="000000"/>
                <w:sz w:val="20"/>
              </w:rPr>
            </w:pPr>
            <w:r w:rsidRPr="00B33D2F">
              <w:rPr>
                <w:color w:val="000000"/>
                <w:sz w:val="20"/>
              </w:rPr>
              <w:t>1440</w:t>
            </w:r>
          </w:p>
        </w:tc>
        <w:tc>
          <w:tcPr>
            <w:tcW w:w="876" w:type="dxa"/>
            <w:tcBorders>
              <w:top w:val="nil"/>
              <w:left w:val="nil"/>
              <w:bottom w:val="single" w:sz="4" w:space="0" w:color="auto"/>
              <w:right w:val="single" w:sz="4" w:space="0" w:color="auto"/>
            </w:tcBorders>
            <w:shd w:val="clear" w:color="auto" w:fill="auto"/>
            <w:noWrap/>
            <w:vAlign w:val="bottom"/>
            <w:hideMark/>
          </w:tcPr>
          <w:p w:rsidR="00FE11BA" w:rsidRPr="00B33D2F" w14:paraId="5AD3E716" w14:textId="77777777">
            <w:pPr>
              <w:jc w:val="center"/>
              <w:rPr>
                <w:color w:val="000000"/>
                <w:sz w:val="20"/>
              </w:rPr>
            </w:pPr>
            <w:r w:rsidRPr="00B33D2F">
              <w:rPr>
                <w:color w:val="000000"/>
                <w:sz w:val="20"/>
              </w:rPr>
              <w:t>3</w:t>
            </w:r>
          </w:p>
        </w:tc>
        <w:tc>
          <w:tcPr>
            <w:tcW w:w="1014" w:type="dxa"/>
            <w:tcBorders>
              <w:top w:val="nil"/>
              <w:left w:val="nil"/>
              <w:bottom w:val="single" w:sz="4" w:space="0" w:color="auto"/>
              <w:right w:val="single" w:sz="4" w:space="0" w:color="auto"/>
            </w:tcBorders>
            <w:shd w:val="clear" w:color="auto" w:fill="auto"/>
            <w:noWrap/>
            <w:vAlign w:val="bottom"/>
            <w:hideMark/>
          </w:tcPr>
          <w:p w:rsidR="00FE11BA" w:rsidRPr="00B33D2F" w14:paraId="0E5511BC" w14:textId="77777777">
            <w:pPr>
              <w:jc w:val="center"/>
              <w:rPr>
                <w:color w:val="000000"/>
                <w:sz w:val="20"/>
              </w:rPr>
            </w:pPr>
            <w:r w:rsidRPr="00B33D2F">
              <w:rPr>
                <w:color w:val="000000"/>
                <w:sz w:val="20"/>
              </w:rPr>
              <w:t>72</w:t>
            </w:r>
          </w:p>
        </w:tc>
        <w:tc>
          <w:tcPr>
            <w:tcW w:w="810" w:type="dxa"/>
            <w:tcBorders>
              <w:top w:val="nil"/>
              <w:left w:val="nil"/>
              <w:bottom w:val="single" w:sz="4" w:space="0" w:color="auto"/>
              <w:right w:val="single" w:sz="4" w:space="0" w:color="auto"/>
            </w:tcBorders>
            <w:shd w:val="clear" w:color="auto" w:fill="auto"/>
            <w:noWrap/>
            <w:vAlign w:val="bottom"/>
            <w:hideMark/>
          </w:tcPr>
          <w:p w:rsidR="00FE11BA" w:rsidRPr="00B33D2F" w14:paraId="70960B7F" w14:textId="77777777">
            <w:pPr>
              <w:jc w:val="center"/>
              <w:rPr>
                <w:color w:val="000000"/>
                <w:sz w:val="20"/>
              </w:rPr>
            </w:pPr>
            <w:r w:rsidRPr="00B33D2F">
              <w:rPr>
                <w:color w:val="000000"/>
                <w:sz w:val="20"/>
              </w:rPr>
              <w:t>1610</w:t>
            </w:r>
          </w:p>
        </w:tc>
        <w:tc>
          <w:tcPr>
            <w:tcW w:w="810" w:type="dxa"/>
            <w:tcBorders>
              <w:top w:val="nil"/>
              <w:left w:val="nil"/>
              <w:bottom w:val="single" w:sz="4" w:space="0" w:color="auto"/>
              <w:right w:val="single" w:sz="4" w:space="0" w:color="auto"/>
            </w:tcBorders>
            <w:shd w:val="clear" w:color="auto" w:fill="auto"/>
            <w:noWrap/>
            <w:vAlign w:val="bottom"/>
            <w:hideMark/>
          </w:tcPr>
          <w:p w:rsidR="00FE11BA" w:rsidRPr="00B33D2F" w14:paraId="4743FBCD" w14:textId="77777777">
            <w:pPr>
              <w:jc w:val="center"/>
              <w:rPr>
                <w:color w:val="000000"/>
                <w:sz w:val="20"/>
              </w:rPr>
            </w:pPr>
            <w:r w:rsidRPr="00B33D2F">
              <w:rPr>
                <w:color w:val="000000"/>
                <w:sz w:val="20"/>
              </w:rPr>
              <w:t>1610</w:t>
            </w:r>
          </w:p>
        </w:tc>
        <w:tc>
          <w:tcPr>
            <w:tcW w:w="711" w:type="dxa"/>
            <w:tcBorders>
              <w:top w:val="nil"/>
              <w:left w:val="nil"/>
              <w:bottom w:val="single" w:sz="4" w:space="0" w:color="auto"/>
              <w:right w:val="single" w:sz="4" w:space="0" w:color="auto"/>
            </w:tcBorders>
            <w:shd w:val="clear" w:color="auto" w:fill="auto"/>
            <w:noWrap/>
            <w:vAlign w:val="bottom"/>
            <w:hideMark/>
          </w:tcPr>
          <w:p w:rsidR="00FE11BA" w:rsidRPr="00B33D2F" w14:paraId="161FBA45" w14:textId="77777777">
            <w:pPr>
              <w:jc w:val="center"/>
              <w:rPr>
                <w:color w:val="000000"/>
                <w:sz w:val="20"/>
              </w:rPr>
            </w:pPr>
            <w:r w:rsidRPr="00B33D2F">
              <w:rPr>
                <w:color w:val="000000"/>
                <w:sz w:val="20"/>
              </w:rPr>
              <w:t>3</w:t>
            </w:r>
          </w:p>
        </w:tc>
        <w:tc>
          <w:tcPr>
            <w:tcW w:w="999" w:type="dxa"/>
            <w:tcBorders>
              <w:top w:val="nil"/>
              <w:left w:val="nil"/>
              <w:bottom w:val="single" w:sz="4" w:space="0" w:color="auto"/>
              <w:right w:val="single" w:sz="4" w:space="0" w:color="auto"/>
            </w:tcBorders>
            <w:shd w:val="clear" w:color="auto" w:fill="auto"/>
            <w:noWrap/>
            <w:vAlign w:val="bottom"/>
            <w:hideMark/>
          </w:tcPr>
          <w:p w:rsidR="00FE11BA" w:rsidRPr="00B33D2F" w14:paraId="5A39B7E4" w14:textId="77777777">
            <w:pPr>
              <w:jc w:val="center"/>
              <w:rPr>
                <w:color w:val="000000"/>
                <w:sz w:val="20"/>
              </w:rPr>
            </w:pPr>
            <w:r w:rsidRPr="00B33D2F">
              <w:rPr>
                <w:color w:val="000000"/>
                <w:sz w:val="20"/>
              </w:rPr>
              <w:t>80.5</w:t>
            </w:r>
          </w:p>
        </w:tc>
        <w:tc>
          <w:tcPr>
            <w:tcW w:w="900" w:type="dxa"/>
            <w:tcBorders>
              <w:top w:val="nil"/>
              <w:left w:val="nil"/>
              <w:bottom w:val="single" w:sz="4" w:space="0" w:color="auto"/>
              <w:right w:val="single" w:sz="4" w:space="0" w:color="auto"/>
            </w:tcBorders>
            <w:shd w:val="clear" w:color="auto" w:fill="auto"/>
            <w:noWrap/>
            <w:vAlign w:val="bottom"/>
            <w:hideMark/>
          </w:tcPr>
          <w:p w:rsidR="00FE11BA" w:rsidRPr="00B33D2F" w14:paraId="735082F6" w14:textId="77777777">
            <w:pPr>
              <w:jc w:val="center"/>
              <w:rPr>
                <w:color w:val="000000"/>
                <w:sz w:val="20"/>
              </w:rPr>
            </w:pPr>
            <w:r w:rsidRPr="00B33D2F">
              <w:rPr>
                <w:color w:val="000000"/>
                <w:sz w:val="20"/>
              </w:rPr>
              <w:t>152.5</w:t>
            </w:r>
          </w:p>
        </w:tc>
      </w:tr>
      <w:tr w14:paraId="0D340997" w14:textId="77777777">
        <w:tblPrEx>
          <w:tblW w:w="11183" w:type="dxa"/>
          <w:tblInd w:w="-928" w:type="dxa"/>
          <w:tblLayout w:type="fixed"/>
          <w:tblLook w:val="04A0"/>
        </w:tblPrEx>
        <w:trPr>
          <w:trHeight w:val="357"/>
        </w:trPr>
        <w:tc>
          <w:tcPr>
            <w:tcW w:w="1554" w:type="dxa"/>
            <w:tcBorders>
              <w:top w:val="nil"/>
              <w:left w:val="single" w:sz="4" w:space="0" w:color="auto"/>
              <w:bottom w:val="single" w:sz="4" w:space="0" w:color="auto"/>
              <w:right w:val="single" w:sz="4" w:space="0" w:color="auto"/>
            </w:tcBorders>
            <w:shd w:val="clear" w:color="auto" w:fill="auto"/>
            <w:vAlign w:val="bottom"/>
          </w:tcPr>
          <w:p w:rsidR="00FE11BA" w:rsidRPr="00B33D2F" w14:paraId="59F93C79" w14:textId="77777777">
            <w:pPr>
              <w:jc w:val="center"/>
              <w:rPr>
                <w:color w:val="000000"/>
                <w:sz w:val="20"/>
              </w:rPr>
            </w:pPr>
            <w:r>
              <w:rPr>
                <w:color w:val="000000"/>
                <w:sz w:val="20"/>
              </w:rPr>
              <w:t>Screener</w:t>
            </w:r>
          </w:p>
        </w:tc>
        <w:tc>
          <w:tcPr>
            <w:tcW w:w="989" w:type="dxa"/>
            <w:tcBorders>
              <w:top w:val="nil"/>
              <w:left w:val="nil"/>
              <w:bottom w:val="single" w:sz="4" w:space="0" w:color="auto"/>
              <w:right w:val="single" w:sz="4" w:space="0" w:color="auto"/>
            </w:tcBorders>
            <w:shd w:val="clear" w:color="auto" w:fill="auto"/>
            <w:noWrap/>
            <w:vAlign w:val="bottom"/>
          </w:tcPr>
          <w:p w:rsidR="00FE11BA" w:rsidRPr="00B33D2F" w14:paraId="4991DAAD" w14:textId="77777777">
            <w:pPr>
              <w:jc w:val="center"/>
              <w:rPr>
                <w:color w:val="000000"/>
                <w:sz w:val="20"/>
              </w:rPr>
            </w:pPr>
            <w:r>
              <w:rPr>
                <w:color w:val="000000"/>
                <w:sz w:val="20"/>
              </w:rPr>
              <w:t>1440</w:t>
            </w:r>
          </w:p>
        </w:tc>
        <w:tc>
          <w:tcPr>
            <w:tcW w:w="810" w:type="dxa"/>
            <w:tcBorders>
              <w:top w:val="nil"/>
              <w:left w:val="nil"/>
              <w:bottom w:val="single" w:sz="4" w:space="0" w:color="auto"/>
              <w:right w:val="single" w:sz="4" w:space="0" w:color="auto"/>
            </w:tcBorders>
            <w:shd w:val="clear" w:color="auto" w:fill="auto"/>
            <w:noWrap/>
            <w:vAlign w:val="bottom"/>
          </w:tcPr>
          <w:p w:rsidR="00FE11BA" w:rsidRPr="00B33D2F" w14:paraId="7B7F0E30" w14:textId="77777777">
            <w:pPr>
              <w:jc w:val="center"/>
              <w:rPr>
                <w:color w:val="000000"/>
                <w:sz w:val="20"/>
              </w:rPr>
            </w:pPr>
            <w:r>
              <w:rPr>
                <w:color w:val="000000"/>
                <w:sz w:val="20"/>
              </w:rPr>
              <w:t>1</w:t>
            </w:r>
          </w:p>
        </w:tc>
        <w:tc>
          <w:tcPr>
            <w:tcW w:w="875" w:type="dxa"/>
            <w:tcBorders>
              <w:top w:val="nil"/>
              <w:left w:val="nil"/>
              <w:bottom w:val="single" w:sz="4" w:space="0" w:color="auto"/>
              <w:right w:val="single" w:sz="4" w:space="0" w:color="auto"/>
            </w:tcBorders>
            <w:shd w:val="clear" w:color="auto" w:fill="auto"/>
            <w:noWrap/>
            <w:vAlign w:val="bottom"/>
          </w:tcPr>
          <w:p w:rsidR="00FE11BA" w:rsidRPr="00B33D2F" w14:paraId="5450447E" w14:textId="77777777">
            <w:pPr>
              <w:jc w:val="center"/>
              <w:rPr>
                <w:color w:val="000000"/>
                <w:sz w:val="20"/>
              </w:rPr>
            </w:pPr>
            <w:r>
              <w:rPr>
                <w:color w:val="000000"/>
                <w:sz w:val="20"/>
              </w:rPr>
              <w:t>36</w:t>
            </w:r>
          </w:p>
        </w:tc>
        <w:tc>
          <w:tcPr>
            <w:tcW w:w="835" w:type="dxa"/>
            <w:tcBorders>
              <w:top w:val="nil"/>
              <w:left w:val="nil"/>
              <w:bottom w:val="single" w:sz="4" w:space="0" w:color="auto"/>
              <w:right w:val="single" w:sz="4" w:space="0" w:color="auto"/>
            </w:tcBorders>
            <w:shd w:val="clear" w:color="auto" w:fill="auto"/>
            <w:noWrap/>
            <w:vAlign w:val="bottom"/>
          </w:tcPr>
          <w:p w:rsidR="00FE11BA" w:rsidRPr="00B33D2F" w14:paraId="266075C2" w14:textId="77777777">
            <w:pPr>
              <w:jc w:val="center"/>
              <w:rPr>
                <w:color w:val="000000"/>
                <w:sz w:val="20"/>
              </w:rPr>
            </w:pPr>
            <w:r>
              <w:rPr>
                <w:color w:val="000000"/>
                <w:sz w:val="20"/>
              </w:rPr>
              <w:t>36</w:t>
            </w:r>
          </w:p>
        </w:tc>
        <w:tc>
          <w:tcPr>
            <w:tcW w:w="876" w:type="dxa"/>
            <w:tcBorders>
              <w:top w:val="nil"/>
              <w:left w:val="nil"/>
              <w:bottom w:val="single" w:sz="4" w:space="0" w:color="auto"/>
              <w:right w:val="single" w:sz="4" w:space="0" w:color="auto"/>
            </w:tcBorders>
            <w:shd w:val="clear" w:color="auto" w:fill="auto"/>
            <w:noWrap/>
            <w:vAlign w:val="bottom"/>
          </w:tcPr>
          <w:p w:rsidR="00FE11BA" w:rsidRPr="00B33D2F" w14:paraId="5D92611A" w14:textId="77777777">
            <w:pPr>
              <w:jc w:val="center"/>
              <w:rPr>
                <w:color w:val="000000"/>
                <w:sz w:val="20"/>
              </w:rPr>
            </w:pPr>
            <w:r>
              <w:rPr>
                <w:color w:val="000000"/>
                <w:sz w:val="20"/>
              </w:rPr>
              <w:t>15</w:t>
            </w:r>
          </w:p>
        </w:tc>
        <w:tc>
          <w:tcPr>
            <w:tcW w:w="1014" w:type="dxa"/>
            <w:tcBorders>
              <w:top w:val="nil"/>
              <w:left w:val="nil"/>
              <w:bottom w:val="single" w:sz="4" w:space="0" w:color="auto"/>
              <w:right w:val="single" w:sz="4" w:space="0" w:color="auto"/>
            </w:tcBorders>
            <w:shd w:val="clear" w:color="auto" w:fill="auto"/>
            <w:noWrap/>
            <w:vAlign w:val="bottom"/>
          </w:tcPr>
          <w:p w:rsidR="00FE11BA" w:rsidRPr="00B33D2F" w14:paraId="53A4032D" w14:textId="77777777">
            <w:pPr>
              <w:jc w:val="center"/>
              <w:rPr>
                <w:color w:val="000000"/>
                <w:sz w:val="20"/>
              </w:rPr>
            </w:pPr>
            <w:r>
              <w:rPr>
                <w:color w:val="000000"/>
                <w:sz w:val="20"/>
              </w:rPr>
              <w:t>9</w:t>
            </w:r>
          </w:p>
        </w:tc>
        <w:tc>
          <w:tcPr>
            <w:tcW w:w="810" w:type="dxa"/>
            <w:tcBorders>
              <w:top w:val="nil"/>
              <w:left w:val="nil"/>
              <w:bottom w:val="single" w:sz="4" w:space="0" w:color="auto"/>
              <w:right w:val="single" w:sz="4" w:space="0" w:color="auto"/>
            </w:tcBorders>
            <w:shd w:val="clear" w:color="auto" w:fill="auto"/>
            <w:noWrap/>
            <w:vAlign w:val="bottom"/>
          </w:tcPr>
          <w:p w:rsidR="00FE11BA" w:rsidRPr="00B33D2F" w14:paraId="561AC24B" w14:textId="77777777">
            <w:pPr>
              <w:jc w:val="center"/>
              <w:rPr>
                <w:color w:val="000000"/>
                <w:sz w:val="20"/>
              </w:rPr>
            </w:pPr>
            <w:r>
              <w:rPr>
                <w:color w:val="000000"/>
                <w:sz w:val="20"/>
              </w:rPr>
              <w:t>1404</w:t>
            </w:r>
          </w:p>
        </w:tc>
        <w:tc>
          <w:tcPr>
            <w:tcW w:w="810" w:type="dxa"/>
            <w:tcBorders>
              <w:top w:val="nil"/>
              <w:left w:val="nil"/>
              <w:bottom w:val="single" w:sz="4" w:space="0" w:color="auto"/>
              <w:right w:val="single" w:sz="4" w:space="0" w:color="auto"/>
            </w:tcBorders>
            <w:shd w:val="clear" w:color="auto" w:fill="auto"/>
            <w:noWrap/>
            <w:vAlign w:val="bottom"/>
          </w:tcPr>
          <w:p w:rsidR="00FE11BA" w:rsidRPr="00B33D2F" w14:paraId="5B9C9521" w14:textId="77777777">
            <w:pPr>
              <w:jc w:val="center"/>
              <w:rPr>
                <w:color w:val="000000"/>
                <w:sz w:val="20"/>
              </w:rPr>
            </w:pPr>
            <w:r>
              <w:rPr>
                <w:color w:val="000000"/>
                <w:sz w:val="20"/>
              </w:rPr>
              <w:t>1404</w:t>
            </w:r>
          </w:p>
        </w:tc>
        <w:tc>
          <w:tcPr>
            <w:tcW w:w="711" w:type="dxa"/>
            <w:tcBorders>
              <w:top w:val="nil"/>
              <w:left w:val="nil"/>
              <w:bottom w:val="single" w:sz="4" w:space="0" w:color="auto"/>
              <w:right w:val="single" w:sz="4" w:space="0" w:color="auto"/>
            </w:tcBorders>
            <w:shd w:val="clear" w:color="auto" w:fill="auto"/>
            <w:noWrap/>
            <w:vAlign w:val="bottom"/>
          </w:tcPr>
          <w:p w:rsidR="00FE11BA" w:rsidRPr="00B33D2F" w14:paraId="211203AF" w14:textId="77777777">
            <w:pPr>
              <w:jc w:val="center"/>
              <w:rPr>
                <w:color w:val="000000"/>
                <w:sz w:val="20"/>
              </w:rPr>
            </w:pPr>
            <w:r>
              <w:rPr>
                <w:color w:val="000000"/>
                <w:sz w:val="20"/>
              </w:rPr>
              <w:t>15</w:t>
            </w:r>
          </w:p>
        </w:tc>
        <w:tc>
          <w:tcPr>
            <w:tcW w:w="999" w:type="dxa"/>
            <w:tcBorders>
              <w:top w:val="nil"/>
              <w:left w:val="nil"/>
              <w:bottom w:val="single" w:sz="4" w:space="0" w:color="auto"/>
              <w:right w:val="single" w:sz="4" w:space="0" w:color="auto"/>
            </w:tcBorders>
            <w:shd w:val="clear" w:color="auto" w:fill="auto"/>
            <w:noWrap/>
            <w:vAlign w:val="bottom"/>
          </w:tcPr>
          <w:p w:rsidR="00FE11BA" w:rsidRPr="00B33D2F" w14:paraId="4B240B3E" w14:textId="77777777">
            <w:pPr>
              <w:jc w:val="center"/>
              <w:rPr>
                <w:color w:val="000000"/>
                <w:sz w:val="20"/>
              </w:rPr>
            </w:pPr>
            <w:r>
              <w:rPr>
                <w:color w:val="000000"/>
                <w:sz w:val="20"/>
              </w:rPr>
              <w:t>351</w:t>
            </w:r>
          </w:p>
        </w:tc>
        <w:tc>
          <w:tcPr>
            <w:tcW w:w="900" w:type="dxa"/>
            <w:tcBorders>
              <w:top w:val="nil"/>
              <w:left w:val="nil"/>
              <w:bottom w:val="single" w:sz="4" w:space="0" w:color="auto"/>
              <w:right w:val="single" w:sz="4" w:space="0" w:color="auto"/>
            </w:tcBorders>
            <w:shd w:val="clear" w:color="auto" w:fill="auto"/>
            <w:noWrap/>
            <w:vAlign w:val="bottom"/>
          </w:tcPr>
          <w:p w:rsidR="00FE11BA" w:rsidRPr="00B33D2F" w14:paraId="40D02BFB" w14:textId="77777777">
            <w:pPr>
              <w:jc w:val="center"/>
              <w:rPr>
                <w:color w:val="000000"/>
                <w:sz w:val="20"/>
              </w:rPr>
            </w:pPr>
            <w:r>
              <w:rPr>
                <w:color w:val="000000"/>
                <w:sz w:val="20"/>
              </w:rPr>
              <w:t>360</w:t>
            </w:r>
          </w:p>
        </w:tc>
      </w:tr>
      <w:tr w14:paraId="1A6CFE6F" w14:textId="77777777">
        <w:tblPrEx>
          <w:tblW w:w="11183" w:type="dxa"/>
          <w:tblInd w:w="-928" w:type="dxa"/>
          <w:tblLayout w:type="fixed"/>
          <w:tblLook w:val="04A0"/>
        </w:tblPrEx>
        <w:trPr>
          <w:trHeight w:val="382"/>
        </w:trPr>
        <w:tc>
          <w:tcPr>
            <w:tcW w:w="1554" w:type="dxa"/>
            <w:tcBorders>
              <w:top w:val="nil"/>
              <w:left w:val="single" w:sz="4" w:space="0" w:color="auto"/>
              <w:bottom w:val="single" w:sz="4" w:space="0" w:color="auto"/>
              <w:right w:val="single" w:sz="4" w:space="0" w:color="auto"/>
            </w:tcBorders>
            <w:shd w:val="clear" w:color="auto" w:fill="auto"/>
            <w:vAlign w:val="bottom"/>
            <w:hideMark/>
          </w:tcPr>
          <w:p w:rsidR="00FE11BA" w:rsidRPr="001F42F5" w14:paraId="20608B52" w14:textId="77777777">
            <w:pPr>
              <w:jc w:val="center"/>
              <w:rPr>
                <w:color w:val="000000"/>
                <w:sz w:val="20"/>
              </w:rPr>
            </w:pPr>
            <w:r w:rsidRPr="001F42F5">
              <w:rPr>
                <w:color w:val="000000"/>
                <w:sz w:val="20"/>
              </w:rPr>
              <w:t> </w:t>
            </w:r>
          </w:p>
        </w:tc>
        <w:tc>
          <w:tcPr>
            <w:tcW w:w="989" w:type="dxa"/>
            <w:tcBorders>
              <w:top w:val="nil"/>
              <w:left w:val="nil"/>
              <w:bottom w:val="single" w:sz="4" w:space="0" w:color="auto"/>
              <w:right w:val="single" w:sz="4" w:space="0" w:color="auto"/>
            </w:tcBorders>
            <w:shd w:val="clear" w:color="auto" w:fill="auto"/>
            <w:noWrap/>
            <w:vAlign w:val="bottom"/>
            <w:hideMark/>
          </w:tcPr>
          <w:p w:rsidR="00FE11BA" w:rsidRPr="001F42F5" w14:paraId="32CD9BBC" w14:textId="77777777">
            <w:pPr>
              <w:jc w:val="center"/>
              <w:rPr>
                <w:color w:val="000000"/>
                <w:sz w:val="20"/>
              </w:rPr>
            </w:pPr>
            <w:r w:rsidRPr="001F42F5">
              <w:rPr>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FE11BA" w:rsidRPr="001F42F5" w14:paraId="14DC5810" w14:textId="77777777">
            <w:pPr>
              <w:jc w:val="center"/>
              <w:rPr>
                <w:color w:val="000000"/>
                <w:sz w:val="20"/>
              </w:rPr>
            </w:pPr>
            <w:r w:rsidRPr="001F42F5">
              <w:rPr>
                <w:color w:val="000000"/>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rsidR="00FE11BA" w:rsidRPr="001F42F5" w14:paraId="642B0C57" w14:textId="77777777">
            <w:pPr>
              <w:jc w:val="center"/>
              <w:rPr>
                <w:color w:val="000000"/>
                <w:sz w:val="20"/>
              </w:rPr>
            </w:pPr>
            <w:r w:rsidRPr="001F42F5">
              <w:rPr>
                <w:color w:val="000000"/>
                <w:sz w:val="20"/>
              </w:rPr>
              <w:t> </w:t>
            </w:r>
          </w:p>
        </w:tc>
        <w:tc>
          <w:tcPr>
            <w:tcW w:w="835" w:type="dxa"/>
            <w:tcBorders>
              <w:top w:val="nil"/>
              <w:left w:val="nil"/>
              <w:bottom w:val="single" w:sz="4" w:space="0" w:color="auto"/>
              <w:right w:val="single" w:sz="4" w:space="0" w:color="auto"/>
            </w:tcBorders>
            <w:shd w:val="clear" w:color="auto" w:fill="auto"/>
            <w:noWrap/>
            <w:vAlign w:val="bottom"/>
            <w:hideMark/>
          </w:tcPr>
          <w:p w:rsidR="00FE11BA" w:rsidRPr="001F42F5" w14:paraId="62855E17" w14:textId="77777777">
            <w:pPr>
              <w:jc w:val="center"/>
              <w:rPr>
                <w:color w:val="000000"/>
                <w:sz w:val="20"/>
              </w:rPr>
            </w:pPr>
            <w:r w:rsidRPr="001F42F5">
              <w:rPr>
                <w:color w:val="000000"/>
                <w:sz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FE11BA" w:rsidRPr="001F42F5" w14:paraId="31777531" w14:textId="77777777">
            <w:pPr>
              <w:jc w:val="center"/>
              <w:rPr>
                <w:color w:val="000000"/>
                <w:sz w:val="20"/>
              </w:rPr>
            </w:pPr>
            <w:r w:rsidRPr="001F42F5">
              <w:rPr>
                <w:color w:val="000000"/>
                <w:sz w:val="20"/>
              </w:rPr>
              <w:t> </w:t>
            </w:r>
          </w:p>
        </w:tc>
        <w:tc>
          <w:tcPr>
            <w:tcW w:w="1014" w:type="dxa"/>
            <w:tcBorders>
              <w:top w:val="nil"/>
              <w:left w:val="nil"/>
              <w:bottom w:val="single" w:sz="4" w:space="0" w:color="auto"/>
              <w:right w:val="single" w:sz="4" w:space="0" w:color="auto"/>
            </w:tcBorders>
            <w:shd w:val="clear" w:color="auto" w:fill="auto"/>
            <w:noWrap/>
            <w:vAlign w:val="bottom"/>
            <w:hideMark/>
          </w:tcPr>
          <w:p w:rsidR="00FE11BA" w:rsidRPr="001F42F5" w14:paraId="4ED7B4AA" w14:textId="77777777">
            <w:pPr>
              <w:jc w:val="center"/>
              <w:rPr>
                <w:color w:val="000000"/>
                <w:sz w:val="20"/>
              </w:rPr>
            </w:pPr>
            <w:r w:rsidRPr="001F42F5">
              <w:rPr>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FE11BA" w:rsidRPr="001F42F5" w14:paraId="443AABC2" w14:textId="77777777">
            <w:pPr>
              <w:jc w:val="center"/>
              <w:rPr>
                <w:color w:val="000000"/>
                <w:sz w:val="20"/>
              </w:rPr>
            </w:pPr>
            <w:r w:rsidRPr="001F42F5">
              <w:rPr>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FE11BA" w:rsidRPr="001F42F5" w14:paraId="19DC0EB1" w14:textId="77777777">
            <w:pPr>
              <w:jc w:val="center"/>
              <w:rPr>
                <w:color w:val="000000"/>
                <w:sz w:val="20"/>
              </w:rPr>
            </w:pPr>
            <w:r w:rsidRPr="001F42F5">
              <w:rPr>
                <w:color w:val="000000"/>
                <w:sz w:val="20"/>
              </w:rPr>
              <w:t> </w:t>
            </w:r>
          </w:p>
        </w:tc>
        <w:tc>
          <w:tcPr>
            <w:tcW w:w="711" w:type="dxa"/>
            <w:tcBorders>
              <w:top w:val="nil"/>
              <w:left w:val="nil"/>
              <w:bottom w:val="single" w:sz="4" w:space="0" w:color="auto"/>
              <w:right w:val="single" w:sz="4" w:space="0" w:color="auto"/>
            </w:tcBorders>
            <w:shd w:val="clear" w:color="auto" w:fill="auto"/>
            <w:noWrap/>
            <w:vAlign w:val="bottom"/>
            <w:hideMark/>
          </w:tcPr>
          <w:p w:rsidR="00FE11BA" w:rsidRPr="001F42F5" w14:paraId="2A2C4E48" w14:textId="77777777">
            <w:pPr>
              <w:jc w:val="center"/>
              <w:rPr>
                <w:color w:val="000000"/>
                <w:sz w:val="20"/>
              </w:rPr>
            </w:pPr>
            <w:r w:rsidRPr="001F42F5">
              <w:rPr>
                <w:color w:val="000000"/>
                <w:sz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FE11BA" w:rsidRPr="001F42F5" w14:paraId="00C3D98E" w14:textId="77777777">
            <w:pPr>
              <w:jc w:val="center"/>
              <w:rPr>
                <w:color w:val="000000"/>
                <w:sz w:val="20"/>
              </w:rPr>
            </w:pPr>
            <w:r w:rsidRPr="001F42F5">
              <w:rPr>
                <w:color w:val="000000"/>
                <w:sz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FE11BA" w:rsidRPr="001F42F5" w14:paraId="747DD54E" w14:textId="77777777">
            <w:pPr>
              <w:jc w:val="center"/>
              <w:rPr>
                <w:color w:val="000000"/>
                <w:sz w:val="20"/>
              </w:rPr>
            </w:pPr>
            <w:r w:rsidRPr="001F42F5">
              <w:rPr>
                <w:color w:val="000000"/>
                <w:sz w:val="20"/>
              </w:rPr>
              <w:t> </w:t>
            </w:r>
          </w:p>
        </w:tc>
      </w:tr>
      <w:tr w14:paraId="33DE440C" w14:textId="77777777">
        <w:tblPrEx>
          <w:tblW w:w="11183" w:type="dxa"/>
          <w:tblInd w:w="-928" w:type="dxa"/>
          <w:tblLayout w:type="fixed"/>
          <w:tblLook w:val="04A0"/>
        </w:tblPrEx>
        <w:trPr>
          <w:trHeight w:val="382"/>
        </w:trPr>
        <w:tc>
          <w:tcPr>
            <w:tcW w:w="1554" w:type="dxa"/>
            <w:tcBorders>
              <w:top w:val="nil"/>
              <w:left w:val="single" w:sz="4" w:space="0" w:color="auto"/>
              <w:bottom w:val="single" w:sz="4" w:space="0" w:color="auto"/>
              <w:right w:val="single" w:sz="4" w:space="0" w:color="auto"/>
            </w:tcBorders>
            <w:shd w:val="clear" w:color="auto" w:fill="auto"/>
            <w:vAlign w:val="bottom"/>
          </w:tcPr>
          <w:p w:rsidR="00FE11BA" w:rsidRPr="001F42F5" w14:paraId="6269B952" w14:textId="77777777">
            <w:pPr>
              <w:jc w:val="center"/>
              <w:rPr>
                <w:color w:val="000000"/>
                <w:sz w:val="20"/>
              </w:rPr>
            </w:pPr>
            <w:r w:rsidRPr="001F42F5">
              <w:rPr>
                <w:b/>
                <w:bCs/>
                <w:color w:val="000000"/>
                <w:sz w:val="20"/>
              </w:rPr>
              <w:t>In Depth Interview</w:t>
            </w:r>
          </w:p>
        </w:tc>
        <w:tc>
          <w:tcPr>
            <w:tcW w:w="989" w:type="dxa"/>
            <w:tcBorders>
              <w:top w:val="nil"/>
              <w:left w:val="nil"/>
              <w:bottom w:val="single" w:sz="4" w:space="0" w:color="auto"/>
              <w:right w:val="single" w:sz="4" w:space="0" w:color="auto"/>
            </w:tcBorders>
            <w:shd w:val="clear" w:color="auto" w:fill="auto"/>
            <w:noWrap/>
            <w:vAlign w:val="bottom"/>
          </w:tcPr>
          <w:p w:rsidR="00FE11BA" w:rsidRPr="001F42F5" w14:paraId="0CF76632" w14:textId="77777777">
            <w:pPr>
              <w:jc w:val="center"/>
              <w:rPr>
                <w:color w:val="000000"/>
                <w:sz w:val="20"/>
              </w:rPr>
            </w:pPr>
          </w:p>
        </w:tc>
        <w:tc>
          <w:tcPr>
            <w:tcW w:w="810" w:type="dxa"/>
            <w:tcBorders>
              <w:top w:val="nil"/>
              <w:left w:val="nil"/>
              <w:bottom w:val="single" w:sz="4" w:space="0" w:color="auto"/>
              <w:right w:val="single" w:sz="4" w:space="0" w:color="auto"/>
            </w:tcBorders>
            <w:shd w:val="clear" w:color="auto" w:fill="auto"/>
            <w:noWrap/>
            <w:vAlign w:val="bottom"/>
          </w:tcPr>
          <w:p w:rsidR="00FE11BA" w:rsidRPr="001F42F5" w14:paraId="0A1832C1" w14:textId="77777777">
            <w:pPr>
              <w:jc w:val="center"/>
              <w:rPr>
                <w:color w:val="000000"/>
                <w:sz w:val="20"/>
              </w:rPr>
            </w:pPr>
          </w:p>
        </w:tc>
        <w:tc>
          <w:tcPr>
            <w:tcW w:w="875" w:type="dxa"/>
            <w:tcBorders>
              <w:top w:val="nil"/>
              <w:left w:val="nil"/>
              <w:bottom w:val="single" w:sz="4" w:space="0" w:color="auto"/>
              <w:right w:val="single" w:sz="4" w:space="0" w:color="auto"/>
            </w:tcBorders>
            <w:shd w:val="clear" w:color="auto" w:fill="auto"/>
            <w:noWrap/>
            <w:vAlign w:val="bottom"/>
          </w:tcPr>
          <w:p w:rsidR="00FE11BA" w:rsidRPr="001F42F5" w14:paraId="5D5FDE7E" w14:textId="77777777">
            <w:pPr>
              <w:jc w:val="center"/>
              <w:rPr>
                <w:color w:val="000000"/>
                <w:sz w:val="20"/>
              </w:rPr>
            </w:pPr>
          </w:p>
        </w:tc>
        <w:tc>
          <w:tcPr>
            <w:tcW w:w="835" w:type="dxa"/>
            <w:tcBorders>
              <w:top w:val="nil"/>
              <w:left w:val="nil"/>
              <w:bottom w:val="single" w:sz="4" w:space="0" w:color="auto"/>
              <w:right w:val="single" w:sz="4" w:space="0" w:color="auto"/>
            </w:tcBorders>
            <w:shd w:val="clear" w:color="auto" w:fill="auto"/>
            <w:noWrap/>
            <w:vAlign w:val="bottom"/>
          </w:tcPr>
          <w:p w:rsidR="00FE11BA" w:rsidRPr="001F42F5" w14:paraId="41E77372" w14:textId="77777777">
            <w:pPr>
              <w:jc w:val="center"/>
              <w:rPr>
                <w:color w:val="000000"/>
                <w:sz w:val="20"/>
              </w:rPr>
            </w:pPr>
          </w:p>
        </w:tc>
        <w:tc>
          <w:tcPr>
            <w:tcW w:w="876" w:type="dxa"/>
            <w:tcBorders>
              <w:top w:val="nil"/>
              <w:left w:val="nil"/>
              <w:bottom w:val="single" w:sz="4" w:space="0" w:color="auto"/>
              <w:right w:val="single" w:sz="4" w:space="0" w:color="auto"/>
            </w:tcBorders>
            <w:shd w:val="clear" w:color="auto" w:fill="auto"/>
            <w:noWrap/>
            <w:vAlign w:val="bottom"/>
          </w:tcPr>
          <w:p w:rsidR="00FE11BA" w:rsidRPr="001F42F5" w14:paraId="6744B6ED" w14:textId="77777777">
            <w:pPr>
              <w:jc w:val="center"/>
              <w:rPr>
                <w:color w:val="000000"/>
                <w:sz w:val="20"/>
              </w:rPr>
            </w:pPr>
          </w:p>
        </w:tc>
        <w:tc>
          <w:tcPr>
            <w:tcW w:w="1014" w:type="dxa"/>
            <w:tcBorders>
              <w:top w:val="nil"/>
              <w:left w:val="nil"/>
              <w:bottom w:val="single" w:sz="4" w:space="0" w:color="auto"/>
              <w:right w:val="single" w:sz="4" w:space="0" w:color="auto"/>
            </w:tcBorders>
            <w:shd w:val="clear" w:color="auto" w:fill="auto"/>
            <w:noWrap/>
            <w:vAlign w:val="bottom"/>
          </w:tcPr>
          <w:p w:rsidR="00FE11BA" w:rsidRPr="001F42F5" w14:paraId="522A8C1F" w14:textId="77777777">
            <w:pPr>
              <w:jc w:val="center"/>
              <w:rPr>
                <w:color w:val="000000"/>
                <w:sz w:val="20"/>
              </w:rPr>
            </w:pPr>
          </w:p>
        </w:tc>
        <w:tc>
          <w:tcPr>
            <w:tcW w:w="810" w:type="dxa"/>
            <w:tcBorders>
              <w:top w:val="nil"/>
              <w:left w:val="nil"/>
              <w:bottom w:val="single" w:sz="4" w:space="0" w:color="auto"/>
              <w:right w:val="single" w:sz="4" w:space="0" w:color="auto"/>
            </w:tcBorders>
            <w:shd w:val="clear" w:color="auto" w:fill="auto"/>
            <w:noWrap/>
            <w:vAlign w:val="bottom"/>
          </w:tcPr>
          <w:p w:rsidR="00FE11BA" w:rsidRPr="001F42F5" w14:paraId="454E5BED" w14:textId="77777777">
            <w:pPr>
              <w:jc w:val="center"/>
              <w:rPr>
                <w:color w:val="000000"/>
                <w:sz w:val="20"/>
              </w:rPr>
            </w:pPr>
          </w:p>
        </w:tc>
        <w:tc>
          <w:tcPr>
            <w:tcW w:w="810" w:type="dxa"/>
            <w:tcBorders>
              <w:top w:val="nil"/>
              <w:left w:val="nil"/>
              <w:bottom w:val="single" w:sz="4" w:space="0" w:color="auto"/>
              <w:right w:val="single" w:sz="4" w:space="0" w:color="auto"/>
            </w:tcBorders>
            <w:shd w:val="clear" w:color="auto" w:fill="auto"/>
            <w:noWrap/>
            <w:vAlign w:val="bottom"/>
          </w:tcPr>
          <w:p w:rsidR="00FE11BA" w:rsidRPr="001F42F5" w14:paraId="6A2964B1" w14:textId="77777777">
            <w:pPr>
              <w:jc w:val="center"/>
              <w:rPr>
                <w:color w:val="000000"/>
                <w:sz w:val="20"/>
              </w:rPr>
            </w:pPr>
          </w:p>
        </w:tc>
        <w:tc>
          <w:tcPr>
            <w:tcW w:w="711" w:type="dxa"/>
            <w:tcBorders>
              <w:top w:val="nil"/>
              <w:left w:val="nil"/>
              <w:bottom w:val="single" w:sz="4" w:space="0" w:color="auto"/>
              <w:right w:val="single" w:sz="4" w:space="0" w:color="auto"/>
            </w:tcBorders>
            <w:shd w:val="clear" w:color="auto" w:fill="auto"/>
            <w:noWrap/>
            <w:vAlign w:val="bottom"/>
          </w:tcPr>
          <w:p w:rsidR="00FE11BA" w:rsidRPr="001F42F5" w14:paraId="5108D316" w14:textId="77777777">
            <w:pPr>
              <w:jc w:val="center"/>
              <w:rPr>
                <w:color w:val="000000"/>
                <w:sz w:val="20"/>
              </w:rPr>
            </w:pPr>
          </w:p>
        </w:tc>
        <w:tc>
          <w:tcPr>
            <w:tcW w:w="999" w:type="dxa"/>
            <w:tcBorders>
              <w:top w:val="nil"/>
              <w:left w:val="nil"/>
              <w:bottom w:val="single" w:sz="4" w:space="0" w:color="auto"/>
              <w:right w:val="single" w:sz="4" w:space="0" w:color="auto"/>
            </w:tcBorders>
            <w:shd w:val="clear" w:color="auto" w:fill="auto"/>
            <w:noWrap/>
            <w:vAlign w:val="bottom"/>
          </w:tcPr>
          <w:p w:rsidR="00FE11BA" w:rsidRPr="001F42F5" w14:paraId="5A96C556" w14:textId="77777777">
            <w:pPr>
              <w:jc w:val="center"/>
              <w:rPr>
                <w:color w:val="000000"/>
                <w:sz w:val="20"/>
              </w:rPr>
            </w:pPr>
          </w:p>
        </w:tc>
        <w:tc>
          <w:tcPr>
            <w:tcW w:w="900" w:type="dxa"/>
            <w:tcBorders>
              <w:top w:val="nil"/>
              <w:left w:val="nil"/>
              <w:bottom w:val="single" w:sz="4" w:space="0" w:color="auto"/>
              <w:right w:val="single" w:sz="4" w:space="0" w:color="auto"/>
            </w:tcBorders>
            <w:shd w:val="clear" w:color="auto" w:fill="auto"/>
            <w:noWrap/>
            <w:vAlign w:val="bottom"/>
          </w:tcPr>
          <w:p w:rsidR="00FE11BA" w:rsidRPr="001F42F5" w14:paraId="651D65FB" w14:textId="77777777">
            <w:pPr>
              <w:jc w:val="center"/>
              <w:rPr>
                <w:color w:val="000000"/>
                <w:sz w:val="20"/>
              </w:rPr>
            </w:pPr>
          </w:p>
        </w:tc>
      </w:tr>
      <w:tr w14:paraId="3F5E889D" w14:textId="77777777">
        <w:tblPrEx>
          <w:tblW w:w="11183" w:type="dxa"/>
          <w:tblInd w:w="-928" w:type="dxa"/>
          <w:tblLayout w:type="fixed"/>
          <w:tblLook w:val="04A0"/>
        </w:tblPrEx>
        <w:trPr>
          <w:trHeight w:val="382"/>
        </w:trPr>
        <w:tc>
          <w:tcPr>
            <w:tcW w:w="1554" w:type="dxa"/>
            <w:tcBorders>
              <w:top w:val="nil"/>
              <w:left w:val="single" w:sz="4" w:space="0" w:color="auto"/>
              <w:bottom w:val="single" w:sz="4" w:space="0" w:color="auto"/>
              <w:right w:val="single" w:sz="4" w:space="0" w:color="auto"/>
            </w:tcBorders>
            <w:shd w:val="clear" w:color="auto" w:fill="auto"/>
            <w:vAlign w:val="bottom"/>
          </w:tcPr>
          <w:p w:rsidR="00FE11BA" w:rsidRPr="001F42F5" w14:paraId="70E54F7B" w14:textId="77777777">
            <w:pPr>
              <w:jc w:val="center"/>
              <w:rPr>
                <w:color w:val="000000"/>
                <w:sz w:val="20"/>
              </w:rPr>
            </w:pPr>
            <w:r>
              <w:rPr>
                <w:color w:val="000000"/>
                <w:sz w:val="20"/>
              </w:rPr>
              <w:t>Email Invitation</w:t>
            </w:r>
          </w:p>
        </w:tc>
        <w:tc>
          <w:tcPr>
            <w:tcW w:w="989" w:type="dxa"/>
            <w:tcBorders>
              <w:top w:val="nil"/>
              <w:left w:val="nil"/>
              <w:bottom w:val="single" w:sz="4" w:space="0" w:color="auto"/>
              <w:right w:val="single" w:sz="4" w:space="0" w:color="auto"/>
            </w:tcBorders>
            <w:shd w:val="clear" w:color="auto" w:fill="auto"/>
            <w:noWrap/>
            <w:vAlign w:val="bottom"/>
          </w:tcPr>
          <w:p w:rsidR="00FE11BA" w:rsidRPr="001F42F5" w14:paraId="28271AB2" w14:textId="77777777">
            <w:pPr>
              <w:jc w:val="center"/>
              <w:rPr>
                <w:color w:val="000000"/>
                <w:sz w:val="20"/>
              </w:rPr>
            </w:pPr>
            <w:r>
              <w:rPr>
                <w:color w:val="000000"/>
                <w:sz w:val="20"/>
              </w:rPr>
              <w:t>36</w:t>
            </w:r>
          </w:p>
        </w:tc>
        <w:tc>
          <w:tcPr>
            <w:tcW w:w="810" w:type="dxa"/>
            <w:tcBorders>
              <w:top w:val="nil"/>
              <w:left w:val="nil"/>
              <w:bottom w:val="single" w:sz="4" w:space="0" w:color="auto"/>
              <w:right w:val="single" w:sz="4" w:space="0" w:color="auto"/>
            </w:tcBorders>
            <w:shd w:val="clear" w:color="auto" w:fill="auto"/>
            <w:noWrap/>
            <w:vAlign w:val="bottom"/>
          </w:tcPr>
          <w:p w:rsidR="00FE11BA" w:rsidRPr="001F42F5" w14:paraId="7F37DFA0" w14:textId="77777777">
            <w:pPr>
              <w:jc w:val="center"/>
              <w:rPr>
                <w:color w:val="000000"/>
                <w:sz w:val="20"/>
              </w:rPr>
            </w:pPr>
            <w:r w:rsidRPr="001F42F5">
              <w:rPr>
                <w:color w:val="000000"/>
                <w:sz w:val="20"/>
              </w:rPr>
              <w:t>1</w:t>
            </w:r>
          </w:p>
        </w:tc>
        <w:tc>
          <w:tcPr>
            <w:tcW w:w="875" w:type="dxa"/>
            <w:tcBorders>
              <w:top w:val="nil"/>
              <w:left w:val="nil"/>
              <w:bottom w:val="single" w:sz="4" w:space="0" w:color="auto"/>
              <w:right w:val="single" w:sz="4" w:space="0" w:color="auto"/>
            </w:tcBorders>
            <w:shd w:val="clear" w:color="auto" w:fill="auto"/>
            <w:noWrap/>
            <w:vAlign w:val="bottom"/>
          </w:tcPr>
          <w:p w:rsidR="00FE11BA" w:rsidRPr="001F42F5" w14:paraId="1D8AE979" w14:textId="77777777">
            <w:pPr>
              <w:jc w:val="center"/>
              <w:rPr>
                <w:color w:val="000000"/>
                <w:sz w:val="20"/>
              </w:rPr>
            </w:pPr>
            <w:r w:rsidRPr="001F42F5">
              <w:rPr>
                <w:color w:val="000000"/>
                <w:sz w:val="20"/>
              </w:rPr>
              <w:t>30</w:t>
            </w:r>
          </w:p>
        </w:tc>
        <w:tc>
          <w:tcPr>
            <w:tcW w:w="835" w:type="dxa"/>
            <w:tcBorders>
              <w:top w:val="nil"/>
              <w:left w:val="nil"/>
              <w:bottom w:val="single" w:sz="4" w:space="0" w:color="auto"/>
              <w:right w:val="single" w:sz="4" w:space="0" w:color="auto"/>
            </w:tcBorders>
            <w:shd w:val="clear" w:color="auto" w:fill="auto"/>
            <w:noWrap/>
            <w:vAlign w:val="bottom"/>
          </w:tcPr>
          <w:p w:rsidR="00FE11BA" w:rsidRPr="001F42F5" w14:paraId="752B939B" w14:textId="77777777">
            <w:pPr>
              <w:jc w:val="center"/>
              <w:rPr>
                <w:color w:val="000000"/>
                <w:sz w:val="20"/>
              </w:rPr>
            </w:pPr>
            <w:r w:rsidRPr="001F42F5">
              <w:rPr>
                <w:color w:val="000000"/>
                <w:sz w:val="20"/>
              </w:rPr>
              <w:t>30</w:t>
            </w:r>
          </w:p>
        </w:tc>
        <w:tc>
          <w:tcPr>
            <w:tcW w:w="876" w:type="dxa"/>
            <w:tcBorders>
              <w:top w:val="nil"/>
              <w:left w:val="nil"/>
              <w:bottom w:val="single" w:sz="4" w:space="0" w:color="auto"/>
              <w:right w:val="single" w:sz="4" w:space="0" w:color="auto"/>
            </w:tcBorders>
            <w:shd w:val="clear" w:color="auto" w:fill="auto"/>
            <w:noWrap/>
            <w:vAlign w:val="bottom"/>
          </w:tcPr>
          <w:p w:rsidR="00FE11BA" w:rsidRPr="001F42F5" w14:paraId="23CA9A8B" w14:textId="77777777">
            <w:pPr>
              <w:jc w:val="center"/>
              <w:rPr>
                <w:color w:val="000000"/>
                <w:sz w:val="20"/>
              </w:rPr>
            </w:pPr>
            <w:r w:rsidRPr="001F42F5">
              <w:rPr>
                <w:color w:val="000000"/>
                <w:sz w:val="20"/>
              </w:rPr>
              <w:t>7</w:t>
            </w:r>
          </w:p>
        </w:tc>
        <w:tc>
          <w:tcPr>
            <w:tcW w:w="1014" w:type="dxa"/>
            <w:tcBorders>
              <w:top w:val="nil"/>
              <w:left w:val="nil"/>
              <w:bottom w:val="single" w:sz="4" w:space="0" w:color="auto"/>
              <w:right w:val="single" w:sz="4" w:space="0" w:color="auto"/>
            </w:tcBorders>
            <w:shd w:val="clear" w:color="auto" w:fill="auto"/>
            <w:noWrap/>
            <w:vAlign w:val="bottom"/>
          </w:tcPr>
          <w:p w:rsidR="00FE11BA" w:rsidRPr="001F42F5" w14:paraId="2E979C71" w14:textId="77777777">
            <w:pPr>
              <w:jc w:val="center"/>
              <w:rPr>
                <w:color w:val="000000"/>
                <w:sz w:val="20"/>
              </w:rPr>
            </w:pPr>
            <w:r w:rsidRPr="001F42F5">
              <w:rPr>
                <w:color w:val="000000"/>
                <w:sz w:val="20"/>
              </w:rPr>
              <w:t>3.5</w:t>
            </w:r>
          </w:p>
        </w:tc>
        <w:tc>
          <w:tcPr>
            <w:tcW w:w="810" w:type="dxa"/>
            <w:tcBorders>
              <w:top w:val="nil"/>
              <w:left w:val="nil"/>
              <w:bottom w:val="single" w:sz="4" w:space="0" w:color="auto"/>
              <w:right w:val="single" w:sz="4" w:space="0" w:color="auto"/>
            </w:tcBorders>
            <w:shd w:val="clear" w:color="auto" w:fill="auto"/>
            <w:noWrap/>
            <w:vAlign w:val="bottom"/>
          </w:tcPr>
          <w:p w:rsidR="00FE11BA" w:rsidRPr="001F42F5" w14:paraId="09595BA5" w14:textId="77777777">
            <w:pPr>
              <w:jc w:val="center"/>
              <w:rPr>
                <w:color w:val="000000"/>
                <w:sz w:val="20"/>
              </w:rPr>
            </w:pPr>
            <w:r w:rsidRPr="001F42F5">
              <w:rPr>
                <w:color w:val="000000"/>
                <w:sz w:val="20"/>
              </w:rPr>
              <w:t>6</w:t>
            </w:r>
          </w:p>
        </w:tc>
        <w:tc>
          <w:tcPr>
            <w:tcW w:w="810" w:type="dxa"/>
            <w:tcBorders>
              <w:top w:val="nil"/>
              <w:left w:val="nil"/>
              <w:bottom w:val="single" w:sz="4" w:space="0" w:color="auto"/>
              <w:right w:val="single" w:sz="4" w:space="0" w:color="auto"/>
            </w:tcBorders>
            <w:shd w:val="clear" w:color="auto" w:fill="auto"/>
            <w:noWrap/>
            <w:vAlign w:val="bottom"/>
          </w:tcPr>
          <w:p w:rsidR="00FE11BA" w:rsidRPr="001F42F5" w14:paraId="441D6C15" w14:textId="77777777">
            <w:pPr>
              <w:jc w:val="center"/>
              <w:rPr>
                <w:color w:val="000000"/>
                <w:sz w:val="20"/>
              </w:rPr>
            </w:pPr>
            <w:r w:rsidRPr="001F42F5">
              <w:rPr>
                <w:color w:val="000000"/>
                <w:sz w:val="20"/>
              </w:rPr>
              <w:t>6</w:t>
            </w:r>
          </w:p>
        </w:tc>
        <w:tc>
          <w:tcPr>
            <w:tcW w:w="711" w:type="dxa"/>
            <w:tcBorders>
              <w:top w:val="nil"/>
              <w:left w:val="nil"/>
              <w:bottom w:val="single" w:sz="4" w:space="0" w:color="auto"/>
              <w:right w:val="single" w:sz="4" w:space="0" w:color="auto"/>
            </w:tcBorders>
            <w:shd w:val="clear" w:color="auto" w:fill="auto"/>
            <w:noWrap/>
            <w:vAlign w:val="bottom"/>
          </w:tcPr>
          <w:p w:rsidR="00FE11BA" w:rsidRPr="001F42F5" w14:paraId="37C842BD" w14:textId="77777777">
            <w:pPr>
              <w:jc w:val="center"/>
              <w:rPr>
                <w:color w:val="000000"/>
                <w:sz w:val="20"/>
              </w:rPr>
            </w:pPr>
            <w:r w:rsidRPr="001F42F5">
              <w:rPr>
                <w:color w:val="000000"/>
                <w:sz w:val="20"/>
              </w:rPr>
              <w:t>7</w:t>
            </w:r>
          </w:p>
        </w:tc>
        <w:tc>
          <w:tcPr>
            <w:tcW w:w="999" w:type="dxa"/>
            <w:tcBorders>
              <w:top w:val="nil"/>
              <w:left w:val="nil"/>
              <w:bottom w:val="single" w:sz="4" w:space="0" w:color="auto"/>
              <w:right w:val="single" w:sz="4" w:space="0" w:color="auto"/>
            </w:tcBorders>
            <w:shd w:val="clear" w:color="auto" w:fill="auto"/>
            <w:noWrap/>
            <w:vAlign w:val="bottom"/>
          </w:tcPr>
          <w:p w:rsidR="00FE11BA" w:rsidRPr="001F42F5" w14:paraId="18B50FB9" w14:textId="77777777">
            <w:pPr>
              <w:jc w:val="center"/>
              <w:rPr>
                <w:color w:val="000000"/>
                <w:sz w:val="20"/>
              </w:rPr>
            </w:pPr>
            <w:r w:rsidRPr="001F42F5">
              <w:rPr>
                <w:color w:val="000000"/>
                <w:sz w:val="20"/>
              </w:rPr>
              <w:t>0.7</w:t>
            </w:r>
          </w:p>
        </w:tc>
        <w:tc>
          <w:tcPr>
            <w:tcW w:w="900" w:type="dxa"/>
            <w:tcBorders>
              <w:top w:val="nil"/>
              <w:left w:val="nil"/>
              <w:bottom w:val="single" w:sz="4" w:space="0" w:color="auto"/>
              <w:right w:val="single" w:sz="4" w:space="0" w:color="auto"/>
            </w:tcBorders>
            <w:shd w:val="clear" w:color="auto" w:fill="auto"/>
            <w:noWrap/>
            <w:vAlign w:val="bottom"/>
          </w:tcPr>
          <w:p w:rsidR="00FE11BA" w:rsidRPr="001F42F5" w14:paraId="7528F57C" w14:textId="77777777">
            <w:pPr>
              <w:jc w:val="center"/>
              <w:rPr>
                <w:color w:val="000000"/>
                <w:sz w:val="20"/>
              </w:rPr>
            </w:pPr>
            <w:r w:rsidRPr="001F42F5">
              <w:rPr>
                <w:color w:val="000000"/>
                <w:sz w:val="20"/>
              </w:rPr>
              <w:t> </w:t>
            </w:r>
            <w:r>
              <w:rPr>
                <w:color w:val="000000"/>
                <w:sz w:val="20"/>
              </w:rPr>
              <w:t>4.2</w:t>
            </w:r>
          </w:p>
        </w:tc>
      </w:tr>
      <w:tr w14:paraId="54317487" w14:textId="77777777">
        <w:tblPrEx>
          <w:tblW w:w="11183" w:type="dxa"/>
          <w:tblInd w:w="-928" w:type="dxa"/>
          <w:tblLayout w:type="fixed"/>
          <w:tblLook w:val="04A0"/>
        </w:tblPrEx>
        <w:trPr>
          <w:trHeight w:val="382"/>
        </w:trPr>
        <w:tc>
          <w:tcPr>
            <w:tcW w:w="1554" w:type="dxa"/>
            <w:tcBorders>
              <w:top w:val="nil"/>
              <w:left w:val="single" w:sz="4" w:space="0" w:color="auto"/>
              <w:bottom w:val="single" w:sz="4" w:space="0" w:color="auto"/>
              <w:right w:val="single" w:sz="4" w:space="0" w:color="auto"/>
            </w:tcBorders>
            <w:shd w:val="clear" w:color="auto" w:fill="auto"/>
            <w:vAlign w:val="bottom"/>
          </w:tcPr>
          <w:p w:rsidR="00FE11BA" w14:paraId="28ABBE89" w14:textId="77777777">
            <w:pPr>
              <w:jc w:val="center"/>
              <w:rPr>
                <w:color w:val="000000"/>
                <w:sz w:val="20"/>
              </w:rPr>
            </w:pPr>
            <w:r>
              <w:rPr>
                <w:color w:val="000000"/>
                <w:sz w:val="20"/>
              </w:rPr>
              <w:t xml:space="preserve">Interview </w:t>
            </w:r>
          </w:p>
        </w:tc>
        <w:tc>
          <w:tcPr>
            <w:tcW w:w="989" w:type="dxa"/>
            <w:tcBorders>
              <w:top w:val="nil"/>
              <w:left w:val="nil"/>
              <w:bottom w:val="single" w:sz="4" w:space="0" w:color="auto"/>
              <w:right w:val="single" w:sz="4" w:space="0" w:color="auto"/>
            </w:tcBorders>
            <w:shd w:val="clear" w:color="auto" w:fill="auto"/>
            <w:noWrap/>
            <w:vAlign w:val="bottom"/>
          </w:tcPr>
          <w:p w:rsidR="00FE11BA" w14:paraId="5FB95CE4" w14:textId="77777777">
            <w:pPr>
              <w:jc w:val="center"/>
              <w:rPr>
                <w:color w:val="000000"/>
                <w:sz w:val="20"/>
              </w:rPr>
            </w:pPr>
            <w:r>
              <w:rPr>
                <w:color w:val="000000"/>
                <w:sz w:val="20"/>
              </w:rPr>
              <w:t>36</w:t>
            </w:r>
          </w:p>
        </w:tc>
        <w:tc>
          <w:tcPr>
            <w:tcW w:w="810" w:type="dxa"/>
            <w:tcBorders>
              <w:top w:val="nil"/>
              <w:left w:val="nil"/>
              <w:bottom w:val="single" w:sz="4" w:space="0" w:color="auto"/>
              <w:right w:val="single" w:sz="4" w:space="0" w:color="auto"/>
            </w:tcBorders>
            <w:shd w:val="clear" w:color="auto" w:fill="auto"/>
            <w:noWrap/>
            <w:vAlign w:val="bottom"/>
          </w:tcPr>
          <w:p w:rsidR="00FE11BA" w:rsidRPr="001F42F5" w14:paraId="652D8FD6" w14:textId="77777777">
            <w:pPr>
              <w:jc w:val="center"/>
              <w:rPr>
                <w:color w:val="000000"/>
                <w:sz w:val="20"/>
              </w:rPr>
            </w:pPr>
            <w:r w:rsidRPr="001F42F5">
              <w:rPr>
                <w:color w:val="000000"/>
                <w:sz w:val="20"/>
              </w:rPr>
              <w:t>1</w:t>
            </w:r>
          </w:p>
        </w:tc>
        <w:tc>
          <w:tcPr>
            <w:tcW w:w="875" w:type="dxa"/>
            <w:tcBorders>
              <w:top w:val="nil"/>
              <w:left w:val="nil"/>
              <w:bottom w:val="single" w:sz="4" w:space="0" w:color="auto"/>
              <w:right w:val="single" w:sz="4" w:space="0" w:color="auto"/>
            </w:tcBorders>
            <w:shd w:val="clear" w:color="auto" w:fill="auto"/>
            <w:noWrap/>
            <w:vAlign w:val="bottom"/>
          </w:tcPr>
          <w:p w:rsidR="00FE11BA" w:rsidRPr="001F42F5" w14:paraId="1FF3EBFF" w14:textId="77777777">
            <w:pPr>
              <w:jc w:val="center"/>
              <w:rPr>
                <w:color w:val="000000"/>
                <w:sz w:val="20"/>
              </w:rPr>
            </w:pPr>
            <w:r w:rsidRPr="001F42F5">
              <w:rPr>
                <w:color w:val="000000"/>
                <w:sz w:val="20"/>
              </w:rPr>
              <w:t>30</w:t>
            </w:r>
          </w:p>
        </w:tc>
        <w:tc>
          <w:tcPr>
            <w:tcW w:w="835" w:type="dxa"/>
            <w:tcBorders>
              <w:top w:val="nil"/>
              <w:left w:val="nil"/>
              <w:bottom w:val="single" w:sz="4" w:space="0" w:color="auto"/>
              <w:right w:val="single" w:sz="4" w:space="0" w:color="auto"/>
            </w:tcBorders>
            <w:shd w:val="clear" w:color="auto" w:fill="auto"/>
            <w:noWrap/>
            <w:vAlign w:val="bottom"/>
          </w:tcPr>
          <w:p w:rsidR="00FE11BA" w:rsidRPr="001F42F5" w14:paraId="6BB154A6" w14:textId="77777777">
            <w:pPr>
              <w:jc w:val="center"/>
              <w:rPr>
                <w:color w:val="000000"/>
                <w:sz w:val="20"/>
              </w:rPr>
            </w:pPr>
            <w:r w:rsidRPr="001F42F5">
              <w:rPr>
                <w:color w:val="000000"/>
                <w:sz w:val="20"/>
              </w:rPr>
              <w:t>30</w:t>
            </w:r>
          </w:p>
        </w:tc>
        <w:tc>
          <w:tcPr>
            <w:tcW w:w="876" w:type="dxa"/>
            <w:tcBorders>
              <w:top w:val="nil"/>
              <w:left w:val="nil"/>
              <w:bottom w:val="single" w:sz="4" w:space="0" w:color="auto"/>
              <w:right w:val="single" w:sz="4" w:space="0" w:color="auto"/>
            </w:tcBorders>
            <w:shd w:val="clear" w:color="auto" w:fill="auto"/>
            <w:noWrap/>
            <w:vAlign w:val="bottom"/>
          </w:tcPr>
          <w:p w:rsidR="00FE11BA" w:rsidRPr="001F42F5" w14:paraId="0D095B4B" w14:textId="77777777">
            <w:pPr>
              <w:jc w:val="center"/>
              <w:rPr>
                <w:color w:val="000000"/>
                <w:sz w:val="20"/>
              </w:rPr>
            </w:pPr>
            <w:r w:rsidRPr="001F42F5">
              <w:rPr>
                <w:color w:val="000000"/>
                <w:sz w:val="20"/>
              </w:rPr>
              <w:t>60</w:t>
            </w:r>
          </w:p>
        </w:tc>
        <w:tc>
          <w:tcPr>
            <w:tcW w:w="1014" w:type="dxa"/>
            <w:tcBorders>
              <w:top w:val="nil"/>
              <w:left w:val="nil"/>
              <w:bottom w:val="single" w:sz="4" w:space="0" w:color="auto"/>
              <w:right w:val="single" w:sz="4" w:space="0" w:color="auto"/>
            </w:tcBorders>
            <w:shd w:val="clear" w:color="auto" w:fill="auto"/>
            <w:noWrap/>
            <w:vAlign w:val="bottom"/>
          </w:tcPr>
          <w:p w:rsidR="00FE11BA" w:rsidRPr="001F42F5" w14:paraId="3B0010CE" w14:textId="77777777">
            <w:pPr>
              <w:jc w:val="center"/>
              <w:rPr>
                <w:color w:val="000000"/>
                <w:sz w:val="20"/>
              </w:rPr>
            </w:pPr>
            <w:r w:rsidRPr="001F42F5">
              <w:rPr>
                <w:color w:val="000000"/>
                <w:sz w:val="20"/>
              </w:rPr>
              <w:t>30</w:t>
            </w:r>
          </w:p>
        </w:tc>
        <w:tc>
          <w:tcPr>
            <w:tcW w:w="810" w:type="dxa"/>
            <w:tcBorders>
              <w:top w:val="nil"/>
              <w:left w:val="nil"/>
              <w:bottom w:val="single" w:sz="4" w:space="0" w:color="auto"/>
              <w:right w:val="single" w:sz="4" w:space="0" w:color="auto"/>
            </w:tcBorders>
            <w:shd w:val="clear" w:color="auto" w:fill="auto"/>
            <w:noWrap/>
            <w:vAlign w:val="bottom"/>
          </w:tcPr>
          <w:p w:rsidR="00FE11BA" w:rsidRPr="001F42F5" w14:paraId="0C919065" w14:textId="77777777">
            <w:pPr>
              <w:jc w:val="center"/>
              <w:rPr>
                <w:color w:val="000000"/>
                <w:sz w:val="20"/>
              </w:rPr>
            </w:pPr>
            <w:r w:rsidRPr="001F42F5">
              <w:rPr>
                <w:color w:val="000000"/>
                <w:sz w:val="20"/>
              </w:rPr>
              <w:t>6</w:t>
            </w:r>
          </w:p>
        </w:tc>
        <w:tc>
          <w:tcPr>
            <w:tcW w:w="810" w:type="dxa"/>
            <w:tcBorders>
              <w:top w:val="nil"/>
              <w:left w:val="nil"/>
              <w:bottom w:val="single" w:sz="4" w:space="0" w:color="auto"/>
              <w:right w:val="single" w:sz="4" w:space="0" w:color="auto"/>
            </w:tcBorders>
            <w:shd w:val="clear" w:color="auto" w:fill="auto"/>
            <w:noWrap/>
            <w:vAlign w:val="bottom"/>
          </w:tcPr>
          <w:p w:rsidR="00FE11BA" w:rsidRPr="001F42F5" w14:paraId="475D3933" w14:textId="77777777">
            <w:pPr>
              <w:jc w:val="center"/>
              <w:rPr>
                <w:color w:val="000000"/>
                <w:sz w:val="20"/>
              </w:rPr>
            </w:pPr>
            <w:r w:rsidRPr="001F42F5">
              <w:rPr>
                <w:color w:val="000000"/>
                <w:sz w:val="20"/>
              </w:rPr>
              <w:t>6</w:t>
            </w:r>
          </w:p>
        </w:tc>
        <w:tc>
          <w:tcPr>
            <w:tcW w:w="711" w:type="dxa"/>
            <w:tcBorders>
              <w:top w:val="nil"/>
              <w:left w:val="nil"/>
              <w:bottom w:val="single" w:sz="4" w:space="0" w:color="auto"/>
              <w:right w:val="single" w:sz="4" w:space="0" w:color="auto"/>
            </w:tcBorders>
            <w:shd w:val="clear" w:color="auto" w:fill="auto"/>
            <w:noWrap/>
            <w:vAlign w:val="bottom"/>
          </w:tcPr>
          <w:p w:rsidR="00FE11BA" w:rsidRPr="001F42F5" w14:paraId="5E683071" w14:textId="77777777">
            <w:pPr>
              <w:jc w:val="center"/>
              <w:rPr>
                <w:color w:val="000000"/>
                <w:sz w:val="20"/>
              </w:rPr>
            </w:pPr>
            <w:r w:rsidRPr="001F42F5">
              <w:rPr>
                <w:color w:val="000000"/>
                <w:sz w:val="20"/>
              </w:rPr>
              <w:t>0</w:t>
            </w:r>
          </w:p>
        </w:tc>
        <w:tc>
          <w:tcPr>
            <w:tcW w:w="999" w:type="dxa"/>
            <w:tcBorders>
              <w:top w:val="nil"/>
              <w:left w:val="nil"/>
              <w:bottom w:val="single" w:sz="4" w:space="0" w:color="auto"/>
              <w:right w:val="single" w:sz="4" w:space="0" w:color="auto"/>
            </w:tcBorders>
            <w:shd w:val="clear" w:color="auto" w:fill="auto"/>
            <w:noWrap/>
            <w:vAlign w:val="bottom"/>
          </w:tcPr>
          <w:p w:rsidR="00FE11BA" w:rsidRPr="001F42F5" w14:paraId="5E1753DD" w14:textId="77777777">
            <w:pPr>
              <w:jc w:val="center"/>
              <w:rPr>
                <w:color w:val="000000"/>
                <w:sz w:val="20"/>
              </w:rPr>
            </w:pPr>
            <w:r w:rsidRPr="001F42F5">
              <w:rPr>
                <w:color w:val="000000"/>
                <w:sz w:val="20"/>
              </w:rPr>
              <w:t>0</w:t>
            </w:r>
          </w:p>
        </w:tc>
        <w:tc>
          <w:tcPr>
            <w:tcW w:w="900" w:type="dxa"/>
            <w:tcBorders>
              <w:top w:val="nil"/>
              <w:left w:val="nil"/>
              <w:bottom w:val="single" w:sz="4" w:space="0" w:color="auto"/>
              <w:right w:val="single" w:sz="4" w:space="0" w:color="auto"/>
            </w:tcBorders>
            <w:shd w:val="clear" w:color="auto" w:fill="auto"/>
            <w:noWrap/>
            <w:vAlign w:val="bottom"/>
          </w:tcPr>
          <w:p w:rsidR="00FE11BA" w:rsidRPr="001F42F5" w14:paraId="3FF925F1" w14:textId="77777777">
            <w:pPr>
              <w:jc w:val="center"/>
              <w:rPr>
                <w:color w:val="000000"/>
                <w:sz w:val="20"/>
              </w:rPr>
            </w:pPr>
            <w:r>
              <w:rPr>
                <w:color w:val="000000"/>
                <w:sz w:val="20"/>
              </w:rPr>
              <w:t>30</w:t>
            </w:r>
            <w:r w:rsidRPr="001F42F5">
              <w:rPr>
                <w:color w:val="000000"/>
                <w:sz w:val="20"/>
              </w:rPr>
              <w:t> </w:t>
            </w:r>
          </w:p>
        </w:tc>
      </w:tr>
      <w:tr w14:paraId="60366DFA" w14:textId="77777777">
        <w:tblPrEx>
          <w:tblW w:w="11183" w:type="dxa"/>
          <w:tblInd w:w="-928" w:type="dxa"/>
          <w:tblLayout w:type="fixed"/>
          <w:tblLook w:val="04A0"/>
        </w:tblPrEx>
        <w:trPr>
          <w:trHeight w:val="357"/>
        </w:trPr>
        <w:tc>
          <w:tcPr>
            <w:tcW w:w="1554" w:type="dxa"/>
            <w:tcBorders>
              <w:top w:val="nil"/>
              <w:left w:val="single" w:sz="4" w:space="0" w:color="auto"/>
              <w:bottom w:val="single" w:sz="4" w:space="0" w:color="auto"/>
              <w:right w:val="single" w:sz="4" w:space="0" w:color="auto"/>
            </w:tcBorders>
            <w:shd w:val="clear" w:color="auto" w:fill="auto"/>
            <w:vAlign w:val="bottom"/>
            <w:hideMark/>
          </w:tcPr>
          <w:p w:rsidR="00FE11BA" w:rsidRPr="00F635AA" w14:paraId="0850410E" w14:textId="77777777">
            <w:pPr>
              <w:jc w:val="center"/>
              <w:rPr>
                <w:b/>
                <w:bCs/>
                <w:color w:val="000000"/>
                <w:sz w:val="20"/>
              </w:rPr>
            </w:pPr>
            <w:r w:rsidRPr="001F42F5">
              <w:rPr>
                <w:color w:val="000000"/>
                <w:sz w:val="20"/>
              </w:rPr>
              <w:t> </w:t>
            </w:r>
            <w:r>
              <w:rPr>
                <w:b/>
                <w:bCs/>
                <w:color w:val="000000"/>
                <w:sz w:val="20"/>
              </w:rPr>
              <w:t>Subtotal</w:t>
            </w:r>
          </w:p>
        </w:tc>
        <w:tc>
          <w:tcPr>
            <w:tcW w:w="989" w:type="dxa"/>
            <w:tcBorders>
              <w:top w:val="nil"/>
              <w:left w:val="nil"/>
              <w:bottom w:val="single" w:sz="4" w:space="0" w:color="auto"/>
              <w:right w:val="single" w:sz="4" w:space="0" w:color="auto"/>
            </w:tcBorders>
            <w:shd w:val="clear" w:color="auto" w:fill="auto"/>
            <w:noWrap/>
            <w:vAlign w:val="bottom"/>
            <w:hideMark/>
          </w:tcPr>
          <w:p w:rsidR="00FE11BA" w:rsidRPr="001F42F5" w14:paraId="09DC59AE" w14:textId="77777777">
            <w:pPr>
              <w:jc w:val="center"/>
              <w:rPr>
                <w:color w:val="000000"/>
                <w:sz w:val="20"/>
              </w:rPr>
            </w:pPr>
            <w:r w:rsidRPr="001F42F5">
              <w:rPr>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FE11BA" w:rsidRPr="001F42F5" w14:paraId="65692666" w14:textId="77777777">
            <w:pPr>
              <w:jc w:val="center"/>
              <w:rPr>
                <w:color w:val="000000"/>
                <w:sz w:val="20"/>
              </w:rPr>
            </w:pPr>
            <w:r w:rsidRPr="001F42F5">
              <w:rPr>
                <w:color w:val="000000"/>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rsidR="00FE11BA" w:rsidRPr="001F42F5" w14:paraId="0DF30E1E" w14:textId="77777777">
            <w:pPr>
              <w:jc w:val="center"/>
              <w:rPr>
                <w:color w:val="000000"/>
                <w:sz w:val="20"/>
              </w:rPr>
            </w:pPr>
            <w:r w:rsidRPr="001F42F5">
              <w:rPr>
                <w:color w:val="000000"/>
                <w:sz w:val="20"/>
              </w:rPr>
              <w:t> </w:t>
            </w:r>
          </w:p>
        </w:tc>
        <w:tc>
          <w:tcPr>
            <w:tcW w:w="835" w:type="dxa"/>
            <w:tcBorders>
              <w:top w:val="nil"/>
              <w:left w:val="nil"/>
              <w:bottom w:val="single" w:sz="4" w:space="0" w:color="auto"/>
              <w:right w:val="single" w:sz="4" w:space="0" w:color="auto"/>
            </w:tcBorders>
            <w:shd w:val="clear" w:color="auto" w:fill="auto"/>
            <w:noWrap/>
            <w:vAlign w:val="bottom"/>
            <w:hideMark/>
          </w:tcPr>
          <w:p w:rsidR="00FE11BA" w:rsidRPr="001F42F5" w14:paraId="4071606D" w14:textId="77777777">
            <w:pPr>
              <w:jc w:val="center"/>
              <w:rPr>
                <w:color w:val="000000"/>
                <w:sz w:val="20"/>
              </w:rPr>
            </w:pPr>
            <w:r w:rsidRPr="001F42F5">
              <w:rPr>
                <w:color w:val="000000"/>
                <w:sz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FE11BA" w:rsidRPr="001F42F5" w14:paraId="588D1308" w14:textId="77777777">
            <w:pPr>
              <w:jc w:val="center"/>
              <w:rPr>
                <w:color w:val="000000"/>
                <w:sz w:val="20"/>
              </w:rPr>
            </w:pPr>
            <w:r w:rsidRPr="001F42F5">
              <w:rPr>
                <w:color w:val="000000"/>
                <w:sz w:val="20"/>
              </w:rPr>
              <w:t> </w:t>
            </w:r>
          </w:p>
        </w:tc>
        <w:tc>
          <w:tcPr>
            <w:tcW w:w="1014" w:type="dxa"/>
            <w:tcBorders>
              <w:top w:val="nil"/>
              <w:left w:val="nil"/>
              <w:bottom w:val="single" w:sz="4" w:space="0" w:color="auto"/>
              <w:right w:val="single" w:sz="4" w:space="0" w:color="auto"/>
            </w:tcBorders>
            <w:shd w:val="clear" w:color="auto" w:fill="auto"/>
            <w:noWrap/>
            <w:vAlign w:val="bottom"/>
            <w:hideMark/>
          </w:tcPr>
          <w:p w:rsidR="00FE11BA" w:rsidRPr="001F42F5" w14:paraId="37200727" w14:textId="77777777">
            <w:pPr>
              <w:jc w:val="center"/>
              <w:rPr>
                <w:color w:val="000000"/>
                <w:sz w:val="20"/>
              </w:rPr>
            </w:pPr>
            <w:r w:rsidRPr="001F42F5">
              <w:rPr>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FE11BA" w:rsidRPr="001F42F5" w14:paraId="62BF3690" w14:textId="77777777">
            <w:pPr>
              <w:jc w:val="center"/>
              <w:rPr>
                <w:color w:val="000000"/>
                <w:sz w:val="20"/>
              </w:rPr>
            </w:pPr>
            <w:r w:rsidRPr="001F42F5">
              <w:rPr>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FE11BA" w:rsidRPr="001F42F5" w14:paraId="5C9D1285" w14:textId="77777777">
            <w:pPr>
              <w:jc w:val="center"/>
              <w:rPr>
                <w:color w:val="000000"/>
                <w:sz w:val="20"/>
              </w:rPr>
            </w:pPr>
            <w:r w:rsidRPr="001F42F5">
              <w:rPr>
                <w:color w:val="000000"/>
                <w:sz w:val="20"/>
              </w:rPr>
              <w:t> </w:t>
            </w:r>
          </w:p>
        </w:tc>
        <w:tc>
          <w:tcPr>
            <w:tcW w:w="711" w:type="dxa"/>
            <w:tcBorders>
              <w:top w:val="nil"/>
              <w:left w:val="nil"/>
              <w:bottom w:val="single" w:sz="4" w:space="0" w:color="auto"/>
              <w:right w:val="single" w:sz="4" w:space="0" w:color="auto"/>
            </w:tcBorders>
            <w:shd w:val="clear" w:color="auto" w:fill="auto"/>
            <w:noWrap/>
            <w:vAlign w:val="bottom"/>
            <w:hideMark/>
          </w:tcPr>
          <w:p w:rsidR="00FE11BA" w:rsidRPr="001F42F5" w14:paraId="10DC5ADA" w14:textId="77777777">
            <w:pPr>
              <w:jc w:val="center"/>
              <w:rPr>
                <w:color w:val="000000"/>
                <w:sz w:val="20"/>
              </w:rPr>
            </w:pPr>
            <w:r w:rsidRPr="001F42F5">
              <w:rPr>
                <w:color w:val="000000"/>
                <w:sz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FE11BA" w:rsidRPr="001F42F5" w14:paraId="70960B33" w14:textId="77777777">
            <w:pPr>
              <w:jc w:val="center"/>
              <w:rPr>
                <w:color w:val="000000"/>
                <w:sz w:val="20"/>
              </w:rPr>
            </w:pPr>
            <w:r w:rsidRPr="001F42F5">
              <w:rPr>
                <w:color w:val="000000"/>
                <w:sz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FE11BA" w:rsidRPr="001F42F5" w14:paraId="47389199" w14:textId="77777777">
            <w:pPr>
              <w:jc w:val="center"/>
              <w:rPr>
                <w:color w:val="000000"/>
                <w:sz w:val="20"/>
              </w:rPr>
            </w:pPr>
          </w:p>
        </w:tc>
      </w:tr>
      <w:tr w14:paraId="7E8501D2" w14:textId="77777777">
        <w:tblPrEx>
          <w:tblW w:w="11183" w:type="dxa"/>
          <w:tblInd w:w="-928" w:type="dxa"/>
          <w:tblLayout w:type="fixed"/>
          <w:tblLook w:val="04A0"/>
        </w:tblPrEx>
        <w:trPr>
          <w:trHeight w:val="357"/>
        </w:trPr>
        <w:tc>
          <w:tcPr>
            <w:tcW w:w="1554" w:type="dxa"/>
            <w:tcBorders>
              <w:top w:val="nil"/>
              <w:left w:val="single" w:sz="4" w:space="0" w:color="auto"/>
              <w:bottom w:val="single" w:sz="4" w:space="0" w:color="auto"/>
              <w:right w:val="single" w:sz="4" w:space="0" w:color="auto"/>
            </w:tcBorders>
            <w:shd w:val="clear" w:color="auto" w:fill="auto"/>
            <w:vAlign w:val="bottom"/>
            <w:hideMark/>
          </w:tcPr>
          <w:p w:rsidR="00FE11BA" w:rsidRPr="001F42F5" w14:paraId="2325F008" w14:textId="77777777">
            <w:pPr>
              <w:jc w:val="center"/>
              <w:rPr>
                <w:b/>
                <w:bCs/>
                <w:color w:val="000000"/>
                <w:sz w:val="20"/>
              </w:rPr>
            </w:pPr>
            <w:r>
              <w:rPr>
                <w:b/>
                <w:bCs/>
                <w:color w:val="000000"/>
                <w:sz w:val="20"/>
              </w:rPr>
              <w:t>Total Burden</w:t>
            </w:r>
          </w:p>
        </w:tc>
        <w:tc>
          <w:tcPr>
            <w:tcW w:w="989" w:type="dxa"/>
            <w:tcBorders>
              <w:top w:val="nil"/>
              <w:left w:val="nil"/>
              <w:bottom w:val="single" w:sz="4" w:space="0" w:color="auto"/>
              <w:right w:val="single" w:sz="4" w:space="0" w:color="auto"/>
            </w:tcBorders>
            <w:shd w:val="clear" w:color="auto" w:fill="auto"/>
            <w:noWrap/>
            <w:vAlign w:val="bottom"/>
            <w:hideMark/>
          </w:tcPr>
          <w:p w:rsidR="00FE11BA" w:rsidRPr="001F42F5" w14:paraId="01761F14" w14:textId="77777777">
            <w:pPr>
              <w:jc w:val="center"/>
              <w:rPr>
                <w:color w:val="000000"/>
                <w:sz w:val="20"/>
              </w:rPr>
            </w:pPr>
            <w:r w:rsidRPr="001F42F5">
              <w:rPr>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FE11BA" w:rsidRPr="001F42F5" w14:paraId="2B92F046" w14:textId="77777777">
            <w:pPr>
              <w:jc w:val="center"/>
              <w:rPr>
                <w:color w:val="000000"/>
                <w:sz w:val="20"/>
              </w:rPr>
            </w:pPr>
            <w:r w:rsidRPr="001F42F5">
              <w:rPr>
                <w:color w:val="000000"/>
                <w:sz w:val="20"/>
              </w:rPr>
              <w:t> </w:t>
            </w:r>
          </w:p>
        </w:tc>
        <w:tc>
          <w:tcPr>
            <w:tcW w:w="875" w:type="dxa"/>
            <w:tcBorders>
              <w:top w:val="nil"/>
              <w:left w:val="nil"/>
              <w:bottom w:val="single" w:sz="4" w:space="0" w:color="auto"/>
              <w:right w:val="single" w:sz="4" w:space="0" w:color="auto"/>
            </w:tcBorders>
            <w:shd w:val="clear" w:color="auto" w:fill="auto"/>
            <w:noWrap/>
            <w:vAlign w:val="bottom"/>
            <w:hideMark/>
          </w:tcPr>
          <w:p w:rsidR="00FE11BA" w:rsidRPr="001F42F5" w14:paraId="3F187523" w14:textId="77777777">
            <w:pPr>
              <w:jc w:val="center"/>
              <w:rPr>
                <w:color w:val="000000"/>
                <w:sz w:val="20"/>
              </w:rPr>
            </w:pPr>
            <w:r w:rsidRPr="001F42F5">
              <w:rPr>
                <w:color w:val="000000"/>
                <w:sz w:val="20"/>
              </w:rPr>
              <w:t> </w:t>
            </w:r>
          </w:p>
        </w:tc>
        <w:tc>
          <w:tcPr>
            <w:tcW w:w="835" w:type="dxa"/>
            <w:tcBorders>
              <w:top w:val="nil"/>
              <w:left w:val="nil"/>
              <w:bottom w:val="single" w:sz="4" w:space="0" w:color="auto"/>
              <w:right w:val="single" w:sz="4" w:space="0" w:color="auto"/>
            </w:tcBorders>
            <w:shd w:val="clear" w:color="auto" w:fill="auto"/>
            <w:noWrap/>
            <w:vAlign w:val="bottom"/>
            <w:hideMark/>
          </w:tcPr>
          <w:p w:rsidR="00FE11BA" w:rsidRPr="001F42F5" w14:paraId="28529E8A" w14:textId="77777777">
            <w:pPr>
              <w:jc w:val="center"/>
              <w:rPr>
                <w:color w:val="000000"/>
                <w:sz w:val="20"/>
              </w:rPr>
            </w:pPr>
            <w:r w:rsidRPr="001F42F5">
              <w:rPr>
                <w:color w:val="000000"/>
                <w:sz w:val="20"/>
              </w:rPr>
              <w:t> </w:t>
            </w:r>
          </w:p>
        </w:tc>
        <w:tc>
          <w:tcPr>
            <w:tcW w:w="876" w:type="dxa"/>
            <w:tcBorders>
              <w:top w:val="nil"/>
              <w:left w:val="nil"/>
              <w:bottom w:val="single" w:sz="4" w:space="0" w:color="auto"/>
              <w:right w:val="single" w:sz="4" w:space="0" w:color="auto"/>
            </w:tcBorders>
            <w:shd w:val="clear" w:color="auto" w:fill="auto"/>
            <w:noWrap/>
            <w:vAlign w:val="bottom"/>
            <w:hideMark/>
          </w:tcPr>
          <w:p w:rsidR="00FE11BA" w:rsidRPr="001F42F5" w14:paraId="0498D5A0" w14:textId="77777777">
            <w:pPr>
              <w:jc w:val="center"/>
              <w:rPr>
                <w:color w:val="000000"/>
                <w:sz w:val="20"/>
              </w:rPr>
            </w:pPr>
            <w:r w:rsidRPr="001F42F5">
              <w:rPr>
                <w:color w:val="000000"/>
                <w:sz w:val="20"/>
              </w:rPr>
              <w:t> </w:t>
            </w:r>
          </w:p>
        </w:tc>
        <w:tc>
          <w:tcPr>
            <w:tcW w:w="1014" w:type="dxa"/>
            <w:tcBorders>
              <w:top w:val="nil"/>
              <w:left w:val="nil"/>
              <w:bottom w:val="single" w:sz="4" w:space="0" w:color="auto"/>
              <w:right w:val="single" w:sz="4" w:space="0" w:color="auto"/>
            </w:tcBorders>
            <w:shd w:val="clear" w:color="auto" w:fill="auto"/>
            <w:noWrap/>
            <w:vAlign w:val="bottom"/>
            <w:hideMark/>
          </w:tcPr>
          <w:p w:rsidR="00FE11BA" w:rsidRPr="001F42F5" w14:paraId="76480528" w14:textId="77777777">
            <w:pPr>
              <w:jc w:val="center"/>
              <w:rPr>
                <w:color w:val="000000"/>
                <w:sz w:val="20"/>
              </w:rPr>
            </w:pPr>
            <w:r w:rsidRPr="001F42F5">
              <w:rPr>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FE11BA" w:rsidRPr="001F42F5" w14:paraId="43FACBEA" w14:textId="77777777">
            <w:pPr>
              <w:jc w:val="center"/>
              <w:rPr>
                <w:color w:val="000000"/>
                <w:sz w:val="20"/>
              </w:rPr>
            </w:pPr>
            <w:r w:rsidRPr="001F42F5">
              <w:rPr>
                <w:color w:val="000000"/>
                <w:sz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FE11BA" w:rsidRPr="001F42F5" w14:paraId="076D9791" w14:textId="77777777">
            <w:pPr>
              <w:jc w:val="center"/>
              <w:rPr>
                <w:color w:val="000000"/>
                <w:sz w:val="20"/>
              </w:rPr>
            </w:pPr>
            <w:r w:rsidRPr="001F42F5">
              <w:rPr>
                <w:color w:val="000000"/>
                <w:sz w:val="20"/>
              </w:rPr>
              <w:t> </w:t>
            </w:r>
          </w:p>
        </w:tc>
        <w:tc>
          <w:tcPr>
            <w:tcW w:w="711" w:type="dxa"/>
            <w:tcBorders>
              <w:top w:val="nil"/>
              <w:left w:val="nil"/>
              <w:bottom w:val="single" w:sz="4" w:space="0" w:color="auto"/>
              <w:right w:val="single" w:sz="4" w:space="0" w:color="auto"/>
            </w:tcBorders>
            <w:shd w:val="clear" w:color="auto" w:fill="auto"/>
            <w:noWrap/>
            <w:vAlign w:val="bottom"/>
            <w:hideMark/>
          </w:tcPr>
          <w:p w:rsidR="00FE11BA" w:rsidRPr="001F42F5" w14:paraId="125C5B10" w14:textId="77777777">
            <w:pPr>
              <w:jc w:val="center"/>
              <w:rPr>
                <w:color w:val="000000"/>
                <w:sz w:val="20"/>
              </w:rPr>
            </w:pPr>
            <w:r w:rsidRPr="001F42F5">
              <w:rPr>
                <w:color w:val="000000"/>
                <w:sz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FE11BA" w:rsidRPr="001F42F5" w14:paraId="7C1E2FED" w14:textId="77777777">
            <w:pPr>
              <w:jc w:val="center"/>
              <w:rPr>
                <w:color w:val="000000"/>
                <w:sz w:val="20"/>
              </w:rPr>
            </w:pPr>
            <w:r w:rsidRPr="001F42F5">
              <w:rPr>
                <w:color w:val="000000"/>
                <w:sz w:val="20"/>
              </w:rPr>
              <w:t> </w:t>
            </w:r>
          </w:p>
        </w:tc>
        <w:tc>
          <w:tcPr>
            <w:tcW w:w="900" w:type="dxa"/>
            <w:tcBorders>
              <w:top w:val="nil"/>
              <w:left w:val="nil"/>
              <w:bottom w:val="single" w:sz="4" w:space="0" w:color="auto"/>
              <w:right w:val="single" w:sz="4" w:space="0" w:color="auto"/>
            </w:tcBorders>
            <w:shd w:val="clear" w:color="auto" w:fill="auto"/>
            <w:noWrap/>
            <w:vAlign w:val="bottom"/>
            <w:hideMark/>
          </w:tcPr>
          <w:p w:rsidR="00FE11BA" w:rsidRPr="001F42F5" w14:paraId="2D21A35D" w14:textId="425DC50F">
            <w:pPr>
              <w:jc w:val="center"/>
              <w:rPr>
                <w:color w:val="000000"/>
                <w:sz w:val="20"/>
              </w:rPr>
            </w:pPr>
            <w:r>
              <w:rPr>
                <w:color w:val="000000"/>
                <w:sz w:val="20"/>
              </w:rPr>
              <w:t>546.7</w:t>
            </w:r>
          </w:p>
        </w:tc>
      </w:tr>
    </w:tbl>
    <w:p w:rsidR="00286C82" w:rsidP="00EE46C8" w14:paraId="6B31B520" w14:textId="77777777"/>
    <w:p w:rsidR="00D8231A" w:rsidRPr="00791EE9" w:rsidP="00791EE9" w14:paraId="1206076B" w14:textId="1CBF4E9B">
      <w:pPr>
        <w:pStyle w:val="BodyText1"/>
        <w:widowControl w:val="0"/>
        <w:rPr>
          <w:color w:val="000000"/>
          <w:shd w:val="clear" w:color="auto" w:fill="FFFFFF"/>
        </w:rPr>
      </w:pPr>
      <w:r w:rsidRPr="009A7C30">
        <w:t xml:space="preserve">The annualized cost to all respondents for the collection of information is </w:t>
      </w:r>
      <w:r w:rsidR="00814E07">
        <w:t>$</w:t>
      </w:r>
      <w:r w:rsidR="00814E07">
        <w:rPr>
          <w:rStyle w:val="normaltextrun"/>
          <w:color w:val="000000"/>
          <w:shd w:val="clear" w:color="auto" w:fill="FFFFFF"/>
        </w:rPr>
        <w:t>24,</w:t>
      </w:r>
      <w:r w:rsidR="005E45DF">
        <w:rPr>
          <w:rStyle w:val="normaltextrun"/>
          <w:color w:val="000000"/>
          <w:shd w:val="clear" w:color="auto" w:fill="FFFFFF"/>
        </w:rPr>
        <w:t>448</w:t>
      </w:r>
      <w:r w:rsidR="00814E07">
        <w:rPr>
          <w:rStyle w:val="normaltextrun"/>
          <w:color w:val="000000"/>
          <w:shd w:val="clear" w:color="auto" w:fill="FFFFFF"/>
        </w:rPr>
        <w:t>.4</w:t>
      </w:r>
      <w:r w:rsidR="005E45DF">
        <w:rPr>
          <w:rStyle w:val="normaltextrun"/>
          <w:color w:val="000000"/>
          <w:shd w:val="clear" w:color="auto" w:fill="FFFFFF"/>
        </w:rPr>
        <w:t>2</w:t>
      </w:r>
      <w:r w:rsidR="00500A49">
        <w:t xml:space="preserve"> </w:t>
      </w:r>
      <w:r w:rsidR="00634998">
        <w:t>(</w:t>
      </w:r>
      <w:r w:rsidR="00516F24">
        <w:rPr>
          <w:rStyle w:val="normaltextrun"/>
          <w:color w:val="000000"/>
          <w:shd w:val="clear" w:color="auto" w:fill="FFFFFF"/>
        </w:rPr>
        <w:t>US median hourly wa</w:t>
      </w:r>
      <w:r w:rsidR="00311E17">
        <w:rPr>
          <w:rStyle w:val="normaltextrun"/>
          <w:color w:val="000000"/>
          <w:shd w:val="clear" w:color="auto" w:fill="FFFFFF"/>
        </w:rPr>
        <w:t>ge rate of</w:t>
      </w:r>
      <w:r w:rsidR="004B7E99">
        <w:rPr>
          <w:rStyle w:val="normaltextrun"/>
          <w:color w:val="000000"/>
          <w:shd w:val="clear" w:color="auto" w:fill="FFFFFF"/>
        </w:rPr>
        <w:t xml:space="preserve"> $34.40 </w:t>
      </w:r>
      <w:r w:rsidR="00814E07">
        <w:rPr>
          <w:rStyle w:val="normaltextrun"/>
          <w:color w:val="000000"/>
          <w:shd w:val="clear" w:color="auto" w:fill="FFFFFF"/>
        </w:rPr>
        <w:t>hour</w:t>
      </w:r>
      <w:r w:rsidRPr="00311E17" w:rsidR="00814E07">
        <w:rPr>
          <w:rStyle w:val="normaltextrun"/>
          <w:color w:val="000000"/>
          <w:shd w:val="clear" w:color="auto" w:fill="FFFFFF"/>
        </w:rPr>
        <w:t xml:space="preserve"> </w:t>
      </w:r>
      <w:r w:rsidR="00311E17">
        <w:t>x 546.7</w:t>
      </w:r>
      <w:r w:rsidR="00814E07">
        <w:t xml:space="preserve"> hours x 30% fringe</w:t>
      </w:r>
      <w:r w:rsidR="00311E17">
        <w:t>)</w:t>
      </w:r>
      <w:r w:rsidR="00791EE9">
        <w:rPr>
          <w:rStyle w:val="normaltextrun"/>
          <w:color w:val="000000"/>
          <w:shd w:val="clear" w:color="auto" w:fill="FFFFFF"/>
        </w:rPr>
        <w:t xml:space="preserve">. </w:t>
      </w:r>
      <w:r>
        <w:rPr>
          <w:rStyle w:val="normaltextrun"/>
          <w:color w:val="000000"/>
          <w:shd w:val="clear" w:color="auto" w:fill="FFFFFF"/>
        </w:rPr>
        <w:t xml:space="preserve">To compute the total estimated annual cost, the total burden hours were multiplied by the average hourly earnings </w:t>
      </w:r>
      <w:r w:rsidR="00791EE9">
        <w:rPr>
          <w:rStyle w:val="normaltextrun"/>
          <w:color w:val="000000"/>
          <w:shd w:val="clear" w:color="auto" w:fill="FFFFFF"/>
        </w:rPr>
        <w:t xml:space="preserve">across all sectors </w:t>
      </w:r>
      <w:r>
        <w:rPr>
          <w:rStyle w:val="normaltextrun"/>
          <w:color w:val="000000"/>
          <w:shd w:val="clear" w:color="auto" w:fill="FFFFFF"/>
        </w:rPr>
        <w:t xml:space="preserve">in </w:t>
      </w:r>
      <w:r w:rsidR="00EF539F">
        <w:rPr>
          <w:rStyle w:val="normaltextrun"/>
          <w:color w:val="000000"/>
          <w:shd w:val="clear" w:color="auto" w:fill="FFFFFF"/>
        </w:rPr>
        <w:t>September</w:t>
      </w:r>
      <w:r w:rsidR="00FC133D">
        <w:rPr>
          <w:rStyle w:val="normaltextrun"/>
          <w:color w:val="000000"/>
          <w:shd w:val="clear" w:color="auto" w:fill="FFFFFF"/>
        </w:rPr>
        <w:t xml:space="preserve"> </w:t>
      </w:r>
      <w:r w:rsidR="00D64577">
        <w:rPr>
          <w:rStyle w:val="normaltextrun"/>
          <w:color w:val="000000"/>
          <w:shd w:val="clear" w:color="auto" w:fill="FFFFFF"/>
        </w:rPr>
        <w:t>2023</w:t>
      </w:r>
      <w:r>
        <w:rPr>
          <w:rStyle w:val="normaltextrun"/>
          <w:color w:val="000000"/>
          <w:shd w:val="clear" w:color="auto" w:fill="FFFFFF"/>
        </w:rPr>
        <w:t>, according to the Bureau of Labor Statistics</w:t>
      </w:r>
      <w:r w:rsidR="00500A49">
        <w:rPr>
          <w:rStyle w:val="normaltextrun"/>
          <w:color w:val="000000"/>
          <w:shd w:val="clear" w:color="auto" w:fill="FFFFFF"/>
        </w:rPr>
        <w:t xml:space="preserve"> (</w:t>
      </w:r>
      <w:r w:rsidRPr="00500A49" w:rsidR="00500A49">
        <w:rPr>
          <w:rStyle w:val="normaltextrun"/>
          <w:color w:val="000000"/>
          <w:shd w:val="clear" w:color="auto" w:fill="FFFFFF"/>
        </w:rPr>
        <w:t>https://www.bls.gov/news.release/pdf/empsit.pdf</w:t>
      </w:r>
      <w:r w:rsidR="00500A49">
        <w:rPr>
          <w:rStyle w:val="normaltextrun"/>
          <w:color w:val="000000"/>
          <w:shd w:val="clear" w:color="auto" w:fill="FFFFFF"/>
        </w:rPr>
        <w:t>)</w:t>
      </w:r>
      <w:r>
        <w:rPr>
          <w:rStyle w:val="normaltextrun"/>
          <w:color w:val="000000"/>
          <w:shd w:val="clear" w:color="auto" w:fill="FFFFFF"/>
        </w:rPr>
        <w:t>.</w:t>
      </w:r>
      <w:r>
        <w:rPr>
          <w:rStyle w:val="eop"/>
          <w:color w:val="000000"/>
          <w:shd w:val="clear" w:color="auto" w:fill="FFFFFF"/>
        </w:rPr>
        <w:t> </w:t>
      </w:r>
    </w:p>
    <w:p w:rsidR="00EE46C8" w:rsidRPr="00ED52DB" w:rsidP="00EE46C8" w14:paraId="0CE12EC1" w14:textId="77777777">
      <w:pPr>
        <w:pStyle w:val="Heading2"/>
        <w:keepNext w:val="0"/>
        <w:widowControl w:val="0"/>
        <w:rPr>
          <w:rFonts w:ascii="Times New Roman" w:hAnsi="Times New Roman" w:cs="Times New Roman"/>
        </w:rPr>
      </w:pPr>
      <w:r w:rsidRPr="00ED52DB">
        <w:rPr>
          <w:rFonts w:ascii="Times New Roman" w:hAnsi="Times New Roman" w:cs="Times New Roman"/>
        </w:rPr>
        <w:t>A.13.</w:t>
      </w:r>
      <w:r w:rsidRPr="00ED52DB">
        <w:rPr>
          <w:rFonts w:ascii="Times New Roman" w:hAnsi="Times New Roman" w:cs="Times New Roman"/>
        </w:rPr>
        <w:tab/>
        <w:t>Capital and Start-Up Cost and Subsequent Maintenance</w:t>
      </w:r>
    </w:p>
    <w:p w:rsidR="00EE46C8" w:rsidRPr="00ED52DB" w:rsidP="00EE46C8" w14:paraId="35CB64BA" w14:textId="77777777">
      <w:pPr>
        <w:pStyle w:val="BodyText1"/>
        <w:widowControl w:val="0"/>
        <w:rPr>
          <w:bCs/>
        </w:rPr>
      </w:pPr>
      <w:bookmarkStart w:id="10" w:name="_Toc236553887"/>
      <w:r w:rsidRPr="00ED52DB">
        <w:t>There are no capital, start-up, operating</w:t>
      </w:r>
      <w:r>
        <w:t>,</w:t>
      </w:r>
      <w:r w:rsidRPr="00ED52DB">
        <w:t xml:space="preserve"> or maintenance costs associated with this </w:t>
      </w:r>
      <w:r w:rsidRPr="00ED52DB">
        <w:t>information collection.</w:t>
      </w:r>
    </w:p>
    <w:p w:rsidR="00EE46C8" w:rsidRPr="00ED52DB" w:rsidP="00EE46C8" w14:paraId="56E3F967" w14:textId="77777777">
      <w:pPr>
        <w:pStyle w:val="Heading2"/>
        <w:keepNext w:val="0"/>
        <w:widowControl w:val="0"/>
        <w:rPr>
          <w:rFonts w:ascii="Times New Roman" w:hAnsi="Times New Roman" w:cs="Times New Roman"/>
        </w:rPr>
      </w:pPr>
      <w:r w:rsidRPr="00ED52DB">
        <w:rPr>
          <w:rFonts w:ascii="Times New Roman" w:hAnsi="Times New Roman" w:cs="Times New Roman"/>
        </w:rPr>
        <w:t>A.14.</w:t>
      </w:r>
      <w:r w:rsidRPr="00ED52DB">
        <w:rPr>
          <w:rFonts w:ascii="Times New Roman" w:hAnsi="Times New Roman" w:cs="Times New Roman"/>
        </w:rPr>
        <w:tab/>
      </w:r>
      <w:bookmarkEnd w:id="10"/>
      <w:r w:rsidRPr="00ED52DB">
        <w:rPr>
          <w:rFonts w:ascii="Times New Roman" w:hAnsi="Times New Roman" w:cs="Times New Roman"/>
        </w:rPr>
        <w:t>Annual Cost to Federal Government</w:t>
      </w:r>
    </w:p>
    <w:p w:rsidR="00EE46C8" w:rsidP="00EE46C8" w14:paraId="02E3C95A" w14:textId="2CEB1A58">
      <w:pPr>
        <w:pStyle w:val="BodyText1"/>
        <w:widowControl w:val="0"/>
      </w:pPr>
      <w:r>
        <w:t xml:space="preserve">The estimated cost to the federal government for one series of </w:t>
      </w:r>
      <w:r w:rsidR="004039F5">
        <w:t>interviews</w:t>
      </w:r>
      <w:r>
        <w:t xml:space="preserve"> is $</w:t>
      </w:r>
      <w:r w:rsidR="000671AD">
        <w:t>79,</w:t>
      </w:r>
      <w:r w:rsidR="00F22F9C">
        <w:t>090.78</w:t>
      </w:r>
      <w:r>
        <w:t>. The costs arise from the time spent by the contractor to develop and conduct the study, analyze the data, and prepare and deliver a final report.</w:t>
      </w:r>
    </w:p>
    <w:p w:rsidR="00EE46C8" w:rsidRPr="00ED52DB" w:rsidP="00EE46C8" w14:paraId="77B02881" w14:textId="77777777">
      <w:pPr>
        <w:pStyle w:val="Heading2"/>
        <w:keepNext w:val="0"/>
        <w:widowControl w:val="0"/>
        <w:rPr>
          <w:rFonts w:ascii="Times New Roman" w:hAnsi="Times New Roman" w:cs="Times New Roman"/>
        </w:rPr>
      </w:pPr>
      <w:bookmarkStart w:id="11" w:name="_Toc236553888"/>
      <w:r w:rsidRPr="00ED52DB">
        <w:rPr>
          <w:rFonts w:ascii="Times New Roman" w:hAnsi="Times New Roman" w:cs="Times New Roman"/>
        </w:rPr>
        <w:t>A.15.</w:t>
      </w:r>
      <w:r w:rsidRPr="00ED52DB">
        <w:rPr>
          <w:rFonts w:ascii="Times New Roman" w:hAnsi="Times New Roman" w:cs="Times New Roman"/>
        </w:rPr>
        <w:tab/>
      </w:r>
      <w:bookmarkStart w:id="12" w:name="_Toc236553889"/>
      <w:bookmarkEnd w:id="11"/>
      <w:r w:rsidRPr="00ED52DB">
        <w:rPr>
          <w:rFonts w:ascii="Times New Roman" w:hAnsi="Times New Roman" w:cs="Times New Roman"/>
        </w:rPr>
        <w:t>Reasons for Changes in Burden</w:t>
      </w:r>
    </w:p>
    <w:p w:rsidR="00EE46C8" w:rsidP="00EE46C8" w14:paraId="3C0EE084" w14:textId="77777777">
      <w:pPr>
        <w:pStyle w:val="BodyText1"/>
        <w:widowControl w:val="0"/>
      </w:pPr>
      <w:r w:rsidRPr="00ED52DB">
        <w:t>This is a new information collection.</w:t>
      </w:r>
    </w:p>
    <w:p w:rsidR="00EE46C8" w:rsidP="00EE46C8" w14:paraId="21C7F7E7" w14:textId="77777777">
      <w:pPr>
        <w:pStyle w:val="Heading2"/>
        <w:keepNext w:val="0"/>
        <w:widowControl w:val="0"/>
        <w:rPr>
          <w:rFonts w:ascii="Times New Roman" w:hAnsi="Times New Roman" w:cs="Times New Roman"/>
        </w:rPr>
      </w:pPr>
      <w:r w:rsidRPr="00ED52DB">
        <w:rPr>
          <w:rFonts w:ascii="Times New Roman" w:hAnsi="Times New Roman" w:cs="Times New Roman"/>
        </w:rPr>
        <w:t>A.16.</w:t>
      </w:r>
      <w:r w:rsidRPr="00ED52DB">
        <w:rPr>
          <w:rFonts w:ascii="Times New Roman" w:hAnsi="Times New Roman" w:cs="Times New Roman"/>
        </w:rPr>
        <w:tab/>
      </w:r>
      <w:bookmarkEnd w:id="12"/>
      <w:r w:rsidRPr="00ED52DB">
        <w:rPr>
          <w:rFonts w:ascii="Times New Roman" w:hAnsi="Times New Roman" w:cs="Times New Roman"/>
        </w:rPr>
        <w:t>Tabulation, Analysis, and Publication</w:t>
      </w:r>
    </w:p>
    <w:p w:rsidR="00EE46C8" w:rsidP="00EE46C8" w14:paraId="0F7E2B7E" w14:textId="40BC9283">
      <w:pPr>
        <w:pStyle w:val="BodyText1"/>
        <w:widowControl w:val="0"/>
      </w:pPr>
      <w:r w:rsidRPr="00ED52DB">
        <w:t>The planned schedule for this information collection is shown in Table A</w:t>
      </w:r>
      <w:r w:rsidR="003F3B3C">
        <w:t xml:space="preserve"> 16.1</w:t>
      </w:r>
      <w:r>
        <w:t xml:space="preserve"> for the first series of </w:t>
      </w:r>
      <w:r w:rsidR="00F902BE">
        <w:t>interviews</w:t>
      </w:r>
      <w:r w:rsidRPr="00ED52DB">
        <w:t xml:space="preserve">. Once OMB approval is received, it will take up to </w:t>
      </w:r>
      <w:r w:rsidR="00F902BE">
        <w:t>3</w:t>
      </w:r>
      <w:r w:rsidRPr="00ED52DB">
        <w:t xml:space="preserve">0 days to recruit individuals and conduct </w:t>
      </w:r>
      <w:r w:rsidRPr="00276716">
        <w:t xml:space="preserve">the </w:t>
      </w:r>
      <w:r w:rsidRPr="00276716" w:rsidR="00F902BE">
        <w:t>first round of 1</w:t>
      </w:r>
      <w:r w:rsidRPr="00276716" w:rsidR="007A5A1D">
        <w:t>5</w:t>
      </w:r>
      <w:r w:rsidRPr="00276716" w:rsidR="00F902BE">
        <w:t xml:space="preserve"> interviews</w:t>
      </w:r>
      <w:r w:rsidRPr="00276716">
        <w:t>. The contractor</w:t>
      </w:r>
      <w:r w:rsidRPr="00ED52DB">
        <w:t xml:space="preserve"> will provide FSIS a </w:t>
      </w:r>
      <w:r w:rsidR="00F902BE">
        <w:t>draft report of findings within 30 days of the last interview</w:t>
      </w:r>
      <w:r w:rsidRPr="00ED52DB">
        <w:t xml:space="preserve">. No statistical analyses will be conducted, and there are no plans to publish the data for statistical use. </w:t>
      </w:r>
      <w:r w:rsidR="002F213F">
        <w:t>Circulation</w:t>
      </w:r>
      <w:r w:rsidRPr="00ED52DB">
        <w:t xml:space="preserve"> of the study results may include internal briefings, presentations, and reports and posting on FSIS</w:t>
      </w:r>
      <w:r>
        <w:t>’</w:t>
      </w:r>
      <w:r w:rsidRPr="00ED52DB">
        <w:t>s Web site.</w:t>
      </w:r>
    </w:p>
    <w:p w:rsidR="00EE46C8" w:rsidRPr="00956812" w:rsidP="00EE46C8" w14:paraId="76573AB1" w14:textId="7EE8548B">
      <w:pPr>
        <w:spacing w:before="240" w:line="480" w:lineRule="auto"/>
        <w:rPr>
          <w:b/>
          <w:szCs w:val="24"/>
        </w:rPr>
      </w:pPr>
      <w:r w:rsidRPr="00956812">
        <w:rPr>
          <w:b/>
        </w:rPr>
        <w:t>Table A-</w:t>
      </w:r>
      <w:r w:rsidR="003F3B3C">
        <w:rPr>
          <w:b/>
        </w:rPr>
        <w:t>16</w:t>
      </w:r>
      <w:r w:rsidRPr="00956812">
        <w:rPr>
          <w:b/>
        </w:rPr>
        <w:t>.</w:t>
      </w:r>
      <w:r w:rsidR="003F3B3C">
        <w:rPr>
          <w:b/>
        </w:rPr>
        <w:t>1</w:t>
      </w:r>
      <w:r w:rsidRPr="00956812">
        <w:rPr>
          <w:b/>
        </w:rPr>
        <w:t xml:space="preserve"> Project Schedule</w:t>
      </w:r>
      <w:r>
        <w:rPr>
          <w:b/>
        </w:rPr>
        <w:t xml:space="preserve"> for First Series of Focus Groups</w:t>
      </w:r>
    </w:p>
    <w:tbl>
      <w:tblPr>
        <w:tblW w:w="0" w:type="auto"/>
        <w:tblBorders>
          <w:top w:val="single" w:sz="12" w:space="0" w:color="auto"/>
          <w:bottom w:val="single" w:sz="12" w:space="0" w:color="auto"/>
        </w:tblBorders>
        <w:tblLayout w:type="fixed"/>
        <w:tblCellMar>
          <w:left w:w="115" w:type="dxa"/>
          <w:right w:w="115" w:type="dxa"/>
        </w:tblCellMar>
        <w:tblLook w:val="0000"/>
      </w:tblPr>
      <w:tblGrid>
        <w:gridCol w:w="4975"/>
        <w:gridCol w:w="4500"/>
      </w:tblGrid>
      <w:tr w14:paraId="73163249" w14:textId="77777777">
        <w:tblPrEx>
          <w:tblW w:w="0" w:type="auto"/>
          <w:tblBorders>
            <w:top w:val="single" w:sz="12" w:space="0" w:color="auto"/>
            <w:bottom w:val="single" w:sz="12" w:space="0" w:color="auto"/>
          </w:tblBorders>
          <w:tblLayout w:type="fixed"/>
          <w:tblCellMar>
            <w:left w:w="115" w:type="dxa"/>
            <w:right w:w="115" w:type="dxa"/>
          </w:tblCellMar>
          <w:tblLook w:val="0000"/>
        </w:tblPrEx>
        <w:trPr>
          <w:cantSplit/>
        </w:trPr>
        <w:tc>
          <w:tcPr>
            <w:tcW w:w="4975" w:type="dxa"/>
            <w:tcBorders>
              <w:top w:val="single" w:sz="12" w:space="0" w:color="auto"/>
              <w:bottom w:val="single" w:sz="4" w:space="0" w:color="auto"/>
            </w:tcBorders>
          </w:tcPr>
          <w:p w:rsidR="00EE46C8" w:rsidRPr="00115681" w14:paraId="0B7381CE" w14:textId="77777777">
            <w:pPr>
              <w:pStyle w:val="Tabletext"/>
              <w:jc w:val="center"/>
              <w:rPr>
                <w:b/>
              </w:rPr>
            </w:pPr>
            <w:r w:rsidRPr="00115681">
              <w:rPr>
                <w:b/>
              </w:rPr>
              <w:t>Date</w:t>
            </w:r>
          </w:p>
        </w:tc>
        <w:tc>
          <w:tcPr>
            <w:tcW w:w="4500" w:type="dxa"/>
            <w:tcBorders>
              <w:top w:val="single" w:sz="12" w:space="0" w:color="auto"/>
              <w:bottom w:val="single" w:sz="4" w:space="0" w:color="auto"/>
            </w:tcBorders>
          </w:tcPr>
          <w:p w:rsidR="00EE46C8" w:rsidRPr="00115681" w14:paraId="694765B8" w14:textId="77777777">
            <w:pPr>
              <w:pStyle w:val="Tabletext"/>
              <w:jc w:val="center"/>
              <w:rPr>
                <w:b/>
              </w:rPr>
            </w:pPr>
            <w:r w:rsidRPr="00115681">
              <w:rPr>
                <w:b/>
              </w:rPr>
              <w:t>Activity</w:t>
            </w:r>
          </w:p>
        </w:tc>
      </w:tr>
      <w:tr w14:paraId="13068FA7" w14:textId="77777777">
        <w:tblPrEx>
          <w:tblW w:w="0" w:type="auto"/>
          <w:tblLayout w:type="fixed"/>
          <w:tblCellMar>
            <w:left w:w="115" w:type="dxa"/>
            <w:right w:w="115" w:type="dxa"/>
          </w:tblCellMar>
          <w:tblLook w:val="0000"/>
        </w:tblPrEx>
        <w:trPr>
          <w:cantSplit/>
        </w:trPr>
        <w:tc>
          <w:tcPr>
            <w:tcW w:w="4975" w:type="dxa"/>
            <w:tcBorders>
              <w:top w:val="single" w:sz="4" w:space="0" w:color="auto"/>
            </w:tcBorders>
          </w:tcPr>
          <w:p w:rsidR="00EE46C8" w:rsidRPr="00ED52DB" w14:paraId="359410AF" w14:textId="0EF227C3">
            <w:pPr>
              <w:pStyle w:val="Tabletext"/>
            </w:pPr>
            <w:r w:rsidRPr="00ED52DB">
              <w:t xml:space="preserve">Within </w:t>
            </w:r>
            <w:r w:rsidR="00A66798">
              <w:t>30</w:t>
            </w:r>
            <w:r w:rsidRPr="00ED52DB">
              <w:t xml:space="preserve"> days following OMB approval</w:t>
            </w:r>
          </w:p>
        </w:tc>
        <w:tc>
          <w:tcPr>
            <w:tcW w:w="4500" w:type="dxa"/>
            <w:tcBorders>
              <w:top w:val="single" w:sz="4" w:space="0" w:color="auto"/>
            </w:tcBorders>
          </w:tcPr>
          <w:p w:rsidR="00EE46C8" w:rsidRPr="00ED52DB" w14:paraId="0C50CE49" w14:textId="1F75A031">
            <w:pPr>
              <w:pStyle w:val="Tabletext"/>
            </w:pPr>
            <w:r>
              <w:t xml:space="preserve">Conduct </w:t>
            </w:r>
            <w:r w:rsidR="476BF0D8">
              <w:t xml:space="preserve">first </w:t>
            </w:r>
            <w:r>
              <w:t>1</w:t>
            </w:r>
            <w:r w:rsidR="007A5A1D">
              <w:t>5</w:t>
            </w:r>
            <w:r>
              <w:t xml:space="preserve"> interviews</w:t>
            </w:r>
            <w:r w:rsidRPr="00ED52DB">
              <w:t xml:space="preserve"> </w:t>
            </w:r>
          </w:p>
        </w:tc>
      </w:tr>
      <w:tr w14:paraId="7EF06054" w14:textId="77777777">
        <w:tblPrEx>
          <w:tblW w:w="0" w:type="auto"/>
          <w:tblLayout w:type="fixed"/>
          <w:tblCellMar>
            <w:left w:w="115" w:type="dxa"/>
            <w:right w:w="115" w:type="dxa"/>
          </w:tblCellMar>
          <w:tblLook w:val="0000"/>
        </w:tblPrEx>
        <w:trPr>
          <w:cantSplit/>
        </w:trPr>
        <w:tc>
          <w:tcPr>
            <w:tcW w:w="4975" w:type="dxa"/>
          </w:tcPr>
          <w:p w:rsidR="00EE46C8" w:rsidRPr="00ED52DB" w14:paraId="7DC1B7EE" w14:textId="08AB85B0">
            <w:pPr>
              <w:pStyle w:val="Tabletext"/>
            </w:pPr>
            <w:r w:rsidRPr="00ED52DB">
              <w:t xml:space="preserve">Within </w:t>
            </w:r>
            <w:r w:rsidR="00A66798">
              <w:t>30</w:t>
            </w:r>
            <w:r w:rsidRPr="00ED52DB">
              <w:t xml:space="preserve"> days following </w:t>
            </w:r>
            <w:r w:rsidR="00932A92">
              <w:t>last interview</w:t>
            </w:r>
          </w:p>
        </w:tc>
        <w:tc>
          <w:tcPr>
            <w:tcW w:w="4500" w:type="dxa"/>
          </w:tcPr>
          <w:p w:rsidR="00EE46C8" w:rsidRPr="00ED52DB" w14:paraId="0BBA237E" w14:textId="49E8EDAE">
            <w:pPr>
              <w:pStyle w:val="Tabletext"/>
            </w:pPr>
            <w:r>
              <w:t>Completion of draft summary report</w:t>
            </w:r>
          </w:p>
        </w:tc>
      </w:tr>
    </w:tbl>
    <w:p w:rsidR="00EE46C8" w:rsidRPr="00ED52DB" w:rsidP="00EE46C8" w14:paraId="66AC6243" w14:textId="77777777"/>
    <w:p w:rsidR="00EE46C8" w:rsidRPr="00ED52DB" w:rsidP="00EE46C8" w14:paraId="7E4285F8" w14:textId="77777777">
      <w:pPr>
        <w:pStyle w:val="Heading2"/>
        <w:keepNext w:val="0"/>
        <w:widowControl w:val="0"/>
        <w:rPr>
          <w:rFonts w:ascii="Times New Roman" w:hAnsi="Times New Roman" w:cs="Times New Roman"/>
        </w:rPr>
      </w:pPr>
      <w:bookmarkStart w:id="13" w:name="_Toc236553890"/>
      <w:r w:rsidRPr="00ED52DB">
        <w:rPr>
          <w:rFonts w:ascii="Times New Roman" w:hAnsi="Times New Roman" w:cs="Times New Roman"/>
        </w:rPr>
        <w:t>A.17.</w:t>
      </w:r>
      <w:r w:rsidRPr="00ED52DB">
        <w:rPr>
          <w:rFonts w:ascii="Times New Roman" w:hAnsi="Times New Roman" w:cs="Times New Roman"/>
        </w:rPr>
        <w:tab/>
      </w:r>
      <w:bookmarkStart w:id="14" w:name="_Toc236553891"/>
      <w:bookmarkEnd w:id="13"/>
      <w:r w:rsidRPr="00ED52DB">
        <w:rPr>
          <w:rFonts w:ascii="Times New Roman" w:hAnsi="Times New Roman" w:cs="Times New Roman"/>
        </w:rPr>
        <w:t>OMB Approval Number Display</w:t>
      </w:r>
    </w:p>
    <w:p w:rsidR="00EE46C8" w:rsidRPr="00ED52DB" w:rsidP="00EE46C8" w14:paraId="591A6EEF" w14:textId="77777777">
      <w:pPr>
        <w:pStyle w:val="BodyText1"/>
        <w:widowControl w:val="0"/>
        <w:rPr>
          <w:u w:val="single"/>
        </w:rPr>
      </w:pPr>
      <w:r w:rsidRPr="00ED52DB">
        <w:t>The OMB approval and expiration date will be displayed on all materials associated with the study. No exemption is requested.</w:t>
      </w:r>
    </w:p>
    <w:p w:rsidR="00EE46C8" w:rsidP="00EE46C8" w14:paraId="661E99C5" w14:textId="77777777">
      <w:pPr>
        <w:pStyle w:val="Heading2"/>
        <w:keepNext w:val="0"/>
        <w:widowControl w:val="0"/>
        <w:rPr>
          <w:rFonts w:ascii="Times New Roman" w:hAnsi="Times New Roman" w:cs="Times New Roman"/>
        </w:rPr>
      </w:pPr>
      <w:r w:rsidRPr="00ED52DB">
        <w:rPr>
          <w:rFonts w:ascii="Times New Roman" w:hAnsi="Times New Roman" w:cs="Times New Roman"/>
        </w:rPr>
        <w:t>A.18.</w:t>
      </w:r>
      <w:r w:rsidRPr="00ED52DB">
        <w:rPr>
          <w:rFonts w:ascii="Times New Roman" w:hAnsi="Times New Roman" w:cs="Times New Roman"/>
        </w:rPr>
        <w:tab/>
        <w:t>Exceptions to the Certification</w:t>
      </w:r>
      <w:bookmarkEnd w:id="14"/>
    </w:p>
    <w:p w:rsidR="00EE46C8" w:rsidP="007A5A1D" w14:paraId="30062669" w14:textId="15B37F71">
      <w:pPr>
        <w:pStyle w:val="BodyText1"/>
        <w:widowControl w:val="0"/>
      </w:pPr>
      <w:r w:rsidRPr="00ED52DB">
        <w:t>There are no exceptions to the certification.</w:t>
      </w:r>
    </w:p>
    <w:p w:rsidR="007732D4" w:rsidRPr="003A04D0" w:rsidP="003A04D0" w14:paraId="099344D7" w14:textId="6CCC7D55">
      <w:pPr>
        <w:pStyle w:val="Heading2"/>
        <w:keepNext w:val="0"/>
        <w:widowControl w:val="0"/>
        <w:rPr>
          <w:rFonts w:ascii="Times New Roman" w:hAnsi="Times New Roman" w:cs="Times New Roman"/>
        </w:rPr>
      </w:pPr>
      <w:r w:rsidRPr="00ED52DB">
        <w:rPr>
          <w:rFonts w:ascii="Times New Roman" w:hAnsi="Times New Roman" w:cs="Times New Roman"/>
        </w:rPr>
        <w:t>References</w:t>
      </w:r>
      <w:bookmarkEnd w:id="9"/>
    </w:p>
    <w:p w:rsidR="001C02CE" w:rsidP="00D26800" w14:paraId="1DC4F58E" w14:textId="74CDC4C9">
      <w:pPr>
        <w:pStyle w:val="paragraph"/>
        <w:spacing w:before="0" w:beforeAutospacing="0" w:after="0" w:afterAutospacing="0" w:line="480" w:lineRule="auto"/>
        <w:ind w:left="720" w:hanging="720"/>
        <w:textAlignment w:val="baseline"/>
        <w:rPr>
          <w:rStyle w:val="normaltextrun"/>
        </w:rPr>
      </w:pPr>
      <w:r w:rsidRPr="00EB33B2">
        <w:rPr>
          <w:rStyle w:val="normaltextrun"/>
        </w:rPr>
        <w:t xml:space="preserve">Anker, A. E., Feeley, T. H., McCracken, B., &amp; Lagoe, C. A. (2016). Measuring the </w:t>
      </w:r>
      <w:r w:rsidR="00D26800">
        <w:rPr>
          <w:rStyle w:val="normaltextrun"/>
        </w:rPr>
        <w:t>e</w:t>
      </w:r>
      <w:r w:rsidRPr="00EB33B2">
        <w:rPr>
          <w:rStyle w:val="normaltextrun"/>
        </w:rPr>
        <w:t xml:space="preserve">ffectiveness of </w:t>
      </w:r>
      <w:r w:rsidR="00D26800">
        <w:rPr>
          <w:rStyle w:val="normaltextrun"/>
        </w:rPr>
        <w:t>m</w:t>
      </w:r>
      <w:r w:rsidRPr="00EB33B2">
        <w:rPr>
          <w:rStyle w:val="normaltextrun"/>
        </w:rPr>
        <w:t>ass-</w:t>
      </w:r>
      <w:r w:rsidR="00D26800">
        <w:rPr>
          <w:rStyle w:val="normaltextrun"/>
        </w:rPr>
        <w:t>m</w:t>
      </w:r>
      <w:r w:rsidRPr="00EB33B2">
        <w:rPr>
          <w:rStyle w:val="normaltextrun"/>
        </w:rPr>
        <w:t xml:space="preserve">ediated </w:t>
      </w:r>
      <w:r w:rsidR="00D26800">
        <w:rPr>
          <w:rStyle w:val="normaltextrun"/>
        </w:rPr>
        <w:t>h</w:t>
      </w:r>
      <w:r w:rsidRPr="00EB33B2">
        <w:rPr>
          <w:rStyle w:val="normaltextrun"/>
        </w:rPr>
        <w:t xml:space="preserve">ealth </w:t>
      </w:r>
      <w:r w:rsidR="00D26800">
        <w:rPr>
          <w:rStyle w:val="normaltextrun"/>
        </w:rPr>
        <w:t>c</w:t>
      </w:r>
      <w:r w:rsidRPr="00EB33B2">
        <w:rPr>
          <w:rStyle w:val="normaltextrun"/>
        </w:rPr>
        <w:t xml:space="preserve">ampaigns </w:t>
      </w:r>
      <w:r w:rsidR="00D26800">
        <w:rPr>
          <w:rStyle w:val="normaltextrun"/>
        </w:rPr>
        <w:t>t</w:t>
      </w:r>
      <w:r w:rsidRPr="00EB33B2">
        <w:rPr>
          <w:rStyle w:val="normaltextrun"/>
        </w:rPr>
        <w:t xml:space="preserve">hrough </w:t>
      </w:r>
      <w:r w:rsidR="00D26800">
        <w:rPr>
          <w:rStyle w:val="normaltextrun"/>
        </w:rPr>
        <w:t>m</w:t>
      </w:r>
      <w:r w:rsidRPr="00EB33B2">
        <w:rPr>
          <w:rStyle w:val="normaltextrun"/>
        </w:rPr>
        <w:t>eta-</w:t>
      </w:r>
      <w:r w:rsidR="00D26800">
        <w:rPr>
          <w:rStyle w:val="normaltextrun"/>
        </w:rPr>
        <w:t>a</w:t>
      </w:r>
      <w:r w:rsidRPr="00EB33B2">
        <w:rPr>
          <w:rStyle w:val="normaltextrun"/>
        </w:rPr>
        <w:t>nalysis.</w:t>
      </w:r>
      <w:r w:rsidRPr="00D26800">
        <w:rPr>
          <w:rStyle w:val="normaltextrun"/>
          <w:i/>
          <w:iCs/>
        </w:rPr>
        <w:t xml:space="preserve"> Journal of </w:t>
      </w:r>
      <w:r w:rsidRPr="00D26800" w:rsidR="00D26800">
        <w:rPr>
          <w:rStyle w:val="normaltextrun"/>
          <w:i/>
          <w:iCs/>
        </w:rPr>
        <w:t>H</w:t>
      </w:r>
      <w:r w:rsidRPr="00D26800">
        <w:rPr>
          <w:rStyle w:val="normaltextrun"/>
          <w:i/>
          <w:iCs/>
        </w:rPr>
        <w:t xml:space="preserve">ealth </w:t>
      </w:r>
      <w:r w:rsidRPr="00D26800" w:rsidR="00D26800">
        <w:rPr>
          <w:rStyle w:val="normaltextrun"/>
          <w:i/>
          <w:iCs/>
        </w:rPr>
        <w:t>C</w:t>
      </w:r>
      <w:r w:rsidRPr="00D26800">
        <w:rPr>
          <w:rStyle w:val="normaltextrun"/>
          <w:i/>
          <w:iCs/>
        </w:rPr>
        <w:t>ommunication, 21</w:t>
      </w:r>
      <w:r w:rsidRPr="00EB33B2">
        <w:rPr>
          <w:rStyle w:val="normaltextrun"/>
        </w:rPr>
        <w:t>(4), 439–456. https://doi.org/10.1080/10810730.2015.1095820</w:t>
      </w:r>
    </w:p>
    <w:p w:rsidR="007732D4" w:rsidRPr="00D26DA8" w:rsidP="2D629091" w14:paraId="2D8EFF2B" w14:textId="271D276B">
      <w:pPr>
        <w:pStyle w:val="paragraph"/>
        <w:spacing w:before="0" w:beforeAutospacing="0" w:after="0" w:afterAutospacing="0" w:line="480" w:lineRule="auto"/>
        <w:jc w:val="both"/>
        <w:textAlignment w:val="baseline"/>
        <w:rPr>
          <w:rStyle w:val="normaltextrun"/>
        </w:rPr>
      </w:pPr>
      <w:r w:rsidRPr="2D629091">
        <w:rPr>
          <w:rStyle w:val="normaltextrun"/>
        </w:rPr>
        <w:t>G</w:t>
      </w:r>
      <w:r w:rsidRPr="2D629091">
        <w:rPr>
          <w:rStyle w:val="normaltextrun"/>
        </w:rPr>
        <w:t>roth, S</w:t>
      </w:r>
      <w:r w:rsidRPr="2D629091" w:rsidR="00CC404D">
        <w:rPr>
          <w:rStyle w:val="normaltextrun"/>
        </w:rPr>
        <w:t>.</w:t>
      </w:r>
      <w:r w:rsidRPr="2D629091">
        <w:rPr>
          <w:rStyle w:val="normaltextrun"/>
        </w:rPr>
        <w:t xml:space="preserve">W. (2010). Honorarium or coercion: use of incentives for participants in clinical </w:t>
      </w:r>
    </w:p>
    <w:p w:rsidR="007732D4" w:rsidRPr="00D26DA8" w:rsidP="2D629091" w14:paraId="3EC982A6" w14:textId="0DA36381">
      <w:pPr>
        <w:pStyle w:val="paragraph"/>
        <w:spacing w:before="0" w:beforeAutospacing="0" w:after="0" w:afterAutospacing="0" w:line="480" w:lineRule="auto"/>
        <w:ind w:firstLine="720"/>
        <w:jc w:val="both"/>
        <w:textAlignment w:val="baseline"/>
        <w:rPr>
          <w:rFonts w:ascii="Segoe UI" w:hAnsi="Segoe UI" w:cs="Segoe UI"/>
        </w:rPr>
      </w:pPr>
      <w:r w:rsidRPr="2D629091">
        <w:rPr>
          <w:rStyle w:val="normaltextrun"/>
        </w:rPr>
        <w:t>research. Journal of the New York State Nurses Association. </w:t>
      </w:r>
      <w:r w:rsidRPr="2D629091">
        <w:rPr>
          <w:rStyle w:val="eop"/>
        </w:rPr>
        <w:t> </w:t>
      </w:r>
    </w:p>
    <w:p w:rsidR="00CC404D" w:rsidP="003A04D0" w14:paraId="7F2A6933" w14:textId="77777777">
      <w:pPr>
        <w:pStyle w:val="paragraph"/>
        <w:spacing w:before="0" w:beforeAutospacing="0" w:after="0" w:afterAutospacing="0" w:line="480" w:lineRule="auto"/>
        <w:jc w:val="both"/>
        <w:textAlignment w:val="baseline"/>
        <w:rPr>
          <w:rStyle w:val="normaltextrun"/>
          <w:lang w:val="en"/>
        </w:rPr>
      </w:pPr>
      <w:r w:rsidRPr="00D26DA8">
        <w:rPr>
          <w:rStyle w:val="normaltextrun"/>
          <w:lang w:val="en"/>
        </w:rPr>
        <w:t>Halpern, S</w:t>
      </w:r>
      <w:r>
        <w:rPr>
          <w:rStyle w:val="normaltextrun"/>
          <w:lang w:val="en"/>
        </w:rPr>
        <w:t>.</w:t>
      </w:r>
      <w:r w:rsidRPr="00D26DA8">
        <w:rPr>
          <w:rStyle w:val="normaltextrun"/>
          <w:lang w:val="en"/>
        </w:rPr>
        <w:t>D., Karlawish, J</w:t>
      </w:r>
      <w:r>
        <w:rPr>
          <w:rStyle w:val="normaltextrun"/>
          <w:lang w:val="en"/>
        </w:rPr>
        <w:t>.</w:t>
      </w:r>
      <w:r w:rsidRPr="00D26DA8">
        <w:rPr>
          <w:rStyle w:val="normaltextrun"/>
          <w:lang w:val="en"/>
        </w:rPr>
        <w:t>H., Casarett, D., Berlin, J</w:t>
      </w:r>
      <w:r>
        <w:rPr>
          <w:rStyle w:val="normaltextrun"/>
          <w:lang w:val="en"/>
        </w:rPr>
        <w:t>.</w:t>
      </w:r>
      <w:r w:rsidRPr="00D26DA8">
        <w:rPr>
          <w:rStyle w:val="normaltextrun"/>
          <w:lang w:val="en"/>
        </w:rPr>
        <w:t xml:space="preserve">A., </w:t>
      </w:r>
      <w:r>
        <w:rPr>
          <w:rStyle w:val="normaltextrun"/>
          <w:lang w:val="en"/>
        </w:rPr>
        <w:t xml:space="preserve">&amp; </w:t>
      </w:r>
      <w:r w:rsidRPr="00D26DA8">
        <w:rPr>
          <w:rStyle w:val="normaltextrun"/>
          <w:lang w:val="en"/>
        </w:rPr>
        <w:t>Asch, D</w:t>
      </w:r>
      <w:r>
        <w:rPr>
          <w:rStyle w:val="normaltextrun"/>
          <w:lang w:val="en"/>
        </w:rPr>
        <w:t>.</w:t>
      </w:r>
      <w:r w:rsidRPr="00D26DA8">
        <w:rPr>
          <w:rStyle w:val="normaltextrun"/>
          <w:lang w:val="en"/>
        </w:rPr>
        <w:t xml:space="preserve">A. (2004). Empirical </w:t>
      </w:r>
    </w:p>
    <w:p w:rsidR="00CC404D" w:rsidP="00CC404D" w14:paraId="4D5A1610" w14:textId="77777777">
      <w:pPr>
        <w:pStyle w:val="paragraph"/>
        <w:spacing w:before="0" w:beforeAutospacing="0" w:after="0" w:afterAutospacing="0" w:line="480" w:lineRule="auto"/>
        <w:ind w:firstLine="720"/>
        <w:jc w:val="both"/>
        <w:textAlignment w:val="baseline"/>
        <w:rPr>
          <w:rStyle w:val="normaltextrun"/>
          <w:lang w:val="en"/>
        </w:rPr>
      </w:pPr>
      <w:r w:rsidRPr="00D26DA8">
        <w:rPr>
          <w:rStyle w:val="normaltextrun"/>
          <w:lang w:val="en"/>
        </w:rPr>
        <w:t xml:space="preserve">assessment of whether moderate payments are undue or unjust inducements for </w:t>
      </w:r>
    </w:p>
    <w:p w:rsidR="007732D4" w:rsidRPr="00CC404D" w:rsidP="00CC404D" w14:paraId="1D9D2342" w14:textId="6C713062">
      <w:pPr>
        <w:pStyle w:val="paragraph"/>
        <w:spacing w:before="0" w:beforeAutospacing="0" w:after="0" w:afterAutospacing="0" w:line="480" w:lineRule="auto"/>
        <w:ind w:firstLine="720"/>
        <w:jc w:val="both"/>
        <w:textAlignment w:val="baseline"/>
        <w:rPr>
          <w:lang w:val="en"/>
        </w:rPr>
      </w:pPr>
      <w:r w:rsidRPr="00D26DA8">
        <w:rPr>
          <w:rStyle w:val="normaltextrun"/>
          <w:lang w:val="en"/>
        </w:rPr>
        <w:t xml:space="preserve">participation in clinical trials. </w:t>
      </w:r>
      <w:r w:rsidRPr="00D26DA8">
        <w:rPr>
          <w:rStyle w:val="normaltextrun"/>
          <w:i/>
          <w:iCs/>
          <w:lang w:val="en"/>
        </w:rPr>
        <w:t>Archives of Internal Medicine, 164</w:t>
      </w:r>
      <w:r w:rsidRPr="00D26DA8">
        <w:rPr>
          <w:rStyle w:val="normaltextrun"/>
          <w:lang w:val="en"/>
        </w:rPr>
        <w:t>(7), 80l–803.</w:t>
      </w:r>
      <w:r w:rsidRPr="00D26DA8">
        <w:rPr>
          <w:rStyle w:val="eop"/>
        </w:rPr>
        <w:t> </w:t>
      </w:r>
    </w:p>
    <w:p w:rsidR="007732D4" w:rsidP="003A04D0" w14:paraId="2EF432CB" w14:textId="73A81244">
      <w:pPr>
        <w:pStyle w:val="paragraph"/>
        <w:spacing w:before="0" w:beforeAutospacing="0" w:after="0" w:afterAutospacing="0" w:line="480" w:lineRule="auto"/>
        <w:jc w:val="both"/>
        <w:textAlignment w:val="baseline"/>
        <w:rPr>
          <w:rStyle w:val="eop"/>
        </w:rPr>
      </w:pPr>
      <w:r w:rsidRPr="00D26DA8">
        <w:rPr>
          <w:rStyle w:val="normaltextrun"/>
        </w:rPr>
        <w:t>Morgan, DL.,</w:t>
      </w:r>
      <w:r w:rsidR="00CC404D">
        <w:rPr>
          <w:rStyle w:val="normaltextrun"/>
        </w:rPr>
        <w:t xml:space="preserve"> &amp;</w:t>
      </w:r>
      <w:r w:rsidRPr="00D26DA8">
        <w:rPr>
          <w:rStyle w:val="normaltextrun"/>
        </w:rPr>
        <w:t xml:space="preserve"> Scannell, AU. (1998). Planning Focus Groups. Thousand Oaks, CA: Sage.</w:t>
      </w:r>
      <w:r w:rsidRPr="00D26DA8">
        <w:rPr>
          <w:rStyle w:val="eop"/>
        </w:rPr>
        <w:t> </w:t>
      </w:r>
    </w:p>
    <w:p w:rsidR="005C0245" w:rsidRPr="009F1644" w:rsidP="00901843" w14:paraId="6606C6D1" w14:textId="0EE0CF69">
      <w:pPr>
        <w:pStyle w:val="paragraph"/>
        <w:spacing w:before="0" w:beforeAutospacing="0" w:after="0" w:afterAutospacing="0" w:line="480" w:lineRule="auto"/>
        <w:ind w:left="720" w:hanging="720"/>
        <w:textAlignment w:val="baseline"/>
        <w:rPr>
          <w:rFonts w:ascii="Segoe UI" w:hAnsi="Segoe UI" w:cs="Segoe UI"/>
          <w:i/>
          <w:iCs/>
        </w:rPr>
      </w:pPr>
      <w:r>
        <w:rPr>
          <w:rStyle w:val="eop"/>
        </w:rPr>
        <w:t>National Cancer Institute. (</w:t>
      </w:r>
      <w:r w:rsidR="007A4A73">
        <w:rPr>
          <w:rStyle w:val="eop"/>
        </w:rPr>
        <w:t>20</w:t>
      </w:r>
      <w:r w:rsidR="00447226">
        <w:rPr>
          <w:rStyle w:val="eop"/>
        </w:rPr>
        <w:t>16</w:t>
      </w:r>
      <w:r w:rsidR="007A4A73">
        <w:rPr>
          <w:rStyle w:val="eop"/>
        </w:rPr>
        <w:t>). Making health communication</w:t>
      </w:r>
      <w:r w:rsidR="00147664">
        <w:rPr>
          <w:rStyle w:val="eop"/>
        </w:rPr>
        <w:t xml:space="preserve"> programs work: A planner’s guide. </w:t>
      </w:r>
      <w:r w:rsidR="009F1644">
        <w:rPr>
          <w:rStyle w:val="eop"/>
          <w:i/>
          <w:iCs/>
        </w:rPr>
        <w:t>NIH Publi</w:t>
      </w:r>
      <w:r w:rsidR="00BF0418">
        <w:rPr>
          <w:rStyle w:val="eop"/>
          <w:i/>
          <w:iCs/>
        </w:rPr>
        <w:t>cation</w:t>
      </w:r>
      <w:r w:rsidR="00BF0418">
        <w:rPr>
          <w:rStyle w:val="eop"/>
        </w:rPr>
        <w:t>,</w:t>
      </w:r>
      <w:r w:rsidRPr="00BF0418" w:rsidR="00BF0418">
        <w:rPr>
          <w:i/>
          <w:iCs/>
        </w:rPr>
        <w:t xml:space="preserve"> </w:t>
      </w:r>
      <w:r w:rsidRPr="00BF0418" w:rsidR="00BF0418">
        <w:t>no. 04-5145</w:t>
      </w:r>
      <w:r w:rsidR="00BF0418">
        <w:t xml:space="preserve">. Retrieved from </w:t>
      </w:r>
      <w:r w:rsidRPr="00901843" w:rsidR="00901843">
        <w:t>https://www.cancer.gov/publications/health-communication/pink-book.pdf</w:t>
      </w:r>
      <w:r w:rsidR="00901843">
        <w:t xml:space="preserve"> </w:t>
      </w:r>
    </w:p>
    <w:p w:rsidR="003A04D0" w:rsidP="003A04D0" w14:paraId="2EAE587B" w14:textId="7C28556C">
      <w:pPr>
        <w:pStyle w:val="paragraph"/>
        <w:spacing w:before="0" w:beforeAutospacing="0" w:after="0" w:afterAutospacing="0" w:line="480" w:lineRule="auto"/>
        <w:jc w:val="both"/>
        <w:textAlignment w:val="baseline"/>
        <w:rPr>
          <w:rStyle w:val="normaltextrun"/>
          <w:lang w:val="en"/>
        </w:rPr>
      </w:pPr>
      <w:r w:rsidRPr="00D26DA8">
        <w:rPr>
          <w:rStyle w:val="normaltextrun"/>
          <w:lang w:val="en"/>
        </w:rPr>
        <w:t>Russell, ML., Moralejo, DG.,</w:t>
      </w:r>
      <w:r w:rsidR="00CC404D">
        <w:rPr>
          <w:rStyle w:val="normaltextrun"/>
          <w:lang w:val="en"/>
        </w:rPr>
        <w:t xml:space="preserve"> &amp;</w:t>
      </w:r>
      <w:r w:rsidRPr="00D26DA8">
        <w:rPr>
          <w:rStyle w:val="normaltextrun"/>
          <w:lang w:val="en"/>
        </w:rPr>
        <w:t xml:space="preserve"> Burgess, ED. (2000). Paying research subjects: Participants’ </w:t>
      </w:r>
    </w:p>
    <w:p w:rsidR="007732D4" w:rsidP="003A04D0" w14:paraId="598A7E93" w14:textId="69CA9CB3">
      <w:pPr>
        <w:pStyle w:val="paragraph"/>
        <w:spacing w:before="0" w:beforeAutospacing="0" w:after="0" w:afterAutospacing="0" w:line="480" w:lineRule="auto"/>
        <w:ind w:firstLine="720"/>
        <w:jc w:val="both"/>
        <w:textAlignment w:val="baseline"/>
        <w:rPr>
          <w:rStyle w:val="eop"/>
        </w:rPr>
      </w:pPr>
      <w:r w:rsidRPr="00D26DA8">
        <w:rPr>
          <w:rStyle w:val="normaltextrun"/>
          <w:lang w:val="en"/>
        </w:rPr>
        <w:t xml:space="preserve">perspectives. </w:t>
      </w:r>
      <w:r w:rsidRPr="00D26DA8">
        <w:rPr>
          <w:rStyle w:val="normaltextrun"/>
          <w:i/>
          <w:iCs/>
          <w:lang w:val="en"/>
        </w:rPr>
        <w:t>Journal of Medical Ethics, 26</w:t>
      </w:r>
      <w:r w:rsidRPr="00D26DA8">
        <w:rPr>
          <w:rStyle w:val="normaltextrun"/>
          <w:lang w:val="en"/>
        </w:rPr>
        <w:t>(2), 126–130.</w:t>
      </w:r>
      <w:r w:rsidRPr="00D26DA8">
        <w:rPr>
          <w:rStyle w:val="eop"/>
        </w:rPr>
        <w:t> </w:t>
      </w:r>
    </w:p>
    <w:p w:rsidR="00A816DB" w:rsidP="00030026" w14:paraId="70952938" w14:textId="77777777">
      <w:pPr>
        <w:pStyle w:val="paragraph"/>
        <w:spacing w:before="0" w:beforeAutospacing="0" w:after="0" w:afterAutospacing="0" w:line="480" w:lineRule="auto"/>
        <w:textAlignment w:val="baseline"/>
      </w:pPr>
      <w:r>
        <w:t xml:space="preserve">United States Department of Agriculture. (2021). </w:t>
      </w:r>
      <w:r w:rsidR="009513EF">
        <w:t xml:space="preserve">Cost Estimates of Foodborne Illness. </w:t>
      </w:r>
      <w:r>
        <w:t xml:space="preserve">Received </w:t>
      </w:r>
    </w:p>
    <w:p w:rsidR="00030026" w:rsidRPr="00A816DB" w:rsidP="00A816DB" w14:paraId="29BBD667" w14:textId="135A0920">
      <w:pPr>
        <w:pStyle w:val="paragraph"/>
        <w:spacing w:before="0" w:beforeAutospacing="0" w:after="0" w:afterAutospacing="0" w:line="480" w:lineRule="auto"/>
        <w:ind w:left="720"/>
        <w:textAlignment w:val="baseline"/>
        <w:rPr>
          <w:rStyle w:val="eop"/>
          <w:rFonts w:ascii="Segoe UI" w:hAnsi="Segoe UI" w:cs="Segoe UI"/>
        </w:rPr>
      </w:pPr>
      <w:r>
        <w:t xml:space="preserve">from, </w:t>
      </w:r>
      <w:r w:rsidRPr="00A816DB">
        <w:t>https://www.ers.usda.gov/data-products/cost-estimates-of-foodborne-illnesses/documentation/</w:t>
      </w:r>
    </w:p>
    <w:p w:rsidR="00976EBB" w:rsidP="00E83CB8" w14:paraId="106F02DE" w14:textId="4588BCB2">
      <w:pPr>
        <w:pStyle w:val="paragraph"/>
        <w:spacing w:before="0" w:beforeAutospacing="0" w:after="0" w:afterAutospacing="0" w:line="480" w:lineRule="auto"/>
        <w:textAlignment w:val="baseline"/>
        <w:rPr>
          <w:rStyle w:val="eop"/>
        </w:rPr>
      </w:pPr>
      <w:r>
        <w:rPr>
          <w:rStyle w:val="eop"/>
        </w:rPr>
        <w:t xml:space="preserve">United States of Agriculture. (2022). Food Safety Inspection Service: Strategic Plan 2023-2026. </w:t>
      </w:r>
    </w:p>
    <w:p w:rsidR="00627395" w:rsidP="00E83CB8" w14:paraId="3B699206" w14:textId="737CA01B">
      <w:pPr>
        <w:pStyle w:val="paragraph"/>
        <w:spacing w:before="0" w:beforeAutospacing="0" w:after="0" w:afterAutospacing="0" w:line="480" w:lineRule="auto"/>
        <w:ind w:left="720"/>
        <w:textAlignment w:val="baseline"/>
      </w:pPr>
      <w:r>
        <w:rPr>
          <w:rStyle w:val="eop"/>
        </w:rPr>
        <w:t>Retrieved</w:t>
      </w:r>
      <w:r w:rsidR="00E83CB8">
        <w:rPr>
          <w:rStyle w:val="eop"/>
        </w:rPr>
        <w:t xml:space="preserve"> from</w:t>
      </w:r>
      <w:r>
        <w:rPr>
          <w:rStyle w:val="eop"/>
        </w:rPr>
        <w:t xml:space="preserve">, </w:t>
      </w:r>
      <w:r w:rsidRPr="0058341B" w:rsidR="0058341B">
        <w:t>https://www.fsis.usda.gov/sites/default/files/media_file/documents/Strategic%20Plan%20FY2023-2026-01172023.pdf</w:t>
      </w:r>
    </w:p>
    <w:p w:rsidR="007732D4" w:rsidRPr="00F55BD5" w:rsidP="00F55BD5" w14:paraId="1FE000A8" w14:textId="2499E43F">
      <w:pPr>
        <w:pStyle w:val="Biblio"/>
        <w:widowControl w:val="0"/>
      </w:pPr>
      <w:r>
        <w:t xml:space="preserve">United States </w:t>
      </w:r>
      <w:r w:rsidR="0008212A">
        <w:t>Bureau</w:t>
      </w:r>
      <w:r>
        <w:t xml:space="preserve"> of Labor Statistics. (2023). </w:t>
      </w:r>
      <w:r w:rsidR="0008212A">
        <w:t xml:space="preserve">Employment and average hourly earnings by industry. Retrieved from, </w:t>
      </w:r>
      <w:r w:rsidRPr="0008212A" w:rsidR="0008212A">
        <w:t>https://www.bls.gov/charts/employment-situation/employment-and-average-hourly-earnings-by-industry-bubble.htm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3072D"/>
    <w:multiLevelType w:val="hybridMultilevel"/>
    <w:tmpl w:val="00FACCD6"/>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1">
    <w:nsid w:val="0E10314E"/>
    <w:multiLevelType w:val="hybridMultilevel"/>
    <w:tmpl w:val="4208A3E6"/>
    <w:lvl w:ilvl="0">
      <w:start w:val="1"/>
      <w:numFmt w:val="bullet"/>
      <w:pStyle w:val="bullets-2ndlevel"/>
      <w:lvlText w:val="-"/>
      <w:lvlJc w:val="left"/>
      <w:pPr>
        <w:ind w:left="1890" w:hanging="360"/>
      </w:pPr>
      <w:rPr>
        <w:rFonts w:ascii="Courier New" w:hAnsi="Courier New"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
    <w:nsid w:val="23B57F03"/>
    <w:multiLevelType w:val="hybridMultilevel"/>
    <w:tmpl w:val="E38AE280"/>
    <w:lvl w:ilvl="0">
      <w:start w:val="1"/>
      <w:numFmt w:val="bullet"/>
      <w:pStyle w:val="bullets"/>
      <w:lvlText w:val=""/>
      <w:lvlJc w:val="left"/>
      <w:pPr>
        <w:tabs>
          <w:tab w:val="num" w:pos="1080"/>
        </w:tabs>
        <w:ind w:left="108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4"/>
        <w:szCs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1DA3DC5"/>
    <w:multiLevelType w:val="hybridMultilevel"/>
    <w:tmpl w:val="DE0E7170"/>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4">
    <w:nsid w:val="38BE0060"/>
    <w:multiLevelType w:val="hybridMultilevel"/>
    <w:tmpl w:val="2F563C3A"/>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5">
    <w:nsid w:val="3D5F243D"/>
    <w:multiLevelType w:val="hybridMultilevel"/>
    <w:tmpl w:val="F6827C56"/>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6">
    <w:nsid w:val="40301FDD"/>
    <w:multiLevelType w:val="hybridMultilevel"/>
    <w:tmpl w:val="506EDB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5BF7488"/>
    <w:multiLevelType w:val="hybridMultilevel"/>
    <w:tmpl w:val="BA7CD2B2"/>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8">
    <w:nsid w:val="58C66054"/>
    <w:multiLevelType w:val="hybridMultilevel"/>
    <w:tmpl w:val="6B68D44E"/>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num w:numId="1" w16cid:durableId="1430660409">
    <w:abstractNumId w:val="2"/>
  </w:num>
  <w:num w:numId="2" w16cid:durableId="1663435811">
    <w:abstractNumId w:val="1"/>
  </w:num>
  <w:num w:numId="3" w16cid:durableId="16464810">
    <w:abstractNumId w:val="7"/>
  </w:num>
  <w:num w:numId="4" w16cid:durableId="470833439">
    <w:abstractNumId w:val="8"/>
  </w:num>
  <w:num w:numId="5" w16cid:durableId="910963280">
    <w:abstractNumId w:val="5"/>
  </w:num>
  <w:num w:numId="6" w16cid:durableId="1448967724">
    <w:abstractNumId w:val="0"/>
  </w:num>
  <w:num w:numId="7" w16cid:durableId="37701878">
    <w:abstractNumId w:val="4"/>
  </w:num>
  <w:num w:numId="8" w16cid:durableId="1879050944">
    <w:abstractNumId w:val="3"/>
  </w:num>
  <w:num w:numId="9" w16cid:durableId="2116630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9F"/>
    <w:rsid w:val="00002646"/>
    <w:rsid w:val="00002B8B"/>
    <w:rsid w:val="000112F5"/>
    <w:rsid w:val="000131CE"/>
    <w:rsid w:val="00013248"/>
    <w:rsid w:val="00017409"/>
    <w:rsid w:val="000174EE"/>
    <w:rsid w:val="000220BB"/>
    <w:rsid w:val="00023A2F"/>
    <w:rsid w:val="00030026"/>
    <w:rsid w:val="000366DB"/>
    <w:rsid w:val="00047429"/>
    <w:rsid w:val="000514A1"/>
    <w:rsid w:val="00055E3C"/>
    <w:rsid w:val="00056EC1"/>
    <w:rsid w:val="0006135C"/>
    <w:rsid w:val="00062294"/>
    <w:rsid w:val="000631B7"/>
    <w:rsid w:val="00063B72"/>
    <w:rsid w:val="000658AD"/>
    <w:rsid w:val="00066630"/>
    <w:rsid w:val="000671AD"/>
    <w:rsid w:val="0006725A"/>
    <w:rsid w:val="0007122E"/>
    <w:rsid w:val="00072669"/>
    <w:rsid w:val="000812B5"/>
    <w:rsid w:val="0008212A"/>
    <w:rsid w:val="00087326"/>
    <w:rsid w:val="000903CE"/>
    <w:rsid w:val="00090DDC"/>
    <w:rsid w:val="000928DF"/>
    <w:rsid w:val="000934A3"/>
    <w:rsid w:val="00094A53"/>
    <w:rsid w:val="000967E1"/>
    <w:rsid w:val="000A4262"/>
    <w:rsid w:val="000A5E7E"/>
    <w:rsid w:val="000A7CE5"/>
    <w:rsid w:val="000B1048"/>
    <w:rsid w:val="000B162A"/>
    <w:rsid w:val="000B7AD4"/>
    <w:rsid w:val="000C33B6"/>
    <w:rsid w:val="000D05BD"/>
    <w:rsid w:val="000E00FD"/>
    <w:rsid w:val="000E1E96"/>
    <w:rsid w:val="000E2EF0"/>
    <w:rsid w:val="000E7F6D"/>
    <w:rsid w:val="000F0AD5"/>
    <w:rsid w:val="001117B4"/>
    <w:rsid w:val="0011285E"/>
    <w:rsid w:val="00112CA3"/>
    <w:rsid w:val="00115681"/>
    <w:rsid w:val="00120547"/>
    <w:rsid w:val="00121F23"/>
    <w:rsid w:val="00130DFC"/>
    <w:rsid w:val="00131F77"/>
    <w:rsid w:val="00144C17"/>
    <w:rsid w:val="00147664"/>
    <w:rsid w:val="00147ECF"/>
    <w:rsid w:val="00152545"/>
    <w:rsid w:val="00153E7B"/>
    <w:rsid w:val="001608F4"/>
    <w:rsid w:val="00163C4F"/>
    <w:rsid w:val="00163DFF"/>
    <w:rsid w:val="00164CC8"/>
    <w:rsid w:val="001757CC"/>
    <w:rsid w:val="001778EC"/>
    <w:rsid w:val="001828B7"/>
    <w:rsid w:val="001865D0"/>
    <w:rsid w:val="00195E54"/>
    <w:rsid w:val="001B3180"/>
    <w:rsid w:val="001B61CD"/>
    <w:rsid w:val="001C02CE"/>
    <w:rsid w:val="001C4E42"/>
    <w:rsid w:val="001C53C2"/>
    <w:rsid w:val="001C6EBD"/>
    <w:rsid w:val="001D03D7"/>
    <w:rsid w:val="001D29EC"/>
    <w:rsid w:val="001D65E8"/>
    <w:rsid w:val="001D68F9"/>
    <w:rsid w:val="001D7960"/>
    <w:rsid w:val="001E0C91"/>
    <w:rsid w:val="001E4403"/>
    <w:rsid w:val="001F42F5"/>
    <w:rsid w:val="002003D4"/>
    <w:rsid w:val="00203345"/>
    <w:rsid w:val="00206CC0"/>
    <w:rsid w:val="00207F79"/>
    <w:rsid w:val="00211ED9"/>
    <w:rsid w:val="002142F9"/>
    <w:rsid w:val="0022359B"/>
    <w:rsid w:val="002257E3"/>
    <w:rsid w:val="002317E1"/>
    <w:rsid w:val="00233304"/>
    <w:rsid w:val="00236D21"/>
    <w:rsid w:val="002370AA"/>
    <w:rsid w:val="00245420"/>
    <w:rsid w:val="00246D9F"/>
    <w:rsid w:val="0024797B"/>
    <w:rsid w:val="00247BAB"/>
    <w:rsid w:val="00252ABB"/>
    <w:rsid w:val="00264B6A"/>
    <w:rsid w:val="002702AD"/>
    <w:rsid w:val="00270A85"/>
    <w:rsid w:val="0027460E"/>
    <w:rsid w:val="002762E0"/>
    <w:rsid w:val="00276367"/>
    <w:rsid w:val="00276716"/>
    <w:rsid w:val="0027796F"/>
    <w:rsid w:val="002835E1"/>
    <w:rsid w:val="0028395E"/>
    <w:rsid w:val="00285A74"/>
    <w:rsid w:val="00285D9E"/>
    <w:rsid w:val="00286C82"/>
    <w:rsid w:val="00287C11"/>
    <w:rsid w:val="00290462"/>
    <w:rsid w:val="00291CBA"/>
    <w:rsid w:val="00292DEE"/>
    <w:rsid w:val="00295AB3"/>
    <w:rsid w:val="002A3B29"/>
    <w:rsid w:val="002A3B5E"/>
    <w:rsid w:val="002A4CED"/>
    <w:rsid w:val="002A665D"/>
    <w:rsid w:val="002C00F4"/>
    <w:rsid w:val="002C1167"/>
    <w:rsid w:val="002C5693"/>
    <w:rsid w:val="002D5F34"/>
    <w:rsid w:val="002D6C21"/>
    <w:rsid w:val="002D75A8"/>
    <w:rsid w:val="002E2923"/>
    <w:rsid w:val="002E3006"/>
    <w:rsid w:val="002E6B40"/>
    <w:rsid w:val="002F213F"/>
    <w:rsid w:val="002F49AB"/>
    <w:rsid w:val="00300269"/>
    <w:rsid w:val="0030511A"/>
    <w:rsid w:val="0031004D"/>
    <w:rsid w:val="00311E17"/>
    <w:rsid w:val="00313682"/>
    <w:rsid w:val="00317BC6"/>
    <w:rsid w:val="00325E4A"/>
    <w:rsid w:val="00326105"/>
    <w:rsid w:val="00327099"/>
    <w:rsid w:val="00334B02"/>
    <w:rsid w:val="00340A79"/>
    <w:rsid w:val="003428D2"/>
    <w:rsid w:val="00342E04"/>
    <w:rsid w:val="00346ABA"/>
    <w:rsid w:val="00347E34"/>
    <w:rsid w:val="00355F2E"/>
    <w:rsid w:val="0035758A"/>
    <w:rsid w:val="003611E5"/>
    <w:rsid w:val="00361614"/>
    <w:rsid w:val="00366A64"/>
    <w:rsid w:val="003706C7"/>
    <w:rsid w:val="00372647"/>
    <w:rsid w:val="00374FC3"/>
    <w:rsid w:val="00376116"/>
    <w:rsid w:val="00381172"/>
    <w:rsid w:val="003826FC"/>
    <w:rsid w:val="00383745"/>
    <w:rsid w:val="00385E86"/>
    <w:rsid w:val="0038614E"/>
    <w:rsid w:val="003862E3"/>
    <w:rsid w:val="00395C56"/>
    <w:rsid w:val="0039672F"/>
    <w:rsid w:val="00396CDE"/>
    <w:rsid w:val="003A04D0"/>
    <w:rsid w:val="003A31DD"/>
    <w:rsid w:val="003A468C"/>
    <w:rsid w:val="003B029C"/>
    <w:rsid w:val="003B069E"/>
    <w:rsid w:val="003B16DE"/>
    <w:rsid w:val="003B46CE"/>
    <w:rsid w:val="003B4982"/>
    <w:rsid w:val="003B7A33"/>
    <w:rsid w:val="003C46E7"/>
    <w:rsid w:val="003C580D"/>
    <w:rsid w:val="003C75E7"/>
    <w:rsid w:val="003D657C"/>
    <w:rsid w:val="003D76CA"/>
    <w:rsid w:val="003D7FD7"/>
    <w:rsid w:val="003E36C4"/>
    <w:rsid w:val="003E45B2"/>
    <w:rsid w:val="003E48A0"/>
    <w:rsid w:val="003E6F9A"/>
    <w:rsid w:val="003F067E"/>
    <w:rsid w:val="003F1AB2"/>
    <w:rsid w:val="003F3B3C"/>
    <w:rsid w:val="003F51A3"/>
    <w:rsid w:val="00401B76"/>
    <w:rsid w:val="004039F5"/>
    <w:rsid w:val="00404F5C"/>
    <w:rsid w:val="004076BF"/>
    <w:rsid w:val="00410FD7"/>
    <w:rsid w:val="00412416"/>
    <w:rsid w:val="0041341A"/>
    <w:rsid w:val="00414B18"/>
    <w:rsid w:val="00424B3D"/>
    <w:rsid w:val="00427684"/>
    <w:rsid w:val="004318BB"/>
    <w:rsid w:val="00432849"/>
    <w:rsid w:val="004328E9"/>
    <w:rsid w:val="00434E26"/>
    <w:rsid w:val="004410DC"/>
    <w:rsid w:val="00442C03"/>
    <w:rsid w:val="004463AE"/>
    <w:rsid w:val="00446EE4"/>
    <w:rsid w:val="00447226"/>
    <w:rsid w:val="00453469"/>
    <w:rsid w:val="00456651"/>
    <w:rsid w:val="00457783"/>
    <w:rsid w:val="0046295C"/>
    <w:rsid w:val="00464213"/>
    <w:rsid w:val="00464908"/>
    <w:rsid w:val="00466EC5"/>
    <w:rsid w:val="0047066F"/>
    <w:rsid w:val="004742CB"/>
    <w:rsid w:val="0047498F"/>
    <w:rsid w:val="0048170E"/>
    <w:rsid w:val="0048325A"/>
    <w:rsid w:val="00483E99"/>
    <w:rsid w:val="00490AFA"/>
    <w:rsid w:val="004A1D3D"/>
    <w:rsid w:val="004A4E0C"/>
    <w:rsid w:val="004A6022"/>
    <w:rsid w:val="004A6AC5"/>
    <w:rsid w:val="004A7B8D"/>
    <w:rsid w:val="004B47F5"/>
    <w:rsid w:val="004B7E99"/>
    <w:rsid w:val="004C4DE4"/>
    <w:rsid w:val="004C6562"/>
    <w:rsid w:val="004D4FC1"/>
    <w:rsid w:val="004D4FEA"/>
    <w:rsid w:val="004D559C"/>
    <w:rsid w:val="004E235C"/>
    <w:rsid w:val="004E3AA1"/>
    <w:rsid w:val="004E4658"/>
    <w:rsid w:val="004F0B6E"/>
    <w:rsid w:val="004F1038"/>
    <w:rsid w:val="004F2BC8"/>
    <w:rsid w:val="00500A49"/>
    <w:rsid w:val="00502A11"/>
    <w:rsid w:val="00502FB1"/>
    <w:rsid w:val="00503C3B"/>
    <w:rsid w:val="0050466C"/>
    <w:rsid w:val="00510124"/>
    <w:rsid w:val="00510A29"/>
    <w:rsid w:val="00511D14"/>
    <w:rsid w:val="0051484A"/>
    <w:rsid w:val="00516F24"/>
    <w:rsid w:val="00521E86"/>
    <w:rsid w:val="00524601"/>
    <w:rsid w:val="00524C3D"/>
    <w:rsid w:val="0052547A"/>
    <w:rsid w:val="00530C90"/>
    <w:rsid w:val="005326E2"/>
    <w:rsid w:val="00532C27"/>
    <w:rsid w:val="005341DD"/>
    <w:rsid w:val="00537780"/>
    <w:rsid w:val="00537D1F"/>
    <w:rsid w:val="00540712"/>
    <w:rsid w:val="0054365B"/>
    <w:rsid w:val="00545424"/>
    <w:rsid w:val="00556910"/>
    <w:rsid w:val="005605A1"/>
    <w:rsid w:val="00561445"/>
    <w:rsid w:val="0056451A"/>
    <w:rsid w:val="00564802"/>
    <w:rsid w:val="00566A71"/>
    <w:rsid w:val="005709FF"/>
    <w:rsid w:val="0058341B"/>
    <w:rsid w:val="005860DE"/>
    <w:rsid w:val="0059353C"/>
    <w:rsid w:val="00594DC5"/>
    <w:rsid w:val="005950A2"/>
    <w:rsid w:val="00596238"/>
    <w:rsid w:val="0059719D"/>
    <w:rsid w:val="005A7C7D"/>
    <w:rsid w:val="005B0C2D"/>
    <w:rsid w:val="005B2AEA"/>
    <w:rsid w:val="005B315D"/>
    <w:rsid w:val="005B367D"/>
    <w:rsid w:val="005B376F"/>
    <w:rsid w:val="005B6518"/>
    <w:rsid w:val="005B68A0"/>
    <w:rsid w:val="005C0245"/>
    <w:rsid w:val="005C30B1"/>
    <w:rsid w:val="005C6974"/>
    <w:rsid w:val="005D17AA"/>
    <w:rsid w:val="005D27CF"/>
    <w:rsid w:val="005D2B4C"/>
    <w:rsid w:val="005D4142"/>
    <w:rsid w:val="005D606D"/>
    <w:rsid w:val="005D620A"/>
    <w:rsid w:val="005E27C1"/>
    <w:rsid w:val="005E40B0"/>
    <w:rsid w:val="005E45DF"/>
    <w:rsid w:val="005F1D9F"/>
    <w:rsid w:val="005F28EB"/>
    <w:rsid w:val="0060097B"/>
    <w:rsid w:val="00601545"/>
    <w:rsid w:val="006041B8"/>
    <w:rsid w:val="0060535D"/>
    <w:rsid w:val="00605E5C"/>
    <w:rsid w:val="00611039"/>
    <w:rsid w:val="00613FFF"/>
    <w:rsid w:val="006141F5"/>
    <w:rsid w:val="00615DA4"/>
    <w:rsid w:val="00616CD5"/>
    <w:rsid w:val="00623452"/>
    <w:rsid w:val="00625EEE"/>
    <w:rsid w:val="006261BE"/>
    <w:rsid w:val="00626E79"/>
    <w:rsid w:val="00626EB1"/>
    <w:rsid w:val="00627395"/>
    <w:rsid w:val="006316C9"/>
    <w:rsid w:val="00631E0F"/>
    <w:rsid w:val="0063409D"/>
    <w:rsid w:val="00634998"/>
    <w:rsid w:val="00643CD1"/>
    <w:rsid w:val="00646667"/>
    <w:rsid w:val="00647254"/>
    <w:rsid w:val="00665A76"/>
    <w:rsid w:val="00670228"/>
    <w:rsid w:val="00673784"/>
    <w:rsid w:val="006817B5"/>
    <w:rsid w:val="0068281E"/>
    <w:rsid w:val="00682B6E"/>
    <w:rsid w:val="0068479A"/>
    <w:rsid w:val="00686738"/>
    <w:rsid w:val="006901D0"/>
    <w:rsid w:val="00692BDF"/>
    <w:rsid w:val="00693BD1"/>
    <w:rsid w:val="006A09ED"/>
    <w:rsid w:val="006A5F89"/>
    <w:rsid w:val="006A6B53"/>
    <w:rsid w:val="006B6860"/>
    <w:rsid w:val="006C01AD"/>
    <w:rsid w:val="006C1815"/>
    <w:rsid w:val="006C25C7"/>
    <w:rsid w:val="006C625A"/>
    <w:rsid w:val="006D19DD"/>
    <w:rsid w:val="006D1C0D"/>
    <w:rsid w:val="006D68B6"/>
    <w:rsid w:val="006E52B0"/>
    <w:rsid w:val="006E5D25"/>
    <w:rsid w:val="006E7411"/>
    <w:rsid w:val="006F13AD"/>
    <w:rsid w:val="006F5921"/>
    <w:rsid w:val="006F64DC"/>
    <w:rsid w:val="00703C54"/>
    <w:rsid w:val="007056D3"/>
    <w:rsid w:val="00707550"/>
    <w:rsid w:val="007103A3"/>
    <w:rsid w:val="007177DE"/>
    <w:rsid w:val="0072497B"/>
    <w:rsid w:val="00724EC8"/>
    <w:rsid w:val="00724ECB"/>
    <w:rsid w:val="00727978"/>
    <w:rsid w:val="0073045E"/>
    <w:rsid w:val="00732AD7"/>
    <w:rsid w:val="00732E9C"/>
    <w:rsid w:val="00734724"/>
    <w:rsid w:val="00736D4D"/>
    <w:rsid w:val="00740F12"/>
    <w:rsid w:val="00743F39"/>
    <w:rsid w:val="007463CC"/>
    <w:rsid w:val="00750E11"/>
    <w:rsid w:val="007519D8"/>
    <w:rsid w:val="007533D5"/>
    <w:rsid w:val="00753DA8"/>
    <w:rsid w:val="00757E8D"/>
    <w:rsid w:val="007618ED"/>
    <w:rsid w:val="0076459D"/>
    <w:rsid w:val="00766F3C"/>
    <w:rsid w:val="00771670"/>
    <w:rsid w:val="007720F9"/>
    <w:rsid w:val="007732D4"/>
    <w:rsid w:val="00775527"/>
    <w:rsid w:val="00781B23"/>
    <w:rsid w:val="0078299C"/>
    <w:rsid w:val="00782C19"/>
    <w:rsid w:val="00785BB8"/>
    <w:rsid w:val="00791652"/>
    <w:rsid w:val="00791EE9"/>
    <w:rsid w:val="00792462"/>
    <w:rsid w:val="007939A0"/>
    <w:rsid w:val="00795691"/>
    <w:rsid w:val="0079591F"/>
    <w:rsid w:val="007975C4"/>
    <w:rsid w:val="007A4A73"/>
    <w:rsid w:val="007A5595"/>
    <w:rsid w:val="007A5A1D"/>
    <w:rsid w:val="007B05B4"/>
    <w:rsid w:val="007B0BF4"/>
    <w:rsid w:val="007B5BD1"/>
    <w:rsid w:val="007B61FC"/>
    <w:rsid w:val="007C5AD9"/>
    <w:rsid w:val="007D38AF"/>
    <w:rsid w:val="007D5396"/>
    <w:rsid w:val="007D5A6A"/>
    <w:rsid w:val="007D6C5C"/>
    <w:rsid w:val="007D77FD"/>
    <w:rsid w:val="007E0AD8"/>
    <w:rsid w:val="007E2E92"/>
    <w:rsid w:val="007E63C3"/>
    <w:rsid w:val="007E647B"/>
    <w:rsid w:val="007F2F2F"/>
    <w:rsid w:val="007F6B94"/>
    <w:rsid w:val="00814E07"/>
    <w:rsid w:val="0081787C"/>
    <w:rsid w:val="00820421"/>
    <w:rsid w:val="008238C4"/>
    <w:rsid w:val="008244D6"/>
    <w:rsid w:val="0082786A"/>
    <w:rsid w:val="00835415"/>
    <w:rsid w:val="00837DCF"/>
    <w:rsid w:val="00840F70"/>
    <w:rsid w:val="008423E9"/>
    <w:rsid w:val="008471FA"/>
    <w:rsid w:val="00851005"/>
    <w:rsid w:val="00857128"/>
    <w:rsid w:val="00861728"/>
    <w:rsid w:val="008625C7"/>
    <w:rsid w:val="00872034"/>
    <w:rsid w:val="00874CC0"/>
    <w:rsid w:val="008804C7"/>
    <w:rsid w:val="008809F8"/>
    <w:rsid w:val="0088137B"/>
    <w:rsid w:val="008814F6"/>
    <w:rsid w:val="008856BA"/>
    <w:rsid w:val="00885E02"/>
    <w:rsid w:val="00886936"/>
    <w:rsid w:val="008873D4"/>
    <w:rsid w:val="0088792D"/>
    <w:rsid w:val="008923BD"/>
    <w:rsid w:val="00893322"/>
    <w:rsid w:val="008A5595"/>
    <w:rsid w:val="008A5DA9"/>
    <w:rsid w:val="008B179D"/>
    <w:rsid w:val="008B4000"/>
    <w:rsid w:val="008C2C3A"/>
    <w:rsid w:val="008C3C19"/>
    <w:rsid w:val="008C5771"/>
    <w:rsid w:val="008C5E20"/>
    <w:rsid w:val="008D2285"/>
    <w:rsid w:val="008D305C"/>
    <w:rsid w:val="008D60B2"/>
    <w:rsid w:val="008D63BB"/>
    <w:rsid w:val="008E10F7"/>
    <w:rsid w:val="008E1E37"/>
    <w:rsid w:val="008E5F82"/>
    <w:rsid w:val="008E5F86"/>
    <w:rsid w:val="008F02A2"/>
    <w:rsid w:val="008F1D91"/>
    <w:rsid w:val="008F3E19"/>
    <w:rsid w:val="008F518D"/>
    <w:rsid w:val="008F5371"/>
    <w:rsid w:val="00900488"/>
    <w:rsid w:val="0090159E"/>
    <w:rsid w:val="00901843"/>
    <w:rsid w:val="00902CA9"/>
    <w:rsid w:val="00905BC2"/>
    <w:rsid w:val="00911D9F"/>
    <w:rsid w:val="009122EA"/>
    <w:rsid w:val="009133A5"/>
    <w:rsid w:val="00920D5E"/>
    <w:rsid w:val="00925592"/>
    <w:rsid w:val="009326B1"/>
    <w:rsid w:val="00932A92"/>
    <w:rsid w:val="00934445"/>
    <w:rsid w:val="00935F86"/>
    <w:rsid w:val="0093707D"/>
    <w:rsid w:val="00937235"/>
    <w:rsid w:val="00940358"/>
    <w:rsid w:val="009405A1"/>
    <w:rsid w:val="00942156"/>
    <w:rsid w:val="00944966"/>
    <w:rsid w:val="00945B4A"/>
    <w:rsid w:val="0094606E"/>
    <w:rsid w:val="009477B8"/>
    <w:rsid w:val="0095056D"/>
    <w:rsid w:val="009513EF"/>
    <w:rsid w:val="009514B6"/>
    <w:rsid w:val="00952019"/>
    <w:rsid w:val="009566A0"/>
    <w:rsid w:val="0095676F"/>
    <w:rsid w:val="00956812"/>
    <w:rsid w:val="00961E8F"/>
    <w:rsid w:val="00966DB8"/>
    <w:rsid w:val="0097065E"/>
    <w:rsid w:val="00976EBB"/>
    <w:rsid w:val="00977482"/>
    <w:rsid w:val="009774C9"/>
    <w:rsid w:val="00981BF0"/>
    <w:rsid w:val="00981D10"/>
    <w:rsid w:val="009844A5"/>
    <w:rsid w:val="009864B0"/>
    <w:rsid w:val="00990313"/>
    <w:rsid w:val="009904D0"/>
    <w:rsid w:val="009917FA"/>
    <w:rsid w:val="00991E81"/>
    <w:rsid w:val="00994039"/>
    <w:rsid w:val="00995DC1"/>
    <w:rsid w:val="0099781F"/>
    <w:rsid w:val="00997927"/>
    <w:rsid w:val="009A66C2"/>
    <w:rsid w:val="009A7C30"/>
    <w:rsid w:val="009B16C2"/>
    <w:rsid w:val="009B19FF"/>
    <w:rsid w:val="009B215E"/>
    <w:rsid w:val="009B41A6"/>
    <w:rsid w:val="009B47C2"/>
    <w:rsid w:val="009B6DAE"/>
    <w:rsid w:val="009C0E1E"/>
    <w:rsid w:val="009D144B"/>
    <w:rsid w:val="009D2EF5"/>
    <w:rsid w:val="009D5367"/>
    <w:rsid w:val="009D61D8"/>
    <w:rsid w:val="009E30AA"/>
    <w:rsid w:val="009F1644"/>
    <w:rsid w:val="009F2C3F"/>
    <w:rsid w:val="009F3FA6"/>
    <w:rsid w:val="00A01F7F"/>
    <w:rsid w:val="00A0310F"/>
    <w:rsid w:val="00A05834"/>
    <w:rsid w:val="00A06C6E"/>
    <w:rsid w:val="00A06F9F"/>
    <w:rsid w:val="00A11291"/>
    <w:rsid w:val="00A17C2D"/>
    <w:rsid w:val="00A221EE"/>
    <w:rsid w:val="00A22C64"/>
    <w:rsid w:val="00A3169E"/>
    <w:rsid w:val="00A333BF"/>
    <w:rsid w:val="00A33E14"/>
    <w:rsid w:val="00A37031"/>
    <w:rsid w:val="00A42522"/>
    <w:rsid w:val="00A4325A"/>
    <w:rsid w:val="00A43B42"/>
    <w:rsid w:val="00A4751B"/>
    <w:rsid w:val="00A4769E"/>
    <w:rsid w:val="00A50332"/>
    <w:rsid w:val="00A50FA5"/>
    <w:rsid w:val="00A51C30"/>
    <w:rsid w:val="00A51D9B"/>
    <w:rsid w:val="00A66798"/>
    <w:rsid w:val="00A7070C"/>
    <w:rsid w:val="00A77A24"/>
    <w:rsid w:val="00A81597"/>
    <w:rsid w:val="00A816DB"/>
    <w:rsid w:val="00A8294B"/>
    <w:rsid w:val="00A83CF8"/>
    <w:rsid w:val="00A87864"/>
    <w:rsid w:val="00A91C01"/>
    <w:rsid w:val="00A9759E"/>
    <w:rsid w:val="00A976F0"/>
    <w:rsid w:val="00AA077F"/>
    <w:rsid w:val="00AA1065"/>
    <w:rsid w:val="00AA12C3"/>
    <w:rsid w:val="00AA2181"/>
    <w:rsid w:val="00AA3868"/>
    <w:rsid w:val="00AB0260"/>
    <w:rsid w:val="00AB1760"/>
    <w:rsid w:val="00AB507B"/>
    <w:rsid w:val="00AB5380"/>
    <w:rsid w:val="00AB77D8"/>
    <w:rsid w:val="00AB7DD3"/>
    <w:rsid w:val="00AC11C6"/>
    <w:rsid w:val="00AC3E82"/>
    <w:rsid w:val="00AC6A27"/>
    <w:rsid w:val="00AD3464"/>
    <w:rsid w:val="00AE34BF"/>
    <w:rsid w:val="00AE697A"/>
    <w:rsid w:val="00AF418F"/>
    <w:rsid w:val="00AF5C71"/>
    <w:rsid w:val="00B06D26"/>
    <w:rsid w:val="00B1192D"/>
    <w:rsid w:val="00B2072B"/>
    <w:rsid w:val="00B2173C"/>
    <w:rsid w:val="00B232F3"/>
    <w:rsid w:val="00B26A34"/>
    <w:rsid w:val="00B33D2F"/>
    <w:rsid w:val="00B352F4"/>
    <w:rsid w:val="00B37FE1"/>
    <w:rsid w:val="00B40A56"/>
    <w:rsid w:val="00B41DF9"/>
    <w:rsid w:val="00B420E0"/>
    <w:rsid w:val="00B42C8D"/>
    <w:rsid w:val="00B50A2D"/>
    <w:rsid w:val="00B5179C"/>
    <w:rsid w:val="00B540AE"/>
    <w:rsid w:val="00B560AB"/>
    <w:rsid w:val="00B62612"/>
    <w:rsid w:val="00B72434"/>
    <w:rsid w:val="00B72B93"/>
    <w:rsid w:val="00B72FD0"/>
    <w:rsid w:val="00B8024E"/>
    <w:rsid w:val="00B8165F"/>
    <w:rsid w:val="00B9490E"/>
    <w:rsid w:val="00BA2745"/>
    <w:rsid w:val="00BA2B7A"/>
    <w:rsid w:val="00BA2DEA"/>
    <w:rsid w:val="00BA4B3A"/>
    <w:rsid w:val="00BA515D"/>
    <w:rsid w:val="00BB6214"/>
    <w:rsid w:val="00BC73A1"/>
    <w:rsid w:val="00BD4FEF"/>
    <w:rsid w:val="00BE2BC5"/>
    <w:rsid w:val="00BE467C"/>
    <w:rsid w:val="00BE623F"/>
    <w:rsid w:val="00BF0418"/>
    <w:rsid w:val="00BF1BE0"/>
    <w:rsid w:val="00C00588"/>
    <w:rsid w:val="00C027B8"/>
    <w:rsid w:val="00C02BC5"/>
    <w:rsid w:val="00C12FA0"/>
    <w:rsid w:val="00C132F1"/>
    <w:rsid w:val="00C16237"/>
    <w:rsid w:val="00C20FD0"/>
    <w:rsid w:val="00C215ED"/>
    <w:rsid w:val="00C24B6D"/>
    <w:rsid w:val="00C30F9B"/>
    <w:rsid w:val="00C32BB2"/>
    <w:rsid w:val="00C32DFF"/>
    <w:rsid w:val="00C35A9A"/>
    <w:rsid w:val="00C460DE"/>
    <w:rsid w:val="00C53A16"/>
    <w:rsid w:val="00C54455"/>
    <w:rsid w:val="00C55278"/>
    <w:rsid w:val="00C623CF"/>
    <w:rsid w:val="00C63131"/>
    <w:rsid w:val="00C658C7"/>
    <w:rsid w:val="00C70902"/>
    <w:rsid w:val="00C74441"/>
    <w:rsid w:val="00C74BF5"/>
    <w:rsid w:val="00C80322"/>
    <w:rsid w:val="00C82517"/>
    <w:rsid w:val="00C938C3"/>
    <w:rsid w:val="00CA1B1D"/>
    <w:rsid w:val="00CA1E3C"/>
    <w:rsid w:val="00CA20D1"/>
    <w:rsid w:val="00CA2FDD"/>
    <w:rsid w:val="00CA5B3E"/>
    <w:rsid w:val="00CB7710"/>
    <w:rsid w:val="00CB7823"/>
    <w:rsid w:val="00CC404D"/>
    <w:rsid w:val="00CC581C"/>
    <w:rsid w:val="00CC7D5E"/>
    <w:rsid w:val="00CD11FD"/>
    <w:rsid w:val="00CE48C8"/>
    <w:rsid w:val="00CE6B98"/>
    <w:rsid w:val="00CF3B5A"/>
    <w:rsid w:val="00CF5867"/>
    <w:rsid w:val="00CF7801"/>
    <w:rsid w:val="00D01710"/>
    <w:rsid w:val="00D03715"/>
    <w:rsid w:val="00D11543"/>
    <w:rsid w:val="00D11673"/>
    <w:rsid w:val="00D148D8"/>
    <w:rsid w:val="00D205EA"/>
    <w:rsid w:val="00D21377"/>
    <w:rsid w:val="00D26800"/>
    <w:rsid w:val="00D26DA8"/>
    <w:rsid w:val="00D27E76"/>
    <w:rsid w:val="00D352B7"/>
    <w:rsid w:val="00D41EFF"/>
    <w:rsid w:val="00D4233B"/>
    <w:rsid w:val="00D43E4C"/>
    <w:rsid w:val="00D4511D"/>
    <w:rsid w:val="00D45523"/>
    <w:rsid w:val="00D4734C"/>
    <w:rsid w:val="00D51AE1"/>
    <w:rsid w:val="00D56B77"/>
    <w:rsid w:val="00D64549"/>
    <w:rsid w:val="00D64577"/>
    <w:rsid w:val="00D669AA"/>
    <w:rsid w:val="00D721D4"/>
    <w:rsid w:val="00D72B3B"/>
    <w:rsid w:val="00D72E4F"/>
    <w:rsid w:val="00D764FC"/>
    <w:rsid w:val="00D816C2"/>
    <w:rsid w:val="00D8231A"/>
    <w:rsid w:val="00D83392"/>
    <w:rsid w:val="00D84D1D"/>
    <w:rsid w:val="00D85A42"/>
    <w:rsid w:val="00D86E86"/>
    <w:rsid w:val="00D91C60"/>
    <w:rsid w:val="00D94C2B"/>
    <w:rsid w:val="00DA394D"/>
    <w:rsid w:val="00DB0080"/>
    <w:rsid w:val="00DB1B6E"/>
    <w:rsid w:val="00DB2E06"/>
    <w:rsid w:val="00DB4D7A"/>
    <w:rsid w:val="00DB79B4"/>
    <w:rsid w:val="00DD0D26"/>
    <w:rsid w:val="00DD2B50"/>
    <w:rsid w:val="00DD2E7A"/>
    <w:rsid w:val="00DD6341"/>
    <w:rsid w:val="00DD6DFD"/>
    <w:rsid w:val="00DD79EE"/>
    <w:rsid w:val="00DE298D"/>
    <w:rsid w:val="00DF1444"/>
    <w:rsid w:val="00DF3FF8"/>
    <w:rsid w:val="00DF4CD4"/>
    <w:rsid w:val="00DF4DDC"/>
    <w:rsid w:val="00DF585A"/>
    <w:rsid w:val="00DF638F"/>
    <w:rsid w:val="00DF75F7"/>
    <w:rsid w:val="00DF77A0"/>
    <w:rsid w:val="00E06EA3"/>
    <w:rsid w:val="00E06EE7"/>
    <w:rsid w:val="00E13F2D"/>
    <w:rsid w:val="00E14B32"/>
    <w:rsid w:val="00E16BEB"/>
    <w:rsid w:val="00E211CB"/>
    <w:rsid w:val="00E24860"/>
    <w:rsid w:val="00E24B35"/>
    <w:rsid w:val="00E273DB"/>
    <w:rsid w:val="00E31B18"/>
    <w:rsid w:val="00E32E45"/>
    <w:rsid w:val="00E3598E"/>
    <w:rsid w:val="00E36EF4"/>
    <w:rsid w:val="00E37640"/>
    <w:rsid w:val="00E37EDE"/>
    <w:rsid w:val="00E42B94"/>
    <w:rsid w:val="00E42F20"/>
    <w:rsid w:val="00E43868"/>
    <w:rsid w:val="00E442D1"/>
    <w:rsid w:val="00E4730A"/>
    <w:rsid w:val="00E53469"/>
    <w:rsid w:val="00E606AE"/>
    <w:rsid w:val="00E63C83"/>
    <w:rsid w:val="00E65097"/>
    <w:rsid w:val="00E7065C"/>
    <w:rsid w:val="00E718A7"/>
    <w:rsid w:val="00E80BEC"/>
    <w:rsid w:val="00E82789"/>
    <w:rsid w:val="00E82AD0"/>
    <w:rsid w:val="00E83CB8"/>
    <w:rsid w:val="00E85973"/>
    <w:rsid w:val="00E85E67"/>
    <w:rsid w:val="00E9100F"/>
    <w:rsid w:val="00E94FD5"/>
    <w:rsid w:val="00E95365"/>
    <w:rsid w:val="00E95639"/>
    <w:rsid w:val="00E95868"/>
    <w:rsid w:val="00E97BB7"/>
    <w:rsid w:val="00EA0E17"/>
    <w:rsid w:val="00EA2189"/>
    <w:rsid w:val="00EA6316"/>
    <w:rsid w:val="00EA6561"/>
    <w:rsid w:val="00EB0701"/>
    <w:rsid w:val="00EB33B2"/>
    <w:rsid w:val="00EB351A"/>
    <w:rsid w:val="00EB5FA1"/>
    <w:rsid w:val="00EB6859"/>
    <w:rsid w:val="00EC4D5E"/>
    <w:rsid w:val="00EC5737"/>
    <w:rsid w:val="00EC5D4A"/>
    <w:rsid w:val="00EC7C54"/>
    <w:rsid w:val="00ED52DB"/>
    <w:rsid w:val="00ED652C"/>
    <w:rsid w:val="00ED6FD7"/>
    <w:rsid w:val="00ED7B7F"/>
    <w:rsid w:val="00EE401F"/>
    <w:rsid w:val="00EE46C8"/>
    <w:rsid w:val="00EE5E49"/>
    <w:rsid w:val="00EF1791"/>
    <w:rsid w:val="00EF448B"/>
    <w:rsid w:val="00EF539F"/>
    <w:rsid w:val="00F00592"/>
    <w:rsid w:val="00F017E7"/>
    <w:rsid w:val="00F10E39"/>
    <w:rsid w:val="00F14129"/>
    <w:rsid w:val="00F14963"/>
    <w:rsid w:val="00F17F2E"/>
    <w:rsid w:val="00F22F9C"/>
    <w:rsid w:val="00F23DC2"/>
    <w:rsid w:val="00F27AB4"/>
    <w:rsid w:val="00F34423"/>
    <w:rsid w:val="00F37EDB"/>
    <w:rsid w:val="00F40102"/>
    <w:rsid w:val="00F41731"/>
    <w:rsid w:val="00F418B7"/>
    <w:rsid w:val="00F42B3D"/>
    <w:rsid w:val="00F5023E"/>
    <w:rsid w:val="00F532C8"/>
    <w:rsid w:val="00F55BD5"/>
    <w:rsid w:val="00F56B16"/>
    <w:rsid w:val="00F635AA"/>
    <w:rsid w:val="00F673F7"/>
    <w:rsid w:val="00F70A27"/>
    <w:rsid w:val="00F75C6D"/>
    <w:rsid w:val="00F81B62"/>
    <w:rsid w:val="00F82C78"/>
    <w:rsid w:val="00F83366"/>
    <w:rsid w:val="00F85764"/>
    <w:rsid w:val="00F9012C"/>
    <w:rsid w:val="00F902BE"/>
    <w:rsid w:val="00F91944"/>
    <w:rsid w:val="00FA5BA2"/>
    <w:rsid w:val="00FA6B02"/>
    <w:rsid w:val="00FA78D8"/>
    <w:rsid w:val="00FB15DD"/>
    <w:rsid w:val="00FB23D7"/>
    <w:rsid w:val="00FB679F"/>
    <w:rsid w:val="00FC0FFB"/>
    <w:rsid w:val="00FC1078"/>
    <w:rsid w:val="00FC133D"/>
    <w:rsid w:val="00FC1A8A"/>
    <w:rsid w:val="00FC764A"/>
    <w:rsid w:val="00FD01AE"/>
    <w:rsid w:val="00FE11BA"/>
    <w:rsid w:val="00FE3EEA"/>
    <w:rsid w:val="00FE4F55"/>
    <w:rsid w:val="00FE5B44"/>
    <w:rsid w:val="00FF27B3"/>
    <w:rsid w:val="00FF4472"/>
    <w:rsid w:val="020617F3"/>
    <w:rsid w:val="0219F584"/>
    <w:rsid w:val="029929B0"/>
    <w:rsid w:val="035B372E"/>
    <w:rsid w:val="054E6FDA"/>
    <w:rsid w:val="05C6C7DC"/>
    <w:rsid w:val="0605BC14"/>
    <w:rsid w:val="06EA0669"/>
    <w:rsid w:val="08611318"/>
    <w:rsid w:val="08E53405"/>
    <w:rsid w:val="091B3BD6"/>
    <w:rsid w:val="09A5472E"/>
    <w:rsid w:val="09B9FAF8"/>
    <w:rsid w:val="09D070B6"/>
    <w:rsid w:val="0AB933E5"/>
    <w:rsid w:val="0CA68869"/>
    <w:rsid w:val="0CE4041F"/>
    <w:rsid w:val="117B89F4"/>
    <w:rsid w:val="11DBC22A"/>
    <w:rsid w:val="128C69C6"/>
    <w:rsid w:val="12FE9C5B"/>
    <w:rsid w:val="1308A6F7"/>
    <w:rsid w:val="1424B597"/>
    <w:rsid w:val="14CA997E"/>
    <w:rsid w:val="15347629"/>
    <w:rsid w:val="162653D2"/>
    <w:rsid w:val="1798C86B"/>
    <w:rsid w:val="187B5F85"/>
    <w:rsid w:val="1A57745D"/>
    <w:rsid w:val="1C7013DC"/>
    <w:rsid w:val="1CC23ADE"/>
    <w:rsid w:val="1CF7F47F"/>
    <w:rsid w:val="1D3C3ADC"/>
    <w:rsid w:val="21020718"/>
    <w:rsid w:val="21205AD6"/>
    <w:rsid w:val="2338A805"/>
    <w:rsid w:val="24A945EA"/>
    <w:rsid w:val="25174AFB"/>
    <w:rsid w:val="255E84A4"/>
    <w:rsid w:val="25ADBD67"/>
    <w:rsid w:val="271A0CC0"/>
    <w:rsid w:val="2781C6EA"/>
    <w:rsid w:val="281DBD23"/>
    <w:rsid w:val="286E6B0F"/>
    <w:rsid w:val="29627BCC"/>
    <w:rsid w:val="29AF4A16"/>
    <w:rsid w:val="2B7DE15F"/>
    <w:rsid w:val="2C02189A"/>
    <w:rsid w:val="2D629091"/>
    <w:rsid w:val="2EEAAC07"/>
    <w:rsid w:val="2EED793F"/>
    <w:rsid w:val="2F68FEF0"/>
    <w:rsid w:val="300529F5"/>
    <w:rsid w:val="31288E1B"/>
    <w:rsid w:val="325499B1"/>
    <w:rsid w:val="325DFA55"/>
    <w:rsid w:val="332254C2"/>
    <w:rsid w:val="356699D9"/>
    <w:rsid w:val="37D3E3EA"/>
    <w:rsid w:val="385D6EC7"/>
    <w:rsid w:val="3863B28B"/>
    <w:rsid w:val="38B310D7"/>
    <w:rsid w:val="397F3CC5"/>
    <w:rsid w:val="3AD10D9A"/>
    <w:rsid w:val="3AFEA294"/>
    <w:rsid w:val="3BBEBA9B"/>
    <w:rsid w:val="3CF5A682"/>
    <w:rsid w:val="3D565D36"/>
    <w:rsid w:val="3D5FC574"/>
    <w:rsid w:val="3F5DEB19"/>
    <w:rsid w:val="420F2C49"/>
    <w:rsid w:val="42662EE9"/>
    <w:rsid w:val="43B8C37F"/>
    <w:rsid w:val="44447FE6"/>
    <w:rsid w:val="46B9F721"/>
    <w:rsid w:val="476BF0D8"/>
    <w:rsid w:val="498519E5"/>
    <w:rsid w:val="499F9E09"/>
    <w:rsid w:val="49AD3349"/>
    <w:rsid w:val="49E8CAEB"/>
    <w:rsid w:val="4A63CF4B"/>
    <w:rsid w:val="4C21A520"/>
    <w:rsid w:val="4CBCBAA7"/>
    <w:rsid w:val="4E4930D3"/>
    <w:rsid w:val="4FACA988"/>
    <w:rsid w:val="4FD52017"/>
    <w:rsid w:val="5170F078"/>
    <w:rsid w:val="537D151A"/>
    <w:rsid w:val="54DE296B"/>
    <w:rsid w:val="558000E0"/>
    <w:rsid w:val="55AC4E0D"/>
    <w:rsid w:val="589372AD"/>
    <w:rsid w:val="597C3DA8"/>
    <w:rsid w:val="5C5216F8"/>
    <w:rsid w:val="5CC5DB38"/>
    <w:rsid w:val="5E506425"/>
    <w:rsid w:val="5F6C4C66"/>
    <w:rsid w:val="6254F0ED"/>
    <w:rsid w:val="6385265A"/>
    <w:rsid w:val="63E89681"/>
    <w:rsid w:val="6673DEE8"/>
    <w:rsid w:val="66937A9E"/>
    <w:rsid w:val="66D25552"/>
    <w:rsid w:val="66EBA465"/>
    <w:rsid w:val="67B1F870"/>
    <w:rsid w:val="687527E9"/>
    <w:rsid w:val="68EA5547"/>
    <w:rsid w:val="691CBB9A"/>
    <w:rsid w:val="6E6BC37B"/>
    <w:rsid w:val="70ACC08F"/>
    <w:rsid w:val="7152FDAD"/>
    <w:rsid w:val="71571295"/>
    <w:rsid w:val="73C0736C"/>
    <w:rsid w:val="759E1441"/>
    <w:rsid w:val="77D5DDC8"/>
    <w:rsid w:val="790E3CFE"/>
    <w:rsid w:val="7AB1C024"/>
    <w:rsid w:val="7B596763"/>
    <w:rsid w:val="7BF30145"/>
    <w:rsid w:val="7C04AAA5"/>
    <w:rsid w:val="7D0C4A9E"/>
    <w:rsid w:val="7F1C48B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2F9EB2F"/>
  <w15:chartTrackingRefBased/>
  <w15:docId w15:val="{5966CBEB-0928-46EF-A636-922BFADA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6C6E"/>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A06C6E"/>
    <w:pPr>
      <w:keepNext/>
      <w:widowControl/>
      <w:spacing w:line="480" w:lineRule="auto"/>
      <w:jc w:val="center"/>
      <w:outlineLvl w:val="0"/>
    </w:pPr>
    <w:rPr>
      <w:rFonts w:ascii="Times New Roman Bold" w:hAnsi="Times New Roman Bold" w:cs="Arial"/>
      <w:b/>
      <w:bCs/>
      <w:snapToGrid/>
      <w:szCs w:val="24"/>
    </w:rPr>
  </w:style>
  <w:style w:type="paragraph" w:styleId="Heading2">
    <w:name w:val="heading 2"/>
    <w:basedOn w:val="Normal"/>
    <w:next w:val="Normal"/>
    <w:link w:val="Heading2Char"/>
    <w:qFormat/>
    <w:rsid w:val="00A06C6E"/>
    <w:pPr>
      <w:keepNext/>
      <w:widowControl/>
      <w:spacing w:before="240" w:after="240"/>
      <w:ind w:left="720" w:hanging="720"/>
      <w:outlineLvl w:val="1"/>
    </w:pPr>
    <w:rPr>
      <w:rFonts w:ascii="Times New Roman Bold" w:hAnsi="Times New Roman Bold" w:cs="Arial"/>
      <w:b/>
      <w:bCs/>
      <w:i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6C6E"/>
    <w:rPr>
      <w:rFonts w:ascii="Times New Roman Bold" w:eastAsia="Times New Roman" w:hAnsi="Times New Roman Bold" w:cs="Arial"/>
      <w:b/>
      <w:bCs/>
      <w:sz w:val="24"/>
      <w:szCs w:val="24"/>
    </w:rPr>
  </w:style>
  <w:style w:type="character" w:customStyle="1" w:styleId="Heading2Char">
    <w:name w:val="Heading 2 Char"/>
    <w:basedOn w:val="DefaultParagraphFont"/>
    <w:link w:val="Heading2"/>
    <w:rsid w:val="00A06C6E"/>
    <w:rPr>
      <w:rFonts w:ascii="Times New Roman Bold" w:eastAsia="Times New Roman" w:hAnsi="Times New Roman Bold" w:cs="Arial"/>
      <w:b/>
      <w:bCs/>
      <w:iCs/>
      <w:sz w:val="24"/>
      <w:szCs w:val="24"/>
    </w:rPr>
  </w:style>
  <w:style w:type="paragraph" w:customStyle="1" w:styleId="BodyText1">
    <w:name w:val="Body Text1"/>
    <w:basedOn w:val="Normal"/>
    <w:link w:val="bodytextChar"/>
    <w:rsid w:val="00A06C6E"/>
    <w:pPr>
      <w:widowControl/>
      <w:spacing w:line="480" w:lineRule="auto"/>
      <w:ind w:firstLine="720"/>
    </w:pPr>
    <w:rPr>
      <w:snapToGrid/>
      <w:szCs w:val="24"/>
    </w:rPr>
  </w:style>
  <w:style w:type="character" w:customStyle="1" w:styleId="bodytextChar">
    <w:name w:val="body text Char"/>
    <w:link w:val="BodyText1"/>
    <w:rsid w:val="00A06C6E"/>
    <w:rPr>
      <w:rFonts w:ascii="Times New Roman" w:eastAsia="Times New Roman" w:hAnsi="Times New Roman" w:cs="Times New Roman"/>
      <w:sz w:val="24"/>
      <w:szCs w:val="24"/>
    </w:rPr>
  </w:style>
  <w:style w:type="character" w:customStyle="1" w:styleId="normaltextrun">
    <w:name w:val="normaltextrun"/>
    <w:basedOn w:val="DefaultParagraphFont"/>
    <w:rsid w:val="00A06C6E"/>
  </w:style>
  <w:style w:type="character" w:customStyle="1" w:styleId="scxw128977017">
    <w:name w:val="scxw128977017"/>
    <w:basedOn w:val="DefaultParagraphFont"/>
    <w:rsid w:val="00A06C6E"/>
  </w:style>
  <w:style w:type="character" w:customStyle="1" w:styleId="eop">
    <w:name w:val="eop"/>
    <w:basedOn w:val="DefaultParagraphFont"/>
    <w:rsid w:val="00A06C6E"/>
  </w:style>
  <w:style w:type="paragraph" w:styleId="HTMLPreformatted">
    <w:name w:val="HTML Preformatted"/>
    <w:basedOn w:val="Normal"/>
    <w:link w:val="HTMLPreformattedChar"/>
    <w:uiPriority w:val="99"/>
    <w:rsid w:val="00781B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781B23"/>
    <w:rPr>
      <w:rFonts w:ascii="Courier New" w:eastAsia="Times New Roman" w:hAnsi="Courier New" w:cs="Courier New"/>
      <w:sz w:val="20"/>
      <w:szCs w:val="20"/>
    </w:rPr>
  </w:style>
  <w:style w:type="paragraph" w:customStyle="1" w:styleId="bullets">
    <w:name w:val="bullets"/>
    <w:aliases w:val="bu"/>
    <w:basedOn w:val="Normal"/>
    <w:link w:val="bulletsChar"/>
    <w:rsid w:val="00781B23"/>
    <w:pPr>
      <w:widowControl/>
      <w:numPr>
        <w:numId w:val="1"/>
      </w:numPr>
      <w:spacing w:line="480" w:lineRule="auto"/>
    </w:pPr>
    <w:rPr>
      <w:snapToGrid/>
      <w:szCs w:val="24"/>
    </w:rPr>
  </w:style>
  <w:style w:type="paragraph" w:customStyle="1" w:styleId="TableTitle">
    <w:name w:val="Table Title"/>
    <w:basedOn w:val="Normal"/>
    <w:qFormat/>
    <w:rsid w:val="00781B23"/>
    <w:pPr>
      <w:spacing w:line="480" w:lineRule="auto"/>
      <w:ind w:left="1440" w:hanging="1440"/>
    </w:pPr>
    <w:rPr>
      <w:rFonts w:cs="Courier"/>
      <w:b/>
      <w:bCs/>
      <w:szCs w:val="24"/>
    </w:rPr>
  </w:style>
  <w:style w:type="character" w:styleId="Hyperlink">
    <w:name w:val="Hyperlink"/>
    <w:rsid w:val="00781B23"/>
    <w:rPr>
      <w:color w:val="0000FF"/>
      <w:u w:val="single"/>
    </w:rPr>
  </w:style>
  <w:style w:type="character" w:customStyle="1" w:styleId="bulletsChar">
    <w:name w:val="bullets Char"/>
    <w:aliases w:val="bu Char,bullets Char Char"/>
    <w:link w:val="bullets"/>
    <w:rsid w:val="00781B23"/>
    <w:rPr>
      <w:rFonts w:ascii="Times New Roman" w:eastAsia="Times New Roman" w:hAnsi="Times New Roman" w:cs="Times New Roman"/>
      <w:sz w:val="24"/>
      <w:szCs w:val="24"/>
    </w:rPr>
  </w:style>
  <w:style w:type="paragraph" w:customStyle="1" w:styleId="Biblio">
    <w:name w:val="Biblio"/>
    <w:basedOn w:val="Normal"/>
    <w:qFormat/>
    <w:rsid w:val="00781B23"/>
    <w:pPr>
      <w:widowControl/>
      <w:autoSpaceDE w:val="0"/>
      <w:autoSpaceDN w:val="0"/>
      <w:adjustRightInd w:val="0"/>
      <w:spacing w:line="480" w:lineRule="auto"/>
      <w:ind w:left="720" w:hanging="720"/>
    </w:pPr>
    <w:rPr>
      <w:szCs w:val="24"/>
    </w:rPr>
  </w:style>
  <w:style w:type="paragraph" w:customStyle="1" w:styleId="Tabletext">
    <w:name w:val="Table text"/>
    <w:basedOn w:val="Normal"/>
    <w:qFormat/>
    <w:rsid w:val="00781B23"/>
    <w:pPr>
      <w:spacing w:before="60" w:after="60"/>
    </w:pPr>
    <w:rPr>
      <w:szCs w:val="24"/>
    </w:rPr>
  </w:style>
  <w:style w:type="character" w:styleId="Strong">
    <w:name w:val="Strong"/>
    <w:uiPriority w:val="22"/>
    <w:qFormat/>
    <w:rsid w:val="00781B23"/>
    <w:rPr>
      <w:b/>
      <w:bCs/>
    </w:rPr>
  </w:style>
  <w:style w:type="character" w:styleId="CommentReference">
    <w:name w:val="annotation reference"/>
    <w:basedOn w:val="DefaultParagraphFont"/>
    <w:uiPriority w:val="99"/>
    <w:semiHidden/>
    <w:unhideWhenUsed/>
    <w:rsid w:val="00781B23"/>
    <w:rPr>
      <w:sz w:val="16"/>
      <w:szCs w:val="16"/>
    </w:rPr>
  </w:style>
  <w:style w:type="paragraph" w:styleId="CommentText">
    <w:name w:val="annotation text"/>
    <w:basedOn w:val="Normal"/>
    <w:link w:val="CommentTextChar"/>
    <w:uiPriority w:val="99"/>
    <w:unhideWhenUsed/>
    <w:rsid w:val="00781B23"/>
    <w:rPr>
      <w:sz w:val="20"/>
    </w:rPr>
  </w:style>
  <w:style w:type="character" w:customStyle="1" w:styleId="CommentTextChar">
    <w:name w:val="Comment Text Char"/>
    <w:basedOn w:val="DefaultParagraphFont"/>
    <w:link w:val="CommentText"/>
    <w:uiPriority w:val="99"/>
    <w:rsid w:val="00781B23"/>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781B23"/>
    <w:rPr>
      <w:b/>
      <w:bCs/>
    </w:rPr>
  </w:style>
  <w:style w:type="character" w:customStyle="1" w:styleId="CommentSubjectChar">
    <w:name w:val="Comment Subject Char"/>
    <w:basedOn w:val="CommentTextChar"/>
    <w:link w:val="CommentSubject"/>
    <w:uiPriority w:val="99"/>
    <w:semiHidden/>
    <w:rsid w:val="00781B23"/>
    <w:rPr>
      <w:rFonts w:ascii="Times New Roman" w:eastAsia="Times New Roman" w:hAnsi="Times New Roman" w:cs="Times New Roman"/>
      <w:b/>
      <w:bCs/>
      <w:snapToGrid w:val="0"/>
      <w:sz w:val="20"/>
      <w:szCs w:val="20"/>
    </w:rPr>
  </w:style>
  <w:style w:type="paragraph" w:styleId="NormalWeb">
    <w:name w:val="Normal (Web)"/>
    <w:basedOn w:val="Normal"/>
    <w:uiPriority w:val="99"/>
    <w:semiHidden/>
    <w:unhideWhenUsed/>
    <w:rsid w:val="00EB5FA1"/>
    <w:pPr>
      <w:widowControl/>
      <w:spacing w:before="100" w:beforeAutospacing="1" w:after="100" w:afterAutospacing="1"/>
    </w:pPr>
    <w:rPr>
      <w:snapToGrid/>
      <w:szCs w:val="24"/>
    </w:rPr>
  </w:style>
  <w:style w:type="character" w:styleId="UnresolvedMention">
    <w:name w:val="Unresolved Mention"/>
    <w:basedOn w:val="DefaultParagraphFont"/>
    <w:uiPriority w:val="99"/>
    <w:semiHidden/>
    <w:unhideWhenUsed/>
    <w:rsid w:val="005B376F"/>
    <w:rPr>
      <w:color w:val="605E5C"/>
      <w:shd w:val="clear" w:color="auto" w:fill="E1DFDD"/>
    </w:rPr>
  </w:style>
  <w:style w:type="paragraph" w:customStyle="1" w:styleId="BodyText2">
    <w:name w:val="Body Text2"/>
    <w:basedOn w:val="Normal"/>
    <w:rsid w:val="0076459D"/>
    <w:pPr>
      <w:widowControl/>
      <w:spacing w:line="480" w:lineRule="auto"/>
      <w:ind w:firstLine="720"/>
    </w:pPr>
    <w:rPr>
      <w:snapToGrid/>
      <w:szCs w:val="24"/>
    </w:rPr>
  </w:style>
  <w:style w:type="paragraph" w:customStyle="1" w:styleId="bullets-2ndlevel">
    <w:name w:val="bullets-2nd level"/>
    <w:rsid w:val="00C16237"/>
    <w:pPr>
      <w:numPr>
        <w:numId w:val="2"/>
      </w:numPr>
      <w:spacing w:after="0" w:line="480" w:lineRule="auto"/>
      <w:ind w:left="1440"/>
    </w:pPr>
    <w:rPr>
      <w:rFonts w:ascii="Times New Roman" w:eastAsia="Times New Roman" w:hAnsi="Times New Roman" w:cs="Times New Roman"/>
      <w:sz w:val="24"/>
      <w:szCs w:val="20"/>
    </w:rPr>
  </w:style>
  <w:style w:type="paragraph" w:styleId="ListParagraph">
    <w:name w:val="List Paragraph"/>
    <w:basedOn w:val="Normal"/>
    <w:uiPriority w:val="34"/>
    <w:qFormat/>
    <w:rsid w:val="00991E81"/>
    <w:pPr>
      <w:ind w:left="720"/>
      <w:contextualSpacing/>
    </w:pPr>
  </w:style>
  <w:style w:type="paragraph" w:customStyle="1" w:styleId="paragraph">
    <w:name w:val="paragraph"/>
    <w:basedOn w:val="Normal"/>
    <w:rsid w:val="00BA4B3A"/>
    <w:pPr>
      <w:widowControl/>
      <w:spacing w:before="100" w:beforeAutospacing="1" w:after="100" w:afterAutospacing="1"/>
    </w:pPr>
    <w:rPr>
      <w:snapToGrid/>
      <w:szCs w:val="24"/>
    </w:rPr>
  </w:style>
  <w:style w:type="table" w:styleId="TableGrid">
    <w:name w:val="Table Grid"/>
    <w:basedOn w:val="TableNormal"/>
    <w:uiPriority w:val="39"/>
    <w:rsid w:val="006C1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310F"/>
    <w:pPr>
      <w:spacing w:after="0" w:line="240" w:lineRule="auto"/>
    </w:pPr>
    <w:rPr>
      <w:rFonts w:ascii="Times New Roman" w:eastAsia="Times New Roman" w:hAnsi="Times New Roman" w:cs="Times New Roman"/>
      <w:snapToGrid w:val="0"/>
      <w:sz w:val="24"/>
      <w:szCs w:val="20"/>
    </w:rPr>
  </w:style>
  <w:style w:type="character" w:styleId="Mention">
    <w:name w:val="Mention"/>
    <w:basedOn w:val="DefaultParagraphFont"/>
    <w:uiPriority w:val="99"/>
    <w:unhideWhenUsed/>
    <w:rsid w:val="000E2E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26b36a-9e36-413e-94c0-3d2bddec7964" xsi:nil="true"/>
    <lcf76f155ced4ddcb4097134ff3c332f xmlns="9b59e842-602b-4b67-ab6f-21f170ff541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D6575E569878A439C0019FA231D9296" ma:contentTypeVersion="13" ma:contentTypeDescription="Create a new document." ma:contentTypeScope="" ma:versionID="17580123b94daa366acf044db53b72fb">
  <xsd:schema xmlns:xsd="http://www.w3.org/2001/XMLSchema" xmlns:xs="http://www.w3.org/2001/XMLSchema" xmlns:p="http://schemas.microsoft.com/office/2006/metadata/properties" xmlns:ns2="9b59e842-602b-4b67-ab6f-21f170ff5418" xmlns:ns3="8c26b36a-9e36-413e-94c0-3d2bddec7964" targetNamespace="http://schemas.microsoft.com/office/2006/metadata/properties" ma:root="true" ma:fieldsID="455a5421714fcb8fcbd050045d05012d" ns2:_="" ns3:_="">
    <xsd:import namespace="9b59e842-602b-4b67-ab6f-21f170ff5418"/>
    <xsd:import namespace="8c26b36a-9e36-413e-94c0-3d2bddec7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e842-602b-4b67-ab6f-21f170ff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26b36a-9e36-413e-94c0-3d2bddec7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3209d3-9912-4cef-9d27-78fa3e53205a}" ma:internalName="TaxCatchAll" ma:showField="CatchAllData" ma:web="8c26b36a-9e36-413e-94c0-3d2bddec7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13C76-08D2-47DF-ACA8-8DEF4A3A034F}">
  <ds:schemaRefs>
    <ds:schemaRef ds:uri="http://schemas.microsoft.com/office/2006/metadata/properties"/>
    <ds:schemaRef ds:uri="http://schemas.microsoft.com/office/infopath/2007/PartnerControls"/>
    <ds:schemaRef ds:uri="8c26b36a-9e36-413e-94c0-3d2bddec7964"/>
    <ds:schemaRef ds:uri="9b59e842-602b-4b67-ab6f-21f170ff5418"/>
  </ds:schemaRefs>
</ds:datastoreItem>
</file>

<file path=customXml/itemProps2.xml><?xml version="1.0" encoding="utf-8"?>
<ds:datastoreItem xmlns:ds="http://schemas.openxmlformats.org/officeDocument/2006/customXml" ds:itemID="{E42C6882-B311-4647-A5EE-43FDC284C724}">
  <ds:schemaRefs>
    <ds:schemaRef ds:uri="http://schemas.openxmlformats.org/officeDocument/2006/bibliography"/>
  </ds:schemaRefs>
</ds:datastoreItem>
</file>

<file path=customXml/itemProps3.xml><?xml version="1.0" encoding="utf-8"?>
<ds:datastoreItem xmlns:ds="http://schemas.openxmlformats.org/officeDocument/2006/customXml" ds:itemID="{CB93C51C-3A8E-4121-A3F7-2023108E8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e842-602b-4b67-ab6f-21f170ff5418"/>
    <ds:schemaRef ds:uri="8c26b36a-9e36-413e-94c0-3d2bddec7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AEA11-4D83-4592-B98D-CDD9D089C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4164</Words>
  <Characters>23737</Characters>
  <Application>Microsoft Office Word</Application>
  <DocSecurity>0</DocSecurity>
  <Lines>197</Lines>
  <Paragraphs>55</Paragraphs>
  <ScaleCrop>false</ScaleCrop>
  <Company/>
  <LinksUpToDate>false</LinksUpToDate>
  <CharactersWithSpaces>27846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Lagoe</dc:creator>
  <cp:lastModifiedBy>Kouba, Gina - FSIS</cp:lastModifiedBy>
  <cp:revision>2</cp:revision>
  <dcterms:created xsi:type="dcterms:W3CDTF">2023-12-19T16:03:00Z</dcterms:created>
  <dcterms:modified xsi:type="dcterms:W3CDTF">2023-12-19T16:03:00Z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0x0101004D6575E569878A439C0019FA231D9296</vt:lpwstr>
  </property>
  <property fmtid="{D5CDD505-2E9C-101B-9397-08002B2CF9AE}" pid="3" name="MediaServiceImageTags">
    <vt:lpwstr/>
  </property>
</Properties>
</file>