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2718" w:rsidRPr="002162C6" w:rsidP="00CB2718" w14:paraId="72F5455F" w14:textId="19989169">
      <w:pPr>
        <w:spacing w:after="0" w:line="240" w:lineRule="auto"/>
        <w:jc w:val="center"/>
        <w:rPr>
          <w:b/>
          <w:bCs/>
        </w:rPr>
      </w:pPr>
      <w:r w:rsidRPr="002162C6">
        <w:rPr>
          <w:b/>
          <w:bCs/>
        </w:rPr>
        <w:t>Annual Integrated Economic Survey (AIES)</w:t>
      </w:r>
      <w:r>
        <w:rPr>
          <w:b/>
          <w:bCs/>
        </w:rPr>
        <w:t xml:space="preserve"> Phase II</w:t>
      </w:r>
      <w:r w:rsidRPr="002162C6">
        <w:rPr>
          <w:b/>
          <w:bCs/>
        </w:rPr>
        <w:t xml:space="preserve"> Pilot Research Program</w:t>
      </w:r>
    </w:p>
    <w:p w:rsidR="00CB2718" w:rsidP="00CB2718" w14:paraId="46734506" w14:textId="78EAB942">
      <w:pPr>
        <w:spacing w:after="0" w:line="240" w:lineRule="auto"/>
        <w:jc w:val="center"/>
      </w:pPr>
      <w:r>
        <w:t>Addendum Submitted Under Generic Clearance for Field Tests and Evaluations</w:t>
      </w:r>
    </w:p>
    <w:p w:rsidR="00CB2718" w:rsidP="00CB2718" w14:paraId="186DAA11" w14:textId="77777777">
      <w:pPr>
        <w:pStyle w:val="NoSpacing"/>
      </w:pPr>
    </w:p>
    <w:p w:rsidR="003C64B8" w14:paraId="6B2C4039" w14:textId="0C2DC1E2">
      <w:r>
        <w:t>This</w:t>
      </w:r>
      <w:r w:rsidR="00CB2718">
        <w:t xml:space="preserve"> document</w:t>
      </w:r>
      <w:r>
        <w:t xml:space="preserve"> is an update to our plans for the AIES Phase II Pilot test, scheduled to launch on February 21, 2023, and using</w:t>
      </w:r>
      <w:r w:rsidR="00186272">
        <w:t xml:space="preserve"> Generic Clearance for Census Bureau Field Tests and Evaluations</w:t>
      </w:r>
      <w:r w:rsidRPr="00F85E5F" w:rsidR="00186272">
        <w:rPr>
          <w:color w:val="000000" w:themeColor="text1"/>
        </w:rPr>
        <w:t xml:space="preserve"> (OMB</w:t>
      </w:r>
      <w:r w:rsidR="00186272">
        <w:rPr>
          <w:color w:val="000000" w:themeColor="text1"/>
        </w:rPr>
        <w:t xml:space="preserve"> Control N</w:t>
      </w:r>
      <w:r w:rsidRPr="00F85E5F" w:rsidR="00186272">
        <w:rPr>
          <w:color w:val="000000" w:themeColor="text1"/>
        </w:rPr>
        <w:t>umber</w:t>
      </w:r>
      <w:r w:rsidR="00186272">
        <w:rPr>
          <w:color w:val="000000" w:themeColor="text1"/>
        </w:rPr>
        <w:t xml:space="preserve"> 0607-0971</w:t>
      </w:r>
      <w:r w:rsidRPr="00E14C14" w:rsidR="00E14C14">
        <w:t xml:space="preserve"> expiration: 12/31/2025</w:t>
      </w:r>
      <w:r w:rsidR="00186272">
        <w:t>)</w:t>
      </w:r>
      <w:r w:rsidR="00E14C14">
        <w:t xml:space="preserve">. </w:t>
      </w:r>
      <w:r w:rsidR="00CB2718">
        <w:t>Please reference the original submission to compare to updates outlined below.</w:t>
      </w:r>
    </w:p>
    <w:p w:rsidR="003C64B8" w14:paraId="11EA1C6A" w14:textId="77777777"/>
    <w:p w:rsidR="008535A1" w:rsidRPr="00B5082C" w14:paraId="418F5CB7" w14:textId="5299C9B9">
      <w:pPr>
        <w:rPr>
          <w:b/>
          <w:bCs/>
          <w:u w:val="single"/>
        </w:rPr>
      </w:pPr>
      <w:r w:rsidRPr="00B5082C">
        <w:rPr>
          <w:b/>
          <w:bCs/>
          <w:u w:val="single"/>
        </w:rPr>
        <w:t>Recruitment</w:t>
      </w:r>
      <w:r w:rsidRPr="00B5082C" w:rsidR="00B5082C">
        <w:rPr>
          <w:b/>
          <w:bCs/>
          <w:u w:val="single"/>
        </w:rPr>
        <w:t>:</w:t>
      </w:r>
    </w:p>
    <w:p w:rsidR="00B5082C" w14:paraId="7E87E386" w14:textId="2D97FCED">
      <w:r>
        <w:t>In the original submission, we proposed phone recruitment for up to 500 companies</w:t>
      </w:r>
      <w:r w:rsidR="00781C7B">
        <w:t xml:space="preserve"> as described below:</w:t>
      </w:r>
      <w:r>
        <w:t xml:space="preserve"> </w:t>
      </w:r>
    </w:p>
    <w:p w:rsidR="00B5082C" w:rsidRPr="00B5082C" w:rsidP="00186272" w14:paraId="2D2D0EDE" w14:textId="0E6DC6F4">
      <w:pPr>
        <w:ind w:left="720"/>
        <w:rPr>
          <w:i/>
          <w:iCs/>
        </w:rPr>
      </w:pPr>
      <w:r w:rsidRPr="00B5082C">
        <w:rPr>
          <w:i/>
          <w:iCs/>
        </w:rPr>
        <w:t>Once the cases are decided, phone recruitment can begin.  We aim to recruit 500 companies in total, and so will need more than 500 identified firms to begin with.  Phone recruitment may include an initial email contact, particularly for those companies already in contact in previous iterations of research.  As an incentive to participate in the pilot, respondents can answer the pilot to meet their mandated reporting obligations for the annual surveys through survey year 2023.</w:t>
      </w:r>
    </w:p>
    <w:p w:rsidR="0087423B" w:rsidP="00005AE1" w14:paraId="30DE1468" w14:textId="0743E694">
      <w:r>
        <w:t xml:space="preserve">After conversations within the Economic Directorate and across the Census Bureau, and after considering the timing and resources to engage in this activity, we have decided to move from this active consent model to a passive consent model.  Instead of calling companies until we get to </w:t>
      </w:r>
      <w:r w:rsidR="00781C7B">
        <w:t xml:space="preserve">the target of </w:t>
      </w:r>
      <w:r>
        <w:t xml:space="preserve">500 </w:t>
      </w:r>
      <w:r w:rsidR="00781C7B">
        <w:t xml:space="preserve">companies </w:t>
      </w:r>
      <w:r>
        <w:t xml:space="preserve">that agree to participate, we selected 965 companies for inclusion in the pilot and will be making informative phone calls to </w:t>
      </w:r>
      <w:r w:rsidR="00BB6572">
        <w:t xml:space="preserve">about N </w:t>
      </w:r>
      <w:r w:rsidR="00B05973">
        <w:rPr>
          <w:rFonts w:cstheme="minorHAnsi"/>
        </w:rPr>
        <w:t>≈</w:t>
      </w:r>
      <w:r w:rsidR="00BB6572">
        <w:t xml:space="preserve"> </w:t>
      </w:r>
      <w:r w:rsidR="00186272">
        <w:t>360</w:t>
      </w:r>
      <w:r w:rsidR="00BB6572">
        <w:t xml:space="preserve"> companies based on existing relationships with account managers at the Census Bureau, participation in Phase I of the pilot, availability of an email address, and size.  </w:t>
      </w:r>
      <w:r w:rsidR="002C4EC5">
        <w:t>We do not anticipate that the number of burden hours requested for this work will shift</w:t>
      </w:r>
      <w:r w:rsidR="00B05973">
        <w:t xml:space="preserve"> dramatically.</w:t>
      </w:r>
      <w:r w:rsidR="00186272">
        <w:t xml:space="preserve"> We are targeting a response rate of about 60% for this effort.  See </w:t>
      </w:r>
      <w:r w:rsidR="00186272">
        <w:fldChar w:fldCharType="begin"/>
      </w:r>
      <w:r w:rsidR="00186272">
        <w:instrText xml:space="preserve"> REF _Ref125700662 \h </w:instrText>
      </w:r>
      <w:r w:rsidR="00186272">
        <w:fldChar w:fldCharType="separate"/>
      </w:r>
      <w:r w:rsidR="00186272">
        <w:t xml:space="preserve">Table </w:t>
      </w:r>
      <w:r w:rsidR="00186272">
        <w:rPr>
          <w:noProof/>
        </w:rPr>
        <w:t>1</w:t>
      </w:r>
      <w:r w:rsidR="00186272">
        <w:fldChar w:fldCharType="end"/>
      </w:r>
      <w:r w:rsidR="00B05973">
        <w:t xml:space="preserve"> </w:t>
      </w:r>
      <w:r w:rsidR="00186272">
        <w:t xml:space="preserve">for a comparison of </w:t>
      </w:r>
      <w:r w:rsidR="00CB2718">
        <w:t>the original burden request and the updated burden estimate.</w:t>
      </w:r>
    </w:p>
    <w:p w:rsidR="00A91187" w:rsidP="00A91187" w14:paraId="3B5B76BE" w14:textId="2B940EDE">
      <w:pPr>
        <w:pStyle w:val="Caption"/>
        <w:keepNext/>
      </w:pPr>
      <w:bookmarkStart w:id="0" w:name="_Ref125700662"/>
      <w:r>
        <w:t xml:space="preserve">Table </w:t>
      </w:r>
      <w:r w:rsidR="001360A2">
        <w:fldChar w:fldCharType="begin"/>
      </w:r>
      <w:r w:rsidR="001360A2">
        <w:instrText xml:space="preserve"> SEQ Table \* ARABIC </w:instrText>
      </w:r>
      <w:r w:rsidR="001360A2">
        <w:fldChar w:fldCharType="separate"/>
      </w:r>
      <w:r>
        <w:rPr>
          <w:noProof/>
        </w:rPr>
        <w:t>1</w:t>
      </w:r>
      <w:r w:rsidR="001360A2">
        <w:rPr>
          <w:noProof/>
        </w:rPr>
        <w:fldChar w:fldCharType="end"/>
      </w:r>
      <w:bookmarkEnd w:id="0"/>
      <w:r>
        <w:t>: Original and Updated Burden Estimates</w:t>
      </w:r>
    </w:p>
    <w:tbl>
      <w:tblPr>
        <w:tblStyle w:val="TableGrid"/>
        <w:tblW w:w="9535" w:type="dxa"/>
        <w:jc w:val="right"/>
        <w:tblLayout w:type="fixed"/>
        <w:tblLook w:val="04A0"/>
      </w:tblPr>
      <w:tblGrid>
        <w:gridCol w:w="1678"/>
        <w:gridCol w:w="1467"/>
        <w:gridCol w:w="1440"/>
        <w:gridCol w:w="1080"/>
        <w:gridCol w:w="1440"/>
        <w:gridCol w:w="1440"/>
        <w:gridCol w:w="990"/>
      </w:tblGrid>
      <w:tr w14:paraId="7BE70C8E" w14:textId="28AC6F5E" w:rsidTr="00186272">
        <w:tblPrEx>
          <w:tblW w:w="9535" w:type="dxa"/>
          <w:jc w:val="right"/>
          <w:tblLayout w:type="fixed"/>
          <w:tblLook w:val="04A0"/>
        </w:tblPrEx>
        <w:trPr>
          <w:jc w:val="right"/>
        </w:trPr>
        <w:tc>
          <w:tcPr>
            <w:tcW w:w="1678" w:type="dxa"/>
            <w:vAlign w:val="bottom"/>
          </w:tcPr>
          <w:p w:rsidR="00312556" w:rsidRPr="002C2D63" w:rsidP="00DB5A34" w14:paraId="1C9E8F99" w14:textId="77777777">
            <w:pPr>
              <w:jc w:val="center"/>
              <w:rPr>
                <w:b/>
                <w:bCs/>
              </w:rPr>
            </w:pPr>
          </w:p>
        </w:tc>
        <w:tc>
          <w:tcPr>
            <w:tcW w:w="3987" w:type="dxa"/>
            <w:gridSpan w:val="3"/>
            <w:tcBorders>
              <w:right w:val="single" w:sz="12" w:space="0" w:color="auto"/>
            </w:tcBorders>
            <w:vAlign w:val="bottom"/>
          </w:tcPr>
          <w:p w:rsidR="00312556" w:rsidRPr="002C2D63" w:rsidP="00DB5A34" w14:paraId="1C0B6324" w14:textId="64F3550C">
            <w:pPr>
              <w:jc w:val="center"/>
              <w:rPr>
                <w:b/>
                <w:bCs/>
              </w:rPr>
            </w:pPr>
            <w:r>
              <w:rPr>
                <w:b/>
                <w:bCs/>
              </w:rPr>
              <w:t>Original</w:t>
            </w:r>
            <w:r w:rsidR="00A91187">
              <w:rPr>
                <w:b/>
                <w:bCs/>
              </w:rPr>
              <w:t xml:space="preserve"> Burden Estimate</w:t>
            </w:r>
          </w:p>
        </w:tc>
        <w:tc>
          <w:tcPr>
            <w:tcW w:w="3870" w:type="dxa"/>
            <w:gridSpan w:val="3"/>
            <w:tcBorders>
              <w:left w:val="single" w:sz="12" w:space="0" w:color="auto"/>
            </w:tcBorders>
          </w:tcPr>
          <w:p w:rsidR="00312556" w:rsidP="00DB5A34" w14:paraId="7A393054" w14:textId="289A88F1">
            <w:pPr>
              <w:jc w:val="center"/>
              <w:rPr>
                <w:b/>
                <w:bCs/>
              </w:rPr>
            </w:pPr>
            <w:r>
              <w:rPr>
                <w:b/>
                <w:bCs/>
              </w:rPr>
              <w:t>Updated</w:t>
            </w:r>
            <w:r w:rsidR="00A91187">
              <w:rPr>
                <w:b/>
                <w:bCs/>
              </w:rPr>
              <w:t xml:space="preserve"> Burden Estimate</w:t>
            </w:r>
          </w:p>
        </w:tc>
      </w:tr>
      <w:tr w14:paraId="3C75BCFB" w14:textId="7EFFF5C8" w:rsidTr="00186272">
        <w:tblPrEx>
          <w:tblW w:w="9535" w:type="dxa"/>
          <w:jc w:val="right"/>
          <w:tblLayout w:type="fixed"/>
          <w:tblLook w:val="04A0"/>
        </w:tblPrEx>
        <w:trPr>
          <w:jc w:val="right"/>
        </w:trPr>
        <w:tc>
          <w:tcPr>
            <w:tcW w:w="1678" w:type="dxa"/>
            <w:vAlign w:val="bottom"/>
          </w:tcPr>
          <w:p w:rsidR="00FB43E3" w:rsidRPr="002C2D63" w:rsidP="00DB5A34" w14:paraId="1208EBE1" w14:textId="77777777">
            <w:pPr>
              <w:jc w:val="center"/>
              <w:rPr>
                <w:b/>
                <w:bCs/>
              </w:rPr>
            </w:pPr>
            <w:r w:rsidRPr="002C2D63">
              <w:rPr>
                <w:b/>
                <w:bCs/>
              </w:rPr>
              <w:t>Category of Response</w:t>
            </w:r>
          </w:p>
        </w:tc>
        <w:tc>
          <w:tcPr>
            <w:tcW w:w="1467" w:type="dxa"/>
            <w:vAlign w:val="bottom"/>
          </w:tcPr>
          <w:p w:rsidR="00FB43E3" w:rsidRPr="002C2D63" w:rsidP="00DB5A34" w14:paraId="7B4DE436" w14:textId="77777777">
            <w:pPr>
              <w:jc w:val="center"/>
              <w:rPr>
                <w:b/>
                <w:bCs/>
              </w:rPr>
            </w:pPr>
            <w:r w:rsidRPr="002C2D63">
              <w:rPr>
                <w:b/>
                <w:bCs/>
              </w:rPr>
              <w:t>Number of Respondents</w:t>
            </w:r>
          </w:p>
        </w:tc>
        <w:tc>
          <w:tcPr>
            <w:tcW w:w="1440" w:type="dxa"/>
            <w:vAlign w:val="bottom"/>
          </w:tcPr>
          <w:p w:rsidR="00FB43E3" w:rsidRPr="002C2D63" w:rsidP="00DB5A34" w14:paraId="7638E4C6" w14:textId="77777777">
            <w:pPr>
              <w:jc w:val="center"/>
              <w:rPr>
                <w:b/>
                <w:bCs/>
              </w:rPr>
            </w:pPr>
            <w:r w:rsidRPr="002C2D63">
              <w:rPr>
                <w:b/>
                <w:bCs/>
              </w:rPr>
              <w:t>Participation Time (in minutes)</w:t>
            </w:r>
          </w:p>
        </w:tc>
        <w:tc>
          <w:tcPr>
            <w:tcW w:w="1080" w:type="dxa"/>
            <w:tcBorders>
              <w:right w:val="single" w:sz="12" w:space="0" w:color="auto"/>
            </w:tcBorders>
            <w:vAlign w:val="bottom"/>
          </w:tcPr>
          <w:p w:rsidR="00FB43E3" w:rsidRPr="002C2D63" w:rsidP="00DB5A34" w14:paraId="7FAD7530" w14:textId="77777777">
            <w:pPr>
              <w:jc w:val="center"/>
              <w:rPr>
                <w:b/>
                <w:bCs/>
              </w:rPr>
            </w:pPr>
            <w:r w:rsidRPr="002C2D63">
              <w:rPr>
                <w:b/>
                <w:bCs/>
              </w:rPr>
              <w:t>Burden (in hours)</w:t>
            </w:r>
          </w:p>
        </w:tc>
        <w:tc>
          <w:tcPr>
            <w:tcW w:w="1440" w:type="dxa"/>
            <w:tcBorders>
              <w:left w:val="single" w:sz="12" w:space="0" w:color="auto"/>
            </w:tcBorders>
          </w:tcPr>
          <w:p w:rsidR="00FB43E3" w:rsidRPr="002C2D63" w:rsidP="00DB5A34" w14:paraId="117EF521" w14:textId="3C777316">
            <w:pPr>
              <w:jc w:val="center"/>
              <w:rPr>
                <w:b/>
                <w:bCs/>
              </w:rPr>
            </w:pPr>
            <w:r>
              <w:rPr>
                <w:b/>
                <w:bCs/>
              </w:rPr>
              <w:t>Number of Respondents</w:t>
            </w:r>
          </w:p>
        </w:tc>
        <w:tc>
          <w:tcPr>
            <w:tcW w:w="1440" w:type="dxa"/>
          </w:tcPr>
          <w:p w:rsidR="00FB43E3" w:rsidRPr="002C2D63" w:rsidP="00DB5A34" w14:paraId="4C44065B" w14:textId="6964C35A">
            <w:pPr>
              <w:jc w:val="center"/>
              <w:rPr>
                <w:b/>
                <w:bCs/>
              </w:rPr>
            </w:pPr>
            <w:r>
              <w:rPr>
                <w:b/>
                <w:bCs/>
              </w:rPr>
              <w:t xml:space="preserve">Participation </w:t>
            </w:r>
            <w:r w:rsidR="00186272">
              <w:rPr>
                <w:b/>
                <w:bCs/>
              </w:rPr>
              <w:t>T</w:t>
            </w:r>
            <w:r>
              <w:rPr>
                <w:b/>
                <w:bCs/>
              </w:rPr>
              <w:t>ime (in minutes)</w:t>
            </w:r>
          </w:p>
        </w:tc>
        <w:tc>
          <w:tcPr>
            <w:tcW w:w="990" w:type="dxa"/>
          </w:tcPr>
          <w:p w:rsidR="00FB43E3" w:rsidRPr="002C2D63" w:rsidP="00DB5A34" w14:paraId="3C84EFD2" w14:textId="224854DF">
            <w:pPr>
              <w:jc w:val="center"/>
              <w:rPr>
                <w:b/>
                <w:bCs/>
              </w:rPr>
            </w:pPr>
            <w:r>
              <w:rPr>
                <w:b/>
                <w:bCs/>
              </w:rPr>
              <w:t>Burden (in hours)</w:t>
            </w:r>
          </w:p>
        </w:tc>
      </w:tr>
      <w:tr w14:paraId="62BBAF4A" w14:textId="52F10FFF" w:rsidTr="00186272">
        <w:tblPrEx>
          <w:tblW w:w="9535" w:type="dxa"/>
          <w:jc w:val="right"/>
          <w:tblLayout w:type="fixed"/>
          <w:tblLook w:val="04A0"/>
        </w:tblPrEx>
        <w:trPr>
          <w:jc w:val="right"/>
        </w:trPr>
        <w:tc>
          <w:tcPr>
            <w:tcW w:w="1678" w:type="dxa"/>
          </w:tcPr>
          <w:p w:rsidR="00FB43E3" w:rsidP="00DB5A34" w14:paraId="0BDFBD7B" w14:textId="77777777">
            <w:r>
              <w:t>Recruitment conversations</w:t>
            </w:r>
          </w:p>
        </w:tc>
        <w:tc>
          <w:tcPr>
            <w:tcW w:w="1467" w:type="dxa"/>
          </w:tcPr>
          <w:p w:rsidR="00FB43E3" w:rsidP="00DB5A34" w14:paraId="2174D86D" w14:textId="77777777">
            <w:pPr>
              <w:ind w:right="275"/>
              <w:jc w:val="right"/>
            </w:pPr>
            <w:r>
              <w:t>800</w:t>
            </w:r>
          </w:p>
        </w:tc>
        <w:tc>
          <w:tcPr>
            <w:tcW w:w="1440" w:type="dxa"/>
          </w:tcPr>
          <w:p w:rsidR="00FB43E3" w:rsidP="00DB5A34" w14:paraId="1A9F7EAE" w14:textId="77777777">
            <w:pPr>
              <w:ind w:right="275"/>
              <w:jc w:val="right"/>
            </w:pPr>
            <w:r>
              <w:t>20</w:t>
            </w:r>
          </w:p>
        </w:tc>
        <w:tc>
          <w:tcPr>
            <w:tcW w:w="1080" w:type="dxa"/>
            <w:tcBorders>
              <w:right w:val="single" w:sz="12" w:space="0" w:color="auto"/>
            </w:tcBorders>
          </w:tcPr>
          <w:p w:rsidR="00FB43E3" w:rsidP="00DB5A34" w14:paraId="73CB8BB6" w14:textId="77777777">
            <w:pPr>
              <w:ind w:right="275"/>
              <w:jc w:val="right"/>
            </w:pPr>
            <w:r>
              <w:t>267</w:t>
            </w:r>
          </w:p>
        </w:tc>
        <w:tc>
          <w:tcPr>
            <w:tcW w:w="1440" w:type="dxa"/>
            <w:tcBorders>
              <w:left w:val="single" w:sz="12" w:space="0" w:color="auto"/>
            </w:tcBorders>
          </w:tcPr>
          <w:p w:rsidR="00FB43E3" w:rsidP="00DB5A34" w14:paraId="5130596E" w14:textId="232319AC">
            <w:pPr>
              <w:ind w:right="275"/>
              <w:jc w:val="right"/>
            </w:pPr>
            <w:r>
              <w:t>360</w:t>
            </w:r>
          </w:p>
        </w:tc>
        <w:tc>
          <w:tcPr>
            <w:tcW w:w="1440" w:type="dxa"/>
          </w:tcPr>
          <w:p w:rsidR="00FB43E3" w:rsidP="00DB5A34" w14:paraId="7799B960" w14:textId="557001AD">
            <w:pPr>
              <w:ind w:right="275"/>
              <w:jc w:val="right"/>
            </w:pPr>
            <w:r>
              <w:t>20</w:t>
            </w:r>
          </w:p>
        </w:tc>
        <w:tc>
          <w:tcPr>
            <w:tcW w:w="990" w:type="dxa"/>
          </w:tcPr>
          <w:p w:rsidR="00FB43E3" w:rsidP="00DB5A34" w14:paraId="04FF9922" w14:textId="312E6249">
            <w:pPr>
              <w:ind w:right="275"/>
              <w:jc w:val="right"/>
            </w:pPr>
            <w:r>
              <w:t>120</w:t>
            </w:r>
          </w:p>
        </w:tc>
      </w:tr>
      <w:tr w14:paraId="7B05DACA" w14:textId="5CA26B9E" w:rsidTr="00186272">
        <w:tblPrEx>
          <w:tblW w:w="9535" w:type="dxa"/>
          <w:jc w:val="right"/>
          <w:tblLayout w:type="fixed"/>
          <w:tblLook w:val="04A0"/>
        </w:tblPrEx>
        <w:trPr>
          <w:jc w:val="right"/>
        </w:trPr>
        <w:tc>
          <w:tcPr>
            <w:tcW w:w="1678" w:type="dxa"/>
          </w:tcPr>
          <w:p w:rsidR="00FB43E3" w:rsidP="00DB5A34" w14:paraId="5540928F" w14:textId="77777777">
            <w:r>
              <w:t>Survey</w:t>
            </w:r>
          </w:p>
        </w:tc>
        <w:tc>
          <w:tcPr>
            <w:tcW w:w="1467" w:type="dxa"/>
          </w:tcPr>
          <w:p w:rsidR="00FB43E3" w:rsidP="00DB5A34" w14:paraId="29434846" w14:textId="77777777">
            <w:pPr>
              <w:ind w:right="275"/>
              <w:jc w:val="right"/>
            </w:pPr>
            <w:r>
              <w:t>562</w:t>
            </w:r>
          </w:p>
        </w:tc>
        <w:tc>
          <w:tcPr>
            <w:tcW w:w="1440" w:type="dxa"/>
          </w:tcPr>
          <w:p w:rsidR="00FB43E3" w:rsidP="00DB5A34" w14:paraId="1538747B" w14:textId="77777777">
            <w:pPr>
              <w:ind w:right="275"/>
              <w:jc w:val="right"/>
            </w:pPr>
            <w:r>
              <w:t>210</w:t>
            </w:r>
          </w:p>
        </w:tc>
        <w:tc>
          <w:tcPr>
            <w:tcW w:w="1080" w:type="dxa"/>
            <w:tcBorders>
              <w:right w:val="single" w:sz="12" w:space="0" w:color="auto"/>
            </w:tcBorders>
          </w:tcPr>
          <w:p w:rsidR="00FB43E3" w:rsidP="00DB5A34" w14:paraId="31D95E5D" w14:textId="77777777">
            <w:pPr>
              <w:ind w:right="275"/>
              <w:jc w:val="right"/>
            </w:pPr>
            <w:r>
              <w:t>1967</w:t>
            </w:r>
          </w:p>
        </w:tc>
        <w:tc>
          <w:tcPr>
            <w:tcW w:w="1440" w:type="dxa"/>
            <w:tcBorders>
              <w:left w:val="single" w:sz="12" w:space="0" w:color="auto"/>
            </w:tcBorders>
          </w:tcPr>
          <w:p w:rsidR="00FB43E3" w:rsidP="00DB5A34" w14:paraId="25A97CD4" w14:textId="4378436E">
            <w:pPr>
              <w:ind w:right="275"/>
              <w:jc w:val="right"/>
            </w:pPr>
            <w:r>
              <w:t>562</w:t>
            </w:r>
          </w:p>
        </w:tc>
        <w:tc>
          <w:tcPr>
            <w:tcW w:w="1440" w:type="dxa"/>
          </w:tcPr>
          <w:p w:rsidR="00FB43E3" w:rsidP="00DB5A34" w14:paraId="71ED7E25" w14:textId="75016B3D">
            <w:pPr>
              <w:ind w:right="275"/>
              <w:jc w:val="right"/>
            </w:pPr>
            <w:r>
              <w:t>210</w:t>
            </w:r>
          </w:p>
        </w:tc>
        <w:tc>
          <w:tcPr>
            <w:tcW w:w="990" w:type="dxa"/>
          </w:tcPr>
          <w:p w:rsidR="00FB43E3" w:rsidP="00DB5A34" w14:paraId="5E076410" w14:textId="0F96DC92">
            <w:pPr>
              <w:ind w:right="275"/>
              <w:jc w:val="right"/>
            </w:pPr>
            <w:r>
              <w:t>1967</w:t>
            </w:r>
          </w:p>
        </w:tc>
      </w:tr>
      <w:tr w14:paraId="7D8D63E1" w14:textId="5C96A795" w:rsidTr="00186272">
        <w:tblPrEx>
          <w:tblW w:w="9535" w:type="dxa"/>
          <w:jc w:val="right"/>
          <w:tblLayout w:type="fixed"/>
          <w:tblLook w:val="04A0"/>
        </w:tblPrEx>
        <w:trPr>
          <w:jc w:val="right"/>
        </w:trPr>
        <w:tc>
          <w:tcPr>
            <w:tcW w:w="1678" w:type="dxa"/>
          </w:tcPr>
          <w:p w:rsidR="00FB43E3" w:rsidP="00DB5A34" w14:paraId="2AA782C0" w14:textId="77777777">
            <w:r>
              <w:t>Response Analysis Survey</w:t>
            </w:r>
          </w:p>
        </w:tc>
        <w:tc>
          <w:tcPr>
            <w:tcW w:w="1467" w:type="dxa"/>
          </w:tcPr>
          <w:p w:rsidR="00FB43E3" w:rsidP="00DB5A34" w14:paraId="774FD3E4" w14:textId="77777777">
            <w:pPr>
              <w:ind w:right="275"/>
              <w:jc w:val="right"/>
            </w:pPr>
            <w:r>
              <w:t>300</w:t>
            </w:r>
          </w:p>
        </w:tc>
        <w:tc>
          <w:tcPr>
            <w:tcW w:w="1440" w:type="dxa"/>
          </w:tcPr>
          <w:p w:rsidR="00FB43E3" w:rsidP="00DB5A34" w14:paraId="4C80D15B" w14:textId="77777777">
            <w:pPr>
              <w:ind w:right="275"/>
              <w:jc w:val="right"/>
            </w:pPr>
            <w:r>
              <w:t>10</w:t>
            </w:r>
          </w:p>
        </w:tc>
        <w:tc>
          <w:tcPr>
            <w:tcW w:w="1080" w:type="dxa"/>
            <w:tcBorders>
              <w:right w:val="single" w:sz="12" w:space="0" w:color="auto"/>
            </w:tcBorders>
          </w:tcPr>
          <w:p w:rsidR="00FB43E3" w:rsidP="00DB5A34" w14:paraId="04EC6FE5" w14:textId="77777777">
            <w:pPr>
              <w:ind w:right="275"/>
              <w:jc w:val="right"/>
            </w:pPr>
            <w:r>
              <w:t>50</w:t>
            </w:r>
          </w:p>
        </w:tc>
        <w:tc>
          <w:tcPr>
            <w:tcW w:w="1440" w:type="dxa"/>
            <w:tcBorders>
              <w:left w:val="single" w:sz="12" w:space="0" w:color="auto"/>
            </w:tcBorders>
          </w:tcPr>
          <w:p w:rsidR="00FB43E3" w:rsidP="00DB5A34" w14:paraId="4F924F72" w14:textId="500DF4A5">
            <w:pPr>
              <w:ind w:right="275"/>
              <w:jc w:val="right"/>
            </w:pPr>
            <w:r>
              <w:t>300</w:t>
            </w:r>
          </w:p>
        </w:tc>
        <w:tc>
          <w:tcPr>
            <w:tcW w:w="1440" w:type="dxa"/>
          </w:tcPr>
          <w:p w:rsidR="00FB43E3" w:rsidP="00DB5A34" w14:paraId="7DD98F0F" w14:textId="42708629">
            <w:pPr>
              <w:ind w:right="275"/>
              <w:jc w:val="right"/>
            </w:pPr>
            <w:r>
              <w:t>10</w:t>
            </w:r>
          </w:p>
        </w:tc>
        <w:tc>
          <w:tcPr>
            <w:tcW w:w="990" w:type="dxa"/>
          </w:tcPr>
          <w:p w:rsidR="00FB43E3" w:rsidP="00DB5A34" w14:paraId="1AA7DCF1" w14:textId="7A9D135F">
            <w:pPr>
              <w:ind w:right="275"/>
              <w:jc w:val="right"/>
            </w:pPr>
            <w:r>
              <w:t>50</w:t>
            </w:r>
          </w:p>
        </w:tc>
      </w:tr>
      <w:tr w14:paraId="033A9C45" w14:textId="34D3CCEA" w:rsidTr="00186272">
        <w:tblPrEx>
          <w:tblW w:w="9535" w:type="dxa"/>
          <w:jc w:val="right"/>
          <w:tblLayout w:type="fixed"/>
          <w:tblLook w:val="04A0"/>
        </w:tblPrEx>
        <w:trPr>
          <w:jc w:val="right"/>
        </w:trPr>
        <w:tc>
          <w:tcPr>
            <w:tcW w:w="1678" w:type="dxa"/>
          </w:tcPr>
          <w:p w:rsidR="00FB43E3" w:rsidP="00DB5A34" w14:paraId="343D97B7" w14:textId="77777777">
            <w:r>
              <w:t>Debriefing interviewing recruitment logistics</w:t>
            </w:r>
          </w:p>
        </w:tc>
        <w:tc>
          <w:tcPr>
            <w:tcW w:w="1467" w:type="dxa"/>
          </w:tcPr>
          <w:p w:rsidR="00FB43E3" w:rsidP="00DB5A34" w14:paraId="39F20D64" w14:textId="77777777">
            <w:pPr>
              <w:ind w:right="275"/>
              <w:jc w:val="right"/>
            </w:pPr>
            <w:r>
              <w:t>75</w:t>
            </w:r>
          </w:p>
        </w:tc>
        <w:tc>
          <w:tcPr>
            <w:tcW w:w="1440" w:type="dxa"/>
          </w:tcPr>
          <w:p w:rsidR="00FB43E3" w:rsidP="00DB5A34" w14:paraId="15F87ADD" w14:textId="77777777">
            <w:pPr>
              <w:ind w:right="275"/>
              <w:jc w:val="right"/>
            </w:pPr>
            <w:r>
              <w:t>20</w:t>
            </w:r>
          </w:p>
        </w:tc>
        <w:tc>
          <w:tcPr>
            <w:tcW w:w="1080" w:type="dxa"/>
            <w:tcBorders>
              <w:right w:val="single" w:sz="12" w:space="0" w:color="auto"/>
            </w:tcBorders>
          </w:tcPr>
          <w:p w:rsidR="00FB43E3" w:rsidP="00DB5A34" w14:paraId="788E3956" w14:textId="77777777">
            <w:pPr>
              <w:ind w:right="275"/>
              <w:jc w:val="right"/>
            </w:pPr>
            <w:r>
              <w:t>25</w:t>
            </w:r>
          </w:p>
        </w:tc>
        <w:tc>
          <w:tcPr>
            <w:tcW w:w="1440" w:type="dxa"/>
            <w:tcBorders>
              <w:left w:val="single" w:sz="12" w:space="0" w:color="auto"/>
            </w:tcBorders>
          </w:tcPr>
          <w:p w:rsidR="00FB43E3" w:rsidP="00DB5A34" w14:paraId="5860C9BA" w14:textId="6581558F">
            <w:pPr>
              <w:ind w:right="275"/>
              <w:jc w:val="right"/>
            </w:pPr>
            <w:r>
              <w:t>75</w:t>
            </w:r>
          </w:p>
        </w:tc>
        <w:tc>
          <w:tcPr>
            <w:tcW w:w="1440" w:type="dxa"/>
          </w:tcPr>
          <w:p w:rsidR="00FB43E3" w:rsidP="00DB5A34" w14:paraId="54200EF6" w14:textId="269DDD3F">
            <w:pPr>
              <w:ind w:right="275"/>
              <w:jc w:val="right"/>
            </w:pPr>
            <w:r>
              <w:t>20</w:t>
            </w:r>
          </w:p>
        </w:tc>
        <w:tc>
          <w:tcPr>
            <w:tcW w:w="990" w:type="dxa"/>
          </w:tcPr>
          <w:p w:rsidR="00FB43E3" w:rsidP="00DB5A34" w14:paraId="3C68EBCC" w14:textId="7F623A61">
            <w:pPr>
              <w:ind w:right="275"/>
              <w:jc w:val="right"/>
            </w:pPr>
            <w:r>
              <w:t>25</w:t>
            </w:r>
          </w:p>
        </w:tc>
      </w:tr>
      <w:tr w14:paraId="186337D6" w14:textId="202AD331" w:rsidTr="00186272">
        <w:tblPrEx>
          <w:tblW w:w="9535" w:type="dxa"/>
          <w:jc w:val="right"/>
          <w:tblLayout w:type="fixed"/>
          <w:tblLook w:val="04A0"/>
        </w:tblPrEx>
        <w:trPr>
          <w:jc w:val="right"/>
        </w:trPr>
        <w:tc>
          <w:tcPr>
            <w:tcW w:w="1678" w:type="dxa"/>
          </w:tcPr>
          <w:p w:rsidR="00FB43E3" w:rsidP="00DB5A34" w14:paraId="7A89B8A3" w14:textId="77777777">
            <w:r>
              <w:t>Debriefing Interviews</w:t>
            </w:r>
          </w:p>
        </w:tc>
        <w:tc>
          <w:tcPr>
            <w:tcW w:w="1467" w:type="dxa"/>
          </w:tcPr>
          <w:p w:rsidR="00FB43E3" w:rsidP="00DB5A34" w14:paraId="107D408D" w14:textId="77777777">
            <w:pPr>
              <w:ind w:right="275"/>
              <w:jc w:val="right"/>
            </w:pPr>
            <w:r>
              <w:t>50</w:t>
            </w:r>
          </w:p>
        </w:tc>
        <w:tc>
          <w:tcPr>
            <w:tcW w:w="1440" w:type="dxa"/>
          </w:tcPr>
          <w:p w:rsidR="00FB43E3" w:rsidP="00DB5A34" w14:paraId="30222B07" w14:textId="77777777">
            <w:pPr>
              <w:ind w:right="275"/>
              <w:jc w:val="right"/>
            </w:pPr>
            <w:r>
              <w:t>60</w:t>
            </w:r>
          </w:p>
        </w:tc>
        <w:tc>
          <w:tcPr>
            <w:tcW w:w="1080" w:type="dxa"/>
            <w:tcBorders>
              <w:right w:val="single" w:sz="12" w:space="0" w:color="auto"/>
            </w:tcBorders>
          </w:tcPr>
          <w:p w:rsidR="00FB43E3" w:rsidP="00DB5A34" w14:paraId="29D98229" w14:textId="77777777">
            <w:pPr>
              <w:ind w:right="275"/>
              <w:jc w:val="right"/>
            </w:pPr>
            <w:r>
              <w:t>50</w:t>
            </w:r>
          </w:p>
        </w:tc>
        <w:tc>
          <w:tcPr>
            <w:tcW w:w="1440" w:type="dxa"/>
            <w:tcBorders>
              <w:left w:val="single" w:sz="12" w:space="0" w:color="auto"/>
            </w:tcBorders>
          </w:tcPr>
          <w:p w:rsidR="00FB43E3" w:rsidP="00DB5A34" w14:paraId="5838A058" w14:textId="5B65B8C7">
            <w:pPr>
              <w:ind w:right="275"/>
              <w:jc w:val="right"/>
            </w:pPr>
            <w:r>
              <w:t>50</w:t>
            </w:r>
          </w:p>
        </w:tc>
        <w:tc>
          <w:tcPr>
            <w:tcW w:w="1440" w:type="dxa"/>
          </w:tcPr>
          <w:p w:rsidR="00FB43E3" w:rsidP="00DB5A34" w14:paraId="078FD344" w14:textId="731A9AA8">
            <w:pPr>
              <w:ind w:right="275"/>
              <w:jc w:val="right"/>
            </w:pPr>
            <w:r>
              <w:t>60</w:t>
            </w:r>
          </w:p>
        </w:tc>
        <w:tc>
          <w:tcPr>
            <w:tcW w:w="990" w:type="dxa"/>
          </w:tcPr>
          <w:p w:rsidR="00FB43E3" w:rsidP="00DB5A34" w14:paraId="25F4CFBA" w14:textId="0D56859D">
            <w:pPr>
              <w:ind w:right="275"/>
              <w:jc w:val="right"/>
            </w:pPr>
            <w:r>
              <w:t>50</w:t>
            </w:r>
          </w:p>
        </w:tc>
      </w:tr>
      <w:tr w14:paraId="3FD074D7" w14:textId="3BD1CCA4" w:rsidTr="00186272">
        <w:tblPrEx>
          <w:tblW w:w="9535" w:type="dxa"/>
          <w:jc w:val="right"/>
          <w:tblLayout w:type="fixed"/>
          <w:tblLook w:val="04A0"/>
        </w:tblPrEx>
        <w:trPr>
          <w:jc w:val="right"/>
        </w:trPr>
        <w:tc>
          <w:tcPr>
            <w:tcW w:w="1678" w:type="dxa"/>
          </w:tcPr>
          <w:p w:rsidR="00312556" w:rsidRPr="002C2D63" w:rsidP="00DB5A34" w14:paraId="3161D786" w14:textId="77777777">
            <w:pPr>
              <w:rPr>
                <w:b/>
                <w:bCs/>
              </w:rPr>
            </w:pPr>
            <w:r w:rsidRPr="002C2D63">
              <w:rPr>
                <w:b/>
                <w:bCs/>
              </w:rPr>
              <w:t>Total</w:t>
            </w:r>
          </w:p>
        </w:tc>
        <w:tc>
          <w:tcPr>
            <w:tcW w:w="3987" w:type="dxa"/>
            <w:gridSpan w:val="3"/>
            <w:tcBorders>
              <w:right w:val="single" w:sz="12" w:space="0" w:color="auto"/>
            </w:tcBorders>
          </w:tcPr>
          <w:p w:rsidR="00312556" w:rsidRPr="002C2D63" w:rsidP="00DB5A34" w14:paraId="1195EDCC" w14:textId="77777777">
            <w:pPr>
              <w:jc w:val="right"/>
              <w:rPr>
                <w:b/>
                <w:bCs/>
              </w:rPr>
            </w:pPr>
            <w:r>
              <w:rPr>
                <w:b/>
                <w:bCs/>
              </w:rPr>
              <w:t>2,359 hours</w:t>
            </w:r>
          </w:p>
        </w:tc>
        <w:tc>
          <w:tcPr>
            <w:tcW w:w="3870" w:type="dxa"/>
            <w:gridSpan w:val="3"/>
            <w:tcBorders>
              <w:left w:val="single" w:sz="12" w:space="0" w:color="auto"/>
            </w:tcBorders>
          </w:tcPr>
          <w:p w:rsidR="00312556" w:rsidP="00DB5A34" w14:paraId="7AA480A6" w14:textId="23B904FD">
            <w:pPr>
              <w:jc w:val="right"/>
              <w:rPr>
                <w:b/>
                <w:bCs/>
              </w:rPr>
            </w:pPr>
            <w:r>
              <w:rPr>
                <w:b/>
                <w:bCs/>
              </w:rPr>
              <w:t>2,212 hours</w:t>
            </w:r>
          </w:p>
        </w:tc>
      </w:tr>
    </w:tbl>
    <w:p w:rsidR="007562FE" w:rsidRPr="00C2005B" w14:paraId="2389F9C6" w14:textId="7E869B02">
      <w:pPr>
        <w:rPr>
          <w:b/>
          <w:bCs/>
          <w:u w:val="single"/>
        </w:rPr>
      </w:pPr>
      <w:r w:rsidRPr="00C2005B">
        <w:rPr>
          <w:b/>
          <w:bCs/>
          <w:u w:val="single"/>
        </w:rPr>
        <w:t>D</w:t>
      </w:r>
      <w:r w:rsidRPr="00C2005B">
        <w:rPr>
          <w:b/>
          <w:bCs/>
          <w:u w:val="single"/>
        </w:rPr>
        <w:t>ebriefing interviews</w:t>
      </w:r>
    </w:p>
    <w:p w:rsidR="006E7A41" w:rsidP="00C2005B" w14:paraId="3CA26F33" w14:textId="1F9159FA">
      <w:r>
        <w:t>As we continued to refine the instrument and work through the process of launching the Phase II pilot, we updated the debriefing protocol to reflect additional questions of interest</w:t>
      </w:r>
      <w:r>
        <w:t xml:space="preserve">.  </w:t>
      </w:r>
      <w:r w:rsidR="00005AE1">
        <w:t>This includes debriefing interviews to test the performance of two questions on behalf of the Business Trends and Opportunities Survey (BTOS), framing up issues that might impact future usability testing, and exploratory research on willingness to return-to-office interviewing, a topic of interest to the field overall.  The fifty available debriefing interviews will be carefully delegated to collect information across combinations of these topics – not all interviews will cover all topics</w:t>
      </w:r>
      <w:r w:rsidRPr="00C73D13" w:rsidR="00005AE1">
        <w:t xml:space="preserve">.  </w:t>
      </w:r>
      <w:r w:rsidRPr="00C73D13">
        <w:t>See Attachment I for the updated protocol.</w:t>
      </w:r>
    </w:p>
    <w:p w:rsidR="006E7A41" w:rsidP="00C2005B" w14:paraId="08146D63" w14:textId="12B517CE"/>
    <w:p w:rsidR="006E7A41" w:rsidP="00C2005B" w14:paraId="485EED16" w14:textId="2A17936D">
      <w:r>
        <w:t xml:space="preserve">Because we shifted from an active to a passive consent model, we will now be gaining consent to participate in the debriefing interview prior to or at the time of interviewing. </w:t>
      </w:r>
      <w:r w:rsidR="001600A1">
        <w:t xml:space="preserve"> Once we have recruited a respondent to participate in an interview, we will send them an online consent form</w:t>
      </w:r>
      <w:r w:rsidR="00C2423E">
        <w:t xml:space="preserve">.  </w:t>
      </w:r>
      <w:r w:rsidRPr="00C73D13" w:rsidR="00C2423E">
        <w:t>See Attachment II for an updated consent form.</w:t>
      </w:r>
    </w:p>
    <w:p w:rsidR="00C2005B" w:rsidP="00C2005B" w14:paraId="76D4C4B3" w14:textId="15A24CAB"/>
    <w:p w:rsidR="00C2423E" w:rsidP="00C2423E" w14:paraId="726B8025" w14:textId="25C4EED2">
      <w:r>
        <w:t xml:space="preserve">In preparation for this Phase II Pilot, we have developed updated respondent communications.  To prepare for the production survey in 2024, we would like to </w:t>
      </w:r>
      <w:r w:rsidR="00CB2718">
        <w:t>conduct</w:t>
      </w:r>
      <w:r>
        <w:t xml:space="preserve"> targeted communication-focused interviews.</w:t>
      </w:r>
      <w:r w:rsidR="00610D48">
        <w:t xml:space="preserve">  We are dedicating </w:t>
      </w:r>
      <w:r w:rsidR="00542FE7">
        <w:t>1</w:t>
      </w:r>
      <w:r w:rsidR="00610D48">
        <w:t xml:space="preserve">0 of the 50 in-depth interviews to communications testing.  </w:t>
      </w:r>
      <w:r>
        <w:t xml:space="preserve">We will use the letters, emails, and website developed to support these efforts, and ask respondents for feedback on the tone, </w:t>
      </w:r>
      <w:r w:rsidR="0063030A">
        <w:t xml:space="preserve">clarity, </w:t>
      </w:r>
      <w:r>
        <w:t xml:space="preserve">content, and mode of delivery.  </w:t>
      </w:r>
      <w:r w:rsidRPr="006E11DC" w:rsidR="00610D48">
        <w:t>See Attachment III for the communications testing interview protocol.</w:t>
      </w:r>
    </w:p>
    <w:p w:rsidR="00610D48" w:rsidP="00C2423E" w14:paraId="03080E93" w14:textId="6723D97E"/>
    <w:p w:rsidR="00610D48" w:rsidP="00C2423E" w14:paraId="655BAA8A" w14:textId="357060CE">
      <w:pPr>
        <w:rPr>
          <w:u w:val="single"/>
        </w:rPr>
      </w:pPr>
      <w:r>
        <w:rPr>
          <w:b/>
          <w:bCs/>
          <w:u w:val="single"/>
        </w:rPr>
        <w:t>Additional Respondent Materials</w:t>
      </w:r>
    </w:p>
    <w:p w:rsidR="00610D48" w:rsidRPr="006A70B7" w:rsidP="00C2423E" w14:paraId="091F2789" w14:textId="752AFC50">
      <w:r>
        <w:t>We have further refined our respondent materials</w:t>
      </w:r>
      <w:r w:rsidR="00542FE7">
        <w:t>; s</w:t>
      </w:r>
      <w:r>
        <w:t xml:space="preserve">ee </w:t>
      </w:r>
      <w:r w:rsidRPr="001C78EE">
        <w:t xml:space="preserve">Attachment IV for the instrument master spreadsheet, </w:t>
      </w:r>
      <w:r w:rsidRPr="00425E6D">
        <w:t xml:space="preserve">Attachment V for the instrument screens, </w:t>
      </w:r>
      <w:r w:rsidRPr="003A3C5F">
        <w:t xml:space="preserve">Attachment VI </w:t>
      </w:r>
      <w:r w:rsidRPr="003A3C5F" w:rsidR="003A3C5F">
        <w:t xml:space="preserve">respondent online survey response </w:t>
      </w:r>
      <w:r w:rsidRPr="006A70B7" w:rsidR="003A3C5F">
        <w:t>guidelines</w:t>
      </w:r>
      <w:r w:rsidRPr="006A70B7" w:rsidR="00542FE7">
        <w:t>, and Attachment VII for the updated RAS</w:t>
      </w:r>
      <w:r w:rsidRPr="006A70B7">
        <w:t>.</w:t>
      </w:r>
    </w:p>
    <w:p w:rsidR="00C2423E" w:rsidP="00C2423E" w14:paraId="211FEDC0" w14:textId="77777777"/>
    <w:p w:rsidR="007562FE" w:rsidRPr="00542FE7" w:rsidP="007562FE" w14:paraId="58589C8F" w14:textId="2B6F9AC0">
      <w:pPr>
        <w:rPr>
          <w:b/>
          <w:bCs/>
          <w:u w:val="single"/>
        </w:rPr>
      </w:pPr>
      <w:r w:rsidRPr="00542FE7">
        <w:rPr>
          <w:b/>
          <w:bCs/>
          <w:u w:val="single"/>
        </w:rPr>
        <w:t xml:space="preserve">Updated </w:t>
      </w:r>
      <w:r w:rsidRPr="00542FE7" w:rsidR="00753F53">
        <w:rPr>
          <w:b/>
          <w:bCs/>
          <w:u w:val="single"/>
        </w:rPr>
        <w:t>Timeline</w:t>
      </w:r>
    </w:p>
    <w:p w:rsidR="00753F53" w:rsidP="007562FE" w14:paraId="6BFB81B1" w14:textId="4EA8C02F">
      <w:r>
        <w:t>Finally, here is an update on the timeline of these efforts:</w:t>
      </w:r>
    </w:p>
    <w:p w:rsidR="00542FE7" w:rsidP="00CB2718" w14:paraId="3AE1B8B2" w14:textId="71EDD6F8">
      <w:pPr>
        <w:spacing w:after="0" w:line="240" w:lineRule="auto"/>
        <w:ind w:left="446"/>
      </w:pPr>
      <w:r>
        <w:t>Early February:  Account managers and other response support staff make informative calls to in-scope companies</w:t>
      </w:r>
    </w:p>
    <w:p w:rsidR="00542FE7" w:rsidP="00CB2718" w14:paraId="4C5CEBD1" w14:textId="4E57088C">
      <w:pPr>
        <w:spacing w:after="0" w:line="240" w:lineRule="auto"/>
        <w:ind w:left="446"/>
      </w:pPr>
      <w:r>
        <w:t>Late February:  Test survey instrument is deployed</w:t>
      </w:r>
    </w:p>
    <w:p w:rsidR="00542FE7" w:rsidP="00CB2718" w14:paraId="7BEFC097" w14:textId="40E450AA">
      <w:pPr>
        <w:spacing w:after="0" w:line="240" w:lineRule="auto"/>
        <w:ind w:left="446"/>
      </w:pPr>
      <w:r>
        <w:t>Early March:  First debriefing interviews begin</w:t>
      </w:r>
    </w:p>
    <w:p w:rsidR="00542FE7" w:rsidP="00CB2718" w14:paraId="11F771B7" w14:textId="3392FB34">
      <w:pPr>
        <w:spacing w:after="0" w:line="240" w:lineRule="auto"/>
        <w:ind w:left="446"/>
      </w:pPr>
      <w:r>
        <w:t>Late March:  Survey response due</w:t>
      </w:r>
    </w:p>
    <w:p w:rsidR="00542FE7" w:rsidP="00CB2718" w14:paraId="28BBBD41" w14:textId="6E04C03E">
      <w:pPr>
        <w:spacing w:after="0" w:line="240" w:lineRule="auto"/>
        <w:ind w:left="446"/>
      </w:pPr>
      <w:r>
        <w:t>Early April:  Cut-off date for research results inclusion</w:t>
      </w:r>
    </w:p>
    <w:p w:rsidR="00542FE7" w:rsidP="00CB2718" w14:paraId="475000C3" w14:textId="5E189B9A">
      <w:pPr>
        <w:spacing w:after="0" w:line="240" w:lineRule="auto"/>
        <w:ind w:left="446"/>
      </w:pPr>
      <w:r>
        <w:t>Early May:  Interviewing ends</w:t>
      </w:r>
    </w:p>
    <w:p w:rsidR="00542FE7" w:rsidP="00CB2718" w14:paraId="711646AC" w14:textId="517E4181">
      <w:pPr>
        <w:spacing w:after="0" w:line="240" w:lineRule="auto"/>
        <w:ind w:left="446"/>
      </w:pPr>
      <w:r>
        <w:t>Early June:  Preliminary pilot results</w:t>
      </w:r>
    </w:p>
    <w:p w:rsidR="00CB2718" w14:paraId="7CF2FDBB" w14:textId="737D1C62">
      <w:r>
        <w:br w:type="page"/>
      </w:r>
    </w:p>
    <w:p w:rsidR="00CB2718" w:rsidRPr="00C128F1" w:rsidP="00CB2718" w14:paraId="4E6DC842" w14:textId="77777777">
      <w:pPr>
        <w:rPr>
          <w:b/>
        </w:rPr>
      </w:pPr>
      <w:r w:rsidRPr="00C128F1">
        <w:rPr>
          <w:b/>
        </w:rPr>
        <w:t xml:space="preserve">Enclosures:  </w:t>
      </w:r>
    </w:p>
    <w:p w:rsidR="00CB2718" w:rsidRPr="002162C6" w:rsidP="00CB2718" w14:paraId="64A8782C" w14:textId="47451D55">
      <w:pPr>
        <w:rPr>
          <w:bCs/>
        </w:rPr>
      </w:pPr>
      <w:r w:rsidRPr="002162C6">
        <w:rPr>
          <w:bCs/>
        </w:rPr>
        <w:t xml:space="preserve">Included in this </w:t>
      </w:r>
      <w:r>
        <w:rPr>
          <w:bCs/>
        </w:rPr>
        <w:t>update</w:t>
      </w:r>
      <w:r w:rsidRPr="002162C6">
        <w:rPr>
          <w:bCs/>
        </w:rPr>
        <w:t xml:space="preserve"> are the following enclosures:</w:t>
      </w:r>
    </w:p>
    <w:p w:rsidR="00CB2718" w:rsidRPr="002162C6" w:rsidP="00CB2718" w14:paraId="2E1714EA" w14:textId="50A9C391">
      <w:pPr>
        <w:numPr>
          <w:ilvl w:val="0"/>
          <w:numId w:val="4"/>
        </w:numPr>
        <w:rPr>
          <w:bCs/>
        </w:rPr>
      </w:pPr>
      <w:bookmarkStart w:id="1" w:name="_Hlk85727766"/>
      <w:r w:rsidRPr="002162C6">
        <w:rPr>
          <w:bCs/>
        </w:rPr>
        <w:t xml:space="preserve">Attachment </w:t>
      </w:r>
      <w:r>
        <w:rPr>
          <w:bCs/>
        </w:rPr>
        <w:t>I</w:t>
      </w:r>
      <w:r w:rsidRPr="002162C6">
        <w:rPr>
          <w:bCs/>
        </w:rPr>
        <w:t xml:space="preserve">: </w:t>
      </w:r>
      <w:r>
        <w:rPr>
          <w:bCs/>
        </w:rPr>
        <w:t>Updated Respondent Debriefing Protocol</w:t>
      </w:r>
    </w:p>
    <w:bookmarkEnd w:id="1"/>
    <w:p w:rsidR="00CB2718" w:rsidRPr="008653E6" w:rsidP="00CB2718" w14:paraId="468A222F" w14:textId="6FAA435A">
      <w:pPr>
        <w:numPr>
          <w:ilvl w:val="0"/>
          <w:numId w:val="4"/>
        </w:numPr>
        <w:rPr>
          <w:bCs/>
        </w:rPr>
      </w:pPr>
      <w:r w:rsidRPr="008653E6">
        <w:rPr>
          <w:bCs/>
        </w:rPr>
        <w:t xml:space="preserve">Attachment </w:t>
      </w:r>
      <w:r w:rsidR="000D1165">
        <w:rPr>
          <w:bCs/>
        </w:rPr>
        <w:t>II</w:t>
      </w:r>
      <w:r w:rsidRPr="008653E6">
        <w:rPr>
          <w:bCs/>
        </w:rPr>
        <w:t xml:space="preserve">: </w:t>
      </w:r>
      <w:r w:rsidR="000D1165">
        <w:rPr>
          <w:bCs/>
        </w:rPr>
        <w:t>Respondent Debriefing Informed Consent</w:t>
      </w:r>
    </w:p>
    <w:p w:rsidR="00CB2718" w:rsidRPr="00FC6D21" w:rsidP="00CB2718" w14:paraId="3C4E425C" w14:textId="7288626E">
      <w:pPr>
        <w:numPr>
          <w:ilvl w:val="0"/>
          <w:numId w:val="4"/>
        </w:numPr>
        <w:rPr>
          <w:bCs/>
        </w:rPr>
      </w:pPr>
      <w:r w:rsidRPr="00FC6D21">
        <w:rPr>
          <w:bCs/>
        </w:rPr>
        <w:t xml:space="preserve">Attachment </w:t>
      </w:r>
      <w:r w:rsidR="000D1165">
        <w:rPr>
          <w:bCs/>
        </w:rPr>
        <w:t>III</w:t>
      </w:r>
      <w:r w:rsidRPr="00FC6D21">
        <w:rPr>
          <w:bCs/>
        </w:rPr>
        <w:t xml:space="preserve">:  </w:t>
      </w:r>
      <w:r w:rsidR="000D1165">
        <w:rPr>
          <w:bCs/>
        </w:rPr>
        <w:t>Communications-focused Debriefing Protocol</w:t>
      </w:r>
    </w:p>
    <w:p w:rsidR="00CB2718" w:rsidRPr="00AE3045" w:rsidP="00CB2718" w14:paraId="2154A2BC" w14:textId="53A969E9">
      <w:pPr>
        <w:numPr>
          <w:ilvl w:val="0"/>
          <w:numId w:val="4"/>
        </w:numPr>
        <w:rPr>
          <w:bCs/>
        </w:rPr>
      </w:pPr>
      <w:r w:rsidRPr="00AE3045">
        <w:rPr>
          <w:bCs/>
        </w:rPr>
        <w:t xml:space="preserve">Attachment </w:t>
      </w:r>
      <w:r w:rsidR="000D1165">
        <w:rPr>
          <w:bCs/>
        </w:rPr>
        <w:t>IV</w:t>
      </w:r>
      <w:r w:rsidRPr="00AE3045">
        <w:rPr>
          <w:bCs/>
        </w:rPr>
        <w:t xml:space="preserve">: </w:t>
      </w:r>
      <w:r w:rsidR="000D1165">
        <w:rPr>
          <w:bCs/>
        </w:rPr>
        <w:t>Master Response Spreadsheet</w:t>
      </w:r>
    </w:p>
    <w:p w:rsidR="00CB2718" w:rsidRPr="00AE3045" w:rsidP="00CB2718" w14:paraId="46F3BB92" w14:textId="668574A6">
      <w:pPr>
        <w:numPr>
          <w:ilvl w:val="0"/>
          <w:numId w:val="4"/>
        </w:numPr>
        <w:rPr>
          <w:bCs/>
        </w:rPr>
      </w:pPr>
      <w:r w:rsidRPr="00AE3045">
        <w:rPr>
          <w:bCs/>
        </w:rPr>
        <w:t xml:space="preserve">Attachment </w:t>
      </w:r>
      <w:r w:rsidR="000D1165">
        <w:rPr>
          <w:bCs/>
        </w:rPr>
        <w:t>V</w:t>
      </w:r>
      <w:r w:rsidRPr="00AE3045">
        <w:rPr>
          <w:bCs/>
        </w:rPr>
        <w:t xml:space="preserve">:  </w:t>
      </w:r>
      <w:r w:rsidR="000D1165">
        <w:rPr>
          <w:bCs/>
        </w:rPr>
        <w:t>Instrument Front Screens</w:t>
      </w:r>
    </w:p>
    <w:p w:rsidR="00CB2718" w:rsidRPr="00635480" w:rsidP="00CB2718" w14:paraId="0F6FAF80" w14:textId="5D3FD564">
      <w:pPr>
        <w:numPr>
          <w:ilvl w:val="0"/>
          <w:numId w:val="4"/>
        </w:numPr>
        <w:rPr>
          <w:bCs/>
        </w:rPr>
      </w:pPr>
      <w:r w:rsidRPr="00635480">
        <w:rPr>
          <w:bCs/>
        </w:rPr>
        <w:t xml:space="preserve">Attachment </w:t>
      </w:r>
      <w:r w:rsidR="000D1165">
        <w:rPr>
          <w:bCs/>
        </w:rPr>
        <w:t>VI</w:t>
      </w:r>
      <w:r w:rsidRPr="00635480">
        <w:rPr>
          <w:bCs/>
        </w:rPr>
        <w:t xml:space="preserve">:  </w:t>
      </w:r>
      <w:r w:rsidR="000D1165">
        <w:rPr>
          <w:bCs/>
        </w:rPr>
        <w:t>Online Survey Response Guide</w:t>
      </w:r>
    </w:p>
    <w:p w:rsidR="00CB2718" w:rsidP="00CB2718" w14:paraId="4AAC84B6" w14:textId="00811C9D">
      <w:pPr>
        <w:numPr>
          <w:ilvl w:val="0"/>
          <w:numId w:val="4"/>
        </w:numPr>
        <w:rPr>
          <w:bCs/>
        </w:rPr>
      </w:pPr>
      <w:r w:rsidRPr="00AE3045">
        <w:rPr>
          <w:bCs/>
        </w:rPr>
        <w:t xml:space="preserve">Attachment </w:t>
      </w:r>
      <w:r w:rsidR="000D1165">
        <w:rPr>
          <w:bCs/>
        </w:rPr>
        <w:t>VII</w:t>
      </w:r>
      <w:r w:rsidRPr="00AE3045">
        <w:rPr>
          <w:bCs/>
        </w:rPr>
        <w:t xml:space="preserve">:  </w:t>
      </w:r>
      <w:r w:rsidR="000D1165">
        <w:rPr>
          <w:bCs/>
        </w:rPr>
        <w:t>Phase II Response Analysis Survey</w:t>
      </w:r>
    </w:p>
    <w:p w:rsidR="00CB2718" w:rsidP="00CB2718" w14:paraId="76611049" w14:textId="77777777">
      <w:pPr>
        <w:rPr>
          <w:b/>
        </w:rPr>
      </w:pPr>
    </w:p>
    <w:p w:rsidR="00CB2718" w:rsidRPr="002E708D" w:rsidP="00CB2718" w14:paraId="04BABACE" w14:textId="77777777">
      <w:pPr>
        <w:keepNext/>
        <w:keepLines/>
        <w:widowControl w:val="0"/>
        <w:rPr>
          <w:b/>
        </w:rPr>
      </w:pPr>
      <w:r w:rsidRPr="002E708D">
        <w:rPr>
          <w:b/>
        </w:rPr>
        <w:t>Contact:</w:t>
      </w:r>
    </w:p>
    <w:p w:rsidR="00CB2718" w:rsidP="00CB2718" w14:paraId="0A9D3519" w14:textId="77777777">
      <w:pPr>
        <w:pStyle w:val="NoSpacing"/>
      </w:pPr>
      <w:r>
        <w:t>The contact person for questions regarding data collection and statistical aspects of the design of this research is listed below:</w:t>
      </w:r>
    </w:p>
    <w:p w:rsidR="00CB2718" w:rsidRPr="00202E53" w:rsidP="00CB2718" w14:paraId="4C0AC5C4" w14:textId="77777777">
      <w:pPr>
        <w:pStyle w:val="NoSpacing"/>
        <w:ind w:left="720"/>
        <w:rPr>
          <w:rFonts w:eastAsia="Calibri" w:cstheme="minorHAnsi"/>
          <w:color w:val="000000"/>
        </w:rPr>
      </w:pPr>
      <w:r>
        <w:rPr>
          <w:rFonts w:eastAsia="Calibri" w:cstheme="minorHAnsi"/>
          <w:color w:val="000000"/>
        </w:rPr>
        <w:t>Melissa A. Cidade, Ph.D.</w:t>
      </w:r>
    </w:p>
    <w:p w:rsidR="00CB2718" w:rsidRPr="00202E53" w:rsidP="00CB2718" w14:paraId="5451C732" w14:textId="77777777">
      <w:pPr>
        <w:pStyle w:val="NoSpacing"/>
        <w:ind w:left="720"/>
        <w:rPr>
          <w:rFonts w:eastAsia="Calibri" w:cstheme="minorHAnsi"/>
        </w:rPr>
      </w:pPr>
      <w:r>
        <w:rPr>
          <w:rFonts w:eastAsia="Calibri" w:cstheme="minorHAnsi"/>
        </w:rPr>
        <w:t>Survey Methodologist</w:t>
      </w:r>
    </w:p>
    <w:p w:rsidR="00CB2718" w:rsidRPr="00202E53" w:rsidP="00CB2718" w14:paraId="60539E95" w14:textId="77777777">
      <w:pPr>
        <w:pStyle w:val="NoSpacing"/>
        <w:ind w:left="720"/>
        <w:rPr>
          <w:rFonts w:eastAsia="Calibri" w:cstheme="minorHAnsi"/>
        </w:rPr>
      </w:pPr>
      <w:r>
        <w:rPr>
          <w:rFonts w:eastAsia="Calibri" w:cstheme="minorHAnsi"/>
        </w:rPr>
        <w:t>Economic Management Division</w:t>
      </w:r>
    </w:p>
    <w:p w:rsidR="00CB2718" w:rsidRPr="00202E53" w:rsidP="00CB2718" w14:paraId="02F796AB" w14:textId="77777777">
      <w:pPr>
        <w:pStyle w:val="NoSpacing"/>
        <w:ind w:left="720"/>
        <w:rPr>
          <w:rFonts w:eastAsia="Calibri" w:cstheme="minorHAnsi"/>
        </w:rPr>
      </w:pPr>
      <w:r w:rsidRPr="00202E53">
        <w:rPr>
          <w:rFonts w:eastAsia="Calibri" w:cstheme="minorHAnsi"/>
        </w:rPr>
        <w:t xml:space="preserve">U.S. Census Bureau </w:t>
      </w:r>
    </w:p>
    <w:p w:rsidR="00CB2718" w:rsidRPr="00202E53" w:rsidP="00CB2718" w14:paraId="6F5BDE1B" w14:textId="77777777">
      <w:pPr>
        <w:pStyle w:val="NoSpacing"/>
        <w:ind w:left="720"/>
        <w:rPr>
          <w:rFonts w:eastAsia="Calibri" w:cstheme="minorHAnsi"/>
        </w:rPr>
      </w:pPr>
      <w:r w:rsidRPr="00202E53">
        <w:rPr>
          <w:rFonts w:eastAsia="Calibri" w:cstheme="minorHAnsi"/>
        </w:rPr>
        <w:t>Washington, D.C. 20233</w:t>
      </w:r>
    </w:p>
    <w:p w:rsidR="00CB2718" w:rsidRPr="00202E53" w:rsidP="00CB2718" w14:paraId="3264B6A9" w14:textId="77777777">
      <w:pPr>
        <w:pStyle w:val="NoSpacing"/>
        <w:ind w:left="720"/>
        <w:rPr>
          <w:rFonts w:eastAsia="Calibri" w:cstheme="minorHAnsi"/>
        </w:rPr>
      </w:pPr>
      <w:r>
        <w:rPr>
          <w:rFonts w:eastAsia="Calibri" w:cstheme="minorHAnsi"/>
        </w:rPr>
        <w:t>(301) 763-8325</w:t>
      </w:r>
    </w:p>
    <w:p w:rsidR="00CB2718" w:rsidRPr="00202E53" w:rsidP="00CB2718" w14:paraId="5CC03DBF" w14:textId="77777777">
      <w:pPr>
        <w:pStyle w:val="NoSpacing"/>
        <w:ind w:left="720"/>
        <w:rPr>
          <w:rFonts w:eastAsia="Calibri" w:cstheme="minorHAnsi"/>
        </w:rPr>
      </w:pPr>
      <w:r>
        <w:rPr>
          <w:rFonts w:eastAsia="Calibri" w:cstheme="minorHAnsi"/>
        </w:rPr>
        <w:t>Melissa.cidade@census.gov</w:t>
      </w:r>
    </w:p>
    <w:p w:rsidR="00CB2718" w:rsidRPr="00202E53" w:rsidP="00CB2718" w14:paraId="560DA5B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00CB2718" w:rsidRPr="00B27A44" w:rsidP="00CB2718" w14:paraId="649C76A9" w14:textId="77777777"/>
    <w:p w:rsidR="00CB2718" w:rsidRPr="00B27A44" w:rsidP="00CB2718" w14:paraId="61812F46" w14:textId="77777777">
      <w:pPr>
        <w:spacing w:after="0"/>
      </w:pPr>
      <w:r w:rsidRPr="00B27A44">
        <w:t xml:space="preserve">cc:  </w:t>
      </w:r>
      <w:r w:rsidRPr="00B27A44">
        <w:br/>
        <w:t>Nick Orsini</w:t>
      </w:r>
      <w:r w:rsidRPr="00B27A44">
        <w:tab/>
      </w:r>
      <w:r w:rsidRPr="00B27A44">
        <w:tab/>
      </w:r>
      <w:r w:rsidRPr="00B27A44">
        <w:tab/>
        <w:t>(ADEP)</w:t>
      </w:r>
      <w:r>
        <w:tab/>
      </w:r>
      <w:r>
        <w:tab/>
        <w:t>with attachments</w:t>
      </w:r>
    </w:p>
    <w:p w:rsidR="00CB2718" w:rsidRPr="00B27A44" w:rsidP="00CB2718" w14:paraId="33FF7044" w14:textId="77777777">
      <w:pPr>
        <w:spacing w:after="0"/>
      </w:pPr>
      <w:r w:rsidRPr="00B27A44">
        <w:t>Lisa Donaldson</w:t>
      </w:r>
      <w:r w:rsidRPr="00B27A44">
        <w:tab/>
      </w:r>
      <w:r w:rsidRPr="00B27A44">
        <w:tab/>
      </w:r>
      <w:r>
        <w:tab/>
      </w:r>
      <w:r w:rsidRPr="00B27A44">
        <w:t>(EMD)</w:t>
      </w:r>
      <w:r>
        <w:tab/>
      </w:r>
      <w:r>
        <w:tab/>
        <w:t xml:space="preserve">“  </w:t>
      </w:r>
      <w:r>
        <w:t>”</w:t>
      </w:r>
    </w:p>
    <w:p w:rsidR="00CB2718" w:rsidP="00CB2718" w14:paraId="6982A064" w14:textId="77777777">
      <w:pPr>
        <w:spacing w:after="0"/>
      </w:pPr>
      <w:r>
        <w:t xml:space="preserve">Stephanie </w:t>
      </w:r>
      <w:r>
        <w:t>Studds</w:t>
      </w:r>
      <w:r>
        <w:tab/>
      </w:r>
      <w:r>
        <w:tab/>
        <w:t>(EWD)</w:t>
      </w:r>
      <w:r>
        <w:tab/>
      </w:r>
      <w:r>
        <w:tab/>
        <w:t xml:space="preserve">“  </w:t>
      </w:r>
      <w:r>
        <w:t>”</w:t>
      </w:r>
    </w:p>
    <w:p w:rsidR="00CB2718" w:rsidP="00CB2718" w14:paraId="5350054D" w14:textId="77777777">
      <w:pPr>
        <w:spacing w:after="0"/>
      </w:pPr>
      <w:r>
        <w:t>William Davie</w:t>
      </w:r>
      <w:r>
        <w:tab/>
      </w:r>
      <w:r>
        <w:tab/>
      </w:r>
      <w:r>
        <w:tab/>
        <w:t>(ESMD)</w:t>
      </w:r>
      <w:r>
        <w:tab/>
      </w:r>
      <w:r>
        <w:tab/>
        <w:t xml:space="preserve">“  </w:t>
      </w:r>
      <w:r>
        <w:t>”</w:t>
      </w:r>
    </w:p>
    <w:p w:rsidR="00CB2718" w:rsidP="00CB2718" w14:paraId="3FE8472B" w14:textId="77777777">
      <w:pPr>
        <w:spacing w:after="0"/>
      </w:pPr>
      <w:r>
        <w:t>Thomas Smith</w:t>
      </w:r>
      <w:r>
        <w:tab/>
      </w:r>
      <w:r>
        <w:tab/>
      </w:r>
      <w:r>
        <w:tab/>
        <w:t>(EMD)</w:t>
      </w:r>
      <w:r>
        <w:tab/>
      </w:r>
      <w:r>
        <w:tab/>
        <w:t xml:space="preserve">“  </w:t>
      </w:r>
      <w:r>
        <w:t>”</w:t>
      </w:r>
    </w:p>
    <w:p w:rsidR="000D1165" w:rsidP="00CB2718" w14:paraId="52D379C2" w14:textId="0F43299A">
      <w:pPr>
        <w:spacing w:after="0"/>
      </w:pPr>
      <w:r>
        <w:t xml:space="preserve">Heidi </w:t>
      </w:r>
      <w:r>
        <w:t>St.Onge</w:t>
      </w:r>
      <w:r>
        <w:tab/>
      </w:r>
      <w:r>
        <w:tab/>
      </w:r>
      <w:r>
        <w:tab/>
        <w:t>(ADEP)</w:t>
      </w:r>
      <w:r>
        <w:tab/>
      </w:r>
      <w:r>
        <w:tab/>
        <w:t>“  “</w:t>
      </w:r>
    </w:p>
    <w:p w:rsidR="00CB2718" w:rsidRPr="00B27A44" w:rsidP="00CB2718" w14:paraId="4CFF218D" w14:textId="715B337F">
      <w:pPr>
        <w:spacing w:after="0"/>
      </w:pPr>
      <w:r w:rsidRPr="00B27A44">
        <w:t>Michelle Karlsson</w:t>
      </w:r>
      <w:r w:rsidRPr="00B27A44">
        <w:tab/>
      </w:r>
      <w:r w:rsidRPr="00B27A44">
        <w:tab/>
        <w:t>(EMD)</w:t>
      </w:r>
      <w:r>
        <w:tab/>
      </w:r>
      <w:r>
        <w:tab/>
        <w:t xml:space="preserve">“  </w:t>
      </w:r>
      <w:r>
        <w:t>”</w:t>
      </w:r>
    </w:p>
    <w:p w:rsidR="00CB2718" w:rsidRPr="00B27A44" w:rsidP="00CB2718" w14:paraId="72B6EB65" w14:textId="77777777">
      <w:pPr>
        <w:spacing w:after="0"/>
      </w:pPr>
      <w:r w:rsidRPr="00B27A44">
        <w:t>Jenna Morse</w:t>
      </w:r>
      <w:r w:rsidRPr="00B27A44">
        <w:tab/>
      </w:r>
      <w:r w:rsidRPr="00B27A44">
        <w:tab/>
      </w:r>
      <w:r w:rsidRPr="00B27A44">
        <w:tab/>
        <w:t>(EMD)</w:t>
      </w:r>
      <w:r>
        <w:tab/>
      </w:r>
      <w:r>
        <w:tab/>
        <w:t xml:space="preserve">“  </w:t>
      </w:r>
      <w:r>
        <w:t>”</w:t>
      </w:r>
    </w:p>
    <w:p w:rsidR="00CB2718" w:rsidRPr="00B27A44" w:rsidP="00CB2718" w14:paraId="6E718557" w14:textId="77777777">
      <w:pPr>
        <w:spacing w:after="0"/>
      </w:pPr>
      <w:r w:rsidRPr="00B27A44">
        <w:t>Jennifer Hunter Childs</w:t>
      </w:r>
      <w:r w:rsidRPr="00B27A44">
        <w:tab/>
      </w:r>
      <w:r>
        <w:tab/>
      </w:r>
      <w:r w:rsidRPr="00B27A44">
        <w:t>(ADRM</w:t>
      </w:r>
      <w:r>
        <w:t>)</w:t>
      </w:r>
      <w:r>
        <w:tab/>
      </w:r>
      <w:r>
        <w:tab/>
        <w:t xml:space="preserve">“  </w:t>
      </w:r>
      <w:r>
        <w:t>”</w:t>
      </w:r>
    </w:p>
    <w:p w:rsidR="00CB2718" w:rsidRPr="00B27A44" w:rsidP="00CB2718" w14:paraId="141539FE" w14:textId="77777777">
      <w:pPr>
        <w:spacing w:after="0"/>
      </w:pPr>
      <w:r w:rsidRPr="00B27A44">
        <w:t>Jasmine Luck</w:t>
      </w:r>
      <w:r w:rsidRPr="00B27A44">
        <w:tab/>
      </w:r>
      <w:r w:rsidRPr="00B27A44">
        <w:tab/>
      </w:r>
      <w:r w:rsidRPr="00B27A44">
        <w:tab/>
        <w:t>(</w:t>
      </w:r>
      <w:r>
        <w:t>ADRM)</w:t>
      </w:r>
      <w:r>
        <w:tab/>
      </w:r>
      <w:r>
        <w:tab/>
        <w:t xml:space="preserve">“  </w:t>
      </w:r>
      <w:r>
        <w:t>”</w:t>
      </w:r>
    </w:p>
    <w:p w:rsidR="00CB2718" w:rsidRPr="00B27A44" w:rsidP="00CB2718" w14:paraId="0D5E8198" w14:textId="77777777">
      <w:pPr>
        <w:spacing w:after="0"/>
      </w:pPr>
      <w:r w:rsidRPr="00B27A44">
        <w:t xml:space="preserve">Mary </w:t>
      </w:r>
      <w:r w:rsidRPr="00B27A44">
        <w:t>Lenaiyasa</w:t>
      </w:r>
      <w:r w:rsidRPr="00B27A44">
        <w:t xml:space="preserve"> </w:t>
      </w:r>
      <w:r w:rsidRPr="00B27A44">
        <w:tab/>
      </w:r>
      <w:r w:rsidRPr="00B27A44">
        <w:tab/>
      </w:r>
      <w:r>
        <w:tab/>
      </w:r>
      <w:r w:rsidRPr="00B27A44">
        <w:t>(PCO)</w:t>
      </w:r>
      <w:r>
        <w:tab/>
      </w:r>
      <w:r>
        <w:tab/>
        <w:t xml:space="preserve">“  </w:t>
      </w:r>
      <w:r>
        <w:t>”</w:t>
      </w:r>
    </w:p>
    <w:p w:rsidR="00CB2718" w:rsidRPr="006E044F" w:rsidP="00CB2718" w14:paraId="7D9E6028" w14:textId="77777777">
      <w:pPr>
        <w:spacing w:after="0"/>
      </w:pPr>
      <w:r w:rsidRPr="00B27A44">
        <w:t>Danielle Norman</w:t>
      </w:r>
      <w:r w:rsidRPr="00B27A44">
        <w:tab/>
      </w:r>
      <w:r w:rsidRPr="00B27A44">
        <w:tab/>
        <w:t>(PCO)</w:t>
      </w:r>
      <w:r>
        <w:tab/>
      </w:r>
      <w:r>
        <w:tab/>
        <w:t xml:space="preserve">“  </w:t>
      </w:r>
      <w:r>
        <w:t>”</w:t>
      </w:r>
    </w:p>
    <w:p w:rsidR="00542FE7" w:rsidP="007562FE" w14:paraId="679C29E3" w14:textId="0E01E727"/>
    <w:p w:rsidR="00CB2718" w:rsidP="007562FE" w14:paraId="4AEF7D4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701263"/>
    <w:multiLevelType w:val="hybridMultilevel"/>
    <w:tmpl w:val="CFF0A89C"/>
    <w:lvl w:ilvl="0">
      <w:start w:val="0"/>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
    <w:nsid w:val="50726917"/>
    <w:multiLevelType w:val="hybridMultilevel"/>
    <w:tmpl w:val="166C90F0"/>
    <w:lvl w:ilvl="0">
      <w:start w:val="0"/>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50AD30BC"/>
    <w:multiLevelType w:val="hybridMultilevel"/>
    <w:tmpl w:val="AB1C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6976E1"/>
    <w:multiLevelType w:val="hybridMultilevel"/>
    <w:tmpl w:val="34B0BCBC"/>
    <w:lvl w:ilvl="0">
      <w:start w:val="1"/>
      <w:numFmt w:val="bullet"/>
      <w:lvlText w:val=""/>
      <w:lvlJc w:val="left"/>
      <w:pPr>
        <w:ind w:left="1080" w:hanging="360"/>
      </w:pPr>
      <w:rPr>
        <w:rFonts w:ascii="Symbol" w:hAnsi="Symbol" w:hint="default"/>
      </w:rPr>
    </w:lvl>
    <w:lvl w:ilvl="1" w:tentative="1">
      <w:start w:val="1"/>
      <w:numFmt w:val="bullet"/>
      <w:lvlText w:val="o"/>
      <w:lvlJc w:val="left"/>
      <w:pPr>
        <w:ind w:left="2115" w:hanging="360"/>
      </w:pPr>
      <w:rPr>
        <w:rFonts w:ascii="Courier New" w:hAnsi="Courier New" w:cs="Courier New" w:hint="default"/>
      </w:rPr>
    </w:lvl>
    <w:lvl w:ilvl="2" w:tentative="1">
      <w:start w:val="1"/>
      <w:numFmt w:val="bullet"/>
      <w:lvlText w:val=""/>
      <w:lvlJc w:val="left"/>
      <w:pPr>
        <w:ind w:left="2835" w:hanging="360"/>
      </w:pPr>
      <w:rPr>
        <w:rFonts w:ascii="Wingdings" w:hAnsi="Wingdings" w:hint="default"/>
      </w:rPr>
    </w:lvl>
    <w:lvl w:ilvl="3" w:tentative="1">
      <w:start w:val="1"/>
      <w:numFmt w:val="bullet"/>
      <w:lvlText w:val=""/>
      <w:lvlJc w:val="left"/>
      <w:pPr>
        <w:ind w:left="3555" w:hanging="360"/>
      </w:pPr>
      <w:rPr>
        <w:rFonts w:ascii="Symbol" w:hAnsi="Symbol" w:hint="default"/>
      </w:rPr>
    </w:lvl>
    <w:lvl w:ilvl="4" w:tentative="1">
      <w:start w:val="1"/>
      <w:numFmt w:val="bullet"/>
      <w:lvlText w:val="o"/>
      <w:lvlJc w:val="left"/>
      <w:pPr>
        <w:ind w:left="4275" w:hanging="360"/>
      </w:pPr>
      <w:rPr>
        <w:rFonts w:ascii="Courier New" w:hAnsi="Courier New" w:cs="Courier New" w:hint="default"/>
      </w:rPr>
    </w:lvl>
    <w:lvl w:ilvl="5" w:tentative="1">
      <w:start w:val="1"/>
      <w:numFmt w:val="bullet"/>
      <w:lvlText w:val=""/>
      <w:lvlJc w:val="left"/>
      <w:pPr>
        <w:ind w:left="4995" w:hanging="360"/>
      </w:pPr>
      <w:rPr>
        <w:rFonts w:ascii="Wingdings" w:hAnsi="Wingdings" w:hint="default"/>
      </w:rPr>
    </w:lvl>
    <w:lvl w:ilvl="6" w:tentative="1">
      <w:start w:val="1"/>
      <w:numFmt w:val="bullet"/>
      <w:lvlText w:val=""/>
      <w:lvlJc w:val="left"/>
      <w:pPr>
        <w:ind w:left="5715" w:hanging="360"/>
      </w:pPr>
      <w:rPr>
        <w:rFonts w:ascii="Symbol" w:hAnsi="Symbol" w:hint="default"/>
      </w:rPr>
    </w:lvl>
    <w:lvl w:ilvl="7" w:tentative="1">
      <w:start w:val="1"/>
      <w:numFmt w:val="bullet"/>
      <w:lvlText w:val="o"/>
      <w:lvlJc w:val="left"/>
      <w:pPr>
        <w:ind w:left="6435" w:hanging="360"/>
      </w:pPr>
      <w:rPr>
        <w:rFonts w:ascii="Courier New" w:hAnsi="Courier New" w:cs="Courier New" w:hint="default"/>
      </w:rPr>
    </w:lvl>
    <w:lvl w:ilvl="8" w:tentative="1">
      <w:start w:val="1"/>
      <w:numFmt w:val="bullet"/>
      <w:lvlText w:val=""/>
      <w:lvlJc w:val="left"/>
      <w:pPr>
        <w:ind w:left="7155" w:hanging="360"/>
      </w:pPr>
      <w:rPr>
        <w:rFonts w:ascii="Wingdings" w:hAnsi="Wingdings" w:hint="default"/>
      </w:rPr>
    </w:lvl>
  </w:abstractNum>
  <w:num w:numId="1" w16cid:durableId="1377393559">
    <w:abstractNumId w:val="1"/>
  </w:num>
  <w:num w:numId="2" w16cid:durableId="1677882114">
    <w:abstractNumId w:val="0"/>
  </w:num>
  <w:num w:numId="3" w16cid:durableId="808010901">
    <w:abstractNumId w:val="3"/>
  </w:num>
  <w:num w:numId="4" w16cid:durableId="16694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FE"/>
    <w:rsid w:val="00005AE1"/>
    <w:rsid w:val="000858CF"/>
    <w:rsid w:val="000D1165"/>
    <w:rsid w:val="001031C4"/>
    <w:rsid w:val="001360A2"/>
    <w:rsid w:val="001600A1"/>
    <w:rsid w:val="00186272"/>
    <w:rsid w:val="001C78EE"/>
    <w:rsid w:val="00202E53"/>
    <w:rsid w:val="002162C6"/>
    <w:rsid w:val="002C2D63"/>
    <w:rsid w:val="002C4EC5"/>
    <w:rsid w:val="002E708D"/>
    <w:rsid w:val="00312556"/>
    <w:rsid w:val="003A3C5F"/>
    <w:rsid w:val="003C64B8"/>
    <w:rsid w:val="00425E6D"/>
    <w:rsid w:val="00542FE7"/>
    <w:rsid w:val="005D577B"/>
    <w:rsid w:val="00610D48"/>
    <w:rsid w:val="0063030A"/>
    <w:rsid w:val="00635480"/>
    <w:rsid w:val="006A70B7"/>
    <w:rsid w:val="006E044F"/>
    <w:rsid w:val="006E11DC"/>
    <w:rsid w:val="006E7A41"/>
    <w:rsid w:val="00753F53"/>
    <w:rsid w:val="007562FE"/>
    <w:rsid w:val="00781C7B"/>
    <w:rsid w:val="008535A1"/>
    <w:rsid w:val="008653E6"/>
    <w:rsid w:val="0087423B"/>
    <w:rsid w:val="008B2073"/>
    <w:rsid w:val="00A3319A"/>
    <w:rsid w:val="00A91187"/>
    <w:rsid w:val="00AE3045"/>
    <w:rsid w:val="00B05973"/>
    <w:rsid w:val="00B27A44"/>
    <w:rsid w:val="00B5082C"/>
    <w:rsid w:val="00BB6572"/>
    <w:rsid w:val="00C128F1"/>
    <w:rsid w:val="00C12A3D"/>
    <w:rsid w:val="00C2005B"/>
    <w:rsid w:val="00C2423E"/>
    <w:rsid w:val="00C73D13"/>
    <w:rsid w:val="00CB2718"/>
    <w:rsid w:val="00CF2BF3"/>
    <w:rsid w:val="00DB5A34"/>
    <w:rsid w:val="00E14C14"/>
    <w:rsid w:val="00EF24CB"/>
    <w:rsid w:val="00F040F1"/>
    <w:rsid w:val="00F85E5F"/>
    <w:rsid w:val="00FB43E3"/>
    <w:rsid w:val="00FC6D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F29EE"/>
  <w15:chartTrackingRefBased/>
  <w15:docId w15:val="{1E3F3511-F3F5-441E-AB8D-46960B84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2FE"/>
    <w:pPr>
      <w:ind w:left="720"/>
      <w:contextualSpacing/>
    </w:pPr>
  </w:style>
  <w:style w:type="paragraph" w:styleId="Caption">
    <w:name w:val="caption"/>
    <w:basedOn w:val="Normal"/>
    <w:next w:val="Normal"/>
    <w:uiPriority w:val="35"/>
    <w:unhideWhenUsed/>
    <w:qFormat/>
    <w:rsid w:val="0087423B"/>
    <w:pPr>
      <w:spacing w:after="200" w:line="240" w:lineRule="auto"/>
    </w:pPr>
    <w:rPr>
      <w:i/>
      <w:iCs/>
      <w:color w:val="44546A" w:themeColor="text2"/>
      <w:sz w:val="18"/>
      <w:szCs w:val="18"/>
    </w:rPr>
  </w:style>
  <w:style w:type="table" w:styleId="TableGrid">
    <w:name w:val="Table Grid"/>
    <w:basedOn w:val="TableNormal"/>
    <w:uiPriority w:val="39"/>
    <w:rsid w:val="00FB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3D13"/>
    <w:rPr>
      <w:sz w:val="16"/>
      <w:szCs w:val="16"/>
    </w:rPr>
  </w:style>
  <w:style w:type="paragraph" w:styleId="CommentText">
    <w:name w:val="annotation text"/>
    <w:basedOn w:val="Normal"/>
    <w:link w:val="CommentTextChar"/>
    <w:uiPriority w:val="99"/>
    <w:semiHidden/>
    <w:unhideWhenUsed/>
    <w:rsid w:val="00C73D13"/>
    <w:pPr>
      <w:spacing w:line="240" w:lineRule="auto"/>
    </w:pPr>
    <w:rPr>
      <w:sz w:val="20"/>
      <w:szCs w:val="20"/>
    </w:rPr>
  </w:style>
  <w:style w:type="character" w:customStyle="1" w:styleId="CommentTextChar">
    <w:name w:val="Comment Text Char"/>
    <w:basedOn w:val="DefaultParagraphFont"/>
    <w:link w:val="CommentText"/>
    <w:uiPriority w:val="99"/>
    <w:semiHidden/>
    <w:rsid w:val="00C73D13"/>
    <w:rPr>
      <w:sz w:val="20"/>
      <w:szCs w:val="20"/>
    </w:rPr>
  </w:style>
  <w:style w:type="paragraph" w:styleId="CommentSubject">
    <w:name w:val="annotation subject"/>
    <w:basedOn w:val="CommentText"/>
    <w:next w:val="CommentText"/>
    <w:link w:val="CommentSubjectChar"/>
    <w:uiPriority w:val="99"/>
    <w:semiHidden/>
    <w:unhideWhenUsed/>
    <w:rsid w:val="00C73D13"/>
    <w:rPr>
      <w:b/>
      <w:bCs/>
    </w:rPr>
  </w:style>
  <w:style w:type="character" w:customStyle="1" w:styleId="CommentSubjectChar">
    <w:name w:val="Comment Subject Char"/>
    <w:basedOn w:val="CommentTextChar"/>
    <w:link w:val="CommentSubject"/>
    <w:uiPriority w:val="99"/>
    <w:semiHidden/>
    <w:rsid w:val="00C73D13"/>
    <w:rPr>
      <w:b/>
      <w:bCs/>
      <w:sz w:val="20"/>
      <w:szCs w:val="20"/>
    </w:rPr>
  </w:style>
  <w:style w:type="paragraph" w:styleId="Revision">
    <w:name w:val="Revision"/>
    <w:hidden/>
    <w:uiPriority w:val="99"/>
    <w:semiHidden/>
    <w:rsid w:val="00781C7B"/>
    <w:pPr>
      <w:spacing w:after="0" w:line="240" w:lineRule="auto"/>
    </w:pPr>
  </w:style>
  <w:style w:type="paragraph" w:styleId="FootnoteText">
    <w:name w:val="footnote text"/>
    <w:basedOn w:val="Normal"/>
    <w:link w:val="FootnoteTextChar"/>
    <w:uiPriority w:val="99"/>
    <w:semiHidden/>
    <w:unhideWhenUsed/>
    <w:rsid w:val="00CB2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718"/>
    <w:rPr>
      <w:sz w:val="20"/>
      <w:szCs w:val="20"/>
    </w:rPr>
  </w:style>
  <w:style w:type="character" w:styleId="FootnoteReference">
    <w:name w:val="footnote reference"/>
    <w:basedOn w:val="DefaultParagraphFont"/>
    <w:uiPriority w:val="99"/>
    <w:semiHidden/>
    <w:unhideWhenUsed/>
    <w:rsid w:val="00CB2718"/>
    <w:rPr>
      <w:vertAlign w:val="superscript"/>
    </w:rPr>
  </w:style>
  <w:style w:type="paragraph" w:styleId="NoSpacing">
    <w:name w:val="No Spacing"/>
    <w:uiPriority w:val="1"/>
    <w:qFormat/>
    <w:rsid w:val="00CB27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1F02-F8E3-424B-96C6-5F49A9F0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(CENSUS/EMD FED)</dc:creator>
  <cp:lastModifiedBy>Jasmine Luck (CENSUS/CBSM FED)</cp:lastModifiedBy>
  <cp:revision>3</cp:revision>
  <dcterms:created xsi:type="dcterms:W3CDTF">2023-01-27T13:54:00Z</dcterms:created>
  <dcterms:modified xsi:type="dcterms:W3CDTF">2023-01-30T13:15:00Z</dcterms:modified>
</cp:coreProperties>
</file>