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83D20" w:rsidRPr="003D4F09" w:rsidP="00983D20" w14:paraId="6850FD62" w14:textId="77777777">
      <w:pPr>
        <w:rPr>
          <w:rFonts w:asciiTheme="majorHAnsi" w:hAnsiTheme="majorHAnsi"/>
          <w:b/>
          <w:bCs/>
          <w:sz w:val="22"/>
          <w:szCs w:val="22"/>
        </w:rPr>
      </w:pPr>
      <w:r w:rsidRPr="4BEB9A81">
        <w:rPr>
          <w:rFonts w:asciiTheme="majorHAnsi" w:hAnsiTheme="majorHAnsi"/>
          <w:b/>
          <w:bCs/>
          <w:sz w:val="22"/>
          <w:szCs w:val="22"/>
        </w:rPr>
        <w:t>12/0</w:t>
      </w:r>
      <w:r>
        <w:rPr>
          <w:rFonts w:asciiTheme="majorHAnsi" w:hAnsiTheme="majorHAnsi"/>
          <w:b/>
          <w:bCs/>
          <w:sz w:val="22"/>
          <w:szCs w:val="22"/>
        </w:rPr>
        <w:t>8</w:t>
      </w:r>
      <w:r w:rsidRPr="4BEB9A81">
        <w:rPr>
          <w:rFonts w:asciiTheme="majorHAnsi" w:hAnsiTheme="majorHAnsi"/>
          <w:b/>
          <w:bCs/>
          <w:sz w:val="22"/>
          <w:szCs w:val="22"/>
        </w:rPr>
        <w:t>/2023</w:t>
      </w:r>
    </w:p>
    <w:p w:rsidR="00983D20" w:rsidRPr="003D4F09" w:rsidP="00983D20" w14:paraId="061596A3" w14:textId="77777777">
      <w:pPr>
        <w:rPr>
          <w:rFonts w:asciiTheme="majorHAnsi" w:hAnsiTheme="majorHAnsi"/>
          <w:sz w:val="22"/>
          <w:szCs w:val="22"/>
        </w:rPr>
      </w:pPr>
      <w:bookmarkStart w:id="0" w:name="_Int_OFjRa4eQ"/>
      <w:r w:rsidRPr="4BEB9A81">
        <w:rPr>
          <w:rFonts w:asciiTheme="majorHAnsi" w:hAnsiTheme="majorHAnsi"/>
          <w:b/>
          <w:bCs/>
          <w:sz w:val="22"/>
          <w:szCs w:val="22"/>
        </w:rPr>
        <w:t>EDA</w:t>
      </w:r>
      <w:bookmarkEnd w:id="0"/>
      <w:r w:rsidRPr="4BEB9A81">
        <w:rPr>
          <w:rFonts w:asciiTheme="majorHAnsi" w:hAnsiTheme="majorHAnsi"/>
          <w:b/>
          <w:bCs/>
          <w:sz w:val="22"/>
          <w:szCs w:val="22"/>
        </w:rPr>
        <w:t xml:space="preserve"> Build Back Better Regional Challenge</w:t>
      </w:r>
      <w:r w:rsidRPr="4BEB9A81">
        <w:rPr>
          <w:rFonts w:asciiTheme="majorHAnsi" w:hAnsiTheme="majorHAnsi"/>
          <w:sz w:val="22"/>
          <w:szCs w:val="22"/>
        </w:rPr>
        <w:t>  </w:t>
      </w:r>
      <w:r>
        <w:rPr>
          <w:rFonts w:asciiTheme="majorHAnsi" w:hAnsiTheme="majorHAnsi"/>
          <w:sz w:val="22"/>
          <w:szCs w:val="22"/>
        </w:rPr>
        <w:t>- Regional Impact Data Collection</w:t>
      </w:r>
    </w:p>
    <w:p w:rsidR="00983D20" w:rsidP="00983D20" w14:paraId="05408C43" w14:textId="77777777">
      <w:pPr>
        <w:rPr>
          <w:rFonts w:asciiTheme="majorHAnsi" w:hAnsiTheme="majorHAnsi"/>
          <w:b/>
          <w:bCs/>
          <w:sz w:val="22"/>
          <w:szCs w:val="22"/>
        </w:rPr>
      </w:pPr>
      <w:r w:rsidRPr="4BEB9A81">
        <w:rPr>
          <w:rFonts w:asciiTheme="majorHAnsi" w:hAnsiTheme="majorHAnsi"/>
          <w:b/>
          <w:bCs/>
          <w:sz w:val="22"/>
          <w:szCs w:val="22"/>
        </w:rPr>
        <w:t>OMB Control Number: 0610-0110</w:t>
      </w:r>
    </w:p>
    <w:p w:rsidR="00983D20" w:rsidP="00983D20" w14:paraId="18519DCA" w14:textId="77777777">
      <w:pPr>
        <w:rPr>
          <w:rFonts w:asciiTheme="majorHAnsi" w:hAnsiTheme="majorHAnsi"/>
          <w:b/>
          <w:bCs/>
          <w:sz w:val="22"/>
          <w:szCs w:val="22"/>
        </w:rPr>
      </w:pPr>
    </w:p>
    <w:p w:rsidR="00983D20" w:rsidRPr="003D4F09" w:rsidP="00983D20" w14:paraId="0E1F11BF" w14:textId="77777777">
      <w:pPr>
        <w:rPr>
          <w:rFonts w:asciiTheme="majorHAnsi" w:hAnsiTheme="majorHAnsi"/>
          <w:sz w:val="22"/>
          <w:szCs w:val="22"/>
        </w:rPr>
      </w:pPr>
      <w:r w:rsidRPr="003D4F09">
        <w:rPr>
          <w:rFonts w:asciiTheme="majorHAnsi" w:hAnsiTheme="majorHAnsi"/>
          <w:b/>
          <w:bCs/>
          <w:sz w:val="22"/>
          <w:szCs w:val="22"/>
        </w:rPr>
        <w:t>Proposed Survey Updates:</w:t>
      </w:r>
      <w:r w:rsidRPr="003D4F09">
        <w:rPr>
          <w:rFonts w:asciiTheme="majorHAnsi" w:hAnsiTheme="majorHAnsi"/>
          <w:sz w:val="22"/>
          <w:szCs w:val="22"/>
        </w:rPr>
        <w:t> </w:t>
      </w:r>
    </w:p>
    <w:p w:rsidR="00983D20" w:rsidP="00983D20" w14:paraId="58F88B2D" w14:textId="77777777">
      <w:pPr>
        <w:pStyle w:val="NormalWeb"/>
        <w:rPr>
          <w:rFonts w:asciiTheme="majorHAnsi" w:hAnsiTheme="majorHAnsi" w:cstheme="majorBidi"/>
          <w:b/>
          <w:bCs/>
          <w:color w:val="000000" w:themeColor="text1"/>
          <w:sz w:val="22"/>
          <w:szCs w:val="22"/>
        </w:rPr>
      </w:pPr>
      <w:r w:rsidRPr="4C25E25E">
        <w:rPr>
          <w:rFonts w:asciiTheme="majorHAnsi" w:hAnsiTheme="majorHAnsi" w:cstheme="majorBidi"/>
          <w:b/>
          <w:bCs/>
          <w:color w:val="000000" w:themeColor="text1"/>
          <w:sz w:val="22"/>
          <w:szCs w:val="22"/>
        </w:rPr>
        <w:t>We have concluded the third quarter of</w:t>
      </w:r>
      <w:r>
        <w:rPr>
          <w:rFonts w:asciiTheme="majorHAnsi" w:hAnsiTheme="majorHAnsi" w:cstheme="majorBidi"/>
          <w:b/>
          <w:bCs/>
          <w:color w:val="000000" w:themeColor="text1"/>
          <w:sz w:val="22"/>
          <w:szCs w:val="22"/>
        </w:rPr>
        <w:t xml:space="preserve"> data collection with</w:t>
      </w:r>
      <w:r w:rsidRPr="4C25E25E">
        <w:rPr>
          <w:rFonts w:asciiTheme="majorHAnsi" w:hAnsiTheme="majorHAnsi" w:cstheme="majorBidi"/>
          <w:b/>
          <w:bCs/>
          <w:color w:val="000000" w:themeColor="text1"/>
          <w:sz w:val="22"/>
          <w:szCs w:val="22"/>
        </w:rPr>
        <w:t xml:space="preserve"> this survey and have gathered feedback from coalitions</w:t>
      </w:r>
      <w:r>
        <w:rPr>
          <w:rFonts w:asciiTheme="majorHAnsi" w:hAnsiTheme="majorHAnsi" w:cstheme="majorBidi"/>
          <w:b/>
          <w:bCs/>
          <w:color w:val="000000" w:themeColor="text1"/>
          <w:sz w:val="22"/>
          <w:szCs w:val="22"/>
        </w:rPr>
        <w:t xml:space="preserve"> (respondents)</w:t>
      </w:r>
      <w:r w:rsidRPr="4C25E25E">
        <w:rPr>
          <w:rFonts w:asciiTheme="majorHAnsi" w:hAnsiTheme="majorHAnsi" w:cstheme="majorBidi"/>
          <w:b/>
          <w:bCs/>
          <w:color w:val="000000" w:themeColor="text1"/>
          <w:sz w:val="22"/>
          <w:szCs w:val="22"/>
        </w:rPr>
        <w:t xml:space="preserve"> and the EDA team regarding the enhancement of survey flow and clarity. The modifications listed below </w:t>
      </w:r>
      <w:r>
        <w:rPr>
          <w:rFonts w:asciiTheme="majorHAnsi" w:hAnsiTheme="majorHAnsi" w:cstheme="majorBidi"/>
          <w:b/>
          <w:bCs/>
          <w:color w:val="000000" w:themeColor="text1"/>
          <w:sz w:val="22"/>
          <w:szCs w:val="22"/>
        </w:rPr>
        <w:t>will</w:t>
      </w:r>
      <w:r w:rsidRPr="4C25E25E">
        <w:rPr>
          <w:rFonts w:asciiTheme="majorHAnsi" w:hAnsiTheme="majorHAnsi" w:cstheme="majorBidi"/>
          <w:b/>
          <w:bCs/>
          <w:color w:val="000000" w:themeColor="text1"/>
          <w:sz w:val="22"/>
          <w:szCs w:val="22"/>
        </w:rPr>
        <w:t xml:space="preserve"> not impact the essence of the survey or the data collection process significantly. </w:t>
      </w:r>
      <w:r>
        <w:rPr>
          <w:rFonts w:asciiTheme="majorHAnsi" w:hAnsiTheme="majorHAnsi" w:cstheme="majorBidi"/>
          <w:b/>
          <w:bCs/>
          <w:color w:val="000000" w:themeColor="text1"/>
          <w:sz w:val="22"/>
          <w:szCs w:val="22"/>
        </w:rPr>
        <w:t>Below is</w:t>
      </w:r>
      <w:r w:rsidRPr="4C25E25E">
        <w:rPr>
          <w:rFonts w:asciiTheme="majorHAnsi" w:hAnsiTheme="majorHAnsi" w:cstheme="majorBidi"/>
          <w:b/>
          <w:bCs/>
          <w:color w:val="000000" w:themeColor="text1"/>
          <w:sz w:val="22"/>
          <w:szCs w:val="22"/>
        </w:rPr>
        <w:t xml:space="preserve"> a concise explanation of each change made</w:t>
      </w:r>
      <w:r>
        <w:rPr>
          <w:rFonts w:asciiTheme="majorHAnsi" w:hAnsiTheme="majorHAnsi" w:cstheme="majorBidi"/>
          <w:b/>
          <w:bCs/>
          <w:color w:val="000000" w:themeColor="text1"/>
          <w:sz w:val="22"/>
          <w:szCs w:val="22"/>
        </w:rPr>
        <w:t xml:space="preserve"> to the existing OMB-approved survey (OMB Control Number 0610-0110)</w:t>
      </w:r>
      <w:r w:rsidRPr="4C25E25E">
        <w:rPr>
          <w:rFonts w:asciiTheme="majorHAnsi" w:hAnsiTheme="majorHAnsi" w:cstheme="majorBidi"/>
          <w:b/>
          <w:bCs/>
          <w:color w:val="000000" w:themeColor="text1"/>
          <w:sz w:val="22"/>
          <w:szCs w:val="22"/>
        </w:rPr>
        <w:t xml:space="preserve">, the existing survey question, and the reasoning behind </w:t>
      </w:r>
      <w:r>
        <w:rPr>
          <w:rFonts w:asciiTheme="majorHAnsi" w:hAnsiTheme="majorHAnsi" w:cstheme="majorBidi"/>
          <w:b/>
          <w:bCs/>
          <w:color w:val="000000" w:themeColor="text1"/>
          <w:sz w:val="22"/>
          <w:szCs w:val="22"/>
        </w:rPr>
        <w:t>the proposed change</w:t>
      </w:r>
      <w:r w:rsidRPr="4C25E25E">
        <w:rPr>
          <w:rFonts w:asciiTheme="majorHAnsi" w:hAnsiTheme="majorHAnsi" w:cstheme="majorBidi"/>
          <w:b/>
          <w:bCs/>
          <w:color w:val="000000" w:themeColor="text1"/>
          <w:sz w:val="22"/>
          <w:szCs w:val="22"/>
        </w:rPr>
        <w:t>.</w:t>
      </w:r>
    </w:p>
    <w:p w:rsidR="00983D20" w:rsidP="00983D20" w14:paraId="52001F6E" w14:textId="77777777">
      <w:pPr>
        <w:pStyle w:val="NormalWeb"/>
        <w:rPr>
          <w:rFonts w:asciiTheme="majorHAnsi" w:hAnsiTheme="majorHAnsi" w:cstheme="majorBidi"/>
          <w:sz w:val="22"/>
          <w:szCs w:val="22"/>
        </w:rPr>
      </w:pPr>
      <w:r w:rsidRPr="4C25E25E">
        <w:rPr>
          <w:rFonts w:asciiTheme="majorHAnsi" w:hAnsiTheme="majorHAnsi" w:cstheme="majorBidi"/>
          <w:sz w:val="22"/>
          <w:szCs w:val="22"/>
        </w:rPr>
        <w:t>1.</w:t>
      </w:r>
      <w:r w:rsidRPr="4C25E25E">
        <w:rPr>
          <w:rFonts w:asciiTheme="majorHAnsi" w:hAnsiTheme="majorHAnsi" w:cstheme="majorBidi"/>
          <w:b/>
          <w:bCs/>
          <w:sz w:val="22"/>
          <w:szCs w:val="22"/>
        </w:rPr>
        <w:t xml:space="preserve"> </w:t>
      </w:r>
      <w:r w:rsidRPr="4C25E25E">
        <w:rPr>
          <w:rFonts w:asciiTheme="majorHAnsi" w:hAnsiTheme="majorHAnsi" w:cstheme="majorBidi"/>
          <w:sz w:val="22"/>
          <w:szCs w:val="22"/>
        </w:rPr>
        <w:t xml:space="preserve">Combined Q13 and Q14 into </w:t>
      </w:r>
      <w:r>
        <w:rPr>
          <w:rFonts w:asciiTheme="majorHAnsi" w:hAnsiTheme="majorHAnsi" w:cstheme="majorBidi"/>
          <w:sz w:val="22"/>
          <w:szCs w:val="22"/>
        </w:rPr>
        <w:t xml:space="preserve">a </w:t>
      </w:r>
      <w:r w:rsidRPr="4C25E25E">
        <w:rPr>
          <w:rFonts w:asciiTheme="majorHAnsi" w:hAnsiTheme="majorHAnsi" w:cstheme="majorBidi"/>
          <w:sz w:val="22"/>
          <w:szCs w:val="22"/>
        </w:rPr>
        <w:t>tabled response</w:t>
      </w:r>
      <w:r>
        <w:rPr>
          <w:rFonts w:asciiTheme="majorHAnsi" w:hAnsiTheme="majorHAnsi" w:cstheme="majorBidi"/>
          <w:sz w:val="22"/>
          <w:szCs w:val="22"/>
        </w:rPr>
        <w:t>,</w:t>
      </w:r>
      <w:r w:rsidRPr="4C25E25E">
        <w:rPr>
          <w:rFonts w:asciiTheme="majorHAnsi" w:hAnsiTheme="majorHAnsi" w:cstheme="majorBidi"/>
          <w:sz w:val="22"/>
          <w:szCs w:val="22"/>
        </w:rPr>
        <w:t xml:space="preserve"> sorting workforce development efforts by program length, and participants and completions</w:t>
      </w:r>
      <w:r>
        <w:rPr>
          <w:rFonts w:asciiTheme="majorHAnsi" w:hAnsiTheme="majorHAnsi" w:cstheme="majorBidi"/>
          <w:sz w:val="22"/>
          <w:szCs w:val="22"/>
        </w:rPr>
        <w:t>.</w:t>
      </w:r>
    </w:p>
    <w:p w:rsidR="00983D20" w:rsidRPr="00D55DCA" w:rsidP="00983D20" w14:paraId="69C28FE2" w14:textId="77777777">
      <w:pPr>
        <w:pStyle w:val="NormalWeb"/>
        <w:ind w:firstLine="720"/>
        <w:rPr>
          <w:rFonts w:asciiTheme="majorHAnsi" w:hAnsiTheme="majorHAnsi" w:cstheme="majorBidi"/>
          <w:b/>
          <w:bCs/>
          <w:color w:val="000000"/>
          <w:sz w:val="22"/>
          <w:szCs w:val="22"/>
        </w:rPr>
      </w:pPr>
      <w:r>
        <w:rPr>
          <w:rFonts w:asciiTheme="majorHAnsi" w:hAnsiTheme="majorHAnsi" w:cstheme="majorBidi"/>
          <w:b/>
          <w:bCs/>
          <w:color w:val="000000" w:themeColor="text1"/>
          <w:sz w:val="22"/>
          <w:szCs w:val="22"/>
        </w:rPr>
        <w:t xml:space="preserve">Existing question: </w:t>
      </w:r>
      <w:r w:rsidRPr="4BEB9A81">
        <w:rPr>
          <w:rFonts w:asciiTheme="majorHAnsi" w:hAnsiTheme="majorHAnsi" w:cstheme="majorBidi"/>
          <w:b/>
          <w:bCs/>
          <w:color w:val="000000" w:themeColor="text1"/>
          <w:sz w:val="22"/>
          <w:szCs w:val="22"/>
        </w:rPr>
        <w:t xml:space="preserve">Q13 How many of the following workforce development efforts </w:t>
      </w:r>
      <w:bookmarkStart w:id="1" w:name="_Int_bL2aWgwf"/>
      <w:r w:rsidRPr="4BEB9A81">
        <w:rPr>
          <w:rFonts w:asciiTheme="majorHAnsi" w:hAnsiTheme="majorHAnsi" w:cstheme="majorBidi"/>
          <w:b/>
          <w:bCs/>
          <w:color w:val="000000" w:themeColor="text1"/>
          <w:sz w:val="22"/>
          <w:szCs w:val="22"/>
        </w:rPr>
        <w:t>directly related</w:t>
      </w:r>
      <w:bookmarkEnd w:id="1"/>
      <w:r w:rsidRPr="4BEB9A81">
        <w:rPr>
          <w:rFonts w:asciiTheme="majorHAnsi" w:hAnsiTheme="majorHAnsi" w:cstheme="majorBidi"/>
          <w:b/>
          <w:bCs/>
          <w:color w:val="000000" w:themeColor="text1"/>
          <w:sz w:val="22"/>
          <w:szCs w:val="22"/>
        </w:rPr>
        <w:t xml:space="preserve"> to the </w:t>
      </w:r>
      <w:bookmarkStart w:id="2" w:name="_Int_jlFAEc0P"/>
      <w:r w:rsidRPr="4BEB9A81">
        <w:rPr>
          <w:rFonts w:asciiTheme="majorHAnsi" w:hAnsiTheme="majorHAnsi" w:cstheme="majorBidi"/>
          <w:b/>
          <w:bCs/>
          <w:color w:val="000000" w:themeColor="text1"/>
          <w:sz w:val="22"/>
          <w:szCs w:val="22"/>
        </w:rPr>
        <w:t>BBBRC</w:t>
      </w:r>
      <w:bookmarkEnd w:id="2"/>
      <w:r w:rsidRPr="4BEB9A81">
        <w:rPr>
          <w:rFonts w:asciiTheme="majorHAnsi" w:hAnsiTheme="majorHAnsi" w:cstheme="majorBidi"/>
          <w:b/>
          <w:bCs/>
          <w:color w:val="000000" w:themeColor="text1"/>
          <w:sz w:val="22"/>
          <w:szCs w:val="22"/>
        </w:rPr>
        <w:t xml:space="preserve"> </w:t>
      </w:r>
      <w:r>
        <w:tab/>
      </w:r>
      <w:r w:rsidRPr="4BEB9A81">
        <w:rPr>
          <w:rFonts w:asciiTheme="majorHAnsi" w:hAnsiTheme="majorHAnsi" w:cstheme="majorBidi"/>
          <w:b/>
          <w:bCs/>
          <w:color w:val="000000" w:themeColor="text1"/>
          <w:sz w:val="22"/>
          <w:szCs w:val="22"/>
        </w:rPr>
        <w:t xml:space="preserve">efforts this past quarter were: Developed, Funded, Launched, Expanded </w:t>
      </w:r>
    </w:p>
    <w:p w:rsidR="00983D20" w:rsidRPr="006874F7" w:rsidP="00983D20" w14:paraId="6816B188" w14:textId="77777777">
      <w:pPr>
        <w:ind w:firstLine="720"/>
        <w:rPr>
          <w:rFonts w:asciiTheme="majorHAnsi" w:hAnsiTheme="majorHAnsi" w:cstheme="majorBidi"/>
          <w:b/>
          <w:bCs/>
          <w:sz w:val="22"/>
          <w:szCs w:val="22"/>
        </w:rPr>
      </w:pPr>
      <w:r>
        <w:rPr>
          <w:rFonts w:asciiTheme="majorHAnsi" w:hAnsiTheme="majorHAnsi" w:cstheme="majorBidi"/>
          <w:b/>
          <w:bCs/>
          <w:sz w:val="22"/>
          <w:szCs w:val="22"/>
        </w:rPr>
        <w:t xml:space="preserve">Existing question: </w:t>
      </w:r>
      <w:r w:rsidRPr="4BEB9A81">
        <w:rPr>
          <w:rFonts w:asciiTheme="majorHAnsi" w:hAnsiTheme="majorHAnsi" w:cstheme="majorBidi"/>
          <w:b/>
          <w:bCs/>
          <w:sz w:val="22"/>
          <w:szCs w:val="22"/>
        </w:rPr>
        <w:t>Q14 How many participants completed workforce training programs? If none, use 0 (zero). </w:t>
      </w:r>
    </w:p>
    <w:p w:rsidR="00983D20" w:rsidP="00983D20" w14:paraId="49A5A5D7" w14:textId="77777777">
      <w:pPr>
        <w:rPr>
          <w:rFonts w:asciiTheme="majorHAnsi" w:hAnsiTheme="majorHAnsi" w:cstheme="majorBidi"/>
          <w:sz w:val="22"/>
          <w:szCs w:val="22"/>
        </w:rPr>
      </w:pPr>
    </w:p>
    <w:p w:rsidR="00983D20" w:rsidRPr="009C77F7" w:rsidP="00983D20" w14:paraId="72D81779" w14:textId="77777777">
      <w:pPr>
        <w:ind w:firstLine="720"/>
        <w:rPr>
          <w:rFonts w:asciiTheme="majorHAnsi" w:hAnsiTheme="majorHAnsi"/>
          <w:sz w:val="22"/>
          <w:szCs w:val="22"/>
        </w:rPr>
      </w:pPr>
      <w:r w:rsidRPr="00E868DB">
        <w:rPr>
          <w:rFonts w:asciiTheme="majorHAnsi" w:hAnsiTheme="majorHAnsi"/>
          <w:b/>
          <w:bCs/>
          <w:sz w:val="22"/>
          <w:szCs w:val="22"/>
        </w:rPr>
        <w:t>Revised/Combined question:</w:t>
      </w:r>
      <w:r>
        <w:rPr>
          <w:rFonts w:asciiTheme="majorHAnsi" w:hAnsiTheme="majorHAnsi"/>
          <w:sz w:val="22"/>
          <w:szCs w:val="22"/>
        </w:rPr>
        <w:t xml:space="preserve"> </w:t>
      </w:r>
      <w:r w:rsidRPr="00E868DB">
        <w:rPr>
          <w:rFonts w:asciiTheme="majorHAnsi" w:hAnsiTheme="majorHAnsi"/>
          <w:b/>
          <w:bCs/>
          <w:sz w:val="22"/>
          <w:szCs w:val="22"/>
        </w:rPr>
        <w:t>Q13</w:t>
      </w:r>
      <w:r w:rsidRPr="009C77F7">
        <w:rPr>
          <w:rFonts w:asciiTheme="majorHAnsi" w:hAnsiTheme="majorHAnsi"/>
          <w:sz w:val="22"/>
          <w:szCs w:val="22"/>
        </w:rPr>
        <w:t xml:space="preserve"> Provide the counts of participants and completions in workforce training programs by length of program in the table below. Workforce training programs may include any activity (training, course, credential program, etc.) that aims to increase the knowledge and skills of program participants in a vocation.</w:t>
      </w:r>
      <w:r w:rsidRPr="009C77F7">
        <w:rPr>
          <w:rFonts w:asciiTheme="majorHAnsi" w:hAnsiTheme="majorHAnsi"/>
          <w:sz w:val="22"/>
          <w:szCs w:val="22"/>
        </w:rPr>
        <w:br/>
      </w:r>
      <w:r w:rsidRPr="009C77F7">
        <w:rPr>
          <w:rFonts w:asciiTheme="majorHAnsi" w:hAnsiTheme="majorHAnsi"/>
          <w:sz w:val="22"/>
          <w:szCs w:val="22"/>
        </w:rPr>
        <w:br/>
        <w:t>Participants should include any newly enrolled participant in any activity including but not limited to a training, course, or credential program. If programming began and ended within this past quarter, please include count in both columns.</w:t>
      </w:r>
    </w:p>
    <w:p w:rsidR="00983D20" w:rsidP="00983D20" w14:paraId="67096C26" w14:textId="77777777">
      <w:pPr>
        <w:ind w:firstLine="720"/>
        <w:rPr>
          <w:rFonts w:asciiTheme="majorHAnsi" w:hAnsiTheme="majorHAnsi"/>
          <w:sz w:val="22"/>
          <w:szCs w:val="22"/>
        </w:rPr>
      </w:pPr>
    </w:p>
    <w:tbl>
      <w:tblPr>
        <w:tblpPr w:leftFromText="180" w:rightFromText="180" w:vertAnchor="text" w:horzAnchor="page" w:tblpX="2272" w:tblpY="2"/>
        <w:tblW w:w="0" w:type="auto"/>
        <w:tblLayout w:type="fixed"/>
        <w:tblLook w:val="06A0"/>
      </w:tblPr>
      <w:tblGrid>
        <w:gridCol w:w="1800"/>
        <w:gridCol w:w="1800"/>
        <w:gridCol w:w="1800"/>
      </w:tblGrid>
      <w:tr w14:paraId="4175C326"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6F86DCEC" w14:textId="77777777">
            <w:pPr>
              <w:rPr>
                <w:rFonts w:ascii="Aptos" w:eastAsia="Aptos" w:hAnsi="Aptos" w:cs="Aptos"/>
                <w:b/>
                <w:bCs/>
                <w:color w:val="000000" w:themeColor="text1"/>
                <w:sz w:val="22"/>
                <w:szCs w:val="22"/>
              </w:rPr>
            </w:pPr>
            <w:r w:rsidRPr="4C25E25E">
              <w:rPr>
                <w:rFonts w:ascii="Aptos" w:eastAsia="Aptos" w:hAnsi="Aptos" w:cs="Aptos"/>
                <w:b/>
                <w:bCs/>
                <w:color w:val="000000" w:themeColor="text1"/>
                <w:sz w:val="22"/>
                <w:szCs w:val="22"/>
              </w:rPr>
              <w:t>Length of Program</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23D631E3"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Participants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6B449785"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Completions</w:t>
            </w:r>
          </w:p>
        </w:tc>
      </w:tr>
      <w:tr w14:paraId="33E37552"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5DCC7021"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Less than 1 month</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06F68E57"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3BBF45BF" w14:textId="77777777">
            <w:r>
              <w:br/>
            </w:r>
          </w:p>
        </w:tc>
      </w:tr>
      <w:tr w14:paraId="24AAC61A"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3818A8D3"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1-2 months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25117EEB"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2B3ED62A" w14:textId="77777777">
            <w:r>
              <w:br/>
            </w:r>
          </w:p>
        </w:tc>
      </w:tr>
      <w:tr w14:paraId="13B13150"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467E99CE"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3-6 months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01DF3CD2"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6C2CF49E" w14:textId="77777777">
            <w:r>
              <w:br/>
            </w:r>
          </w:p>
        </w:tc>
      </w:tr>
      <w:tr w14:paraId="4B32C9EA"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0FBD8170"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7-12 months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741B6214"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598E828A" w14:textId="77777777">
            <w:r>
              <w:br/>
            </w:r>
          </w:p>
        </w:tc>
      </w:tr>
    </w:tbl>
    <w:p w:rsidR="00983D20" w14:paraId="37D7921D" w14:textId="77777777"/>
    <w:p w:rsidR="00983D20" w:rsidRPr="00983D20" w:rsidP="00983D20" w14:paraId="3022E481" w14:textId="77777777"/>
    <w:p w:rsidR="00983D20" w:rsidRPr="00983D20" w:rsidP="00983D20" w14:paraId="66B32192" w14:textId="77777777"/>
    <w:p w:rsidR="00983D20" w:rsidRPr="00983D20" w:rsidP="00983D20" w14:paraId="1FEB5E98" w14:textId="77777777"/>
    <w:p w:rsidR="00983D20" w:rsidRPr="00983D20" w:rsidP="00983D20" w14:paraId="323CBF9F" w14:textId="77777777"/>
    <w:p w:rsidR="00983D20" w:rsidRPr="00983D20" w:rsidP="00983D20" w14:paraId="342EAD50" w14:textId="77777777"/>
    <w:p w:rsidR="00983D20" w:rsidRPr="00983D20" w:rsidP="00983D20" w14:paraId="23A8AA7B" w14:textId="77777777"/>
    <w:p w:rsidR="00983D20" w:rsidRPr="00983D20" w:rsidP="00983D20" w14:paraId="727CE69C" w14:textId="77777777"/>
    <w:p w:rsidR="00983D20" w:rsidRPr="00983D20" w:rsidP="00983D20" w14:paraId="123BD0D9" w14:textId="77777777"/>
    <w:p w:rsidR="00983D20" w:rsidP="00983D20" w14:paraId="5C0E5CD7" w14:textId="77777777"/>
    <w:tbl>
      <w:tblPr>
        <w:tblpPr w:leftFromText="180" w:rightFromText="180" w:vertAnchor="text" w:horzAnchor="page" w:tblpX="2272" w:tblpY="2"/>
        <w:tblW w:w="0" w:type="auto"/>
        <w:tblLayout w:type="fixed"/>
        <w:tblLook w:val="06A0"/>
      </w:tblPr>
      <w:tblGrid>
        <w:gridCol w:w="1800"/>
        <w:gridCol w:w="1800"/>
        <w:gridCol w:w="1800"/>
      </w:tblGrid>
      <w:tr w14:paraId="33B640CD"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19E8E5EC"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13-24 months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16C95877"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45539CE1" w14:textId="77777777">
            <w:r>
              <w:br/>
            </w:r>
          </w:p>
        </w:tc>
      </w:tr>
      <w:tr w14:paraId="24674D65"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71E0C2E0"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25-36 months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56A0F360"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77A58835" w14:textId="77777777">
            <w:r>
              <w:br/>
            </w:r>
          </w:p>
        </w:tc>
      </w:tr>
      <w:tr w14:paraId="2A439837" w14:textId="77777777" w:rsidTr="008C4C44">
        <w:tblPrEx>
          <w:tblW w:w="0" w:type="auto"/>
          <w:tblLayout w:type="fixed"/>
          <w:tblLook w:val="06A0"/>
        </w:tblPrEx>
        <w:trPr>
          <w:trHeight w:val="330"/>
        </w:trPr>
        <w:tc>
          <w:tcPr>
            <w:tcW w:w="1800" w:type="dxa"/>
            <w:tcBorders>
              <w:top w:val="single" w:sz="6" w:space="0" w:color="ABABAB"/>
              <w:left w:val="single" w:sz="6" w:space="0" w:color="ABABAB"/>
              <w:bottom w:val="single" w:sz="6" w:space="0" w:color="ABABAB"/>
              <w:right w:val="single" w:sz="6" w:space="0" w:color="ABABAB"/>
            </w:tcBorders>
          </w:tcPr>
          <w:p w:rsidR="00983D20" w:rsidP="008C4C44" w14:paraId="2A10E426" w14:textId="77777777">
            <w:pPr>
              <w:rPr>
                <w:rFonts w:ascii="Aptos" w:eastAsia="Aptos" w:hAnsi="Aptos" w:cs="Aptos"/>
                <w:color w:val="000000" w:themeColor="text1"/>
                <w:sz w:val="22"/>
                <w:szCs w:val="22"/>
              </w:rPr>
            </w:pPr>
            <w:r w:rsidRPr="4C25E25E">
              <w:rPr>
                <w:rFonts w:ascii="Aptos" w:eastAsia="Aptos" w:hAnsi="Aptos" w:cs="Aptos"/>
                <w:color w:val="000000" w:themeColor="text1"/>
                <w:sz w:val="22"/>
                <w:szCs w:val="22"/>
              </w:rPr>
              <w:t>37+ months</w:t>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650D5214" w14:textId="77777777">
            <w:r>
              <w:br/>
            </w:r>
          </w:p>
        </w:tc>
        <w:tc>
          <w:tcPr>
            <w:tcW w:w="1800" w:type="dxa"/>
            <w:tcBorders>
              <w:top w:val="single" w:sz="6" w:space="0" w:color="ABABAB"/>
              <w:left w:val="single" w:sz="6" w:space="0" w:color="ABABAB"/>
              <w:bottom w:val="single" w:sz="6" w:space="0" w:color="ABABAB"/>
              <w:right w:val="single" w:sz="6" w:space="0" w:color="ABABAB"/>
            </w:tcBorders>
          </w:tcPr>
          <w:p w:rsidR="00983D20" w:rsidP="008C4C44" w14:paraId="4B12C605" w14:textId="77777777">
            <w:r>
              <w:br/>
            </w:r>
          </w:p>
        </w:tc>
      </w:tr>
    </w:tbl>
    <w:p w:rsidR="00983D20" w:rsidP="00983D20" w14:paraId="34B22BC3" w14:textId="77777777"/>
    <w:p w:rsidR="00983D20" w:rsidP="00983D20" w14:paraId="535E1F48" w14:textId="77777777">
      <w:pPr>
        <w:ind w:firstLine="720"/>
        <w:rPr>
          <w:rFonts w:asciiTheme="majorHAnsi" w:hAnsiTheme="majorHAnsi"/>
          <w:sz w:val="22"/>
          <w:szCs w:val="22"/>
        </w:rPr>
      </w:pPr>
    </w:p>
    <w:p w:rsidR="00983D20" w:rsidP="00983D20" w14:paraId="5CE2FC46" w14:textId="77777777">
      <w:pPr>
        <w:ind w:firstLine="720"/>
        <w:rPr>
          <w:rFonts w:asciiTheme="majorHAnsi" w:hAnsiTheme="majorHAnsi"/>
          <w:sz w:val="22"/>
          <w:szCs w:val="22"/>
        </w:rPr>
      </w:pPr>
    </w:p>
    <w:p w:rsidR="00983D20" w:rsidP="00983D20" w14:paraId="0AF4F195" w14:textId="77777777">
      <w:pPr>
        <w:ind w:firstLine="720"/>
        <w:rPr>
          <w:rFonts w:asciiTheme="majorHAnsi" w:hAnsiTheme="majorHAnsi"/>
          <w:sz w:val="22"/>
          <w:szCs w:val="22"/>
        </w:rPr>
      </w:pPr>
    </w:p>
    <w:p w:rsidR="00983D20" w:rsidRPr="00E01C3A" w:rsidP="00983D20" w14:paraId="08001161" w14:textId="77777777">
      <w:pPr>
        <w:ind w:firstLine="720"/>
        <w:rPr>
          <w:rFonts w:ascii="Calibri" w:eastAsia="Calibri" w:hAnsi="Calibri" w:cs="Calibri"/>
          <w:sz w:val="22"/>
          <w:szCs w:val="22"/>
        </w:rPr>
      </w:pPr>
      <w:r w:rsidRPr="00E868DB">
        <w:rPr>
          <w:rFonts w:asciiTheme="majorHAnsi" w:hAnsiTheme="majorHAnsi"/>
          <w:b/>
          <w:bCs/>
          <w:sz w:val="22"/>
          <w:szCs w:val="22"/>
        </w:rPr>
        <w:t>Justification for the change</w:t>
      </w:r>
      <w:r w:rsidRPr="4C25E25E">
        <w:rPr>
          <w:rFonts w:asciiTheme="majorHAnsi" w:hAnsiTheme="majorHAnsi"/>
          <w:sz w:val="22"/>
          <w:szCs w:val="22"/>
        </w:rPr>
        <w:t xml:space="preserve">: Feedback received from coalitions indicated that their workforce development efforts were not fully reflected or being captured with the current wording. </w:t>
      </w:r>
      <w:r w:rsidRPr="4C25E25E">
        <w:rPr>
          <w:rFonts w:ascii="Aptos" w:eastAsia="Aptos" w:hAnsi="Aptos" w:cs="Aptos"/>
          <w:color w:val="000000" w:themeColor="text1"/>
          <w:sz w:val="22"/>
          <w:szCs w:val="22"/>
        </w:rPr>
        <w:t xml:space="preserve"> This revised question and answer format very closely resembles the </w:t>
      </w:r>
      <w:r>
        <w:rPr>
          <w:rFonts w:ascii="Aptos" w:eastAsia="Aptos" w:hAnsi="Aptos" w:cs="Aptos"/>
          <w:color w:val="000000" w:themeColor="text1"/>
          <w:sz w:val="22"/>
          <w:szCs w:val="22"/>
        </w:rPr>
        <w:t>OMB-approved EDA Workforce Data Collection Instrument (</w:t>
      </w:r>
      <w:hyperlink r:id="rId4" w:history="1">
        <w:r w:rsidRPr="000B18EE">
          <w:rPr>
            <w:rStyle w:val="Hyperlink"/>
            <w:rFonts w:ascii="Aptos" w:eastAsia="Aptos" w:hAnsi="Aptos" w:cs="Aptos"/>
            <w:sz w:val="22"/>
            <w:szCs w:val="22"/>
          </w:rPr>
          <w:t>OMB Control Number: 0610-0109</w:t>
        </w:r>
      </w:hyperlink>
      <w:r>
        <w:rPr>
          <w:rFonts w:ascii="Aptos" w:eastAsia="Aptos" w:hAnsi="Aptos" w:cs="Aptos"/>
          <w:color w:val="000000" w:themeColor="text1"/>
          <w:sz w:val="22"/>
          <w:szCs w:val="22"/>
        </w:rPr>
        <w:t>)</w:t>
      </w:r>
      <w:r w:rsidRPr="4C25E25E">
        <w:rPr>
          <w:rFonts w:ascii="Aptos" w:eastAsia="Aptos" w:hAnsi="Aptos" w:cs="Aptos"/>
          <w:color w:val="000000" w:themeColor="text1"/>
          <w:sz w:val="22"/>
          <w:szCs w:val="22"/>
        </w:rPr>
        <w:t xml:space="preserve"> so there is precedent for this already. </w:t>
      </w:r>
      <w:r w:rsidRPr="4C25E25E">
        <w:rPr>
          <w:rFonts w:ascii="Calibri" w:eastAsia="Calibri" w:hAnsi="Calibri" w:cs="Calibri"/>
          <w:sz w:val="22"/>
          <w:szCs w:val="22"/>
        </w:rPr>
        <w:t xml:space="preserve"> </w:t>
      </w:r>
    </w:p>
    <w:p w:rsidR="00983D20" w:rsidRPr="00637335" w:rsidP="00983D20" w14:paraId="05A77196" w14:textId="77777777">
      <w:pPr>
        <w:ind w:left="720"/>
        <w:rPr>
          <w:rFonts w:asciiTheme="majorHAnsi" w:hAnsiTheme="majorHAnsi" w:cstheme="majorHAnsi"/>
          <w:sz w:val="22"/>
          <w:szCs w:val="22"/>
        </w:rPr>
      </w:pPr>
      <w:r w:rsidRPr="00637335">
        <w:rPr>
          <w:rFonts w:asciiTheme="majorHAnsi" w:hAnsiTheme="majorHAnsi" w:cstheme="majorHAnsi"/>
        </w:rPr>
        <w:br/>
      </w:r>
      <w:r w:rsidRPr="00637335">
        <w:rPr>
          <w:rFonts w:asciiTheme="majorHAnsi" w:hAnsiTheme="majorHAnsi" w:cstheme="majorHAnsi"/>
          <w:sz w:val="22"/>
          <w:szCs w:val="22"/>
        </w:rPr>
        <w:t>Removing Q14 changes the survey numbering to change from Q14a-Q34, see below for a numbering change in “Sustain Regional Governance” as well.</w:t>
      </w:r>
    </w:p>
    <w:p w:rsidR="00983D20" w:rsidP="00983D20" w14:paraId="03BD3594" w14:textId="77777777">
      <w:pPr>
        <w:rPr>
          <w:rFonts w:asciiTheme="majorHAnsi" w:hAnsiTheme="majorHAnsi"/>
          <w:sz w:val="22"/>
          <w:szCs w:val="22"/>
        </w:rPr>
      </w:pPr>
    </w:p>
    <w:p w:rsidR="00983D20" w:rsidRPr="00A00B52" w:rsidP="00983D20" w14:paraId="0CBD1715" w14:textId="77777777">
      <w:pPr>
        <w:rPr>
          <w:rFonts w:asciiTheme="majorHAnsi" w:hAnsiTheme="majorHAnsi"/>
          <w:sz w:val="22"/>
          <w:szCs w:val="22"/>
        </w:rPr>
      </w:pPr>
      <w:r w:rsidRPr="4BEB9A81">
        <w:rPr>
          <w:rFonts w:asciiTheme="majorHAnsi" w:hAnsiTheme="majorHAnsi"/>
          <w:sz w:val="22"/>
          <w:szCs w:val="22"/>
        </w:rPr>
        <w:t>2.</w:t>
      </w:r>
      <w:r>
        <w:t xml:space="preserve"> </w:t>
      </w:r>
      <w:r w:rsidRPr="4BEB9A81">
        <w:rPr>
          <w:rFonts w:asciiTheme="majorHAnsi" w:hAnsiTheme="majorHAnsi"/>
          <w:sz w:val="22"/>
          <w:szCs w:val="22"/>
        </w:rPr>
        <w:t>Reworded a question for consistency and clarity</w:t>
      </w:r>
    </w:p>
    <w:p w:rsidR="00983D20" w:rsidP="00983D20" w14:paraId="4D2B2977" w14:textId="77777777">
      <w:pPr>
        <w:ind w:firstLine="720"/>
        <w:rPr>
          <w:rFonts w:asciiTheme="majorHAnsi" w:hAnsiTheme="majorHAnsi"/>
          <w:b/>
          <w:bCs/>
          <w:sz w:val="22"/>
          <w:szCs w:val="22"/>
        </w:rPr>
      </w:pPr>
    </w:p>
    <w:p w:rsidR="00983D20" w:rsidRPr="006874F7" w:rsidP="00983D20" w14:paraId="0BE293D9" w14:textId="77777777">
      <w:pPr>
        <w:ind w:firstLine="720"/>
        <w:rPr>
          <w:rFonts w:asciiTheme="majorHAnsi" w:hAnsiTheme="majorHAnsi"/>
          <w:sz w:val="22"/>
          <w:szCs w:val="22"/>
        </w:rPr>
      </w:pPr>
      <w:r>
        <w:rPr>
          <w:rFonts w:asciiTheme="majorHAnsi" w:hAnsiTheme="majorHAnsi"/>
          <w:b/>
          <w:bCs/>
          <w:sz w:val="22"/>
          <w:szCs w:val="22"/>
        </w:rPr>
        <w:t xml:space="preserve">Existing Question: </w:t>
      </w:r>
      <w:r w:rsidRPr="4BEB9A81">
        <w:rPr>
          <w:rFonts w:asciiTheme="majorHAnsi" w:hAnsiTheme="majorHAnsi"/>
          <w:b/>
          <w:bCs/>
          <w:sz w:val="22"/>
          <w:szCs w:val="22"/>
        </w:rPr>
        <w:t>Q18 How much PRIVATE investment was secured (roundup dollars, no decimals) by type directly related to the BBBRC effort over the past quarter? If none, use 0 (zero). </w:t>
      </w:r>
      <w:r>
        <w:br/>
      </w:r>
      <w:r w:rsidRPr="4BEB9A81">
        <w:rPr>
          <w:rFonts w:asciiTheme="majorHAnsi" w:hAnsiTheme="majorHAnsi"/>
          <w:b/>
          <w:bCs/>
          <w:sz w:val="22"/>
          <w:szCs w:val="22"/>
        </w:rPr>
        <w:t> </w:t>
      </w:r>
      <w:r>
        <w:br/>
      </w:r>
      <w:r>
        <w:tab/>
      </w:r>
      <w:r w:rsidRPr="4BEB9A81">
        <w:rPr>
          <w:rFonts w:asciiTheme="majorHAnsi" w:hAnsiTheme="majorHAnsi"/>
          <w:b/>
          <w:bCs/>
          <w:sz w:val="22"/>
          <w:szCs w:val="22"/>
        </w:rPr>
        <w:t xml:space="preserve">Please note that investments by philanthropy, local, state, regional, and federal government </w:t>
      </w:r>
      <w:r w:rsidRPr="4BEB9A81">
        <w:rPr>
          <w:rFonts w:asciiTheme="majorHAnsi" w:hAnsiTheme="majorHAnsi"/>
          <w:b/>
          <w:bCs/>
          <w:sz w:val="22"/>
          <w:szCs w:val="22"/>
        </w:rPr>
        <w:t xml:space="preserve">is </w:t>
      </w:r>
      <w:r>
        <w:tab/>
      </w:r>
      <w:r w:rsidRPr="4BEB9A81">
        <w:rPr>
          <w:rFonts w:asciiTheme="majorHAnsi" w:hAnsiTheme="majorHAnsi"/>
          <w:b/>
          <w:bCs/>
          <w:sz w:val="22"/>
          <w:szCs w:val="22"/>
        </w:rPr>
        <w:t>asked for on Q1 under the coalition progress section.</w:t>
      </w:r>
      <w:r w:rsidRPr="4BEB9A81">
        <w:rPr>
          <w:rFonts w:asciiTheme="majorHAnsi" w:hAnsiTheme="majorHAnsi"/>
          <w:sz w:val="22"/>
          <w:szCs w:val="22"/>
        </w:rPr>
        <w:t>   </w:t>
      </w:r>
    </w:p>
    <w:p w:rsidR="00983D20" w:rsidP="00983D20" w14:paraId="0E4EA89A" w14:textId="77777777">
      <w:pPr>
        <w:rPr>
          <w:rFonts w:asciiTheme="majorHAnsi" w:hAnsiTheme="majorHAnsi"/>
          <w:sz w:val="22"/>
          <w:szCs w:val="22"/>
        </w:rPr>
      </w:pPr>
    </w:p>
    <w:p w:rsidR="00983D20" w:rsidRPr="00E868DB" w:rsidP="00983D20" w14:paraId="7AA6DB55" w14:textId="77777777">
      <w:pPr>
        <w:ind w:left="720"/>
        <w:rPr>
          <w:rFonts w:asciiTheme="majorHAnsi" w:hAnsiTheme="majorHAnsi"/>
          <w:sz w:val="22"/>
          <w:szCs w:val="22"/>
        </w:rPr>
      </w:pPr>
      <w:r>
        <w:rPr>
          <w:rFonts w:asciiTheme="majorHAnsi" w:hAnsiTheme="majorHAnsi"/>
          <w:b/>
          <w:bCs/>
          <w:sz w:val="22"/>
          <w:szCs w:val="22"/>
        </w:rPr>
        <w:t xml:space="preserve">Revised question: </w:t>
      </w:r>
      <w:r w:rsidRPr="00E868DB">
        <w:rPr>
          <w:rFonts w:asciiTheme="majorHAnsi" w:hAnsiTheme="majorHAnsi"/>
          <w:sz w:val="22"/>
          <w:szCs w:val="22"/>
        </w:rPr>
        <w:t xml:space="preserve">How much PRIVATE investment was secured (roundup dollars, no decimals) by type for projects directly related to the BBBRC coalition? If none, use 0 (zero). Please note that investments by philanthropy, local, state, regional, and federal government </w:t>
      </w:r>
      <w:r w:rsidRPr="00E868DB">
        <w:rPr>
          <w:rFonts w:asciiTheme="majorHAnsi" w:hAnsiTheme="majorHAnsi"/>
          <w:sz w:val="22"/>
          <w:szCs w:val="22"/>
        </w:rPr>
        <w:t>is</w:t>
      </w:r>
      <w:r w:rsidRPr="00E868DB">
        <w:rPr>
          <w:rFonts w:asciiTheme="majorHAnsi" w:hAnsiTheme="majorHAnsi"/>
          <w:sz w:val="22"/>
          <w:szCs w:val="22"/>
        </w:rPr>
        <w:t xml:space="preserve"> asked for on Q1 under the coalition progress section. </w:t>
      </w:r>
    </w:p>
    <w:p w:rsidR="00983D20" w:rsidP="00983D20" w14:paraId="6E393F57" w14:textId="77777777">
      <w:pPr>
        <w:ind w:left="720"/>
        <w:rPr>
          <w:rFonts w:asciiTheme="majorHAnsi" w:hAnsiTheme="majorHAnsi"/>
          <w:b/>
          <w:bCs/>
          <w:sz w:val="22"/>
          <w:szCs w:val="22"/>
        </w:rPr>
      </w:pPr>
    </w:p>
    <w:p w:rsidR="00983D20" w:rsidP="00983D20" w14:paraId="253FE95D" w14:textId="77777777">
      <w:pPr>
        <w:ind w:left="720"/>
        <w:rPr>
          <w:rFonts w:asciiTheme="majorHAnsi" w:hAnsiTheme="majorHAnsi"/>
          <w:b/>
          <w:bCs/>
          <w:sz w:val="22"/>
          <w:szCs w:val="22"/>
        </w:rPr>
      </w:pPr>
    </w:p>
    <w:p w:rsidR="00983D20" w:rsidP="00983D20" w14:paraId="1FE858E6" w14:textId="77777777">
      <w:pPr>
        <w:ind w:left="720"/>
        <w:rPr>
          <w:rFonts w:asciiTheme="majorHAnsi" w:hAnsiTheme="majorHAnsi"/>
          <w:sz w:val="22"/>
          <w:szCs w:val="22"/>
        </w:rPr>
      </w:pPr>
      <w:r w:rsidRPr="00E868DB">
        <w:rPr>
          <w:rFonts w:asciiTheme="majorHAnsi" w:hAnsiTheme="majorHAnsi"/>
          <w:b/>
          <w:bCs/>
          <w:sz w:val="22"/>
          <w:szCs w:val="22"/>
        </w:rPr>
        <w:t>Justification</w:t>
      </w:r>
      <w:r>
        <w:rPr>
          <w:rFonts w:asciiTheme="majorHAnsi" w:hAnsiTheme="majorHAnsi"/>
          <w:b/>
          <w:bCs/>
          <w:sz w:val="22"/>
          <w:szCs w:val="22"/>
        </w:rPr>
        <w:t xml:space="preserve"> for the change</w:t>
      </w:r>
      <w:r w:rsidRPr="4BEB9A81">
        <w:rPr>
          <w:rFonts w:asciiTheme="majorHAnsi" w:hAnsiTheme="majorHAnsi"/>
          <w:sz w:val="22"/>
          <w:szCs w:val="22"/>
        </w:rPr>
        <w:t xml:space="preserve">: To increase clarity, we have mirrored this question’s wording to align with the wording of Q1 (“Regarding your coalition's implementation/progress over the past quarter: How much PUBLIC investment from federal, state, and local governments as well as philanthropy was secured (roundup dollars, no decimals) by type for projects </w:t>
      </w:r>
      <w:bookmarkStart w:id="3" w:name="_Int_NKMedyDQ"/>
      <w:r w:rsidRPr="4BEB9A81">
        <w:rPr>
          <w:rFonts w:asciiTheme="majorHAnsi" w:hAnsiTheme="majorHAnsi"/>
          <w:sz w:val="22"/>
          <w:szCs w:val="22"/>
        </w:rPr>
        <w:t>directly related</w:t>
      </w:r>
      <w:bookmarkEnd w:id="3"/>
      <w:r w:rsidRPr="4BEB9A81">
        <w:rPr>
          <w:rFonts w:asciiTheme="majorHAnsi" w:hAnsiTheme="majorHAnsi"/>
          <w:sz w:val="22"/>
          <w:szCs w:val="22"/>
        </w:rPr>
        <w:t xml:space="preserve"> to the BBBRC coalition? If none, use 0 (zero). Please note that PRIVATE investment, if any, is asked for on Q18 under the increasing new business growth and entrepreneurial activity section.”)</w:t>
      </w:r>
    </w:p>
    <w:p w:rsidR="00983D20" w:rsidP="00983D20" w14:paraId="2FA7274D" w14:textId="77777777">
      <w:pPr>
        <w:rPr>
          <w:rFonts w:asciiTheme="majorHAnsi" w:hAnsiTheme="majorHAnsi"/>
          <w:sz w:val="22"/>
          <w:szCs w:val="22"/>
        </w:rPr>
      </w:pPr>
    </w:p>
    <w:p w:rsidR="00983D20" w:rsidP="00983D20" w14:paraId="3A9B9435" w14:textId="77777777">
      <w:pPr>
        <w:rPr>
          <w:rFonts w:asciiTheme="majorHAnsi" w:hAnsiTheme="majorHAnsi"/>
          <w:sz w:val="22"/>
          <w:szCs w:val="22"/>
        </w:rPr>
      </w:pPr>
      <w:r w:rsidRPr="00023C6E">
        <w:rPr>
          <w:rFonts w:asciiTheme="majorHAnsi" w:hAnsiTheme="majorHAnsi"/>
          <w:sz w:val="22"/>
          <w:szCs w:val="22"/>
        </w:rPr>
        <w:t>3.</w:t>
      </w:r>
      <w:r>
        <w:rPr>
          <w:rFonts w:asciiTheme="majorHAnsi" w:hAnsiTheme="majorHAnsi"/>
          <w:sz w:val="22"/>
          <w:szCs w:val="22"/>
        </w:rPr>
        <w:t xml:space="preserve"> </w:t>
      </w:r>
      <w:r w:rsidRPr="00E868DB">
        <w:rPr>
          <w:rFonts w:asciiTheme="majorHAnsi" w:hAnsiTheme="majorHAnsi"/>
          <w:sz w:val="22"/>
          <w:szCs w:val="22"/>
        </w:rPr>
        <w:t>Added a hyperlink to support respondent understanding</w:t>
      </w:r>
      <w:r>
        <w:rPr>
          <w:rFonts w:asciiTheme="majorHAnsi" w:hAnsiTheme="majorHAnsi"/>
          <w:sz w:val="22"/>
          <w:szCs w:val="22"/>
        </w:rPr>
        <w:t xml:space="preserve"> of each of the following questions (note that the numbering reflects that of the existing survey numbering):</w:t>
      </w:r>
    </w:p>
    <w:tbl>
      <w:tblPr>
        <w:tblpPr w:leftFromText="180" w:rightFromText="180" w:vertAnchor="text" w:horzAnchor="page" w:tblpX="2558" w:tblpY="411"/>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8"/>
        <w:gridCol w:w="1051"/>
        <w:gridCol w:w="1051"/>
      </w:tblGrid>
      <w:tr w14:paraId="2F0908F3" w14:textId="77777777" w:rsidTr="008C4C44">
        <w:tblPrEx>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2"/>
        </w:trPr>
        <w:tc>
          <w:tcPr>
            <w:tcW w:w="1158" w:type="dxa"/>
            <w:shd w:val="clear" w:color="auto" w:fill="auto"/>
            <w:hideMark/>
          </w:tcPr>
          <w:p w:rsidR="00983D20" w:rsidRPr="00FC086F" w:rsidP="008C4C44" w14:paraId="7D9189EB" w14:textId="77777777">
            <w:pPr>
              <w:jc w:val="center"/>
              <w:rPr>
                <w:rFonts w:asciiTheme="majorHAnsi" w:hAnsiTheme="majorHAnsi"/>
                <w:b/>
                <w:bCs/>
                <w:sz w:val="22"/>
                <w:szCs w:val="22"/>
              </w:rPr>
            </w:pPr>
            <w:r w:rsidRPr="00FC086F">
              <w:rPr>
                <w:rFonts w:asciiTheme="majorHAnsi" w:hAnsiTheme="majorHAnsi"/>
                <w:b/>
                <w:bCs/>
                <w:sz w:val="22"/>
                <w:szCs w:val="22"/>
              </w:rPr>
              <w:t>Q14a</w:t>
            </w:r>
          </w:p>
        </w:tc>
        <w:tc>
          <w:tcPr>
            <w:tcW w:w="1051" w:type="dxa"/>
            <w:shd w:val="clear" w:color="auto" w:fill="auto"/>
            <w:hideMark/>
          </w:tcPr>
          <w:p w:rsidR="00983D20" w:rsidRPr="00FC086F" w:rsidP="008C4C44" w14:paraId="53650650" w14:textId="77777777">
            <w:pPr>
              <w:jc w:val="center"/>
              <w:rPr>
                <w:rFonts w:asciiTheme="majorHAnsi" w:hAnsiTheme="majorHAnsi"/>
                <w:b/>
                <w:bCs/>
                <w:sz w:val="22"/>
                <w:szCs w:val="22"/>
              </w:rPr>
            </w:pPr>
            <w:r w:rsidRPr="4C25E25E">
              <w:rPr>
                <w:rFonts w:asciiTheme="majorHAnsi" w:hAnsiTheme="majorHAnsi"/>
                <w:b/>
                <w:bCs/>
                <w:sz w:val="22"/>
                <w:szCs w:val="22"/>
              </w:rPr>
              <w:t>Q25a</w:t>
            </w:r>
          </w:p>
        </w:tc>
        <w:tc>
          <w:tcPr>
            <w:tcW w:w="1051" w:type="dxa"/>
          </w:tcPr>
          <w:p w:rsidR="00983D20" w:rsidRPr="4C25E25E" w:rsidP="008C4C44" w14:paraId="65B01456" w14:textId="77777777">
            <w:pPr>
              <w:jc w:val="center"/>
              <w:rPr>
                <w:rFonts w:asciiTheme="majorHAnsi" w:hAnsiTheme="majorHAnsi"/>
                <w:b/>
                <w:bCs/>
                <w:sz w:val="22"/>
                <w:szCs w:val="22"/>
              </w:rPr>
            </w:pPr>
            <w:r>
              <w:rPr>
                <w:rFonts w:asciiTheme="majorHAnsi" w:hAnsiTheme="majorHAnsi"/>
                <w:b/>
                <w:bCs/>
                <w:sz w:val="22"/>
                <w:szCs w:val="22"/>
              </w:rPr>
              <w:t>Q17a</w:t>
            </w:r>
          </w:p>
        </w:tc>
      </w:tr>
      <w:tr w14:paraId="0335F997" w14:textId="77777777" w:rsidTr="008C4C44">
        <w:tblPrEx>
          <w:tblW w:w="3260" w:type="dxa"/>
          <w:tblCellMar>
            <w:left w:w="0" w:type="dxa"/>
            <w:right w:w="0" w:type="dxa"/>
          </w:tblCellMar>
          <w:tblLook w:val="04A0"/>
        </w:tblPrEx>
        <w:trPr>
          <w:trHeight w:val="272"/>
        </w:trPr>
        <w:tc>
          <w:tcPr>
            <w:tcW w:w="1158" w:type="dxa"/>
            <w:shd w:val="clear" w:color="auto" w:fill="auto"/>
            <w:hideMark/>
          </w:tcPr>
          <w:p w:rsidR="00983D20" w:rsidRPr="00FC086F" w:rsidP="008C4C44" w14:paraId="08A926BA" w14:textId="77777777">
            <w:pPr>
              <w:jc w:val="center"/>
              <w:rPr>
                <w:rFonts w:asciiTheme="majorHAnsi" w:hAnsiTheme="majorHAnsi"/>
                <w:b/>
                <w:bCs/>
                <w:sz w:val="22"/>
                <w:szCs w:val="22"/>
              </w:rPr>
            </w:pPr>
            <w:r w:rsidRPr="00FC086F">
              <w:rPr>
                <w:rFonts w:asciiTheme="majorHAnsi" w:hAnsiTheme="majorHAnsi"/>
                <w:b/>
                <w:bCs/>
                <w:sz w:val="22"/>
                <w:szCs w:val="22"/>
              </w:rPr>
              <w:t>Q15a</w:t>
            </w:r>
          </w:p>
        </w:tc>
        <w:tc>
          <w:tcPr>
            <w:tcW w:w="1051" w:type="dxa"/>
            <w:shd w:val="clear" w:color="auto" w:fill="auto"/>
            <w:hideMark/>
          </w:tcPr>
          <w:p w:rsidR="00983D20" w:rsidRPr="00FC086F" w:rsidP="008C4C44" w14:paraId="5C3F55E1" w14:textId="77777777">
            <w:pPr>
              <w:jc w:val="center"/>
              <w:rPr>
                <w:rFonts w:asciiTheme="majorHAnsi" w:hAnsiTheme="majorHAnsi"/>
                <w:b/>
                <w:bCs/>
                <w:sz w:val="22"/>
                <w:szCs w:val="22"/>
              </w:rPr>
            </w:pPr>
            <w:r w:rsidRPr="4C25E25E">
              <w:rPr>
                <w:rFonts w:asciiTheme="majorHAnsi" w:hAnsiTheme="majorHAnsi"/>
                <w:b/>
                <w:bCs/>
                <w:sz w:val="22"/>
                <w:szCs w:val="22"/>
              </w:rPr>
              <w:t>Q27a</w:t>
            </w:r>
          </w:p>
        </w:tc>
        <w:tc>
          <w:tcPr>
            <w:tcW w:w="1051" w:type="dxa"/>
          </w:tcPr>
          <w:p w:rsidR="00983D20" w:rsidRPr="4C25E25E" w:rsidP="008C4C44" w14:paraId="04CE8E4E" w14:textId="77777777">
            <w:pPr>
              <w:jc w:val="center"/>
              <w:rPr>
                <w:rFonts w:asciiTheme="majorHAnsi" w:hAnsiTheme="majorHAnsi"/>
                <w:b/>
                <w:bCs/>
                <w:sz w:val="22"/>
                <w:szCs w:val="22"/>
              </w:rPr>
            </w:pPr>
          </w:p>
        </w:tc>
      </w:tr>
    </w:tbl>
    <w:p w:rsidR="00983D20" w:rsidRPr="000626CE" w:rsidP="00983D20" w14:paraId="48B4D29F" w14:textId="77777777">
      <w:pPr>
        <w:rPr>
          <w:rFonts w:asciiTheme="majorHAnsi" w:hAnsiTheme="majorHAnsi"/>
          <w:sz w:val="22"/>
          <w:szCs w:val="22"/>
        </w:rPr>
      </w:pPr>
    </w:p>
    <w:p w:rsidR="00983D20" w:rsidP="00983D20" w14:paraId="5C010384" w14:textId="77777777">
      <w:pPr>
        <w:rPr>
          <w:rFonts w:asciiTheme="majorHAnsi" w:hAnsiTheme="majorHAnsi"/>
          <w:sz w:val="22"/>
          <w:szCs w:val="22"/>
        </w:rPr>
      </w:pPr>
    </w:p>
    <w:p w:rsidR="00983D20" w:rsidP="00983D20" w14:paraId="2DF0C30F" w14:textId="77777777">
      <w:pPr>
        <w:ind w:left="720"/>
        <w:rPr>
          <w:rFonts w:asciiTheme="majorHAnsi" w:hAnsiTheme="majorHAnsi"/>
          <w:b/>
          <w:bCs/>
          <w:sz w:val="22"/>
          <w:szCs w:val="22"/>
        </w:rPr>
      </w:pPr>
    </w:p>
    <w:p w:rsidR="00983D20" w:rsidP="00983D20" w14:paraId="356DE104" w14:textId="77777777"/>
    <w:p w:rsidR="00983D20" w:rsidP="00983D20" w14:paraId="60B7FD1B" w14:textId="77777777">
      <w:pPr>
        <w:ind w:left="720"/>
        <w:rPr>
          <w:rFonts w:asciiTheme="majorHAnsi" w:hAnsiTheme="majorHAnsi"/>
          <w:sz w:val="22"/>
          <w:szCs w:val="22"/>
        </w:rPr>
      </w:pPr>
      <w:r w:rsidRPr="00E868DB">
        <w:rPr>
          <w:rFonts w:asciiTheme="majorHAnsi" w:hAnsiTheme="majorHAnsi"/>
          <w:b/>
          <w:bCs/>
          <w:sz w:val="22"/>
          <w:szCs w:val="22"/>
        </w:rPr>
        <w:t>Justification for the change</w:t>
      </w:r>
      <w:r w:rsidRPr="4BEB9A81">
        <w:rPr>
          <w:rFonts w:asciiTheme="majorHAnsi" w:hAnsiTheme="majorHAnsi"/>
          <w:sz w:val="22"/>
          <w:szCs w:val="22"/>
        </w:rPr>
        <w:t>: For these DEI questions, coalition</w:t>
      </w:r>
      <w:r>
        <w:rPr>
          <w:rFonts w:asciiTheme="majorHAnsi" w:hAnsiTheme="majorHAnsi"/>
          <w:sz w:val="22"/>
          <w:szCs w:val="22"/>
        </w:rPr>
        <w:t>/respondent</w:t>
      </w:r>
      <w:r w:rsidRPr="4BEB9A81">
        <w:rPr>
          <w:rFonts w:asciiTheme="majorHAnsi" w:hAnsiTheme="majorHAnsi"/>
          <w:sz w:val="22"/>
          <w:szCs w:val="22"/>
        </w:rPr>
        <w:t xml:space="preserve"> feedback expressed confusion and disagreement with the definition of rural provided in the survey. We have added a hyperlink to the Census resource: </w:t>
      </w:r>
      <w:hyperlink r:id="rId5">
        <w:r w:rsidRPr="4BEB9A81">
          <w:rPr>
            <w:rStyle w:val="Hyperlink"/>
            <w:rFonts w:asciiTheme="majorHAnsi" w:hAnsiTheme="majorHAnsi"/>
            <w:sz w:val="22"/>
            <w:szCs w:val="22"/>
          </w:rPr>
          <w:t>https://www.federalregister.gov/documents/2022/12/29/2022-28286/2020-census-qualifying-urban-areas-and-final-criteria-clarifications</w:t>
        </w:r>
      </w:hyperlink>
    </w:p>
    <w:p w:rsidR="00983D20" w:rsidRPr="003D4F09" w:rsidP="00983D20" w14:paraId="0D75D146" w14:textId="77777777">
      <w:pPr>
        <w:rPr>
          <w:rFonts w:asciiTheme="majorHAnsi" w:hAnsiTheme="majorHAnsi"/>
          <w:sz w:val="22"/>
          <w:szCs w:val="22"/>
        </w:rPr>
      </w:pPr>
    </w:p>
    <w:p w:rsidR="00983D20" w:rsidRPr="00A00B52" w:rsidP="00983D20" w14:paraId="7BEA2372" w14:textId="77777777">
      <w:pPr>
        <w:rPr>
          <w:rFonts w:asciiTheme="majorHAnsi" w:hAnsiTheme="majorHAnsi"/>
          <w:sz w:val="22"/>
          <w:szCs w:val="22"/>
        </w:rPr>
      </w:pPr>
      <w:r w:rsidRPr="4C25E25E">
        <w:rPr>
          <w:rFonts w:asciiTheme="majorHAnsi" w:hAnsiTheme="majorHAnsi"/>
          <w:sz w:val="22"/>
          <w:szCs w:val="22"/>
        </w:rPr>
        <w:t>4. Modified response options to separate the existing option of “Neither/N.A.”</w:t>
      </w:r>
    </w:p>
    <w:p w:rsidR="00983D20" w:rsidRPr="00A00B52" w:rsidP="00983D20" w14:paraId="605ED562" w14:textId="77777777">
      <w:pPr>
        <w:pStyle w:val="ListParagraph"/>
        <w:rPr>
          <w:rFonts w:asciiTheme="majorHAnsi" w:hAnsiTheme="majorHAnsi"/>
          <w:b/>
          <w:bCs/>
          <w:sz w:val="22"/>
          <w:szCs w:val="22"/>
        </w:rPr>
      </w:pPr>
    </w:p>
    <w:p w:rsidR="00983D20" w:rsidRPr="00A00B52" w:rsidP="00983D20" w14:paraId="312CEBF1" w14:textId="77777777">
      <w:pPr>
        <w:pStyle w:val="ListParagraph"/>
        <w:rPr>
          <w:rFonts w:asciiTheme="majorHAnsi" w:hAnsiTheme="majorHAnsi"/>
          <w:b/>
          <w:bCs/>
          <w:sz w:val="22"/>
          <w:szCs w:val="22"/>
        </w:rPr>
      </w:pPr>
      <w:r>
        <w:rPr>
          <w:rFonts w:asciiTheme="majorHAnsi" w:hAnsiTheme="majorHAnsi"/>
          <w:b/>
          <w:bCs/>
          <w:sz w:val="22"/>
          <w:szCs w:val="22"/>
        </w:rPr>
        <w:t xml:space="preserve">Existing question: </w:t>
      </w:r>
      <w:r w:rsidRPr="4C25E25E">
        <w:rPr>
          <w:rFonts w:asciiTheme="majorHAnsi" w:hAnsiTheme="majorHAnsi"/>
          <w:b/>
          <w:bCs/>
          <w:sz w:val="22"/>
          <w:szCs w:val="22"/>
        </w:rPr>
        <w:t>Q30 This section will ask about sustaining regional governance about your coalition.  </w:t>
      </w:r>
      <w:r>
        <w:br/>
      </w:r>
      <w:r w:rsidRPr="4C25E25E">
        <w:rPr>
          <w:rFonts w:asciiTheme="majorHAnsi" w:hAnsiTheme="majorHAnsi"/>
          <w:b/>
          <w:bCs/>
          <w:sz w:val="22"/>
          <w:szCs w:val="22"/>
        </w:rPr>
        <w:t>Would you agree or disagree with the following statements regarding the members of your coalition this past quarter? </w:t>
      </w:r>
      <w:r>
        <w:br/>
      </w:r>
      <w:r w:rsidRPr="4C25E25E">
        <w:rPr>
          <w:rFonts w:asciiTheme="majorHAnsi" w:hAnsiTheme="majorHAnsi"/>
          <w:b/>
          <w:bCs/>
          <w:sz w:val="22"/>
          <w:szCs w:val="22"/>
        </w:rPr>
        <w:t>Please note that if for example MOU was put in place and reported previously, select NA. </w:t>
      </w:r>
    </w:p>
    <w:p w:rsidR="00983D20" w:rsidRPr="00AF55E4" w:rsidP="00983D20" w14:paraId="23644023" w14:textId="77777777">
      <w:pPr>
        <w:rPr>
          <w:rFonts w:asciiTheme="majorHAnsi" w:hAnsiTheme="majorHAnsi"/>
          <w:b/>
          <w:bCs/>
          <w:sz w:val="22"/>
          <w:szCs w:val="22"/>
        </w:rPr>
      </w:pPr>
    </w:p>
    <w:p w:rsidR="00983D20" w:rsidRPr="00753106" w:rsidP="00983D20" w14:paraId="57FD5269" w14:textId="77777777">
      <w:pPr>
        <w:pStyle w:val="ListParagraph"/>
        <w:rPr>
          <w:rFonts w:asciiTheme="majorHAnsi" w:hAnsiTheme="majorHAnsi"/>
          <w:b/>
          <w:bCs/>
          <w:sz w:val="22"/>
          <w:szCs w:val="22"/>
        </w:rPr>
      </w:pPr>
      <w:r>
        <w:rPr>
          <w:rFonts w:asciiTheme="majorHAnsi" w:hAnsiTheme="majorHAnsi"/>
          <w:b/>
          <w:bCs/>
          <w:sz w:val="22"/>
          <w:szCs w:val="22"/>
        </w:rPr>
        <w:t xml:space="preserve">Existing question: </w:t>
      </w:r>
      <w:r w:rsidRPr="4BEB9A81">
        <w:rPr>
          <w:rFonts w:asciiTheme="majorHAnsi" w:hAnsiTheme="majorHAnsi"/>
          <w:b/>
          <w:bCs/>
          <w:sz w:val="22"/>
          <w:szCs w:val="22"/>
        </w:rPr>
        <w:t>Q34 Over this past quarter, would you agree or disagree on the following statements concerning coalition members and stakeholders: </w:t>
      </w:r>
    </w:p>
    <w:p w:rsidR="00983D20" w:rsidRPr="00AF55E4" w:rsidP="00983D20" w14:paraId="2C4F5BDD" w14:textId="77777777">
      <w:pPr>
        <w:rPr>
          <w:rFonts w:asciiTheme="majorHAnsi" w:hAnsiTheme="majorHAnsi"/>
          <w:b/>
          <w:bCs/>
          <w:sz w:val="22"/>
          <w:szCs w:val="22"/>
        </w:rPr>
      </w:pPr>
    </w:p>
    <w:p w:rsidR="00983D20" w:rsidRPr="00A00B52" w:rsidP="00983D20" w14:paraId="7B83FF54" w14:textId="77777777">
      <w:pPr>
        <w:pStyle w:val="ListParagraph"/>
        <w:rPr>
          <w:rFonts w:asciiTheme="majorHAnsi" w:hAnsiTheme="majorHAnsi"/>
          <w:b/>
          <w:bCs/>
          <w:sz w:val="22"/>
          <w:szCs w:val="22"/>
        </w:rPr>
      </w:pPr>
      <w:r>
        <w:rPr>
          <w:rFonts w:asciiTheme="majorHAnsi" w:hAnsiTheme="majorHAnsi"/>
          <w:b/>
          <w:bCs/>
          <w:sz w:val="22"/>
          <w:szCs w:val="22"/>
        </w:rPr>
        <w:t xml:space="preserve">Existing question: </w:t>
      </w:r>
      <w:r w:rsidRPr="4C25E25E">
        <w:rPr>
          <w:rFonts w:asciiTheme="majorHAnsi" w:hAnsiTheme="majorHAnsi"/>
          <w:b/>
          <w:bCs/>
          <w:sz w:val="22"/>
          <w:szCs w:val="22"/>
        </w:rPr>
        <w:t>Q35 Would you agree or disagree with the following statements regarding the BBBRC Community of Practice (CoP) you are part of? </w:t>
      </w:r>
    </w:p>
    <w:p w:rsidR="00983D20" w:rsidRPr="003D4F09" w:rsidP="00983D20" w14:paraId="11E735C0" w14:textId="77777777">
      <w:pPr>
        <w:rPr>
          <w:rFonts w:asciiTheme="majorHAnsi" w:hAnsiTheme="majorHAnsi"/>
          <w:sz w:val="22"/>
          <w:szCs w:val="22"/>
        </w:rPr>
      </w:pPr>
      <w:r w:rsidRPr="003D4F09">
        <w:rPr>
          <w:rFonts w:asciiTheme="majorHAnsi" w:hAnsiTheme="majorHAnsi"/>
          <w:noProof/>
          <w:sz w:val="22"/>
          <w:szCs w:val="22"/>
        </w:rPr>
        <w:drawing>
          <wp:inline distT="0" distB="0" distL="0" distR="0">
            <wp:extent cx="5943600" cy="227330"/>
            <wp:effectExtent l="19050" t="19050" r="1905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27330"/>
                    </a:xfrm>
                    <a:prstGeom prst="rect">
                      <a:avLst/>
                    </a:prstGeom>
                    <a:noFill/>
                    <a:ln>
                      <a:solidFill>
                        <a:schemeClr val="tx1"/>
                      </a:solidFill>
                    </a:ln>
                  </pic:spPr>
                </pic:pic>
              </a:graphicData>
            </a:graphic>
          </wp:inline>
        </w:drawing>
      </w:r>
      <w:r w:rsidRPr="003D4F09">
        <w:rPr>
          <w:rFonts w:asciiTheme="majorHAnsi" w:hAnsiTheme="majorHAnsi"/>
          <w:sz w:val="22"/>
          <w:szCs w:val="22"/>
        </w:rPr>
        <w:t> </w:t>
      </w:r>
    </w:p>
    <w:p w:rsidR="00983D20" w:rsidP="00983D20" w14:paraId="6E05C084" w14:textId="77777777">
      <w:pPr>
        <w:rPr>
          <w:rFonts w:asciiTheme="majorHAnsi" w:hAnsiTheme="majorHAnsi"/>
          <w:sz w:val="22"/>
          <w:szCs w:val="22"/>
        </w:rPr>
      </w:pPr>
    </w:p>
    <w:p w:rsidR="00983D20" w:rsidP="00983D20" w14:paraId="6DB789E0" w14:textId="77777777">
      <w:pPr>
        <w:ind w:left="720"/>
        <w:rPr>
          <w:rFonts w:asciiTheme="majorHAnsi" w:hAnsiTheme="majorHAnsi"/>
          <w:sz w:val="22"/>
          <w:szCs w:val="22"/>
        </w:rPr>
      </w:pPr>
      <w:r w:rsidRPr="00E868DB">
        <w:rPr>
          <w:rFonts w:asciiTheme="majorHAnsi" w:hAnsiTheme="majorHAnsi"/>
          <w:b/>
          <w:bCs/>
          <w:sz w:val="22"/>
          <w:szCs w:val="22"/>
        </w:rPr>
        <w:t>Justification for the change</w:t>
      </w:r>
      <w:r w:rsidRPr="4BEB9A81">
        <w:rPr>
          <w:rFonts w:asciiTheme="majorHAnsi" w:hAnsiTheme="majorHAnsi"/>
          <w:sz w:val="22"/>
          <w:szCs w:val="22"/>
        </w:rPr>
        <w:t>: Coalition</w:t>
      </w:r>
      <w:r>
        <w:rPr>
          <w:rFonts w:asciiTheme="majorHAnsi" w:hAnsiTheme="majorHAnsi"/>
          <w:sz w:val="22"/>
          <w:szCs w:val="22"/>
        </w:rPr>
        <w:t>/respondent</w:t>
      </w:r>
      <w:r w:rsidRPr="4BEB9A81">
        <w:rPr>
          <w:rFonts w:asciiTheme="majorHAnsi" w:hAnsiTheme="majorHAnsi"/>
          <w:sz w:val="22"/>
          <w:szCs w:val="22"/>
        </w:rPr>
        <w:t xml:space="preserve"> feedback suggested </w:t>
      </w:r>
      <w:r w:rsidRPr="4BEB9A81">
        <w:rPr>
          <w:rFonts w:asciiTheme="majorHAnsi" w:hAnsiTheme="majorHAnsi"/>
          <w:sz w:val="22"/>
          <w:szCs w:val="22"/>
        </w:rPr>
        <w:t>to separate</w:t>
      </w:r>
      <w:r w:rsidRPr="4BEB9A81">
        <w:rPr>
          <w:rFonts w:asciiTheme="majorHAnsi" w:hAnsiTheme="majorHAnsi"/>
          <w:sz w:val="22"/>
          <w:szCs w:val="22"/>
        </w:rPr>
        <w:t xml:space="preserve"> the Neither/NA option on the scale range. We moved Neither between Agree/Disagree</w:t>
      </w:r>
      <w:r>
        <w:rPr>
          <w:rFonts w:asciiTheme="majorHAnsi" w:hAnsiTheme="majorHAnsi"/>
          <w:sz w:val="22"/>
          <w:szCs w:val="22"/>
        </w:rPr>
        <w:t xml:space="preserve"> for all of the above questions</w:t>
      </w:r>
      <w:r w:rsidRPr="4BEB9A81">
        <w:rPr>
          <w:rFonts w:asciiTheme="majorHAnsi" w:hAnsiTheme="majorHAnsi"/>
          <w:sz w:val="22"/>
          <w:szCs w:val="22"/>
        </w:rPr>
        <w:t>.</w:t>
      </w:r>
    </w:p>
    <w:p w:rsidR="00983D20" w:rsidRPr="003D4F09" w:rsidP="00983D20" w14:paraId="35315561" w14:textId="77777777">
      <w:pPr>
        <w:rPr>
          <w:rFonts w:asciiTheme="majorHAnsi" w:hAnsiTheme="majorHAnsi"/>
          <w:sz w:val="22"/>
          <w:szCs w:val="22"/>
        </w:rPr>
      </w:pPr>
    </w:p>
    <w:p w:rsidR="00983D20" w:rsidRPr="00A00B52" w:rsidP="00983D20" w14:paraId="40A53F95" w14:textId="77777777">
      <w:pPr>
        <w:rPr>
          <w:rFonts w:asciiTheme="majorHAnsi" w:hAnsiTheme="majorHAnsi"/>
          <w:sz w:val="22"/>
          <w:szCs w:val="22"/>
        </w:rPr>
      </w:pPr>
      <w:r w:rsidRPr="4BEB9A81">
        <w:rPr>
          <w:rFonts w:asciiTheme="majorHAnsi" w:hAnsiTheme="majorHAnsi"/>
          <w:sz w:val="22"/>
          <w:szCs w:val="22"/>
        </w:rPr>
        <w:t xml:space="preserve">5. Removed a question </w:t>
      </w:r>
    </w:p>
    <w:p w:rsidR="00983D20" w:rsidP="00983D20" w14:paraId="1E850CB3" w14:textId="77777777">
      <w:pPr>
        <w:pStyle w:val="ListParagraph"/>
        <w:rPr>
          <w:rFonts w:asciiTheme="majorHAnsi" w:hAnsiTheme="majorHAnsi"/>
          <w:b/>
          <w:bCs/>
          <w:sz w:val="22"/>
          <w:szCs w:val="22"/>
        </w:rPr>
      </w:pPr>
    </w:p>
    <w:p w:rsidR="00983D20" w:rsidRPr="00A00B52" w:rsidP="00983D20" w14:paraId="7144F322" w14:textId="77777777">
      <w:pPr>
        <w:pStyle w:val="ListParagraph"/>
        <w:rPr>
          <w:rFonts w:asciiTheme="majorHAnsi" w:hAnsiTheme="majorHAnsi"/>
          <w:b/>
          <w:bCs/>
          <w:sz w:val="22"/>
          <w:szCs w:val="22"/>
        </w:rPr>
      </w:pPr>
      <w:r>
        <w:rPr>
          <w:rFonts w:asciiTheme="majorHAnsi" w:hAnsiTheme="majorHAnsi"/>
          <w:b/>
          <w:bCs/>
          <w:sz w:val="22"/>
          <w:szCs w:val="22"/>
        </w:rPr>
        <w:t xml:space="preserve">Existing question: </w:t>
      </w:r>
      <w:r w:rsidRPr="4BEB9A81">
        <w:rPr>
          <w:rFonts w:asciiTheme="majorHAnsi" w:hAnsiTheme="majorHAnsi"/>
          <w:b/>
          <w:bCs/>
          <w:sz w:val="22"/>
          <w:szCs w:val="22"/>
        </w:rPr>
        <w:t>Q29 How many businesses were involved in any of the following processes related to innovation? If none, use 0 (zero). </w:t>
      </w:r>
    </w:p>
    <w:p w:rsidR="00983D20" w:rsidRPr="00D644AC" w:rsidP="00983D20" w14:paraId="7D3063D2" w14:textId="77777777">
      <w:pPr>
        <w:ind w:left="360" w:firstLine="720"/>
        <w:rPr>
          <w:rFonts w:asciiTheme="majorHAnsi" w:hAnsiTheme="majorHAnsi"/>
          <w:b/>
          <w:bCs/>
          <w:sz w:val="22"/>
          <w:szCs w:val="22"/>
        </w:rPr>
      </w:pPr>
      <w:r w:rsidRPr="00D644AC">
        <w:rPr>
          <w:rFonts w:asciiTheme="majorHAnsi" w:hAnsiTheme="majorHAnsi"/>
          <w:b/>
          <w:bCs/>
          <w:sz w:val="22"/>
          <w:szCs w:val="22"/>
        </w:rPr>
        <w:t>Access new sources of information </w:t>
      </w:r>
    </w:p>
    <w:p w:rsidR="00983D20" w:rsidRPr="00D644AC" w:rsidP="00983D20" w14:paraId="447274E3" w14:textId="77777777">
      <w:pPr>
        <w:ind w:left="1080"/>
        <w:rPr>
          <w:rFonts w:asciiTheme="majorHAnsi" w:hAnsiTheme="majorHAnsi"/>
          <w:b/>
          <w:bCs/>
          <w:sz w:val="22"/>
          <w:szCs w:val="22"/>
        </w:rPr>
      </w:pPr>
      <w:r w:rsidRPr="00D644AC">
        <w:rPr>
          <w:rFonts w:asciiTheme="majorHAnsi" w:hAnsiTheme="majorHAnsi"/>
          <w:b/>
          <w:bCs/>
          <w:sz w:val="22"/>
          <w:szCs w:val="22"/>
        </w:rPr>
        <w:t>Impact of customer complaints on business practices </w:t>
      </w:r>
    </w:p>
    <w:p w:rsidR="00983D20" w:rsidRPr="00D644AC" w:rsidP="00983D20" w14:paraId="75FAFD35" w14:textId="77777777">
      <w:pPr>
        <w:ind w:left="1080"/>
        <w:rPr>
          <w:rFonts w:asciiTheme="majorHAnsi" w:hAnsiTheme="majorHAnsi"/>
          <w:b/>
          <w:bCs/>
          <w:sz w:val="22"/>
          <w:szCs w:val="22"/>
        </w:rPr>
      </w:pPr>
      <w:r w:rsidRPr="00D644AC">
        <w:rPr>
          <w:rFonts w:asciiTheme="majorHAnsi" w:hAnsiTheme="majorHAnsi"/>
          <w:b/>
          <w:bCs/>
          <w:sz w:val="22"/>
          <w:szCs w:val="22"/>
        </w:rPr>
        <w:t xml:space="preserve">Monitor customer </w:t>
      </w:r>
      <w:r w:rsidRPr="00D644AC">
        <w:rPr>
          <w:rFonts w:asciiTheme="majorHAnsi" w:hAnsiTheme="majorHAnsi"/>
          <w:b/>
          <w:bCs/>
          <w:sz w:val="22"/>
          <w:szCs w:val="22"/>
        </w:rPr>
        <w:t>satisfaction</w:t>
      </w:r>
      <w:r w:rsidRPr="00D644AC">
        <w:rPr>
          <w:rFonts w:asciiTheme="majorHAnsi" w:hAnsiTheme="majorHAnsi"/>
          <w:b/>
          <w:bCs/>
          <w:sz w:val="22"/>
          <w:szCs w:val="22"/>
        </w:rPr>
        <w:t> </w:t>
      </w:r>
    </w:p>
    <w:p w:rsidR="00983D20" w:rsidRPr="00D644AC" w:rsidP="00983D20" w14:paraId="38D0C4CD" w14:textId="77777777">
      <w:pPr>
        <w:ind w:left="1080"/>
        <w:rPr>
          <w:rFonts w:asciiTheme="majorHAnsi" w:hAnsiTheme="majorHAnsi"/>
          <w:b/>
          <w:bCs/>
          <w:sz w:val="22"/>
          <w:szCs w:val="22"/>
        </w:rPr>
      </w:pPr>
      <w:r w:rsidRPr="00D644AC">
        <w:rPr>
          <w:rFonts w:asciiTheme="majorHAnsi" w:hAnsiTheme="majorHAnsi"/>
          <w:b/>
          <w:bCs/>
          <w:sz w:val="22"/>
          <w:szCs w:val="22"/>
        </w:rPr>
        <w:t xml:space="preserve">Improve goods or services over the past </w:t>
      </w:r>
      <w:r w:rsidRPr="00D644AC">
        <w:rPr>
          <w:rFonts w:asciiTheme="majorHAnsi" w:hAnsiTheme="majorHAnsi"/>
          <w:b/>
          <w:bCs/>
          <w:sz w:val="22"/>
          <w:szCs w:val="22"/>
        </w:rPr>
        <w:t>year</w:t>
      </w:r>
      <w:r w:rsidRPr="00D644AC">
        <w:rPr>
          <w:rFonts w:asciiTheme="majorHAnsi" w:hAnsiTheme="majorHAnsi"/>
          <w:b/>
          <w:bCs/>
          <w:sz w:val="22"/>
          <w:szCs w:val="22"/>
        </w:rPr>
        <w:t> </w:t>
      </w:r>
    </w:p>
    <w:p w:rsidR="00983D20" w:rsidRPr="00D644AC" w:rsidP="00983D20" w14:paraId="3C1AD1B4" w14:textId="77777777">
      <w:pPr>
        <w:ind w:left="1080"/>
        <w:rPr>
          <w:rFonts w:asciiTheme="majorHAnsi" w:hAnsiTheme="majorHAnsi"/>
          <w:b/>
          <w:bCs/>
          <w:sz w:val="22"/>
          <w:szCs w:val="22"/>
        </w:rPr>
      </w:pPr>
      <w:r w:rsidRPr="00D644AC">
        <w:rPr>
          <w:rFonts w:asciiTheme="majorHAnsi" w:hAnsiTheme="majorHAnsi"/>
          <w:b/>
          <w:bCs/>
          <w:sz w:val="22"/>
          <w:szCs w:val="22"/>
        </w:rPr>
        <w:t xml:space="preserve">Sell new goods/services early or before </w:t>
      </w:r>
      <w:r w:rsidRPr="00D644AC">
        <w:rPr>
          <w:rFonts w:asciiTheme="majorHAnsi" w:hAnsiTheme="majorHAnsi"/>
          <w:b/>
          <w:bCs/>
          <w:sz w:val="22"/>
          <w:szCs w:val="22"/>
        </w:rPr>
        <w:t>competitors</w:t>
      </w:r>
      <w:r w:rsidRPr="00D644AC">
        <w:rPr>
          <w:rFonts w:asciiTheme="majorHAnsi" w:hAnsiTheme="majorHAnsi"/>
          <w:b/>
          <w:bCs/>
          <w:sz w:val="22"/>
          <w:szCs w:val="22"/>
        </w:rPr>
        <w:t> </w:t>
      </w:r>
    </w:p>
    <w:p w:rsidR="00983D20" w:rsidRPr="00D644AC" w:rsidP="00983D20" w14:paraId="6BEBA913" w14:textId="77777777">
      <w:pPr>
        <w:ind w:left="1080"/>
        <w:rPr>
          <w:rFonts w:asciiTheme="majorHAnsi" w:hAnsiTheme="majorHAnsi"/>
          <w:b/>
          <w:bCs/>
          <w:sz w:val="22"/>
          <w:szCs w:val="22"/>
        </w:rPr>
      </w:pPr>
      <w:r w:rsidRPr="00D644AC">
        <w:rPr>
          <w:rFonts w:asciiTheme="majorHAnsi" w:hAnsiTheme="majorHAnsi"/>
          <w:b/>
          <w:bCs/>
          <w:sz w:val="22"/>
          <w:szCs w:val="22"/>
        </w:rPr>
        <w:t>Other </w:t>
      </w:r>
    </w:p>
    <w:p w:rsidR="00983D20" w:rsidP="00983D20" w14:paraId="4AC23111" w14:textId="77777777">
      <w:pPr>
        <w:rPr>
          <w:rFonts w:asciiTheme="majorHAnsi" w:hAnsiTheme="majorHAnsi"/>
          <w:sz w:val="22"/>
          <w:szCs w:val="22"/>
        </w:rPr>
      </w:pPr>
      <w:r w:rsidRPr="003D4F09">
        <w:rPr>
          <w:rFonts w:asciiTheme="majorHAnsi" w:hAnsiTheme="majorHAnsi"/>
          <w:sz w:val="22"/>
          <w:szCs w:val="22"/>
        </w:rPr>
        <w:t> </w:t>
      </w:r>
    </w:p>
    <w:p w:rsidR="00983D20" w:rsidP="00983D20" w14:paraId="16E13A10" w14:textId="77777777">
      <w:pPr>
        <w:ind w:left="720"/>
        <w:rPr>
          <w:rFonts w:asciiTheme="majorHAnsi" w:hAnsiTheme="majorHAnsi"/>
          <w:sz w:val="22"/>
          <w:szCs w:val="22"/>
        </w:rPr>
      </w:pPr>
      <w:r w:rsidRPr="00E868DB">
        <w:rPr>
          <w:rFonts w:asciiTheme="majorHAnsi" w:hAnsiTheme="majorHAnsi"/>
          <w:b/>
          <w:bCs/>
          <w:sz w:val="22"/>
          <w:szCs w:val="22"/>
        </w:rPr>
        <w:t>Justification for the removal/change</w:t>
      </w:r>
      <w:r w:rsidRPr="4BEB9A81">
        <w:rPr>
          <w:rFonts w:asciiTheme="majorHAnsi" w:hAnsiTheme="majorHAnsi"/>
          <w:sz w:val="22"/>
          <w:szCs w:val="22"/>
        </w:rPr>
        <w:t>: Coalitions</w:t>
      </w:r>
      <w:r>
        <w:rPr>
          <w:rFonts w:asciiTheme="majorHAnsi" w:hAnsiTheme="majorHAnsi"/>
          <w:sz w:val="22"/>
          <w:szCs w:val="22"/>
        </w:rPr>
        <w:t>/respondents</w:t>
      </w:r>
      <w:r w:rsidRPr="4BEB9A81">
        <w:rPr>
          <w:rFonts w:asciiTheme="majorHAnsi" w:hAnsiTheme="majorHAnsi"/>
          <w:sz w:val="22"/>
          <w:szCs w:val="22"/>
        </w:rPr>
        <w:t xml:space="preserve"> reported confusion, did not understand the purpose of this question, or it did not apply. Due to the confusion and lack of relevant data, we have removed this entirely. </w:t>
      </w:r>
    </w:p>
    <w:p w:rsidR="00983D20" w:rsidP="00983D20" w14:paraId="597D25F8" w14:textId="77777777">
      <w:pPr>
        <w:rPr>
          <w:rFonts w:asciiTheme="majorHAnsi" w:hAnsiTheme="majorHAnsi"/>
          <w:sz w:val="22"/>
          <w:szCs w:val="22"/>
        </w:rPr>
      </w:pPr>
    </w:p>
    <w:p w:rsidR="00983D20" w:rsidP="00983D20" w14:paraId="312670BD" w14:textId="77777777">
      <w:pPr>
        <w:ind w:left="720"/>
        <w:rPr>
          <w:rFonts w:asciiTheme="majorHAnsi" w:hAnsiTheme="majorHAnsi"/>
          <w:sz w:val="22"/>
          <w:szCs w:val="22"/>
        </w:rPr>
      </w:pPr>
      <w:r w:rsidRPr="4C25E25E">
        <w:rPr>
          <w:rFonts w:asciiTheme="majorHAnsi" w:hAnsiTheme="majorHAnsi"/>
          <w:sz w:val="22"/>
          <w:szCs w:val="22"/>
        </w:rPr>
        <w:t xml:space="preserve">The removal of this question will cause the numbering of the final section, “Sustain Regional Governance” to change from Q30-36 to Q28-34. </w:t>
      </w:r>
    </w:p>
    <w:p w:rsidR="00983D20" w:rsidP="00983D20" w14:paraId="27DA7897" w14:textId="77777777">
      <w:pPr>
        <w:ind w:left="720"/>
        <w:rPr>
          <w:rFonts w:asciiTheme="majorHAnsi" w:hAnsiTheme="majorHAnsi"/>
          <w:sz w:val="22"/>
          <w:szCs w:val="22"/>
        </w:rPr>
      </w:pPr>
    </w:p>
    <w:p w:rsidR="00983D20" w:rsidRPr="00A00B52" w:rsidP="00983D20" w14:paraId="26A1B9A2" w14:textId="77777777">
      <w:pPr>
        <w:rPr>
          <w:rFonts w:asciiTheme="majorHAnsi" w:hAnsiTheme="majorHAnsi"/>
          <w:sz w:val="22"/>
          <w:szCs w:val="22"/>
        </w:rPr>
      </w:pPr>
      <w:r w:rsidRPr="4BEB9A81">
        <w:rPr>
          <w:rFonts w:asciiTheme="majorHAnsi" w:hAnsiTheme="majorHAnsi"/>
          <w:sz w:val="22"/>
          <w:szCs w:val="22"/>
        </w:rPr>
        <w:t>6. Added guiding information</w:t>
      </w:r>
    </w:p>
    <w:p w:rsidR="00983D20" w:rsidP="00983D20" w14:paraId="255B4B5A" w14:textId="77777777">
      <w:pPr>
        <w:pStyle w:val="ListParagraph"/>
        <w:rPr>
          <w:rFonts w:asciiTheme="majorHAnsi" w:hAnsiTheme="majorHAnsi"/>
          <w:b/>
          <w:bCs/>
          <w:sz w:val="22"/>
          <w:szCs w:val="22"/>
        </w:rPr>
      </w:pPr>
    </w:p>
    <w:p w:rsidR="00983D20" w:rsidRPr="00A00B52" w:rsidP="00983D20" w14:paraId="3A668AD2" w14:textId="77777777">
      <w:pPr>
        <w:pStyle w:val="ListParagraph"/>
        <w:rPr>
          <w:rFonts w:asciiTheme="majorHAnsi" w:hAnsiTheme="majorHAnsi"/>
          <w:b/>
          <w:bCs/>
          <w:sz w:val="22"/>
          <w:szCs w:val="22"/>
        </w:rPr>
      </w:pPr>
      <w:r>
        <w:rPr>
          <w:rFonts w:asciiTheme="majorHAnsi" w:hAnsiTheme="majorHAnsi"/>
          <w:b/>
          <w:bCs/>
          <w:sz w:val="22"/>
          <w:szCs w:val="22"/>
        </w:rPr>
        <w:t xml:space="preserve">Existing question: </w:t>
      </w:r>
      <w:r w:rsidRPr="4C25E25E">
        <w:rPr>
          <w:rFonts w:asciiTheme="majorHAnsi" w:hAnsiTheme="majorHAnsi"/>
          <w:b/>
          <w:bCs/>
          <w:sz w:val="22"/>
          <w:szCs w:val="22"/>
        </w:rPr>
        <w:t>Q26 How many businesses invested in or adopted new technologies this past quarter due to the direct efforts/activities of the coalition? If none, use 0 (zero). </w:t>
      </w:r>
    </w:p>
    <w:p w:rsidR="00983D20" w:rsidP="00983D20" w14:paraId="0AE86CF0" w14:textId="77777777">
      <w:pPr>
        <w:rPr>
          <w:rFonts w:asciiTheme="majorHAnsi" w:hAnsiTheme="majorHAnsi"/>
          <w:sz w:val="22"/>
          <w:szCs w:val="22"/>
        </w:rPr>
      </w:pPr>
      <w:r w:rsidRPr="003D4F09">
        <w:rPr>
          <w:rFonts w:asciiTheme="majorHAnsi" w:hAnsiTheme="majorHAnsi"/>
          <w:sz w:val="22"/>
          <w:szCs w:val="22"/>
        </w:rPr>
        <w:t> </w:t>
      </w:r>
    </w:p>
    <w:p w:rsidR="00983D20" w:rsidRPr="001A562C" w:rsidP="00983D20" w14:paraId="11A7F414" w14:textId="77777777">
      <w:pPr>
        <w:ind w:left="720"/>
        <w:rPr>
          <w:rFonts w:asciiTheme="majorHAnsi" w:hAnsiTheme="majorHAnsi"/>
          <w:sz w:val="22"/>
          <w:szCs w:val="22"/>
        </w:rPr>
      </w:pPr>
      <w:r w:rsidRPr="00E868DB">
        <w:rPr>
          <w:rFonts w:asciiTheme="majorHAnsi" w:hAnsiTheme="majorHAnsi"/>
          <w:b/>
          <w:bCs/>
          <w:sz w:val="22"/>
          <w:szCs w:val="22"/>
        </w:rPr>
        <w:t>Justification for the change</w:t>
      </w:r>
      <w:r w:rsidRPr="4C25E25E">
        <w:rPr>
          <w:rFonts w:asciiTheme="majorHAnsi" w:hAnsiTheme="majorHAnsi"/>
          <w:sz w:val="22"/>
          <w:szCs w:val="22"/>
        </w:rPr>
        <w:t>: Coalitions reported confusion with this question and needed more context, we have added an info button with examples: “Refers to any technology not previously utilized by businesses (sub-awardees, partners or beneficiaries) including but not limited to manufacturing, renewable and clean energy, Industry 4.0 and robotics, AI and Machine learning, etc."</w:t>
      </w:r>
    </w:p>
    <w:p w:rsidR="00983D20" w:rsidP="00983D20" w14:paraId="734B6247" w14:textId="77777777">
      <w:pPr>
        <w:rPr>
          <w:rFonts w:asciiTheme="majorHAnsi" w:hAnsiTheme="majorHAnsi"/>
          <w:sz w:val="22"/>
          <w:szCs w:val="22"/>
        </w:rPr>
      </w:pPr>
    </w:p>
    <w:p w:rsidR="00983D20" w:rsidP="00983D20" w14:paraId="2E0634C8" w14:textId="77777777">
      <w:pPr>
        <w:rPr>
          <w:rFonts w:asciiTheme="majorHAnsi" w:hAnsiTheme="majorHAnsi"/>
          <w:sz w:val="22"/>
          <w:szCs w:val="22"/>
        </w:rPr>
      </w:pPr>
    </w:p>
    <w:p w:rsidR="00983D20" w:rsidRPr="00F04855" w:rsidP="00983D20" w14:paraId="7B6A7BD3" w14:textId="64C3EDA2">
      <w:pPr>
        <w:textAlignment w:val="baseline"/>
        <w:rPr>
          <w:rFonts w:ascii="Calibri" w:eastAsia="Times New Roman" w:hAnsi="Calibri" w:cs="Calibri"/>
          <w:color w:val="000000"/>
        </w:rPr>
      </w:pPr>
      <w:r w:rsidRPr="4BEB9A81">
        <w:rPr>
          <w:rFonts w:asciiTheme="majorHAnsi" w:hAnsiTheme="majorHAnsi"/>
          <w:sz w:val="22"/>
          <w:szCs w:val="22"/>
        </w:rPr>
        <w:t xml:space="preserve">7. </w:t>
      </w:r>
      <w:r w:rsidRPr="4BEB9A81">
        <w:rPr>
          <w:rFonts w:ascii="Calibri" w:eastAsia="Times New Roman" w:hAnsi="Calibri" w:cs="Calibri"/>
          <w:color w:val="000000" w:themeColor="text1"/>
        </w:rPr>
        <w:t>Removed the following DEI Questions</w:t>
      </w:r>
      <w:r>
        <w:rPr>
          <w:rFonts w:ascii="Calibri" w:eastAsia="Times New Roman" w:hAnsi="Calibri" w:cs="Calibri"/>
          <w:color w:val="000000" w:themeColor="text1"/>
        </w:rPr>
        <w:t xml:space="preserve"> (note that </w:t>
      </w:r>
      <w:r w:rsidRPr="00D45C4B">
        <w:rPr>
          <w:rFonts w:ascii="Calibri" w:eastAsia="Times New Roman" w:hAnsi="Calibri" w:cs="Calibri"/>
          <w:color w:val="000000" w:themeColor="text1"/>
        </w:rPr>
        <w:t>the numbering reflects that of the existing</w:t>
      </w:r>
      <w:r w:rsidRPr="00983D20">
        <w:rPr>
          <w:rFonts w:ascii="Calibri" w:eastAsia="Times New Roman" w:hAnsi="Calibri" w:cs="Calibri"/>
          <w:color w:val="000000" w:themeColor="text1"/>
        </w:rPr>
        <w:t xml:space="preserve"> </w:t>
      </w:r>
      <w:r w:rsidRPr="00D45C4B">
        <w:rPr>
          <w:rFonts w:ascii="Calibri" w:eastAsia="Times New Roman" w:hAnsi="Calibri" w:cs="Calibri"/>
          <w:color w:val="000000" w:themeColor="text1"/>
        </w:rPr>
        <w:t>survey numbering</w:t>
      </w:r>
      <w:r>
        <w:rPr>
          <w:rFonts w:ascii="Calibri" w:eastAsia="Times New Roman" w:hAnsi="Calibri" w:cs="Calibri"/>
          <w:color w:val="000000" w:themeColor="text1"/>
        </w:rPr>
        <w:t>)</w:t>
      </w:r>
      <w:r w:rsidRPr="4BEB9A81">
        <w:rPr>
          <w:rFonts w:ascii="Calibri" w:eastAsia="Times New Roman" w:hAnsi="Calibri" w:cs="Calibri"/>
          <w:color w:val="000000" w:themeColor="text1"/>
        </w:rPr>
        <w:t>:</w:t>
      </w:r>
    </w:p>
    <w:p w:rsidR="00983D20" w:rsidRPr="00847184" w:rsidP="00983D20" w14:paraId="3F1D598B" w14:textId="77777777">
      <w:pPr>
        <w:shd w:val="clear" w:color="auto" w:fill="FFFFFF" w:themeFill="background1"/>
        <w:ind w:left="360" w:firstLine="720"/>
        <w:textAlignment w:val="baseline"/>
        <w:rPr>
          <w:rFonts w:ascii="Calibri" w:eastAsia="Times New Roman" w:hAnsi="Calibri" w:cs="Calibri"/>
          <w:b/>
          <w:bCs/>
          <w:color w:val="000000"/>
        </w:rPr>
      </w:pPr>
      <w:r w:rsidRPr="4BEB9A81">
        <w:rPr>
          <w:rFonts w:ascii="Calibri" w:eastAsia="Times New Roman" w:hAnsi="Calibri" w:cs="Calibri"/>
          <w:b/>
          <w:bCs/>
          <w:color w:val="000000" w:themeColor="text1"/>
        </w:rPr>
        <w:t>Q10a</w:t>
      </w:r>
    </w:p>
    <w:p w:rsidR="00983D20" w:rsidRPr="00847184" w:rsidP="00983D20" w14:paraId="64010821" w14:textId="77777777">
      <w:pPr>
        <w:shd w:val="clear" w:color="auto" w:fill="FFFFFF" w:themeFill="background1"/>
        <w:ind w:left="360" w:firstLine="720"/>
        <w:textAlignment w:val="baseline"/>
        <w:rPr>
          <w:rFonts w:ascii="Calibri" w:eastAsia="Times New Roman" w:hAnsi="Calibri" w:cs="Calibri"/>
          <w:b/>
          <w:bCs/>
          <w:color w:val="000000"/>
        </w:rPr>
      </w:pPr>
      <w:r w:rsidRPr="4BEB9A81">
        <w:rPr>
          <w:rFonts w:ascii="Calibri" w:eastAsia="Times New Roman" w:hAnsi="Calibri" w:cs="Calibri"/>
          <w:b/>
          <w:bCs/>
          <w:color w:val="000000" w:themeColor="text1"/>
        </w:rPr>
        <w:t>Q18a</w:t>
      </w:r>
    </w:p>
    <w:p w:rsidR="00983D20" w:rsidRPr="00847184" w:rsidP="00983D20" w14:paraId="16A1C3A4" w14:textId="77777777">
      <w:pPr>
        <w:shd w:val="clear" w:color="auto" w:fill="FFFFFF" w:themeFill="background1"/>
        <w:ind w:left="360" w:firstLine="720"/>
        <w:textAlignment w:val="baseline"/>
        <w:rPr>
          <w:rFonts w:ascii="Calibri" w:eastAsia="Times New Roman" w:hAnsi="Calibri" w:cs="Calibri"/>
          <w:b/>
          <w:bCs/>
          <w:color w:val="000000"/>
        </w:rPr>
      </w:pPr>
      <w:r w:rsidRPr="4BEB9A81">
        <w:rPr>
          <w:rFonts w:ascii="Calibri" w:eastAsia="Times New Roman" w:hAnsi="Calibri" w:cs="Calibri"/>
          <w:b/>
          <w:bCs/>
          <w:color w:val="000000" w:themeColor="text1"/>
        </w:rPr>
        <w:t>Q29a</w:t>
      </w:r>
    </w:p>
    <w:p w:rsidR="00983D20" w:rsidP="00983D20" w14:paraId="56DB2266" w14:textId="77777777">
      <w:pPr>
        <w:shd w:val="clear" w:color="auto" w:fill="FFFFFF"/>
        <w:textAlignment w:val="baseline"/>
        <w:rPr>
          <w:rFonts w:ascii="Calibri" w:eastAsia="Times New Roman" w:hAnsi="Calibri" w:cs="Calibri"/>
          <w:color w:val="000000"/>
        </w:rPr>
      </w:pPr>
    </w:p>
    <w:p w:rsidR="00983D20" w:rsidRPr="007E2BF1" w:rsidP="00983D20" w14:paraId="2FC38942" w14:textId="77777777">
      <w:pPr>
        <w:shd w:val="clear" w:color="auto" w:fill="FFFFFF" w:themeFill="background1"/>
        <w:ind w:left="360"/>
        <w:textAlignment w:val="baseline"/>
        <w:rPr>
          <w:rFonts w:ascii="Calibri" w:eastAsia="Times New Roman" w:hAnsi="Calibri" w:cs="Calibri"/>
          <w:color w:val="000000"/>
        </w:rPr>
      </w:pPr>
      <w:r w:rsidRPr="00E868DB">
        <w:rPr>
          <w:rFonts w:ascii="Calibri" w:eastAsia="Times New Roman" w:hAnsi="Calibri" w:cs="Calibri"/>
          <w:b/>
          <w:bCs/>
          <w:color w:val="000000" w:themeColor="text1"/>
        </w:rPr>
        <w:t>Justification for the change/removal</w:t>
      </w:r>
      <w:r w:rsidRPr="4BEB9A81">
        <w:rPr>
          <w:rFonts w:ascii="Calibri" w:eastAsia="Times New Roman" w:hAnsi="Calibri" w:cs="Calibri"/>
          <w:color w:val="000000" w:themeColor="text1"/>
        </w:rPr>
        <w:t>: Coalitions</w:t>
      </w:r>
      <w:r>
        <w:rPr>
          <w:rFonts w:ascii="Calibri" w:eastAsia="Times New Roman" w:hAnsi="Calibri" w:cs="Calibri"/>
          <w:color w:val="000000" w:themeColor="text1"/>
        </w:rPr>
        <w:t>/respondents</w:t>
      </w:r>
      <w:r w:rsidRPr="4BEB9A81">
        <w:rPr>
          <w:rFonts w:ascii="Calibri" w:eastAsia="Times New Roman" w:hAnsi="Calibri" w:cs="Calibri"/>
          <w:color w:val="000000" w:themeColor="text1"/>
        </w:rPr>
        <w:t xml:space="preserve"> reported a difficulty in gathering DEI information, EDA proposed these DEI sub questions as the least relevant/essential of the DEI questions, therefore decreasing burden of reporting for coalitions.</w:t>
      </w:r>
    </w:p>
    <w:p w:rsidR="00983D20" w:rsidRPr="00983D20" w:rsidP="00983D20" w14:paraId="5D735D84" w14:textId="7B757985"/>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20"/>
    <w:rsid w:val="00023C6E"/>
    <w:rsid w:val="000626CE"/>
    <w:rsid w:val="000B18EE"/>
    <w:rsid w:val="001A562C"/>
    <w:rsid w:val="003D4F09"/>
    <w:rsid w:val="00637335"/>
    <w:rsid w:val="006874F7"/>
    <w:rsid w:val="00753106"/>
    <w:rsid w:val="007E2BF1"/>
    <w:rsid w:val="00847184"/>
    <w:rsid w:val="008C4C44"/>
    <w:rsid w:val="00983D20"/>
    <w:rsid w:val="009C77F7"/>
    <w:rsid w:val="00A00B52"/>
    <w:rsid w:val="00AF55E4"/>
    <w:rsid w:val="00CC7723"/>
    <w:rsid w:val="00D45C4B"/>
    <w:rsid w:val="00D55DCA"/>
    <w:rsid w:val="00D644AC"/>
    <w:rsid w:val="00E01C3A"/>
    <w:rsid w:val="00E868DB"/>
    <w:rsid w:val="00F04855"/>
    <w:rsid w:val="00FC086F"/>
    <w:rsid w:val="4BEB9A81"/>
    <w:rsid w:val="4C25E2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86755"/>
  <w15:chartTrackingRefBased/>
  <w15:docId w15:val="{0E8E03C8-126E-48FD-9572-72CB793C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D20"/>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D2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83D20"/>
    <w:rPr>
      <w:color w:val="0563C1" w:themeColor="hyperlink"/>
      <w:u w:val="single"/>
    </w:rPr>
  </w:style>
  <w:style w:type="paragraph" w:styleId="ListParagraph">
    <w:name w:val="List Paragraph"/>
    <w:basedOn w:val="Normal"/>
    <w:uiPriority w:val="34"/>
    <w:qFormat/>
    <w:rsid w:val="00983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mb.report/icr/202305-0610-002" TargetMode="External" /><Relationship Id="rId5" Type="http://schemas.openxmlformats.org/officeDocument/2006/relationships/hyperlink" Target="https://www.federalregister.gov/documents/2022/12/29/2022-28286/2020-census-qualifying-urban-areas-and-final-criteria-clarifications" TargetMode="Externa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6020</Characters>
  <Application>Microsoft Office Word</Application>
  <DocSecurity>0</DocSecurity>
  <Lines>50</Lines>
  <Paragraphs>14</Paragraphs>
  <ScaleCrop>false</ScaleCrop>
  <Company>U.S. Department of Commerce</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1</cp:revision>
  <dcterms:created xsi:type="dcterms:W3CDTF">2023-12-15T18:35:00Z</dcterms:created>
  <dcterms:modified xsi:type="dcterms:W3CDTF">2023-12-15T18:40:00Z</dcterms:modified>
</cp:coreProperties>
</file>