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57C8A" w:rsidP="00357C8A" w14:paraId="6F287D57" w14:textId="77777777">
      <w:pPr>
        <w:jc w:val="center"/>
        <w:rPr>
          <w:rFonts w:eastAsia="Calibri"/>
        </w:rPr>
      </w:pPr>
      <w:r w:rsidRPr="00357C8A">
        <w:rPr>
          <w:rFonts w:eastAsia="Calibri"/>
        </w:rPr>
        <w:t>United States Food and Drug Administration</w:t>
      </w:r>
    </w:p>
    <w:p w:rsidR="00357C8A" w:rsidP="00357C8A" w14:paraId="7F5D762D" w14:textId="77777777">
      <w:pPr>
        <w:jc w:val="center"/>
        <w:rPr>
          <w:rFonts w:eastAsia="Calibri"/>
        </w:rPr>
      </w:pPr>
    </w:p>
    <w:p w:rsidR="00357C8A" w:rsidP="00357C8A" w14:paraId="3F8B9B0D" w14:textId="77777777">
      <w:pPr>
        <w:jc w:val="center"/>
        <w:rPr>
          <w:rFonts w:eastAsia="Calibri"/>
        </w:rPr>
      </w:pPr>
      <w:r>
        <w:rPr>
          <w:rFonts w:eastAsia="Calibri"/>
        </w:rPr>
        <w:t>New Animal Drugs for Investigational Use</w:t>
      </w:r>
    </w:p>
    <w:p w:rsidR="00357C8A" w:rsidP="00357C8A" w14:paraId="69C8218E" w14:textId="77777777">
      <w:pPr>
        <w:jc w:val="center"/>
        <w:rPr>
          <w:rFonts w:eastAsia="Calibri"/>
        </w:rPr>
      </w:pPr>
    </w:p>
    <w:p w:rsidR="00357C8A" w:rsidP="00357C8A" w14:paraId="3DBC2AA4" w14:textId="77777777">
      <w:pPr>
        <w:jc w:val="center"/>
        <w:rPr>
          <w:rFonts w:eastAsia="Calibri"/>
        </w:rPr>
      </w:pPr>
      <w:r w:rsidRPr="00357C8A">
        <w:rPr>
          <w:rFonts w:eastAsia="Calibri"/>
        </w:rPr>
        <w:t>OMB Control No. 0910-</w:t>
      </w:r>
      <w:r w:rsidR="00B23623">
        <w:rPr>
          <w:rFonts w:eastAsia="Calibri"/>
        </w:rPr>
        <w:t>0117</w:t>
      </w:r>
      <w:r w:rsidR="00727CDF">
        <w:rPr>
          <w:rFonts w:eastAsia="Calibri"/>
        </w:rPr>
        <w:t xml:space="preserve"> -- EXTENSION</w:t>
      </w:r>
    </w:p>
    <w:p w:rsidR="00357C8A" w:rsidP="00357C8A" w14:paraId="76BC9830" w14:textId="77777777">
      <w:pPr>
        <w:jc w:val="center"/>
        <w:rPr>
          <w:rFonts w:eastAsia="Calibri"/>
        </w:rPr>
      </w:pPr>
    </w:p>
    <w:p w:rsidR="00357C8A" w:rsidP="00357C8A" w14:paraId="3C2755A2" w14:textId="77777777">
      <w:pPr>
        <w:jc w:val="center"/>
        <w:rPr>
          <w:rFonts w:eastAsia="Calibri"/>
        </w:rPr>
      </w:pPr>
      <w:r w:rsidRPr="00357C8A">
        <w:rPr>
          <w:rFonts w:eastAsia="Calibri"/>
        </w:rPr>
        <w:t>SUPPORTING STATEMENT</w:t>
      </w:r>
    </w:p>
    <w:p w:rsidR="009B4DF2" w:rsidP="00357C8A" w14:paraId="4C0D0CC8" w14:textId="77777777">
      <w:pPr>
        <w:jc w:val="center"/>
        <w:rPr>
          <w:rFonts w:eastAsia="Calibri"/>
        </w:rPr>
      </w:pPr>
    </w:p>
    <w:p w:rsidR="00357C8A" w:rsidP="000D79CC" w14:paraId="2BB021D5" w14:textId="77777777">
      <w:pPr>
        <w:rPr>
          <w:rFonts w:eastAsia="Calibri"/>
        </w:rPr>
      </w:pPr>
      <w:r w:rsidRPr="00357C8A">
        <w:rPr>
          <w:rFonts w:eastAsia="Calibri"/>
          <w:b/>
        </w:rPr>
        <w:t>Part A:  Justification</w:t>
      </w:r>
      <w:r w:rsidRPr="00357C8A">
        <w:rPr>
          <w:rFonts w:eastAsia="Calibri"/>
        </w:rPr>
        <w:t>:</w:t>
      </w:r>
    </w:p>
    <w:p w:rsidR="000D79CC" w:rsidRPr="00357C8A" w:rsidP="000D79CC" w14:paraId="1F0EC5AB" w14:textId="77777777">
      <w:pPr>
        <w:rPr>
          <w:rFonts w:eastAsia="Calibri"/>
        </w:rPr>
      </w:pPr>
    </w:p>
    <w:p w:rsidR="00357C8A" w:rsidRPr="00357C8A" w:rsidP="006705EA" w14:paraId="14C1EA12"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B35ED" w:rsidRPr="00525A63" w:rsidP="00525A63" w14:paraId="6E3D69D0" w14:textId="77777777">
      <w:pPr>
        <w:spacing w:after="200" w:line="276" w:lineRule="auto"/>
        <w:rPr>
          <w:rFonts w:eastAsia="Calibri"/>
        </w:rPr>
      </w:pPr>
      <w:r w:rsidRPr="00525A63">
        <w:rPr>
          <w:rFonts w:eastAsia="Calibri"/>
        </w:rPr>
        <w:t xml:space="preserve">This information collection helps support implementation of Agency statutory and regulatory requirements regarding the approval of new animal drugs.  FDA has the authority under the Federal Food, Drug, and Cosmetic Act (FD&amp;C Act) to approve new animal drugs.  A new animal drug application (NADA) cannot be approved until, among other things, the new animal drug has been demonstrated to be safe and effective for its intended use(s).  In order to properly test a new animal drug for an intended use, appropriate scientific investigations must be conducted.  Under specific circumstances, section 512(j) of the FD&amp;C Act (21 U.S.C. 360b(j)) permits the use of an investigational new animal drug to generate data to support a NADA approval.  Section 512(j) of the FD&amp;C Act authorizes us to issue regulations relating to the investigational use of new animal drugs.   </w:t>
      </w:r>
    </w:p>
    <w:p w:rsidR="004B35ED" w:rsidRPr="00525A63" w:rsidP="000D2252" w14:paraId="45113005" w14:textId="3C35CBA8">
      <w:pPr>
        <w:spacing w:after="200" w:line="276" w:lineRule="auto"/>
        <w:rPr>
          <w:rFonts w:eastAsia="Calibri"/>
        </w:rPr>
      </w:pPr>
      <w:r w:rsidRPr="00525A63">
        <w:rPr>
          <w:rFonts w:eastAsia="Calibri"/>
        </w:rPr>
        <w:t xml:space="preserve">Our regulations in part 511 (21 CFR part 511) set forth the conditions for investigational use of new animal drugs and require reporting and recordkeeping to qualify for the exemption from section 512(a) of the FD&amp;C Act.    </w:t>
      </w:r>
    </w:p>
    <w:p w:rsidR="00B23623" w:rsidRPr="00525A63" w:rsidP="00B23623" w14:paraId="3F6C198A" w14:textId="7420BBED">
      <w:r w:rsidRPr="00525A63">
        <w:rPr>
          <w:rFonts w:eastAsia="Calibri"/>
        </w:rPr>
        <w:t xml:space="preserve">Our regulations require that certain information be submitted to us in a "Notice of Claimed Investigational Exemption for a New Animal Drug" (NCIE) to qualify for the exemption and to control shipment of the new animal drug and prevent potential abuse.  We also require reporting by importers of investigational new animal drugs for clinical investigational use in animals (§ 511.1(b)(9)).  </w:t>
      </w:r>
    </w:p>
    <w:p w:rsidR="00B23623" w:rsidRPr="00525A63" w:rsidP="009A6CB7" w14:paraId="311CA84A" w14:textId="77777777"/>
    <w:p w:rsidR="00B23623" w:rsidRPr="007619A0" w:rsidP="009A6CB7" w14:paraId="3370DA9A" w14:textId="77777777">
      <w:r w:rsidRPr="00525A63">
        <w:t xml:space="preserve">Sponsors </w:t>
      </w:r>
      <w:r w:rsidRPr="00525A63">
        <w:rPr>
          <w:rFonts w:eastAsia="Calibri"/>
        </w:rPr>
        <w:t xml:space="preserve">use </w:t>
      </w:r>
      <w:r w:rsidRPr="00525A63">
        <w:rPr>
          <w:rFonts w:eastAsia="Calibri"/>
        </w:rPr>
        <w:t>eSubmitter</w:t>
      </w:r>
      <w:r w:rsidRPr="00525A63">
        <w:rPr>
          <w:rFonts w:eastAsia="Calibri"/>
        </w:rPr>
        <w:t>, a secure online, question-based submission tool, to submit the NCIE electronic</w:t>
      </w:r>
      <w:r>
        <w:rPr>
          <w:rFonts w:eastAsia="Calibri"/>
        </w:rPr>
        <w:t xml:space="preserve">ally </w:t>
      </w:r>
      <w:r w:rsidRPr="007F39E4">
        <w:rPr>
          <w:rFonts w:eastAsia="Calibri"/>
        </w:rPr>
        <w:t>(</w:t>
      </w:r>
      <w:hyperlink r:id="rId6" w:history="1">
        <w:r w:rsidRPr="004D4301">
          <w:rPr>
            <w:rStyle w:val="Hyperlink"/>
          </w:rPr>
          <w:t>https://www.fda.gov/industry/fda-esubmitter/cvm-esubmitter-programs</w:t>
        </w:r>
      </w:hyperlink>
      <w:r w:rsidRPr="004D4301">
        <w:rPr>
          <w:rStyle w:val="Hyperlink"/>
        </w:rPr>
        <w:t>)</w:t>
      </w:r>
      <w:r w:rsidRPr="004D4301">
        <w:rPr>
          <w:rFonts w:eastAsia="Calibri"/>
        </w:rPr>
        <w:t xml:space="preserve">. </w:t>
      </w:r>
      <w:r w:rsidRPr="004D4301">
        <w:t xml:space="preserve"> </w:t>
      </w:r>
    </w:p>
    <w:p w:rsidR="00423272" w:rsidRPr="005C71CA" w:rsidP="00423272" w14:paraId="0B7F16DF" w14:textId="77777777">
      <w:pPr>
        <w:rPr>
          <w:rFonts w:eastAsia="Calibri"/>
        </w:rPr>
      </w:pPr>
    </w:p>
    <w:p w:rsidR="00423272" w:rsidP="00423272" w14:paraId="259D2315" w14:textId="77777777">
      <w:pPr>
        <w:rPr>
          <w:rFonts w:eastAsia="Calibri"/>
        </w:rPr>
      </w:pPr>
    </w:p>
    <w:p w:rsidR="00423272" w:rsidP="00423272" w14:paraId="1857ADB4" w14:textId="26D6716E">
      <w:pPr>
        <w:rPr>
          <w:rFonts w:eastAsia="Calibri"/>
        </w:rPr>
      </w:pPr>
      <w:r w:rsidRPr="005C71CA">
        <w:rPr>
          <w:rFonts w:eastAsia="Calibri"/>
        </w:rPr>
        <w:t>We therefore request OMB extension of OMB approval of</w:t>
      </w:r>
      <w:r w:rsidR="00B23623">
        <w:rPr>
          <w:rFonts w:eastAsia="Calibri"/>
        </w:rPr>
        <w:t xml:space="preserve"> </w:t>
      </w:r>
      <w:r w:rsidR="0037462A">
        <w:rPr>
          <w:rFonts w:eastAsia="Calibri"/>
        </w:rPr>
        <w:t xml:space="preserve">the information collection </w:t>
      </w:r>
      <w:r w:rsidR="00B23623">
        <w:rPr>
          <w:rFonts w:eastAsia="Calibri"/>
        </w:rPr>
        <w:t>provisions</w:t>
      </w:r>
      <w:r w:rsidRPr="005C71CA">
        <w:rPr>
          <w:rFonts w:eastAsia="Calibri"/>
        </w:rPr>
        <w:t xml:space="preserve"> found in </w:t>
      </w:r>
      <w:r w:rsidR="00B23623">
        <w:rPr>
          <w:rFonts w:eastAsia="Calibri"/>
        </w:rPr>
        <w:t>21 CFR part 511</w:t>
      </w:r>
      <w:r w:rsidR="00525A63">
        <w:rPr>
          <w:rFonts w:eastAsia="Calibri"/>
        </w:rPr>
        <w:t xml:space="preserve"> and </w:t>
      </w:r>
      <w:r w:rsidR="0037462A">
        <w:rPr>
          <w:rFonts w:eastAsia="Calibri"/>
        </w:rPr>
        <w:t xml:space="preserve">the </w:t>
      </w:r>
      <w:r w:rsidR="00525A63">
        <w:rPr>
          <w:rFonts w:eastAsia="Calibri"/>
        </w:rPr>
        <w:t>related</w:t>
      </w:r>
      <w:r w:rsidR="0037462A">
        <w:rPr>
          <w:rFonts w:eastAsia="Calibri"/>
        </w:rPr>
        <w:t xml:space="preserve"> collection</w:t>
      </w:r>
      <w:r w:rsidR="00525A63">
        <w:rPr>
          <w:rFonts w:eastAsia="Calibri"/>
        </w:rPr>
        <w:t xml:space="preserve"> instruments,</w:t>
      </w:r>
      <w:r w:rsidRPr="005C71CA">
        <w:rPr>
          <w:rFonts w:eastAsia="Calibri"/>
        </w:rPr>
        <w:t xml:space="preserve"> as discussed in this supporting statement.</w:t>
      </w:r>
    </w:p>
    <w:p w:rsidR="00525A63" w:rsidRPr="00423272" w:rsidP="00423272" w14:paraId="7A682173" w14:textId="77777777">
      <w:pPr>
        <w:rPr>
          <w:rFonts w:eastAsia="Calibri"/>
          <w:i/>
        </w:rPr>
      </w:pPr>
    </w:p>
    <w:p w:rsidR="00357C8A" w:rsidRPr="00357C8A" w:rsidP="006705EA" w14:paraId="49C303E2"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D7290" w:rsidP="0022425B" w14:paraId="339AB32B" w14:textId="77777777">
      <w:pPr>
        <w:spacing w:after="200"/>
        <w:rPr>
          <w:rFonts w:eastAsia="Calibri"/>
        </w:rPr>
      </w:pPr>
      <w:r w:rsidRPr="00525A63">
        <w:rPr>
          <w:rFonts w:eastAsia="Calibri"/>
        </w:rPr>
        <w:t xml:space="preserve">The information collected is necessary to protect </w:t>
      </w:r>
      <w:r w:rsidRPr="00525A63">
        <w:rPr>
          <w:rFonts w:eastAsia="Calibri"/>
        </w:rPr>
        <w:t>the public</w:t>
      </w:r>
      <w:r w:rsidRPr="00525A63">
        <w:rPr>
          <w:rFonts w:eastAsia="Calibri"/>
        </w:rPr>
        <w:t xml:space="preserve"> health.  We use the information to determine that investigational animal drugs are distributed only to qualified investigators, adequate drug accountability records are maintained, and edible food products from treated food-producing animals are safe for human consumption.  We also use the information collected to monitor the validity of the studies submitted to us to support new animal drug approval.</w:t>
      </w:r>
    </w:p>
    <w:p w:rsidR="00357C8A" w:rsidP="0022425B" w14:paraId="5978E438" w14:textId="647690B7">
      <w:pPr>
        <w:spacing w:after="200"/>
        <w:rPr>
          <w:rFonts w:eastAsia="Calibri"/>
          <w:color w:val="FF0000"/>
        </w:rPr>
      </w:pPr>
      <w:r>
        <w:t>The information provided by the sponsor in the NCIE is needed to help ensure that the proposed investigational use of the new animal drug is safe and that any edible food will not be distributed without proper authorization from FDA.  Information contained in an NCIE submission is monitored under our Bioresearch Monitoring Program.  This program permits us to monitor the validity of the studies and to help ensure the proper use of the drugs is maintained by the investigators.</w:t>
      </w:r>
    </w:p>
    <w:p w:rsidR="0061143F" w:rsidRPr="00357C8A" w:rsidP="0022425B" w14:paraId="0DD8207F" w14:textId="77777777">
      <w:pPr>
        <w:spacing w:after="200"/>
        <w:rPr>
          <w:rFonts w:eastAsia="Calibri"/>
          <w:color w:val="FF0000"/>
        </w:rPr>
      </w:pPr>
      <w:r w:rsidRPr="43CE2378">
        <w:rPr>
          <w:i/>
          <w:iCs/>
        </w:rPr>
        <w:t>Description of Respondents:</w:t>
      </w:r>
      <w:r>
        <w:t xml:space="preserve">  Respondents to this collection of information are persons who use new animal drugs for investigational purposes.  Investigational new animal drugs are used primarily by drug industry firms, academic institutions, and the government (i.e., sponsors of investigational new animal drugs).  Investigators may include individuals from these entities, as well as research firms and members of the medical professions.  Both fee-paying and non-fee-paying sponsors are respondents with respect to this information collection.</w:t>
      </w:r>
    </w:p>
    <w:p w:rsidR="00357C8A" w:rsidRPr="00357C8A" w:rsidP="006705EA" w14:paraId="37636E0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BC64B3" w:rsidP="0061143F" w14:paraId="5F19FAB8" w14:textId="7ACE5E0F">
      <w:pPr>
        <w:spacing w:after="200"/>
        <w:rPr>
          <w:rFonts w:eastAsia="Calibri"/>
        </w:rPr>
      </w:pPr>
      <w:r w:rsidRPr="0061143F">
        <w:rPr>
          <w:rFonts w:eastAsia="Calibri"/>
        </w:rPr>
        <w:t xml:space="preserve">The animal health industry may use </w:t>
      </w:r>
      <w:r w:rsidRPr="0061143F">
        <w:rPr>
          <w:rFonts w:eastAsia="Calibri"/>
        </w:rPr>
        <w:t>eSubmitter</w:t>
      </w:r>
      <w:r w:rsidRPr="0061143F">
        <w:rPr>
          <w:rFonts w:eastAsia="Calibri"/>
        </w:rPr>
        <w:t>, a secure online submission tool, for all submissions related to the investigation of new animal drugs for approval</w:t>
      </w:r>
      <w:r w:rsidR="005D7290">
        <w:rPr>
          <w:rFonts w:eastAsia="Calibri"/>
        </w:rPr>
        <w:t xml:space="preserve">, </w:t>
      </w:r>
      <w:r w:rsidR="009B2963">
        <w:rPr>
          <w:rFonts w:eastAsia="Calibri"/>
        </w:rPr>
        <w:t xml:space="preserve">to submit </w:t>
      </w:r>
      <w:r w:rsidR="005D7290">
        <w:rPr>
          <w:rFonts w:eastAsia="Calibri"/>
        </w:rPr>
        <w:t>the NCIE</w:t>
      </w:r>
      <w:r w:rsidRPr="0061143F">
        <w:rPr>
          <w:rFonts w:eastAsia="Calibri"/>
        </w:rPr>
        <w:t xml:space="preserve">. </w:t>
      </w:r>
      <w:r w:rsidR="009B2963">
        <w:rPr>
          <w:rFonts w:eastAsia="Calibri"/>
        </w:rPr>
        <w:t xml:space="preserve"> Instructio</w:t>
      </w:r>
      <w:r>
        <w:rPr>
          <w:rFonts w:eastAsia="Calibri"/>
        </w:rPr>
        <w:t>n</w:t>
      </w:r>
      <w:r w:rsidR="009B2963">
        <w:rPr>
          <w:rFonts w:eastAsia="Calibri"/>
        </w:rPr>
        <w:t>s for submission can be found</w:t>
      </w:r>
      <w:r>
        <w:rPr>
          <w:rFonts w:eastAsia="Calibri"/>
        </w:rPr>
        <w:t xml:space="preserve"> at</w:t>
      </w:r>
      <w:r w:rsidR="009B2963">
        <w:rPr>
          <w:rFonts w:eastAsia="Calibri"/>
        </w:rPr>
        <w:t xml:space="preserve"> </w:t>
      </w:r>
      <w:hyperlink r:id="rId7" w:history="1">
        <w:r w:rsidRPr="00BC64B3">
          <w:rPr>
            <w:rStyle w:val="Hyperlink"/>
            <w:rFonts w:eastAsia="Calibri"/>
          </w:rPr>
          <w:t>https://www.fda.gov/media/75464/download</w:t>
        </w:r>
      </w:hyperlink>
      <w:r>
        <w:rPr>
          <w:rFonts w:eastAsia="Calibri"/>
        </w:rPr>
        <w:t>.</w:t>
      </w:r>
      <w:r w:rsidRPr="0061143F">
        <w:rPr>
          <w:rFonts w:eastAsia="Calibri"/>
        </w:rPr>
        <w:t xml:space="preserve"> </w:t>
      </w:r>
    </w:p>
    <w:p w:rsidR="00357C8A" w:rsidRPr="00357C8A" w:rsidP="0061143F" w14:paraId="7C8187E4" w14:textId="66798616">
      <w:pPr>
        <w:spacing w:after="200"/>
        <w:rPr>
          <w:rFonts w:eastAsia="Calibri"/>
        </w:rPr>
      </w:pPr>
      <w:r w:rsidRPr="0061143F">
        <w:rPr>
          <w:rFonts w:eastAsia="Calibri"/>
        </w:rPr>
        <w:t xml:space="preserve">CVM’s </w:t>
      </w:r>
      <w:r w:rsidRPr="0061143F">
        <w:rPr>
          <w:rFonts w:eastAsia="Calibri"/>
        </w:rPr>
        <w:t>eSubmitter</w:t>
      </w:r>
      <w:r w:rsidRPr="0061143F">
        <w:rPr>
          <w:rFonts w:eastAsia="Calibri"/>
        </w:rPr>
        <w:t xml:space="preserve"> program is an electronic, question-based tool for submitting information electronically through the FDA Electronic Submission Gateway (ESG) and CVM Electronic Submission System (ESS).</w:t>
      </w:r>
      <w:r>
        <w:rPr>
          <w:rFonts w:eastAsia="Calibri"/>
        </w:rPr>
        <w:t xml:space="preserve">  T</w:t>
      </w:r>
      <w:r w:rsidRPr="0061143F">
        <w:rPr>
          <w:rFonts w:eastAsia="Calibri"/>
        </w:rPr>
        <w:t xml:space="preserve">hese submissions </w:t>
      </w:r>
      <w:r>
        <w:rPr>
          <w:rFonts w:eastAsia="Calibri"/>
        </w:rPr>
        <w:t>ar</w:t>
      </w:r>
      <w:r w:rsidRPr="0061143F">
        <w:rPr>
          <w:rFonts w:eastAsia="Calibri"/>
        </w:rPr>
        <w:t xml:space="preserve">e submitted </w:t>
      </w:r>
      <w:r>
        <w:rPr>
          <w:rFonts w:eastAsia="Calibri"/>
        </w:rPr>
        <w:t xml:space="preserve">100% </w:t>
      </w:r>
      <w:r w:rsidRPr="0061143F">
        <w:rPr>
          <w:rFonts w:eastAsia="Calibri"/>
        </w:rPr>
        <w:t>electronically</w:t>
      </w:r>
      <w:r>
        <w:rPr>
          <w:rFonts w:eastAsia="Calibri"/>
        </w:rPr>
        <w:t>.</w:t>
      </w:r>
      <w:r w:rsidR="004B35ED">
        <w:rPr>
          <w:rFonts w:eastAsia="Calibri"/>
        </w:rPr>
        <w:t xml:space="preserve">  </w:t>
      </w:r>
      <w:r w:rsidRPr="00D462D8" w:rsidR="004B35ED">
        <w:rPr>
          <w:rFonts w:eastAsia="Calibri"/>
        </w:rPr>
        <w:t>Information collection associated with electronic records is currently approved under OMB control number 0910-0303</w:t>
      </w:r>
      <w:r w:rsidR="004B35ED">
        <w:rPr>
          <w:rFonts w:eastAsia="Calibri"/>
        </w:rPr>
        <w:t>.</w:t>
      </w:r>
    </w:p>
    <w:p w:rsidR="00357C8A" w:rsidRPr="00357C8A" w:rsidP="006705EA" w14:paraId="1047254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3380B" w:rsidP="0053380B" w14:paraId="146CBFA0" w14:textId="77777777">
      <w:pPr>
        <w:spacing w:after="200"/>
        <w:rPr>
          <w:rFonts w:eastAsia="Calibri"/>
          <w:color w:val="FF0000"/>
        </w:rPr>
      </w:pPr>
      <w:r w:rsidRPr="005C71CA">
        <w:t>We are unaware of duplicative information collection.</w:t>
      </w:r>
    </w:p>
    <w:p w:rsidR="00357C8A" w:rsidRPr="00357C8A" w:rsidP="006705EA" w14:paraId="2B00198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3DDFC63A" w14:textId="77777777">
      <w:pPr>
        <w:spacing w:after="200"/>
        <w:rPr>
          <w:rFonts w:eastAsia="Calibri"/>
        </w:rPr>
      </w:pPr>
      <w:r w:rsidRPr="43CE2378">
        <w:rPr>
          <w:rFonts w:eastAsia="Calibri"/>
        </w:rPr>
        <w:t xml:space="preserve">There is no exemption from the section 512(j) of the FD&amp;C Act for small businesses.  We believe that our requirements for new animal drugs for investigational uses impose the minimal information collection burden necessary while still allowing us to ensure the safety of the program.  FDA assists small businesses in complying with its regulatory requirements through Regional Small Business Representatives and through the scientific and administrative staffs within the agency. We also provide guidance on our website at </w:t>
      </w:r>
      <w:hyperlink r:id="rId8">
        <w:r w:rsidRPr="43CE2378">
          <w:rPr>
            <w:rFonts w:eastAsia="Calibri"/>
            <w:color w:val="0563C1"/>
            <w:u w:val="single"/>
          </w:rPr>
          <w:t>http://www.fda.gov/ForIndustry/SmallBusinessAssistance/default.htm</w:t>
        </w:r>
      </w:hyperlink>
      <w:r w:rsidRPr="43CE2378">
        <w:rPr>
          <w:rFonts w:eastAsia="Calibri"/>
        </w:rPr>
        <w:t>.  We estimate that approximately 93% of respondents are small businesses.</w:t>
      </w:r>
    </w:p>
    <w:p w:rsidR="00357C8A" w:rsidP="006705EA" w14:paraId="4CC480C7" w14:textId="3F901B86">
      <w:pPr>
        <w:numPr>
          <w:ilvl w:val="0"/>
          <w:numId w:val="6"/>
        </w:numPr>
        <w:spacing w:after="200" w:line="276" w:lineRule="auto"/>
        <w:rPr>
          <w:rFonts w:eastAsia="Calibri"/>
          <w:u w:val="single"/>
        </w:rPr>
      </w:pPr>
      <w:r w:rsidRPr="43CE2378">
        <w:rPr>
          <w:rFonts w:eastAsia="Calibri"/>
          <w:u w:val="single"/>
        </w:rPr>
        <w:t>Consequences of Collecting the Information Less Frequently</w:t>
      </w:r>
    </w:p>
    <w:p w:rsidR="000364ED" w:rsidRPr="00D10DC4" w:rsidP="00D10DC4" w14:paraId="167CB8E0" w14:textId="34EF71A1">
      <w:pPr>
        <w:spacing w:after="200" w:line="276" w:lineRule="auto"/>
        <w:rPr>
          <w:rFonts w:eastAsia="Calibri"/>
        </w:rPr>
      </w:pPr>
      <w:r w:rsidRPr="00D10DC4">
        <w:rPr>
          <w:rFonts w:eastAsia="Calibri"/>
        </w:rPr>
        <w:t>The information collection schedule is consistent with statutory requirements and applicable regulations.</w:t>
      </w:r>
    </w:p>
    <w:p w:rsidR="00357C8A" w:rsidRPr="00357C8A" w:rsidP="006705EA" w14:paraId="2713EF56"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61143F" w14:paraId="42D18571" w14:textId="77777777">
      <w:pPr>
        <w:spacing w:after="200"/>
        <w:rPr>
          <w:rFonts w:eastAsia="Calibri"/>
        </w:rPr>
      </w:pPr>
      <w:r w:rsidRPr="0061143F">
        <w:rPr>
          <w:rFonts w:eastAsia="Calibri"/>
        </w:rPr>
        <w:t>There are no special circumstances for this collection of information.</w:t>
      </w:r>
    </w:p>
    <w:p w:rsidR="00357C8A" w:rsidRPr="00357C8A" w:rsidP="006705EA" w14:paraId="7AF919A9"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357C8A" w:rsidP="00357C8A" w14:paraId="415A71E3" w14:textId="2B7E5E00">
      <w:pPr>
        <w:spacing w:after="200"/>
        <w:rPr>
          <w:rFonts w:eastAsia="Calibri"/>
          <w:color w:val="FF0000"/>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7073F2">
        <w:rPr>
          <w:rFonts w:eastAsia="Calibri"/>
        </w:rPr>
        <w:t>May 2, 2024 (89</w:t>
      </w:r>
      <w:r w:rsidR="009009E7">
        <w:rPr>
          <w:rFonts w:eastAsia="Calibri"/>
        </w:rPr>
        <w:t xml:space="preserve"> FR </w:t>
      </w:r>
      <w:r w:rsidR="007073F2">
        <w:rPr>
          <w:rFonts w:eastAsia="Calibri"/>
        </w:rPr>
        <w:t>35838).</w:t>
      </w:r>
      <w:r w:rsidR="007D4CA1">
        <w:rPr>
          <w:rFonts w:eastAsia="Calibri"/>
        </w:rPr>
        <w:t xml:space="preserve">  No comments were </w:t>
      </w:r>
      <w:r w:rsidR="007D4CA1">
        <w:rPr>
          <w:rFonts w:eastAsia="Calibri"/>
        </w:rPr>
        <w:t>received</w:t>
      </w:r>
      <w:r w:rsidR="007D4CA1">
        <w:rPr>
          <w:rFonts w:eastAsia="Calibri"/>
        </w:rPr>
        <w:t>.</w:t>
      </w:r>
    </w:p>
    <w:p w:rsidR="00357C8A" w:rsidRPr="00357C8A" w:rsidP="006705EA" w14:paraId="45CFF74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564ECC51"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4C0DE491"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25A63" w:rsidP="00D10DC4" w14:paraId="0872ACAA" w14:textId="543E02F4">
      <w:pPr>
        <w:spacing w:after="200" w:line="276" w:lineRule="auto"/>
        <w:rPr>
          <w:rFonts w:eastAsia="Calibri"/>
        </w:rPr>
      </w:pPr>
      <w:r w:rsidRPr="00582FB0">
        <w:rPr>
          <w:rFonts w:eastAsia="Calibri"/>
        </w:rPr>
        <w:t>In preparing this Supporting Statement, we consulted our Privacy Office to ensure appropriate identification and handling of information collected.</w:t>
      </w:r>
      <w:r w:rsidR="00FC12C3">
        <w:rPr>
          <w:rFonts w:eastAsia="Calibri"/>
        </w:rPr>
        <w:t xml:space="preserve"> </w:t>
      </w:r>
      <w:r w:rsidRPr="00B11062">
        <w:rPr>
          <w:rFonts w:eastAsia="Calibri"/>
        </w:rPr>
        <w:t>Data will be kept private to the extent allowed by law.</w:t>
      </w:r>
      <w:r>
        <w:rPr>
          <w:rFonts w:eastAsia="Calibri"/>
        </w:rPr>
        <w:tab/>
      </w:r>
    </w:p>
    <w:p w:rsidR="00582FB0" w:rsidRPr="00582FB0" w:rsidP="00582FB0" w14:paraId="5500158B" w14:textId="584C76B4">
      <w:pPr>
        <w:spacing w:after="200" w:line="276" w:lineRule="auto"/>
        <w:ind w:left="360"/>
        <w:rPr>
          <w:rFonts w:eastAsia="Calibri"/>
          <w:i/>
          <w:iCs/>
        </w:rPr>
      </w:pPr>
      <w:r w:rsidRPr="00582FB0">
        <w:rPr>
          <w:rFonts w:eastAsia="Calibri"/>
          <w:i/>
          <w:iCs/>
        </w:rPr>
        <w:t>The Privacy Act of 1974</w:t>
      </w:r>
    </w:p>
    <w:p w:rsidR="00582FB0" w:rsidRPr="00582FB0" w:rsidP="00D10DC4" w14:paraId="654E0637" w14:textId="41181C3D">
      <w:pPr>
        <w:spacing w:after="200" w:line="276" w:lineRule="auto"/>
        <w:rPr>
          <w:rFonts w:eastAsia="Calibri"/>
        </w:rPr>
      </w:pPr>
      <w:r w:rsidRPr="00582FB0">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includes point of contact name, business address, and point of contact signature. </w:t>
      </w:r>
      <w:r w:rsidRPr="00582FB0">
        <w:rPr>
          <w:rFonts w:eastAsia="Calibri"/>
        </w:rPr>
        <w:t>FDA</w:t>
      </w:r>
      <w:r w:rsidRPr="00582FB0">
        <w:rPr>
          <w:rFonts w:eastAsia="Calibri"/>
        </w:rPr>
        <w:t xml:space="preserve">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582FB0" w:rsidRPr="00582FB0" w:rsidP="00582FB0" w14:paraId="3B3E4860" w14:textId="6E9D01C8">
      <w:pPr>
        <w:spacing w:after="200"/>
        <w:ind w:left="360" w:firstLine="360"/>
        <w:rPr>
          <w:rFonts w:eastAsia="Calibri"/>
          <w:i/>
          <w:iCs/>
        </w:rPr>
      </w:pPr>
      <w:r w:rsidRPr="00582FB0">
        <w:rPr>
          <w:rFonts w:eastAsia="Calibri"/>
          <w:i/>
          <w:iCs/>
        </w:rPr>
        <w:t>Freedom of Information Act</w:t>
      </w:r>
    </w:p>
    <w:p w:rsidR="00357C8A" w:rsidP="00D10DC4" w14:paraId="40CE7B93" w14:textId="7250022F">
      <w:pPr>
        <w:spacing w:before="100" w:beforeAutospacing="1" w:after="100" w:afterAutospacing="1"/>
        <w:rPr>
          <w:rFonts w:eastAsia="Calibri"/>
          <w:color w:val="FF0000"/>
        </w:rPr>
      </w:pPr>
      <w:r w:rsidRPr="00582FB0">
        <w:rPr>
          <w:rFonts w:eastAsia="Calibri"/>
        </w:rPr>
        <w:t>Under the Freedom of Information Act (FOIA) (5 U.S.C. 552), the public has broad access to government documents. However, FOIA provides certain exemptions from mandatory public disclosure of government records (5 U.S.C. 552(b</w:t>
      </w:r>
      <w:r w:rsidRPr="00582FB0">
        <w:rPr>
          <w:rFonts w:eastAsia="Calibri"/>
        </w:rPr>
        <w:t>)(</w:t>
      </w:r>
      <w:r w:rsidRPr="00582FB0">
        <w:rPr>
          <w:rFonts w:eastAsia="Calibri"/>
        </w:rPr>
        <w:t>1-9)).  FDA will make the fullest possible disclosure of records to the public, consistent with the rights of individuals to privacy, the property rights of persons in trade and confidential commercial or financial information</w:t>
      </w:r>
    </w:p>
    <w:p w:rsidR="00357C8A" w:rsidRPr="00357C8A" w:rsidP="00D10DC4" w14:paraId="3E853022" w14:textId="77777777">
      <w:pPr>
        <w:numPr>
          <w:ilvl w:val="0"/>
          <w:numId w:val="6"/>
        </w:numPr>
        <w:spacing w:before="100" w:beforeAutospacing="1" w:after="100" w:afterAutospacing="1" w:line="276" w:lineRule="auto"/>
        <w:rPr>
          <w:rFonts w:eastAsia="Calibri"/>
        </w:rPr>
      </w:pPr>
      <w:r w:rsidRPr="00357C8A">
        <w:rPr>
          <w:rFonts w:eastAsia="Calibri"/>
          <w:u w:val="single"/>
        </w:rPr>
        <w:t>Justification for Sensitive Questions</w:t>
      </w:r>
    </w:p>
    <w:p w:rsidR="00525A63" w:rsidP="0022425B" w14:paraId="169455D5" w14:textId="7D4BAA55">
      <w:pPr>
        <w:spacing w:after="200"/>
        <w:rPr>
          <w:rFonts w:eastAsia="Calibri"/>
        </w:rPr>
      </w:pPr>
      <w:r w:rsidRPr="00E06FA5">
        <w:rPr>
          <w:rFonts w:eastAsia="Calibri"/>
        </w:rPr>
        <w:t>The collection of information does not involve sensitive questions.</w:t>
      </w:r>
    </w:p>
    <w:p w:rsidR="00525A63" w14:paraId="5AD27736" w14:textId="77777777">
      <w:pPr>
        <w:rPr>
          <w:rFonts w:eastAsia="Calibri"/>
        </w:rPr>
      </w:pPr>
      <w:r>
        <w:rPr>
          <w:rFonts w:eastAsia="Calibri"/>
        </w:rPr>
        <w:br w:type="page"/>
      </w:r>
    </w:p>
    <w:p w:rsidR="00357C8A" w:rsidRPr="00357C8A" w:rsidP="006705EA" w14:paraId="53AD78CF"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41009263" w14:textId="77777777">
      <w:pPr>
        <w:spacing w:after="200"/>
        <w:ind w:left="360"/>
        <w:rPr>
          <w:rFonts w:eastAsia="Calibri"/>
        </w:rPr>
      </w:pPr>
      <w:r w:rsidRPr="005C71CA">
        <w:rPr>
          <w:rFonts w:eastAsia="Calibri"/>
        </w:rPr>
        <w:t>12a.  Annualized Hour Burden Estimate</w:t>
      </w:r>
    </w:p>
    <w:p w:rsidR="00C40A0D" w:rsidP="009A6CB7" w14:paraId="73EF5FD1" w14:textId="6A0428C0">
      <w:pPr>
        <w:ind w:left="360"/>
        <w:jc w:val="center"/>
        <w:rPr>
          <w:rFonts w:eastAsia="Calibri"/>
          <w:i/>
        </w:rPr>
      </w:pPr>
      <w:r w:rsidRPr="00D0402C">
        <w:rPr>
          <w:sz w:val="20"/>
          <w:szCs w:val="20"/>
        </w:rPr>
        <w:t xml:space="preserve">Table </w:t>
      </w:r>
      <w:r>
        <w:rPr>
          <w:sz w:val="20"/>
          <w:szCs w:val="20"/>
        </w:rPr>
        <w:t>1</w:t>
      </w:r>
      <w:r w:rsidRPr="00D0402C">
        <w:rPr>
          <w:sz w:val="20"/>
          <w:szCs w:val="20"/>
        </w:rPr>
        <w:t>.--</w:t>
      </w:r>
      <w:r w:rsidRPr="00D0402C">
        <w:rPr>
          <w:sz w:val="20"/>
          <w:szCs w:val="20"/>
        </w:rPr>
        <w:t>Estimated Annual</w:t>
      </w:r>
      <w:r>
        <w:rPr>
          <w:sz w:val="20"/>
          <w:szCs w:val="20"/>
        </w:rPr>
        <w:t xml:space="preserve"> Reporting</w:t>
      </w:r>
      <w:r w:rsidRPr="00D0402C">
        <w:rPr>
          <w:sz w:val="20"/>
          <w:szCs w:val="20"/>
        </w:rPr>
        <w:t xml:space="preserve">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7"/>
        <w:gridCol w:w="1239"/>
        <w:gridCol w:w="1352"/>
        <w:gridCol w:w="1061"/>
        <w:gridCol w:w="1180"/>
        <w:gridCol w:w="895"/>
      </w:tblGrid>
      <w:tr w14:paraId="39BD3111" w14:textId="77777777" w:rsidTr="00E06FA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2000" w:type="pct"/>
            <w:shd w:val="clear" w:color="auto" w:fill="auto"/>
          </w:tcPr>
          <w:p w:rsidR="00E06FA5" w:rsidRPr="007E3BEC" w:rsidP="00C40A0D" w14:paraId="413BB8CE" w14:textId="77777777">
            <w:pPr>
              <w:jc w:val="center"/>
              <w:rPr>
                <w:sz w:val="20"/>
                <w:szCs w:val="20"/>
              </w:rPr>
            </w:pPr>
            <w:r w:rsidRPr="007E3BEC">
              <w:rPr>
                <w:sz w:val="20"/>
                <w:szCs w:val="20"/>
              </w:rPr>
              <w:t>21 CFR Section/Activity</w:t>
            </w:r>
          </w:p>
        </w:tc>
        <w:tc>
          <w:tcPr>
            <w:tcW w:w="602" w:type="pct"/>
            <w:shd w:val="clear" w:color="auto" w:fill="auto"/>
          </w:tcPr>
          <w:p w:rsidR="00E06FA5" w:rsidRPr="007E3BEC" w:rsidP="00C40A0D" w14:paraId="2B2D959F" w14:textId="77777777">
            <w:pPr>
              <w:jc w:val="center"/>
              <w:rPr>
                <w:sz w:val="20"/>
                <w:szCs w:val="20"/>
              </w:rPr>
            </w:pPr>
            <w:r w:rsidRPr="007E3BEC">
              <w:rPr>
                <w:sz w:val="20"/>
                <w:szCs w:val="20"/>
              </w:rPr>
              <w:t>No. of Respondents</w:t>
            </w:r>
          </w:p>
        </w:tc>
        <w:tc>
          <w:tcPr>
            <w:tcW w:w="728" w:type="pct"/>
            <w:shd w:val="clear" w:color="auto" w:fill="auto"/>
          </w:tcPr>
          <w:p w:rsidR="00E06FA5" w:rsidRPr="007E3BEC" w:rsidP="00C40A0D" w14:paraId="0ED1C5FD" w14:textId="77777777">
            <w:pPr>
              <w:jc w:val="center"/>
              <w:rPr>
                <w:sz w:val="20"/>
                <w:szCs w:val="20"/>
              </w:rPr>
            </w:pPr>
            <w:r w:rsidRPr="007E3BEC">
              <w:rPr>
                <w:bCs/>
                <w:sz w:val="20"/>
                <w:szCs w:val="20"/>
              </w:rPr>
              <w:t>No. of Responses per Respondent</w:t>
            </w:r>
          </w:p>
        </w:tc>
        <w:tc>
          <w:tcPr>
            <w:tcW w:w="546" w:type="pct"/>
            <w:shd w:val="clear" w:color="auto" w:fill="auto"/>
          </w:tcPr>
          <w:p w:rsidR="00E06FA5" w:rsidRPr="007E3BEC" w:rsidP="00C40A0D" w14:paraId="20A52A7E" w14:textId="77777777">
            <w:pPr>
              <w:jc w:val="center"/>
              <w:rPr>
                <w:sz w:val="20"/>
                <w:szCs w:val="20"/>
              </w:rPr>
            </w:pPr>
            <w:r w:rsidRPr="007E3BEC">
              <w:rPr>
                <w:sz w:val="20"/>
                <w:szCs w:val="20"/>
              </w:rPr>
              <w:t>Total Annual Responses</w:t>
            </w:r>
          </w:p>
        </w:tc>
        <w:tc>
          <w:tcPr>
            <w:tcW w:w="637" w:type="pct"/>
            <w:shd w:val="clear" w:color="auto" w:fill="auto"/>
          </w:tcPr>
          <w:p w:rsidR="00E06FA5" w:rsidRPr="007E3BEC" w:rsidP="00C40A0D" w14:paraId="7B5BE45C" w14:textId="77777777">
            <w:pPr>
              <w:jc w:val="center"/>
              <w:rPr>
                <w:sz w:val="20"/>
                <w:szCs w:val="20"/>
              </w:rPr>
            </w:pPr>
            <w:r w:rsidRPr="007E3BEC">
              <w:rPr>
                <w:bCs/>
                <w:sz w:val="20"/>
                <w:szCs w:val="20"/>
              </w:rPr>
              <w:t>Average Burden per Response</w:t>
            </w:r>
          </w:p>
        </w:tc>
        <w:tc>
          <w:tcPr>
            <w:tcW w:w="487" w:type="pct"/>
            <w:shd w:val="clear" w:color="auto" w:fill="auto"/>
          </w:tcPr>
          <w:p w:rsidR="00E06FA5" w:rsidRPr="007E3BEC" w:rsidP="00C40A0D" w14:paraId="0F548D4B" w14:textId="77777777">
            <w:pPr>
              <w:jc w:val="center"/>
              <w:rPr>
                <w:sz w:val="20"/>
                <w:szCs w:val="20"/>
              </w:rPr>
            </w:pPr>
            <w:r w:rsidRPr="007E3BEC">
              <w:rPr>
                <w:sz w:val="20"/>
                <w:szCs w:val="20"/>
              </w:rPr>
              <w:t>Total Hours</w:t>
            </w:r>
          </w:p>
        </w:tc>
      </w:tr>
      <w:tr w14:paraId="2FD4E30C" w14:textId="77777777" w:rsidTr="00E06FA5">
        <w:tblPrEx>
          <w:tblW w:w="5000" w:type="pct"/>
          <w:tblLook w:val="01E0"/>
        </w:tblPrEx>
        <w:trPr>
          <w:cantSplit/>
          <w:trHeight w:val="20"/>
        </w:trPr>
        <w:tc>
          <w:tcPr>
            <w:tcW w:w="2000" w:type="pct"/>
            <w:shd w:val="clear" w:color="auto" w:fill="auto"/>
          </w:tcPr>
          <w:p w:rsidR="00E06FA5" w:rsidRPr="007E3BEC" w:rsidP="00E06FA5" w14:paraId="2A102335" w14:textId="77777777">
            <w:pPr>
              <w:rPr>
                <w:sz w:val="20"/>
                <w:szCs w:val="20"/>
              </w:rPr>
            </w:pPr>
            <w:bookmarkStart w:id="0" w:name="_Hlk105505084"/>
            <w:r w:rsidRPr="00D10DC4">
              <w:rPr>
                <w:sz w:val="20"/>
                <w:szCs w:val="20"/>
              </w:rPr>
              <w:t>511.1(b)(4), 511.1(b), (5) 511.1(b)(6) 511.1(b)(8)(ii), and 511.1(b)(9); submissions of NCIE, data to obtain authorization, any additional information upon request of FDA, reporting of findings that may suggest significant hazards, and reporting by importers of investigational new animal drugs for clinical investigational use in animals.</w:t>
            </w:r>
          </w:p>
        </w:tc>
        <w:tc>
          <w:tcPr>
            <w:tcW w:w="602" w:type="pct"/>
            <w:shd w:val="clear" w:color="auto" w:fill="auto"/>
          </w:tcPr>
          <w:p w:rsidR="00E06FA5" w:rsidRPr="007E3BEC" w:rsidP="00E06FA5" w14:paraId="48236D6A" w14:textId="77777777">
            <w:pPr>
              <w:jc w:val="right"/>
              <w:rPr>
                <w:sz w:val="20"/>
                <w:szCs w:val="20"/>
              </w:rPr>
            </w:pPr>
            <w:r w:rsidRPr="00D10DC4">
              <w:rPr>
                <w:sz w:val="20"/>
                <w:szCs w:val="20"/>
              </w:rPr>
              <w:t>257</w:t>
            </w:r>
          </w:p>
        </w:tc>
        <w:tc>
          <w:tcPr>
            <w:tcW w:w="728" w:type="pct"/>
            <w:shd w:val="clear" w:color="auto" w:fill="auto"/>
          </w:tcPr>
          <w:p w:rsidR="00E06FA5" w:rsidRPr="007E3BEC" w:rsidP="00E06FA5" w14:paraId="12294816" w14:textId="77777777">
            <w:pPr>
              <w:jc w:val="right"/>
              <w:rPr>
                <w:sz w:val="20"/>
                <w:szCs w:val="20"/>
              </w:rPr>
            </w:pPr>
            <w:r w:rsidRPr="00D10DC4">
              <w:rPr>
                <w:sz w:val="20"/>
                <w:szCs w:val="20"/>
              </w:rPr>
              <w:t>5.70</w:t>
            </w:r>
          </w:p>
        </w:tc>
        <w:tc>
          <w:tcPr>
            <w:tcW w:w="546" w:type="pct"/>
            <w:shd w:val="clear" w:color="auto" w:fill="auto"/>
          </w:tcPr>
          <w:p w:rsidR="00E06FA5" w:rsidRPr="007E3BEC" w:rsidP="00E06FA5" w14:paraId="54BF3FE5" w14:textId="3C9C43FD">
            <w:pPr>
              <w:jc w:val="right"/>
              <w:rPr>
                <w:sz w:val="20"/>
                <w:szCs w:val="20"/>
              </w:rPr>
            </w:pPr>
            <w:r w:rsidRPr="00D10DC4">
              <w:rPr>
                <w:sz w:val="20"/>
                <w:szCs w:val="20"/>
              </w:rPr>
              <w:t>1,46</w:t>
            </w:r>
            <w:r w:rsidR="009B2963">
              <w:rPr>
                <w:sz w:val="20"/>
                <w:szCs w:val="20"/>
              </w:rPr>
              <w:t>6</w:t>
            </w:r>
          </w:p>
        </w:tc>
        <w:tc>
          <w:tcPr>
            <w:tcW w:w="637" w:type="pct"/>
            <w:shd w:val="clear" w:color="auto" w:fill="auto"/>
          </w:tcPr>
          <w:p w:rsidR="00E06FA5" w:rsidRPr="007E3BEC" w:rsidP="00E06FA5" w14:paraId="48030E1B" w14:textId="77777777">
            <w:pPr>
              <w:jc w:val="right"/>
              <w:rPr>
                <w:sz w:val="20"/>
                <w:szCs w:val="20"/>
              </w:rPr>
            </w:pPr>
            <w:r w:rsidRPr="00D10DC4">
              <w:rPr>
                <w:sz w:val="20"/>
                <w:szCs w:val="20"/>
              </w:rPr>
              <w:t>1.</w:t>
            </w:r>
            <w:r w:rsidRPr="00D10DC4" w:rsidR="004B35ED">
              <w:rPr>
                <w:sz w:val="20"/>
                <w:szCs w:val="20"/>
              </w:rPr>
              <w:t>12</w:t>
            </w:r>
          </w:p>
        </w:tc>
        <w:tc>
          <w:tcPr>
            <w:tcW w:w="487" w:type="pct"/>
            <w:shd w:val="clear" w:color="auto" w:fill="auto"/>
          </w:tcPr>
          <w:p w:rsidR="00E06FA5" w:rsidRPr="00D10DC4" w:rsidP="00E06FA5" w14:paraId="3840FA73" w14:textId="4B64522B">
            <w:pPr>
              <w:jc w:val="right"/>
              <w:rPr>
                <w:sz w:val="20"/>
                <w:szCs w:val="20"/>
                <w:vertAlign w:val="superscript"/>
              </w:rPr>
            </w:pPr>
            <w:r w:rsidRPr="00D10DC4">
              <w:rPr>
                <w:sz w:val="20"/>
                <w:szCs w:val="20"/>
              </w:rPr>
              <w:t>1,</w:t>
            </w:r>
            <w:r w:rsidRPr="00D10DC4" w:rsidR="004B35ED">
              <w:rPr>
                <w:sz w:val="20"/>
                <w:szCs w:val="20"/>
              </w:rPr>
              <w:t>634</w:t>
            </w:r>
            <w:r w:rsidR="009B2963">
              <w:rPr>
                <w:sz w:val="20"/>
                <w:szCs w:val="20"/>
                <w:vertAlign w:val="superscript"/>
              </w:rPr>
              <w:t>1</w:t>
            </w:r>
          </w:p>
        </w:tc>
      </w:tr>
    </w:tbl>
    <w:bookmarkEnd w:id="0"/>
    <w:p w:rsidR="00C40A0D" w:rsidP="00B6465A" w14:paraId="151711F6" w14:textId="28D7609B">
      <w:pPr>
        <w:rPr>
          <w:sz w:val="20"/>
          <w:szCs w:val="20"/>
        </w:rPr>
      </w:pPr>
      <w:r>
        <w:rPr>
          <w:rFonts w:eastAsia="Calibri"/>
          <w:iCs/>
          <w:sz w:val="18"/>
          <w:szCs w:val="18"/>
          <w:vertAlign w:val="superscript"/>
        </w:rPr>
        <w:t xml:space="preserve">1 </w:t>
      </w:r>
      <w:r w:rsidRPr="009B2963" w:rsidR="009B2963">
        <w:rPr>
          <w:sz w:val="20"/>
          <w:szCs w:val="20"/>
        </w:rPr>
        <w:t>Totals may not sum due to rounding.</w:t>
      </w:r>
    </w:p>
    <w:p w:rsidR="009B2963" w:rsidRPr="00D10DC4" w:rsidP="00D10DC4" w14:paraId="7DBADA05" w14:textId="77777777">
      <w:pPr>
        <w:rPr>
          <w:rFonts w:eastAsia="Calibri"/>
          <w:iCs/>
          <w:sz w:val="18"/>
          <w:szCs w:val="18"/>
        </w:rPr>
      </w:pPr>
    </w:p>
    <w:p w:rsidR="008A62E0" w:rsidP="006B76C8" w14:paraId="54C2A72E" w14:textId="77777777">
      <w:pPr>
        <w:ind w:left="360"/>
        <w:rPr>
          <w:rFonts w:eastAsia="Calibri"/>
          <w:i/>
        </w:rPr>
      </w:pPr>
    </w:p>
    <w:p w:rsidR="006B76C8" w:rsidP="006B76C8" w14:paraId="4A9478FC" w14:textId="77777777">
      <w:pPr>
        <w:ind w:left="360"/>
        <w:jc w:val="center"/>
        <w:rPr>
          <w:rFonts w:eastAsia="Calibri"/>
          <w:i/>
        </w:rPr>
      </w:pPr>
      <w:r w:rsidRPr="00D0402C">
        <w:rPr>
          <w:sz w:val="20"/>
          <w:szCs w:val="20"/>
        </w:rPr>
        <w:t xml:space="preserve">Table </w:t>
      </w:r>
      <w:r>
        <w:rPr>
          <w:sz w:val="20"/>
          <w:szCs w:val="20"/>
        </w:rPr>
        <w:t>2</w:t>
      </w:r>
      <w:r w:rsidRPr="00D0402C">
        <w:rPr>
          <w:sz w:val="20"/>
          <w:szCs w:val="20"/>
        </w:rPr>
        <w:t>.--</w:t>
      </w:r>
      <w:r w:rsidRPr="00D0402C">
        <w:rPr>
          <w:sz w:val="20"/>
          <w:szCs w:val="20"/>
        </w:rPr>
        <w:t>Estimated Annual</w:t>
      </w:r>
      <w:r>
        <w:rPr>
          <w:sz w:val="20"/>
          <w:szCs w:val="20"/>
        </w:rPr>
        <w:t xml:space="preserve"> Recordkeeping</w:t>
      </w:r>
      <w:r w:rsidRPr="00D0402C">
        <w:rPr>
          <w:sz w:val="20"/>
          <w:szCs w:val="20"/>
        </w:rPr>
        <w:t xml:space="preserve"> Burden</w:t>
      </w:r>
    </w:p>
    <w:tbl>
      <w:tblPr>
        <w:tblW w:w="5324"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8"/>
        <w:gridCol w:w="1415"/>
        <w:gridCol w:w="1528"/>
        <w:gridCol w:w="989"/>
        <w:gridCol w:w="1429"/>
        <w:gridCol w:w="960"/>
      </w:tblGrid>
      <w:tr w14:paraId="08F4664E" w14:textId="77777777" w:rsidTr="00D10DC4">
        <w:tblPrEx>
          <w:tblW w:w="5324"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26"/>
          <w:tblHeader/>
        </w:trPr>
        <w:tc>
          <w:tcPr>
            <w:tcW w:w="1873" w:type="pct"/>
            <w:shd w:val="clear" w:color="auto" w:fill="auto"/>
          </w:tcPr>
          <w:p w:rsidR="00E06FA5" w:rsidRPr="00D0402C" w:rsidP="006B76C8" w14:paraId="3CF23D41" w14:textId="057F1192">
            <w:pPr>
              <w:keepNext/>
              <w:jc w:val="center"/>
              <w:rPr>
                <w:sz w:val="20"/>
                <w:szCs w:val="20"/>
              </w:rPr>
            </w:pPr>
            <w:r>
              <w:rPr>
                <w:sz w:val="20"/>
                <w:szCs w:val="20"/>
              </w:rPr>
              <w:t>21 CFR Section/Activity</w:t>
            </w:r>
          </w:p>
        </w:tc>
        <w:tc>
          <w:tcPr>
            <w:tcW w:w="700" w:type="pct"/>
            <w:shd w:val="clear" w:color="auto" w:fill="auto"/>
          </w:tcPr>
          <w:p w:rsidR="00E06FA5" w:rsidRPr="00D0402C" w:rsidP="006B76C8" w14:paraId="3424BB0F" w14:textId="77777777">
            <w:pPr>
              <w:keepNext/>
              <w:jc w:val="center"/>
              <w:rPr>
                <w:sz w:val="20"/>
                <w:szCs w:val="20"/>
              </w:rPr>
            </w:pPr>
            <w:r w:rsidRPr="00D0402C">
              <w:rPr>
                <w:sz w:val="20"/>
                <w:szCs w:val="20"/>
              </w:rPr>
              <w:t xml:space="preserve">No. of </w:t>
            </w:r>
            <w:r w:rsidRPr="00D0402C" w:rsidR="006B76C8">
              <w:rPr>
                <w:sz w:val="20"/>
                <w:szCs w:val="20"/>
              </w:rPr>
              <w:t>Recordkeep</w:t>
            </w:r>
            <w:r w:rsidR="006B76C8">
              <w:rPr>
                <w:sz w:val="20"/>
                <w:szCs w:val="20"/>
              </w:rPr>
              <w:t>e</w:t>
            </w:r>
            <w:r w:rsidRPr="00D0402C" w:rsidR="006B76C8">
              <w:rPr>
                <w:sz w:val="20"/>
                <w:szCs w:val="20"/>
              </w:rPr>
              <w:t>rs</w:t>
            </w:r>
          </w:p>
        </w:tc>
        <w:tc>
          <w:tcPr>
            <w:tcW w:w="756" w:type="pct"/>
            <w:shd w:val="clear" w:color="auto" w:fill="auto"/>
          </w:tcPr>
          <w:p w:rsidR="00E06FA5" w:rsidRPr="00D0402C" w:rsidP="006B76C8" w14:paraId="0028FD21" w14:textId="77777777">
            <w:pPr>
              <w:keepNext/>
              <w:jc w:val="center"/>
              <w:rPr>
                <w:sz w:val="20"/>
                <w:szCs w:val="20"/>
              </w:rPr>
            </w:pPr>
            <w:r w:rsidRPr="00D0402C">
              <w:rPr>
                <w:bCs/>
                <w:sz w:val="20"/>
                <w:szCs w:val="20"/>
              </w:rPr>
              <w:t>No. of Records per Recordkeeper</w:t>
            </w:r>
          </w:p>
        </w:tc>
        <w:tc>
          <w:tcPr>
            <w:tcW w:w="489" w:type="pct"/>
            <w:shd w:val="clear" w:color="auto" w:fill="auto"/>
          </w:tcPr>
          <w:p w:rsidR="00E06FA5" w:rsidRPr="00D0402C" w:rsidP="006B76C8" w14:paraId="3F8383D3" w14:textId="77777777">
            <w:pPr>
              <w:keepNext/>
              <w:jc w:val="center"/>
              <w:rPr>
                <w:sz w:val="20"/>
                <w:szCs w:val="20"/>
              </w:rPr>
            </w:pPr>
            <w:r w:rsidRPr="00D0402C">
              <w:rPr>
                <w:sz w:val="20"/>
                <w:szCs w:val="20"/>
              </w:rPr>
              <w:t>Total Annual Records</w:t>
            </w:r>
          </w:p>
        </w:tc>
        <w:tc>
          <w:tcPr>
            <w:tcW w:w="707" w:type="pct"/>
            <w:shd w:val="clear" w:color="auto" w:fill="auto"/>
          </w:tcPr>
          <w:p w:rsidR="00E06FA5" w:rsidRPr="00D0402C" w:rsidP="006B76C8" w14:paraId="33650F45" w14:textId="77777777">
            <w:pPr>
              <w:keepNext/>
              <w:jc w:val="center"/>
              <w:rPr>
                <w:sz w:val="20"/>
                <w:szCs w:val="20"/>
              </w:rPr>
            </w:pPr>
            <w:r w:rsidRPr="00D0402C">
              <w:rPr>
                <w:bCs/>
                <w:sz w:val="20"/>
                <w:szCs w:val="20"/>
              </w:rPr>
              <w:t xml:space="preserve">Average Burden per Recordkeeping </w:t>
            </w:r>
          </w:p>
        </w:tc>
        <w:tc>
          <w:tcPr>
            <w:tcW w:w="476" w:type="pct"/>
            <w:shd w:val="clear" w:color="auto" w:fill="auto"/>
          </w:tcPr>
          <w:p w:rsidR="00E06FA5" w:rsidRPr="00D0402C" w:rsidP="006B76C8" w14:paraId="47079538" w14:textId="77777777">
            <w:pPr>
              <w:keepNext/>
              <w:jc w:val="center"/>
              <w:rPr>
                <w:sz w:val="20"/>
                <w:szCs w:val="20"/>
              </w:rPr>
            </w:pPr>
            <w:r w:rsidRPr="00D0402C">
              <w:rPr>
                <w:sz w:val="20"/>
                <w:szCs w:val="20"/>
              </w:rPr>
              <w:t>Total Hours</w:t>
            </w:r>
          </w:p>
        </w:tc>
      </w:tr>
      <w:tr w14:paraId="78ACA8F4" w14:textId="77777777" w:rsidTr="00D10DC4">
        <w:tblPrEx>
          <w:tblW w:w="5324" w:type="pct"/>
          <w:tblInd w:w="-162" w:type="dxa"/>
          <w:tblLayout w:type="fixed"/>
          <w:tblLook w:val="01E0"/>
        </w:tblPrEx>
        <w:trPr>
          <w:trHeight w:val="2555"/>
        </w:trPr>
        <w:tc>
          <w:tcPr>
            <w:tcW w:w="1873" w:type="pct"/>
            <w:tcBorders>
              <w:top w:val="single" w:sz="4" w:space="0" w:color="auto"/>
              <w:left w:val="single" w:sz="4" w:space="0" w:color="auto"/>
              <w:bottom w:val="single" w:sz="4" w:space="0" w:color="auto"/>
              <w:right w:val="single" w:sz="4" w:space="0" w:color="auto"/>
            </w:tcBorders>
          </w:tcPr>
          <w:p w:rsidR="006B76C8" w:rsidRPr="007E3BEC" w:rsidP="006B76C8" w14:paraId="23057376" w14:textId="77777777">
            <w:pPr>
              <w:keepNext/>
              <w:rPr>
                <w:sz w:val="20"/>
                <w:szCs w:val="20"/>
              </w:rPr>
            </w:pPr>
            <w:r w:rsidRPr="00D10DC4">
              <w:rPr>
                <w:sz w:val="20"/>
                <w:szCs w:val="20"/>
              </w:rPr>
              <w:t>511.1(a)(3), 511.1(b)(3), 511.1(b)(7), and 511.1(b)(8)(ii); Maintain records showing the name and post office address of the expert or expert organization to whom the new animal drug, or feed containing the same is shipped and the date, quantity, and batch or code mark of each shipment and delivery; maintain records of the investigation and all reports received by a sponsor from investigators.</w:t>
            </w:r>
          </w:p>
        </w:tc>
        <w:tc>
          <w:tcPr>
            <w:tcW w:w="700" w:type="pct"/>
            <w:tcBorders>
              <w:top w:val="single" w:sz="4" w:space="0" w:color="auto"/>
              <w:left w:val="single" w:sz="4" w:space="0" w:color="auto"/>
              <w:bottom w:val="single" w:sz="4" w:space="0" w:color="auto"/>
              <w:right w:val="single" w:sz="4" w:space="0" w:color="auto"/>
            </w:tcBorders>
          </w:tcPr>
          <w:p w:rsidR="006B76C8" w:rsidRPr="007E3BEC" w:rsidP="006B76C8" w14:paraId="232B4764" w14:textId="77777777">
            <w:pPr>
              <w:keepNext/>
              <w:jc w:val="right"/>
              <w:rPr>
                <w:sz w:val="20"/>
                <w:szCs w:val="20"/>
              </w:rPr>
            </w:pPr>
            <w:r w:rsidRPr="00D10DC4">
              <w:rPr>
                <w:sz w:val="20"/>
                <w:szCs w:val="20"/>
              </w:rPr>
              <w:t>257</w:t>
            </w:r>
          </w:p>
        </w:tc>
        <w:tc>
          <w:tcPr>
            <w:tcW w:w="756" w:type="pct"/>
            <w:tcBorders>
              <w:top w:val="single" w:sz="4" w:space="0" w:color="auto"/>
              <w:left w:val="single" w:sz="4" w:space="0" w:color="auto"/>
              <w:bottom w:val="single" w:sz="4" w:space="0" w:color="auto"/>
              <w:right w:val="single" w:sz="4" w:space="0" w:color="auto"/>
            </w:tcBorders>
          </w:tcPr>
          <w:p w:rsidR="006B76C8" w:rsidRPr="007E3BEC" w:rsidP="006B76C8" w14:paraId="4E5E92C8" w14:textId="77777777">
            <w:pPr>
              <w:keepNext/>
              <w:jc w:val="right"/>
              <w:rPr>
                <w:sz w:val="20"/>
                <w:szCs w:val="20"/>
              </w:rPr>
            </w:pPr>
            <w:r w:rsidRPr="00D10DC4">
              <w:rPr>
                <w:sz w:val="20"/>
                <w:szCs w:val="20"/>
              </w:rPr>
              <w:t>17.43</w:t>
            </w:r>
          </w:p>
        </w:tc>
        <w:tc>
          <w:tcPr>
            <w:tcW w:w="489" w:type="pct"/>
            <w:tcBorders>
              <w:top w:val="single" w:sz="4" w:space="0" w:color="auto"/>
              <w:left w:val="single" w:sz="4" w:space="0" w:color="auto"/>
              <w:bottom w:val="single" w:sz="4" w:space="0" w:color="auto"/>
              <w:right w:val="single" w:sz="4" w:space="0" w:color="auto"/>
            </w:tcBorders>
          </w:tcPr>
          <w:p w:rsidR="006B76C8" w:rsidRPr="007E3BEC" w:rsidP="006B76C8" w14:paraId="1D31D920" w14:textId="77777777">
            <w:pPr>
              <w:keepNext/>
              <w:jc w:val="right"/>
              <w:rPr>
                <w:sz w:val="20"/>
                <w:szCs w:val="20"/>
              </w:rPr>
            </w:pPr>
            <w:r w:rsidRPr="00D10DC4">
              <w:rPr>
                <w:sz w:val="20"/>
                <w:szCs w:val="20"/>
              </w:rPr>
              <w:t>4,482</w:t>
            </w:r>
          </w:p>
        </w:tc>
        <w:tc>
          <w:tcPr>
            <w:tcW w:w="707" w:type="pct"/>
            <w:tcBorders>
              <w:top w:val="single" w:sz="4" w:space="0" w:color="auto"/>
              <w:left w:val="single" w:sz="4" w:space="0" w:color="auto"/>
              <w:bottom w:val="single" w:sz="4" w:space="0" w:color="auto"/>
              <w:right w:val="single" w:sz="4" w:space="0" w:color="auto"/>
            </w:tcBorders>
          </w:tcPr>
          <w:p w:rsidR="006B76C8" w:rsidRPr="007E3BEC" w:rsidP="006B76C8" w14:paraId="1C636BA1" w14:textId="77777777">
            <w:pPr>
              <w:keepNext/>
              <w:jc w:val="right"/>
              <w:rPr>
                <w:sz w:val="20"/>
                <w:szCs w:val="20"/>
              </w:rPr>
            </w:pPr>
            <w:r w:rsidRPr="00D10DC4">
              <w:rPr>
                <w:sz w:val="20"/>
                <w:szCs w:val="20"/>
              </w:rPr>
              <w:t>2.57</w:t>
            </w:r>
          </w:p>
        </w:tc>
        <w:tc>
          <w:tcPr>
            <w:tcW w:w="476" w:type="pct"/>
            <w:tcBorders>
              <w:top w:val="single" w:sz="4" w:space="0" w:color="auto"/>
              <w:left w:val="single" w:sz="4" w:space="0" w:color="auto"/>
              <w:bottom w:val="single" w:sz="4" w:space="0" w:color="auto"/>
              <w:right w:val="single" w:sz="4" w:space="0" w:color="auto"/>
            </w:tcBorders>
          </w:tcPr>
          <w:p w:rsidR="006B76C8" w:rsidRPr="00D10DC4" w:rsidP="006B76C8" w14:paraId="2D24D283" w14:textId="6C1EB535">
            <w:pPr>
              <w:keepNext/>
              <w:jc w:val="right"/>
              <w:rPr>
                <w:sz w:val="20"/>
                <w:szCs w:val="20"/>
                <w:vertAlign w:val="superscript"/>
              </w:rPr>
            </w:pPr>
            <w:r w:rsidRPr="00D10DC4">
              <w:rPr>
                <w:sz w:val="20"/>
                <w:szCs w:val="20"/>
              </w:rPr>
              <w:t>11,519</w:t>
            </w:r>
            <w:r w:rsidR="00B6465A">
              <w:rPr>
                <w:sz w:val="20"/>
                <w:szCs w:val="20"/>
                <w:vertAlign w:val="superscript"/>
              </w:rPr>
              <w:t>1</w:t>
            </w:r>
          </w:p>
        </w:tc>
      </w:tr>
    </w:tbl>
    <w:p w:rsidR="006B76C8" w:rsidRPr="00D10DC4" w:rsidP="00200CB3" w14:paraId="12DA8FC8" w14:textId="6D384D7C">
      <w:pPr>
        <w:spacing w:after="200"/>
        <w:rPr>
          <w:rFonts w:eastAsia="Calibri"/>
          <w:sz w:val="18"/>
          <w:szCs w:val="18"/>
        </w:rPr>
      </w:pPr>
      <w:r w:rsidRPr="00D10DC4">
        <w:rPr>
          <w:rFonts w:eastAsia="Calibri"/>
          <w:sz w:val="18"/>
          <w:szCs w:val="18"/>
          <w:vertAlign w:val="superscript"/>
        </w:rPr>
        <w:t>1</w:t>
      </w:r>
      <w:r w:rsidRPr="009B2963" w:rsidR="009B2963">
        <w:t xml:space="preserve"> </w:t>
      </w:r>
      <w:r w:rsidRPr="00D10DC4" w:rsidR="009B2963">
        <w:rPr>
          <w:sz w:val="18"/>
          <w:szCs w:val="18"/>
        </w:rPr>
        <w:t>Totals may not sum due to rounding.</w:t>
      </w:r>
    </w:p>
    <w:p w:rsidR="004D011F" w:rsidRPr="004D011F" w:rsidP="004D011F" w14:paraId="137139A2" w14:textId="77777777">
      <w:pPr>
        <w:spacing w:after="200"/>
        <w:ind w:left="450"/>
      </w:pPr>
      <w:r w:rsidRPr="004D011F">
        <w:t>The NCIE must contain, among other things, the following specific information:  (1) identity of the new animal drug, (2) labeling, (3) statement of compliance of any non-clinical laboratory studies with good laboratory practices, (4) name and address of each clinical investigator, (5) the approximate number of animals to be treated or amount of new animal drug(s) to be shipped, and (6) information regarding the use of edible tissues from investigational animals (§ 511.1(b)(4) (21 CFR 511.1(b)(4))).  If the new animal drug is to be used in food-producing animals (e.g., cattle, swine, chickens, fish, etc.), certain data must be submitted to us to obtain authorization for the use of edible food products from treated food-producing animals (§ 511.1(b)(5)).  We require sponsors upon request to submit information with respect to the investigation to determine whether there are grounds for terminating the exemption (§ 511.1(b)(6)).  We require sponsors to report findings that may suggest significant hazards pertinent to the safety of the new animal drug (§ 511.1(b)(8)(ii)).</w:t>
      </w:r>
    </w:p>
    <w:p w:rsidR="004D011F" w:rsidRPr="004D011F" w:rsidP="004D011F" w14:paraId="79BCBC96" w14:textId="77777777">
      <w:pPr>
        <w:spacing w:after="200"/>
        <w:ind w:left="450"/>
      </w:pPr>
      <w:r w:rsidRPr="004D011F">
        <w:t xml:space="preserve"> If the new animal drug is only for tests in vitro or in laboratory research animals, the person distributing the new animal drug must maintain records showing the name and post office address of the expert or expert organization to whom it is shipped and the date, quantity, and batch or code mark of each shipment and delivery for a period of 2 years after such shipment or delivery (§ 511.1(a)(3) and (b)(3)).  </w:t>
      </w:r>
    </w:p>
    <w:p w:rsidR="004D011F" w:rsidRPr="004D011F" w:rsidP="004D011F" w14:paraId="589BC44C" w14:textId="77777777">
      <w:pPr>
        <w:spacing w:after="200"/>
        <w:ind w:left="450"/>
      </w:pPr>
      <w:r w:rsidRPr="004D011F">
        <w:t>We require complete records of the investigation, including records of the receipt and disposition of each shipment or delivery of the investigational new animal drug (§ 511.1(b)(7)).  We also require records of all reports received by a sponsor from investigators to be retained for 2 years after the termination of an investigational exemption or approval of a new animal drug application (§ 511.1(b)(8)(i)).</w:t>
      </w:r>
    </w:p>
    <w:p w:rsidR="009B2963" w:rsidP="00BC64B3" w14:paraId="1C4BA3C1" w14:textId="2C6D0BB7">
      <w:pPr>
        <w:spacing w:after="200"/>
        <w:ind w:left="450"/>
      </w:pPr>
      <w:r>
        <w:t xml:space="preserve">The estimate of the time required for reporting requirements, record preparation, and maintenance for this collection of information is based on our informal communication with industry.  Based on the number of sponsors subject to animal drug user fees, we estimate that there are 257 respondents.  We use this estimate throughout both tables to calculate the "number of responses per respondent" by dividing the total annual responses by number of respondents.  The burden we attribute to reporting and recordkeeping activities is assumed to be distributed among the individual elements of the respective information collection activities.  </w:t>
      </w:r>
    </w:p>
    <w:p w:rsidR="009B2963" w:rsidP="00D10DC4" w14:paraId="72DAC400" w14:textId="724F1F23">
      <w:pPr>
        <w:spacing w:before="100" w:beforeAutospacing="1" w:after="100" w:afterAutospacing="1"/>
        <w:ind w:left="450"/>
      </w:pPr>
      <w:r>
        <w:t xml:space="preserve">Additional information needed to make a final calculation of the total burden hours (i.e., the number of respondents, the number of recordkeepers, the number of NCIEs received, etc.) is derived from our records.  </w:t>
      </w:r>
    </w:p>
    <w:p w:rsidR="006B76C8" w:rsidP="00D10DC4" w14:paraId="23DCD3CD" w14:textId="41EE2B57">
      <w:pPr>
        <w:spacing w:before="100" w:beforeAutospacing="1" w:after="100" w:afterAutospacing="1"/>
        <w:rPr>
          <w:rFonts w:eastAsia="Calibri"/>
        </w:rPr>
      </w:pPr>
      <w:r>
        <w:rPr>
          <w:rFonts w:eastAsia="Calibri"/>
        </w:rPr>
        <w:t>The total burden for this information collection is 13,</w:t>
      </w:r>
      <w:r w:rsidR="004B35ED">
        <w:rPr>
          <w:rFonts w:eastAsia="Calibri"/>
        </w:rPr>
        <w:t xml:space="preserve">153 </w:t>
      </w:r>
      <w:r>
        <w:rPr>
          <w:rFonts w:eastAsia="Calibri"/>
        </w:rPr>
        <w:t>hours.</w:t>
      </w:r>
    </w:p>
    <w:p w:rsidR="00357C8A" w:rsidRPr="005C71CA" w:rsidP="00DC371B" w14:paraId="5ACA23BD" w14:textId="77777777">
      <w:pPr>
        <w:spacing w:after="200"/>
        <w:ind w:left="360"/>
        <w:rPr>
          <w:rFonts w:eastAsia="Calibri"/>
        </w:rPr>
      </w:pPr>
      <w:r w:rsidRPr="005C71CA">
        <w:rPr>
          <w:rFonts w:eastAsia="Calibri"/>
        </w:rPr>
        <w:t>12b.  Annualized Cost Burden Estimate</w:t>
      </w:r>
    </w:p>
    <w:p w:rsidR="00603545" w:rsidRPr="00357C8A" w:rsidP="00603545" w14:paraId="17C9E094" w14:textId="77777777">
      <w:pPr>
        <w:ind w:left="864"/>
        <w:rPr>
          <w:rFonts w:eastAsia="Calibri"/>
        </w:rPr>
      </w:pPr>
      <w:r>
        <w:rPr>
          <w:rFonts w:eastAsia="Calibri"/>
        </w:rPr>
        <w:t>The annual hourly burden for the information collection requirements in these regulations is estimated at 13,</w:t>
      </w:r>
      <w:r w:rsidR="004B35ED">
        <w:rPr>
          <w:rFonts w:eastAsia="Calibri"/>
        </w:rPr>
        <w:t xml:space="preserve">153 </w:t>
      </w:r>
      <w:r>
        <w:rPr>
          <w:rFonts w:eastAsia="Calibri"/>
        </w:rPr>
        <w:t>burden hours.  The cost to the respondents is estimated by assuming a cost of $56.89 per hour for 13,</w:t>
      </w:r>
      <w:r w:rsidR="004B35ED">
        <w:rPr>
          <w:rFonts w:eastAsia="Calibri"/>
        </w:rPr>
        <w:t xml:space="preserve">153 </w:t>
      </w:r>
      <w:r>
        <w:rPr>
          <w:rFonts w:eastAsia="Calibri"/>
        </w:rPr>
        <w:t>burden hours for a total cost of $</w:t>
      </w:r>
      <w:r w:rsidRPr="004B35ED" w:rsidR="004B35ED">
        <w:rPr>
          <w:rFonts w:eastAsia="Calibri"/>
        </w:rPr>
        <w:t>748,274.17</w:t>
      </w:r>
      <w:r>
        <w:rPr>
          <w:rFonts w:eastAsia="Calibri"/>
        </w:rPr>
        <w:t>.</w:t>
      </w:r>
    </w:p>
    <w:p w:rsidR="00A707CC" w:rsidP="0022425B" w14:paraId="36B95C37"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5"/>
        <w:gridCol w:w="1890"/>
        <w:gridCol w:w="1944"/>
        <w:gridCol w:w="1927"/>
      </w:tblGrid>
      <w:tr w14:paraId="7AC4DA48" w14:textId="77777777" w:rsidTr="00603545">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5" w:type="dxa"/>
            <w:shd w:val="clear" w:color="auto" w:fill="auto"/>
          </w:tcPr>
          <w:p w:rsidR="00A707CC" w:rsidP="00312622" w14:paraId="00138AA4" w14:textId="77777777">
            <w:pPr>
              <w:jc w:val="center"/>
            </w:pPr>
            <w:r>
              <w:br/>
            </w:r>
            <w:r w:rsidRPr="00355B62">
              <w:t>Type of Respondent</w:t>
            </w:r>
          </w:p>
        </w:tc>
        <w:tc>
          <w:tcPr>
            <w:tcW w:w="1890" w:type="dxa"/>
            <w:shd w:val="clear" w:color="auto" w:fill="auto"/>
          </w:tcPr>
          <w:p w:rsidR="00A707CC" w:rsidP="00312622" w14:paraId="08BA7532" w14:textId="77777777">
            <w:pPr>
              <w:jc w:val="center"/>
            </w:pPr>
            <w:r>
              <w:t>Total Burden Hours</w:t>
            </w:r>
          </w:p>
        </w:tc>
        <w:tc>
          <w:tcPr>
            <w:tcW w:w="1944" w:type="dxa"/>
            <w:shd w:val="clear" w:color="auto" w:fill="auto"/>
          </w:tcPr>
          <w:p w:rsidR="00A707CC" w:rsidP="00312622" w14:paraId="742EBACE" w14:textId="77777777">
            <w:pPr>
              <w:jc w:val="center"/>
            </w:pPr>
            <w:r>
              <w:t>Hourly Wage Rate</w:t>
            </w:r>
          </w:p>
        </w:tc>
        <w:tc>
          <w:tcPr>
            <w:tcW w:w="1927" w:type="dxa"/>
            <w:shd w:val="clear" w:color="auto" w:fill="auto"/>
          </w:tcPr>
          <w:p w:rsidR="00A707CC" w:rsidP="00312622" w14:paraId="3FC16ECF" w14:textId="77777777">
            <w:pPr>
              <w:jc w:val="center"/>
            </w:pPr>
            <w:r>
              <w:t>Total Respondent Costs</w:t>
            </w:r>
          </w:p>
        </w:tc>
      </w:tr>
      <w:tr w14:paraId="23113CC2" w14:textId="77777777" w:rsidTr="00603545">
        <w:tblPrEx>
          <w:tblW w:w="0" w:type="auto"/>
          <w:tblInd w:w="828" w:type="dxa"/>
          <w:tblLook w:val="01E0"/>
        </w:tblPrEx>
        <w:tc>
          <w:tcPr>
            <w:tcW w:w="2525" w:type="dxa"/>
            <w:shd w:val="clear" w:color="auto" w:fill="auto"/>
          </w:tcPr>
          <w:p w:rsidR="00A707CC" w:rsidP="00312622" w14:paraId="6CF6E940" w14:textId="77777777">
            <w:r>
              <w:t>Industry Compliance Officer</w:t>
            </w:r>
          </w:p>
        </w:tc>
        <w:tc>
          <w:tcPr>
            <w:tcW w:w="1890" w:type="dxa"/>
            <w:shd w:val="clear" w:color="auto" w:fill="auto"/>
          </w:tcPr>
          <w:p w:rsidR="00A707CC" w:rsidP="00603545" w14:paraId="575F2812" w14:textId="77777777">
            <w:pPr>
              <w:jc w:val="center"/>
            </w:pPr>
            <w:r>
              <w:t>13,</w:t>
            </w:r>
            <w:r w:rsidR="004B35ED">
              <w:t>153</w:t>
            </w:r>
          </w:p>
        </w:tc>
        <w:tc>
          <w:tcPr>
            <w:tcW w:w="1944" w:type="dxa"/>
            <w:shd w:val="clear" w:color="auto" w:fill="auto"/>
          </w:tcPr>
          <w:p w:rsidR="00A707CC" w:rsidP="00603545" w14:paraId="78912310" w14:textId="77777777">
            <w:pPr>
              <w:jc w:val="center"/>
            </w:pPr>
            <w:r>
              <w:t>$56.89</w:t>
            </w:r>
          </w:p>
        </w:tc>
        <w:tc>
          <w:tcPr>
            <w:tcW w:w="1927" w:type="dxa"/>
            <w:shd w:val="clear" w:color="auto" w:fill="auto"/>
          </w:tcPr>
          <w:p w:rsidR="00A707CC" w:rsidP="00603545" w14:paraId="72FB058F" w14:textId="77777777">
            <w:pPr>
              <w:jc w:val="center"/>
            </w:pPr>
            <w:r>
              <w:t>$</w:t>
            </w:r>
            <w:r w:rsidRPr="004B35ED" w:rsidR="004B35ED">
              <w:t>748,274.17</w:t>
            </w:r>
          </w:p>
        </w:tc>
      </w:tr>
    </w:tbl>
    <w:p w:rsidR="00603545" w:rsidRPr="00603545" w:rsidP="00603545" w14:paraId="6754910D" w14:textId="7DAF17D4">
      <w:pPr>
        <w:ind w:left="720"/>
        <w:rPr>
          <w:sz w:val="18"/>
          <w:szCs w:val="18"/>
        </w:rPr>
      </w:pPr>
      <w:r w:rsidRPr="00603545">
        <w:rPr>
          <w:sz w:val="18"/>
          <w:szCs w:val="18"/>
          <w:vertAlign w:val="superscript"/>
        </w:rPr>
        <w:t>1</w:t>
      </w:r>
      <w:r w:rsidRPr="00603545">
        <w:rPr>
          <w:szCs w:val="20"/>
        </w:rPr>
        <w:t xml:space="preserve"> </w:t>
      </w:r>
      <w:r w:rsidRPr="00603545">
        <w:rPr>
          <w:sz w:val="18"/>
          <w:szCs w:val="18"/>
        </w:rPr>
        <w:t>May 20</w:t>
      </w:r>
      <w:r>
        <w:rPr>
          <w:sz w:val="18"/>
          <w:szCs w:val="18"/>
        </w:rPr>
        <w:t>22</w:t>
      </w:r>
      <w:r w:rsidRPr="00603545">
        <w:rPr>
          <w:sz w:val="18"/>
          <w:szCs w:val="18"/>
        </w:rPr>
        <w:t xml:space="preserve"> National Industry-Specific Occupational Employment and Wage Estimates, Bureau of Labor Statistics and including 30% for benefits (</w:t>
      </w:r>
      <w:hyperlink r:id="rId9" w:history="1">
        <w:r w:rsidRPr="007C0CFE" w:rsidR="00FC12C3">
          <w:rPr>
            <w:rStyle w:val="Hyperlink"/>
            <w:sz w:val="18"/>
            <w:szCs w:val="18"/>
          </w:rPr>
          <w:t>https://www.bls.gov/oes/current/oes131041.htm</w:t>
        </w:r>
      </w:hyperlink>
      <w:r w:rsidRPr="00603545">
        <w:rPr>
          <w:sz w:val="18"/>
          <w:szCs w:val="18"/>
        </w:rPr>
        <w:t>).</w:t>
      </w:r>
    </w:p>
    <w:p w:rsidR="00357C8A" w:rsidRPr="00357C8A" w:rsidP="00357C8A" w14:paraId="324D90DE" w14:textId="77777777">
      <w:pPr>
        <w:rPr>
          <w:rFonts w:eastAsia="Calibri"/>
        </w:rPr>
      </w:pPr>
    </w:p>
    <w:p w:rsidR="00357C8A" w:rsidRPr="00357C8A" w:rsidP="006705EA" w14:paraId="64BB52C3"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0162F2F0" w14:textId="77777777">
      <w:pPr>
        <w:spacing w:after="200" w:line="276" w:lineRule="auto"/>
        <w:rPr>
          <w:rFonts w:eastAsia="Calibri"/>
          <w:u w:val="single"/>
        </w:rPr>
      </w:pPr>
      <w:r w:rsidRPr="009F6CB3">
        <w:rPr>
          <w:rFonts w:eastAsia="Calibri"/>
        </w:rPr>
        <w:t>There are no capital, start-up, operating or maintenance costs associated with this information collection.</w:t>
      </w:r>
    </w:p>
    <w:p w:rsidR="00357C8A" w:rsidRPr="00357C8A" w:rsidP="006705EA" w14:paraId="4C0E8A7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64E32104" w14:textId="77777777">
      <w:pPr>
        <w:spacing w:after="200"/>
        <w:rPr>
          <w:rFonts w:eastAsia="Calibri"/>
        </w:rPr>
      </w:pPr>
      <w:r w:rsidRPr="009F6CB3">
        <w:rPr>
          <w:rFonts w:eastAsia="Calibri"/>
        </w:rPr>
        <w:t>The agency believes the time it expends for receipt, processing, review, and evaluation for an investigational new animal drug submission is commensurate with that for industry.  We therefore estimate the cost of the information collection to the Federal government to be $</w:t>
      </w:r>
      <w:r w:rsidR="000D2252">
        <w:rPr>
          <w:rFonts w:eastAsia="Calibri"/>
        </w:rPr>
        <w:t>792</w:t>
      </w:r>
      <w:r>
        <w:rPr>
          <w:rFonts w:eastAsia="Calibri"/>
        </w:rPr>
        <w:t>,</w:t>
      </w:r>
      <w:r w:rsidR="000D2252">
        <w:rPr>
          <w:rFonts w:eastAsia="Calibri"/>
        </w:rPr>
        <w:t>994.37</w:t>
      </w:r>
      <w:r w:rsidRPr="009F6CB3">
        <w:rPr>
          <w:rFonts w:eastAsia="Calibri"/>
        </w:rPr>
        <w:t xml:space="preserve">.  This is based on </w:t>
      </w:r>
      <w:r w:rsidRPr="00A14702">
        <w:rPr>
          <w:bCs/>
        </w:rPr>
        <w:t>the</w:t>
      </w:r>
      <w:r>
        <w:rPr>
          <w:bCs/>
        </w:rPr>
        <w:t xml:space="preserve"> 2024</w:t>
      </w:r>
      <w:r w:rsidRPr="00A14702">
        <w:rPr>
          <w:bCs/>
        </w:rPr>
        <w:t xml:space="preserve"> </w:t>
      </w:r>
      <w:r>
        <w:t>OPM wage rates for a GS-13- Step 3 employee in the Washington-Baltimore-Arlington, DC-MD-VA-WV-PA area</w:t>
      </w:r>
      <w:r w:rsidRPr="009F6CB3">
        <w:rPr>
          <w:rFonts w:eastAsia="Calibri"/>
        </w:rPr>
        <w:t>, $</w:t>
      </w:r>
      <w:r>
        <w:rPr>
          <w:rFonts w:eastAsia="Calibri"/>
        </w:rPr>
        <w:t>60.29</w:t>
      </w:r>
      <w:r w:rsidRPr="009F6CB3">
        <w:rPr>
          <w:rFonts w:eastAsia="Calibri"/>
        </w:rPr>
        <w:t>/hour (</w:t>
      </w:r>
      <w:r>
        <w:rPr>
          <w:rFonts w:eastAsia="Calibri"/>
        </w:rPr>
        <w:t>13,</w:t>
      </w:r>
      <w:r w:rsidR="004B35ED">
        <w:rPr>
          <w:rFonts w:eastAsia="Calibri"/>
        </w:rPr>
        <w:t>153</w:t>
      </w:r>
      <w:r w:rsidRPr="009F6CB3" w:rsidR="004B35ED">
        <w:rPr>
          <w:rFonts w:eastAsia="Calibri"/>
        </w:rPr>
        <w:t xml:space="preserve"> </w:t>
      </w:r>
      <w:r w:rsidRPr="009F6CB3">
        <w:rPr>
          <w:rFonts w:eastAsia="Calibri"/>
        </w:rPr>
        <w:t>burden hours x $</w:t>
      </w:r>
      <w:r>
        <w:rPr>
          <w:rFonts w:eastAsia="Calibri"/>
        </w:rPr>
        <w:t>60.29</w:t>
      </w:r>
      <w:r w:rsidRPr="009F6CB3">
        <w:rPr>
          <w:rFonts w:eastAsia="Calibri"/>
        </w:rPr>
        <w:t>/hour = $</w:t>
      </w:r>
      <w:r w:rsidR="004B35ED">
        <w:rPr>
          <w:rFonts w:eastAsia="Calibri"/>
        </w:rPr>
        <w:t>792</w:t>
      </w:r>
      <w:r>
        <w:rPr>
          <w:rFonts w:eastAsia="Calibri"/>
        </w:rPr>
        <w:t>,</w:t>
      </w:r>
      <w:r w:rsidR="000D2252">
        <w:rPr>
          <w:rFonts w:eastAsia="Calibri"/>
        </w:rPr>
        <w:t>994.37</w:t>
      </w:r>
      <w:r w:rsidRPr="009F6CB3">
        <w:rPr>
          <w:rFonts w:eastAsia="Calibri"/>
        </w:rPr>
        <w:t xml:space="preserve">). </w:t>
      </w:r>
      <w:r w:rsidRPr="00357C8A">
        <w:rPr>
          <w:rFonts w:eastAsia="Calibri"/>
        </w:rPr>
        <w:t xml:space="preserve"> </w:t>
      </w:r>
    </w:p>
    <w:p w:rsidR="00357C8A" w:rsidP="006705EA" w14:paraId="787692AE" w14:textId="6CA4ACF1">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357C8A" w14:paraId="77E6238E" w14:textId="3DD948C3">
      <w:pPr>
        <w:spacing w:after="200"/>
        <w:rPr>
          <w:rFonts w:eastAsia="Calibri"/>
        </w:rPr>
      </w:pPr>
      <w:r>
        <w:rPr>
          <w:rFonts w:eastAsia="Calibri"/>
        </w:rPr>
        <w:t xml:space="preserve">There have been no changes to the information collection.  </w:t>
      </w:r>
      <w:r w:rsidR="008A62E0">
        <w:rPr>
          <w:rFonts w:eastAsia="Calibri"/>
        </w:rPr>
        <w:t>Since our last renewal, t</w:t>
      </w:r>
      <w:r w:rsidR="008A62E0">
        <w:t xml:space="preserve">here </w:t>
      </w:r>
      <w:r w:rsidR="008A62E0">
        <w:t>is</w:t>
      </w:r>
      <w:r w:rsidR="008A62E0">
        <w:t xml:space="preserve"> a</w:t>
      </w:r>
      <w:r w:rsidR="000406C2">
        <w:t>n adjustment</w:t>
      </w:r>
      <w:r w:rsidR="008A62E0">
        <w:t xml:space="preserve"> decrease in the total burden hours of 2,</w:t>
      </w:r>
      <w:r w:rsidR="004B35ED">
        <w:t>401</w:t>
      </w:r>
      <w:r w:rsidR="008A62E0">
        <w:t xml:space="preserve">, which we attribute to a decrease in the number of </w:t>
      </w:r>
      <w:r w:rsidR="007E3BEC">
        <w:t xml:space="preserve">respondents, </w:t>
      </w:r>
      <w:r w:rsidR="008A62E0">
        <w:t xml:space="preserve">annual </w:t>
      </w:r>
      <w:r w:rsidR="008A62E0">
        <w:t>responses</w:t>
      </w:r>
      <w:r w:rsidR="008A62E0">
        <w:t xml:space="preserve"> and records.</w:t>
      </w:r>
    </w:p>
    <w:p w:rsidR="00357C8A" w:rsidRPr="00357C8A" w:rsidP="008A62E0" w14:paraId="52EEF2A6" w14:textId="77777777">
      <w:pPr>
        <w:spacing w:after="200"/>
        <w:rPr>
          <w:rFonts w:eastAsia="Calibri"/>
          <w:u w:val="single"/>
        </w:rPr>
      </w:pPr>
      <w:r w:rsidRPr="00357C8A">
        <w:rPr>
          <w:rFonts w:eastAsia="Calibri"/>
          <w:u w:val="single"/>
        </w:rPr>
        <w:t>Plans for Tabulation and Publication and Project Time Schedule</w:t>
      </w:r>
    </w:p>
    <w:p w:rsidR="00357C8A" w:rsidRPr="00357C8A" w:rsidP="00357C8A" w14:paraId="33DFB215" w14:textId="77777777">
      <w:pPr>
        <w:spacing w:after="200"/>
        <w:rPr>
          <w:rFonts w:eastAsia="Calibri"/>
          <w:color w:val="FF0000"/>
        </w:rPr>
      </w:pPr>
      <w:r w:rsidRPr="005C71CA">
        <w:rPr>
          <w:rFonts w:eastAsia="Calibri"/>
        </w:rPr>
        <w:t>This information collected will not be published or tabulated</w:t>
      </w:r>
      <w:r w:rsidR="00CE2A88">
        <w:rPr>
          <w:rFonts w:eastAsia="Calibri"/>
        </w:rPr>
        <w:t>.</w:t>
      </w:r>
    </w:p>
    <w:p w:rsidR="00357C8A" w:rsidRPr="00357C8A" w:rsidP="006705EA" w14:paraId="27BF990F"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7C5FAE96" w14:textId="77777777">
      <w:pPr>
        <w:spacing w:after="200"/>
        <w:rPr>
          <w:rFonts w:eastAsia="Calibri"/>
          <w:color w:val="FF0000"/>
        </w:rPr>
      </w:pPr>
      <w:r w:rsidRPr="007A75D9">
        <w:rPr>
          <w:rFonts w:eastAsia="Calibri"/>
        </w:rPr>
        <w:t xml:space="preserve">FDA will display the OMB expiration date as required by 5 CFR </w:t>
      </w:r>
      <w:r w:rsidRPr="007A75D9">
        <w:rPr>
          <w:rFonts w:eastAsia="Calibri"/>
        </w:rPr>
        <w:t>1320.5</w:t>
      </w:r>
      <w:r>
        <w:rPr>
          <w:rFonts w:eastAsia="Calibri"/>
          <w:color w:val="FF0000"/>
        </w:rPr>
        <w:t>.</w:t>
      </w:r>
      <w:r w:rsidRPr="00357C8A">
        <w:rPr>
          <w:rFonts w:eastAsia="Calibri"/>
          <w:color w:val="FF0000"/>
        </w:rPr>
        <w:t xml:space="preserve"> </w:t>
      </w:r>
    </w:p>
    <w:p w:rsidR="00357C8A" w:rsidRPr="00357C8A" w:rsidP="006705EA" w14:paraId="7DB99E09"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54F0AEB0" w14:textId="77777777">
      <w:pPr>
        <w:spacing w:after="200"/>
        <w:rPr>
          <w:rFonts w:eastAsia="Calibri"/>
        </w:rPr>
      </w:pPr>
      <w:r w:rsidRPr="007E59A8">
        <w:rPr>
          <w:rFonts w:eastAsia="Calibri"/>
        </w:rPr>
        <w:t>There are no exceptions to the certification</w:t>
      </w:r>
      <w:r>
        <w:rPr>
          <w:rFonts w:eastAsia="Calibri"/>
        </w:rPr>
        <w:t>.</w:t>
      </w:r>
    </w:p>
    <w:p w:rsidR="00544138" w:rsidRPr="00C20690" w:rsidP="00C20690" w14:paraId="306A73AD" w14:textId="77777777">
      <w:pPr>
        <w:spacing w:after="200"/>
        <w:rPr>
          <w:rFonts w:eastAsia="Calibri"/>
        </w:rPr>
      </w:pPr>
    </w:p>
    <w:sectPr w:rsidSect="005C71CA">
      <w:footerReference w:type="even" r:id="rId10"/>
      <w:footerReference w:type="default" r:id="rId11"/>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3DE5" w:rsidP="003F3DF5" w14:paraId="4D109A6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623">
      <w:rPr>
        <w:rStyle w:val="PageNumber"/>
        <w:noProof/>
      </w:rPr>
      <w:t>1</w:t>
    </w:r>
    <w:r>
      <w:rPr>
        <w:rStyle w:val="PageNumber"/>
      </w:rPr>
      <w:fldChar w:fldCharType="end"/>
    </w:r>
  </w:p>
  <w:p w:rsidR="00E63DE5" w14:paraId="10FFC2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3DE5" w:rsidP="003F3DF5" w14:paraId="61F78A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08D0BC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73025028">
    <w:abstractNumId w:val="5"/>
  </w:num>
  <w:num w:numId="2" w16cid:durableId="674654886">
    <w:abstractNumId w:val="1"/>
  </w:num>
  <w:num w:numId="3" w16cid:durableId="532379833">
    <w:abstractNumId w:val="6"/>
  </w:num>
  <w:num w:numId="4" w16cid:durableId="904991011">
    <w:abstractNumId w:val="3"/>
  </w:num>
  <w:num w:numId="5" w16cid:durableId="663440158">
    <w:abstractNumId w:val="7"/>
  </w:num>
  <w:num w:numId="6" w16cid:durableId="294608357">
    <w:abstractNumId w:val="0"/>
  </w:num>
  <w:num w:numId="7" w16cid:durableId="1741905438">
    <w:abstractNumId w:val="2"/>
  </w:num>
  <w:num w:numId="8" w16cid:durableId="203253586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vington, Kelly">
    <w15:presenceInfo w15:providerId="AD" w15:userId="S::KCovington@fda.gov::99603740-4344-4e80-8cc2-59df3cd6a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364ED"/>
    <w:rsid w:val="000406C2"/>
    <w:rsid w:val="00042B93"/>
    <w:rsid w:val="00043C7F"/>
    <w:rsid w:val="000467A8"/>
    <w:rsid w:val="0006570F"/>
    <w:rsid w:val="00075DE8"/>
    <w:rsid w:val="00087439"/>
    <w:rsid w:val="000C1260"/>
    <w:rsid w:val="000C560C"/>
    <w:rsid w:val="000D080B"/>
    <w:rsid w:val="000D2252"/>
    <w:rsid w:val="000D48FD"/>
    <w:rsid w:val="000D79CC"/>
    <w:rsid w:val="000E1C64"/>
    <w:rsid w:val="000F0C60"/>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5270"/>
    <w:rsid w:val="001A3B5A"/>
    <w:rsid w:val="001A458C"/>
    <w:rsid w:val="001B7CE9"/>
    <w:rsid w:val="001D495A"/>
    <w:rsid w:val="001E244C"/>
    <w:rsid w:val="001F1437"/>
    <w:rsid w:val="00200CB3"/>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666DD"/>
    <w:rsid w:val="003740BC"/>
    <w:rsid w:val="0037456B"/>
    <w:rsid w:val="0037462A"/>
    <w:rsid w:val="003801A3"/>
    <w:rsid w:val="00383D90"/>
    <w:rsid w:val="003870AE"/>
    <w:rsid w:val="003A1A27"/>
    <w:rsid w:val="003A50CC"/>
    <w:rsid w:val="003B42B3"/>
    <w:rsid w:val="003B6384"/>
    <w:rsid w:val="003C0FE2"/>
    <w:rsid w:val="003C4EBB"/>
    <w:rsid w:val="003D1531"/>
    <w:rsid w:val="003D59B8"/>
    <w:rsid w:val="003E4EC6"/>
    <w:rsid w:val="003E527E"/>
    <w:rsid w:val="003E553E"/>
    <w:rsid w:val="003E7078"/>
    <w:rsid w:val="003F3DF5"/>
    <w:rsid w:val="003F73B8"/>
    <w:rsid w:val="0040297E"/>
    <w:rsid w:val="00411D11"/>
    <w:rsid w:val="004141C6"/>
    <w:rsid w:val="00414494"/>
    <w:rsid w:val="00415E23"/>
    <w:rsid w:val="0041670D"/>
    <w:rsid w:val="00423272"/>
    <w:rsid w:val="00424061"/>
    <w:rsid w:val="00442A3C"/>
    <w:rsid w:val="00443969"/>
    <w:rsid w:val="00447D74"/>
    <w:rsid w:val="00450A74"/>
    <w:rsid w:val="004546BF"/>
    <w:rsid w:val="00465350"/>
    <w:rsid w:val="0047088E"/>
    <w:rsid w:val="00476B91"/>
    <w:rsid w:val="004846BF"/>
    <w:rsid w:val="00494912"/>
    <w:rsid w:val="004A5323"/>
    <w:rsid w:val="004A5A99"/>
    <w:rsid w:val="004B35ED"/>
    <w:rsid w:val="004C6979"/>
    <w:rsid w:val="004D011F"/>
    <w:rsid w:val="004D13A2"/>
    <w:rsid w:val="004D3E7A"/>
    <w:rsid w:val="004D4301"/>
    <w:rsid w:val="004F594B"/>
    <w:rsid w:val="004F61E1"/>
    <w:rsid w:val="00525A63"/>
    <w:rsid w:val="0053380B"/>
    <w:rsid w:val="00543194"/>
    <w:rsid w:val="00544138"/>
    <w:rsid w:val="00554E34"/>
    <w:rsid w:val="00582FB0"/>
    <w:rsid w:val="00584583"/>
    <w:rsid w:val="00590E90"/>
    <w:rsid w:val="00590EEB"/>
    <w:rsid w:val="005A4099"/>
    <w:rsid w:val="005C38B2"/>
    <w:rsid w:val="005C5029"/>
    <w:rsid w:val="005C55C2"/>
    <w:rsid w:val="005C71CA"/>
    <w:rsid w:val="005C745C"/>
    <w:rsid w:val="005D4DF5"/>
    <w:rsid w:val="005D7290"/>
    <w:rsid w:val="005E42BA"/>
    <w:rsid w:val="00603545"/>
    <w:rsid w:val="00610EE1"/>
    <w:rsid w:val="0061143F"/>
    <w:rsid w:val="00611D6B"/>
    <w:rsid w:val="00625CFD"/>
    <w:rsid w:val="006326EC"/>
    <w:rsid w:val="00663A42"/>
    <w:rsid w:val="006641C7"/>
    <w:rsid w:val="006705EA"/>
    <w:rsid w:val="00670BE2"/>
    <w:rsid w:val="006916D9"/>
    <w:rsid w:val="006A0E05"/>
    <w:rsid w:val="006A26C6"/>
    <w:rsid w:val="006A465A"/>
    <w:rsid w:val="006A7D5D"/>
    <w:rsid w:val="006B1A82"/>
    <w:rsid w:val="006B76C8"/>
    <w:rsid w:val="006D0C12"/>
    <w:rsid w:val="006D5D57"/>
    <w:rsid w:val="006E2538"/>
    <w:rsid w:val="006E302F"/>
    <w:rsid w:val="006F4D6D"/>
    <w:rsid w:val="00705086"/>
    <w:rsid w:val="007073F2"/>
    <w:rsid w:val="00722001"/>
    <w:rsid w:val="00727CDF"/>
    <w:rsid w:val="00744525"/>
    <w:rsid w:val="00751E66"/>
    <w:rsid w:val="00754497"/>
    <w:rsid w:val="007619A0"/>
    <w:rsid w:val="00773201"/>
    <w:rsid w:val="00787C39"/>
    <w:rsid w:val="00792947"/>
    <w:rsid w:val="00795DF3"/>
    <w:rsid w:val="007A373C"/>
    <w:rsid w:val="007A75D9"/>
    <w:rsid w:val="007B225C"/>
    <w:rsid w:val="007C0CFE"/>
    <w:rsid w:val="007C75B1"/>
    <w:rsid w:val="007D3DFC"/>
    <w:rsid w:val="007D4CA1"/>
    <w:rsid w:val="007E2F07"/>
    <w:rsid w:val="007E3BEC"/>
    <w:rsid w:val="007E59A8"/>
    <w:rsid w:val="007F39E4"/>
    <w:rsid w:val="008007FE"/>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A209D"/>
    <w:rsid w:val="008A22BB"/>
    <w:rsid w:val="008A62E0"/>
    <w:rsid w:val="008B035D"/>
    <w:rsid w:val="008B0E29"/>
    <w:rsid w:val="008B0EFA"/>
    <w:rsid w:val="008B30AB"/>
    <w:rsid w:val="008C3BB8"/>
    <w:rsid w:val="008C4B65"/>
    <w:rsid w:val="008E3C99"/>
    <w:rsid w:val="008E5F55"/>
    <w:rsid w:val="009009E7"/>
    <w:rsid w:val="00905DEF"/>
    <w:rsid w:val="00906056"/>
    <w:rsid w:val="009122AE"/>
    <w:rsid w:val="00913B43"/>
    <w:rsid w:val="00930203"/>
    <w:rsid w:val="009311D2"/>
    <w:rsid w:val="009311E6"/>
    <w:rsid w:val="00931275"/>
    <w:rsid w:val="00936AC7"/>
    <w:rsid w:val="00947761"/>
    <w:rsid w:val="00953B64"/>
    <w:rsid w:val="009646A7"/>
    <w:rsid w:val="00970A88"/>
    <w:rsid w:val="009818A1"/>
    <w:rsid w:val="0098346A"/>
    <w:rsid w:val="009A1674"/>
    <w:rsid w:val="009A6CB7"/>
    <w:rsid w:val="009B2963"/>
    <w:rsid w:val="009B38BE"/>
    <w:rsid w:val="009B4DF2"/>
    <w:rsid w:val="009C684F"/>
    <w:rsid w:val="009D074C"/>
    <w:rsid w:val="009D6E73"/>
    <w:rsid w:val="009F1F1D"/>
    <w:rsid w:val="009F2B4F"/>
    <w:rsid w:val="009F3C63"/>
    <w:rsid w:val="009F66B5"/>
    <w:rsid w:val="009F6CB3"/>
    <w:rsid w:val="00A02F10"/>
    <w:rsid w:val="00A1060C"/>
    <w:rsid w:val="00A14702"/>
    <w:rsid w:val="00A16221"/>
    <w:rsid w:val="00A20A7D"/>
    <w:rsid w:val="00A331EC"/>
    <w:rsid w:val="00A35D42"/>
    <w:rsid w:val="00A46CCF"/>
    <w:rsid w:val="00A506DE"/>
    <w:rsid w:val="00A53451"/>
    <w:rsid w:val="00A56CC6"/>
    <w:rsid w:val="00A70426"/>
    <w:rsid w:val="00A707CC"/>
    <w:rsid w:val="00A71410"/>
    <w:rsid w:val="00A87C72"/>
    <w:rsid w:val="00A91E9A"/>
    <w:rsid w:val="00A93ED9"/>
    <w:rsid w:val="00A96221"/>
    <w:rsid w:val="00AC2DBB"/>
    <w:rsid w:val="00AC6A99"/>
    <w:rsid w:val="00AC7A31"/>
    <w:rsid w:val="00AD6048"/>
    <w:rsid w:val="00AF0A45"/>
    <w:rsid w:val="00B055EF"/>
    <w:rsid w:val="00B06B5B"/>
    <w:rsid w:val="00B11062"/>
    <w:rsid w:val="00B23623"/>
    <w:rsid w:val="00B23769"/>
    <w:rsid w:val="00B41789"/>
    <w:rsid w:val="00B6465A"/>
    <w:rsid w:val="00B81808"/>
    <w:rsid w:val="00B86DFA"/>
    <w:rsid w:val="00B904C5"/>
    <w:rsid w:val="00B936D0"/>
    <w:rsid w:val="00BB15FB"/>
    <w:rsid w:val="00BC64B3"/>
    <w:rsid w:val="00BD3D5B"/>
    <w:rsid w:val="00BE3600"/>
    <w:rsid w:val="00C01F6F"/>
    <w:rsid w:val="00C041EA"/>
    <w:rsid w:val="00C13BBD"/>
    <w:rsid w:val="00C149AB"/>
    <w:rsid w:val="00C16929"/>
    <w:rsid w:val="00C20690"/>
    <w:rsid w:val="00C36020"/>
    <w:rsid w:val="00C40694"/>
    <w:rsid w:val="00C40A0D"/>
    <w:rsid w:val="00C479BF"/>
    <w:rsid w:val="00C5124B"/>
    <w:rsid w:val="00C55746"/>
    <w:rsid w:val="00C70542"/>
    <w:rsid w:val="00C71649"/>
    <w:rsid w:val="00C75CBF"/>
    <w:rsid w:val="00C87C44"/>
    <w:rsid w:val="00CC2894"/>
    <w:rsid w:val="00CD77C3"/>
    <w:rsid w:val="00CE112C"/>
    <w:rsid w:val="00CE2A88"/>
    <w:rsid w:val="00CF55D4"/>
    <w:rsid w:val="00D0402C"/>
    <w:rsid w:val="00D10DC4"/>
    <w:rsid w:val="00D462D8"/>
    <w:rsid w:val="00D608DA"/>
    <w:rsid w:val="00D730BF"/>
    <w:rsid w:val="00D852F4"/>
    <w:rsid w:val="00DB1110"/>
    <w:rsid w:val="00DB3730"/>
    <w:rsid w:val="00DC371B"/>
    <w:rsid w:val="00DC3788"/>
    <w:rsid w:val="00DC76C7"/>
    <w:rsid w:val="00DD09F5"/>
    <w:rsid w:val="00DD0E02"/>
    <w:rsid w:val="00DD4201"/>
    <w:rsid w:val="00DD5E9F"/>
    <w:rsid w:val="00DE5711"/>
    <w:rsid w:val="00E00EA0"/>
    <w:rsid w:val="00E021CB"/>
    <w:rsid w:val="00E06FA5"/>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1083"/>
    <w:rsid w:val="00EA21FE"/>
    <w:rsid w:val="00EA34E3"/>
    <w:rsid w:val="00EB7538"/>
    <w:rsid w:val="00EC16C2"/>
    <w:rsid w:val="00EC1868"/>
    <w:rsid w:val="00EE6468"/>
    <w:rsid w:val="00F1299B"/>
    <w:rsid w:val="00F207A4"/>
    <w:rsid w:val="00F25173"/>
    <w:rsid w:val="00F355AC"/>
    <w:rsid w:val="00F40CF7"/>
    <w:rsid w:val="00F44194"/>
    <w:rsid w:val="00F71A5A"/>
    <w:rsid w:val="00F73A1A"/>
    <w:rsid w:val="00F769E0"/>
    <w:rsid w:val="00FA4A46"/>
    <w:rsid w:val="00FA7087"/>
    <w:rsid w:val="00FA75FE"/>
    <w:rsid w:val="00FB1032"/>
    <w:rsid w:val="00FB39BC"/>
    <w:rsid w:val="00FB6A53"/>
    <w:rsid w:val="00FC11CA"/>
    <w:rsid w:val="00FC12C3"/>
    <w:rsid w:val="00FC6BDE"/>
    <w:rsid w:val="00FD0C4B"/>
    <w:rsid w:val="00FF6138"/>
    <w:rsid w:val="1BB4EA8A"/>
    <w:rsid w:val="1E80EFCF"/>
    <w:rsid w:val="293682D2"/>
    <w:rsid w:val="43CE23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74C401"/>
  <w15:chartTrackingRefBased/>
  <w15:docId w15:val="{85F10076-5282-47A8-834C-5571932B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B23623"/>
    <w:rPr>
      <w:sz w:val="24"/>
      <w:szCs w:val="24"/>
      <w:lang w:eastAsia="en-US"/>
    </w:rPr>
  </w:style>
  <w:style w:type="character" w:styleId="CommentReference">
    <w:name w:val="annotation reference"/>
    <w:rsid w:val="00B23623"/>
    <w:rPr>
      <w:sz w:val="16"/>
      <w:szCs w:val="16"/>
    </w:rPr>
  </w:style>
  <w:style w:type="paragraph" w:styleId="CommentText">
    <w:name w:val="annotation text"/>
    <w:basedOn w:val="Normal"/>
    <w:link w:val="CommentTextChar"/>
    <w:rsid w:val="00B23623"/>
    <w:rPr>
      <w:sz w:val="20"/>
      <w:szCs w:val="20"/>
    </w:rPr>
  </w:style>
  <w:style w:type="character" w:customStyle="1" w:styleId="CommentTextChar">
    <w:name w:val="Comment Text Char"/>
    <w:basedOn w:val="DefaultParagraphFont"/>
    <w:link w:val="CommentText"/>
    <w:rsid w:val="00B23623"/>
  </w:style>
  <w:style w:type="paragraph" w:styleId="CommentSubject">
    <w:name w:val="annotation subject"/>
    <w:basedOn w:val="CommentText"/>
    <w:next w:val="CommentText"/>
    <w:link w:val="CommentSubjectChar"/>
    <w:rsid w:val="0061143F"/>
    <w:rPr>
      <w:b/>
      <w:bCs/>
    </w:rPr>
  </w:style>
  <w:style w:type="character" w:customStyle="1" w:styleId="CommentSubjectChar">
    <w:name w:val="Comment Subject Char"/>
    <w:link w:val="CommentSubject"/>
    <w:rsid w:val="00611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da.gov/industry/fda-esubmitter/cvm-esubmitter-programs" TargetMode="External" /><Relationship Id="rId7" Type="http://schemas.openxmlformats.org/officeDocument/2006/relationships/hyperlink" Target="https://www.fda.gov/media/75464/download" TargetMode="External" /><Relationship Id="rId8" Type="http://schemas.openxmlformats.org/officeDocument/2006/relationships/hyperlink" Target="http://www.fda.gov/ForIndustry/SmallBusinessAssistance/default.htm" TargetMode="External" /><Relationship Id="rId9" Type="http://schemas.openxmlformats.org/officeDocument/2006/relationships/hyperlink" Target="https://www.bls.gov/oes/current/oes13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48836-5629-48F1-B6F4-6019D9D77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Covington, Kelly</cp:lastModifiedBy>
  <cp:revision>2</cp:revision>
  <cp:lastPrinted>2019-07-03T19:25:00Z</cp:lastPrinted>
  <dcterms:created xsi:type="dcterms:W3CDTF">2024-06-12T12:57:00Z</dcterms:created>
  <dcterms:modified xsi:type="dcterms:W3CDTF">2024-06-12T12:57:00Z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ies>
</file>