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6B38" w:rsidRPr="00F77F01" w:rsidP="00036B38" w14:paraId="5F944922" w14:textId="77777777">
      <w:pPr>
        <w:keepNext/>
        <w:keepLines/>
        <w:jc w:val="center"/>
        <w:outlineLvl w:val="6"/>
        <w:rPr>
          <w:i/>
          <w:iCs/>
        </w:rPr>
      </w:pPr>
      <w:r w:rsidRPr="00F77F01">
        <w:rPr>
          <w:b/>
          <w:i/>
          <w:iCs/>
        </w:rPr>
        <w:t>SUPPORTING STATEMENT:  PART A</w:t>
      </w:r>
    </w:p>
    <w:p w:rsidR="00036B38" w:rsidRPr="00B67CD8" w:rsidP="00036B38" w14:paraId="56C680A1" w14:textId="77777777">
      <w:pPr>
        <w:pStyle w:val="BalloonText"/>
        <w:jc w:val="center"/>
        <w:rPr>
          <w:sz w:val="24"/>
          <w:szCs w:val="24"/>
        </w:rPr>
      </w:pPr>
    </w:p>
    <w:p w:rsidR="00036B38" w:rsidRPr="00B67CD8" w:rsidP="00036B38" w14:paraId="1841942E" w14:textId="77777777">
      <w:pPr>
        <w:jc w:val="center"/>
        <w:rPr>
          <w:b/>
          <w:bCs/>
        </w:rPr>
      </w:pPr>
    </w:p>
    <w:p w:rsidR="00036B38" w:rsidRPr="00B67CD8" w:rsidP="00036B38" w14:paraId="26DE6D92" w14:textId="77777777">
      <w:pPr>
        <w:jc w:val="center"/>
      </w:pPr>
    </w:p>
    <w:p w:rsidR="00036B38" w:rsidRPr="00B67CD8" w:rsidP="00036B38" w14:paraId="3E1E511B" w14:textId="6E720794">
      <w:pPr>
        <w:jc w:val="center"/>
        <w:rPr>
          <w:b/>
        </w:rPr>
      </w:pPr>
      <w:r w:rsidRPr="00B67CD8">
        <w:rPr>
          <w:b/>
        </w:rPr>
        <w:t>February 6, 2023</w:t>
      </w:r>
    </w:p>
    <w:p w:rsidR="00036B38" w:rsidRPr="00B67CD8" w:rsidP="00036B38" w14:paraId="2C1A5532" w14:textId="77777777">
      <w:pPr>
        <w:jc w:val="center"/>
        <w:rPr>
          <w:b/>
        </w:rPr>
      </w:pPr>
    </w:p>
    <w:p w:rsidR="00036B38" w:rsidRPr="00B67CD8" w:rsidP="00036B38" w14:paraId="09433795" w14:textId="77777777">
      <w:pPr>
        <w:rPr>
          <w:b/>
        </w:rPr>
      </w:pPr>
    </w:p>
    <w:p w:rsidR="00036B38" w:rsidRPr="00B67CD8" w:rsidP="00036B38" w14:paraId="72B80F7D" w14:textId="77777777">
      <w:pPr>
        <w:jc w:val="center"/>
        <w:rPr>
          <w:b/>
        </w:rPr>
      </w:pPr>
    </w:p>
    <w:p w:rsidR="00036B38" w:rsidRPr="00B67CD8" w:rsidP="00036B38" w14:paraId="1A372FBD" w14:textId="77777777">
      <w:pPr>
        <w:jc w:val="center"/>
        <w:rPr>
          <w:b/>
        </w:rPr>
      </w:pPr>
    </w:p>
    <w:p w:rsidR="00036B38" w:rsidRPr="00B67CD8" w:rsidP="00036B38" w14:paraId="522F2CEB" w14:textId="0D58AAAD">
      <w:pPr>
        <w:jc w:val="center"/>
        <w:rPr>
          <w:b/>
        </w:rPr>
      </w:pPr>
      <w:r w:rsidRPr="00B67CD8">
        <w:rPr>
          <w:b/>
        </w:rPr>
        <w:t xml:space="preserve">Advancing Violence Epidemiology in Real-Time (AVERT) </w:t>
      </w:r>
    </w:p>
    <w:p w:rsidR="00036B38" w:rsidRPr="00B67CD8" w:rsidP="00036B38" w14:paraId="76DB033E" w14:textId="77777777">
      <w:pPr>
        <w:jc w:val="center"/>
        <w:rPr>
          <w:b/>
        </w:rPr>
      </w:pPr>
    </w:p>
    <w:p w:rsidR="00036B38" w:rsidRPr="00B67CD8" w:rsidP="00036B38" w14:paraId="4B18537D" w14:textId="77777777">
      <w:pPr>
        <w:jc w:val="center"/>
        <w:rPr>
          <w:b/>
        </w:rPr>
      </w:pPr>
    </w:p>
    <w:p w:rsidR="00036B38" w:rsidRPr="00B67CD8" w:rsidP="00036B38" w14:paraId="7F47C6E3" w14:textId="70CC93E8">
      <w:pPr>
        <w:jc w:val="center"/>
        <w:rPr>
          <w:b/>
        </w:rPr>
      </w:pPr>
    </w:p>
    <w:p w:rsidR="007C3D2C" w:rsidRPr="00B67CD8" w:rsidP="00036B38" w14:paraId="73532975" w14:textId="77777777">
      <w:pPr>
        <w:jc w:val="center"/>
        <w:rPr>
          <w:b/>
        </w:rPr>
      </w:pPr>
    </w:p>
    <w:p w:rsidR="00036B38" w:rsidRPr="00B67CD8" w:rsidP="00036B38" w14:paraId="7FA5E28E" w14:textId="348C46AA">
      <w:pPr>
        <w:jc w:val="center"/>
        <w:rPr>
          <w:b/>
        </w:rPr>
      </w:pPr>
      <w:r w:rsidRPr="00B67CD8">
        <w:rPr>
          <w:b/>
        </w:rPr>
        <w:t>New</w:t>
      </w:r>
    </w:p>
    <w:p w:rsidR="00036B38" w:rsidRPr="00B67CD8" w:rsidP="00036B38" w14:paraId="19F1579A" w14:textId="77777777">
      <w:pPr>
        <w:jc w:val="center"/>
        <w:rPr>
          <w:bCs/>
        </w:rPr>
      </w:pPr>
    </w:p>
    <w:p w:rsidR="00036B38" w:rsidRPr="00B67CD8" w:rsidP="00036B38" w14:paraId="5ABA65B7" w14:textId="77777777">
      <w:pPr>
        <w:jc w:val="center"/>
        <w:rPr>
          <w:bCs/>
        </w:rPr>
      </w:pPr>
    </w:p>
    <w:p w:rsidR="00036B38" w:rsidRPr="00B67CD8" w:rsidP="00036B38" w14:paraId="3BDD1537" w14:textId="77777777">
      <w:pPr>
        <w:jc w:val="center"/>
        <w:rPr>
          <w:bCs/>
        </w:rPr>
      </w:pPr>
    </w:p>
    <w:p w:rsidR="00036B38" w:rsidRPr="00B67CD8" w:rsidP="00036B38" w14:paraId="2B83C2DD" w14:textId="77777777">
      <w:pPr>
        <w:jc w:val="center"/>
        <w:rPr>
          <w:bCs/>
        </w:rPr>
      </w:pPr>
    </w:p>
    <w:p w:rsidR="00036B38" w:rsidRPr="00B67CD8" w:rsidP="00036B38" w14:paraId="78D750A1" w14:textId="77777777">
      <w:pPr>
        <w:jc w:val="center"/>
        <w:rPr>
          <w:bCs/>
        </w:rPr>
      </w:pPr>
    </w:p>
    <w:p w:rsidR="00036B38" w:rsidRPr="00B67CD8" w:rsidP="00036B38" w14:paraId="773D211A" w14:textId="77777777">
      <w:pPr>
        <w:jc w:val="center"/>
        <w:rPr>
          <w:bCs/>
        </w:rPr>
      </w:pPr>
    </w:p>
    <w:p w:rsidR="00036B38" w:rsidRPr="00B67CD8" w:rsidP="00036B38" w14:paraId="7F2BE2F2" w14:textId="77777777">
      <w:pPr>
        <w:jc w:val="center"/>
        <w:rPr>
          <w:bCs/>
        </w:rPr>
      </w:pPr>
    </w:p>
    <w:p w:rsidR="00036B38" w:rsidRPr="00B67CD8" w:rsidP="00036B38" w14:paraId="51AE4B89" w14:textId="77777777">
      <w:pPr>
        <w:jc w:val="center"/>
        <w:rPr>
          <w:bCs/>
        </w:rPr>
      </w:pPr>
    </w:p>
    <w:p w:rsidR="00036B38" w:rsidRPr="00B67CD8" w:rsidP="00036B38" w14:paraId="269496B8" w14:textId="77777777">
      <w:pPr>
        <w:jc w:val="center"/>
        <w:rPr>
          <w:bCs/>
        </w:rPr>
      </w:pPr>
    </w:p>
    <w:p w:rsidR="00036B38" w:rsidRPr="00B67CD8" w:rsidP="00036B38" w14:paraId="2D66E36B" w14:textId="77777777">
      <w:pPr>
        <w:jc w:val="center"/>
        <w:rPr>
          <w:bCs/>
        </w:rPr>
      </w:pPr>
    </w:p>
    <w:p w:rsidR="00036B38" w:rsidRPr="00B67CD8" w:rsidP="00036B38" w14:paraId="5F2F39CA" w14:textId="77777777">
      <w:pPr>
        <w:jc w:val="center"/>
      </w:pPr>
    </w:p>
    <w:p w:rsidR="00036B38" w:rsidRPr="00B67CD8" w:rsidP="00036B38" w14:paraId="31C8E3E2" w14:textId="77777777">
      <w:pPr>
        <w:jc w:val="center"/>
      </w:pPr>
    </w:p>
    <w:p w:rsidR="00036B38" w:rsidRPr="00B67CD8" w:rsidP="00036B38" w14:paraId="02DB255B" w14:textId="77777777">
      <w:pPr>
        <w:jc w:val="center"/>
      </w:pPr>
      <w:r w:rsidRPr="00B67CD8">
        <w:t>Point of Contact:</w:t>
      </w:r>
    </w:p>
    <w:p w:rsidR="00036B38" w:rsidRPr="00B67CD8" w:rsidP="00036B38" w14:paraId="2C34B5C7" w14:textId="18F7AAB9">
      <w:pPr>
        <w:jc w:val="center"/>
        <w:rPr>
          <w:b/>
          <w:bCs/>
        </w:rPr>
      </w:pPr>
      <w:r w:rsidRPr="00B67CD8">
        <w:t>Yushiuan Chen</w:t>
      </w:r>
    </w:p>
    <w:p w:rsidR="00036B38" w:rsidRPr="00B67CD8" w:rsidP="00036B38" w14:paraId="7D2E6317" w14:textId="77777777">
      <w:pPr>
        <w:jc w:val="center"/>
      </w:pPr>
    </w:p>
    <w:p w:rsidR="00036B38" w:rsidRPr="00B67CD8" w:rsidP="00036B38" w14:paraId="779C6B5A" w14:textId="77777777">
      <w:pPr>
        <w:jc w:val="center"/>
      </w:pPr>
      <w:r w:rsidRPr="00B67CD8">
        <w:t>Contact Information:</w:t>
      </w:r>
    </w:p>
    <w:p w:rsidR="00036B38" w:rsidRPr="00B67CD8" w:rsidP="00036B38" w14:paraId="46CF6198" w14:textId="77777777">
      <w:pPr>
        <w:pStyle w:val="E-mailSignature"/>
        <w:jc w:val="center"/>
        <w:rPr>
          <w:noProof/>
        </w:rPr>
      </w:pPr>
      <w:bookmarkStart w:id="0" w:name="_MailAutoSig"/>
      <w:r w:rsidRPr="00B67CD8">
        <w:rPr>
          <w:noProof/>
        </w:rPr>
        <w:t>Centers for Disease Control and Prevention</w:t>
      </w:r>
    </w:p>
    <w:p w:rsidR="00036B38" w:rsidRPr="00B67CD8" w:rsidP="00036B38" w14:paraId="1CDFCE7A" w14:textId="77777777">
      <w:pPr>
        <w:pStyle w:val="E-mailSignature"/>
        <w:jc w:val="center"/>
        <w:rPr>
          <w:noProof/>
        </w:rPr>
      </w:pPr>
      <w:r w:rsidRPr="00B67CD8">
        <w:rPr>
          <w:noProof/>
        </w:rPr>
        <w:t>National Center for Injury Prevention and Control</w:t>
      </w:r>
    </w:p>
    <w:p w:rsidR="00036B38" w:rsidRPr="00B67CD8" w:rsidP="00036B38" w14:paraId="5100D205" w14:textId="161BC7AA">
      <w:pPr>
        <w:pStyle w:val="E-mailSignature"/>
        <w:jc w:val="center"/>
        <w:rPr>
          <w:noProof/>
        </w:rPr>
      </w:pPr>
      <w:r w:rsidRPr="00B67CD8">
        <w:rPr>
          <w:noProof/>
        </w:rPr>
        <w:t xml:space="preserve">4770 Buford Highway NE </w:t>
      </w:r>
    </w:p>
    <w:p w:rsidR="00036B38" w:rsidRPr="00B67CD8" w:rsidP="00036B38" w14:paraId="2785F065" w14:textId="6BA342E1">
      <w:pPr>
        <w:pStyle w:val="E-mailSignature"/>
        <w:jc w:val="center"/>
        <w:rPr>
          <w:noProof/>
        </w:rPr>
      </w:pPr>
      <w:r w:rsidRPr="00B67CD8">
        <w:rPr>
          <w:noProof/>
        </w:rPr>
        <w:t>Atlanta, GA 30341</w:t>
      </w:r>
    </w:p>
    <w:p w:rsidR="00036B38" w:rsidRPr="00B67CD8" w:rsidP="00036B38" w14:paraId="58641FB7" w14:textId="77777777">
      <w:pPr>
        <w:jc w:val="center"/>
        <w:rPr>
          <w:noProof/>
        </w:rPr>
      </w:pPr>
    </w:p>
    <w:p w:rsidR="00036B38" w:rsidRPr="00B67CD8" w:rsidP="00036B38" w14:paraId="1421A532" w14:textId="419B43D5">
      <w:pPr>
        <w:jc w:val="center"/>
      </w:pPr>
      <w:r w:rsidRPr="00B67CD8">
        <w:rPr>
          <w:noProof/>
        </w:rPr>
        <w:t>Phone</w:t>
      </w:r>
      <w:r w:rsidRPr="00B67CD8">
        <w:rPr>
          <w:noProof/>
        </w:rPr>
        <w:t xml:space="preserve">: </w:t>
      </w:r>
      <w:r w:rsidRPr="00B67CD8" w:rsidR="002B23D0">
        <w:rPr>
          <w:noProof/>
        </w:rPr>
        <w:t xml:space="preserve">(303) </w:t>
      </w:r>
      <w:r w:rsidRPr="00B67CD8" w:rsidR="00D56521">
        <w:rPr>
          <w:noProof/>
        </w:rPr>
        <w:t>249-9057</w:t>
      </w:r>
    </w:p>
    <w:p w:rsidR="00036B38" w:rsidRPr="00B67CD8" w:rsidP="00036B38" w14:paraId="69CB3059" w14:textId="6BA8A684">
      <w:pPr>
        <w:pStyle w:val="E-mailSignature"/>
        <w:jc w:val="center"/>
        <w:rPr>
          <w:noProof/>
        </w:rPr>
      </w:pPr>
      <w:r w:rsidRPr="00B67CD8">
        <w:rPr>
          <w:noProof/>
        </w:rPr>
        <w:t>Emai</w:t>
      </w:r>
      <w:r w:rsidRPr="00B67CD8">
        <w:rPr>
          <w:noProof/>
        </w:rPr>
        <w:t>l</w:t>
      </w:r>
      <w:bookmarkEnd w:id="0"/>
      <w:r w:rsidRPr="00B67CD8" w:rsidR="002031E9">
        <w:rPr>
          <w:noProof/>
        </w:rPr>
        <w:t xml:space="preserve">: </w:t>
      </w:r>
      <w:r w:rsidRPr="00F77F01" w:rsidR="002B23D0">
        <w:t>uk</w:t>
      </w:r>
      <w:r w:rsidRPr="00B67CD8" w:rsidR="002B23D0">
        <w:rPr>
          <w:noProof/>
        </w:rPr>
        <w:t>t9@cdc.gov</w:t>
      </w:r>
      <w:r w:rsidRPr="00B67CD8" w:rsidR="002031E9">
        <w:rPr>
          <w:noProof/>
        </w:rPr>
        <w:t xml:space="preserve"> </w:t>
      </w:r>
    </w:p>
    <w:p w:rsidR="00972DEF" w:rsidRPr="00B67CD8" w:rsidP="00972DEF" w14:paraId="45FB0818" w14:textId="77777777">
      <w:pPr>
        <w:jc w:val="center"/>
      </w:pPr>
    </w:p>
    <w:p w:rsidR="00E2294D" w:rsidRPr="00B67CD8" w:rsidP="00972DEF" w14:paraId="049F31CB" w14:textId="77777777">
      <w:pPr>
        <w:jc w:val="center"/>
      </w:pPr>
    </w:p>
    <w:p w:rsidR="00E2294D" w:rsidRPr="00B67CD8" w:rsidP="00972DEF" w14:paraId="53128261" w14:textId="77777777">
      <w:pPr>
        <w:jc w:val="center"/>
      </w:pPr>
    </w:p>
    <w:p w:rsidR="00E2294D" w:rsidRPr="00B67CD8" w:rsidP="00972DEF" w14:paraId="62486C05" w14:textId="77777777">
      <w:pPr>
        <w:jc w:val="center"/>
      </w:pPr>
    </w:p>
    <w:p w:rsidR="00E2294D" w:rsidRPr="00B67CD8" w:rsidP="00972DEF" w14:paraId="4101652C" w14:textId="77777777">
      <w:pPr>
        <w:jc w:val="center"/>
      </w:pPr>
    </w:p>
    <w:p w:rsidR="00E2294D" w:rsidRPr="00B67CD8" w:rsidP="00972DEF" w14:paraId="4B99056E" w14:textId="77777777">
      <w:pPr>
        <w:jc w:val="center"/>
      </w:pPr>
    </w:p>
    <w:p w:rsidR="00036B38" w:rsidRPr="00B67CD8" w14:paraId="7A5FE331" w14:textId="77777777">
      <w:pPr>
        <w:rPr>
          <w:b/>
          <w:bCs/>
        </w:rPr>
      </w:pPr>
      <w:r w:rsidRPr="00B67CD8">
        <w:rPr>
          <w:b/>
          <w:bCs/>
        </w:rPr>
        <w:br w:type="page"/>
      </w:r>
    </w:p>
    <w:p w:rsidR="00972DEF" w:rsidRPr="00B67CD8" w:rsidP="00F63E8B" w14:paraId="6CEAABF0" w14:textId="656BF9ED">
      <w:pPr>
        <w:ind w:firstLine="720"/>
        <w:jc w:val="center"/>
        <w:rPr>
          <w:b/>
          <w:bCs/>
          <w:noProof/>
        </w:rPr>
      </w:pPr>
      <w:r w:rsidRPr="00B67CD8">
        <w:rPr>
          <w:b/>
          <w:bCs/>
        </w:rPr>
        <w:t>CONTE</w:t>
      </w:r>
      <w:r w:rsidRPr="00B67CD8">
        <w:rPr>
          <w:b/>
          <w:bCs/>
          <w:noProof/>
        </w:rPr>
        <w:t>NTS</w:t>
      </w:r>
    </w:p>
    <w:p w:rsidR="00972DEF" w:rsidRPr="00B67CD8" w:rsidP="00972DEF" w14:paraId="756E6C62" w14:textId="77777777">
      <w:pPr>
        <w:pStyle w:val="T0-ChapPgHd"/>
        <w:jc w:val="left"/>
        <w:rPr>
          <w:noProof/>
        </w:rPr>
      </w:pPr>
      <w:r w:rsidRPr="00B67CD8">
        <w:rPr>
          <w:noProof/>
        </w:rPr>
        <w:t>Section</w:t>
      </w:r>
      <w:r w:rsidRPr="00B67CD8">
        <w:rPr>
          <w:noProof/>
        </w:rPr>
        <w:tab/>
        <w:t>Page</w:t>
      </w:r>
    </w:p>
    <w:p w:rsidR="00972DEF" w:rsidRPr="00B67CD8" w:rsidP="00972DEF" w14:paraId="1299C43A" w14:textId="77777777">
      <w:pPr>
        <w:pStyle w:val="T0-ChapPgHd"/>
        <w:jc w:val="left"/>
        <w:rPr>
          <w:noProof/>
        </w:rPr>
      </w:pPr>
    </w:p>
    <w:p w:rsidR="00541D30" w:rsidRPr="00B67CD8" w:rsidP="00541D30" w14:paraId="2403B204" w14:textId="5C66FB85">
      <w:pPr>
        <w:pStyle w:val="TOC1"/>
        <w:rPr>
          <w:noProof/>
        </w:rPr>
      </w:pPr>
      <w:r w:rsidRPr="00B67CD8">
        <w:rPr>
          <w:noProof/>
        </w:rPr>
        <w:t>A.</w:t>
      </w:r>
      <w:r w:rsidRPr="00B67CD8">
        <w:rPr>
          <w:noProof/>
        </w:rPr>
        <w:tab/>
      </w:r>
      <w:r w:rsidRPr="00B67CD8">
        <w:rPr>
          <w:noProof/>
        </w:rPr>
        <w:t>Summary table</w:t>
      </w:r>
      <w:r w:rsidRPr="00B67CD8">
        <w:rPr>
          <w:noProof/>
        </w:rPr>
        <w:tab/>
      </w:r>
      <w:r w:rsidRPr="00B67CD8">
        <w:rPr>
          <w:noProof/>
        </w:rPr>
        <w:tab/>
      </w:r>
      <w:r w:rsidRPr="00B67CD8" w:rsidR="00B17389">
        <w:rPr>
          <w:noProof/>
        </w:rPr>
        <w:t>3</w:t>
      </w:r>
    </w:p>
    <w:p w:rsidR="00541D30" w:rsidRPr="00B67CD8" w:rsidP="00972DEF" w14:paraId="4DDBEF00" w14:textId="77777777">
      <w:pPr>
        <w:pStyle w:val="TOC1"/>
        <w:rPr>
          <w:noProof/>
        </w:rPr>
      </w:pPr>
    </w:p>
    <w:p w:rsidR="00972DEF" w:rsidRPr="00B67CD8" w:rsidP="00541D30" w14:paraId="0B5BC894" w14:textId="7CDC7C8B">
      <w:pPr>
        <w:pStyle w:val="TOC1"/>
        <w:rPr>
          <w:noProof/>
        </w:rPr>
      </w:pPr>
      <w:r w:rsidRPr="00B67CD8">
        <w:rPr>
          <w:noProof/>
        </w:rPr>
        <w:tab/>
      </w:r>
      <w:r w:rsidRPr="00B67CD8">
        <w:rPr>
          <w:noProof/>
        </w:rPr>
        <w:t>Justification</w:t>
      </w:r>
      <w:r w:rsidRPr="00B67CD8">
        <w:rPr>
          <w:noProof/>
        </w:rPr>
        <w:tab/>
      </w:r>
      <w:r w:rsidRPr="00B67CD8">
        <w:rPr>
          <w:noProof/>
        </w:rPr>
        <w:tab/>
      </w:r>
      <w:r w:rsidRPr="00B67CD8" w:rsidR="00433262">
        <w:rPr>
          <w:noProof/>
        </w:rPr>
        <w:t>4</w:t>
      </w:r>
    </w:p>
    <w:p w:rsidR="00972DEF" w:rsidRPr="00B67CD8" w:rsidP="00972DEF" w14:paraId="3461D779" w14:textId="77777777">
      <w:pPr>
        <w:pStyle w:val="TOC1"/>
        <w:rPr>
          <w:noProof/>
        </w:rPr>
      </w:pPr>
    </w:p>
    <w:p w:rsidR="00541D30" w:rsidRPr="00B67CD8" w:rsidP="009E007B" w14:paraId="2D6ACAD3" w14:textId="513C9D38">
      <w:pPr>
        <w:pStyle w:val="TOC2"/>
        <w:rPr>
          <w:noProof/>
        </w:rPr>
      </w:pPr>
      <w:r w:rsidRPr="00B67CD8">
        <w:rPr>
          <w:noProof/>
        </w:rPr>
        <w:t>A.1.</w:t>
      </w:r>
      <w:r w:rsidRPr="00B67CD8">
        <w:rPr>
          <w:noProof/>
        </w:rPr>
        <w:tab/>
        <w:t>Circumstances Making the Collection of Information Necessary</w:t>
      </w:r>
      <w:r w:rsidRPr="00B67CD8">
        <w:rPr>
          <w:noProof/>
        </w:rPr>
        <w:tab/>
      </w:r>
      <w:r w:rsidRPr="00B67CD8" w:rsidR="00433262">
        <w:rPr>
          <w:noProof/>
        </w:rPr>
        <w:t>4</w:t>
      </w:r>
    </w:p>
    <w:p w:rsidR="00972DEF" w:rsidRPr="00B67CD8" w:rsidP="009E007B" w14:paraId="02D8C64C" w14:textId="12E5F7DE">
      <w:pPr>
        <w:pStyle w:val="TOC2"/>
        <w:rPr>
          <w:noProof/>
        </w:rPr>
      </w:pPr>
      <w:r w:rsidRPr="00B67CD8">
        <w:rPr>
          <w:noProof/>
        </w:rPr>
        <w:t>A.2.</w:t>
      </w:r>
      <w:r w:rsidRPr="00B67CD8">
        <w:rPr>
          <w:noProof/>
        </w:rPr>
        <w:tab/>
        <w:t>Purpose and Use of Information Collection</w:t>
      </w:r>
      <w:r w:rsidRPr="00B67CD8">
        <w:rPr>
          <w:noProof/>
        </w:rPr>
        <w:tab/>
      </w:r>
      <w:r w:rsidRPr="00B67CD8">
        <w:rPr>
          <w:noProof/>
        </w:rPr>
        <w:tab/>
      </w:r>
      <w:r w:rsidRPr="00B67CD8" w:rsidR="0014146B">
        <w:rPr>
          <w:noProof/>
        </w:rPr>
        <w:t>7</w:t>
      </w:r>
    </w:p>
    <w:p w:rsidR="00972DEF" w:rsidRPr="00B67CD8" w:rsidP="009E007B" w14:paraId="240848FB" w14:textId="370E06D0">
      <w:pPr>
        <w:pStyle w:val="TOC2"/>
        <w:rPr>
          <w:noProof/>
        </w:rPr>
      </w:pPr>
      <w:r w:rsidRPr="00B67CD8">
        <w:rPr>
          <w:noProof/>
        </w:rPr>
        <w:t>A.3.</w:t>
      </w:r>
      <w:r w:rsidRPr="00B67CD8">
        <w:rPr>
          <w:noProof/>
        </w:rPr>
        <w:tab/>
        <w:t>Use of Improved Information Technology and Burden Reduction</w:t>
      </w:r>
      <w:r w:rsidRPr="00B67CD8">
        <w:rPr>
          <w:noProof/>
        </w:rPr>
        <w:tab/>
      </w:r>
      <w:r w:rsidRPr="00B67CD8" w:rsidR="0014146B">
        <w:rPr>
          <w:noProof/>
        </w:rPr>
        <w:t>8</w:t>
      </w:r>
    </w:p>
    <w:p w:rsidR="00972DEF" w:rsidRPr="00B67CD8" w:rsidP="009E007B" w14:paraId="33F96A7F" w14:textId="0E632976">
      <w:pPr>
        <w:pStyle w:val="TOC2"/>
        <w:rPr>
          <w:noProof/>
        </w:rPr>
      </w:pPr>
      <w:r w:rsidRPr="00B67CD8">
        <w:rPr>
          <w:noProof/>
        </w:rPr>
        <w:t>A.4.</w:t>
      </w:r>
      <w:r w:rsidRPr="00B67CD8">
        <w:rPr>
          <w:noProof/>
        </w:rPr>
        <w:tab/>
        <w:t>Efforts to Identify Duplication and Use of Similar Information</w:t>
      </w:r>
      <w:r w:rsidRPr="00B67CD8">
        <w:rPr>
          <w:noProof/>
        </w:rPr>
        <w:tab/>
      </w:r>
      <w:r w:rsidRPr="00B67CD8">
        <w:rPr>
          <w:noProof/>
        </w:rPr>
        <w:tab/>
      </w:r>
      <w:r w:rsidRPr="00B67CD8" w:rsidR="0014146B">
        <w:rPr>
          <w:noProof/>
        </w:rPr>
        <w:t>9</w:t>
      </w:r>
    </w:p>
    <w:p w:rsidR="00972DEF" w:rsidRPr="00B67CD8" w:rsidP="009E007B" w14:paraId="76B8586B" w14:textId="381BA996">
      <w:pPr>
        <w:pStyle w:val="TOC2"/>
        <w:rPr>
          <w:noProof/>
        </w:rPr>
      </w:pPr>
      <w:r w:rsidRPr="00B67CD8">
        <w:rPr>
          <w:noProof/>
        </w:rPr>
        <w:t>A.5.</w:t>
      </w:r>
      <w:r w:rsidRPr="00B67CD8">
        <w:rPr>
          <w:noProof/>
        </w:rPr>
        <w:tab/>
        <w:t>Impact on Small Businesses or Other Small Entities</w:t>
      </w:r>
      <w:r w:rsidRPr="00B67CD8">
        <w:rPr>
          <w:noProof/>
        </w:rPr>
        <w:tab/>
      </w:r>
      <w:r w:rsidRPr="00B67CD8">
        <w:rPr>
          <w:noProof/>
        </w:rPr>
        <w:tab/>
      </w:r>
      <w:r w:rsidRPr="00B67CD8" w:rsidR="0014146B">
        <w:rPr>
          <w:noProof/>
        </w:rPr>
        <w:t>11</w:t>
      </w:r>
    </w:p>
    <w:p w:rsidR="00972DEF" w:rsidRPr="00B67CD8" w:rsidP="009E007B" w14:paraId="33682235" w14:textId="41CCE7B2">
      <w:pPr>
        <w:pStyle w:val="TOC2"/>
        <w:rPr>
          <w:noProof/>
        </w:rPr>
      </w:pPr>
      <w:r w:rsidRPr="00B67CD8">
        <w:rPr>
          <w:noProof/>
        </w:rPr>
        <w:t>A.6.</w:t>
      </w:r>
      <w:r w:rsidRPr="00B67CD8">
        <w:rPr>
          <w:noProof/>
        </w:rPr>
        <w:tab/>
        <w:t>Consequences of Collecting the Information Less Frequently</w:t>
      </w:r>
      <w:r w:rsidRPr="00B67CD8">
        <w:rPr>
          <w:noProof/>
        </w:rPr>
        <w:tab/>
      </w:r>
      <w:r w:rsidRPr="00B67CD8">
        <w:rPr>
          <w:noProof/>
        </w:rPr>
        <w:tab/>
      </w:r>
      <w:r w:rsidRPr="00B67CD8" w:rsidR="0014146B">
        <w:rPr>
          <w:noProof/>
        </w:rPr>
        <w:t>11</w:t>
      </w:r>
    </w:p>
    <w:p w:rsidR="00972DEF" w:rsidRPr="00B67CD8" w:rsidP="009E007B" w14:paraId="7DB75DD7" w14:textId="77777777">
      <w:pPr>
        <w:pStyle w:val="TOC2"/>
        <w:rPr>
          <w:noProof/>
        </w:rPr>
      </w:pPr>
      <w:r w:rsidRPr="00B67CD8">
        <w:rPr>
          <w:noProof/>
        </w:rPr>
        <w:t>A.7.</w:t>
      </w:r>
      <w:r w:rsidRPr="00B67CD8">
        <w:rPr>
          <w:noProof/>
        </w:rPr>
        <w:tab/>
        <w:t xml:space="preserve">Special Circumstances Relating to the Guidelines of </w:t>
      </w:r>
    </w:p>
    <w:p w:rsidR="00972DEF" w:rsidRPr="00B67CD8" w:rsidP="009E007B" w14:paraId="020F92D0" w14:textId="6A53717F">
      <w:pPr>
        <w:pStyle w:val="TOC2"/>
        <w:rPr>
          <w:noProof/>
        </w:rPr>
      </w:pPr>
      <w:r w:rsidRPr="00B67CD8">
        <w:rPr>
          <w:noProof/>
        </w:rPr>
        <w:tab/>
        <w:t>5 CFR 1320.5(d)2</w:t>
      </w:r>
      <w:r w:rsidRPr="00B67CD8">
        <w:rPr>
          <w:noProof/>
        </w:rPr>
        <w:tab/>
      </w:r>
      <w:r w:rsidRPr="00B67CD8">
        <w:rPr>
          <w:noProof/>
        </w:rPr>
        <w:tab/>
      </w:r>
      <w:r w:rsidRPr="00B67CD8" w:rsidR="0014146B">
        <w:rPr>
          <w:noProof/>
        </w:rPr>
        <w:t>12</w:t>
      </w:r>
    </w:p>
    <w:p w:rsidR="00972DEF" w:rsidRPr="00B67CD8" w:rsidP="009E007B" w14:paraId="0F8652C7" w14:textId="77777777">
      <w:pPr>
        <w:pStyle w:val="TOC2"/>
        <w:rPr>
          <w:noProof/>
        </w:rPr>
      </w:pPr>
      <w:r w:rsidRPr="00B67CD8">
        <w:rPr>
          <w:noProof/>
        </w:rPr>
        <w:t>A.8.</w:t>
      </w:r>
      <w:r w:rsidRPr="00B67CD8">
        <w:rPr>
          <w:noProof/>
        </w:rPr>
        <w:tab/>
        <w:t xml:space="preserve">Comments in Response to the Federal Register Notice and </w:t>
      </w:r>
    </w:p>
    <w:p w:rsidR="00972DEF" w:rsidRPr="00B67CD8" w:rsidP="009E007B" w14:paraId="44FAE983" w14:textId="1F5EE2D9">
      <w:pPr>
        <w:pStyle w:val="TOC2"/>
        <w:rPr>
          <w:noProof/>
        </w:rPr>
      </w:pPr>
      <w:r w:rsidRPr="00B67CD8">
        <w:rPr>
          <w:noProof/>
        </w:rPr>
        <w:tab/>
        <w:t>Efforts to Consult Outside the Agency</w:t>
      </w:r>
      <w:r w:rsidRPr="00B67CD8">
        <w:rPr>
          <w:noProof/>
        </w:rPr>
        <w:tab/>
      </w:r>
      <w:r w:rsidRPr="00B67CD8">
        <w:rPr>
          <w:noProof/>
        </w:rPr>
        <w:tab/>
      </w:r>
      <w:r w:rsidRPr="00B67CD8" w:rsidR="0014146B">
        <w:rPr>
          <w:noProof/>
        </w:rPr>
        <w:t>12</w:t>
      </w:r>
    </w:p>
    <w:p w:rsidR="00972DEF" w:rsidRPr="00B67CD8" w:rsidP="009E007B" w14:paraId="4044B09F" w14:textId="6FBDFD73">
      <w:pPr>
        <w:pStyle w:val="TOC2"/>
        <w:rPr>
          <w:noProof/>
        </w:rPr>
      </w:pPr>
      <w:r w:rsidRPr="00B67CD8">
        <w:rPr>
          <w:noProof/>
        </w:rPr>
        <w:t>A.9.</w:t>
      </w:r>
      <w:r w:rsidRPr="00B67CD8">
        <w:rPr>
          <w:noProof/>
        </w:rPr>
        <w:tab/>
        <w:t>Explanation of Any Payment or Gift to Respondents</w:t>
      </w:r>
      <w:r w:rsidRPr="00B67CD8">
        <w:rPr>
          <w:noProof/>
        </w:rPr>
        <w:tab/>
      </w:r>
      <w:r w:rsidRPr="00B67CD8">
        <w:rPr>
          <w:noProof/>
        </w:rPr>
        <w:tab/>
      </w:r>
      <w:r w:rsidRPr="00B67CD8" w:rsidR="0014146B">
        <w:rPr>
          <w:noProof/>
        </w:rPr>
        <w:t>13</w:t>
      </w:r>
    </w:p>
    <w:p w:rsidR="00972DEF" w:rsidRPr="00B67CD8" w:rsidP="009E007B" w14:paraId="2956BF43" w14:textId="40090393">
      <w:pPr>
        <w:pStyle w:val="TOC2"/>
        <w:rPr>
          <w:noProof/>
        </w:rPr>
      </w:pPr>
      <w:r w:rsidRPr="00B67CD8">
        <w:rPr>
          <w:noProof/>
        </w:rPr>
        <w:t>A.10.</w:t>
      </w:r>
      <w:r w:rsidRPr="00B67CD8">
        <w:rPr>
          <w:noProof/>
        </w:rPr>
        <w:tab/>
      </w:r>
      <w:r w:rsidRPr="00B67CD8" w:rsidR="00253F44">
        <w:rPr>
          <w:noProof/>
        </w:rPr>
        <w:t>Protection of the   Privacy  and Confidentiality of Information    Provided  by  Respondents</w:t>
      </w:r>
      <w:r w:rsidRPr="00B67CD8">
        <w:rPr>
          <w:noProof/>
        </w:rPr>
        <w:tab/>
      </w:r>
      <w:r w:rsidRPr="00B67CD8">
        <w:rPr>
          <w:noProof/>
        </w:rPr>
        <w:tab/>
      </w:r>
      <w:r w:rsidRPr="00B67CD8" w:rsidR="0014146B">
        <w:rPr>
          <w:noProof/>
        </w:rPr>
        <w:t>13</w:t>
      </w:r>
    </w:p>
    <w:p w:rsidR="00972DEF" w:rsidRPr="00B67CD8" w:rsidP="009E007B" w14:paraId="1CFAA6B5" w14:textId="0AED9C9B">
      <w:pPr>
        <w:pStyle w:val="TOC2"/>
        <w:rPr>
          <w:noProof/>
        </w:rPr>
      </w:pPr>
      <w:r w:rsidRPr="00B67CD8">
        <w:rPr>
          <w:noProof/>
        </w:rPr>
        <w:t>A.11.</w:t>
      </w:r>
      <w:r w:rsidRPr="00B67CD8">
        <w:rPr>
          <w:noProof/>
        </w:rPr>
        <w:tab/>
      </w:r>
      <w:r w:rsidRPr="00B67CD8" w:rsidR="009C1939">
        <w:rPr>
          <w:noProof/>
        </w:rPr>
        <w:t>Institutional Review Board (IRB) and  Justification for Sensitive Questions</w:t>
      </w:r>
      <w:r w:rsidRPr="00B67CD8" w:rsidR="008E78B9">
        <w:rPr>
          <w:noProof/>
        </w:rPr>
        <w:tab/>
      </w:r>
      <w:r w:rsidRPr="00B67CD8" w:rsidR="008E78B9">
        <w:rPr>
          <w:noProof/>
        </w:rPr>
        <w:tab/>
      </w:r>
      <w:r w:rsidRPr="00B67CD8" w:rsidR="0014146B">
        <w:rPr>
          <w:noProof/>
        </w:rPr>
        <w:t>14</w:t>
      </w:r>
    </w:p>
    <w:p w:rsidR="00972DEF" w:rsidRPr="00B67CD8" w:rsidP="009E007B" w14:paraId="60F62FEB" w14:textId="7BC04474">
      <w:pPr>
        <w:pStyle w:val="TOC2"/>
        <w:rPr>
          <w:noProof/>
        </w:rPr>
      </w:pPr>
      <w:r w:rsidRPr="00B67CD8">
        <w:rPr>
          <w:noProof/>
        </w:rPr>
        <w:t>A.12.</w:t>
      </w:r>
      <w:r w:rsidRPr="00B67CD8">
        <w:rPr>
          <w:noProof/>
        </w:rPr>
        <w:tab/>
        <w:t>Estimates of Annualized Burden Hours and Costs</w:t>
      </w:r>
      <w:r w:rsidRPr="00B67CD8">
        <w:rPr>
          <w:noProof/>
        </w:rPr>
        <w:tab/>
      </w:r>
      <w:r w:rsidRPr="00B67CD8">
        <w:rPr>
          <w:noProof/>
        </w:rPr>
        <w:tab/>
      </w:r>
      <w:r w:rsidRPr="00B67CD8" w:rsidR="0014146B">
        <w:rPr>
          <w:noProof/>
        </w:rPr>
        <w:t>14</w:t>
      </w:r>
    </w:p>
    <w:p w:rsidR="00972DEF" w:rsidRPr="00B67CD8" w:rsidP="009E007B" w14:paraId="5E1493EC" w14:textId="77777777">
      <w:pPr>
        <w:pStyle w:val="TOC2"/>
        <w:rPr>
          <w:noProof/>
        </w:rPr>
      </w:pPr>
      <w:r w:rsidRPr="00B67CD8">
        <w:rPr>
          <w:noProof/>
        </w:rPr>
        <w:t>A.13.</w:t>
      </w:r>
      <w:r w:rsidRPr="00B67CD8">
        <w:rPr>
          <w:noProof/>
        </w:rPr>
        <w:tab/>
        <w:t xml:space="preserve">Estimates of Other Total Annual Cost Burden to Respondents </w:t>
      </w:r>
    </w:p>
    <w:p w:rsidR="00972DEF" w:rsidRPr="00B67CD8" w:rsidP="009E007B" w14:paraId="0D002CCF" w14:textId="5298B5A0">
      <w:pPr>
        <w:pStyle w:val="TOC2"/>
        <w:rPr>
          <w:noProof/>
        </w:rPr>
      </w:pPr>
      <w:r w:rsidRPr="00B67CD8">
        <w:rPr>
          <w:noProof/>
        </w:rPr>
        <w:tab/>
        <w:t>or Record Keepers</w:t>
      </w:r>
      <w:r w:rsidRPr="00B67CD8">
        <w:rPr>
          <w:noProof/>
        </w:rPr>
        <w:tab/>
      </w:r>
      <w:r w:rsidRPr="00B67CD8">
        <w:rPr>
          <w:noProof/>
        </w:rPr>
        <w:tab/>
      </w:r>
      <w:r w:rsidRPr="00B67CD8" w:rsidR="0014146B">
        <w:rPr>
          <w:noProof/>
        </w:rPr>
        <w:t>15</w:t>
      </w:r>
    </w:p>
    <w:p w:rsidR="00972DEF" w:rsidRPr="00B67CD8" w:rsidP="009E007B" w14:paraId="6D605173" w14:textId="641B15AE">
      <w:pPr>
        <w:pStyle w:val="TOC2"/>
        <w:rPr>
          <w:noProof/>
        </w:rPr>
      </w:pPr>
      <w:r w:rsidRPr="00B67CD8">
        <w:rPr>
          <w:noProof/>
        </w:rPr>
        <w:t>A.14.</w:t>
      </w:r>
      <w:r w:rsidRPr="00B67CD8">
        <w:rPr>
          <w:noProof/>
        </w:rPr>
        <w:tab/>
        <w:t>Annualized Cost to the Government</w:t>
      </w:r>
      <w:r w:rsidRPr="00B67CD8">
        <w:rPr>
          <w:noProof/>
        </w:rPr>
        <w:tab/>
      </w:r>
      <w:r w:rsidRPr="00B67CD8">
        <w:rPr>
          <w:noProof/>
        </w:rPr>
        <w:tab/>
      </w:r>
      <w:r w:rsidRPr="00B67CD8" w:rsidR="0014146B">
        <w:rPr>
          <w:noProof/>
        </w:rPr>
        <w:t>15</w:t>
      </w:r>
    </w:p>
    <w:p w:rsidR="00972DEF" w:rsidRPr="00B67CD8" w:rsidP="009E007B" w14:paraId="1A60FCD8" w14:textId="2336707C">
      <w:pPr>
        <w:pStyle w:val="TOC2"/>
        <w:rPr>
          <w:noProof/>
        </w:rPr>
      </w:pPr>
      <w:r w:rsidRPr="00B67CD8">
        <w:rPr>
          <w:noProof/>
        </w:rPr>
        <w:t>A.15.</w:t>
      </w:r>
      <w:r w:rsidRPr="00B67CD8">
        <w:rPr>
          <w:noProof/>
        </w:rPr>
        <w:tab/>
        <w:t>Explanation for Program Changes or Adjustments</w:t>
      </w:r>
      <w:r w:rsidRPr="00B67CD8">
        <w:rPr>
          <w:noProof/>
        </w:rPr>
        <w:tab/>
      </w:r>
      <w:r w:rsidRPr="00B67CD8">
        <w:rPr>
          <w:noProof/>
        </w:rPr>
        <w:tab/>
      </w:r>
      <w:r w:rsidRPr="00B67CD8" w:rsidR="0014146B">
        <w:rPr>
          <w:noProof/>
        </w:rPr>
        <w:t>16</w:t>
      </w:r>
    </w:p>
    <w:p w:rsidR="00972DEF" w:rsidRPr="00B67CD8" w:rsidP="009E007B" w14:paraId="08C76183" w14:textId="609202D2">
      <w:pPr>
        <w:pStyle w:val="TOC2"/>
        <w:rPr>
          <w:noProof/>
        </w:rPr>
      </w:pPr>
      <w:r w:rsidRPr="00B67CD8">
        <w:rPr>
          <w:noProof/>
        </w:rPr>
        <w:t>A.16.</w:t>
      </w:r>
      <w:r w:rsidRPr="00B67CD8">
        <w:rPr>
          <w:noProof/>
        </w:rPr>
        <w:tab/>
        <w:t>Plans for Tabulation</w:t>
      </w:r>
      <w:r w:rsidRPr="00B67CD8" w:rsidR="00203955">
        <w:rPr>
          <w:noProof/>
        </w:rPr>
        <w:t xml:space="preserve"> and </w:t>
      </w:r>
      <w:r w:rsidRPr="00B67CD8">
        <w:rPr>
          <w:noProof/>
        </w:rPr>
        <w:t>Publication and Project Time Schedule</w:t>
      </w:r>
      <w:r w:rsidRPr="00B67CD8" w:rsidR="008E78B9">
        <w:rPr>
          <w:noProof/>
        </w:rPr>
        <w:tab/>
      </w:r>
      <w:r w:rsidRPr="00B67CD8" w:rsidR="0014146B">
        <w:rPr>
          <w:noProof/>
        </w:rPr>
        <w:t>16</w:t>
      </w:r>
    </w:p>
    <w:p w:rsidR="00972DEF" w:rsidRPr="00B67CD8" w:rsidP="009E007B" w14:paraId="3E878F87" w14:textId="1D242F5E">
      <w:pPr>
        <w:pStyle w:val="TOC2"/>
        <w:rPr>
          <w:noProof/>
        </w:rPr>
      </w:pPr>
      <w:r w:rsidRPr="00B67CD8">
        <w:rPr>
          <w:noProof/>
        </w:rPr>
        <w:t>A.17.</w:t>
      </w:r>
      <w:r w:rsidRPr="00B67CD8">
        <w:rPr>
          <w:noProof/>
        </w:rPr>
        <w:tab/>
        <w:t>Reason(s) Display of OMB Expiration Date is Inappropriate</w:t>
      </w:r>
      <w:r w:rsidRPr="00B67CD8">
        <w:rPr>
          <w:noProof/>
        </w:rPr>
        <w:tab/>
      </w:r>
      <w:r w:rsidRPr="00B67CD8">
        <w:rPr>
          <w:noProof/>
        </w:rPr>
        <w:tab/>
      </w:r>
      <w:r w:rsidRPr="00B67CD8" w:rsidR="0014146B">
        <w:rPr>
          <w:noProof/>
        </w:rPr>
        <w:t>17</w:t>
      </w:r>
    </w:p>
    <w:p w:rsidR="00972DEF" w:rsidRPr="00B67CD8" w:rsidP="009E007B" w14:paraId="46C23BFB" w14:textId="77777777">
      <w:pPr>
        <w:pStyle w:val="TOC2"/>
        <w:rPr>
          <w:noProof/>
        </w:rPr>
      </w:pPr>
      <w:r w:rsidRPr="00B67CD8">
        <w:rPr>
          <w:noProof/>
        </w:rPr>
        <w:t>A.18.</w:t>
      </w:r>
      <w:r w:rsidRPr="00B67CD8">
        <w:rPr>
          <w:noProof/>
        </w:rPr>
        <w:tab/>
        <w:t xml:space="preserve">Exceptions to Certification for Paperwork Reducation Act </w:t>
      </w:r>
    </w:p>
    <w:p w:rsidR="00972DEF" w:rsidRPr="00B67CD8" w:rsidP="009E007B" w14:paraId="4AF3CA35" w14:textId="3EE3DF6C">
      <w:pPr>
        <w:pStyle w:val="TOC2"/>
        <w:rPr>
          <w:noProof/>
        </w:rPr>
      </w:pPr>
      <w:r w:rsidRPr="00B67CD8">
        <w:rPr>
          <w:noProof/>
        </w:rPr>
        <w:tab/>
        <w:t>Submissions</w:t>
      </w:r>
      <w:r w:rsidRPr="00B67CD8">
        <w:rPr>
          <w:noProof/>
        </w:rPr>
        <w:tab/>
      </w:r>
      <w:r w:rsidRPr="00B67CD8">
        <w:rPr>
          <w:noProof/>
        </w:rPr>
        <w:tab/>
      </w:r>
      <w:r w:rsidRPr="00B67CD8" w:rsidR="0014146B">
        <w:rPr>
          <w:noProof/>
        </w:rPr>
        <w:t>17</w:t>
      </w:r>
    </w:p>
    <w:p w:rsidR="00972DEF" w:rsidRPr="00B67CD8" w:rsidP="00972DEF" w14:paraId="3CF2D8B6" w14:textId="77777777">
      <w:pPr>
        <w:pStyle w:val="TOC1"/>
        <w:rPr>
          <w:noProof/>
        </w:rPr>
      </w:pPr>
    </w:p>
    <w:p w:rsidR="00972DEF" w:rsidRPr="00B67CD8" w:rsidP="0027160A" w14:paraId="0FB78278" w14:textId="77777777">
      <w:pPr>
        <w:pStyle w:val="TOC5"/>
        <w:ind w:left="0"/>
        <w:jc w:val="left"/>
        <w:rPr>
          <w:noProof/>
        </w:rPr>
      </w:pPr>
    </w:p>
    <w:p w:rsidR="00233FB1" w:rsidRPr="00B67CD8" w:rsidP="006F1DA6" w14:paraId="1FC39945" w14:textId="77777777">
      <w:pPr>
        <w:pStyle w:val="TOC5"/>
      </w:pPr>
    </w:p>
    <w:p w:rsidR="006F7CD6" w:rsidRPr="00B67CD8" w:rsidP="006F7CD6" w14:paraId="595712F7" w14:textId="77777777">
      <w:pPr>
        <w:pStyle w:val="C2-CtrSglSp"/>
        <w:spacing w:after="100" w:afterAutospacing="1"/>
        <w:jc w:val="left"/>
      </w:pPr>
      <w:r w:rsidRPr="00B67CD8">
        <w:t xml:space="preserve">Attachments </w:t>
      </w:r>
    </w:p>
    <w:p w:rsidR="006F7CD6" w:rsidRPr="00B67CD8" w:rsidP="005628A0" w14:paraId="7C7F6A90" w14:textId="1AF346CC">
      <w:pPr>
        <w:ind w:left="720" w:firstLine="720"/>
      </w:pPr>
      <w:r w:rsidRPr="00B67CD8">
        <w:t>A</w:t>
      </w:r>
      <w:r w:rsidRPr="00B67CD8">
        <w:tab/>
        <w:t>Authorizing Legislation: Public Health Service Act</w:t>
      </w:r>
    </w:p>
    <w:p w:rsidR="006F7CD6" w:rsidRPr="00B67CD8" w:rsidP="005628A0" w14:paraId="0042344A" w14:textId="77777777">
      <w:pPr>
        <w:ind w:left="720" w:firstLine="720"/>
      </w:pPr>
      <w:r w:rsidRPr="00B67CD8">
        <w:t>B</w:t>
      </w:r>
      <w:r w:rsidRPr="00B67CD8">
        <w:tab/>
        <w:t>Published 60-Day Federal Register Notice</w:t>
      </w:r>
    </w:p>
    <w:p w:rsidR="00920508" w:rsidRPr="00B67CD8" w:rsidP="005628A0" w14:paraId="41BB92D1" w14:textId="480053BA">
      <w:pPr>
        <w:ind w:left="720" w:firstLine="720"/>
      </w:pPr>
      <w:r w:rsidRPr="00B67CD8">
        <w:t>B1</w:t>
      </w:r>
      <w:r w:rsidRPr="00B67CD8">
        <w:tab/>
        <w:t xml:space="preserve">Public </w:t>
      </w:r>
      <w:r w:rsidRPr="00B67CD8" w:rsidR="00F34606">
        <w:t xml:space="preserve">Comment and Response </w:t>
      </w:r>
    </w:p>
    <w:p w:rsidR="006F7CD6" w:rsidRPr="00B67CD8" w:rsidP="005628A0" w14:paraId="57F2156F" w14:textId="5F119CDC">
      <w:pPr>
        <w:ind w:left="720" w:firstLine="720"/>
      </w:pPr>
      <w:r w:rsidRPr="00B67CD8">
        <w:t>C</w:t>
      </w:r>
      <w:r w:rsidRPr="00B67CD8">
        <w:tab/>
        <w:t xml:space="preserve">Research Determination </w:t>
      </w:r>
    </w:p>
    <w:p w:rsidR="00AB7D40" w:rsidP="005628A0" w14:paraId="7D5A31DA" w14:textId="3A4D158D">
      <w:pPr>
        <w:ind w:left="720" w:firstLine="720"/>
      </w:pPr>
      <w:r w:rsidRPr="00B67CD8">
        <w:t>D</w:t>
      </w:r>
      <w:r w:rsidRPr="00B67CD8">
        <w:tab/>
      </w:r>
      <w:r w:rsidR="00647037">
        <w:t>CDC Syndrome Definition Information</w:t>
      </w:r>
    </w:p>
    <w:p w:rsidR="006F7CD6" w:rsidRPr="00B67CD8" w:rsidP="005628A0" w14:paraId="7D2D3235" w14:textId="4DC23A31">
      <w:pPr>
        <w:ind w:left="720" w:firstLine="720"/>
        <w:rPr>
          <w:lang w:val="en"/>
        </w:rPr>
      </w:pPr>
      <w:r>
        <w:t>E</w:t>
      </w:r>
      <w:r>
        <w:tab/>
      </w:r>
      <w:r w:rsidRPr="00B67CD8">
        <w:rPr>
          <w:lang w:val="en"/>
        </w:rPr>
        <w:t xml:space="preserve">ED </w:t>
      </w:r>
      <w:r w:rsidRPr="00B67CD8" w:rsidR="00F34606">
        <w:rPr>
          <w:lang w:val="en"/>
        </w:rPr>
        <w:t xml:space="preserve">Violence Data Form </w:t>
      </w:r>
    </w:p>
    <w:p w:rsidR="006F7CD6" w:rsidRPr="00B67CD8" w:rsidP="005628A0" w14:paraId="7E9ECF03" w14:textId="34DAEE5A">
      <w:pPr>
        <w:ind w:left="720" w:firstLine="720"/>
      </w:pPr>
      <w:r>
        <w:t>F</w:t>
      </w:r>
      <w:r w:rsidRPr="00B67CD8">
        <w:tab/>
        <w:t>Privacy Act Applicability</w:t>
      </w:r>
    </w:p>
    <w:p w:rsidR="00C45EF7" w:rsidRPr="00B67CD8" w:rsidP="005628A0" w14:paraId="246FCD3E" w14:textId="4DF6C544">
      <w:pPr>
        <w:ind w:left="720" w:firstLine="720"/>
      </w:pPr>
      <w:r>
        <w:t>G</w:t>
      </w:r>
      <w:r w:rsidRPr="00B67CD8">
        <w:tab/>
        <w:t xml:space="preserve">References </w:t>
      </w:r>
    </w:p>
    <w:p w:rsidR="00026113" w:rsidRPr="00B67CD8" w:rsidP="00026113" w14:paraId="3E4DA9E3" w14:textId="77777777">
      <w:pPr>
        <w:rPr>
          <w:b/>
          <w:bCs/>
        </w:rPr>
      </w:pPr>
      <w:r w:rsidRPr="00B67CD8">
        <w:br w:type="page"/>
      </w:r>
      <w:r w:rsidRPr="00B67CD8">
        <w:rPr>
          <w:b/>
          <w:bCs/>
        </w:rPr>
        <w:t>SUMMARY TABLE</w:t>
      </w:r>
    </w:p>
    <w:p w:rsidR="00026113" w:rsidRPr="00B67CD8" w14:paraId="2D789489" w14:textId="4D4A3CF1">
      <w:r w:rsidRPr="00B67CD8">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205105</wp:posOffset>
                </wp:positionV>
                <wp:extent cx="6162675" cy="3962400"/>
                <wp:effectExtent l="0" t="0" r="28575" b="1905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2675" cy="3962400"/>
                        </a:xfrm>
                        <a:prstGeom prst="rect">
                          <a:avLst/>
                        </a:prstGeom>
                        <a:solidFill>
                          <a:srgbClr val="FFFFFF"/>
                        </a:solidFill>
                        <a:ln w="9525">
                          <a:solidFill>
                            <a:srgbClr val="000000"/>
                          </a:solidFill>
                          <a:miter lim="800000"/>
                          <a:headEnd/>
                          <a:tailEnd/>
                        </a:ln>
                      </wps:spPr>
                      <wps:txbx>
                        <w:txbxContent>
                          <w:p w:rsidR="00EC0725" w:rsidP="00EC0725" w14:textId="6B546068">
                            <w:r w:rsidRPr="00EC0725">
                              <w:rPr>
                                <w:b/>
                                <w:bCs/>
                              </w:rPr>
                              <w:t>Goal of the study</w:t>
                            </w:r>
                            <w:r w:rsidRPr="00A15EC2" w:rsidR="0037355C">
                              <w:t xml:space="preserve">: </w:t>
                            </w:r>
                            <w:r w:rsidRPr="00A15EC2" w:rsidR="001B2B80">
                              <w:t xml:space="preserve">The goal of this </w:t>
                            </w:r>
                            <w:r w:rsidRPr="00A15EC2" w:rsidR="0085463C">
                              <w:t xml:space="preserve">project is to </w:t>
                            </w:r>
                            <w:r w:rsidRPr="00A15EC2" w:rsidR="00EE7E39">
                              <w:t xml:space="preserve">support state health departments to </w:t>
                            </w:r>
                            <w:r w:rsidRPr="00A15EC2" w:rsidR="00045CF8">
                              <w:t xml:space="preserve">share </w:t>
                            </w:r>
                            <w:r w:rsidRPr="00A15EC2" w:rsidR="00920508">
                              <w:t>timely surveillance data on emergency department (ED) visits for all firearm injuries (regardless of intent), other violence-related injuries, and mental health conditions</w:t>
                            </w:r>
                            <w:r w:rsidRPr="00A15EC2" w:rsidR="00045CF8">
                              <w:t xml:space="preserve"> to CDC</w:t>
                            </w:r>
                            <w:r w:rsidRPr="00A15EC2" w:rsidR="00920508">
                              <w:t>.</w:t>
                            </w:r>
                          </w:p>
                          <w:p w:rsidR="00EC0725" w:rsidP="00EC0725" w14:textId="77777777"/>
                          <w:p w:rsidR="004E1345" w:rsidP="00EC0725" w14:textId="5E76C878">
                            <w:r w:rsidRPr="00EC0725">
                              <w:rPr>
                                <w:b/>
                                <w:bCs/>
                              </w:rPr>
                              <w:t>Intended use of the resulting data</w:t>
                            </w:r>
                            <w:r w:rsidRPr="00A15EC2" w:rsidR="008C0492">
                              <w:t>:</w:t>
                            </w:r>
                            <w:r w:rsidRPr="00A15EC2" w:rsidR="0049300D">
                              <w:t xml:space="preserve"> Improve </w:t>
                            </w:r>
                            <w:r w:rsidRPr="00A15EC2" w:rsidR="005D79B8">
                              <w:t xml:space="preserve">local, state, and regional situational awareness of </w:t>
                            </w:r>
                            <w:r w:rsidRPr="00A15EC2">
                              <w:t xml:space="preserve">trends in firearm injuries, other violence-related injuries, and mental health conditions to improve </w:t>
                            </w:r>
                            <w:r w:rsidRPr="00A15EC2" w:rsidR="00EC247A">
                              <w:t xml:space="preserve">violence prevention and response efforts at the local and state levels. </w:t>
                            </w:r>
                          </w:p>
                          <w:p w:rsidR="00EC0725" w:rsidP="00EC0725" w14:textId="77777777"/>
                          <w:p w:rsidR="0073187D" w:rsidP="00EC0725" w14:textId="1612F111">
                            <w:r w:rsidRPr="00EC0725">
                              <w:rPr>
                                <w:b/>
                                <w:bCs/>
                              </w:rPr>
                              <w:t>Methods to be used to collect</w:t>
                            </w:r>
                            <w:r w:rsidRPr="00A15EC2" w:rsidR="008C0492">
                              <w:t xml:space="preserve">: </w:t>
                            </w:r>
                            <w:r w:rsidRPr="00A15EC2" w:rsidR="00EC247A">
                              <w:t>The project will leverage ED syndromic data already routinely collected by state health departments and the District of Columbia health department</w:t>
                            </w:r>
                            <w:r w:rsidRPr="00A15EC2" w:rsidR="00D658AF">
                              <w:t xml:space="preserve"> through CDC’s National Syndromic Surveillance Program (NSSP)</w:t>
                            </w:r>
                            <w:r w:rsidRPr="00A15EC2" w:rsidR="00C57883">
                              <w:t xml:space="preserve">, which receives near real-time ED data from health departments or their partners on approximately </w:t>
                            </w:r>
                            <w:r w:rsidR="00DC7A89">
                              <w:t>73</w:t>
                            </w:r>
                            <w:r w:rsidRPr="00A15EC2" w:rsidR="00C57883">
                              <w:t>% of ED visits in the United States</w:t>
                            </w:r>
                            <w:r w:rsidRPr="00A15EC2" w:rsidR="00EC247A">
                              <w:t xml:space="preserve">. </w:t>
                            </w:r>
                          </w:p>
                          <w:p w:rsidR="00EC0725" w:rsidP="00EC0725" w14:textId="77777777"/>
                          <w:p w:rsidR="0073187D" w:rsidP="00EC0725" w14:textId="1720AEF9">
                            <w:r w:rsidRPr="00EC0725">
                              <w:rPr>
                                <w:b/>
                                <w:bCs/>
                              </w:rPr>
                              <w:t>The subpopulation to be studied</w:t>
                            </w:r>
                            <w:r w:rsidRPr="00A15EC2" w:rsidR="008C0492">
                              <w:t xml:space="preserve">: </w:t>
                            </w:r>
                            <w:r w:rsidRPr="00A15EC2" w:rsidR="00101B6B">
                              <w:t xml:space="preserve">Individuals who visit an ED to receive treatment for a firearm injury (regardless of intent), other violence-related injuries, and mental health conditions. </w:t>
                            </w:r>
                          </w:p>
                          <w:p w:rsidR="00EC0725" w:rsidP="00EC0725" w14:textId="77777777"/>
                          <w:p w:rsidR="0073187D" w:rsidRPr="00A15EC2" w:rsidP="00EC0725" w14:textId="0991DAD7">
                            <w:r w:rsidRPr="00EC0725">
                              <w:rPr>
                                <w:b/>
                                <w:bCs/>
                              </w:rPr>
                              <w:t>How data will be analyzed</w:t>
                            </w:r>
                            <w:r w:rsidRPr="00EC0725" w:rsidR="008C0492">
                              <w:rPr>
                                <w:b/>
                                <w:bCs/>
                              </w:rPr>
                              <w:t xml:space="preserve">: </w:t>
                            </w:r>
                            <w:r w:rsidRPr="00A15EC2" w:rsidR="008D5AEB">
                              <w:t>Descriptive analyses</w:t>
                            </w:r>
                            <w:r w:rsidR="00057ED8">
                              <w:t xml:space="preserve">, </w:t>
                            </w:r>
                            <w:r w:rsidRPr="00A15EC2" w:rsidR="008D5AEB">
                              <w:t xml:space="preserve">such as frequencies and changes in the rate of ED visits involving a firearm injury, other violence-related injury, or mental health condition </w:t>
                            </w:r>
                            <w:r w:rsidRPr="00A15EC2" w:rsidR="00385B8F">
                              <w:t>by region, state, and local jurisdiction</w:t>
                            </w:r>
                            <w:r w:rsidR="00057ED8">
                              <w:t>, will be conducted</w:t>
                            </w:r>
                            <w:r w:rsidRPr="00A15EC2" w:rsidR="00385B8F">
                              <w:t xml:space="preserve">. </w:t>
                            </w:r>
                            <w:r w:rsidRPr="00A15EC2" w:rsidR="008D5AEB">
                              <w:t>Longitudinal statistical analyses</w:t>
                            </w:r>
                            <w:r w:rsidR="005628A0">
                              <w:t xml:space="preserve">, such as </w:t>
                            </w:r>
                            <w:r w:rsidR="005628A0">
                              <w:t>Joinpoint</w:t>
                            </w:r>
                            <w:r w:rsidR="005628A0">
                              <w:t xml:space="preserve"> regression, </w:t>
                            </w:r>
                            <w:r w:rsidRPr="00A15EC2" w:rsidR="008D5AEB">
                              <w:t xml:space="preserve">will be used to describe trends. Also, monthly, quarterly, and yearly changes in key indicators will be monitored to identify </w:t>
                            </w:r>
                            <w:r w:rsidRPr="00A15EC2" w:rsidR="00EB2957">
                              <w:t>sharp increases or decreases</w:t>
                            </w:r>
                            <w:r w:rsidRPr="00A15EC2" w:rsidR="008D5AEB">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5.25pt;height:312pt;margin-top:16.1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59264">
                <v:textbox>
                  <w:txbxContent>
                    <w:p w:rsidR="00EC0725" w:rsidP="00EC0725" w14:paraId="3C1DC1C6" w14:textId="6B546068">
                      <w:r w:rsidRPr="00EC0725">
                        <w:rPr>
                          <w:b/>
                          <w:bCs/>
                        </w:rPr>
                        <w:t>Goal of the study</w:t>
                      </w:r>
                      <w:r w:rsidRPr="00A15EC2" w:rsidR="0037355C">
                        <w:t xml:space="preserve">: </w:t>
                      </w:r>
                      <w:r w:rsidRPr="00A15EC2" w:rsidR="001B2B80">
                        <w:t xml:space="preserve">The goal of this </w:t>
                      </w:r>
                      <w:r w:rsidRPr="00A15EC2" w:rsidR="0085463C">
                        <w:t xml:space="preserve">project is to </w:t>
                      </w:r>
                      <w:r w:rsidRPr="00A15EC2" w:rsidR="00EE7E39">
                        <w:t xml:space="preserve">support state health departments to </w:t>
                      </w:r>
                      <w:r w:rsidRPr="00A15EC2" w:rsidR="00045CF8">
                        <w:t xml:space="preserve">share </w:t>
                      </w:r>
                      <w:r w:rsidRPr="00A15EC2" w:rsidR="00920508">
                        <w:t>timely surveillance data on emergency department (ED) visits for all firearm injuries (regardless of intent), other violence-related injuries, and mental health conditions</w:t>
                      </w:r>
                      <w:r w:rsidRPr="00A15EC2" w:rsidR="00045CF8">
                        <w:t xml:space="preserve"> to CDC</w:t>
                      </w:r>
                      <w:r w:rsidRPr="00A15EC2" w:rsidR="00920508">
                        <w:t>.</w:t>
                      </w:r>
                    </w:p>
                    <w:p w:rsidR="00EC0725" w:rsidP="00EC0725" w14:paraId="1F0358EA" w14:textId="77777777"/>
                    <w:p w:rsidR="004E1345" w:rsidP="00EC0725" w14:paraId="73C6C1EA" w14:textId="5E76C878">
                      <w:r w:rsidRPr="00EC0725">
                        <w:rPr>
                          <w:b/>
                          <w:bCs/>
                        </w:rPr>
                        <w:t>Intended use of the resulting data</w:t>
                      </w:r>
                      <w:r w:rsidRPr="00A15EC2" w:rsidR="008C0492">
                        <w:t>:</w:t>
                      </w:r>
                      <w:r w:rsidRPr="00A15EC2" w:rsidR="0049300D">
                        <w:t xml:space="preserve"> Improve </w:t>
                      </w:r>
                      <w:r w:rsidRPr="00A15EC2" w:rsidR="005D79B8">
                        <w:t xml:space="preserve">local, state, and regional situational awareness of </w:t>
                      </w:r>
                      <w:r w:rsidRPr="00A15EC2">
                        <w:t xml:space="preserve">trends in firearm injuries, other violence-related injuries, and mental health conditions to improve </w:t>
                      </w:r>
                      <w:r w:rsidRPr="00A15EC2" w:rsidR="00EC247A">
                        <w:t xml:space="preserve">violence prevention and response efforts at the local and state levels. </w:t>
                      </w:r>
                    </w:p>
                    <w:p w:rsidR="00EC0725" w:rsidP="00EC0725" w14:paraId="0DF59E08" w14:textId="77777777"/>
                    <w:p w:rsidR="0073187D" w:rsidP="00EC0725" w14:paraId="4EA9DFF8" w14:textId="1612F111">
                      <w:r w:rsidRPr="00EC0725">
                        <w:rPr>
                          <w:b/>
                          <w:bCs/>
                        </w:rPr>
                        <w:t>Methods to be used to collect</w:t>
                      </w:r>
                      <w:r w:rsidRPr="00A15EC2" w:rsidR="008C0492">
                        <w:t xml:space="preserve">: </w:t>
                      </w:r>
                      <w:r w:rsidRPr="00A15EC2" w:rsidR="00EC247A">
                        <w:t>The project will leverage ED syndromic data already routinely collected by state health departments and the District of Columbia health department</w:t>
                      </w:r>
                      <w:r w:rsidRPr="00A15EC2" w:rsidR="00D658AF">
                        <w:t xml:space="preserve"> through CDC’s National Syndromic Surveillance Program (NSSP)</w:t>
                      </w:r>
                      <w:r w:rsidRPr="00A15EC2" w:rsidR="00C57883">
                        <w:t xml:space="preserve">, which receives near real-time ED data from health departments or their partners on approximately </w:t>
                      </w:r>
                      <w:r w:rsidR="00DC7A89">
                        <w:t>73</w:t>
                      </w:r>
                      <w:r w:rsidRPr="00A15EC2" w:rsidR="00C57883">
                        <w:t>% of ED visits in the United States</w:t>
                      </w:r>
                      <w:r w:rsidRPr="00A15EC2" w:rsidR="00EC247A">
                        <w:t xml:space="preserve">. </w:t>
                      </w:r>
                    </w:p>
                    <w:p w:rsidR="00EC0725" w:rsidP="00EC0725" w14:paraId="2BA5EA77" w14:textId="77777777"/>
                    <w:p w:rsidR="0073187D" w:rsidP="00EC0725" w14:paraId="6631A77C" w14:textId="1720AEF9">
                      <w:r w:rsidRPr="00EC0725">
                        <w:rPr>
                          <w:b/>
                          <w:bCs/>
                        </w:rPr>
                        <w:t>The subpopulation to be studied</w:t>
                      </w:r>
                      <w:r w:rsidRPr="00A15EC2" w:rsidR="008C0492">
                        <w:t xml:space="preserve">: </w:t>
                      </w:r>
                      <w:r w:rsidRPr="00A15EC2" w:rsidR="00101B6B">
                        <w:t xml:space="preserve">Individuals who visit an ED to receive treatment for a firearm injury (regardless of intent), other violence-related injuries, and mental health conditions. </w:t>
                      </w:r>
                    </w:p>
                    <w:p w:rsidR="00EC0725" w:rsidP="00EC0725" w14:paraId="5BE554D5" w14:textId="77777777"/>
                    <w:p w:rsidR="0073187D" w:rsidRPr="00A15EC2" w:rsidP="00EC0725" w14:paraId="110FFD37" w14:textId="0991DAD7">
                      <w:r w:rsidRPr="00EC0725">
                        <w:rPr>
                          <w:b/>
                          <w:bCs/>
                        </w:rPr>
                        <w:t>How data will be analyzed</w:t>
                      </w:r>
                      <w:r w:rsidRPr="00EC0725" w:rsidR="008C0492">
                        <w:rPr>
                          <w:b/>
                          <w:bCs/>
                        </w:rPr>
                        <w:t xml:space="preserve">: </w:t>
                      </w:r>
                      <w:r w:rsidRPr="00A15EC2" w:rsidR="008D5AEB">
                        <w:t>Descriptive analyses</w:t>
                      </w:r>
                      <w:r w:rsidR="00057ED8">
                        <w:t xml:space="preserve">, </w:t>
                      </w:r>
                      <w:r w:rsidRPr="00A15EC2" w:rsidR="008D5AEB">
                        <w:t xml:space="preserve">such as frequencies and changes in the rate of ED visits involving a firearm injury, other violence-related injury, or mental health condition </w:t>
                      </w:r>
                      <w:r w:rsidRPr="00A15EC2" w:rsidR="00385B8F">
                        <w:t>by region, state, and local jurisdiction</w:t>
                      </w:r>
                      <w:r w:rsidR="00057ED8">
                        <w:t>, will be conducted</w:t>
                      </w:r>
                      <w:r w:rsidRPr="00A15EC2" w:rsidR="00385B8F">
                        <w:t xml:space="preserve">. </w:t>
                      </w:r>
                      <w:r w:rsidRPr="00A15EC2" w:rsidR="008D5AEB">
                        <w:t>Longitudinal statistical analyses</w:t>
                      </w:r>
                      <w:r w:rsidR="005628A0">
                        <w:t xml:space="preserve">, such as </w:t>
                      </w:r>
                      <w:r w:rsidR="005628A0">
                        <w:t>Joinpoint</w:t>
                      </w:r>
                      <w:r w:rsidR="005628A0">
                        <w:t xml:space="preserve"> regression, </w:t>
                      </w:r>
                      <w:r w:rsidRPr="00A15EC2" w:rsidR="008D5AEB">
                        <w:t xml:space="preserve">will be used to describe trends. Also, monthly, quarterly, and yearly changes in key indicators will be monitored to identify </w:t>
                      </w:r>
                      <w:r w:rsidRPr="00A15EC2" w:rsidR="00EB2957">
                        <w:t>sharp increases or decreases</w:t>
                      </w:r>
                      <w:r w:rsidRPr="00A15EC2" w:rsidR="008D5AEB">
                        <w:t xml:space="preserve">. </w:t>
                      </w:r>
                    </w:p>
                  </w:txbxContent>
                </v:textbox>
                <w10:wrap anchorx="margin"/>
              </v:shape>
            </w:pict>
          </mc:Fallback>
        </mc:AlternateContent>
      </w:r>
    </w:p>
    <w:p w:rsidR="006F7CD6" w:rsidRPr="00B67CD8" w:rsidP="006F7CD6" w14:paraId="352A088C" w14:textId="77777777"/>
    <w:p w:rsidR="000523C9" w:rsidRPr="00B67CD8" w:rsidP="00812EDE" w14:paraId="34CE0A41" w14:textId="1F20EDA9"/>
    <w:p w:rsidR="00FB1045" w:rsidRPr="00B67CD8" w:rsidP="00812EDE" w14:paraId="24027F16" w14:textId="2BE13D06">
      <w:pPr>
        <w:rPr>
          <w:b/>
          <w:bCs/>
        </w:rPr>
      </w:pPr>
    </w:p>
    <w:p w:rsidR="00FB1045" w:rsidRPr="00B67CD8" w:rsidP="00812EDE" w14:paraId="6BB9E253" w14:textId="77777777">
      <w:pPr>
        <w:rPr>
          <w:b/>
          <w:bCs/>
        </w:rPr>
      </w:pPr>
    </w:p>
    <w:p w:rsidR="00FB1045" w:rsidRPr="00B67CD8" w:rsidP="00812EDE" w14:paraId="23DE523C" w14:textId="77777777">
      <w:pPr>
        <w:rPr>
          <w:b/>
          <w:bCs/>
        </w:rPr>
      </w:pPr>
    </w:p>
    <w:p w:rsidR="00FB1045" w:rsidRPr="00B67CD8" w:rsidP="00812EDE" w14:paraId="52E56223" w14:textId="77777777">
      <w:pPr>
        <w:rPr>
          <w:b/>
          <w:bCs/>
        </w:rPr>
      </w:pPr>
    </w:p>
    <w:p w:rsidR="00FB1045" w:rsidRPr="00B67CD8" w:rsidP="00812EDE" w14:paraId="07547A01" w14:textId="77777777">
      <w:pPr>
        <w:rPr>
          <w:b/>
          <w:bCs/>
        </w:rPr>
      </w:pPr>
    </w:p>
    <w:p w:rsidR="00FB1045" w:rsidRPr="00B67CD8" w:rsidP="00812EDE" w14:paraId="5043CB0F" w14:textId="77777777">
      <w:pPr>
        <w:rPr>
          <w:b/>
          <w:bCs/>
        </w:rPr>
      </w:pPr>
    </w:p>
    <w:p w:rsidR="00FB1045" w:rsidRPr="00B67CD8" w:rsidP="00812EDE" w14:paraId="07459315" w14:textId="77777777">
      <w:pPr>
        <w:rPr>
          <w:b/>
          <w:bCs/>
        </w:rPr>
      </w:pPr>
    </w:p>
    <w:p w:rsidR="00FB1045" w:rsidRPr="00B67CD8" w:rsidP="00812EDE" w14:paraId="6537F28F" w14:textId="77777777">
      <w:pPr>
        <w:rPr>
          <w:b/>
          <w:bCs/>
        </w:rPr>
      </w:pPr>
    </w:p>
    <w:p w:rsidR="00FB1045" w:rsidRPr="00B67CD8" w:rsidP="00812EDE" w14:paraId="6DFB9E20" w14:textId="77777777">
      <w:pPr>
        <w:rPr>
          <w:b/>
          <w:bCs/>
        </w:rPr>
      </w:pPr>
    </w:p>
    <w:p w:rsidR="00FB1045" w:rsidRPr="00B67CD8" w:rsidP="00812EDE" w14:paraId="70DF9E56" w14:textId="77777777">
      <w:pPr>
        <w:rPr>
          <w:b/>
          <w:bCs/>
        </w:rPr>
      </w:pPr>
    </w:p>
    <w:p w:rsidR="00FB1045" w:rsidRPr="00B67CD8" w:rsidP="00812EDE" w14:paraId="44E871BC" w14:textId="77777777">
      <w:pPr>
        <w:rPr>
          <w:b/>
          <w:bCs/>
        </w:rPr>
      </w:pPr>
    </w:p>
    <w:p w:rsidR="00FB1045" w:rsidRPr="00B67CD8" w:rsidP="00812EDE" w14:paraId="144A5D23" w14:textId="77777777">
      <w:pPr>
        <w:rPr>
          <w:b/>
          <w:bCs/>
        </w:rPr>
      </w:pPr>
    </w:p>
    <w:p w:rsidR="00FB1045" w:rsidRPr="00B67CD8" w:rsidP="00812EDE" w14:paraId="738610EB" w14:textId="77777777">
      <w:pPr>
        <w:rPr>
          <w:b/>
          <w:bCs/>
        </w:rPr>
      </w:pPr>
    </w:p>
    <w:p w:rsidR="00D629FE" w:rsidRPr="00B67CD8" w:rsidP="00812EDE" w14:paraId="637805D2" w14:textId="77777777">
      <w:pPr>
        <w:rPr>
          <w:b/>
          <w:bCs/>
        </w:rPr>
      </w:pPr>
    </w:p>
    <w:p w:rsidR="005753C8" w:rsidP="005628A0" w14:paraId="558352AF" w14:textId="77777777">
      <w:pPr>
        <w:rPr>
          <w:b/>
          <w:bCs/>
        </w:rPr>
      </w:pPr>
    </w:p>
    <w:p w:rsidR="005753C8" w:rsidP="005628A0" w14:paraId="0DB9FB2C" w14:textId="77777777">
      <w:pPr>
        <w:rPr>
          <w:b/>
          <w:bCs/>
        </w:rPr>
      </w:pPr>
    </w:p>
    <w:p w:rsidR="005753C8" w:rsidP="005628A0" w14:paraId="2713C400" w14:textId="77777777">
      <w:pPr>
        <w:rPr>
          <w:b/>
          <w:bCs/>
        </w:rPr>
      </w:pPr>
    </w:p>
    <w:p w:rsidR="005753C8" w:rsidP="005628A0" w14:paraId="56588488" w14:textId="77777777">
      <w:pPr>
        <w:rPr>
          <w:b/>
          <w:bCs/>
        </w:rPr>
      </w:pPr>
    </w:p>
    <w:p w:rsidR="005753C8" w:rsidP="005628A0" w14:paraId="0603B3E2" w14:textId="77777777">
      <w:pPr>
        <w:rPr>
          <w:b/>
          <w:bCs/>
        </w:rPr>
      </w:pPr>
    </w:p>
    <w:p w:rsidR="005753C8" w:rsidP="005628A0" w14:paraId="63497277" w14:textId="77777777">
      <w:pPr>
        <w:rPr>
          <w:b/>
          <w:bCs/>
        </w:rPr>
      </w:pPr>
    </w:p>
    <w:p w:rsidR="005753C8" w:rsidP="005628A0" w14:paraId="418A5C1D" w14:textId="77777777">
      <w:pPr>
        <w:rPr>
          <w:b/>
          <w:bCs/>
        </w:rPr>
      </w:pPr>
    </w:p>
    <w:p w:rsidR="005753C8" w:rsidP="005628A0" w14:paraId="3C494693" w14:textId="77777777">
      <w:pPr>
        <w:rPr>
          <w:b/>
          <w:bCs/>
        </w:rPr>
      </w:pPr>
    </w:p>
    <w:p w:rsidR="005753C8" w:rsidP="005628A0" w14:paraId="4C41107D" w14:textId="77777777">
      <w:pPr>
        <w:rPr>
          <w:b/>
          <w:bCs/>
        </w:rPr>
      </w:pPr>
    </w:p>
    <w:p w:rsidR="00972DEF" w:rsidRPr="00B67CD8" w:rsidP="005628A0" w14:paraId="43C79CE7" w14:textId="62254E7E">
      <w:pPr>
        <w:rPr>
          <w:b/>
          <w:bCs/>
        </w:rPr>
      </w:pPr>
      <w:r w:rsidRPr="00B67CD8">
        <w:rPr>
          <w:b/>
          <w:bCs/>
        </w:rPr>
        <w:t xml:space="preserve">A. JUSTIFICATION </w:t>
      </w:r>
    </w:p>
    <w:p w:rsidR="00660ED8" w:rsidRPr="00B67CD8" w:rsidP="005628A0" w14:paraId="463F29E8" w14:textId="77777777">
      <w:pPr>
        <w:autoSpaceDE w:val="0"/>
        <w:autoSpaceDN w:val="0"/>
        <w:adjustRightInd w:val="0"/>
        <w:rPr>
          <w:b/>
          <w:bCs/>
        </w:rPr>
      </w:pPr>
    </w:p>
    <w:p w:rsidR="00972DEF" w:rsidRPr="00B67CD8" w:rsidP="005628A0" w14:paraId="187E10A7" w14:textId="1EB0BEC2">
      <w:pPr>
        <w:tabs>
          <w:tab w:val="left" w:pos="360"/>
        </w:tabs>
        <w:autoSpaceDE w:val="0"/>
        <w:autoSpaceDN w:val="0"/>
        <w:adjustRightInd w:val="0"/>
        <w:rPr>
          <w:b/>
          <w:bCs/>
        </w:rPr>
      </w:pPr>
      <w:r w:rsidRPr="00B67CD8">
        <w:rPr>
          <w:b/>
          <w:bCs/>
        </w:rPr>
        <w:t>A.1.</w:t>
      </w:r>
      <w:r w:rsidRPr="00B67CD8" w:rsidR="008A3C94">
        <w:rPr>
          <w:b/>
          <w:bCs/>
        </w:rPr>
        <w:t xml:space="preserve"> </w:t>
      </w:r>
      <w:r w:rsidRPr="00B67CD8">
        <w:rPr>
          <w:b/>
          <w:bCs/>
        </w:rPr>
        <w:t>Circumstances Making the Collection of Information Necessary</w:t>
      </w:r>
    </w:p>
    <w:p w:rsidR="0037791E" w:rsidRPr="00B67CD8" w:rsidP="005628A0" w14:paraId="745C9D82" w14:textId="201382B5">
      <w:pPr>
        <w:tabs>
          <w:tab w:val="left" w:pos="360"/>
        </w:tabs>
        <w:autoSpaceDE w:val="0"/>
        <w:autoSpaceDN w:val="0"/>
        <w:adjustRightInd w:val="0"/>
        <w:rPr>
          <w:b/>
          <w:bCs/>
        </w:rPr>
      </w:pPr>
    </w:p>
    <w:p w:rsidR="00972DEF" w:rsidRPr="00B67CD8" w:rsidP="005628A0" w14:paraId="3B7B4B86" w14:textId="492115F5">
      <w:pPr>
        <w:rPr>
          <w:b/>
          <w:bCs/>
        </w:rPr>
      </w:pPr>
      <w:r w:rsidRPr="00B67CD8">
        <w:t xml:space="preserve">This Information Collection Request </w:t>
      </w:r>
      <w:r w:rsidRPr="00B67CD8" w:rsidR="001E1584">
        <w:t xml:space="preserve">for the Advancing Violence Epidemiology in Real-Time (AVERT) </w:t>
      </w:r>
      <w:r w:rsidRPr="00B67CD8">
        <w:t xml:space="preserve">is submitted under the classification “New” request. The length of data collection requested for OMB-PRA approval is 3 years. The National Center for Injury Prevention and Control (NCIPC) at the Centers for Disease Control and Prevention (CDC) is making this request as authorized by Section </w:t>
      </w:r>
      <w:r w:rsidRPr="00B67CD8" w:rsidR="004E5A4A">
        <w:t xml:space="preserve">301 (a) [42 U.S.C. 241(a)] of the Public Health Service Act and section 391 (a) [42 U.S.C. 280(b)] of the Public Service Health Act </w:t>
      </w:r>
      <w:r w:rsidRPr="00B67CD8">
        <w:rPr>
          <w:b/>
          <w:bCs/>
        </w:rPr>
        <w:t>(</w:t>
      </w:r>
      <w:r w:rsidRPr="00F77F01">
        <w:rPr>
          <w:b/>
          <w:bCs/>
          <w:u w:val="single"/>
        </w:rPr>
        <w:t>Attachment A</w:t>
      </w:r>
      <w:r w:rsidRPr="00B67CD8">
        <w:rPr>
          <w:b/>
          <w:bCs/>
        </w:rPr>
        <w:t>).</w:t>
      </w:r>
    </w:p>
    <w:p w:rsidR="00B0361E" w:rsidRPr="00B67CD8" w:rsidP="005628A0" w14:paraId="36E37DAA" w14:textId="77777777"/>
    <w:p w:rsidR="00BD7C4E" w:rsidRPr="00B67CD8" w:rsidP="005628A0" w14:paraId="66EF5347" w14:textId="62E0CCCC">
      <w:pPr>
        <w:rPr>
          <w:rFonts w:eastAsia="SimSun"/>
          <w:u w:val="single"/>
        </w:rPr>
      </w:pPr>
      <w:r w:rsidRPr="00B67CD8">
        <w:rPr>
          <w:rFonts w:eastAsia="SimSun"/>
          <w:u w:val="single"/>
        </w:rPr>
        <w:t xml:space="preserve">Background </w:t>
      </w:r>
    </w:p>
    <w:p w:rsidR="00DC141E" w:rsidRPr="00B67CD8" w:rsidP="00D21B25" w14:paraId="3A1E80F7" w14:textId="393A8ECC">
      <w:r w:rsidRPr="00B67CD8">
        <w:t xml:space="preserve">Advancing Violence Epidemiology in Real-Time (AVERT) </w:t>
      </w:r>
      <w:r w:rsidRPr="00B67CD8" w:rsidR="00283F53">
        <w:t>data collection integrates, expands, and enhances previous data sharing efforts with public health departments initiated under the Firearm Injury Surveillance Through Emergency Rooms (FASTER) program</w:t>
      </w:r>
      <w:r w:rsidRPr="00B67CD8" w:rsidR="00E500A6">
        <w:t xml:space="preserve"> </w:t>
      </w:r>
      <w:r w:rsidRPr="00B67CD8" w:rsidR="00E500A6">
        <w:fldChar w:fldCharType="begin" w:fldLock="1"/>
      </w:r>
      <w:r w:rsidR="00EF75DD">
        <w:instrText>ADDIN CSL_CITATION {"citationItems":[{"id":"ITEM-1","itemData":{"URL":"https://www.cdc.gov/violenceprevention/firearms/funded-surveillance.html","author":[{"dropping-particle":"","family":"CDC","given":"","non-dropping-particle":"","parse-names":false,"suffix":""}],"id":"ITEM-1","issued":{"date-parts":[["0"]]},"title":"DVP Funded Surveillance","type":"webpage"},"uris":["http://www.mendeley.com/documents/?uuid=a8f286a1-25c0-4b44-a675-f458b37753f4"]}],"mendeley":{"formattedCitation":"(1)","plainTextFormattedCitation":"(1)","previouslyFormattedCitation":"(1)"},"properties":{"noteIndex":0},"schema":"https://github.com/citation-style-language/schema/raw/master/csl-citation.json"}</w:instrText>
      </w:r>
      <w:r w:rsidRPr="00B67CD8" w:rsidR="00E500A6">
        <w:fldChar w:fldCharType="separate"/>
      </w:r>
      <w:r w:rsidRPr="00D9046D" w:rsidR="00D9046D">
        <w:rPr>
          <w:noProof/>
        </w:rPr>
        <w:t>(1)</w:t>
      </w:r>
      <w:r w:rsidRPr="00B67CD8" w:rsidR="00E500A6">
        <w:fldChar w:fldCharType="end"/>
      </w:r>
      <w:r w:rsidRPr="00B67CD8" w:rsidR="00A3649E">
        <w:t xml:space="preserve">, which provided funding for 10 </w:t>
      </w:r>
      <w:r w:rsidRPr="00B67CD8" w:rsidR="00A540CD">
        <w:t>jurisdictions</w:t>
      </w:r>
      <w:r w:rsidRPr="00B67CD8" w:rsidR="00A3649E">
        <w:t xml:space="preserve"> to share firearm injury-related ED visit data with CDC</w:t>
      </w:r>
      <w:r w:rsidRPr="00B67CD8" w:rsidR="00283F53">
        <w:t xml:space="preserve">. </w:t>
      </w:r>
      <w:r w:rsidRPr="00B67CD8" w:rsidR="00876A32">
        <w:t xml:space="preserve">The </w:t>
      </w:r>
      <w:r w:rsidRPr="00B67CD8" w:rsidR="00283F53">
        <w:t xml:space="preserve">AVERT </w:t>
      </w:r>
      <w:r w:rsidRPr="00B67CD8" w:rsidR="00876A32">
        <w:t>program will</w:t>
      </w:r>
      <w:r w:rsidRPr="00B67CD8" w:rsidR="00A540CD">
        <w:t xml:space="preserve"> </w:t>
      </w:r>
      <w:r w:rsidRPr="00B67CD8" w:rsidR="009F3541">
        <w:t xml:space="preserve">build on the FASTER program and </w:t>
      </w:r>
      <w:r w:rsidRPr="00B67CD8" w:rsidR="00A540CD">
        <w:t xml:space="preserve">provide funding </w:t>
      </w:r>
      <w:r w:rsidRPr="00B67CD8" w:rsidR="00FD34A6">
        <w:t>to</w:t>
      </w:r>
      <w:r w:rsidRPr="00B67CD8" w:rsidR="00C11126">
        <w:t xml:space="preserve"> a minimum of</w:t>
      </w:r>
      <w:r w:rsidRPr="00B67CD8" w:rsidR="00FD34A6">
        <w:t xml:space="preserve"> 10 jurisdictions to </w:t>
      </w:r>
      <w:r w:rsidRPr="00B67CD8" w:rsidR="008C4E34">
        <w:t xml:space="preserve">conduct routine monitoring of ED visits related to firearm injuries (regardless of intent), other violence-related injuries, and mental health conditions, </w:t>
      </w:r>
      <w:r w:rsidRPr="00B67CD8" w:rsidR="00876A32">
        <w:t>and</w:t>
      </w:r>
      <w:r w:rsidRPr="00B67CD8" w:rsidR="008C4E34">
        <w:t xml:space="preserve"> to analyze these data in </w:t>
      </w:r>
      <w:r w:rsidRPr="00B67CD8" w:rsidR="008C4E34">
        <w:t>a timely manner and share these data with CDC</w:t>
      </w:r>
      <w:r w:rsidRPr="00B67CD8" w:rsidR="00A540CD">
        <w:rPr>
          <w:rFonts w:eastAsia="SimSun"/>
        </w:rPr>
        <w:t>.</w:t>
      </w:r>
      <w:r w:rsidRPr="00B67CD8" w:rsidR="00D21B25">
        <w:t xml:space="preserve"> </w:t>
      </w:r>
      <w:r w:rsidRPr="00B67CD8" w:rsidR="00A66BEE">
        <w:t xml:space="preserve">AVERT will ensure </w:t>
      </w:r>
      <w:r w:rsidRPr="00B67CD8">
        <w:t xml:space="preserve">participating jurisdictions use their data to track </w:t>
      </w:r>
      <w:r w:rsidRPr="00B67CD8" w:rsidR="008C4E34">
        <w:t>these violent injury outcomes</w:t>
      </w:r>
      <w:r w:rsidRPr="00B67CD8">
        <w:t xml:space="preserve"> by providing jurisdictions standardized definition</w:t>
      </w:r>
      <w:r w:rsidRPr="00B67CD8" w:rsidR="00FD34A6">
        <w:t>s</w:t>
      </w:r>
      <w:r w:rsidR="00814796">
        <w:t xml:space="preserve"> (</w:t>
      </w:r>
      <w:r w:rsidRPr="00F77F01" w:rsidR="00814796">
        <w:rPr>
          <w:b/>
          <w:bCs/>
          <w:u w:val="single"/>
        </w:rPr>
        <w:t xml:space="preserve">Attachment </w:t>
      </w:r>
      <w:r w:rsidR="004717AB">
        <w:rPr>
          <w:b/>
          <w:bCs/>
          <w:u w:val="single"/>
        </w:rPr>
        <w:t>D</w:t>
      </w:r>
      <w:r w:rsidR="00814796">
        <w:rPr>
          <w:b/>
          <w:bCs/>
        </w:rPr>
        <w:t>)</w:t>
      </w:r>
      <w:r w:rsidRPr="00B67CD8" w:rsidR="00FD34A6">
        <w:t xml:space="preserve">, which can facilitate rapid identification and tracking of ED data on violence. </w:t>
      </w:r>
    </w:p>
    <w:p w:rsidR="00222B19" w:rsidRPr="00B67CD8" w:rsidP="005628A0" w14:paraId="2B17A456" w14:textId="45085068"/>
    <w:p w:rsidR="00DC141E" w:rsidRPr="00B67CD8" w:rsidP="005628A0" w14:paraId="29821A67" w14:textId="624DC176">
      <w:r w:rsidRPr="00B67CD8">
        <w:t xml:space="preserve">AVERT </w:t>
      </w:r>
      <w:r w:rsidRPr="00B67CD8" w:rsidR="007D07E2">
        <w:t xml:space="preserve">leverages existing ED data collection efforts deployed across state health departments through CDC’s National ED Syndromic Surveillance program. </w:t>
      </w:r>
      <w:r w:rsidRPr="00B67CD8">
        <w:rPr>
          <w:lang w:val="en"/>
        </w:rPr>
        <w:t xml:space="preserve">The Division of Health Informatics and Surveillance (DHIS) in the Center for Surveillance, Epidemiology, and Laboratory Services (CSELS) in CDC operates the National Syndromic Surveillance Program (NSSP) </w:t>
      </w:r>
      <w:r w:rsidRPr="00B67CD8">
        <w:rPr>
          <w:lang w:val="en"/>
        </w:rPr>
        <w:t>BioSense</w:t>
      </w:r>
      <w:r w:rsidRPr="00B67CD8">
        <w:rPr>
          <w:lang w:val="en"/>
        </w:rPr>
        <w:t xml:space="preserve"> Platform (OMB #0920-0824) through which state and local health departments share preliminary </w:t>
      </w:r>
      <w:r w:rsidRPr="00B67CD8" w:rsidR="007D7ECC">
        <w:rPr>
          <w:lang w:val="en"/>
        </w:rPr>
        <w:t xml:space="preserve">ED visit </w:t>
      </w:r>
      <w:r w:rsidRPr="00B67CD8">
        <w:rPr>
          <w:lang w:val="en"/>
        </w:rPr>
        <w:t xml:space="preserve">data </w:t>
      </w:r>
      <w:r w:rsidRPr="00B67CD8" w:rsidR="007D7ECC">
        <w:rPr>
          <w:lang w:val="en"/>
        </w:rPr>
        <w:t xml:space="preserve">from </w:t>
      </w:r>
      <w:r w:rsidRPr="00B67CD8">
        <w:rPr>
          <w:lang w:val="en"/>
        </w:rPr>
        <w:t xml:space="preserve">approximately </w:t>
      </w:r>
      <w:r w:rsidRPr="00B67CD8" w:rsidR="00DC7A89">
        <w:rPr>
          <w:lang w:val="en"/>
        </w:rPr>
        <w:t>73</w:t>
      </w:r>
      <w:r w:rsidRPr="00B67CD8">
        <w:rPr>
          <w:lang w:val="en"/>
        </w:rPr>
        <w:t>% of ED facilities in the US</w:t>
      </w:r>
      <w:r w:rsidRPr="00B67CD8" w:rsidR="00956982">
        <w:rPr>
          <w:lang w:val="en"/>
        </w:rPr>
        <w:t xml:space="preserve"> (&gt;6,000 participating EDs)</w:t>
      </w:r>
      <w:r w:rsidRPr="00B67CD8">
        <w:rPr>
          <w:lang w:val="en"/>
        </w:rPr>
        <w:t xml:space="preserve">. </w:t>
      </w:r>
      <w:r w:rsidRPr="00B67CD8">
        <w:t xml:space="preserve">Key advantages to </w:t>
      </w:r>
      <w:r w:rsidRPr="00B67CD8" w:rsidR="008153DF">
        <w:t>AVERT</w:t>
      </w:r>
      <w:r w:rsidRPr="00B67CD8">
        <w:t xml:space="preserve"> compared to initiating a new ED data collection are: </w:t>
      </w:r>
    </w:p>
    <w:p w:rsidR="00DC141E" w:rsidRPr="00B67CD8" w:rsidP="004D6497" w14:paraId="7F3BB556" w14:textId="02CB217E">
      <w:pPr>
        <w:pStyle w:val="ListParagraph"/>
        <w:numPr>
          <w:ilvl w:val="0"/>
          <w:numId w:val="6"/>
        </w:numPr>
        <w:rPr>
          <w:lang w:val="en"/>
        </w:rPr>
      </w:pPr>
      <w:r w:rsidRPr="00B67CD8">
        <w:t>AVERT</w:t>
      </w:r>
      <w:r w:rsidRPr="00B67CD8">
        <w:t xml:space="preserve"> can be rapidly implemented and scaled to all 50 states and the District of Columbia with minimum burden on state health departments because it relies on sharing and improving ED data already being collected by state and local health departments.</w:t>
      </w:r>
    </w:p>
    <w:p w:rsidR="00DC141E" w:rsidRPr="00B67CD8" w:rsidP="004D6497" w14:paraId="4D7DA068" w14:textId="5C03AD33">
      <w:pPr>
        <w:pStyle w:val="ListParagraph"/>
        <w:numPr>
          <w:ilvl w:val="0"/>
          <w:numId w:val="6"/>
        </w:numPr>
        <w:rPr>
          <w:lang w:val="en"/>
        </w:rPr>
      </w:pPr>
      <w:r w:rsidRPr="00B67CD8">
        <w:t>AVERT</w:t>
      </w:r>
      <w:r w:rsidRPr="00B67CD8">
        <w:t xml:space="preserve"> leverages instead of duplicating existing CDC work through CDC NSSP and </w:t>
      </w:r>
      <w:r w:rsidRPr="00B67CD8" w:rsidR="0094196E">
        <w:t xml:space="preserve">FASTER </w:t>
      </w:r>
      <w:r w:rsidRPr="00B67CD8">
        <w:t xml:space="preserve">to rapidly share state and local health departments ED data with CDC. </w:t>
      </w:r>
    </w:p>
    <w:p w:rsidR="00DC141E" w:rsidRPr="00B67CD8" w:rsidP="004D6497" w14:paraId="677F93BD" w14:textId="0494A60F">
      <w:pPr>
        <w:pStyle w:val="ListParagraph"/>
        <w:numPr>
          <w:ilvl w:val="0"/>
          <w:numId w:val="6"/>
        </w:numPr>
        <w:rPr>
          <w:lang w:val="en"/>
        </w:rPr>
      </w:pPr>
      <w:r w:rsidRPr="00B67CD8">
        <w:rPr>
          <w:lang w:val="en"/>
        </w:rPr>
        <w:t>AVERT</w:t>
      </w:r>
      <w:r w:rsidRPr="00B67CD8">
        <w:rPr>
          <w:lang w:val="en"/>
        </w:rPr>
        <w:t xml:space="preserve"> ensures that</w:t>
      </w:r>
      <w:r w:rsidRPr="00B67CD8">
        <w:rPr>
          <w:lang w:val="en"/>
        </w:rPr>
        <w:t xml:space="preserve"> state and</w:t>
      </w:r>
      <w:r w:rsidRPr="00B67CD8">
        <w:rPr>
          <w:lang w:val="en"/>
        </w:rPr>
        <w:t xml:space="preserve"> local health departments are involved in the collection, ownership and use of the ED data collected</w:t>
      </w:r>
      <w:r w:rsidRPr="00B67CD8" w:rsidR="007D7ECC">
        <w:rPr>
          <w:lang w:val="en"/>
        </w:rPr>
        <w:t xml:space="preserve"> because they </w:t>
      </w:r>
      <w:r w:rsidRPr="00B67CD8">
        <w:rPr>
          <w:lang w:val="en"/>
        </w:rPr>
        <w:t xml:space="preserve">are primarily responsible for responding to local changes in </w:t>
      </w:r>
      <w:r w:rsidRPr="00B67CD8">
        <w:rPr>
          <w:lang w:val="en"/>
        </w:rPr>
        <w:t xml:space="preserve">violence-related ED visits, </w:t>
      </w:r>
      <w:r w:rsidRPr="00B67CD8">
        <w:rPr>
          <w:lang w:val="en"/>
        </w:rPr>
        <w:t>have extensive local knowledge of their local ED data that fosters identification of data quality problems, and are critical partners in developing tools to monitor illnesses and injury</w:t>
      </w:r>
      <w:r w:rsidRPr="00B67CD8" w:rsidR="006B51A1">
        <w:rPr>
          <w:lang w:val="en"/>
        </w:rPr>
        <w:t xml:space="preserve"> </w:t>
      </w:r>
      <w:r w:rsidRPr="00B67CD8" w:rsidR="00CC03D0">
        <w:rPr>
          <w:lang w:val="en"/>
        </w:rPr>
        <w:fldChar w:fldCharType="begin" w:fldLock="1"/>
      </w:r>
      <w:r w:rsidR="00EF75DD">
        <w:rPr>
          <w:lang w:val="en"/>
        </w:rPr>
        <w:instrText>ADDIN CSL_CITATION {"citationItems":[{"id":"ITEM-1","itemData":{"author":[{"dropping-particle":"","family":"Gould","given":"DW","non-dropping-particle":"","parse-names":false,"suffix":""},{"dropping-particle":"","family":"Walker","given":"D","non-dropping-particle":"","parse-names":false,"suffix":""},{"dropping-particle":"","family":"Yoon","given":"PW","non-dropping-particle":"","parse-names":false,"suffix":""}],"container-title":"Public Health Reports","id":"ITEM-1","issue":"Supplement","issued":{"date-parts":[["2017"]]},"page":"7S-11S","title":"The evolution of BioSense: lessons learned and future directions","type":"article-journal","volume":"132"},"uris":["http://www.mendeley.com/documents/?uuid=c6f0de01-3052-4335-b6eb-e796e40ea6ba"]},{"id":"ITEM-2","itemData":{"URL":"http://www.gao.gov/new.items/d05308.pdf.","author":[{"dropping-particle":"","family":"US Government Accountability Office","given":"","non-dropping-particle":"","parse-names":false,"suffix":""}],"id":"ITEM-2","issued":{"date-parts":[["2015"]]},"title":"Information technology: federal agencies face challenges in implementing initiatives to improve public health infrastructure","type":"webpage"},"uris":["http://www.mendeley.com/documents/?uuid=b236fe3b-fd58-408a-924c-5785c2e195db"]}],"mendeley":{"formattedCitation":"(2,3)","plainTextFormattedCitation":"(2,3)","previouslyFormattedCitation":"(2,3)"},"properties":{"noteIndex":0},"schema":"https://github.com/citation-style-language/schema/raw/master/csl-citation.json"}</w:instrText>
      </w:r>
      <w:r w:rsidRPr="00B67CD8" w:rsidR="00CC03D0">
        <w:rPr>
          <w:lang w:val="en"/>
        </w:rPr>
        <w:fldChar w:fldCharType="separate"/>
      </w:r>
      <w:r w:rsidRPr="00D9046D" w:rsidR="00D9046D">
        <w:rPr>
          <w:noProof/>
          <w:lang w:val="en"/>
        </w:rPr>
        <w:t>(2,3)</w:t>
      </w:r>
      <w:r w:rsidRPr="00B67CD8" w:rsidR="00CC03D0">
        <w:rPr>
          <w:lang w:val="en"/>
        </w:rPr>
        <w:fldChar w:fldCharType="end"/>
      </w:r>
      <w:r w:rsidRPr="00B67CD8">
        <w:rPr>
          <w:lang w:val="en"/>
        </w:rPr>
        <w:t>.</w:t>
      </w:r>
    </w:p>
    <w:p w:rsidR="00DC141E" w:rsidRPr="00B67CD8" w:rsidP="005628A0" w14:paraId="2453B153" w14:textId="77777777"/>
    <w:p w:rsidR="00DC141E" w:rsidRPr="00B67CD8" w:rsidP="005628A0" w14:paraId="0A2FCDCE" w14:textId="2E4E10A9">
      <w:pPr>
        <w:rPr>
          <w:lang w:val="en"/>
        </w:rPr>
      </w:pPr>
      <w:r w:rsidRPr="00B67CD8">
        <w:rPr>
          <w:lang w:val="en"/>
        </w:rPr>
        <w:t xml:space="preserve">All data sharing between CDC and health departments in </w:t>
      </w:r>
      <w:bookmarkStart w:id="1" w:name="_Hlk138668345"/>
      <w:r w:rsidRPr="00B67CD8" w:rsidR="00172EEC">
        <w:rPr>
          <w:lang w:val="en"/>
        </w:rPr>
        <w:t>AVERT</w:t>
      </w:r>
      <w:r w:rsidRPr="00B67CD8">
        <w:rPr>
          <w:lang w:val="en"/>
        </w:rPr>
        <w:t xml:space="preserve"> is driven by </w:t>
      </w:r>
      <w:r w:rsidRPr="00B67CD8" w:rsidR="00172EEC">
        <w:rPr>
          <w:lang w:val="en"/>
        </w:rPr>
        <w:t>one</w:t>
      </w:r>
      <w:r w:rsidRPr="00B67CD8">
        <w:rPr>
          <w:lang w:val="en"/>
        </w:rPr>
        <w:t xml:space="preserve"> standardized data forms </w:t>
      </w:r>
      <w:r w:rsidRPr="00B67CD8">
        <w:t xml:space="preserve">the </w:t>
      </w:r>
      <w:r w:rsidRPr="00B67CD8" w:rsidR="00172EEC">
        <w:rPr>
          <w:i/>
          <w:lang w:val="en"/>
        </w:rPr>
        <w:t>ED violence</w:t>
      </w:r>
      <w:r w:rsidRPr="00B67CD8">
        <w:rPr>
          <w:i/>
          <w:lang w:val="en"/>
        </w:rPr>
        <w:t xml:space="preserve"> data form</w:t>
      </w:r>
      <w:r w:rsidRPr="00B67CD8" w:rsidR="0070509B">
        <w:rPr>
          <w:i/>
          <w:lang w:val="en"/>
        </w:rPr>
        <w:t xml:space="preserve"> </w:t>
      </w:r>
      <w:r w:rsidRPr="00B67CD8" w:rsidR="0070509B">
        <w:rPr>
          <w:bCs/>
          <w:u w:val="single"/>
          <w:lang w:val="en"/>
        </w:rPr>
        <w:t>(</w:t>
      </w:r>
      <w:r w:rsidRPr="00B67CD8" w:rsidR="0070509B">
        <w:rPr>
          <w:b/>
          <w:u w:val="single"/>
          <w:lang w:val="en"/>
        </w:rPr>
        <w:t xml:space="preserve">Attachment </w:t>
      </w:r>
      <w:r w:rsidR="00FA5004">
        <w:rPr>
          <w:b/>
          <w:u w:val="single"/>
          <w:lang w:val="en"/>
        </w:rPr>
        <w:t>E</w:t>
      </w:r>
      <w:r w:rsidRPr="00B67CD8" w:rsidR="0070509B">
        <w:rPr>
          <w:bCs/>
          <w:u w:val="single"/>
          <w:lang w:val="en"/>
        </w:rPr>
        <w:t>)</w:t>
      </w:r>
      <w:bookmarkEnd w:id="1"/>
      <w:r w:rsidRPr="00B67CD8">
        <w:rPr>
          <w:i/>
        </w:rPr>
        <w:t xml:space="preserve">, </w:t>
      </w:r>
      <w:r w:rsidRPr="00B67CD8">
        <w:t xml:space="preserve">and CDC cases definitions of </w:t>
      </w:r>
      <w:r w:rsidRPr="00B67CD8" w:rsidR="00313773">
        <w:t>overall firearm injury, intentional self-directed firearm injury, unintentional firearm injury, assault-related firearm injury, intimate partner violence, sexual violence, suspected child abuse and neglect, youth violence, and mental health conditions</w:t>
      </w:r>
      <w:r w:rsidR="00FA5004">
        <w:t xml:space="preserve"> (</w:t>
      </w:r>
      <w:r w:rsidRPr="00F77F01" w:rsidR="00FA5004">
        <w:rPr>
          <w:b/>
          <w:bCs/>
          <w:u w:val="single"/>
        </w:rPr>
        <w:t>Attachment D</w:t>
      </w:r>
      <w:r w:rsidR="00FA5004">
        <w:t>)</w:t>
      </w:r>
      <w:r w:rsidRPr="00B67CD8">
        <w:t xml:space="preserve">. </w:t>
      </w:r>
      <w:bookmarkStart w:id="2" w:name="_Hlk138668181"/>
    </w:p>
    <w:bookmarkEnd w:id="2"/>
    <w:p w:rsidR="00DC141E" w:rsidRPr="00B67CD8" w:rsidP="005628A0" w14:paraId="48016550" w14:textId="77777777">
      <w:pPr>
        <w:pStyle w:val="ListParagraph"/>
        <w:rPr>
          <w:i/>
          <w:lang w:val="en"/>
        </w:rPr>
      </w:pPr>
    </w:p>
    <w:p w:rsidR="00DC141E" w:rsidRPr="00B67CD8" w:rsidP="005628A0" w14:paraId="22116605" w14:textId="77777777">
      <w:pPr>
        <w:rPr>
          <w:b/>
        </w:rPr>
      </w:pPr>
    </w:p>
    <w:p w:rsidR="00972DEF" w:rsidRPr="00B67CD8" w:rsidP="005628A0" w14:paraId="2263F66A" w14:textId="458FBA9C">
      <w:pPr>
        <w:tabs>
          <w:tab w:val="left" w:pos="360"/>
        </w:tabs>
        <w:autoSpaceDE w:val="0"/>
        <w:autoSpaceDN w:val="0"/>
        <w:adjustRightInd w:val="0"/>
        <w:rPr>
          <w:b/>
          <w:bCs/>
        </w:rPr>
      </w:pPr>
      <w:r w:rsidRPr="00B67CD8">
        <w:rPr>
          <w:b/>
          <w:bCs/>
        </w:rPr>
        <w:t xml:space="preserve">A.2. Purpose and Use of Information Collection </w:t>
      </w:r>
    </w:p>
    <w:p w:rsidR="000C6765" w:rsidRPr="00B67CD8" w:rsidP="005628A0" w14:paraId="0C7F86B4" w14:textId="135F4F2E">
      <w:pPr>
        <w:tabs>
          <w:tab w:val="left" w:pos="360"/>
        </w:tabs>
        <w:autoSpaceDE w:val="0"/>
        <w:autoSpaceDN w:val="0"/>
        <w:adjustRightInd w:val="0"/>
        <w:rPr>
          <w:b/>
          <w:bCs/>
        </w:rPr>
      </w:pPr>
    </w:p>
    <w:p w:rsidR="00AF1EA4" w:rsidRPr="00B67CD8" w:rsidP="00AF1EA4" w14:paraId="3A4605DA" w14:textId="7580FA34">
      <w:r w:rsidRPr="00B67CD8">
        <w:t xml:space="preserve">AVERT will operate in a minimum of 10 jurisdictions that will be funded from September 2023 through August 2028, through which a competitive process that is underway to select the recipients. AVERT will build upon FASTER and continue to establish and maintain local and state information collection of firearm injuries, other violence-related injuries, and mental health conditions, and provide public health partners and the public with more timely and useful violence surveillance data than is currently available. </w:t>
      </w:r>
      <w:r w:rsidRPr="00B67CD8">
        <w:t xml:space="preserve">Currently, the FASTER program operates in the 9 states and the District of Columbia, which are funded through August 2023. All 10 of these jurisdictions provide CDC access to their syndromic surveillance data from EDs in CDC’s NSSP system. Access to this timely data has improved situational awareness of federal, state, and local health departments of upticks in and trends of firearm injuries. Health departments have used this data to populate state data dashboards (see examples below) and develop alerts for local communities. In addition, health departments have used this data in concert with other </w:t>
      </w:r>
      <w:r w:rsidRPr="00B67CD8">
        <w:t>violence data sources, including the National Violent Death Reporting System, to gain a better overall picture of firearm injuries in their communities.</w:t>
      </w:r>
    </w:p>
    <w:p w:rsidR="00AF1EA4" w:rsidRPr="00B67CD8" w:rsidP="00AF1EA4" w14:paraId="32CD5B6B" w14:textId="77777777"/>
    <w:p w:rsidR="00AF1EA4" w:rsidRPr="00B67CD8" w:rsidP="00AF1EA4" w14:paraId="3DA309E2" w14:textId="219BBF7F">
      <w:r w:rsidRPr="00B67CD8">
        <w:t xml:space="preserve">Health departments </w:t>
      </w:r>
      <w:r w:rsidRPr="00B67CD8" w:rsidR="00997D4E">
        <w:t>sharing</w:t>
      </w:r>
      <w:r w:rsidRPr="00B67CD8">
        <w:t xml:space="preserve"> syndromic surveillance data with CDC will be required to complete the </w:t>
      </w:r>
      <w:r w:rsidRPr="00B67CD8">
        <w:rPr>
          <w:i/>
          <w:lang w:val="en"/>
        </w:rPr>
        <w:t>ED Violence Data Form</w:t>
      </w:r>
      <w:r w:rsidRPr="00B67CD8">
        <w:rPr>
          <w:lang w:val="en"/>
        </w:rPr>
        <w:t xml:space="preserve"> </w:t>
      </w:r>
      <w:r w:rsidRPr="00B67CD8">
        <w:t>(</w:t>
      </w:r>
      <w:r w:rsidRPr="00F77F01">
        <w:rPr>
          <w:b/>
          <w:bCs/>
          <w:u w:val="single"/>
        </w:rPr>
        <w:t xml:space="preserve">Attachment </w:t>
      </w:r>
      <w:r w:rsidR="00FA5004">
        <w:rPr>
          <w:b/>
          <w:bCs/>
          <w:u w:val="single"/>
        </w:rPr>
        <w:t>E</w:t>
      </w:r>
      <w:r w:rsidRPr="00B67CD8">
        <w:t xml:space="preserve">) on a bimonthly basis using data from existing state and local ED data collection efforts, described </w:t>
      </w:r>
      <w:r w:rsidRPr="00B67CD8" w:rsidR="00E24367">
        <w:t>previously</w:t>
      </w:r>
      <w:r w:rsidRPr="00B67CD8">
        <w:t>.</w:t>
      </w:r>
      <w:r w:rsidRPr="00B67CD8" w:rsidR="00696EAF">
        <w:t xml:space="preserve"> </w:t>
      </w:r>
      <w:r w:rsidRPr="00B67CD8" w:rsidR="006E58C3">
        <w:t xml:space="preserve">The justification and key variables it will collect are described in detail below: </w:t>
      </w:r>
    </w:p>
    <w:p w:rsidR="00AF1EA4" w:rsidRPr="00B67CD8" w:rsidP="00AF1EA4" w14:paraId="32BF02C9" w14:textId="77777777">
      <w:pPr>
        <w:pStyle w:val="ListParagraph"/>
        <w:ind w:left="1080"/>
        <w:rPr>
          <w:b/>
          <w:lang w:val="en"/>
        </w:rPr>
      </w:pPr>
    </w:p>
    <w:p w:rsidR="00E24367" w:rsidRPr="00F77F01" w:rsidP="004D6497" w14:paraId="0524679E" w14:textId="77777777">
      <w:pPr>
        <w:pStyle w:val="ListParagraph"/>
        <w:numPr>
          <w:ilvl w:val="0"/>
          <w:numId w:val="7"/>
        </w:numPr>
        <w:rPr>
          <w:bCs/>
          <w:i/>
          <w:lang w:val="en"/>
        </w:rPr>
      </w:pPr>
      <w:r w:rsidRPr="00B67CD8">
        <w:rPr>
          <w:bCs/>
          <w:u w:val="single"/>
          <w:lang w:val="en"/>
        </w:rPr>
        <w:t>Frequency that this data form is reported to CDC</w:t>
      </w:r>
      <w:r w:rsidRPr="00B67CD8">
        <w:rPr>
          <w:bCs/>
          <w:lang w:val="en"/>
        </w:rPr>
        <w:t>: The goal of the program is to have health departments submit bimonthly reports to CDC to detect and respond to upticks or shifts in violence trends in a timely manner.</w:t>
      </w:r>
      <w:r w:rsidRPr="00B67CD8">
        <w:rPr>
          <w:bCs/>
          <w:lang w:val="en"/>
        </w:rPr>
        <w:t xml:space="preserve"> </w:t>
      </w:r>
    </w:p>
    <w:p w:rsidR="00AF1EA4" w:rsidRPr="00B67CD8" w:rsidP="004D6497" w14:paraId="34CA5692" w14:textId="27C9D606">
      <w:pPr>
        <w:pStyle w:val="ListParagraph"/>
        <w:numPr>
          <w:ilvl w:val="0"/>
          <w:numId w:val="7"/>
        </w:numPr>
        <w:rPr>
          <w:bCs/>
          <w:i/>
          <w:lang w:val="en"/>
        </w:rPr>
      </w:pPr>
      <w:r w:rsidRPr="00B67CD8">
        <w:rPr>
          <w:bCs/>
          <w:u w:val="single"/>
          <w:lang w:val="en"/>
        </w:rPr>
        <w:t>Key variables shared with CDC</w:t>
      </w:r>
      <w:r w:rsidRPr="00B67CD8">
        <w:rPr>
          <w:bCs/>
          <w:lang w:val="en"/>
        </w:rPr>
        <w:t>: Key variables and why they are collected is described in Table 1 below.</w:t>
      </w:r>
    </w:p>
    <w:p w:rsidR="00AF1EA4" w:rsidRPr="00B67CD8" w:rsidP="00AF1EA4" w14:paraId="5167E41F" w14:textId="77777777">
      <w:pPr>
        <w:rPr>
          <w:bCs/>
          <w:i/>
          <w:lang w:val="en"/>
        </w:rPr>
      </w:pPr>
    </w:p>
    <w:p w:rsidR="00AF1EA4" w:rsidRPr="00B67CD8" w:rsidP="00AF1EA4" w14:paraId="19A7653C" w14:textId="77777777">
      <w:pPr>
        <w:rPr>
          <w:b/>
          <w:bCs/>
          <w:iCs/>
          <w:lang w:val="en"/>
        </w:rPr>
      </w:pPr>
      <w:r w:rsidRPr="00B67CD8">
        <w:rPr>
          <w:b/>
          <w:bCs/>
          <w:iCs/>
          <w:lang w:val="en"/>
        </w:rPr>
        <w:t xml:space="preserve">Table 1. Justification for sharing key variables with CDC </w:t>
      </w:r>
    </w:p>
    <w:tbl>
      <w:tblPr>
        <w:tblStyle w:val="TableGrid"/>
        <w:tblW w:w="9540" w:type="dxa"/>
        <w:tblInd w:w="-95" w:type="dxa"/>
        <w:tblLook w:val="04A0"/>
      </w:tblPr>
      <w:tblGrid>
        <w:gridCol w:w="2520"/>
        <w:gridCol w:w="7020"/>
      </w:tblGrid>
      <w:tr w14:paraId="63EFFC2D" w14:textId="77777777" w:rsidTr="005959D2">
        <w:tblPrEx>
          <w:tblW w:w="9540" w:type="dxa"/>
          <w:tblInd w:w="-95" w:type="dxa"/>
          <w:tblLook w:val="04A0"/>
        </w:tblPrEx>
        <w:trPr>
          <w:tblHeader/>
        </w:trPr>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F1EA4" w:rsidRPr="00B67CD8" w:rsidP="005959D2" w14:paraId="45E37ED2" w14:textId="77777777">
            <w:pPr>
              <w:pStyle w:val="ListParagraph"/>
              <w:ind w:left="0"/>
              <w:jc w:val="center"/>
              <w:rPr>
                <w:b/>
                <w:sz w:val="22"/>
                <w:szCs w:val="22"/>
                <w:lang w:val="en"/>
              </w:rPr>
            </w:pPr>
            <w:r w:rsidRPr="00B67CD8">
              <w:rPr>
                <w:b/>
                <w:sz w:val="22"/>
                <w:szCs w:val="22"/>
                <w:lang w:val="en"/>
              </w:rPr>
              <w:t>Variable</w:t>
            </w:r>
          </w:p>
        </w:tc>
        <w:tc>
          <w:tcPr>
            <w:tcW w:w="7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F1EA4" w:rsidRPr="00B67CD8" w:rsidP="005959D2" w14:paraId="438517D4" w14:textId="77777777">
            <w:pPr>
              <w:pStyle w:val="ListParagraph"/>
              <w:ind w:left="0"/>
              <w:jc w:val="center"/>
              <w:rPr>
                <w:b/>
                <w:sz w:val="22"/>
                <w:szCs w:val="22"/>
                <w:lang w:val="en"/>
              </w:rPr>
            </w:pPr>
            <w:r w:rsidRPr="00B67CD8">
              <w:rPr>
                <w:b/>
                <w:sz w:val="22"/>
                <w:szCs w:val="22"/>
                <w:lang w:val="en"/>
              </w:rPr>
              <w:t>Justification for collecting</w:t>
            </w:r>
          </w:p>
        </w:tc>
      </w:tr>
      <w:tr w14:paraId="43207BEE" w14:textId="77777777" w:rsidTr="005959D2">
        <w:tblPrEx>
          <w:tblW w:w="9540" w:type="dxa"/>
          <w:tblInd w:w="-95" w:type="dxa"/>
          <w:tblLook w:val="04A0"/>
        </w:tblPrEx>
        <w:tc>
          <w:tcPr>
            <w:tcW w:w="2520" w:type="dxa"/>
            <w:tcBorders>
              <w:top w:val="single" w:sz="4" w:space="0" w:color="auto"/>
              <w:left w:val="single" w:sz="4" w:space="0" w:color="auto"/>
              <w:bottom w:val="single" w:sz="4" w:space="0" w:color="auto"/>
              <w:right w:val="single" w:sz="4" w:space="0" w:color="auto"/>
            </w:tcBorders>
            <w:hideMark/>
          </w:tcPr>
          <w:p w:rsidR="00AF1EA4" w:rsidRPr="00B67CD8" w:rsidP="005959D2" w14:paraId="08AA343A" w14:textId="77777777">
            <w:pPr>
              <w:pStyle w:val="ListParagraph"/>
              <w:ind w:left="0"/>
              <w:rPr>
                <w:sz w:val="22"/>
                <w:szCs w:val="22"/>
                <w:lang w:val="en"/>
              </w:rPr>
            </w:pPr>
            <w:r w:rsidRPr="00B67CD8">
              <w:rPr>
                <w:sz w:val="22"/>
                <w:szCs w:val="22"/>
                <w:lang w:val="en"/>
              </w:rPr>
              <w:t xml:space="preserve">Count of ED visits related to a firearm injury </w:t>
            </w:r>
          </w:p>
        </w:tc>
        <w:tc>
          <w:tcPr>
            <w:tcW w:w="7020" w:type="dxa"/>
            <w:tcBorders>
              <w:top w:val="single" w:sz="4" w:space="0" w:color="auto"/>
              <w:left w:val="single" w:sz="4" w:space="0" w:color="auto"/>
              <w:bottom w:val="single" w:sz="4" w:space="0" w:color="auto"/>
              <w:right w:val="single" w:sz="4" w:space="0" w:color="auto"/>
            </w:tcBorders>
            <w:hideMark/>
          </w:tcPr>
          <w:p w:rsidR="00AF1EA4" w:rsidRPr="00B67CD8" w:rsidP="004D6497" w14:paraId="04A23B70" w14:textId="77777777">
            <w:pPr>
              <w:pStyle w:val="ListParagraph"/>
              <w:widowControl/>
              <w:numPr>
                <w:ilvl w:val="0"/>
                <w:numId w:val="8"/>
              </w:numPr>
              <w:rPr>
                <w:sz w:val="22"/>
                <w:szCs w:val="22"/>
                <w:lang w:val="en"/>
              </w:rPr>
            </w:pPr>
            <w:r w:rsidRPr="00B67CD8">
              <w:rPr>
                <w:sz w:val="22"/>
                <w:szCs w:val="22"/>
                <w:lang w:val="en"/>
              </w:rPr>
              <w:t xml:space="preserve">Detect and respond to upticks or shifts in firearm injury trends in a timely manner. </w:t>
            </w:r>
          </w:p>
          <w:p w:rsidR="00AF1EA4" w:rsidRPr="00B67CD8" w:rsidP="004D6497" w14:paraId="5ECEEB29" w14:textId="77777777">
            <w:pPr>
              <w:pStyle w:val="ListParagraph"/>
              <w:widowControl/>
              <w:numPr>
                <w:ilvl w:val="0"/>
                <w:numId w:val="8"/>
              </w:numPr>
              <w:rPr>
                <w:sz w:val="22"/>
                <w:szCs w:val="22"/>
                <w:lang w:val="en"/>
              </w:rPr>
            </w:pPr>
            <w:r w:rsidRPr="00B67CD8">
              <w:rPr>
                <w:sz w:val="22"/>
                <w:szCs w:val="22"/>
                <w:lang w:val="en"/>
              </w:rPr>
              <w:t xml:space="preserve">ED visits related to an initial encounter of a firearm injury overall (including unintentional, intentional self-directed, assault, legal intervention, terrorism, and undetermined intent), in addition to an initial encounter of an unintentional firearm injury, intentional self-directed firearm injury, and assault-related firearm injury, will be collected.  </w:t>
            </w:r>
          </w:p>
        </w:tc>
      </w:tr>
      <w:tr w14:paraId="182A82E4" w14:textId="77777777" w:rsidTr="005959D2">
        <w:tblPrEx>
          <w:tblW w:w="9540" w:type="dxa"/>
          <w:tblInd w:w="-95" w:type="dxa"/>
          <w:tblLook w:val="04A0"/>
        </w:tblPrEx>
        <w:tc>
          <w:tcPr>
            <w:tcW w:w="2520" w:type="dxa"/>
            <w:tcBorders>
              <w:top w:val="single" w:sz="4" w:space="0" w:color="auto"/>
              <w:left w:val="single" w:sz="4" w:space="0" w:color="auto"/>
              <w:bottom w:val="single" w:sz="4" w:space="0" w:color="auto"/>
              <w:right w:val="single" w:sz="4" w:space="0" w:color="auto"/>
            </w:tcBorders>
            <w:hideMark/>
          </w:tcPr>
          <w:p w:rsidR="00AF1EA4" w:rsidRPr="00B67CD8" w:rsidP="005959D2" w14:paraId="503F32DA" w14:textId="77777777">
            <w:pPr>
              <w:pStyle w:val="ListParagraph"/>
              <w:ind w:left="0"/>
              <w:rPr>
                <w:sz w:val="22"/>
                <w:szCs w:val="22"/>
                <w:lang w:val="en"/>
              </w:rPr>
            </w:pPr>
            <w:r w:rsidRPr="00B67CD8">
              <w:rPr>
                <w:sz w:val="22"/>
                <w:szCs w:val="22"/>
                <w:lang w:val="en"/>
              </w:rPr>
              <w:t xml:space="preserve">Count of ED visits related to other violence-related injuries </w:t>
            </w:r>
          </w:p>
        </w:tc>
        <w:tc>
          <w:tcPr>
            <w:tcW w:w="7020" w:type="dxa"/>
            <w:tcBorders>
              <w:top w:val="single" w:sz="4" w:space="0" w:color="auto"/>
              <w:left w:val="single" w:sz="4" w:space="0" w:color="auto"/>
              <w:bottom w:val="single" w:sz="4" w:space="0" w:color="auto"/>
              <w:right w:val="single" w:sz="4" w:space="0" w:color="auto"/>
            </w:tcBorders>
            <w:hideMark/>
          </w:tcPr>
          <w:p w:rsidR="00AF1EA4" w:rsidRPr="00B67CD8" w:rsidP="004D6497" w14:paraId="238EA36C" w14:textId="50402EBB">
            <w:pPr>
              <w:pStyle w:val="ListParagraph"/>
              <w:widowControl/>
              <w:numPr>
                <w:ilvl w:val="0"/>
                <w:numId w:val="9"/>
              </w:numPr>
              <w:rPr>
                <w:sz w:val="22"/>
                <w:szCs w:val="22"/>
                <w:lang w:val="en"/>
              </w:rPr>
            </w:pPr>
            <w:r w:rsidRPr="00B67CD8">
              <w:rPr>
                <w:sz w:val="22"/>
                <w:szCs w:val="22"/>
                <w:lang w:val="en"/>
              </w:rPr>
              <w:t xml:space="preserve">Collection of ED data on other violence-related injuries have been useful in pilot studies </w:t>
            </w:r>
            <w:r w:rsidRPr="00B67CD8">
              <w:rPr>
                <w:sz w:val="22"/>
                <w:szCs w:val="22"/>
                <w:lang w:val="en"/>
              </w:rPr>
              <w:fldChar w:fldCharType="begin" w:fldLock="1"/>
            </w:r>
            <w:r w:rsidR="00EF75DD">
              <w:rPr>
                <w:sz w:val="22"/>
                <w:szCs w:val="22"/>
                <w:lang w:val="en"/>
              </w:rPr>
              <w:instrText>ADDIN CSL_CITATION {"citationItems":[{"id":"ITEM-1","itemData":{"DOI":"10.1001/jamapsychiatry.2020.4402","abstract":"IMPORTANCE The coronavirus disease 2019 (COVID-19) pandemic, associated mitigation measures, and social and economic impacts may affect mental health, suicidal behavior, substance use, and violence. OBJECTIVE To examine changes in US emergency department (ED) visits for mental health conditions (MHCs), suicide attempts (SAs), overdose (OD), and violence outcomes during the COVID-19 pandemic. DESIGN, SETTING, AND PARTICIPANTS This cross-sectional study used data from the Centers for Disease Control and Prevention's National Syndromic Surveillance Program to examine national changes in ED visits for MHCs, SAs, ODs, and violence from December 30, 2018, to October 10, 2020 (before and during the COVID-19 pandemic). The National Syndromic Surveillance Program captures approximately 70% of US ED visits from more than 3500 EDs that cover 48 states and Washington, DC. MAIN OUTCOMES AND MEASURES Outcome measures were MHCs, SAs, all drug ODs, opioid ODs, intimate partner violence (IPV), and suspected child abuse and neglect (SCAN) ED visit counts and rates. Weekly ED visit counts and rates were computed overall and stratified by sex. RESULTS From December 30, 2018, to October 10, 2020, a total of 187 508 065 total ED visits (53.6% female and 46.1% male) were captured; 6 018 318 included at least 1 study outcome (visits not mutually exclusive). Total ED visit volume decreased after COVID-19 mitigation measures were implemented in the US beginning on March 16, 2020. Weekly ED visit counts for all 6 outcomes decreased between March 8 and 28, 2020 (March 8: MHCs = 42 903, SAs = 5212, all ODs = 14 543, opioid ODs = 4752, IPV = 444, and SCAN = 1090; March 28: MHCs = 17 574, SAs = 4241, all ODs = 12 399, opioid ODs = 4306, IPV = 347, and SCAN = 487). Conversely, ED visit rates increased beginning the week of March 22 to 28, 2020. When the median ED visit counts between March 15 and October 10, 2020, were compared with the same period in 2019, the 2020 counts were significantly higher for SAs (n = 4940 vs 4656, P = .02), all ODs (n = 15 604 vs 13 371, P &lt; .001), and opioid ODs (n = 5502 vs 4168, P &lt; .001); counts were significantly lower for IPV ED visits (n = 442 vs 484, P &lt; .001) and SCAN ED visits (n = 884 vs 1038, P &lt; .001). Median rates during the same period were significantly higher in 2020 compared with 2019 for all outcomes except IPV. CONCLUSIONS AND RELEVANCE These findings suggest that ED care seeking shifts during a pandemic, underscoring the need to integra…","author":[{"dropping-particle":"","family":"Holland","given":"Kristin M","non-dropping-particle":"","parse-names":false,"suffix":""},{"dropping-particle":"","family":"Jones","given":"Christopher","non-dropping-particle":"","parse-names":false,"suffix":""},{"dropping-particle":"","family":"Vivolo-Kantor","given":"Alana M","non-dropping-particle":"","parse-names":false,"suffix":""},{"dropping-particle":"","family":"Zwald","given":"Marissa","non-dropping-particle":"","parse-names":false,"suffix":""},{"dropping-particle":"","family":"Hoots","given":"Brooke","non-dropping-particle":"","parse-names":false,"suffix":""},{"dropping-particle":"","family":"Yard","given":"Ellen","non-dropping-particle":"","parse-names":false,"suffix":""},{"dropping-particle":"","family":"Ashley D'inverno","given":";","non-dropping-particle":"","parse-names":false,"suffix":""},{"dropping-particle":"","family":"Swedo","given":"Elizabeth","non-dropping-particle":"","parse-names":false,"suffix":""},{"dropping-particle":"","family":"Chen","given":"May S","non-dropping-particle":"","parse-names":false,"suffix":""},{"dropping-particle":"","family":"Petrosky","given":"Emiko","non-dropping-particle":"","parse-names":false,"suffix":""},{"dropping-particle":"","family":"Board","given":"Amy","non-dropping-particle":"","parse-names":false,"suffix":""},{"dropping-particle":"","family":"Martinez","given":"Pedro","non-dropping-particle":"","parse-names":false,"suffix":""},{"dropping-particle":"","family":"Stone","given":"Deborah M","non-dropping-particle":"","parse-names":false,"suffix":""},{"dropping-particle":"","family":"Law","given":"Royal","non-dropping-particle":"","parse-names":false,"suffix":""},{"dropping-particle":"","family":"Coletta","given":"Michael A","non-dropping-particle":"","parse-names":false,"suffix":""},{"dropping-particle":"","family":"Adjemian","given":"Jennifer","non-dropping-particle":"","parse-names":false,"suffix":""},{"dropping-particle":"","family":"Thomas","given":"Craig","non-dropping-particle":"","parse-names":false,"suffix":""},{"dropping-particle":"","family":"Puddy","given":"Richard W","non-dropping-particle":"","parse-names":false,"suffix":""},{"dropping-particle":"","family":"Peacock","given":"Georgina","non-dropping-particle":"","parse-names":false,"suffix":""},{"dropping-particle":"","family":"Dowling","given":"Nicole F","non-dropping-particle":"","parse-names":false,"suffix":""},{"dropping-particle":"","family":"Houry","given":"Debra","non-dropping-particle":"","parse-names":false,"suffix":""}],"container-title":"JAMA Psychiatry","id":"ITEM-1","issue":"4","issued":{"date-parts":[["2021"]]},"page":"372-379","title":"Trends in US Emergency Department Visits for Mental Health, Overdose, and Violence Outcomes Before and During the COVID-19 Pandemic Multimedia Supplemental content","type":"article-journal","volume":"78"},"uris":["http://www.mendeley.com/documents/?uuid=caca1df2-be2c-3d67-b468-e71f1dca7a82"]},{"id":"ITEM-2","itemData":{"DOI":"10.15585/mmwr.mm6949a1","ISSN":"1545-861X (Electronic)","PMID":"33301436","abstract":"Heightened stress, school closures, loss of income, and social isolation  resulting from the coronavirus disease 2019 (COVID-19) pandemic have increased the risk for child abuse and neglect (1). Using National Syndromic Surveillance Program (NSSP) data from January 6, 2019-September 6, 2020, CDC tabulated weekly numbers of emergency department (ED) visits related to child abuse and neglect and calculated the proportions of such visits per 100,000 ED visits, as well as the percentage of suspected or confirmed ED visits related to child abuse and neglect ending in hospitalization, overall and stratified by age group (0-4, 5-11, and 12-17 years). The total number of ED visits related to child abuse and neglect began decreasing below the corresponding 2019 period during week 11 (March 15-March 22, 2020) for all age groups examined, coinciding with the declaration of a national emergency on March 13 (2); simultaneously, the proportion of these visits per 100,000 ED visits began increasing above the 2019 baseline for all age groups. Despite decreases in the weekly number of ED visits related to child abuse and neglect, the weekly number of these visits resulting in hospitalization remained stable in 2020; however, the yearly percentage of ED visits related to child abuse and neglect resulting in hospitalization increased significantly among all age groups. Although the increased proportion of ED visits related to child abuse and neglect might be associated with a decrease in the overall number of ED visits, these findings also suggest that health care-seeking patterns have shifted during the pandemic. Hospitalizations for child abuse and neglect did not decrease in 2020, suggesting that injury severity did not decrease during the pandemic, despite decreased ED visits. Child abuse is preventable; implementation of strategies including strengthening household economic supports and creating family-friendly work policies can reduce stress during difficult times and increase children's opportunities to thrive in safe, stable, and nurturing relationships and environments (3).","author":[{"dropping-particle":"","family":"Swedo","given":"Elizabeth","non-dropping-particle":"","parse-names":false,"suffix":""},{"dropping-particle":"","family":"Idaikkadar","given":"Nimi","non-dropping-particle":"","parse-names":false,"suffix":""},{"dropping-particle":"","family":"Leemis","given":"Ruth","non-dropping-particle":"","parse-names":false,"suffix":""},{"dropping-particle":"","family":"Dias","given":"Taylor","non-dropping-particle":"","parse-names":false,"suffix":""},{"dropping-particle":"","family":"Radhakrishnan","given":"Lakshmi","non-dropping-particle":"","parse-names":false,"suffix":""},{"dropping-particle":"","family":"Stein","given":"Zachary","non-dropping-particle":"","parse-names":false,"suffix":""},{"dropping-particle":"","family":"Chen","given":"May","non-dropping-particle":"","parse-names":false,"suffix":""},{"dropping-particle":"","family":"Agathis","given":"Nickolas","non-dropping-particle":"","parse-names":false,"suffix":""},{"dropping-particle":"","family":"Holland","given":"Kristin","non-dropping-particle":"","parse-names":false,"suffix":""}],"container-title":"MMWR. Morbidity and mortality weekly report","id":"ITEM-2","issue":"49","issued":{"date-parts":[["2020","12"]]},"language":"eng","page":"1841-1847","publisher-place":"United States","title":"Trends in U.S. Emergency Department Visits Related to Suspected or Confirmed  Child Abuse and Neglect Among Children and Adolescents Aged &lt;18 Years Before and During the COVID-19 Pandemic - United States, January 2019-September 2020.","type":"article-journal","volume":"69"},"uris":["http://www.mendeley.com/documents/?uuid=7cd9552c-c57e-4c10-b42f-c43cafcc16a4"]},{"id":"ITEM-3","itemData":{"DOI":"10.1016/j.annemergmed.2022.01.016","ISSN":"10976760","PMID":"35277293","abstract":"Study objective: We describe trends in emergency department (ED) visits for initial firearm injury encounters in the United States. Methods: Using data from the Centers for Disease Control and Prevention's National Syndromic Surveillance Program, we analyzed monthly and yearly trends in ED visit rates involving a firearm injury (calculated as the number of firearm injury–related ED visits divided by the total number of ED visits for each month and multiplied by 100,000) by sex-specific age group and US region from 2018 to 2019 and conducted Joinpoint regression to detect trend significance. Results: Among approximately 215 million ED visits captured in the National Syndromic Surveillance Program from January 2018 to December 2019, 132,767 involved a firearm injury (61.6 per 100,000 ED visits). Among males, rates of firearm injury–related ED visits significantly increased for all age groups between 15 and 64 years during the study period. Among females, rates of firearm injury–related ED visits significantly increased for all age groups between 15 and 54 years during the study period. By region, rates significantly changed in the northeast, southeast, and southwest for males and females during the study period. Conclusion: These analyses highlight a novel data source for monitoring trends in ED visits for firearm injuries. With increased and effective use of state and local syndromic surveillance data, in addition to improvements to firearm injury syndrome definitions by intent, public health professionals could better detect unusual patterns of firearm injuries across the United States for improved prevention and tailored response efforts.","author":[{"dropping-particle":"","family":"Zwald","given":"Marissa L.","non-dropping-particle":"","parse-names":false,"suffix":""},{"dropping-particle":"","family":"Holland","given":"Kristin M.","non-dropping-particle":"","parse-names":false,"suffix":""},{"dropping-particle":"","family":"Bowen","given":"Daniel A.","non-dropping-particle":"","parse-names":false,"suffix":""},{"dropping-particle":"","family":"Simon","given":"Thomas R.","non-dropping-particle":"","parse-names":false,"suffix":""},{"dropping-particle":"","family":"Dahlberg","given":"Linda L.","non-dropping-particle":"","parse-names":false,"suffix":""},{"dropping-particle":"","family":"Stein","given":"Zachary","non-dropping-particle":"","parse-names":false,"suffix":""},{"dropping-particle":"","family":"Idaikkadar","given":"Nimi","non-dropping-particle":"","parse-names":false,"suffix":""},{"dropping-particle":"","family":"Mercy","given":"James A.","non-dropping-particle":"","parse-names":false,"suffix":""}],"container-title":"Annals of Emergency Medicine","id":"ITEM-3","issue":"5","issued":{"date-parts":[["2022"]]},"page":"465-473","publisher":"American College of Emergency Physicians","title":"Using the Centers for Disease Control and Prevention's National Syndromic Surveillance Program Data to Monitor Trends in US Emergency Department Visits for Firearm Injuries, 2018 to 2019","type":"article-journal","volume":"79"},"uris":["http://www.mendeley.com/documents/?uuid=3e1857a7-5be2-4b35-91a4-e709bdfbe6e2"]},{"id":"ITEM-4","itemData":{"DOI":"10.15585/mmwr.mm7024e1","ISSN":"1545-861X (Electronic)","PMID":"34138833","abstract":"Beginning in March 2020, the COVID-19 pandemic and response, which included  physical distancing and stay-at-home orders, disrupted daily life in the United States. Compared with the rate in 2019, a 31% increase in the proportion of mental health-related emergency department (ED) visits occurred among adolescents aged 12-17 years in 2020 (1). In June 2020, 25% of surveyed adults aged 18-24 years reported experiencing suicidal ideation related to the pandemic in the past 30 days (2). More recent patterns of ED visits for suspected suicide attempts among these age groups are unclear. Using data from the National Syndromic Surveillance Program (NSSP),* CDC examined trends in ED visits for suspected suicide attempts(†) during January 1, 2019-May 15, 2021, among persons aged 12-25 years, by sex, and at three distinct phases of the COVID-19 pandemic. Compared with the corresponding period in 2019, persons aged 12-25 years made fewer ED visits for suspected suicide attempts during March 29-April 25, 2020. However, by early May 2020, ED visit counts for suspected suicide attempts began increasing among adolescents aged 12-17 years, especially among girls. During July 26-August 22, 2020, the mean weekly number of ED visits for suspected suicide attempts among girls aged 12-17 years was 26.2% higher than during the same period a year earlier; during February 21-March 20, 2021, mean weekly ED visit counts for suspected suicide attempts were 50.6% higher among girls aged 12-17 years compared with the same period in 2019. Suicide prevention measures focused on young persons call for a comprehensive approach, that is adapted during times of infrastructure disruption, involving multisectoral partnerships (e.g., public health, mental health, schools, and families) and implementation of evidence-based strategies (3) that address the range of factors influencing suicide risk.","author":[{"dropping-particle":"","family":"Yard","given":"Ellen","non-dropping-particle":"","parse-names":false,"suffix":""},{"dropping-particle":"","family":"Radhakrishnan","given":"Lakshmi","non-dropping-particle":"","parse-names":false,"suffix":""},{"dropping-particle":"","family":"Ballesteros","given":"Michael F","non-dropping-particle":"","parse-names":false,"suffix":""},{"dropping-particle":"","family":"Sheppard","given":"Michael","non-dropping-particle":"","parse-names":false,"suffix":""},{"dropping-particle":"","family":"Gates","given":"Abigail","non-dropping-particle":"","parse-names":false,"suffix":""},{"dropping-particle":"","family":"Stein","given":"Zachary","non-dropping-particle":"","parse-names":false,"suffix":""},{"dropping-particle":"","family":"Hartnett","given":"Kathleen","non-dropping-particle":"","parse-names":false,"suffix":""},{"dropping-particle":"","family":"Kite-Powell","given":"Aaron","non-dropping-particle":"","parse-names":false,"suffix":""},{"dropping-particle":"","family":"Rodgers","given":"Loren","non-dropping-particle":"","parse-names":false,"suffix":""},{"dropping-particle":"","family":"Adjemian","given":"Jennifer","non-dropping-particle":"","parse-names":false,"suffix":""},{"dropping-particle":"","family":"Ehlman","given":"Daniel C","non-dropping-particle":"","parse-names":false,"suffix":""},{"dropping-particle":"","family":"Holland","given":"Kristin","non-dropping-particle":"","parse-names":false,"suffix":""},{"dropping-particle":"","family":"Idaikkadar","given":"Nimi","non-dropping-particle":"","parse-names":false,"suffix":""},{"dropping-particle":"","family":"Ivey-Stephenson","given":"Asha","non-dropping-particle":"","parse-names":false,"suffix":""},{"dropping-particle":"","family":"Martinez","given":"Pedro","non-dropping-particle":"","parse-names":false,"suffix":""},{"dropping-particle":"","family":"Law","given":"Royal","non-dropping-particle":"","parse-names":false,"suffix":""},{"dropping-particle":"","family":"Stone","given":"Deborah M","non-dropping-particle":"","parse-names":false,"suffix":""}],"container-title":"MMWR. Morbidity and mortality weekly report","id":"ITEM-4","issue":"24","issued":{"date-parts":[["2021","6"]]},"language":"eng","page":"888-894","publisher-place":"United States","title":"Emergency Department Visits for Suspected Suicide Attempts Among Persons Aged  12-25 Years Before and During the COVID-19 Pandemic - United States, January 2019-May 2021.","type":"article-journal","volume":"70"},"uris":["http://www.mendeley.com/documents/?uuid=bee64817-6f9f-4cab-81b6-53fbffa6967b"]}],"mendeley":{"formattedCitation":"(4–7)","plainTextFormattedCitation":"(4–7)","previouslyFormattedCitation":"(4–7)"},"properties":{"noteIndex":0},"schema":"https://github.com/citation-style-language/schema/raw/master/csl-citation.json"}</w:instrText>
            </w:r>
            <w:r w:rsidRPr="00B67CD8">
              <w:rPr>
                <w:sz w:val="22"/>
                <w:szCs w:val="22"/>
                <w:lang w:val="en"/>
              </w:rPr>
              <w:fldChar w:fldCharType="separate"/>
            </w:r>
            <w:r w:rsidRPr="00D9046D" w:rsidR="00D9046D">
              <w:rPr>
                <w:noProof/>
                <w:sz w:val="22"/>
                <w:szCs w:val="22"/>
                <w:lang w:val="en"/>
              </w:rPr>
              <w:t>(4–7)</w:t>
            </w:r>
            <w:r w:rsidRPr="00B67CD8">
              <w:rPr>
                <w:sz w:val="22"/>
                <w:szCs w:val="22"/>
                <w:lang w:val="en"/>
              </w:rPr>
              <w:fldChar w:fldCharType="end"/>
            </w:r>
            <w:r w:rsidRPr="00B67CD8">
              <w:rPr>
                <w:sz w:val="22"/>
                <w:szCs w:val="22"/>
                <w:lang w:val="en"/>
              </w:rPr>
              <w:t>.</w:t>
            </w:r>
          </w:p>
          <w:p w:rsidR="00AF1EA4" w:rsidRPr="00B67CD8" w:rsidP="004D6497" w14:paraId="322031FD" w14:textId="77777777">
            <w:pPr>
              <w:pStyle w:val="ListParagraph"/>
              <w:widowControl/>
              <w:numPr>
                <w:ilvl w:val="0"/>
                <w:numId w:val="9"/>
              </w:numPr>
              <w:rPr>
                <w:sz w:val="22"/>
                <w:szCs w:val="22"/>
                <w:lang w:val="en"/>
              </w:rPr>
            </w:pPr>
            <w:r w:rsidRPr="00B67CD8">
              <w:rPr>
                <w:sz w:val="22"/>
                <w:szCs w:val="22"/>
                <w:lang w:val="en"/>
              </w:rPr>
              <w:t xml:space="preserve">ED visits related to intimate partner violence, sexual violence, child abuse and neglect, and youth violence will be collected. </w:t>
            </w:r>
          </w:p>
        </w:tc>
      </w:tr>
      <w:tr w14:paraId="4FAA9D36" w14:textId="77777777" w:rsidTr="005959D2">
        <w:tblPrEx>
          <w:tblW w:w="9540" w:type="dxa"/>
          <w:tblInd w:w="-95" w:type="dxa"/>
          <w:tblLook w:val="04A0"/>
        </w:tblPrEx>
        <w:tc>
          <w:tcPr>
            <w:tcW w:w="2520" w:type="dxa"/>
            <w:tcBorders>
              <w:top w:val="single" w:sz="4" w:space="0" w:color="auto"/>
              <w:left w:val="single" w:sz="4" w:space="0" w:color="auto"/>
              <w:bottom w:val="single" w:sz="4" w:space="0" w:color="auto"/>
              <w:right w:val="single" w:sz="4" w:space="0" w:color="auto"/>
            </w:tcBorders>
            <w:hideMark/>
          </w:tcPr>
          <w:p w:rsidR="00AF1EA4" w:rsidRPr="00B67CD8" w:rsidP="005959D2" w14:paraId="31EC1F59" w14:textId="77777777">
            <w:pPr>
              <w:pStyle w:val="ListParagraph"/>
              <w:ind w:left="0"/>
              <w:rPr>
                <w:sz w:val="22"/>
                <w:szCs w:val="22"/>
                <w:lang w:val="en"/>
              </w:rPr>
            </w:pPr>
            <w:r w:rsidRPr="00B67CD8">
              <w:rPr>
                <w:sz w:val="22"/>
                <w:szCs w:val="22"/>
                <w:lang w:val="en"/>
              </w:rPr>
              <w:t xml:space="preserve">Count of ED visits related to mental health conditions </w:t>
            </w:r>
          </w:p>
        </w:tc>
        <w:tc>
          <w:tcPr>
            <w:tcW w:w="7020" w:type="dxa"/>
            <w:tcBorders>
              <w:top w:val="single" w:sz="4" w:space="0" w:color="auto"/>
              <w:left w:val="single" w:sz="4" w:space="0" w:color="auto"/>
              <w:bottom w:val="single" w:sz="4" w:space="0" w:color="auto"/>
              <w:right w:val="single" w:sz="4" w:space="0" w:color="auto"/>
            </w:tcBorders>
            <w:hideMark/>
          </w:tcPr>
          <w:p w:rsidR="00AF1EA4" w:rsidRPr="00B67CD8" w:rsidP="004D6497" w14:paraId="4A7B6DDA" w14:textId="7E2F33C0">
            <w:pPr>
              <w:pStyle w:val="ListParagraph"/>
              <w:widowControl/>
              <w:numPr>
                <w:ilvl w:val="0"/>
                <w:numId w:val="10"/>
              </w:numPr>
              <w:rPr>
                <w:sz w:val="22"/>
                <w:szCs w:val="22"/>
                <w:lang w:val="en"/>
              </w:rPr>
            </w:pPr>
            <w:r w:rsidRPr="00B67CD8">
              <w:rPr>
                <w:sz w:val="22"/>
                <w:szCs w:val="22"/>
                <w:lang w:val="en"/>
              </w:rPr>
              <w:t xml:space="preserve">Collection of ED data on mental health conditions have been useful in pilot studies </w:t>
            </w:r>
            <w:r w:rsidRPr="00B67CD8">
              <w:rPr>
                <w:sz w:val="22"/>
                <w:szCs w:val="22"/>
                <w:lang w:val="en"/>
              </w:rPr>
              <w:fldChar w:fldCharType="begin" w:fldLock="1"/>
            </w:r>
            <w:r w:rsidR="00EF75DD">
              <w:rPr>
                <w:sz w:val="22"/>
                <w:szCs w:val="22"/>
                <w:lang w:val="en"/>
              </w:rPr>
              <w:instrText>ADDIN CSL_CITATION {"citationItems":[{"id":"ITEM-1","itemData":{"DOI":"10.1001/jamapsychiatry.2020.4402","abstract":"IMPORTANCE The coronavirus disease 2019 (COVID-19) pandemic, associated mitigation measures, and social and economic impacts may affect mental health, suicidal behavior, substance use, and violence. OBJECTIVE To examine changes in US emergency department (ED) visits for mental health conditions (MHCs), suicide attempts (SAs), overdose (OD), and violence outcomes during the COVID-19 pandemic. DESIGN, SETTING, AND PARTICIPANTS This cross-sectional study used data from the Centers for Disease Control and Prevention's National Syndromic Surveillance Program to examine national changes in ED visits for MHCs, SAs, ODs, and violence from December 30, 2018, to October 10, 2020 (before and during the COVID-19 pandemic). The National Syndromic Surveillance Program captures approximately 70% of US ED visits from more than 3500 EDs that cover 48 states and Washington, DC. MAIN OUTCOMES AND MEASURES Outcome measures were MHCs, SAs, all drug ODs, opioid ODs, intimate partner violence (IPV), and suspected child abuse and neglect (SCAN) ED visit counts and rates. Weekly ED visit counts and rates were computed overall and stratified by sex. RESULTS From December 30, 2018, to October 10, 2020, a total of 187 508 065 total ED visits (53.6% female and 46.1% male) were captured; 6 018 318 included at least 1 study outcome (visits not mutually exclusive). Total ED visit volume decreased after COVID-19 mitigation measures were implemented in the US beginning on March 16, 2020. Weekly ED visit counts for all 6 outcomes decreased between March 8 and 28, 2020 (March 8: MHCs = 42 903, SAs = 5212, all ODs = 14 543, opioid ODs = 4752, IPV = 444, and SCAN = 1090; March 28: MHCs = 17 574, SAs = 4241, all ODs = 12 399, opioid ODs = 4306, IPV = 347, and SCAN = 487). Conversely, ED visit rates increased beginning the week of March 22 to 28, 2020. When the median ED visit counts between March 15 and October 10, 2020, were compared with the same period in 2019, the 2020 counts were significantly higher for SAs (n = 4940 vs 4656, P = .02), all ODs (n = 15 604 vs 13 371, P &lt; .001), and opioid ODs (n = 5502 vs 4168, P &lt; .001); counts were significantly lower for IPV ED visits (n = 442 vs 484, P &lt; .001) and SCAN ED visits (n = 884 vs 1038, P &lt; .001). Median rates during the same period were significantly higher in 2020 compared with 2019 for all outcomes except IPV. CONCLUSIONS AND RELEVANCE These findings suggest that ED care seeking shifts during a pandemic, underscoring the need to integra…","author":[{"dropping-particle":"","family":"Holland","given":"Kristin M","non-dropping-particle":"","parse-names":false,"suffix":""},{"dropping-particle":"","family":"Jones","given":"Christopher","non-dropping-particle":"","parse-names":false,"suffix":""},{"dropping-particle":"","family":"Vivolo-Kantor","given":"Alana M","non-dropping-particle":"","parse-names":false,"suffix":""},{"dropping-particle":"","family":"Zwald","given":"Marissa","non-dropping-particle":"","parse-names":false,"suffix":""},{"dropping-particle":"","family":"Hoots","given":"Brooke","non-dropping-particle":"","parse-names":false,"suffix":""},{"dropping-particle":"","family":"Yard","given":"Ellen","non-dropping-particle":"","parse-names":false,"suffix":""},{"dropping-particle":"","family":"Ashley D'inverno","given":";","non-dropping-particle":"","parse-names":false,"suffix":""},{"dropping-particle":"","family":"Swedo","given":"Elizabeth","non-dropping-particle":"","parse-names":false,"suffix":""},{"dropping-particle":"","family":"Chen","given":"May S","non-dropping-particle":"","parse-names":false,"suffix":""},{"dropping-particle":"","family":"Petrosky","given":"Emiko","non-dropping-particle":"","parse-names":false,"suffix":""},{"dropping-particle":"","family":"Board","given":"Amy","non-dropping-particle":"","parse-names":false,"suffix":""},{"dropping-particle":"","family":"Martinez","given":"Pedro","non-dropping-particle":"","parse-names":false,"suffix":""},{"dropping-particle":"","family":"Stone","given":"Deborah M","non-dropping-particle":"","parse-names":false,"suffix":""},{"dropping-particle":"","family":"Law","given":"Royal","non-dropping-particle":"","parse-names":false,"suffix":""},{"dropping-particle":"","family":"Coletta","given":"Michael A","non-dropping-particle":"","parse-names":false,"suffix":""},{"dropping-particle":"","family":"Adjemian","given":"Jennifer","non-dropping-particle":"","parse-names":false,"suffix":""},{"dropping-particle":"","family":"Thomas","given":"Craig","non-dropping-particle":"","parse-names":false,"suffix":""},{"dropping-particle":"","family":"Puddy","given":"Richard W","non-dropping-particle":"","parse-names":false,"suffix":""},{"dropping-particle":"","family":"Peacock","given":"Georgina","non-dropping-particle":"","parse-names":false,"suffix":""},{"dropping-particle":"","family":"Dowling","given":"Nicole F","non-dropping-particle":"","parse-names":false,"suffix":""},{"dropping-particle":"","family":"Houry","given":"Debra","non-dropping-particle":"","parse-names":false,"suffix":""}],"container-title":"JAMA Psychiatry","id":"ITEM-1","issue":"4","issued":{"date-parts":[["2021"]]},"page":"372-379","title":"Trends in US Emergency Department Visits for Mental Health, Overdose, and Violence Outcomes Before and During the COVID-19 Pandemic Multimedia Supplemental content","type":"article-journal","volume":"78"},"uris":["http://www.mendeley.com/documents/?uuid=caca1df2-be2c-3d67-b468-e71f1dca7a82"]},{"id":"ITEM-2","itemData":{"DOI":"10.1001/jamapsychiatry.2022.0164","ISSN":"2168-6238 (Electronic)","PMID":"35293958","abstract":"IMPORTANCE: The COVID-19 pandemic has negatively affected adult mental health  (MH), with racial and ethnic minoritized groups disproportionately affected. OBJECTIVE: To examine changes in adult MH-related emergency department (ED) visits into the Delta variant pandemic period and identify changes and inequities in these visits before and during COVID-19 case surges. DESIGN, SETTING, AND PARTICIPANTS: This epidemiologic cross-sectional study used National Syndromic Surveillance Program data from US adults aged 18 to 64 years from 1970 to 2352 ED facilities from January 1, 2019, to August 14, 2021. All MH-related ED visits and visits related to 10 disorders (ie, anxiety, depressive, bipolar, schizophrenia spectrum, trauma- and stressor-related, attention-deficit/hyperactivity, disruptive behavioral and impulse, obsessive-compulsive, eating, and tic disorders) were identified. EXPOSURES: The following periods of MH-related ED visits were compared: (1) high Delta variant circulation (July 18-August 14, 2021) with a pre-Delta period (April 18-May 15, 2021), (2) after a COVID-19 case peak (February 14-March 13, 2021) with during a peak (December 27, 2020-January 23, 2021), and (3) the Delta period and the period after a COVID-19 case peak with the respective corresponding weeks during the prepandemic period. MAIN OUTCOMES AND MEASURES: ED visits for 10 mental disorders and all MH-related visits. RESULTS: This cross-sectional study included 107 761 319 ED visits among adults aged 18 to 64 years (59 870 475 [56%] women) from January 1, 2019, to August 14, 2021. There was stability in most MH-related ED visit counts between the Delta and pre-Delta periods (percentage change, -1.4% to -7.5%), except for eating disorders (-11.9%) and tic disorders (-19.8%) and after a COVID-19 case peak compared with during a peak (0.6%-7.4%). Most MH-related ED visit counts declined in the Delta period relative to the prepandemic period (-6.4% to -30.7%); there were fluctuations by disorder when comparing after a COVID-19 case peak with the corresponding prepandemic period (-15.4% to 11.3%). Accounting for ED visit volume, MH-related ED visits were a smaller proportion of visits in the Delta period compared with the pre-Delta period (visit ratio, 0.86; 95% CI, 0.85-0.86) and prepandemic period (visit ratio, 0.80; 95% CI, 0.79-0.80). After a COVID-19 case peak, MH-related ED visits were a larger proportion of ED visits compared with during a peak (visit ratio, 1.04; 95% CI, 1.03-…","author":[{"dropping-particle":"","family":"Anderson","given":"Kayla N","non-dropping-particle":"","parse-names":false,"suffix":""},{"dropping-particle":"","family":"Radhakrishnan","given":"Lakshmi","non-dropping-particle":"","parse-names":false,"suffix":""},{"dropping-particle":"","family":"Lane","given":"Rashon I","non-dropping-particle":"","parse-names":false,"suffix":""},{"dropping-particle":"","family":"Sheppard","given":"Michael","non-dropping-particle":"","parse-names":false,"suffix":""},{"dropping-particle":"","family":"DeVies","given":"Jourdan","non-dropping-particle":"","parse-names":false,"suffix":""},{"dropping-particle":"","family":"Azondekon","given":"Roseric","non-dropping-particle":"","parse-names":false,"suffix":""},{"dropping-particle":"","family":"Smith","given":"Amanda R","non-dropping-particle":"","parse-names":false,"suffix":""},{"dropping-particle":"","family":"Bitsko","given":"Rebecca H","non-dropping-particle":"","parse-names":false,"suffix":""},{"dropping-particle":"","family":"Hartnett","given":"Kathleen P","non-dropping-particle":"","parse-names":false,"suffix":""},{"dropping-particle":"","family":"Lopes-Cardozo","given":"Barbara","non-dropping-particle":"","parse-names":false,"suffix":""},{"dropping-particle":"","family":"Leeb","given":"Rebecca T","non-dropping-particle":"","parse-names":false,"suffix":""},{"dropping-particle":"","family":"Santen","given":"Katharina L","non-dropping-particle":"van","parse-names":false,"suffix":""},{"dropping-particle":"","family":"Carey","given":"Kelly","non-dropping-particle":"","parse-names":false,"suffix":""},{"dropping-particle":"","family":"Crossen","given":"Sophia","non-dropping-particle":"","parse-names":false,"suffix":""},{"dropping-particle":"","family":"Dias","given":"Taylor P","non-dropping-particle":"","parse-names":false,"suffix":""},{"dropping-particle":"","family":"Wotiz","given":"Sam","non-dropping-particle":"","parse-names":false,"suffix":""},{"dropping-particle":"","family":"Adjemian","given":"Jennifer","non-dropping-particle":"","parse-names":false,"suffix":""},{"dropping-particle":"","family":"Rodgers","given":"Loren","non-dropping-particle":"","parse-names":false,"suffix":""},{"dropping-particle":"","family":"Njai","given":"Rashid","non-dropping-particle":"","parse-names":false,"suffix":""},{"dropping-particle":"","family":"Thomas","given":"Craig","non-dropping-particle":"","parse-names":false,"suffix":""}],"container-title":"JAMA psychiatry","id":"ITEM-2","issue":"5","issued":{"date-parts":[["2022","5"]]},"language":"eng","page":"475-485","publisher-place":"United States","title":"Changes and Inequities in Adult Mental Health-Related Emergency Department Visits  During the COVID-19 Pandemic in the US.","type":"article-journal","volume":"79"},"uris":["http://www.mendeley.com/documents/?uuid=dc53b3b9-703e-462d-a035-513774bc44ce"]},{"id":"ITEM-3","itemData":{"DOI":"10.15585/mmwr.mm7108e2","ISSN":"1545-861X (Electronic)","PMID":"35202358","abstract":"In 2021, a national emergency* for children's mental health was declared by  several pediatric health organizations, and the U.S. Surgeon General released an advisory(†) on mental health among youths. These actions resulted from ongoing concerns about children's mental health in the United States, which was exacerbated by the COVID-19 pandemic (1,2). During March-October 2020, among all emergency department (ED) visits, the proportion of mental health-related visits increased by 24% among U.S. children aged 5-11 years and 31% among adolescents aged 12-17 years, compared with 2019 (2). CDC examined changes in U.S. pediatric ED visits for overall mental health conditions (MHCs) and ED visits associated with specific MHCs (depression; anxiety; disruptive behavioral and impulse-control disorders; attention-deficit/hyperactivity disorder; trauma and stressor-related disorders; bipolar disorders; eating disorders; tic disorders; and obsessive-compulsive disorders [OCD]) during 2019 through January 2022 among children and adolescents aged 0-17 years, overall and by sex and age. After declines in weekly visits associated with MHCs among those aged 0-17 years during 2020, weekly numbers of ED visits for MHCs overall and for specific MHCs varied by age and sex during 2021 and January 2022, when compared with corresponding weeks in 2019. Among adolescent females aged 12-17 years, weekly visits increased for two of nine MHCs during 2020 (eating disorders and tic disorders), for four of nine MHCs during 2021 (depression, eating disorders, tic disorders, and OCD), and for five of nine MHCs during January 2022 (anxiety, trauma and stressor-related disorders, eating disorders, tic disorders, and OCD), and overall MHC visits during January 2022, compared with 2019. Early identification and expanded evidence-based prevention and intervention strategies are critical to improving children's and adolescents' mental health (1-3), especially among adolescent females, who might have increased need.","author":[{"dropping-particle":"","family":"Radhakrishnan","given":"Lakshmi","non-dropping-particle":"","parse-names":false,"suffix":""},{"dropping-particle":"","family":"Leeb","given":"Rebecca T","non-dropping-particle":"","parse-names":false,"suffix":""},{"dropping-particle":"","family":"Bitsko","given":"Rebecca H","non-dropping-particle":"","parse-names":false,"suffix":""},{"dropping-particle":"","family":"Carey","given":"Kelly","non-dropping-particle":"","parse-names":false,"suffix":""},{"dropping-particle":"","family":"Gates","given":"Abigail","non-dropping-particle":"","parse-names":false,"suffix":""},{"dropping-particle":"","family":"Holland","given":"Kristin M","non-dropping-particle":"","parse-names":false,"suffix":""},{"dropping-particle":"","family":"Hartnett","given":"Kathleen P","non-dropping-particle":"","parse-names":false,"suffix":""},{"dropping-particle":"","family":"Kite-Powell","given":"Aaron","non-dropping-particle":"","parse-names":false,"suffix":""},{"dropping-particle":"","family":"DeVies","given":"Jourdan","non-dropping-particle":"","parse-names":false,"suffix":""},{"dropping-particle":"","family":"Smith","given":"Amanda R","non-dropping-particle":"","parse-names":false,"suffix":""},{"dropping-particle":"","family":"Santen","given":"Katharina L","non-dropping-particle":"van","parse-names":false,"suffix":""},{"dropping-particle":"","family":"Crossen","given":"Sophia","non-dropping-particle":"","parse-names":false,"suffix":""},{"dropping-particle":"","family":"Sheppard","given":"Michael","non-dropping-particle":"","parse-names":false,"suffix":""},{"dropping-particle":"","family":"Wotiz","given":"Samantha","non-dropping-particle":"","parse-names":false,"suffix":""},{"dropping-particle":"","family":"Lane","given":"Rashon I","non-dropping-particle":"","parse-names":false,"suffix":""},{"dropping-particle":"","family":"Njai","given":"Rashid","non-dropping-particle":"","parse-names":false,"suffix":""},{"dropping-particle":"","family":"Johnson","given":"Amelia G","non-dropping-particle":"","parse-names":false,"suffix":""},{"dropping-particle":"","family":"Winn","given":"Amber","non-dropping-particle":"","parse-names":false,"suffix":""},{"dropping-particle":"","family":"Kirking","given":"Hannah L","non-dropping-particle":"","parse-names":false,"suffix":""},{"dropping-particle":"","family":"Rodgers","given":"Loren","non-dropping-particle":"","parse-names":false,"suffix":""},{"dropping-particle":"","family":"Thomas","given":"Craig W","non-dropping-particle":"","parse-names":false,"suffix":""},{"dropping-particle":"","family":"Soetebier","given":"Karl","non-dropping-particle":"","parse-names":false,"suffix":""},{"dropping-particle":"","family":"Adjemian","given":"Jennifer","non-dropping-particle":"","parse-names":false,"suffix":""},{"dropping-particle":"","family":"Anderson","given":"Kayla N","non-dropping-particle":"","parse-names":false,"suffix":""}],"container-title":"MMWR. Morbidity and mortality weekly report","id":"ITEM-3","issue":"8","issued":{"date-parts":[["2022","2"]]},"language":"eng","number-of-pages":"319-324","publisher-place":"United States","title":"Pediatric Emergency Department Visits Associated with Mental Health Conditions  Before and During the COVID-19 Pandemic - United States, January 2019-January 2022.","type":"report","volume":"71"},"uris":["http://www.mendeley.com/documents/?uuid=23975101-6435-490b-832a-02f1cca4c45f"]}],"mendeley":{"formattedCitation":"(4,8,9)","plainTextFormattedCitation":"(4,8,9)","previouslyFormattedCitation":"(4,8,9)"},"properties":{"noteIndex":0},"schema":"https://github.com/citation-style-language/schema/raw/master/csl-citation.json"}</w:instrText>
            </w:r>
            <w:r w:rsidRPr="00B67CD8">
              <w:rPr>
                <w:sz w:val="22"/>
                <w:szCs w:val="22"/>
                <w:lang w:val="en"/>
              </w:rPr>
              <w:fldChar w:fldCharType="separate"/>
            </w:r>
            <w:r w:rsidRPr="00D9046D" w:rsidR="00D9046D">
              <w:rPr>
                <w:noProof/>
                <w:sz w:val="22"/>
                <w:szCs w:val="22"/>
                <w:lang w:val="en"/>
              </w:rPr>
              <w:t>(4,8,9)</w:t>
            </w:r>
            <w:r w:rsidRPr="00B67CD8">
              <w:rPr>
                <w:sz w:val="22"/>
                <w:szCs w:val="22"/>
                <w:lang w:val="en"/>
              </w:rPr>
              <w:fldChar w:fldCharType="end"/>
            </w:r>
            <w:r w:rsidRPr="00B67CD8">
              <w:rPr>
                <w:sz w:val="22"/>
                <w:szCs w:val="22"/>
                <w:lang w:val="en"/>
              </w:rPr>
              <w:t xml:space="preserve">. </w:t>
            </w:r>
          </w:p>
          <w:p w:rsidR="00AF1EA4" w:rsidRPr="00B67CD8" w:rsidP="004D6497" w14:paraId="7C3219D6" w14:textId="77777777">
            <w:pPr>
              <w:pStyle w:val="ListParagraph"/>
              <w:widowControl/>
              <w:numPr>
                <w:ilvl w:val="0"/>
                <w:numId w:val="10"/>
              </w:numPr>
              <w:rPr>
                <w:sz w:val="22"/>
                <w:szCs w:val="22"/>
                <w:lang w:val="en"/>
              </w:rPr>
            </w:pPr>
            <w:r w:rsidRPr="00B67CD8">
              <w:rPr>
                <w:sz w:val="22"/>
                <w:szCs w:val="22"/>
                <w:lang w:val="en"/>
              </w:rPr>
              <w:t>ED visits related to various mental health conditions, which may increase risk for or be a negative outcome associated with firearm injuries and other violence-related injuries, will be collected, in addition to new syndrome definitions that are developed to monitor mental health-related visits. The current list includes: all mental health-related visits, as well as anxiety, depressive, bipolar, schizophrenia spectrum, trauma- and stressor-related, attention-deficit/hyperactivity, disruptive behavioral and impulse, obsessive-compulsive, eating, and tic disorders.</w:t>
            </w:r>
          </w:p>
          <w:p w:rsidR="00AF1EA4" w:rsidRPr="00B67CD8" w:rsidP="005959D2" w14:paraId="2916182F" w14:textId="77777777">
            <w:pPr>
              <w:pStyle w:val="ListParagraph"/>
              <w:ind w:left="360"/>
              <w:rPr>
                <w:sz w:val="22"/>
                <w:szCs w:val="22"/>
                <w:lang w:val="en"/>
              </w:rPr>
            </w:pPr>
          </w:p>
        </w:tc>
      </w:tr>
      <w:tr w14:paraId="09285CFC" w14:textId="77777777" w:rsidTr="005959D2">
        <w:tblPrEx>
          <w:tblW w:w="9540" w:type="dxa"/>
          <w:tblInd w:w="-95" w:type="dxa"/>
          <w:tblLook w:val="04A0"/>
        </w:tblPrEx>
        <w:tc>
          <w:tcPr>
            <w:tcW w:w="2520" w:type="dxa"/>
            <w:tcBorders>
              <w:top w:val="single" w:sz="4" w:space="0" w:color="auto"/>
              <w:left w:val="single" w:sz="4" w:space="0" w:color="auto"/>
              <w:bottom w:val="single" w:sz="4" w:space="0" w:color="auto"/>
              <w:right w:val="single" w:sz="4" w:space="0" w:color="auto"/>
            </w:tcBorders>
            <w:hideMark/>
          </w:tcPr>
          <w:p w:rsidR="00AF1EA4" w:rsidRPr="00B67CD8" w:rsidP="005959D2" w14:paraId="5F5E0E29" w14:textId="77777777">
            <w:pPr>
              <w:pStyle w:val="ListParagraph"/>
              <w:ind w:left="0"/>
              <w:rPr>
                <w:sz w:val="22"/>
                <w:szCs w:val="22"/>
                <w:lang w:val="en"/>
              </w:rPr>
            </w:pPr>
            <w:r w:rsidRPr="00B67CD8">
              <w:rPr>
                <w:sz w:val="22"/>
                <w:szCs w:val="22"/>
                <w:lang w:val="en"/>
              </w:rPr>
              <w:t xml:space="preserve">Sex, age group, race/ethnicity, and county level data by firearm injury, violence-related injury, and mental health indicators   </w:t>
            </w:r>
          </w:p>
        </w:tc>
        <w:tc>
          <w:tcPr>
            <w:tcW w:w="7020" w:type="dxa"/>
            <w:tcBorders>
              <w:top w:val="single" w:sz="4" w:space="0" w:color="auto"/>
              <w:left w:val="single" w:sz="4" w:space="0" w:color="auto"/>
              <w:bottom w:val="single" w:sz="4" w:space="0" w:color="auto"/>
              <w:right w:val="single" w:sz="4" w:space="0" w:color="auto"/>
            </w:tcBorders>
            <w:hideMark/>
          </w:tcPr>
          <w:p w:rsidR="00AF1EA4" w:rsidRPr="00B67CD8" w:rsidP="004D6497" w14:paraId="36522A2A" w14:textId="77777777">
            <w:pPr>
              <w:pStyle w:val="ListParagraph"/>
              <w:numPr>
                <w:ilvl w:val="0"/>
                <w:numId w:val="10"/>
              </w:numPr>
              <w:rPr>
                <w:sz w:val="22"/>
                <w:szCs w:val="22"/>
                <w:lang w:val="en"/>
              </w:rPr>
            </w:pPr>
            <w:r w:rsidRPr="00B67CD8">
              <w:rPr>
                <w:sz w:val="22"/>
                <w:szCs w:val="22"/>
                <w:lang w:val="en"/>
              </w:rPr>
              <w:t xml:space="preserve">Aggregating data on firearm injuries, other violence-related injuries, and mental health conditions by sex, age group, race/ethnicity, and county is critical to assist CDC as well as state and local health departments target interventions on demographic groups and geographic areas impacted by upticks or large changes in violence.  </w:t>
            </w:r>
          </w:p>
        </w:tc>
      </w:tr>
      <w:tr w14:paraId="7CDF7BDD" w14:textId="77777777" w:rsidTr="005959D2">
        <w:tblPrEx>
          <w:tblW w:w="9540" w:type="dxa"/>
          <w:tblInd w:w="-95" w:type="dxa"/>
          <w:tblLook w:val="04A0"/>
        </w:tblPrEx>
        <w:tc>
          <w:tcPr>
            <w:tcW w:w="2520" w:type="dxa"/>
            <w:tcBorders>
              <w:top w:val="single" w:sz="4" w:space="0" w:color="auto"/>
              <w:left w:val="single" w:sz="4" w:space="0" w:color="auto"/>
              <w:bottom w:val="single" w:sz="4" w:space="0" w:color="auto"/>
              <w:right w:val="single" w:sz="4" w:space="0" w:color="auto"/>
            </w:tcBorders>
            <w:hideMark/>
          </w:tcPr>
          <w:p w:rsidR="00AF1EA4" w:rsidRPr="00B67CD8" w:rsidP="005959D2" w14:paraId="6C83ED36" w14:textId="77777777">
            <w:pPr>
              <w:pStyle w:val="ListParagraph"/>
              <w:ind w:left="0"/>
              <w:rPr>
                <w:sz w:val="22"/>
                <w:szCs w:val="22"/>
                <w:lang w:val="en"/>
              </w:rPr>
            </w:pPr>
            <w:r w:rsidRPr="00B67CD8">
              <w:rPr>
                <w:sz w:val="22"/>
                <w:szCs w:val="22"/>
                <w:lang w:val="en"/>
              </w:rPr>
              <w:t>Percent of ED visits with chief complaint text and diagnosis codes</w:t>
            </w:r>
          </w:p>
        </w:tc>
        <w:tc>
          <w:tcPr>
            <w:tcW w:w="7020" w:type="dxa"/>
            <w:tcBorders>
              <w:top w:val="single" w:sz="4" w:space="0" w:color="auto"/>
              <w:left w:val="single" w:sz="4" w:space="0" w:color="auto"/>
              <w:bottom w:val="single" w:sz="4" w:space="0" w:color="auto"/>
              <w:right w:val="single" w:sz="4" w:space="0" w:color="auto"/>
            </w:tcBorders>
            <w:hideMark/>
          </w:tcPr>
          <w:p w:rsidR="00AF1EA4" w:rsidRPr="00B67CD8" w:rsidP="004D6497" w14:paraId="1C301D44" w14:textId="77777777">
            <w:pPr>
              <w:pStyle w:val="ListParagraph"/>
              <w:numPr>
                <w:ilvl w:val="0"/>
                <w:numId w:val="10"/>
              </w:numPr>
              <w:rPr>
                <w:sz w:val="22"/>
                <w:szCs w:val="22"/>
                <w:lang w:val="en"/>
              </w:rPr>
            </w:pPr>
            <w:r w:rsidRPr="00B67CD8">
              <w:rPr>
                <w:sz w:val="22"/>
                <w:szCs w:val="22"/>
                <w:lang w:val="en"/>
              </w:rPr>
              <w:t>ED visits involving violence are primarily identified by analyzing patient’s chief complaint and diagnosis codes fields, primarily ICD-10-CM diagnosis codes. Thus, important data quality indicators are the percent of ED visits with chief complaint data and the percent of ED visits with diagnosis codes.</w:t>
            </w:r>
          </w:p>
        </w:tc>
      </w:tr>
      <w:tr w14:paraId="7F3374FB" w14:textId="77777777" w:rsidTr="005959D2">
        <w:tblPrEx>
          <w:tblW w:w="9540" w:type="dxa"/>
          <w:tblInd w:w="-95" w:type="dxa"/>
          <w:tblLook w:val="04A0"/>
        </w:tblPrEx>
        <w:tc>
          <w:tcPr>
            <w:tcW w:w="2520" w:type="dxa"/>
            <w:tcBorders>
              <w:top w:val="single" w:sz="4" w:space="0" w:color="auto"/>
              <w:left w:val="single" w:sz="4" w:space="0" w:color="auto"/>
              <w:bottom w:val="single" w:sz="4" w:space="0" w:color="auto"/>
              <w:right w:val="single" w:sz="4" w:space="0" w:color="auto"/>
            </w:tcBorders>
            <w:hideMark/>
          </w:tcPr>
          <w:p w:rsidR="00AF1EA4" w:rsidRPr="00B67CD8" w:rsidP="005959D2" w14:paraId="249FB609" w14:textId="77777777">
            <w:pPr>
              <w:pStyle w:val="ListParagraph"/>
              <w:ind w:left="0"/>
              <w:rPr>
                <w:sz w:val="22"/>
                <w:szCs w:val="22"/>
                <w:lang w:val="en"/>
              </w:rPr>
            </w:pPr>
            <w:r w:rsidRPr="00B67CD8">
              <w:rPr>
                <w:sz w:val="22"/>
                <w:szCs w:val="22"/>
                <w:lang w:val="en"/>
              </w:rPr>
              <w:t xml:space="preserve">Median word length of </w:t>
            </w:r>
            <w:r w:rsidRPr="00B67CD8">
              <w:rPr>
                <w:sz w:val="22"/>
                <w:szCs w:val="22"/>
                <w:lang w:val="en"/>
              </w:rPr>
              <w:t xml:space="preserve">the chief complaint </w:t>
            </w:r>
          </w:p>
        </w:tc>
        <w:tc>
          <w:tcPr>
            <w:tcW w:w="7020" w:type="dxa"/>
            <w:tcBorders>
              <w:top w:val="single" w:sz="4" w:space="0" w:color="auto"/>
              <w:left w:val="single" w:sz="4" w:space="0" w:color="auto"/>
              <w:bottom w:val="single" w:sz="4" w:space="0" w:color="auto"/>
              <w:right w:val="single" w:sz="4" w:space="0" w:color="auto"/>
            </w:tcBorders>
            <w:hideMark/>
          </w:tcPr>
          <w:p w:rsidR="00AF1EA4" w:rsidRPr="00B67CD8" w:rsidP="004D6497" w14:paraId="1E174EB7" w14:textId="77777777">
            <w:pPr>
              <w:pStyle w:val="ListParagraph"/>
              <w:numPr>
                <w:ilvl w:val="0"/>
                <w:numId w:val="10"/>
              </w:numPr>
              <w:rPr>
                <w:sz w:val="22"/>
                <w:szCs w:val="22"/>
                <w:lang w:val="en"/>
              </w:rPr>
            </w:pPr>
            <w:r w:rsidRPr="00B67CD8">
              <w:rPr>
                <w:sz w:val="22"/>
                <w:szCs w:val="22"/>
                <w:lang w:val="en"/>
              </w:rPr>
              <w:t xml:space="preserve">The median word length of the chief complaint is tracked because the </w:t>
            </w:r>
            <w:r w:rsidRPr="00B67CD8">
              <w:rPr>
                <w:sz w:val="22"/>
                <w:szCs w:val="22"/>
                <w:lang w:val="en"/>
              </w:rPr>
              <w:t xml:space="preserve">ability to identify violence is impacted by the length and quality of text data entered into the chief complaint text field. Based on previous experience working with health departments, </w:t>
            </w:r>
            <w:r w:rsidRPr="00B67CD8">
              <w:rPr>
                <w:sz w:val="22"/>
                <w:szCs w:val="22"/>
              </w:rPr>
              <w:t xml:space="preserve">chief complaints with fewer words are less likely to contain information on the type of injury or intent of the injury.  </w:t>
            </w:r>
          </w:p>
        </w:tc>
      </w:tr>
      <w:tr w14:paraId="1067BEB3" w14:textId="77777777" w:rsidTr="005959D2">
        <w:tblPrEx>
          <w:tblW w:w="9540" w:type="dxa"/>
          <w:tblInd w:w="-95" w:type="dxa"/>
          <w:tblLook w:val="04A0"/>
        </w:tblPrEx>
        <w:tc>
          <w:tcPr>
            <w:tcW w:w="2520" w:type="dxa"/>
            <w:tcBorders>
              <w:top w:val="single" w:sz="4" w:space="0" w:color="auto"/>
              <w:left w:val="single" w:sz="4" w:space="0" w:color="auto"/>
              <w:bottom w:val="single" w:sz="4" w:space="0" w:color="auto"/>
              <w:right w:val="single" w:sz="4" w:space="0" w:color="auto"/>
            </w:tcBorders>
            <w:hideMark/>
          </w:tcPr>
          <w:p w:rsidR="00AF1EA4" w:rsidRPr="00B67CD8" w:rsidP="005959D2" w14:paraId="741BAB5B" w14:textId="77777777">
            <w:pPr>
              <w:pStyle w:val="ListParagraph"/>
              <w:ind w:left="0"/>
              <w:rPr>
                <w:sz w:val="22"/>
                <w:szCs w:val="22"/>
                <w:lang w:val="en"/>
              </w:rPr>
            </w:pPr>
            <w:r w:rsidRPr="00B67CD8">
              <w:rPr>
                <w:sz w:val="22"/>
                <w:szCs w:val="22"/>
                <w:lang w:val="en"/>
              </w:rPr>
              <w:t>Mean and maximum number of diagnosis codes</w:t>
            </w:r>
          </w:p>
        </w:tc>
        <w:tc>
          <w:tcPr>
            <w:tcW w:w="7020" w:type="dxa"/>
            <w:tcBorders>
              <w:top w:val="single" w:sz="4" w:space="0" w:color="auto"/>
              <w:left w:val="single" w:sz="4" w:space="0" w:color="auto"/>
              <w:bottom w:val="single" w:sz="4" w:space="0" w:color="auto"/>
              <w:right w:val="single" w:sz="4" w:space="0" w:color="auto"/>
            </w:tcBorders>
            <w:hideMark/>
          </w:tcPr>
          <w:p w:rsidR="00AF1EA4" w:rsidRPr="00B67CD8" w:rsidP="004D6497" w14:paraId="6489AABB" w14:textId="77777777">
            <w:pPr>
              <w:pStyle w:val="ListParagraph"/>
              <w:numPr>
                <w:ilvl w:val="0"/>
                <w:numId w:val="10"/>
              </w:numPr>
              <w:rPr>
                <w:i/>
                <w:sz w:val="22"/>
                <w:szCs w:val="22"/>
                <w:lang w:val="en"/>
              </w:rPr>
            </w:pPr>
            <w:r w:rsidRPr="00B67CD8">
              <w:rPr>
                <w:sz w:val="22"/>
                <w:szCs w:val="22"/>
                <w:lang w:val="en"/>
              </w:rPr>
              <w:t xml:space="preserve">The mean and maximum of diagnosis codes, primarily ICD-10-CM diagnosis codes, collected by jurisdictions varies (e.g., one jurisdiction may allow hospitals to enter 10 codes while another allows 16 codes). Since CDC violence case definitions search all diagnosis codes, tracking the number of submitted diagnosis codes is important because they may result in slight differences between jurisdiction ability to identify violence-related visits (e.g., jurisdictions collected more ICD-10-CM codes might be slightly more likely to identify an ED visit as involving a firearm injury). </w:t>
            </w:r>
          </w:p>
        </w:tc>
      </w:tr>
      <w:tr w14:paraId="35D902D0" w14:textId="77777777" w:rsidTr="005959D2">
        <w:tblPrEx>
          <w:tblW w:w="9540" w:type="dxa"/>
          <w:tblInd w:w="-95" w:type="dxa"/>
          <w:tblLook w:val="04A0"/>
        </w:tblPrEx>
        <w:tc>
          <w:tcPr>
            <w:tcW w:w="2520" w:type="dxa"/>
            <w:tcBorders>
              <w:top w:val="single" w:sz="4" w:space="0" w:color="auto"/>
              <w:left w:val="single" w:sz="4" w:space="0" w:color="auto"/>
              <w:bottom w:val="single" w:sz="4" w:space="0" w:color="auto"/>
              <w:right w:val="single" w:sz="4" w:space="0" w:color="auto"/>
            </w:tcBorders>
            <w:hideMark/>
          </w:tcPr>
          <w:p w:rsidR="00AF1EA4" w:rsidRPr="00B67CD8" w:rsidP="005959D2" w14:paraId="770B88AE" w14:textId="77777777">
            <w:pPr>
              <w:pStyle w:val="ListParagraph"/>
              <w:ind w:left="0"/>
              <w:rPr>
                <w:sz w:val="22"/>
                <w:szCs w:val="22"/>
                <w:lang w:val="en"/>
              </w:rPr>
            </w:pPr>
            <w:r w:rsidRPr="00B67CD8">
              <w:rPr>
                <w:sz w:val="22"/>
                <w:szCs w:val="22"/>
                <w:lang w:val="en"/>
              </w:rPr>
              <w:t>Metadata on local surveillance systems</w:t>
            </w:r>
          </w:p>
        </w:tc>
        <w:tc>
          <w:tcPr>
            <w:tcW w:w="7020" w:type="dxa"/>
            <w:tcBorders>
              <w:top w:val="single" w:sz="4" w:space="0" w:color="auto"/>
              <w:left w:val="single" w:sz="4" w:space="0" w:color="auto"/>
              <w:bottom w:val="single" w:sz="4" w:space="0" w:color="auto"/>
              <w:right w:val="single" w:sz="4" w:space="0" w:color="auto"/>
            </w:tcBorders>
            <w:hideMark/>
          </w:tcPr>
          <w:p w:rsidR="00AF1EA4" w:rsidRPr="00B67CD8" w:rsidP="004D6497" w14:paraId="10876922" w14:textId="77777777">
            <w:pPr>
              <w:pStyle w:val="ListParagraph"/>
              <w:numPr>
                <w:ilvl w:val="0"/>
                <w:numId w:val="10"/>
              </w:numPr>
              <w:rPr>
                <w:sz w:val="22"/>
                <w:szCs w:val="22"/>
                <w:lang w:val="en"/>
              </w:rPr>
            </w:pPr>
            <w:r w:rsidRPr="00B67CD8">
              <w:rPr>
                <w:sz w:val="22"/>
                <w:szCs w:val="22"/>
                <w:lang w:val="en"/>
              </w:rPr>
              <w:t>Local ED data systems may experience major changes that impact data quality (e.g., ED data sharing delayed due to the implementation of a new EHR system). To effectively identify and address these types of changes, AVERT will ask all participating health departments to report major changes in ED participation or data quality bimonthly.</w:t>
            </w:r>
          </w:p>
        </w:tc>
      </w:tr>
    </w:tbl>
    <w:p w:rsidR="00AF1EA4" w:rsidRPr="00B67CD8" w:rsidP="00AF1EA4" w14:paraId="72A8993C" w14:textId="47552385">
      <w:pPr>
        <w:rPr>
          <w:bCs/>
          <w:lang w:val="en"/>
        </w:rPr>
      </w:pPr>
    </w:p>
    <w:p w:rsidR="00E24367" w:rsidRPr="00B67CD8" w:rsidP="00E24367" w14:paraId="3739DC79" w14:textId="68ACD30F">
      <w:pPr>
        <w:rPr>
          <w:i/>
          <w:lang w:val="en"/>
        </w:rPr>
      </w:pPr>
      <w:r w:rsidRPr="00B67CD8">
        <w:rPr>
          <w:bCs/>
          <w:u w:val="single"/>
          <w:lang w:val="en"/>
        </w:rPr>
        <w:t>Use of the data form by CDC</w:t>
      </w:r>
    </w:p>
    <w:p w:rsidR="00E24367" w:rsidRPr="00B67CD8" w:rsidP="00E24367" w14:paraId="41CBD0DE" w14:textId="77777777">
      <w:pPr>
        <w:rPr>
          <w:lang w:val="en"/>
        </w:rPr>
      </w:pPr>
      <w:r w:rsidRPr="00B67CD8">
        <w:rPr>
          <w:lang w:val="en"/>
        </w:rPr>
        <w:t xml:space="preserve">CDC will use this data form to rapidly identify changes in the frequency of all firearm injuries (regardless of intent), other violence-related injuries, and mental health conditions, and to identify geographic areas and populations within a state that are experiencing high burden to inform violence prevention and response efforts. </w:t>
      </w:r>
    </w:p>
    <w:p w:rsidR="00E24367" w:rsidRPr="00B67CD8" w:rsidP="00AF1EA4" w14:paraId="28408740" w14:textId="77777777">
      <w:pPr>
        <w:rPr>
          <w:bCs/>
          <w:lang w:val="en"/>
        </w:rPr>
      </w:pPr>
    </w:p>
    <w:p w:rsidR="00AF1EA4" w:rsidRPr="00B67CD8" w:rsidP="00AF1EA4" w14:paraId="78FC8F8E" w14:textId="77777777"/>
    <w:p w:rsidR="006D6F61" w:rsidRPr="00B67CD8" w:rsidP="005628A0" w14:paraId="2A95FECE" w14:textId="7A05127D">
      <w:pPr>
        <w:rPr>
          <w:u w:val="single"/>
        </w:rPr>
      </w:pPr>
      <w:r w:rsidRPr="00B67CD8">
        <w:rPr>
          <w:u w:val="single"/>
        </w:rPr>
        <w:t xml:space="preserve">Example state data dashboards </w:t>
      </w:r>
    </w:p>
    <w:p w:rsidR="0071075F" w:rsidRPr="00B67CD8" w:rsidP="004D6497" w14:paraId="3CCEABAE" w14:textId="7EA2E230">
      <w:pPr>
        <w:pStyle w:val="ListParagraph"/>
        <w:numPr>
          <w:ilvl w:val="0"/>
          <w:numId w:val="12"/>
        </w:numPr>
      </w:pPr>
      <w:r w:rsidRPr="00B67CD8">
        <w:t xml:space="preserve">Virginia FASTER data dashboard: </w:t>
      </w:r>
      <w:hyperlink r:id="rId8" w:history="1">
        <w:r w:rsidRPr="00F77F01">
          <w:rPr>
            <w:rStyle w:val="Hyperlink"/>
            <w:color w:val="auto"/>
          </w:rPr>
          <w:t>https://www.vdh.virginia.gov/surveillance-and-investigation/syndromic-surveillance/firearm-injury-surveillance/</w:t>
        </w:r>
      </w:hyperlink>
    </w:p>
    <w:p w:rsidR="002D592C" w:rsidRPr="00B67CD8" w:rsidP="004D6497" w14:paraId="6F6E7FA7" w14:textId="4B013271">
      <w:pPr>
        <w:pStyle w:val="ListParagraph"/>
        <w:numPr>
          <w:ilvl w:val="0"/>
          <w:numId w:val="12"/>
        </w:numPr>
      </w:pPr>
      <w:r w:rsidRPr="00B67CD8">
        <w:t xml:space="preserve">Georgia FASTER data dashboard: </w:t>
      </w:r>
      <w:hyperlink r:id="rId9" w:history="1">
        <w:r w:rsidRPr="00F77F01" w:rsidR="00311022">
          <w:rPr>
            <w:rStyle w:val="Hyperlink"/>
            <w:color w:val="auto"/>
          </w:rPr>
          <w:t>https://dph.georgia.gov/faster-ga</w:t>
        </w:r>
      </w:hyperlink>
      <w:r w:rsidRPr="00B67CD8" w:rsidR="00311022">
        <w:t xml:space="preserve"> </w:t>
      </w:r>
    </w:p>
    <w:p w:rsidR="002D592C" w:rsidRPr="00B67CD8" w:rsidP="004D6497" w14:paraId="12856C97" w14:textId="21505FBE">
      <w:pPr>
        <w:pStyle w:val="ListParagraph"/>
        <w:numPr>
          <w:ilvl w:val="0"/>
          <w:numId w:val="12"/>
        </w:numPr>
      </w:pPr>
      <w:r w:rsidRPr="00B67CD8">
        <w:t xml:space="preserve">North Carolina FASTER data reports: </w:t>
      </w:r>
      <w:hyperlink r:id="rId10" w:history="1">
        <w:r w:rsidRPr="00F77F01" w:rsidR="00D74983">
          <w:rPr>
            <w:rStyle w:val="Hyperlink"/>
            <w:color w:val="auto"/>
          </w:rPr>
          <w:t>https://ncdetect.org/nc-faster-firearm-quarterly-reports/</w:t>
        </w:r>
      </w:hyperlink>
      <w:r w:rsidRPr="00B67CD8" w:rsidR="00D74983">
        <w:t xml:space="preserve"> </w:t>
      </w:r>
    </w:p>
    <w:p w:rsidR="007B3265" w:rsidRPr="00B67CD8" w:rsidP="005628A0" w14:paraId="2E49D996" w14:textId="3B587F78"/>
    <w:p w:rsidR="006D6F61" w:rsidRPr="00B67CD8" w:rsidP="005628A0" w14:paraId="274D775D" w14:textId="77777777">
      <w:r w:rsidRPr="00B67CD8">
        <w:t xml:space="preserve">Data from FASTER has also raised public awareness of </w:t>
      </w:r>
      <w:r w:rsidRPr="00B67CD8" w:rsidR="00973167">
        <w:t xml:space="preserve">changes in firearm injury-related ED visits, particularly following the </w:t>
      </w:r>
      <w:r w:rsidRPr="00B67CD8" w:rsidR="009647EA">
        <w:t>onset of the COVID-19 pandemic</w:t>
      </w:r>
      <w:r w:rsidRPr="00B67CD8" w:rsidR="00C41EC4">
        <w:t xml:space="preserve">. FASTER data has been used in </w:t>
      </w:r>
      <w:r w:rsidRPr="00B67CD8" w:rsidR="00BE0513">
        <w:t>several publications (see below list).</w:t>
      </w:r>
    </w:p>
    <w:p w:rsidR="006D6F61" w:rsidRPr="00B67CD8" w:rsidP="005628A0" w14:paraId="4354E072" w14:textId="77777777"/>
    <w:p w:rsidR="007C395B" w:rsidRPr="00B67CD8" w:rsidP="005628A0" w14:paraId="65E8F5B9" w14:textId="5B3EDD0B">
      <w:r w:rsidRPr="00B67CD8">
        <w:rPr>
          <w:u w:val="single"/>
        </w:rPr>
        <w:t xml:space="preserve">Example publications </w:t>
      </w:r>
    </w:p>
    <w:p w:rsidR="00BE0513" w:rsidRPr="00B67CD8" w:rsidP="004D6497" w14:paraId="3FE94922" w14:textId="0E83EFEB">
      <w:pPr>
        <w:pStyle w:val="ListParagraph"/>
        <w:numPr>
          <w:ilvl w:val="0"/>
          <w:numId w:val="13"/>
        </w:numPr>
      </w:pPr>
      <w:r w:rsidRPr="00B67CD8">
        <w:t>Van Dyke ME, Chen MS, Sheppard M, et al. (2022). County-Level Social Vulnerability and Emergency Department Visits for Firearm Injuries — 10 U.S. Jurisdictions, January 1, 2018–December 31, 2021</w:t>
      </w:r>
      <w:r w:rsidRPr="00B67CD8" w:rsidR="00973167">
        <w:t xml:space="preserve">. </w:t>
      </w:r>
      <w:r w:rsidRPr="00B67CD8" w:rsidR="00973167">
        <w:rPr>
          <w:i/>
          <w:iCs/>
        </w:rPr>
        <w:t>Morbidity and Mortality Weekly Report</w:t>
      </w:r>
      <w:r w:rsidRPr="00B67CD8" w:rsidR="00973167">
        <w:t>. DOI: http://dx.doi.org/10.15585/mmwr.mm7127a1.</w:t>
      </w:r>
    </w:p>
    <w:p w:rsidR="008E770D" w:rsidRPr="00B67CD8" w:rsidP="004D6497" w14:paraId="59D1B1EA" w14:textId="3E4A5CAA">
      <w:pPr>
        <w:pStyle w:val="ListParagraph"/>
        <w:numPr>
          <w:ilvl w:val="0"/>
          <w:numId w:val="13"/>
        </w:numPr>
      </w:pPr>
      <w:r w:rsidRPr="00B67CD8">
        <w:t xml:space="preserve">Radhakrishna L, Carey K, Hartnett KP, et al. (2022). </w:t>
      </w:r>
      <w:r w:rsidRPr="00B67CD8">
        <w:t xml:space="preserve">Pediatric Emergency Department Visits Before and During the COVID-19 Pandemic — United States, January 2019–January 2022. </w:t>
      </w:r>
      <w:r w:rsidRPr="00B67CD8">
        <w:rPr>
          <w:i/>
          <w:iCs/>
        </w:rPr>
        <w:t xml:space="preserve">Morbidity and Mortality Weekly Report. </w:t>
      </w:r>
      <w:r w:rsidRPr="00B67CD8">
        <w:t>DOI: http://dx.doi.org/10.15585/mmwr.mm7108e1.</w:t>
      </w:r>
    </w:p>
    <w:p w:rsidR="007C395B" w:rsidRPr="00B67CD8" w:rsidP="004D6497" w14:paraId="4C83C9B8" w14:textId="3E4A5CAA">
      <w:pPr>
        <w:pStyle w:val="ListParagraph"/>
        <w:numPr>
          <w:ilvl w:val="0"/>
          <w:numId w:val="13"/>
        </w:numPr>
      </w:pPr>
      <w:r w:rsidRPr="00B67CD8">
        <w:t xml:space="preserve">Zwald ML, Holland KH, </w:t>
      </w:r>
      <w:r w:rsidRPr="00B67CD8" w:rsidR="00B24F64">
        <w:t xml:space="preserve">Bowen DA, et al. (2022). Using the Centers for Disease Control and Prevention’s National Syndromic Surveillance Program Data to Monitor Trends in U.S. Emergency Department Visits for Firearm Injuries, 2018-2019. </w:t>
      </w:r>
      <w:r w:rsidRPr="00B67CD8" w:rsidR="00CE3351">
        <w:rPr>
          <w:i/>
          <w:iCs/>
        </w:rPr>
        <w:t>Annals of Emergency Medicine</w:t>
      </w:r>
      <w:r w:rsidRPr="00B67CD8" w:rsidR="001064F7">
        <w:rPr>
          <w:i/>
          <w:iCs/>
        </w:rPr>
        <w:t xml:space="preserve">. </w:t>
      </w:r>
      <w:r w:rsidRPr="00B67CD8" w:rsidR="001064F7">
        <w:t xml:space="preserve">DOI: 10.1016/j.annemergmed.2022.01.016. </w:t>
      </w:r>
    </w:p>
    <w:p w:rsidR="00972DEF" w:rsidRPr="00B67CD8" w:rsidP="00972DEF" w14:paraId="5630AD66" w14:textId="77777777">
      <w:pPr>
        <w:autoSpaceDE w:val="0"/>
        <w:autoSpaceDN w:val="0"/>
        <w:adjustRightInd w:val="0"/>
      </w:pPr>
    </w:p>
    <w:p w:rsidR="00972DEF" w:rsidRPr="00B67CD8" w:rsidP="00972DEF" w14:paraId="0CF89962" w14:textId="5844C1EF">
      <w:pPr>
        <w:autoSpaceDE w:val="0"/>
        <w:autoSpaceDN w:val="0"/>
        <w:adjustRightInd w:val="0"/>
        <w:rPr>
          <w:b/>
          <w:bCs/>
        </w:rPr>
      </w:pPr>
      <w:r w:rsidRPr="00B67CD8">
        <w:rPr>
          <w:b/>
          <w:bCs/>
        </w:rPr>
        <w:t>A.3.</w:t>
      </w:r>
      <w:r w:rsidRPr="00B67CD8" w:rsidR="008A3C94">
        <w:rPr>
          <w:b/>
          <w:bCs/>
        </w:rPr>
        <w:t xml:space="preserve"> </w:t>
      </w:r>
      <w:r w:rsidRPr="00B67CD8">
        <w:rPr>
          <w:b/>
          <w:bCs/>
        </w:rPr>
        <w:t>Use of Improved Information Technology and Burden Reduction</w:t>
      </w:r>
    </w:p>
    <w:p w:rsidR="008A6A5A" w:rsidRPr="00F77F01" w:rsidP="008A6A5A" w14:paraId="13B5E58F" w14:textId="20802D57"/>
    <w:p w:rsidR="008A6A5A" w:rsidRPr="00B67CD8" w:rsidP="008A6A5A" w14:paraId="6D5CEEB6" w14:textId="3AC8EB08">
      <w:r w:rsidRPr="00F77F01">
        <w:t xml:space="preserve">CDC will utilize </w:t>
      </w:r>
      <w:r w:rsidRPr="00F77F01" w:rsidR="0028717E">
        <w:t xml:space="preserve">special data/information collection procedures </w:t>
      </w:r>
      <w:r w:rsidRPr="00F77F01">
        <w:t>with</w:t>
      </w:r>
      <w:r w:rsidRPr="00F77F01" w:rsidR="0028717E">
        <w:t xml:space="preserve"> </w:t>
      </w:r>
      <w:r w:rsidRPr="00F77F01" w:rsidR="006E58C3">
        <w:t xml:space="preserve">the </w:t>
      </w:r>
      <w:r w:rsidRPr="00B67CD8">
        <w:t xml:space="preserve">AVERT </w:t>
      </w:r>
      <w:r w:rsidRPr="00B67CD8" w:rsidR="006E58C3">
        <w:t xml:space="preserve">program </w:t>
      </w:r>
      <w:r w:rsidRPr="00F77F01">
        <w:t>which</w:t>
      </w:r>
      <w:r w:rsidRPr="00F77F01">
        <w:t xml:space="preserve"> </w:t>
      </w:r>
      <w:r w:rsidRPr="00B67CD8">
        <w:t>leverag</w:t>
      </w:r>
      <w:r w:rsidRPr="00B67CD8">
        <w:t>e</w:t>
      </w:r>
      <w:r w:rsidRPr="00B67CD8">
        <w:t xml:space="preserve"> improved information technology </w:t>
      </w:r>
      <w:r w:rsidRPr="00F77F01" w:rsidR="0028717E">
        <w:t>and</w:t>
      </w:r>
      <w:r w:rsidRPr="00F77F01">
        <w:t xml:space="preserve"> </w:t>
      </w:r>
      <w:r w:rsidRPr="00F77F01">
        <w:t xml:space="preserve">helps to </w:t>
      </w:r>
      <w:r w:rsidRPr="00B67CD8">
        <w:t>reduce burden on participating health departments in the following ways:</w:t>
      </w:r>
    </w:p>
    <w:p w:rsidR="006D6F61" w:rsidRPr="00B67CD8" w:rsidP="008A6A5A" w14:paraId="611B8559" w14:textId="77777777"/>
    <w:p w:rsidR="008A6A5A" w:rsidRPr="00B67CD8" w:rsidP="004D6497" w14:paraId="213EA671" w14:textId="095F653F">
      <w:pPr>
        <w:pStyle w:val="ListParagraph"/>
        <w:numPr>
          <w:ilvl w:val="0"/>
          <w:numId w:val="18"/>
        </w:numPr>
      </w:pPr>
      <w:r w:rsidRPr="00B67CD8">
        <w:t xml:space="preserve">Data from over 6,000 hospitals and around </w:t>
      </w:r>
      <w:r w:rsidRPr="00B67CD8" w:rsidR="006D6F61">
        <w:t>73</w:t>
      </w:r>
      <w:r w:rsidRPr="00B67CD8">
        <w:t xml:space="preserve">% of ED visits in the US is currently shared with CDC through the NSSP </w:t>
      </w:r>
      <w:r w:rsidRPr="00B67CD8">
        <w:t>BioSense</w:t>
      </w:r>
      <w:r w:rsidRPr="00B67CD8">
        <w:t xml:space="preserve"> platform. Just </w:t>
      </w:r>
      <w:r w:rsidRPr="00B67CD8" w:rsidR="006D6F61">
        <w:t>three</w:t>
      </w:r>
      <w:r w:rsidRPr="00B67CD8">
        <w:t xml:space="preserve"> years ago</w:t>
      </w:r>
      <w:r w:rsidRPr="00B67CD8" w:rsidR="006D6F61">
        <w:t>,</w:t>
      </w:r>
      <w:r w:rsidRPr="00B67CD8">
        <w:t xml:space="preserve"> NSSP included a little over 4,000 hospitals with around 60% coverage. Since 2016, the primary computer program used to process and analyze this data is the Electronic Surveillance System for the Early Notification of Community-Based Epidemics (ESSENCE)</w:t>
      </w:r>
      <w:r w:rsidRPr="00B67CD8" w:rsidR="002154A8">
        <w:t xml:space="preserve"> (</w:t>
      </w:r>
      <w:r w:rsidRPr="00B67CD8" w:rsidR="002154A8">
        <w:rPr>
          <w:lang w:val="en"/>
        </w:rPr>
        <w:t>OMB #0920-0824)</w:t>
      </w:r>
      <w:r w:rsidRPr="00B67CD8">
        <w:t xml:space="preserve">. AVERT expects that a minimum of 10 health departments will provide CDC access to their ED data within the NSSP </w:t>
      </w:r>
      <w:r w:rsidRPr="00B67CD8">
        <w:t>BioSense</w:t>
      </w:r>
      <w:r w:rsidRPr="00B67CD8">
        <w:t xml:space="preserve"> platform using ESSENCE. On at least </w:t>
      </w:r>
      <w:r w:rsidRPr="00B67CD8" w:rsidR="006D6F61">
        <w:t>a bimonthly basis</w:t>
      </w:r>
      <w:r w:rsidRPr="00B67CD8">
        <w:t xml:space="preserve">, CDC AVERT staff will use its access </w:t>
      </w:r>
      <w:r w:rsidRPr="00F77F01">
        <w:t xml:space="preserve">to </w:t>
      </w:r>
      <w:r w:rsidRPr="00F77F01" w:rsidR="0028717E">
        <w:t xml:space="preserve">abstract information </w:t>
      </w:r>
      <w:r w:rsidRPr="00B67CD8" w:rsidR="0028717E">
        <w:t>to complete</w:t>
      </w:r>
      <w:r w:rsidRPr="00B67CD8">
        <w:t xml:space="preserve"> the </w:t>
      </w:r>
      <w:r w:rsidRPr="00B67CD8" w:rsidR="001C11B6">
        <w:rPr>
          <w:i/>
          <w:lang w:val="en"/>
        </w:rPr>
        <w:t>ED violence</w:t>
      </w:r>
      <w:r w:rsidRPr="00B67CD8">
        <w:rPr>
          <w:i/>
          <w:lang w:val="en"/>
        </w:rPr>
        <w:t xml:space="preserve"> data form</w:t>
      </w:r>
      <w:r w:rsidRPr="00B67CD8">
        <w:t>. Participating health departments will only be asked to verify the accuracy of the CDC generated reports</w:t>
      </w:r>
      <w:r w:rsidRPr="00B67CD8" w:rsidR="000C3F79">
        <w:t xml:space="preserve"> by reviewing the </w:t>
      </w:r>
      <w:r w:rsidRPr="00B67CD8" w:rsidR="007B6232">
        <w:t>ED data included in the report</w:t>
      </w:r>
      <w:r w:rsidRPr="00B67CD8">
        <w:t xml:space="preserve"> and support CDC </w:t>
      </w:r>
      <w:r w:rsidRPr="00F77F01">
        <w:t>complet</w:t>
      </w:r>
      <w:r w:rsidRPr="00F77F01" w:rsidR="0028717E">
        <w:t>ing</w:t>
      </w:r>
      <w:r w:rsidRPr="00B67CD8" w:rsidR="0028717E">
        <w:t xml:space="preserve"> of</w:t>
      </w:r>
      <w:r w:rsidRPr="00B67CD8">
        <w:t xml:space="preserve"> the </w:t>
      </w:r>
      <w:r w:rsidRPr="00B67CD8" w:rsidR="001C11B6">
        <w:rPr>
          <w:i/>
          <w:lang w:val="en"/>
        </w:rPr>
        <w:t>ED violence</w:t>
      </w:r>
      <w:r w:rsidRPr="00B67CD8">
        <w:rPr>
          <w:i/>
          <w:lang w:val="en"/>
        </w:rPr>
        <w:t xml:space="preserve"> data form </w:t>
      </w:r>
      <w:r w:rsidRPr="00B67CD8">
        <w:rPr>
          <w:lang w:val="en"/>
        </w:rPr>
        <w:t>metadata</w:t>
      </w:r>
      <w:r w:rsidRPr="00B67CD8">
        <w:t>. CDC production of the reports greatly reduces burden on participating health departments. Two other advantages of sharing case-level ED data through this platform are:</w:t>
      </w:r>
    </w:p>
    <w:p w:rsidR="008A6A5A" w:rsidRPr="00B67CD8" w:rsidP="004D6497" w14:paraId="7B840D4C" w14:textId="600A6D99">
      <w:pPr>
        <w:pStyle w:val="ListParagraph"/>
        <w:numPr>
          <w:ilvl w:val="1"/>
          <w:numId w:val="18"/>
        </w:numPr>
      </w:pPr>
      <w:r w:rsidRPr="00B67CD8">
        <w:t xml:space="preserve">NSSP </w:t>
      </w:r>
      <w:r w:rsidRPr="00B67CD8">
        <w:t>BioSense</w:t>
      </w:r>
      <w:r w:rsidRPr="00B67CD8">
        <w:t xml:space="preserve"> is constantly improving their data sharing platform and analysis tools</w:t>
      </w:r>
      <w:r w:rsidRPr="00B67CD8" w:rsidR="006D6F61">
        <w:t>,</w:t>
      </w:r>
      <w:r w:rsidRPr="00B67CD8">
        <w:t xml:space="preserve"> such as ESSENCE. This data collection effort will continue to leverage these improvements as they are implemented by CDC.</w:t>
      </w:r>
    </w:p>
    <w:p w:rsidR="006D6F61" w:rsidRPr="00B67CD8" w:rsidP="004D6497" w14:paraId="45EC0941" w14:textId="05EC68BF">
      <w:pPr>
        <w:pStyle w:val="ListParagraph"/>
        <w:numPr>
          <w:ilvl w:val="1"/>
          <w:numId w:val="18"/>
        </w:numPr>
      </w:pPr>
      <w:r w:rsidRPr="00B67CD8">
        <w:t xml:space="preserve">CDC AVERT staff are closely collaborating with the CDC NSSP </w:t>
      </w:r>
      <w:r w:rsidRPr="00B67CD8">
        <w:t>BioSense</w:t>
      </w:r>
      <w:r w:rsidRPr="00B67CD8">
        <w:t xml:space="preserve"> team</w:t>
      </w:r>
      <w:r w:rsidRPr="00B67CD8">
        <w:t xml:space="preserve"> and NCIPC Office of Informatics</w:t>
      </w:r>
      <w:r w:rsidRPr="00B67CD8">
        <w:t xml:space="preserve"> to better automate analysis of </w:t>
      </w:r>
      <w:r w:rsidRPr="00B67CD8">
        <w:t>firearm injuries (regardless of intent), other violence-related injuries, and mental health conditions</w:t>
      </w:r>
      <w:r w:rsidRPr="00B67CD8">
        <w:t>. This includes creating tools to help CDC as well as state and local health departments identify and respond to data quality issues. Additionally, local and state health departments will be able to apply the standardized AVERT definitions</w:t>
      </w:r>
      <w:r w:rsidRPr="00B67CD8" w:rsidR="00FC48A2">
        <w:t xml:space="preserve">, available for use in the CDC NSSP </w:t>
      </w:r>
      <w:r w:rsidRPr="00B67CD8" w:rsidR="00FC48A2">
        <w:t>BioSense</w:t>
      </w:r>
      <w:r w:rsidRPr="00B67CD8" w:rsidR="00FC48A2">
        <w:t xml:space="preserve"> platform</w:t>
      </w:r>
      <w:r w:rsidR="00FA5004">
        <w:t xml:space="preserve"> (</w:t>
      </w:r>
      <w:r w:rsidRPr="00F77F01" w:rsidR="00FA5004">
        <w:rPr>
          <w:b/>
          <w:bCs/>
          <w:u w:val="single"/>
        </w:rPr>
        <w:t>Attachment D</w:t>
      </w:r>
      <w:r w:rsidR="00FA5004">
        <w:t>)</w:t>
      </w:r>
      <w:r w:rsidRPr="00B67CD8" w:rsidR="00FC48A2">
        <w:t>,</w:t>
      </w:r>
      <w:r w:rsidRPr="00B67CD8">
        <w:t xml:space="preserve"> of </w:t>
      </w:r>
      <w:r w:rsidRPr="00B67CD8">
        <w:t xml:space="preserve">firearm injuries (regardless of intent), other violence-related injuries, and mental health conditions </w:t>
      </w:r>
      <w:r w:rsidRPr="00B67CD8">
        <w:t>to identify trends in their local ED data in near-real time.</w:t>
      </w:r>
    </w:p>
    <w:p w:rsidR="007115CC" w:rsidRPr="00B67CD8" w:rsidP="007115CC" w14:paraId="47AFF479" w14:textId="77777777">
      <w:pPr>
        <w:pStyle w:val="ListParagraph"/>
      </w:pPr>
    </w:p>
    <w:p w:rsidR="006D6F61" w:rsidRPr="00B67CD8" w:rsidP="004D6497" w14:paraId="0B16DAFD" w14:textId="7D7C2BF7">
      <w:pPr>
        <w:pStyle w:val="ListParagraph"/>
        <w:numPr>
          <w:ilvl w:val="0"/>
          <w:numId w:val="18"/>
        </w:numPr>
      </w:pPr>
      <w:r w:rsidRPr="00B67CD8">
        <w:t xml:space="preserve">AVERT will require that the health departments share ED data using the </w:t>
      </w:r>
      <w:r w:rsidRPr="00B67CD8" w:rsidR="001C11B6">
        <w:rPr>
          <w:i/>
          <w:lang w:val="en"/>
        </w:rPr>
        <w:t>ED violence</w:t>
      </w:r>
      <w:r w:rsidRPr="00B67CD8">
        <w:rPr>
          <w:i/>
          <w:lang w:val="en"/>
        </w:rPr>
        <w:t xml:space="preserve"> data form</w:t>
      </w:r>
      <w:r w:rsidRPr="00B67CD8">
        <w:t xml:space="preserve"> and standard CDC case definitions</w:t>
      </w:r>
      <w:r w:rsidRPr="00B67CD8" w:rsidR="00FC48A2">
        <w:t xml:space="preserve">, available for use in the CDC NSSP </w:t>
      </w:r>
      <w:r w:rsidRPr="00B67CD8" w:rsidR="00FC48A2">
        <w:t>BioSense</w:t>
      </w:r>
      <w:r w:rsidRPr="00B67CD8" w:rsidR="00FC48A2">
        <w:t xml:space="preserve"> platform</w:t>
      </w:r>
      <w:r w:rsidR="00FA5004">
        <w:t xml:space="preserve"> (</w:t>
      </w:r>
      <w:r w:rsidRPr="00F77F01" w:rsidR="00FA5004">
        <w:rPr>
          <w:b/>
          <w:bCs/>
          <w:u w:val="single"/>
        </w:rPr>
        <w:t>Attachment D</w:t>
      </w:r>
      <w:r w:rsidR="00FA5004">
        <w:t>)</w:t>
      </w:r>
      <w:r w:rsidRPr="00B67CD8">
        <w:t xml:space="preserve">. The </w:t>
      </w:r>
      <w:r w:rsidRPr="00B67CD8" w:rsidR="001C11B6">
        <w:rPr>
          <w:i/>
          <w:lang w:val="en"/>
        </w:rPr>
        <w:t>ED violence</w:t>
      </w:r>
      <w:r w:rsidRPr="00B67CD8">
        <w:rPr>
          <w:i/>
          <w:lang w:val="en"/>
        </w:rPr>
        <w:t xml:space="preserve"> data form</w:t>
      </w:r>
      <w:r w:rsidRPr="00B67CD8">
        <w:t xml:space="preserve"> is an Excel template, which reduces burden on participating health departments in the following ways:</w:t>
      </w:r>
    </w:p>
    <w:p w:rsidR="006D6F61" w:rsidRPr="00B67CD8" w:rsidP="004D6497" w14:paraId="4AD59D2B" w14:textId="77777777">
      <w:pPr>
        <w:pStyle w:val="ListParagraph"/>
        <w:numPr>
          <w:ilvl w:val="1"/>
          <w:numId w:val="18"/>
        </w:numPr>
      </w:pPr>
      <w:r w:rsidRPr="00B67CD8">
        <w:t>Enables health departments to create computer programs and standard operating procedures for sharing the data with CDC using CDC’s standard format. State health departments have requested CDC design and adhere to standard data sharing protocols.</w:t>
      </w:r>
    </w:p>
    <w:p w:rsidR="006D6F61" w:rsidRPr="00B67CD8" w:rsidP="004D6497" w14:paraId="29025522" w14:textId="77777777">
      <w:pPr>
        <w:pStyle w:val="ListParagraph"/>
        <w:numPr>
          <w:ilvl w:val="1"/>
          <w:numId w:val="18"/>
        </w:numPr>
      </w:pPr>
      <w:r w:rsidRPr="00B67CD8">
        <w:t>Excel is widely used and most likely will not require staff from participating health departments to acquire new training,</w:t>
      </w:r>
    </w:p>
    <w:p w:rsidR="006D6F61" w:rsidRPr="00B67CD8" w:rsidP="004D6497" w14:paraId="5F67FEC4" w14:textId="77777777">
      <w:pPr>
        <w:pStyle w:val="ListParagraph"/>
        <w:numPr>
          <w:ilvl w:val="1"/>
          <w:numId w:val="18"/>
        </w:numPr>
      </w:pPr>
      <w:r w:rsidRPr="00B67CD8">
        <w:t>Many statistical programs can export data into Excel,</w:t>
      </w:r>
    </w:p>
    <w:p w:rsidR="006D6F61" w:rsidRPr="00B67CD8" w:rsidP="004D6497" w14:paraId="3EF50356" w14:textId="77777777">
      <w:pPr>
        <w:pStyle w:val="ListParagraph"/>
        <w:numPr>
          <w:ilvl w:val="1"/>
          <w:numId w:val="18"/>
        </w:numPr>
      </w:pPr>
      <w:r w:rsidRPr="00B67CD8">
        <w:t xml:space="preserve">Manual data entry is user friendly, and </w:t>
      </w:r>
    </w:p>
    <w:p w:rsidR="008A6A5A" w:rsidRPr="00B67CD8" w:rsidP="004D6497" w14:paraId="6C8068E3" w14:textId="1B8926CB">
      <w:pPr>
        <w:pStyle w:val="ListParagraph"/>
        <w:numPr>
          <w:ilvl w:val="1"/>
          <w:numId w:val="18"/>
        </w:numPr>
      </w:pPr>
      <w:r w:rsidRPr="00B67CD8">
        <w:t xml:space="preserve">CDC staff can build multiple automated data quality checks into the Excel data sheet that capture data errors early and prevent the need and burden on participating health departments of submitting revised reports to CDC. </w:t>
      </w:r>
    </w:p>
    <w:p w:rsidR="007115CC" w:rsidRPr="00B67CD8" w:rsidP="007115CC" w14:paraId="77A1F7B5" w14:textId="7299472C">
      <w:pPr>
        <w:pStyle w:val="ListParagraph"/>
      </w:pPr>
    </w:p>
    <w:p w:rsidR="008A6A5A" w:rsidRPr="00B67CD8" w:rsidP="004D6497" w14:paraId="07EE9604" w14:textId="48ED563E">
      <w:pPr>
        <w:pStyle w:val="ListParagraph"/>
        <w:numPr>
          <w:ilvl w:val="0"/>
          <w:numId w:val="18"/>
        </w:numPr>
      </w:pPr>
      <w:r w:rsidRPr="00B67CD8">
        <w:t>All p</w:t>
      </w:r>
      <w:r w:rsidRPr="00B67CD8">
        <w:t>articipating health departments will share the</w:t>
      </w:r>
      <w:r w:rsidRPr="00B67CD8">
        <w:rPr>
          <w:i/>
          <w:lang w:val="en"/>
        </w:rPr>
        <w:t xml:space="preserve"> </w:t>
      </w:r>
      <w:r w:rsidRPr="00B67CD8" w:rsidR="001C11B6">
        <w:rPr>
          <w:i/>
          <w:lang w:val="en"/>
        </w:rPr>
        <w:t>ED violence</w:t>
      </w:r>
      <w:r w:rsidRPr="00B67CD8">
        <w:rPr>
          <w:i/>
          <w:lang w:val="en"/>
        </w:rPr>
        <w:t xml:space="preserve"> data form </w:t>
      </w:r>
      <w:r w:rsidRPr="00B67CD8">
        <w:t xml:space="preserve">with CDC using a </w:t>
      </w:r>
      <w:r w:rsidRPr="00B67CD8" w:rsidR="00C62F07">
        <w:t xml:space="preserve">NCIPC </w:t>
      </w:r>
      <w:r w:rsidRPr="00B67CD8">
        <w:t>interface hosted on the CDC Secure Access Management Service (SAMS) Partner’s Portal</w:t>
      </w:r>
      <w:r w:rsidRPr="00B67CD8" w:rsidR="00AC6352">
        <w:t xml:space="preserve"> (https://sams.cdc.gov)</w:t>
      </w:r>
      <w:r w:rsidRPr="00B67CD8">
        <w:t>, referred to as the NCIPC Partner’s Portal</w:t>
      </w:r>
      <w:r w:rsidRPr="00B67CD8" w:rsidR="00B813A5">
        <w:t xml:space="preserve"> </w:t>
      </w:r>
      <w:r w:rsidRPr="00B67CD8" w:rsidR="00B813A5">
        <w:fldChar w:fldCharType="begin" w:fldLock="1"/>
      </w:r>
      <w:r w:rsidR="00EF75DD">
        <w:instrText>ADDIN CSL_CITATION {"citationItems":[{"id":"ITEM-1","itemData":{"URL":"https://auth.cdc.gov/sams/SAMSUserGuide.pdf","id":"ITEM-1","issued":{"date-parts":[["0"]]},"title":"CDC SAMS","type":"webpage"},"uris":["http://www.mendeley.com/documents/?uuid=9f41effa-6eb5-4981-accc-f674e4ed619f"]}],"mendeley":{"formattedCitation":"(10)","plainTextFormattedCitation":"(10)","previouslyFormattedCitation":"(10)"},"properties":{"noteIndex":0},"schema":"https://github.com/citation-style-language/schema/raw/master/csl-citation.json"}</w:instrText>
      </w:r>
      <w:r w:rsidRPr="00B67CD8" w:rsidR="00B813A5">
        <w:fldChar w:fldCharType="separate"/>
      </w:r>
      <w:r w:rsidRPr="00D9046D" w:rsidR="00D9046D">
        <w:rPr>
          <w:noProof/>
        </w:rPr>
        <w:t>(10)</w:t>
      </w:r>
      <w:r w:rsidRPr="00B67CD8" w:rsidR="00B813A5">
        <w:fldChar w:fldCharType="end"/>
      </w:r>
      <w:r w:rsidRPr="00B67CD8">
        <w:t>. Two advantages of the NCIPC Partner’s Portal are:</w:t>
      </w:r>
    </w:p>
    <w:p w:rsidR="008A6A5A" w:rsidRPr="00B67CD8" w:rsidP="004D6497" w14:paraId="66FDDA23" w14:textId="77777777">
      <w:pPr>
        <w:pStyle w:val="ListParagraph"/>
        <w:numPr>
          <w:ilvl w:val="1"/>
          <w:numId w:val="18"/>
        </w:numPr>
      </w:pPr>
      <w:r w:rsidRPr="00B67CD8">
        <w:t xml:space="preserve">The NCIPC Partner’s Portal will improve data quality and reduce burden on participating health departments by automatically identifying data submission errors by participating health departments. Real-time identification of data submission errors enables rapid fixes and reduces the chance participating health departments will need to make multiple data submissions to CDC. </w:t>
      </w:r>
    </w:p>
    <w:p w:rsidR="008A6A5A" w:rsidRPr="00B67CD8" w:rsidP="004D6497" w14:paraId="33A663E1" w14:textId="6E08EACD">
      <w:pPr>
        <w:pStyle w:val="ListParagraph"/>
        <w:numPr>
          <w:ilvl w:val="1"/>
          <w:numId w:val="18"/>
        </w:numPr>
      </w:pPr>
      <w:r w:rsidRPr="00B67CD8">
        <w:t>The NCIPC Partner’s Portal is a website designed to provide centralized access to external users (e.g., state and local health departments) to data and computer applications operated by CDC. The NCIPC Partner’s Portal leverages the CDC SAMS Partner’s Portal because CDC SAMS is an established secure method for sharing data that is widely used by state and local health departments. Thus, the time required to gain access and use of the portal will be minimal.</w:t>
      </w:r>
    </w:p>
    <w:p w:rsidR="00972DEF" w:rsidRPr="00B67CD8" w:rsidP="00972DEF" w14:paraId="61829076" w14:textId="77777777"/>
    <w:p w:rsidR="00972DEF" w:rsidRPr="00B67CD8" w:rsidP="00972DEF" w14:paraId="1198D732" w14:textId="7C678FBD">
      <w:pPr>
        <w:autoSpaceDE w:val="0"/>
        <w:autoSpaceDN w:val="0"/>
        <w:adjustRightInd w:val="0"/>
        <w:rPr>
          <w:b/>
          <w:bCs/>
        </w:rPr>
      </w:pPr>
      <w:r w:rsidRPr="00B67CD8">
        <w:rPr>
          <w:b/>
          <w:bCs/>
        </w:rPr>
        <w:t>A.4. Efforts to Identify Duplication and Use of Similar Information</w:t>
      </w:r>
    </w:p>
    <w:p w:rsidR="00972DEF" w:rsidRPr="00B67CD8" w:rsidP="00972DEF" w14:paraId="2BA226A1" w14:textId="23377065">
      <w:pPr>
        <w:autoSpaceDE w:val="0"/>
        <w:autoSpaceDN w:val="0"/>
        <w:adjustRightInd w:val="0"/>
      </w:pPr>
    </w:p>
    <w:p w:rsidR="00C977F3" w:rsidRPr="00B67CD8" w:rsidP="00C977F3" w14:paraId="39FFD33C" w14:textId="3CDDC1A8">
      <w:r w:rsidRPr="00B67CD8">
        <w:t xml:space="preserve">AVERT maximizes the use of federal government data by leveraging ED data already collected by the NSSP </w:t>
      </w:r>
      <w:r w:rsidRPr="00B67CD8">
        <w:t>BioSense</w:t>
      </w:r>
      <w:r w:rsidRPr="00B67CD8">
        <w:t xml:space="preserve"> platform (mentioned previously </w:t>
      </w:r>
      <w:r w:rsidRPr="00B67CD8" w:rsidR="00546691">
        <w:t>in</w:t>
      </w:r>
      <w:r w:rsidRPr="00B67CD8">
        <w:t xml:space="preserve"> </w:t>
      </w:r>
      <w:r w:rsidRPr="00B67CD8">
        <w:rPr>
          <w:i/>
        </w:rPr>
        <w:t xml:space="preserve">A1. </w:t>
      </w:r>
      <w:r w:rsidRPr="00B67CD8">
        <w:rPr>
          <w:bCs/>
          <w:i/>
        </w:rPr>
        <w:t>Circumstances Making the Collection of Information Necessary)</w:t>
      </w:r>
      <w:r w:rsidRPr="00B67CD8">
        <w:rPr>
          <w:i/>
        </w:rPr>
        <w:t xml:space="preserve"> </w:t>
      </w:r>
      <w:r w:rsidRPr="00B67CD8">
        <w:t xml:space="preserve">and communicating on an ongoing basis with other federal collections of ED data. CDC’s Division of Violence Prevention (DVP) is engaged in an intensive collaboration with the </w:t>
      </w:r>
      <w:r w:rsidRPr="00B67CD8" w:rsidR="00C62F07">
        <w:t>DHIS</w:t>
      </w:r>
      <w:r w:rsidRPr="00B67CD8">
        <w:t xml:space="preserve">, the CDC division that operates NSSP </w:t>
      </w:r>
      <w:r w:rsidRPr="00B67CD8">
        <w:t>BioSense</w:t>
      </w:r>
      <w:r w:rsidRPr="00B67CD8">
        <w:t xml:space="preserve">. The collaboration enhances rapid surveillance of </w:t>
      </w:r>
      <w:r w:rsidRPr="00B67CD8" w:rsidR="00AF7623">
        <w:t>f</w:t>
      </w:r>
      <w:r w:rsidRPr="00B67CD8" w:rsidR="00AF7623">
        <w:rPr>
          <w:rFonts w:eastAsia="SimSun"/>
        </w:rPr>
        <w:t>irearm injuries (regardless of intent), other violence-related injuries, and mental health conditions</w:t>
      </w:r>
      <w:r w:rsidRPr="00B67CD8" w:rsidR="00AF7623">
        <w:t xml:space="preserve"> </w:t>
      </w:r>
      <w:r w:rsidRPr="00B67CD8">
        <w:t xml:space="preserve">by leveraging the approximately </w:t>
      </w:r>
      <w:r w:rsidRPr="00B67CD8" w:rsidR="006D6F61">
        <w:t>73</w:t>
      </w:r>
      <w:r w:rsidRPr="00B67CD8">
        <w:t xml:space="preserve">% of ED facilities in the US that are shared by local health departments or their partners with CDC through the NSSP </w:t>
      </w:r>
      <w:r w:rsidRPr="00B67CD8">
        <w:t>BioSense</w:t>
      </w:r>
      <w:r w:rsidRPr="00B67CD8">
        <w:t xml:space="preserve"> Platform.</w:t>
      </w:r>
    </w:p>
    <w:p w:rsidR="00C977F3" w:rsidRPr="00B67CD8" w:rsidP="00C977F3" w14:paraId="26576F47" w14:textId="77777777"/>
    <w:p w:rsidR="00C977F3" w:rsidRPr="00B67CD8" w:rsidP="00CE757E" w14:paraId="0354BF67" w14:textId="20804722">
      <w:r w:rsidRPr="00B67CD8">
        <w:t xml:space="preserve">CDC </w:t>
      </w:r>
      <w:r w:rsidRPr="00B67CD8" w:rsidR="004C230F">
        <w:t>requires</w:t>
      </w:r>
      <w:r w:rsidRPr="00B67CD8">
        <w:t xml:space="preserve"> that participating health departments share ED data with CDC through the NSSP </w:t>
      </w:r>
      <w:r w:rsidRPr="00B67CD8">
        <w:t>BioSense</w:t>
      </w:r>
      <w:r w:rsidRPr="00B67CD8">
        <w:t xml:space="preserve"> platform. The NSSP </w:t>
      </w:r>
      <w:r w:rsidRPr="00B67CD8">
        <w:t>BioSense</w:t>
      </w:r>
      <w:r w:rsidRPr="00B67CD8">
        <w:t xml:space="preserve"> platform is the </w:t>
      </w:r>
      <w:r w:rsidRPr="00B67CD8" w:rsidR="00E32B9E">
        <w:t>required</w:t>
      </w:r>
      <w:r w:rsidRPr="00B67CD8">
        <w:t xml:space="preserve"> mechanism because it minimizes burden on participating health departments by allowing CDC to complete the </w:t>
      </w:r>
      <w:r w:rsidRPr="00B67CD8" w:rsidR="001C11B6">
        <w:rPr>
          <w:i/>
          <w:lang w:val="en"/>
        </w:rPr>
        <w:t>ED violence</w:t>
      </w:r>
      <w:r w:rsidRPr="00B67CD8">
        <w:rPr>
          <w:i/>
          <w:lang w:val="en"/>
        </w:rPr>
        <w:t xml:space="preserve"> data form </w:t>
      </w:r>
      <w:r w:rsidRPr="00B67CD8">
        <w:t xml:space="preserve">while maximizing data quality by enabling collaborative analyses between CDC and health departments. In CDC’s Advancing Violence Epidemiology in Real-Time Notice of Funding Opportunity (AVERT, </w:t>
      </w:r>
      <w:r w:rsidRPr="00B67CD8" w:rsidR="00AF7623">
        <w:t>CDC-RFA-CE-23-0007</w:t>
      </w:r>
      <w:r w:rsidRPr="00B67CD8">
        <w:t xml:space="preserve">), </w:t>
      </w:r>
      <w:r w:rsidRPr="00B67CD8" w:rsidR="00CE757E">
        <w:t xml:space="preserve">DVP included the following required eligibility criteria: (1) Use of the national ESSENCE platform for their syndromic surveillance data management; and (2) Collects and accesses ED visit data from a minimum of 80% of ED facilities in their jurisdiction. This includes ED visit data from a minimum of 90% of Level 1-3 trauma centers. </w:t>
      </w:r>
    </w:p>
    <w:p w:rsidR="00C977F3" w:rsidRPr="00B67CD8" w:rsidP="00C977F3" w14:paraId="653F8644" w14:textId="77777777"/>
    <w:p w:rsidR="00C977F3" w:rsidRPr="00B67CD8" w:rsidP="00C977F3" w14:paraId="510ED338" w14:textId="224FB83E">
      <w:r w:rsidRPr="00B67CD8">
        <w:t xml:space="preserve">DVP identified other federal programs collecting ED data to ensure coordination and avoid duplication. </w:t>
      </w:r>
      <w:r w:rsidRPr="00B67CD8" w:rsidR="008A3C94">
        <w:t>Three</w:t>
      </w:r>
      <w:r w:rsidRPr="00B67CD8">
        <w:t xml:space="preserve"> federal government data systems in addition to NSSP </w:t>
      </w:r>
      <w:r w:rsidRPr="00B67CD8">
        <w:t>BioSense</w:t>
      </w:r>
      <w:r w:rsidRPr="00B67CD8">
        <w:t xml:space="preserve"> were identified as potentially overlapping with the current data collection. </w:t>
      </w:r>
      <w:r w:rsidRPr="00B67CD8" w:rsidR="0014146B">
        <w:t>In Table 2 below</w:t>
      </w:r>
      <w:r w:rsidRPr="00B67CD8">
        <w:t xml:space="preserve">, a brief description of each data system is provided as well as why AVERT is not duplicative with the data collection. </w:t>
      </w:r>
    </w:p>
    <w:p w:rsidR="00211777" w:rsidRPr="00B67CD8" w:rsidP="00C977F3" w14:paraId="74A94262" w14:textId="1C649CD8"/>
    <w:p w:rsidR="00C977F3" w:rsidRPr="00B67CD8" w:rsidP="00C977F3" w14:paraId="40C9E722" w14:textId="3822BD0A">
      <w:r w:rsidRPr="00B67CD8">
        <w:rPr>
          <w:b/>
          <w:bCs/>
        </w:rPr>
        <w:t xml:space="preserve">Table 2. </w:t>
      </w:r>
      <w:r w:rsidRPr="00B67CD8" w:rsidR="0014146B">
        <w:rPr>
          <w:b/>
          <w:bCs/>
        </w:rPr>
        <w:t xml:space="preserve">Other ED data systems and justification for additional value of AVERT </w:t>
      </w:r>
    </w:p>
    <w:tbl>
      <w:tblPr>
        <w:tblStyle w:val="TableGrid"/>
        <w:tblW w:w="9895" w:type="dxa"/>
        <w:tblInd w:w="0" w:type="dxa"/>
        <w:tblLayout w:type="fixed"/>
        <w:tblLook w:val="04A0"/>
      </w:tblPr>
      <w:tblGrid>
        <w:gridCol w:w="1979"/>
        <w:gridCol w:w="1979"/>
        <w:gridCol w:w="1979"/>
        <w:gridCol w:w="1979"/>
        <w:gridCol w:w="1979"/>
      </w:tblGrid>
      <w:tr w14:paraId="36510B43" w14:textId="77777777" w:rsidTr="008A3C94">
        <w:tblPrEx>
          <w:tblW w:w="9895" w:type="dxa"/>
          <w:tblInd w:w="0" w:type="dxa"/>
          <w:tblLayout w:type="fixed"/>
          <w:tblLook w:val="04A0"/>
        </w:tblPrEx>
        <w:trPr>
          <w:tblHeader/>
        </w:trPr>
        <w:tc>
          <w:tcPr>
            <w:tcW w:w="1979" w:type="dxa"/>
            <w:shd w:val="clear" w:color="auto" w:fill="D9D9D9" w:themeFill="background1" w:themeFillShade="D9"/>
          </w:tcPr>
          <w:p w:rsidR="008A3C94" w:rsidRPr="00B67CD8" w:rsidP="000E4AB2" w14:paraId="1CB4CA63" w14:textId="77777777">
            <w:pPr>
              <w:jc w:val="center"/>
              <w:rPr>
                <w:b/>
                <w:sz w:val="22"/>
                <w:szCs w:val="22"/>
              </w:rPr>
            </w:pPr>
            <w:r w:rsidRPr="00B67CD8">
              <w:rPr>
                <w:b/>
                <w:sz w:val="22"/>
                <w:szCs w:val="22"/>
              </w:rPr>
              <w:t>ED data system</w:t>
            </w:r>
          </w:p>
        </w:tc>
        <w:tc>
          <w:tcPr>
            <w:tcW w:w="1979" w:type="dxa"/>
            <w:shd w:val="clear" w:color="auto" w:fill="D9D9D9" w:themeFill="background1" w:themeFillShade="D9"/>
          </w:tcPr>
          <w:p w:rsidR="008A3C94" w:rsidRPr="00B67CD8" w:rsidP="000E4AB2" w14:paraId="5EC4F2EF" w14:textId="77777777">
            <w:pPr>
              <w:jc w:val="center"/>
              <w:rPr>
                <w:b/>
                <w:sz w:val="22"/>
                <w:szCs w:val="22"/>
              </w:rPr>
            </w:pPr>
            <w:r w:rsidRPr="00B67CD8">
              <w:rPr>
                <w:b/>
                <w:sz w:val="22"/>
                <w:szCs w:val="22"/>
              </w:rPr>
              <w:t>Description</w:t>
            </w:r>
          </w:p>
        </w:tc>
        <w:tc>
          <w:tcPr>
            <w:tcW w:w="1979" w:type="dxa"/>
            <w:shd w:val="clear" w:color="auto" w:fill="D9D9D9" w:themeFill="background1" w:themeFillShade="D9"/>
          </w:tcPr>
          <w:p w:rsidR="008A3C94" w:rsidRPr="00B67CD8" w:rsidP="000E4AB2" w14:paraId="44A892CA" w14:textId="77777777">
            <w:pPr>
              <w:jc w:val="center"/>
              <w:rPr>
                <w:b/>
                <w:sz w:val="22"/>
                <w:szCs w:val="22"/>
              </w:rPr>
            </w:pPr>
            <w:r w:rsidRPr="00B67CD8">
              <w:rPr>
                <w:b/>
                <w:sz w:val="22"/>
                <w:szCs w:val="22"/>
              </w:rPr>
              <w:t>Time lag</w:t>
            </w:r>
          </w:p>
        </w:tc>
        <w:tc>
          <w:tcPr>
            <w:tcW w:w="1979" w:type="dxa"/>
            <w:shd w:val="clear" w:color="auto" w:fill="D9D9D9" w:themeFill="background1" w:themeFillShade="D9"/>
          </w:tcPr>
          <w:p w:rsidR="008A3C94" w:rsidRPr="00B67CD8" w:rsidP="000E4AB2" w14:paraId="121432AA" w14:textId="77777777">
            <w:pPr>
              <w:jc w:val="center"/>
              <w:rPr>
                <w:b/>
                <w:sz w:val="22"/>
                <w:szCs w:val="22"/>
              </w:rPr>
            </w:pPr>
            <w:r w:rsidRPr="00B67CD8">
              <w:rPr>
                <w:b/>
                <w:sz w:val="22"/>
                <w:szCs w:val="22"/>
              </w:rPr>
              <w:t>Purpose of ED system</w:t>
            </w:r>
          </w:p>
        </w:tc>
        <w:tc>
          <w:tcPr>
            <w:tcW w:w="1979" w:type="dxa"/>
            <w:shd w:val="clear" w:color="auto" w:fill="D9D9D9" w:themeFill="background1" w:themeFillShade="D9"/>
          </w:tcPr>
          <w:p w:rsidR="008A3C94" w:rsidRPr="00B67CD8" w:rsidP="000E4AB2" w14:paraId="2BE87116" w14:textId="77777777">
            <w:pPr>
              <w:jc w:val="center"/>
              <w:rPr>
                <w:b/>
                <w:sz w:val="22"/>
                <w:szCs w:val="22"/>
              </w:rPr>
            </w:pPr>
            <w:r w:rsidRPr="00B67CD8">
              <w:rPr>
                <w:b/>
                <w:sz w:val="22"/>
                <w:szCs w:val="22"/>
              </w:rPr>
              <w:t>Additional Value of AVERT</w:t>
            </w:r>
          </w:p>
        </w:tc>
      </w:tr>
      <w:tr w14:paraId="281E0790" w14:textId="77777777" w:rsidTr="008A3C94">
        <w:tblPrEx>
          <w:tblW w:w="9895" w:type="dxa"/>
          <w:tblInd w:w="0" w:type="dxa"/>
          <w:tblLayout w:type="fixed"/>
          <w:tblLook w:val="04A0"/>
        </w:tblPrEx>
        <w:trPr>
          <w:trHeight w:val="2888"/>
        </w:trPr>
        <w:tc>
          <w:tcPr>
            <w:tcW w:w="1979" w:type="dxa"/>
          </w:tcPr>
          <w:p w:rsidR="008A3C94" w:rsidRPr="00B67CD8" w:rsidP="008A3C94" w14:paraId="3D874265" w14:textId="0500B45E">
            <w:pPr>
              <w:rPr>
                <w:sz w:val="22"/>
                <w:szCs w:val="22"/>
              </w:rPr>
            </w:pPr>
            <w:r w:rsidRPr="00B67CD8">
              <w:rPr>
                <w:sz w:val="22"/>
                <w:szCs w:val="22"/>
              </w:rPr>
              <w:t xml:space="preserve">Health Care Utilization Project (HCUP) Nationwide Emergency Department Sample (NEDS) administered by the Agency of Healthcare Research and Quality (AHRQ) </w:t>
            </w:r>
            <w:r w:rsidRPr="00B67CD8" w:rsidR="004E1598">
              <w:rPr>
                <w:sz w:val="22"/>
                <w:szCs w:val="22"/>
              </w:rPr>
              <w:fldChar w:fldCharType="begin" w:fldLock="1"/>
            </w:r>
            <w:r w:rsidR="00EF75DD">
              <w:rPr>
                <w:sz w:val="22"/>
                <w:szCs w:val="22"/>
              </w:rPr>
              <w:instrText>ADDIN CSL_CITATION {"citationItems":[{"id":"ITEM-1","itemData":{"URL":"https://www.hcup-us.ahrq.gov/nedsoverview.jsp.","id":"ITEM-1","issued":{"date-parts":[["0"]]},"title":"Additional Information on NEDS","type":"webpage"},"uris":["http://www.mendeley.com/documents/?uuid=3e080580-d0cb-40fd-82b6-888b4be3f6d0"]}],"mendeley":{"formattedCitation":"(11)","plainTextFormattedCitation":"(11)","previouslyFormattedCitation":"(11)"},"properties":{"noteIndex":0},"schema":"https://github.com/citation-style-language/schema/raw/master/csl-citation.json"}</w:instrText>
            </w:r>
            <w:r w:rsidRPr="00B67CD8" w:rsidR="004E1598">
              <w:rPr>
                <w:sz w:val="22"/>
                <w:szCs w:val="22"/>
              </w:rPr>
              <w:fldChar w:fldCharType="separate"/>
            </w:r>
            <w:r w:rsidRPr="00D9046D" w:rsidR="00D9046D">
              <w:rPr>
                <w:noProof/>
                <w:sz w:val="22"/>
                <w:szCs w:val="22"/>
              </w:rPr>
              <w:t>(11)</w:t>
            </w:r>
            <w:r w:rsidRPr="00B67CD8" w:rsidR="004E1598">
              <w:rPr>
                <w:sz w:val="22"/>
                <w:szCs w:val="22"/>
              </w:rPr>
              <w:fldChar w:fldCharType="end"/>
            </w:r>
          </w:p>
        </w:tc>
        <w:tc>
          <w:tcPr>
            <w:tcW w:w="1979" w:type="dxa"/>
          </w:tcPr>
          <w:p w:rsidR="008A3C94" w:rsidRPr="00B67CD8" w:rsidP="000E4AB2" w14:paraId="090AE3CD" w14:textId="77777777">
            <w:pPr>
              <w:rPr>
                <w:sz w:val="22"/>
                <w:szCs w:val="22"/>
              </w:rPr>
            </w:pPr>
            <w:r w:rsidRPr="00B67CD8">
              <w:rPr>
                <w:sz w:val="22"/>
                <w:szCs w:val="22"/>
              </w:rPr>
              <w:t xml:space="preserve">37 states contribute data to NEDS. In 2016, the database contains a sample of around 33 million ED visits that can be used to make national estimates of ED visits involving specific illnesses and injury. Key data include ICD-10-CM diagnosis and procedure codes as well as medical charge and patient demographics. </w:t>
            </w:r>
          </w:p>
        </w:tc>
        <w:tc>
          <w:tcPr>
            <w:tcW w:w="1979" w:type="dxa"/>
          </w:tcPr>
          <w:p w:rsidR="008A3C94" w:rsidRPr="00B67CD8" w:rsidP="000E4AB2" w14:paraId="01D1F16A" w14:textId="77777777">
            <w:pPr>
              <w:rPr>
                <w:sz w:val="22"/>
                <w:szCs w:val="22"/>
              </w:rPr>
            </w:pPr>
            <w:r w:rsidRPr="00B67CD8">
              <w:rPr>
                <w:sz w:val="22"/>
                <w:szCs w:val="22"/>
              </w:rPr>
              <w:t xml:space="preserve">~ 2 years </w:t>
            </w:r>
          </w:p>
        </w:tc>
        <w:tc>
          <w:tcPr>
            <w:tcW w:w="1979" w:type="dxa"/>
          </w:tcPr>
          <w:p w:rsidR="008A3C94" w:rsidRPr="00B67CD8" w:rsidP="000E4AB2" w14:paraId="6E271CFD" w14:textId="7D61681A">
            <w:pPr>
              <w:rPr>
                <w:sz w:val="22"/>
                <w:szCs w:val="22"/>
              </w:rPr>
            </w:pPr>
            <w:r w:rsidRPr="00B67CD8">
              <w:rPr>
                <w:sz w:val="22"/>
                <w:szCs w:val="22"/>
              </w:rPr>
              <w:t xml:space="preserve">NEDS data are used to estimate the national burden of ED visits related to violence-related injuries.  </w:t>
            </w:r>
          </w:p>
          <w:p w:rsidR="008A3C94" w:rsidRPr="00B67CD8" w:rsidP="000E4AB2" w14:paraId="6D8FF991" w14:textId="77777777">
            <w:pPr>
              <w:rPr>
                <w:sz w:val="22"/>
                <w:szCs w:val="22"/>
              </w:rPr>
            </w:pPr>
          </w:p>
        </w:tc>
        <w:tc>
          <w:tcPr>
            <w:tcW w:w="1979" w:type="dxa"/>
          </w:tcPr>
          <w:p w:rsidR="008A3C94" w:rsidRPr="00B67CD8" w:rsidP="008A3C94" w14:paraId="5DA3B5B4" w14:textId="77777777">
            <w:pPr>
              <w:rPr>
                <w:sz w:val="22"/>
                <w:szCs w:val="22"/>
              </w:rPr>
            </w:pPr>
            <w:r w:rsidRPr="00B67CD8">
              <w:rPr>
                <w:sz w:val="22"/>
                <w:szCs w:val="22"/>
              </w:rPr>
              <w:t>AVERT includes state-level and county-level data that can be used by communities to detect and respond to upticks or shifts in violence trends in a timely manner.</w:t>
            </w:r>
          </w:p>
          <w:p w:rsidR="008A3C94" w:rsidRPr="00B67CD8" w:rsidP="008A3C94" w14:paraId="00050726" w14:textId="77777777">
            <w:pPr>
              <w:rPr>
                <w:sz w:val="22"/>
                <w:szCs w:val="22"/>
              </w:rPr>
            </w:pPr>
          </w:p>
          <w:p w:rsidR="008A3C94" w:rsidRPr="00B67CD8" w:rsidP="008A3C94" w14:paraId="3196128B" w14:textId="5C172C22">
            <w:pPr>
              <w:rPr>
                <w:sz w:val="22"/>
                <w:szCs w:val="22"/>
              </w:rPr>
            </w:pPr>
            <w:r w:rsidRPr="00B67CD8">
              <w:rPr>
                <w:sz w:val="22"/>
                <w:szCs w:val="22"/>
              </w:rPr>
              <w:t>AVERT data will be rapidly available (within 1-2 months of an ED visit) and can thus inform more rapid response to changes in local, state, and regional violent injuries.</w:t>
            </w:r>
          </w:p>
        </w:tc>
      </w:tr>
      <w:tr w14:paraId="7A607D30" w14:textId="77777777" w:rsidTr="008A3C94">
        <w:tblPrEx>
          <w:tblW w:w="9895" w:type="dxa"/>
          <w:tblInd w:w="0" w:type="dxa"/>
          <w:tblLayout w:type="fixed"/>
          <w:tblLook w:val="04A0"/>
        </w:tblPrEx>
        <w:tc>
          <w:tcPr>
            <w:tcW w:w="1979" w:type="dxa"/>
          </w:tcPr>
          <w:p w:rsidR="008A3C94" w:rsidRPr="00B67CD8" w:rsidP="008A3C94" w14:paraId="2314F02A" w14:textId="798740FF">
            <w:pPr>
              <w:rPr>
                <w:sz w:val="22"/>
                <w:szCs w:val="22"/>
              </w:rPr>
            </w:pPr>
            <w:r w:rsidRPr="00B67CD8">
              <w:rPr>
                <w:sz w:val="22"/>
                <w:szCs w:val="22"/>
              </w:rPr>
              <w:t>Health Care Utilization Project (HCUP) State Emergency Department Databases (SEDD) administered by the Agency of Healthcare Research and Quality (AHRQ)</w:t>
            </w:r>
            <w:r w:rsidRPr="00B67CD8" w:rsidR="004E1598">
              <w:rPr>
                <w:sz w:val="22"/>
                <w:szCs w:val="22"/>
              </w:rPr>
              <w:t xml:space="preserve"> </w:t>
            </w:r>
            <w:r w:rsidRPr="00B67CD8" w:rsidR="004E1598">
              <w:rPr>
                <w:sz w:val="22"/>
                <w:szCs w:val="22"/>
              </w:rPr>
              <w:fldChar w:fldCharType="begin" w:fldLock="1"/>
            </w:r>
            <w:r w:rsidR="00EF75DD">
              <w:rPr>
                <w:sz w:val="22"/>
                <w:szCs w:val="22"/>
              </w:rPr>
              <w:instrText>ADDIN CSL_CITATION {"citationItems":[{"id":"ITEM-1","itemData":{"URL":"https://www.hcup-us.ahrq.gov/seddoverview.jsp.","id":"ITEM-1","issued":{"date-parts":[["0"]]},"title":"Additional Information on SEDD","type":"webpage"},"uris":["http://www.mendeley.com/documents/?uuid=0097187b-df62-42f5-8bd5-ef313e76fffa"]}],"mendeley":{"formattedCitation":"(12)","plainTextFormattedCitation":"(12)","previouslyFormattedCitation":"(12)"},"properties":{"noteIndex":0},"schema":"https://github.com/citation-style-language/schema/raw/master/csl-citation.json"}</w:instrText>
            </w:r>
            <w:r w:rsidRPr="00B67CD8" w:rsidR="004E1598">
              <w:rPr>
                <w:sz w:val="22"/>
                <w:szCs w:val="22"/>
              </w:rPr>
              <w:fldChar w:fldCharType="separate"/>
            </w:r>
            <w:r w:rsidRPr="00D9046D" w:rsidR="00D9046D">
              <w:rPr>
                <w:noProof/>
                <w:sz w:val="22"/>
                <w:szCs w:val="22"/>
              </w:rPr>
              <w:t>(12)</w:t>
            </w:r>
            <w:r w:rsidRPr="00B67CD8" w:rsidR="004E1598">
              <w:rPr>
                <w:sz w:val="22"/>
                <w:szCs w:val="22"/>
              </w:rPr>
              <w:fldChar w:fldCharType="end"/>
            </w:r>
          </w:p>
          <w:p w:rsidR="008A3C94" w:rsidRPr="00B67CD8" w:rsidP="000E4AB2" w14:paraId="5355549D" w14:textId="08E4E429">
            <w:pPr>
              <w:rPr>
                <w:sz w:val="22"/>
                <w:szCs w:val="22"/>
              </w:rPr>
            </w:pPr>
          </w:p>
        </w:tc>
        <w:tc>
          <w:tcPr>
            <w:tcW w:w="1979" w:type="dxa"/>
          </w:tcPr>
          <w:p w:rsidR="008A3C94" w:rsidRPr="00B67CD8" w:rsidP="000E4AB2" w14:paraId="0B9BF91C" w14:textId="77777777">
            <w:pPr>
              <w:rPr>
                <w:sz w:val="22"/>
                <w:szCs w:val="22"/>
              </w:rPr>
            </w:pPr>
            <w:r w:rsidRPr="00B67CD8">
              <w:rPr>
                <w:sz w:val="22"/>
                <w:szCs w:val="22"/>
              </w:rPr>
              <w:t>SEDD includes all ED visits that did not result in a hospitalization from about 37 states. Data and access conditions vary across state. As of May 1, 2019, 22 states provided access to 2016 data and 11 states provided access to 2017 data.</w:t>
            </w:r>
          </w:p>
        </w:tc>
        <w:tc>
          <w:tcPr>
            <w:tcW w:w="1979" w:type="dxa"/>
          </w:tcPr>
          <w:p w:rsidR="008A3C94" w:rsidRPr="00B67CD8" w:rsidP="000E4AB2" w14:paraId="79B05420" w14:textId="77777777">
            <w:pPr>
              <w:rPr>
                <w:sz w:val="22"/>
                <w:szCs w:val="22"/>
              </w:rPr>
            </w:pPr>
            <w:r w:rsidRPr="00B67CD8">
              <w:rPr>
                <w:sz w:val="22"/>
                <w:szCs w:val="22"/>
              </w:rPr>
              <w:t xml:space="preserve">~ 2-3 years </w:t>
            </w:r>
          </w:p>
        </w:tc>
        <w:tc>
          <w:tcPr>
            <w:tcW w:w="1979" w:type="dxa"/>
          </w:tcPr>
          <w:p w:rsidR="008A3C94" w:rsidRPr="00B67CD8" w:rsidP="000E4AB2" w14:paraId="7C984F39" w14:textId="00300E97">
            <w:pPr>
              <w:rPr>
                <w:sz w:val="22"/>
                <w:szCs w:val="22"/>
              </w:rPr>
            </w:pPr>
            <w:r w:rsidRPr="00B67CD8">
              <w:rPr>
                <w:sz w:val="22"/>
                <w:szCs w:val="22"/>
              </w:rPr>
              <w:t xml:space="preserve">SEDD data are used to estimate the burden of ED visits related to violence by state. Only a subset of states provides public access to their data. </w:t>
            </w:r>
          </w:p>
        </w:tc>
        <w:tc>
          <w:tcPr>
            <w:tcW w:w="1979" w:type="dxa"/>
          </w:tcPr>
          <w:p w:rsidR="008A3C94" w:rsidRPr="00B67CD8" w:rsidP="008A3C94" w14:paraId="6B4334F8" w14:textId="70D6AA10">
            <w:pPr>
              <w:rPr>
                <w:sz w:val="22"/>
                <w:szCs w:val="22"/>
              </w:rPr>
            </w:pPr>
            <w:r w:rsidRPr="00B67CD8">
              <w:rPr>
                <w:sz w:val="22"/>
                <w:szCs w:val="22"/>
              </w:rPr>
              <w:t>AVERT data will be rapidly available (within 1-2 months of an ED visit) and can thus inform more rapid response to changes in local, state, and regional violent injuries.</w:t>
            </w:r>
          </w:p>
          <w:p w:rsidR="008A3C94" w:rsidRPr="00B67CD8" w:rsidP="008A3C94" w14:paraId="76470CBD" w14:textId="77777777">
            <w:pPr>
              <w:rPr>
                <w:sz w:val="22"/>
                <w:szCs w:val="22"/>
              </w:rPr>
            </w:pPr>
          </w:p>
          <w:p w:rsidR="008A3C94" w:rsidRPr="00B67CD8" w:rsidP="008A3C94" w14:paraId="5D564F25" w14:textId="2BD0EAA1">
            <w:pPr>
              <w:rPr>
                <w:sz w:val="22"/>
                <w:szCs w:val="22"/>
              </w:rPr>
            </w:pPr>
            <w:r w:rsidRPr="00B67CD8">
              <w:rPr>
                <w:sz w:val="22"/>
                <w:szCs w:val="22"/>
              </w:rPr>
              <w:t xml:space="preserve">AVERT will provide timelier and more comprehensive regional and national situational awareness of violence trends as more states will publicly report </w:t>
            </w:r>
            <w:r w:rsidRPr="00B67CD8">
              <w:rPr>
                <w:sz w:val="22"/>
                <w:szCs w:val="22"/>
              </w:rPr>
              <w:t>violence trends.</w:t>
            </w:r>
          </w:p>
        </w:tc>
      </w:tr>
      <w:tr w14:paraId="069346A2" w14:textId="77777777" w:rsidTr="008A3C94">
        <w:tblPrEx>
          <w:tblW w:w="9895" w:type="dxa"/>
          <w:tblInd w:w="0" w:type="dxa"/>
          <w:tblLayout w:type="fixed"/>
          <w:tblLook w:val="04A0"/>
        </w:tblPrEx>
        <w:trPr>
          <w:trHeight w:val="3320"/>
        </w:trPr>
        <w:tc>
          <w:tcPr>
            <w:tcW w:w="1979" w:type="dxa"/>
          </w:tcPr>
          <w:p w:rsidR="008A3C94" w:rsidRPr="00B67CD8" w:rsidP="008A3C94" w14:paraId="38B645D4" w14:textId="351A43A1">
            <w:pPr>
              <w:rPr>
                <w:sz w:val="22"/>
                <w:szCs w:val="22"/>
              </w:rPr>
            </w:pPr>
            <w:r w:rsidRPr="00B67CD8">
              <w:rPr>
                <w:sz w:val="22"/>
                <w:szCs w:val="22"/>
              </w:rPr>
              <w:t>National Electronic Injury Surveillance System –Firearm Injury Surveillance Study (NEISS-FISS) project conducted by CDC in collaboration with FDA and Consumer Product Safety Commission</w:t>
            </w:r>
            <w:r w:rsidRPr="00B67CD8" w:rsidR="006E1492">
              <w:rPr>
                <w:sz w:val="22"/>
                <w:szCs w:val="22"/>
              </w:rPr>
              <w:t xml:space="preserve"> </w:t>
            </w:r>
            <w:r w:rsidRPr="00B67CD8" w:rsidR="006E1492">
              <w:rPr>
                <w:sz w:val="22"/>
                <w:szCs w:val="22"/>
              </w:rPr>
              <w:fldChar w:fldCharType="begin" w:fldLock="1"/>
            </w:r>
            <w:r w:rsidR="00EF75DD">
              <w:rPr>
                <w:sz w:val="22"/>
                <w:szCs w:val="22"/>
              </w:rPr>
              <w:instrText>ADDIN CSL_CITATION {"citationItems":[{"id":"ITEM-1","itemData":{"URL":"https://www.icpsr.umich.edu/web/NACJD/series/198","id":"ITEM-1","issued":{"date-parts":[["0"]]},"title":"Additional Information on NEISS-FISS","type":"webpage"},"uris":["http://www.mendeley.com/documents/?uuid=5428b645-c73b-428b-95c6-76a0f6b1d66c"]}],"mendeley":{"formattedCitation":"(13)","plainTextFormattedCitation":"(13)","previouslyFormattedCitation":"(13)"},"properties":{"noteIndex":0},"schema":"https://github.com/citation-style-language/schema/raw/master/csl-citation.json"}</w:instrText>
            </w:r>
            <w:r w:rsidRPr="00B67CD8" w:rsidR="006E1492">
              <w:rPr>
                <w:sz w:val="22"/>
                <w:szCs w:val="22"/>
              </w:rPr>
              <w:fldChar w:fldCharType="separate"/>
            </w:r>
            <w:r w:rsidRPr="00D9046D" w:rsidR="00D9046D">
              <w:rPr>
                <w:noProof/>
                <w:sz w:val="22"/>
                <w:szCs w:val="22"/>
              </w:rPr>
              <w:t>(13)</w:t>
            </w:r>
            <w:r w:rsidRPr="00B67CD8" w:rsidR="006E1492">
              <w:rPr>
                <w:sz w:val="22"/>
                <w:szCs w:val="22"/>
              </w:rPr>
              <w:fldChar w:fldCharType="end"/>
            </w:r>
          </w:p>
        </w:tc>
        <w:tc>
          <w:tcPr>
            <w:tcW w:w="1979" w:type="dxa"/>
          </w:tcPr>
          <w:p w:rsidR="008A3C94" w:rsidRPr="00B67CD8" w:rsidP="000E4AB2" w14:paraId="43A1A9EF" w14:textId="599474E9">
            <w:pPr>
              <w:rPr>
                <w:sz w:val="22"/>
                <w:szCs w:val="22"/>
              </w:rPr>
            </w:pPr>
            <w:r w:rsidRPr="00B67CD8">
              <w:rPr>
                <w:sz w:val="22"/>
                <w:szCs w:val="22"/>
              </w:rPr>
              <w:t xml:space="preserve">NEISS-NFISS collects nationally representative data from a sample of under 100 hospitals and uses trained coders to conduct narrative reviews of medical records for firearm-related injury cases treated at participating hospitals.  </w:t>
            </w:r>
          </w:p>
          <w:p w:rsidR="008A3C94" w:rsidRPr="00B67CD8" w:rsidP="000E4AB2" w14:paraId="2C012073" w14:textId="77777777">
            <w:pPr>
              <w:rPr>
                <w:sz w:val="22"/>
                <w:szCs w:val="22"/>
              </w:rPr>
            </w:pPr>
          </w:p>
        </w:tc>
        <w:tc>
          <w:tcPr>
            <w:tcW w:w="1979" w:type="dxa"/>
          </w:tcPr>
          <w:p w:rsidR="008A3C94" w:rsidRPr="00B67CD8" w:rsidP="000E4AB2" w14:paraId="4246A176" w14:textId="77777777">
            <w:pPr>
              <w:rPr>
                <w:sz w:val="22"/>
                <w:szCs w:val="22"/>
              </w:rPr>
            </w:pPr>
            <w:r w:rsidRPr="00B67CD8">
              <w:rPr>
                <w:sz w:val="22"/>
                <w:szCs w:val="22"/>
              </w:rPr>
              <w:t>~1 to 2 years</w:t>
            </w:r>
          </w:p>
        </w:tc>
        <w:tc>
          <w:tcPr>
            <w:tcW w:w="1979" w:type="dxa"/>
          </w:tcPr>
          <w:p w:rsidR="008A3C94" w:rsidRPr="00B67CD8" w:rsidP="000E4AB2" w14:paraId="2AAD02DC" w14:textId="7399C938">
            <w:pPr>
              <w:rPr>
                <w:sz w:val="22"/>
                <w:szCs w:val="22"/>
              </w:rPr>
            </w:pPr>
            <w:r w:rsidRPr="00B67CD8">
              <w:rPr>
                <w:sz w:val="22"/>
                <w:szCs w:val="22"/>
              </w:rPr>
              <w:t xml:space="preserve">NEISS-NFISS data are used to estimate the national burden of ED visits related to firearm injuries. The system cannot make regional or state estimates and does not collect information other violence-related injuries or mental health conditions.  </w:t>
            </w:r>
          </w:p>
        </w:tc>
        <w:tc>
          <w:tcPr>
            <w:tcW w:w="1979" w:type="dxa"/>
          </w:tcPr>
          <w:p w:rsidR="008A3C94" w:rsidRPr="00B67CD8" w:rsidP="00546691" w14:paraId="4A538757" w14:textId="751B6EC7">
            <w:pPr>
              <w:rPr>
                <w:sz w:val="22"/>
                <w:szCs w:val="22"/>
              </w:rPr>
            </w:pPr>
            <w:r w:rsidRPr="00B67CD8">
              <w:rPr>
                <w:sz w:val="22"/>
                <w:szCs w:val="22"/>
              </w:rPr>
              <w:t xml:space="preserve">AVERT works to provide timely local and regional situational awareness of the violence upticks and trends in a timely manner. </w:t>
            </w:r>
          </w:p>
          <w:p w:rsidR="00546691" w:rsidRPr="00B67CD8" w:rsidP="00546691" w14:paraId="384406BF" w14:textId="77777777">
            <w:pPr>
              <w:rPr>
                <w:sz w:val="22"/>
                <w:szCs w:val="22"/>
              </w:rPr>
            </w:pPr>
          </w:p>
          <w:p w:rsidR="008A3C94" w:rsidRPr="00B67CD8" w:rsidP="00546691" w14:paraId="017BF125" w14:textId="14F28E26">
            <w:pPr>
              <w:rPr>
                <w:sz w:val="22"/>
                <w:szCs w:val="22"/>
              </w:rPr>
            </w:pPr>
            <w:r w:rsidRPr="00B67CD8">
              <w:rPr>
                <w:sz w:val="22"/>
                <w:szCs w:val="22"/>
              </w:rPr>
              <w:t xml:space="preserve">AVERT will capture information on additional violence-related injuries and mental health conditions. </w:t>
            </w:r>
          </w:p>
        </w:tc>
      </w:tr>
    </w:tbl>
    <w:p w:rsidR="00C977F3" w:rsidRPr="00B67CD8" w:rsidP="00C977F3" w14:paraId="5B095D33" w14:textId="77777777"/>
    <w:p w:rsidR="00C977F3" w:rsidRPr="00F77F01" w:rsidP="008A3C94" w14:paraId="410C2409" w14:textId="26763D1B">
      <w:r w:rsidRPr="00B67CD8">
        <w:t>As AVERT is implemented, DVP will communicate with other federal ED data collections to avoid duplication and identify opportunities for collaboration. Possible opportunities for collaboration include</w:t>
      </w:r>
      <w:r w:rsidRPr="00B67CD8" w:rsidR="008A3C94">
        <w:t xml:space="preserve"> c</w:t>
      </w:r>
      <w:r w:rsidRPr="00B67CD8">
        <w:t xml:space="preserve">omparisons of AVERT findings with </w:t>
      </w:r>
      <w:r w:rsidRPr="00B67CD8" w:rsidR="008A3C94">
        <w:t>HCUP, SEDS, and FISS</w:t>
      </w:r>
      <w:r w:rsidRPr="00B67CD8">
        <w:t xml:space="preserve"> findings in similar geographic areas or hospitals could help inform revisions and improvements in </w:t>
      </w:r>
      <w:r w:rsidRPr="00B67CD8" w:rsidR="008A3C94">
        <w:t>AVERT’s syndrome definitions of ED visits involving f</w:t>
      </w:r>
      <w:r w:rsidRPr="00B67CD8" w:rsidR="008A3C94">
        <w:rPr>
          <w:rFonts w:eastAsia="SimSun"/>
        </w:rPr>
        <w:t>irearm injuries (regardless of intent), other violence-related injuries, and mental health conditions</w:t>
      </w:r>
      <w:r w:rsidR="00FA5004">
        <w:rPr>
          <w:rFonts w:eastAsia="SimSun"/>
        </w:rPr>
        <w:t xml:space="preserve"> (</w:t>
      </w:r>
      <w:r w:rsidRPr="00F77F01" w:rsidR="00FA5004">
        <w:rPr>
          <w:rFonts w:eastAsia="SimSun"/>
          <w:b/>
          <w:bCs/>
          <w:u w:val="single"/>
        </w:rPr>
        <w:t>Attachment D</w:t>
      </w:r>
      <w:r w:rsidR="00FA5004">
        <w:rPr>
          <w:rFonts w:eastAsia="SimSun"/>
        </w:rPr>
        <w:t>)</w:t>
      </w:r>
      <w:r w:rsidRPr="00B67CD8" w:rsidR="008A3C94">
        <w:rPr>
          <w:rFonts w:eastAsia="SimSun"/>
        </w:rPr>
        <w:t xml:space="preserve">. </w:t>
      </w:r>
    </w:p>
    <w:p w:rsidR="00C977F3" w:rsidRPr="00B67CD8" w:rsidP="00C977F3" w14:paraId="09CF4311" w14:textId="77777777"/>
    <w:p w:rsidR="00972DEF" w:rsidRPr="00B67CD8" w:rsidP="00972DEF" w14:paraId="6ACA978B" w14:textId="3E0B2DE7">
      <w:pPr>
        <w:autoSpaceDE w:val="0"/>
        <w:autoSpaceDN w:val="0"/>
        <w:adjustRightInd w:val="0"/>
        <w:rPr>
          <w:b/>
          <w:bCs/>
        </w:rPr>
      </w:pPr>
      <w:r w:rsidRPr="00B67CD8">
        <w:rPr>
          <w:b/>
          <w:bCs/>
        </w:rPr>
        <w:t xml:space="preserve">A.5. Impact on Small Businesses or Other Small Entities </w:t>
      </w:r>
    </w:p>
    <w:p w:rsidR="00972DEF" w:rsidRPr="00B67CD8" w:rsidP="00972DEF" w14:paraId="17AD93B2" w14:textId="77777777">
      <w:pPr>
        <w:autoSpaceDE w:val="0"/>
        <w:autoSpaceDN w:val="0"/>
        <w:adjustRightInd w:val="0"/>
        <w:rPr>
          <w:b/>
          <w:bCs/>
        </w:rPr>
      </w:pPr>
    </w:p>
    <w:p w:rsidR="00464C69" w:rsidRPr="00B67CD8" w:rsidP="00513C2A" w14:paraId="55DE7F37" w14:textId="5E5A7238">
      <w:r w:rsidRPr="00B67CD8">
        <w:t>This data collection will not involve small businesses.</w:t>
      </w:r>
    </w:p>
    <w:p w:rsidR="00464C69" w:rsidRPr="00B67CD8" w:rsidP="00513C2A" w14:paraId="17F1A9C6" w14:textId="77777777"/>
    <w:p w:rsidR="00513C2A" w:rsidRPr="00F77F01" w:rsidP="00513C2A" w14:paraId="6A6BE8D5" w14:textId="19EC43CC">
      <w:r w:rsidRPr="00F77F01">
        <w:t xml:space="preserve">This study does not impact small businesses or other small entities.  It impacts state health departments and the District of Columbia whose ED records will be shared with CDC.  </w:t>
      </w:r>
    </w:p>
    <w:p w:rsidR="00972DEF" w:rsidRPr="00B67CD8" w:rsidP="00972DEF" w14:paraId="0DE4B5B7" w14:textId="77777777">
      <w:pPr>
        <w:autoSpaceDE w:val="0"/>
        <w:autoSpaceDN w:val="0"/>
        <w:adjustRightInd w:val="0"/>
        <w:rPr>
          <w:i/>
          <w:iCs/>
        </w:rPr>
      </w:pPr>
    </w:p>
    <w:p w:rsidR="00972DEF" w:rsidRPr="00B67CD8" w:rsidP="00972DEF" w14:paraId="4F31DBCC" w14:textId="7A042003">
      <w:pPr>
        <w:autoSpaceDE w:val="0"/>
        <w:autoSpaceDN w:val="0"/>
        <w:adjustRightInd w:val="0"/>
        <w:rPr>
          <w:b/>
          <w:bCs/>
        </w:rPr>
      </w:pPr>
      <w:r w:rsidRPr="00B67CD8">
        <w:rPr>
          <w:b/>
          <w:bCs/>
        </w:rPr>
        <w:t xml:space="preserve">A.6. Consequences of Collecting the Information Less Frequently </w:t>
      </w:r>
    </w:p>
    <w:p w:rsidR="008A3C94" w:rsidRPr="00B67CD8" w:rsidP="00972DEF" w14:paraId="0B4CFB05" w14:textId="77777777">
      <w:pPr>
        <w:autoSpaceDE w:val="0"/>
        <w:autoSpaceDN w:val="0"/>
        <w:adjustRightInd w:val="0"/>
        <w:rPr>
          <w:b/>
          <w:bCs/>
        </w:rPr>
      </w:pPr>
    </w:p>
    <w:p w:rsidR="00B762DC" w:rsidRPr="00B67CD8" w:rsidP="00B762DC" w14:paraId="6FB83A7C" w14:textId="6F45C5B0">
      <w:r w:rsidRPr="00B67CD8">
        <w:t xml:space="preserve">If </w:t>
      </w:r>
      <w:r w:rsidRPr="00B67CD8" w:rsidR="008A3C94">
        <w:t>AVERT</w:t>
      </w:r>
      <w:r w:rsidRPr="00B67CD8">
        <w:t xml:space="preserve"> collects data less frequently, the following adverse consequences will occur:</w:t>
      </w:r>
    </w:p>
    <w:p w:rsidR="002E5E78" w:rsidRPr="00B67CD8" w:rsidP="004D6497" w14:paraId="374B444C" w14:textId="21AFD8F4">
      <w:pPr>
        <w:pStyle w:val="ListParagraph"/>
        <w:numPr>
          <w:ilvl w:val="0"/>
          <w:numId w:val="17"/>
        </w:numPr>
        <w:rPr>
          <w:bCs/>
        </w:rPr>
      </w:pPr>
      <w:r w:rsidRPr="00B67CD8">
        <w:rPr>
          <w:bCs/>
        </w:rPr>
        <w:t>Federal and state governmental situational awareness of</w:t>
      </w:r>
      <w:r w:rsidRPr="00B67CD8">
        <w:rPr>
          <w:bCs/>
        </w:rPr>
        <w:t xml:space="preserve"> trends in violence-related ED visits will be substantially slowed. This will erode the ability of federal agencies and state health departments to rapidly respond to upticks or shifts in violence. Without bimonthly national data sharing between participating health departments and CDC through AVERT, implementation of public health interventions will lag. </w:t>
      </w:r>
    </w:p>
    <w:p w:rsidR="002E5E78" w:rsidRPr="00B67CD8" w:rsidP="004D6497" w14:paraId="24A00CE3" w14:textId="2A8F4EF9">
      <w:pPr>
        <w:pStyle w:val="ListParagraph"/>
        <w:numPr>
          <w:ilvl w:val="0"/>
          <w:numId w:val="17"/>
        </w:numPr>
        <w:rPr>
          <w:bCs/>
        </w:rPr>
      </w:pPr>
      <w:r w:rsidRPr="00B67CD8">
        <w:rPr>
          <w:bCs/>
        </w:rPr>
        <w:t xml:space="preserve">Public situational awareness on changes in firearm injuries, violence-related injuries, and </w:t>
      </w:r>
      <w:r w:rsidRPr="00B67CD8" w:rsidR="00F954D2">
        <w:rPr>
          <w:bCs/>
        </w:rPr>
        <w:t xml:space="preserve">mental health conditions will be substantially slowed. This may slow intervention efforts by non-governmental organizations and citizens. Currently, limited timely local and state data are available on fatal and nonfatal firearm injuries, violence-related injuries, and mental health conditions. The National Center for Health Statistics publishes </w:t>
      </w:r>
      <w:r w:rsidRPr="00B67CD8" w:rsidR="00F31EDE">
        <w:rPr>
          <w:bCs/>
        </w:rPr>
        <w:t>provisional</w:t>
      </w:r>
      <w:r w:rsidRPr="00B67CD8" w:rsidR="00F954D2">
        <w:rPr>
          <w:bCs/>
        </w:rPr>
        <w:t xml:space="preserve"> death data </w:t>
      </w:r>
      <w:r w:rsidRPr="00B67CD8" w:rsidR="00F31EDE">
        <w:rPr>
          <w:bCs/>
        </w:rPr>
        <w:t xml:space="preserve">on firearm-related injuries </w:t>
      </w:r>
      <w:r w:rsidRPr="00B67CD8" w:rsidR="00F954D2">
        <w:rPr>
          <w:bCs/>
        </w:rPr>
        <w:t>from death certificates with a 7-month delay</w:t>
      </w:r>
      <w:r w:rsidRPr="00B67CD8" w:rsidR="006E1492">
        <w:rPr>
          <w:bCs/>
        </w:rPr>
        <w:t xml:space="preserve"> </w:t>
      </w:r>
      <w:r w:rsidRPr="00B67CD8" w:rsidR="006E1492">
        <w:rPr>
          <w:bCs/>
        </w:rPr>
        <w:fldChar w:fldCharType="begin" w:fldLock="1"/>
      </w:r>
      <w:r w:rsidR="00EF75DD">
        <w:rPr>
          <w:bCs/>
        </w:rPr>
        <w:instrText>ADDIN CSL_CITATION {"citationItems":[{"id":"ITEM-1","itemData":{"URL":"https://wonder.cdc.gov/","author":[{"dropping-particle":"","family":"Centers for Disease Control and Prevention","given":"","non-dropping-particle":"","parse-names":false,"suffix":""}],"id":"ITEM-1","issued":{"date-parts":[["2022"]]},"title":"CDC Wonder","type":"webpage"},"uris":["http://www.mendeley.com/documents/?uuid=d8695f35-4cf8-4ee9-a028-be66ff4577d5"]}],"mendeley":{"formattedCitation":"(14)","plainTextFormattedCitation":"(14)","previouslyFormattedCitation":"(14)"},"properties":{"noteIndex":0},"schema":"https://github.com/citation-style-language/schema/raw/master/csl-citation.json"}</w:instrText>
      </w:r>
      <w:r w:rsidRPr="00B67CD8" w:rsidR="006E1492">
        <w:rPr>
          <w:bCs/>
        </w:rPr>
        <w:fldChar w:fldCharType="separate"/>
      </w:r>
      <w:r w:rsidRPr="00D9046D" w:rsidR="00D9046D">
        <w:rPr>
          <w:bCs/>
          <w:noProof/>
        </w:rPr>
        <w:t>(14)</w:t>
      </w:r>
      <w:r w:rsidRPr="00B67CD8" w:rsidR="006E1492">
        <w:rPr>
          <w:bCs/>
        </w:rPr>
        <w:fldChar w:fldCharType="end"/>
      </w:r>
      <w:r w:rsidRPr="00B67CD8" w:rsidR="00F954D2">
        <w:rPr>
          <w:bCs/>
        </w:rPr>
        <w:t xml:space="preserve">. These data, however, are only available at the state-level, reports </w:t>
      </w:r>
      <w:r w:rsidRPr="00B67CD8" w:rsidR="00F31EDE">
        <w:rPr>
          <w:bCs/>
        </w:rPr>
        <w:t xml:space="preserve">a 12-month rolling average which will </w:t>
      </w:r>
      <w:r w:rsidRPr="00B67CD8" w:rsidR="00F31EDE">
        <w:rPr>
          <w:bCs/>
        </w:rPr>
        <w:t>be slow to detect change, and does not provide any information by demographic groups. National and state hospital discharge data on ED visits for violence-related injuries is available from the HCUP, with a 2–3-year delay and it is not available for all states</w:t>
      </w:r>
      <w:r w:rsidRPr="00B67CD8" w:rsidR="006E1492">
        <w:rPr>
          <w:bCs/>
        </w:rPr>
        <w:t xml:space="preserve"> </w:t>
      </w:r>
      <w:r w:rsidRPr="00B67CD8" w:rsidR="006E1492">
        <w:rPr>
          <w:bCs/>
        </w:rPr>
        <w:fldChar w:fldCharType="begin" w:fldLock="1"/>
      </w:r>
      <w:r w:rsidR="00EF75DD">
        <w:rPr>
          <w:bCs/>
        </w:rPr>
        <w:instrText>ADDIN CSL_CITATION {"citationItems":[{"id":"ITEM-1","itemData":{"URL":"https://www.hcup-us.ahrq.gov/nedsoverview.jsp.","id":"ITEM-1","issued":{"date-parts":[["0"]]},"title":"Additional Information on NEDS","type":"webpage"},"uris":["http://www.mendeley.com/documents/?uuid=3e080580-d0cb-40fd-82b6-888b4be3f6d0"]}],"mendeley":{"formattedCitation":"(11)","plainTextFormattedCitation":"(11)","previouslyFormattedCitation":"(11)"},"properties":{"noteIndex":0},"schema":"https://github.com/citation-style-language/schema/raw/master/csl-citation.json"}</w:instrText>
      </w:r>
      <w:r w:rsidRPr="00B67CD8" w:rsidR="006E1492">
        <w:rPr>
          <w:bCs/>
        </w:rPr>
        <w:fldChar w:fldCharType="separate"/>
      </w:r>
      <w:r w:rsidRPr="00D9046D" w:rsidR="00D9046D">
        <w:rPr>
          <w:bCs/>
          <w:noProof/>
        </w:rPr>
        <w:t>(11)</w:t>
      </w:r>
      <w:r w:rsidRPr="00B67CD8" w:rsidR="006E1492">
        <w:rPr>
          <w:bCs/>
        </w:rPr>
        <w:fldChar w:fldCharType="end"/>
      </w:r>
      <w:r w:rsidRPr="00B67CD8" w:rsidR="00F31EDE">
        <w:rPr>
          <w:bCs/>
        </w:rPr>
        <w:t xml:space="preserve">. </w:t>
      </w:r>
      <w:r w:rsidRPr="00B67CD8" w:rsidR="00F954D2">
        <w:rPr>
          <w:bCs/>
        </w:rPr>
        <w:t xml:space="preserve"> </w:t>
      </w:r>
    </w:p>
    <w:p w:rsidR="00B762DC" w:rsidRPr="00B67CD8" w:rsidP="004D6497" w14:paraId="69D24A18" w14:textId="7E843345">
      <w:pPr>
        <w:pStyle w:val="ListParagraph"/>
        <w:numPr>
          <w:ilvl w:val="0"/>
          <w:numId w:val="17"/>
        </w:numPr>
        <w:rPr>
          <w:b/>
          <w:bCs/>
        </w:rPr>
      </w:pPr>
      <w:r w:rsidRPr="00B67CD8">
        <w:rPr>
          <w:bCs/>
        </w:rPr>
        <w:t xml:space="preserve">Local health department surveillance and response to </w:t>
      </w:r>
      <w:r w:rsidRPr="00B67CD8" w:rsidR="00F31EDE">
        <w:rPr>
          <w:bCs/>
        </w:rPr>
        <w:t xml:space="preserve">firearm injuries, other violence-related injuries, and mental health conditions would be diminished. First, there would be a longer time lag in local health departments learning about how their locality’s trends in violence align within their state- or regional- trends. Second, AVERT reporting is accompanied by data quality efforts. </w:t>
      </w:r>
      <w:r w:rsidRPr="00B67CD8">
        <w:rPr>
          <w:bCs/>
        </w:rPr>
        <w:t xml:space="preserve">Reducing the frequency of these data quality efforts would likely lead to less timely and effective identification of data quality problems that could diminish the ability of a local health department to accurately detect </w:t>
      </w:r>
      <w:r w:rsidRPr="00B67CD8" w:rsidR="00F31EDE">
        <w:rPr>
          <w:bCs/>
        </w:rPr>
        <w:t>upticks in violence</w:t>
      </w:r>
      <w:r w:rsidRPr="00B67CD8">
        <w:rPr>
          <w:bCs/>
        </w:rPr>
        <w:t xml:space="preserve">.  </w:t>
      </w:r>
    </w:p>
    <w:p w:rsidR="00972DEF" w:rsidRPr="00B67CD8" w:rsidP="00972DEF" w14:paraId="66204FF1" w14:textId="77777777">
      <w:pPr>
        <w:autoSpaceDE w:val="0"/>
        <w:autoSpaceDN w:val="0"/>
        <w:adjustRightInd w:val="0"/>
      </w:pPr>
    </w:p>
    <w:p w:rsidR="00972DEF" w:rsidRPr="00B67CD8" w:rsidP="00972DEF" w14:paraId="79E7C183" w14:textId="597928F0">
      <w:pPr>
        <w:autoSpaceDE w:val="0"/>
        <w:autoSpaceDN w:val="0"/>
        <w:adjustRightInd w:val="0"/>
      </w:pPr>
      <w:r w:rsidRPr="00B67CD8">
        <w:rPr>
          <w:b/>
          <w:bCs/>
        </w:rPr>
        <w:t>A.7. Special Circumstances Relating to the Guidelines of 5 CFR 1320.5</w:t>
      </w:r>
    </w:p>
    <w:p w:rsidR="00972DEF" w:rsidRPr="00B67CD8" w:rsidP="00972DEF" w14:paraId="2DBF0D7D" w14:textId="77777777">
      <w:pPr>
        <w:autoSpaceDE w:val="0"/>
        <w:autoSpaceDN w:val="0"/>
        <w:adjustRightInd w:val="0"/>
      </w:pPr>
    </w:p>
    <w:p w:rsidR="00EA2FDE" w:rsidRPr="00B67CD8" w:rsidP="00EA2FDE" w14:paraId="3A77F95C" w14:textId="69933FEF">
      <w:pPr>
        <w:rPr>
          <w:bCs/>
        </w:rPr>
      </w:pPr>
      <w:r w:rsidRPr="00B67CD8">
        <w:t xml:space="preserve">This data collection will require </w:t>
      </w:r>
      <w:r w:rsidRPr="00B67CD8" w:rsidR="00F31EDE">
        <w:t>bimonthly</w:t>
      </w:r>
      <w:r w:rsidRPr="00B67CD8">
        <w:t xml:space="preserve"> reporting of aggregate ED data on</w:t>
      </w:r>
      <w:r w:rsidRPr="00B67CD8" w:rsidR="00F31EDE">
        <w:t xml:space="preserve"> firearm injuries (regardless of intent), other violence-related injuries, and mental health conditions </w:t>
      </w:r>
      <w:r w:rsidRPr="00B67CD8">
        <w:t xml:space="preserve">using the </w:t>
      </w:r>
      <w:r w:rsidRPr="00B67CD8" w:rsidR="001C11B6">
        <w:rPr>
          <w:i/>
          <w:lang w:val="en"/>
        </w:rPr>
        <w:t>ED violence</w:t>
      </w:r>
      <w:r w:rsidRPr="00B67CD8">
        <w:rPr>
          <w:i/>
          <w:lang w:val="en"/>
        </w:rPr>
        <w:t xml:space="preserve"> data form</w:t>
      </w:r>
      <w:r w:rsidRPr="00B67CD8">
        <w:t xml:space="preserve">. This is more rapid than quarterly data sharing recommended by OMB. </w:t>
      </w:r>
      <w:r w:rsidRPr="00B67CD8" w:rsidR="00F31EDE">
        <w:t>Bimonthly</w:t>
      </w:r>
      <w:r w:rsidRPr="00B67CD8">
        <w:t xml:space="preserve"> sharing of ED data is critical to fulfill the mission of </w:t>
      </w:r>
      <w:r w:rsidRPr="00B67CD8" w:rsidR="00F31EDE">
        <w:t>AVERT</w:t>
      </w:r>
      <w:r w:rsidRPr="00B67CD8">
        <w:t xml:space="preserve">, </w:t>
      </w:r>
      <w:r w:rsidRPr="00B67CD8" w:rsidR="00F31EDE">
        <w:t xml:space="preserve">which is to detect and respond to upticks or shifts in violence trends in a timely manner. </w:t>
      </w:r>
      <w:r w:rsidRPr="00B67CD8">
        <w:rPr>
          <w:bCs/>
        </w:rPr>
        <w:t xml:space="preserve">Without </w:t>
      </w:r>
      <w:r w:rsidRPr="00B67CD8" w:rsidR="00F31EDE">
        <w:rPr>
          <w:bCs/>
        </w:rPr>
        <w:t>bimonthly</w:t>
      </w:r>
      <w:r w:rsidRPr="00B67CD8">
        <w:rPr>
          <w:bCs/>
        </w:rPr>
        <w:t xml:space="preserve"> national data sharing between participating health departments and CDC through </w:t>
      </w:r>
      <w:r w:rsidRPr="00B67CD8" w:rsidR="00F31EDE">
        <w:rPr>
          <w:bCs/>
        </w:rPr>
        <w:t>AVERT</w:t>
      </w:r>
      <w:r w:rsidRPr="00B67CD8">
        <w:rPr>
          <w:bCs/>
        </w:rPr>
        <w:t xml:space="preserve">, </w:t>
      </w:r>
      <w:r w:rsidRPr="00B67CD8" w:rsidR="00F31EDE">
        <w:rPr>
          <w:bCs/>
        </w:rPr>
        <w:t>response and violence prevention efforts</w:t>
      </w:r>
      <w:r w:rsidRPr="00B67CD8">
        <w:rPr>
          <w:bCs/>
        </w:rPr>
        <w:t xml:space="preserve"> will continue to fall far behind.</w:t>
      </w:r>
    </w:p>
    <w:p w:rsidR="00EA2FDE" w:rsidRPr="00B67CD8" w:rsidP="00EA2FDE" w14:paraId="27A6042F" w14:textId="77777777"/>
    <w:p w:rsidR="00EA2FDE" w:rsidRPr="00B67CD8" w:rsidP="00EA2FDE" w14:paraId="26FB36AC" w14:textId="5E8F051F">
      <w:r w:rsidRPr="00B67CD8">
        <w:t>AVERT</w:t>
      </w:r>
      <w:r w:rsidRPr="00B67CD8">
        <w:t xml:space="preserve"> works to mitigate the burden of </w:t>
      </w:r>
      <w:r w:rsidRPr="00B67CD8">
        <w:t>bimonthly</w:t>
      </w:r>
      <w:r w:rsidRPr="00B67CD8">
        <w:t xml:space="preserve"> reporting on participating health departments by:</w:t>
      </w:r>
    </w:p>
    <w:p w:rsidR="00EA2FDE" w:rsidRPr="00F77F01" w:rsidP="004D6497" w14:paraId="0E6D35C9" w14:textId="072EE7CD">
      <w:pPr>
        <w:pStyle w:val="ListParagraph"/>
        <w:numPr>
          <w:ilvl w:val="0"/>
          <w:numId w:val="16"/>
        </w:numPr>
      </w:pPr>
      <w:r w:rsidRPr="00B67CD8">
        <w:t xml:space="preserve">Providing funding to participating health departments to offset burden related to completing required data sharing form, the </w:t>
      </w:r>
      <w:r w:rsidRPr="00B67CD8" w:rsidR="001C11B6">
        <w:rPr>
          <w:i/>
          <w:lang w:val="en"/>
        </w:rPr>
        <w:t>ED violence</w:t>
      </w:r>
      <w:r w:rsidRPr="00B67CD8">
        <w:rPr>
          <w:i/>
          <w:lang w:val="en"/>
        </w:rPr>
        <w:t xml:space="preserve"> data form</w:t>
      </w:r>
      <w:r w:rsidRPr="00B67CD8">
        <w:t xml:space="preserve">, on a </w:t>
      </w:r>
      <w:r w:rsidRPr="00B67CD8" w:rsidR="00F31EDE">
        <w:t>bi</w:t>
      </w:r>
      <w:r w:rsidRPr="00B67CD8">
        <w:t xml:space="preserve">monthly </w:t>
      </w:r>
      <w:r w:rsidRPr="00B67CD8" w:rsidR="00F31EDE">
        <w:t xml:space="preserve">basis. </w:t>
      </w:r>
    </w:p>
    <w:p w:rsidR="00EA2FDE" w:rsidRPr="00F77F01" w:rsidP="004D6497" w14:paraId="542F9B81" w14:textId="17D14AA0">
      <w:pPr>
        <w:pStyle w:val="ListParagraph"/>
        <w:numPr>
          <w:ilvl w:val="0"/>
          <w:numId w:val="16"/>
        </w:numPr>
      </w:pPr>
      <w:r w:rsidRPr="00B67CD8">
        <w:t>Providing substantial technical assistance to participating health departments in completing reports. This includes</w:t>
      </w:r>
      <w:r w:rsidRPr="00B67CD8" w:rsidR="00F31EDE">
        <w:t xml:space="preserve"> </w:t>
      </w:r>
      <w:r w:rsidRPr="00B67CD8">
        <w:t xml:space="preserve">CDC staff completing the </w:t>
      </w:r>
      <w:r w:rsidRPr="00B67CD8" w:rsidR="001C11B6">
        <w:rPr>
          <w:i/>
          <w:lang w:val="en"/>
        </w:rPr>
        <w:t>ED violence</w:t>
      </w:r>
      <w:r w:rsidRPr="00B67CD8">
        <w:rPr>
          <w:i/>
          <w:lang w:val="en"/>
        </w:rPr>
        <w:t xml:space="preserve"> data form</w:t>
      </w:r>
      <w:r w:rsidRPr="00B67CD8">
        <w:t xml:space="preserve"> </w:t>
      </w:r>
      <w:r w:rsidRPr="00B67CD8">
        <w:t xml:space="preserve">each month for the estimated </w:t>
      </w:r>
      <w:r w:rsidRPr="00B67CD8" w:rsidR="00F31EDE">
        <w:t>10</w:t>
      </w:r>
      <w:r w:rsidRPr="00B67CD8">
        <w:t xml:space="preserve"> health departments sharing case-level ED with CDC through NSSP </w:t>
      </w:r>
      <w:r w:rsidRPr="00B67CD8">
        <w:t>BioSense</w:t>
      </w:r>
      <w:r w:rsidRPr="00B67CD8">
        <w:t>.</w:t>
      </w:r>
    </w:p>
    <w:p w:rsidR="00EA2FDE" w:rsidRPr="00F77F01" w:rsidP="00EA2FDE" w14:paraId="23D7AD65" w14:textId="77777777">
      <w:pPr>
        <w:rPr>
          <w:b/>
          <w:bCs/>
        </w:rPr>
      </w:pPr>
    </w:p>
    <w:p w:rsidR="00972DEF" w:rsidRPr="00B67CD8" w:rsidP="00972DEF" w14:paraId="66CE8692" w14:textId="2607F652">
      <w:pPr>
        <w:autoSpaceDE w:val="0"/>
        <w:autoSpaceDN w:val="0"/>
        <w:adjustRightInd w:val="0"/>
        <w:rPr>
          <w:b/>
          <w:bCs/>
        </w:rPr>
      </w:pPr>
      <w:r w:rsidRPr="00B67CD8">
        <w:rPr>
          <w:b/>
          <w:bCs/>
        </w:rPr>
        <w:t xml:space="preserve">A.8. Comments in Response to the Federal Register Notice and Efforts to Consult </w:t>
      </w:r>
      <w:r w:rsidRPr="00B67CD8">
        <w:rPr>
          <w:b/>
          <w:bCs/>
        </w:rPr>
        <w:tab/>
        <w:t xml:space="preserve">Outside the Agency </w:t>
      </w:r>
    </w:p>
    <w:p w:rsidR="00972DEF" w:rsidRPr="00B67CD8" w:rsidP="00972DEF" w14:paraId="02F2C34E" w14:textId="77777777">
      <w:pPr>
        <w:autoSpaceDE w:val="0"/>
        <w:autoSpaceDN w:val="0"/>
        <w:adjustRightInd w:val="0"/>
      </w:pPr>
    </w:p>
    <w:p w:rsidR="00405CC1" w:rsidRPr="00B67CD8" w:rsidP="00972DEF" w14:paraId="0733D118" w14:textId="77777777">
      <w:pPr>
        <w:rPr>
          <w:b/>
          <w:noProof/>
        </w:rPr>
      </w:pPr>
      <w:r w:rsidRPr="00B67CD8">
        <w:rPr>
          <w:b/>
        </w:rPr>
        <w:t>A.8.a)</w:t>
      </w:r>
      <w:r w:rsidRPr="00B67CD8">
        <w:rPr>
          <w:b/>
        </w:rPr>
        <w:tab/>
      </w:r>
      <w:r w:rsidRPr="00B67CD8" w:rsidR="0049057C">
        <w:rPr>
          <w:b/>
          <w:noProof/>
        </w:rPr>
        <w:t>Federal Register Notice</w:t>
      </w:r>
    </w:p>
    <w:p w:rsidR="007A69AB" w:rsidRPr="00B67CD8" w:rsidP="00FB1045" w14:paraId="21B5D16F" w14:textId="77777777"/>
    <w:p w:rsidR="00FB1045" w:rsidRPr="00B67CD8" w:rsidP="00FB1045" w14:paraId="3AF66999" w14:textId="4EDCA423">
      <w:r w:rsidRPr="00B67CD8">
        <w:t xml:space="preserve">A 60-day Federal Register Notice was published in the Federal Register on </w:t>
      </w:r>
      <w:r w:rsidRPr="00B67CD8" w:rsidR="000A4F24">
        <w:t>March 24 ,2023</w:t>
      </w:r>
      <w:r w:rsidRPr="00B67CD8">
        <w:t xml:space="preserve"> vol. </w:t>
      </w:r>
      <w:r w:rsidRPr="00B67CD8" w:rsidR="00DF5BD7">
        <w:t>88</w:t>
      </w:r>
      <w:r w:rsidRPr="00B67CD8">
        <w:t xml:space="preserve"> No. </w:t>
      </w:r>
      <w:r w:rsidRPr="00B67CD8" w:rsidR="00DF5BD7">
        <w:t>57</w:t>
      </w:r>
      <w:r w:rsidRPr="00B67CD8">
        <w:t xml:space="preserve">, pp. </w:t>
      </w:r>
      <w:r w:rsidRPr="00B67CD8" w:rsidR="00DF5BD7">
        <w:t>17850</w:t>
      </w:r>
      <w:r w:rsidRPr="00B67CD8">
        <w:t xml:space="preserve"> (</w:t>
      </w:r>
      <w:r w:rsidRPr="00F77F01">
        <w:rPr>
          <w:b/>
          <w:bCs/>
          <w:u w:val="single"/>
        </w:rPr>
        <w:t>Attachment B</w:t>
      </w:r>
      <w:r w:rsidRPr="00B67CD8">
        <w:t>). There w</w:t>
      </w:r>
      <w:r w:rsidRPr="00B67CD8" w:rsidR="00DF5BD7">
        <w:t xml:space="preserve">as one non-substantive </w:t>
      </w:r>
      <w:r w:rsidRPr="00B67CD8">
        <w:t xml:space="preserve">comment to the </w:t>
      </w:r>
      <w:r w:rsidRPr="00B67CD8" w:rsidR="003F647A">
        <w:t>60-day Federal Register Notice</w:t>
      </w:r>
      <w:r w:rsidR="00FA5004">
        <w:t xml:space="preserve"> </w:t>
      </w:r>
      <w:r w:rsidRPr="00B67CD8" w:rsidR="00DF5BD7">
        <w:t>(</w:t>
      </w:r>
      <w:r w:rsidRPr="00F77F01" w:rsidR="00DF5BD7">
        <w:rPr>
          <w:b/>
          <w:bCs/>
          <w:u w:val="single"/>
        </w:rPr>
        <w:t>Attachment B1</w:t>
      </w:r>
      <w:r w:rsidRPr="00B67CD8" w:rsidR="00DF5BD7">
        <w:t>)</w:t>
      </w:r>
      <w:r w:rsidR="00FA5004">
        <w:t>.</w:t>
      </w:r>
    </w:p>
    <w:p w:rsidR="00405CC1" w:rsidRPr="00B67CD8" w:rsidP="00972DEF" w14:paraId="680A4E5D" w14:textId="77777777"/>
    <w:p w:rsidR="00972DEF" w:rsidRPr="00B67CD8" w:rsidP="00972DEF" w14:paraId="31FBAF02" w14:textId="4847D143">
      <w:pPr>
        <w:rPr>
          <w:b/>
          <w:noProof/>
        </w:rPr>
      </w:pPr>
      <w:r w:rsidRPr="00B67CD8">
        <w:rPr>
          <w:b/>
        </w:rPr>
        <w:t xml:space="preserve">A.8.b) </w:t>
      </w:r>
      <w:r w:rsidRPr="00B67CD8" w:rsidR="0049057C">
        <w:rPr>
          <w:b/>
          <w:noProof/>
        </w:rPr>
        <w:t>Efforts to Consult Outside the Agency</w:t>
      </w:r>
    </w:p>
    <w:p w:rsidR="00F31EDE" w:rsidRPr="00B67CD8" w:rsidP="00972DEF" w14:paraId="0633E3B1" w14:textId="77777777">
      <w:pPr>
        <w:rPr>
          <w:b/>
        </w:rPr>
      </w:pPr>
    </w:p>
    <w:p w:rsidR="008E52F5" w:rsidRPr="00F77F01" w:rsidP="00F31EDE" w14:paraId="0BAF2768" w14:textId="08CA3C03">
      <w:pPr>
        <w:tabs>
          <w:tab w:val="left" w:pos="0"/>
        </w:tabs>
      </w:pPr>
      <w:r w:rsidRPr="00F77F01">
        <w:t>NCIPC’s DVP</w:t>
      </w:r>
      <w:r w:rsidRPr="00F77F01">
        <w:t xml:space="preserve"> is currently receiving feedback from state public health departments and the District of Columbia on improving rapid ED surveillance of </w:t>
      </w:r>
      <w:r w:rsidRPr="00F77F01">
        <w:t>firearm injuries (regardless of intent), other violence-related violent injuries, and mental health conditions</w:t>
      </w:r>
      <w:r w:rsidRPr="00F77F01">
        <w:t>.</w:t>
      </w:r>
      <w:r w:rsidRPr="00F77F01">
        <w:t xml:space="preserve"> NCIPC’s DVP also consulted with NCIPC’s </w:t>
      </w:r>
      <w:r w:rsidRPr="00F77F01" w:rsidR="00C00CFD">
        <w:t>Division of Overdose Prevention (DOP)</w:t>
      </w:r>
      <w:r w:rsidRPr="00F77F01">
        <w:t xml:space="preserve"> and D</w:t>
      </w:r>
      <w:r w:rsidRPr="00F77F01" w:rsidR="00C00CFD">
        <w:t>ivision of Injury Prevention (DIP)</w:t>
      </w:r>
      <w:r w:rsidRPr="00F77F01">
        <w:t>, and CSELS</w:t>
      </w:r>
      <w:r w:rsidRPr="00F77F01" w:rsidR="00C00CFD">
        <w:t>’s DHIS</w:t>
      </w:r>
      <w:r w:rsidRPr="00F77F01">
        <w:t xml:space="preserve">, to learn from and avoid duplication with other federal </w:t>
      </w:r>
      <w:r w:rsidRPr="00F77F01">
        <w:t>government efforts to collect data on ED visits related to violence</w:t>
      </w:r>
      <w:r w:rsidRPr="00F77F01">
        <w:t xml:space="preserve"> (</w:t>
      </w:r>
      <w:r w:rsidRPr="00B67CD8">
        <w:t xml:space="preserve">mentioned previously </w:t>
      </w:r>
      <w:r w:rsidRPr="00B67CD8" w:rsidR="00C62F07">
        <w:t>in</w:t>
      </w:r>
      <w:r w:rsidRPr="00B67CD8">
        <w:t xml:space="preserve"> </w:t>
      </w:r>
      <w:r w:rsidRPr="00B67CD8">
        <w:rPr>
          <w:i/>
        </w:rPr>
        <w:t>A</w:t>
      </w:r>
      <w:r w:rsidRPr="00B67CD8" w:rsidR="00C62F07">
        <w:rPr>
          <w:i/>
        </w:rPr>
        <w:t>.</w:t>
      </w:r>
      <w:r w:rsidRPr="00B67CD8">
        <w:rPr>
          <w:i/>
        </w:rPr>
        <w:t>4.</w:t>
      </w:r>
      <w:r w:rsidRPr="00F77F01">
        <w:rPr>
          <w:i/>
        </w:rPr>
        <w:t>Efforts to Identify Duplication and Use of Similar Information</w:t>
      </w:r>
      <w:r w:rsidRPr="00F77F01">
        <w:t>)</w:t>
      </w:r>
      <w:r w:rsidRPr="00F77F01">
        <w:t xml:space="preserve">. </w:t>
      </w:r>
    </w:p>
    <w:p w:rsidR="00FE41B7" w:rsidRPr="00B67CD8" w:rsidP="00C45252" w14:paraId="19219836" w14:textId="77777777">
      <w:pPr>
        <w:rPr>
          <w:b/>
          <w:bCs/>
        </w:rPr>
      </w:pPr>
    </w:p>
    <w:p w:rsidR="00FA3DA1" w:rsidRPr="00B67CD8" w:rsidP="00FA3DA1" w14:paraId="76F5E642" w14:textId="77777777">
      <w:pPr>
        <w:rPr>
          <w:b/>
          <w:bCs/>
        </w:rPr>
      </w:pPr>
      <w:r w:rsidRPr="00B67CD8">
        <w:rPr>
          <w:b/>
          <w:bCs/>
        </w:rPr>
        <w:t xml:space="preserve">A.9. Explanation of Any Payment or Gift to Respondents </w:t>
      </w:r>
    </w:p>
    <w:p w:rsidR="00FA3DA1" w:rsidRPr="00B67CD8" w:rsidP="00FA3DA1" w14:paraId="75441BF8" w14:textId="77777777">
      <w:pPr>
        <w:rPr>
          <w:b/>
          <w:bCs/>
        </w:rPr>
      </w:pPr>
    </w:p>
    <w:p w:rsidR="006258F5" w:rsidRPr="00B67CD8" w:rsidP="00FA3DA1" w14:paraId="4613939F" w14:textId="40220C71">
      <w:pPr>
        <w:rPr>
          <w:b/>
          <w:bCs/>
        </w:rPr>
      </w:pPr>
      <w:r w:rsidRPr="00B67CD8">
        <w:t xml:space="preserve">Public agencies (i.e., the respondents) will not receive payments or gifts for providing information. </w:t>
      </w:r>
    </w:p>
    <w:p w:rsidR="00F7286B" w:rsidRPr="00B67CD8" w:rsidP="00972DEF" w14:paraId="7194DBDC" w14:textId="77777777"/>
    <w:p w:rsidR="008A1A86" w:rsidRPr="00B67CD8" w:rsidP="00FA3DA1" w14:paraId="64A0DFFB" w14:textId="050FDEC3">
      <w:pPr>
        <w:autoSpaceDE w:val="0"/>
        <w:autoSpaceDN w:val="0"/>
        <w:adjustRightInd w:val="0"/>
      </w:pPr>
      <w:r w:rsidRPr="00B67CD8">
        <w:rPr>
          <w:b/>
          <w:bCs/>
        </w:rPr>
        <w:t xml:space="preserve">A.10. </w:t>
      </w:r>
      <w:r w:rsidRPr="00B67CD8" w:rsidR="00053C31">
        <w:rPr>
          <w:b/>
          <w:bCs/>
        </w:rPr>
        <w:t>Protection of the</w:t>
      </w:r>
      <w:r w:rsidRPr="00B67CD8" w:rsidR="00FA3DA1">
        <w:rPr>
          <w:b/>
          <w:bCs/>
        </w:rPr>
        <w:t xml:space="preserve"> </w:t>
      </w:r>
      <w:r w:rsidRPr="00B67CD8" w:rsidR="00053C31">
        <w:rPr>
          <w:b/>
          <w:bCs/>
        </w:rPr>
        <w:t>Privacy</w:t>
      </w:r>
      <w:r w:rsidRPr="00B67CD8" w:rsidR="00FA3DA1">
        <w:rPr>
          <w:b/>
          <w:bCs/>
        </w:rPr>
        <w:t xml:space="preserve"> </w:t>
      </w:r>
      <w:r w:rsidRPr="00B67CD8" w:rsidR="00053C31">
        <w:rPr>
          <w:b/>
          <w:bCs/>
        </w:rPr>
        <w:t>and</w:t>
      </w:r>
      <w:r w:rsidRPr="00B67CD8" w:rsidR="00FA3DA1">
        <w:rPr>
          <w:b/>
          <w:bCs/>
        </w:rPr>
        <w:t xml:space="preserve"> </w:t>
      </w:r>
      <w:r w:rsidRPr="00B67CD8" w:rsidR="00053C31">
        <w:rPr>
          <w:b/>
          <w:bCs/>
        </w:rPr>
        <w:t>Confidentiality of Information Provided</w:t>
      </w:r>
      <w:r w:rsidRPr="00B67CD8" w:rsidR="00FA3DA1">
        <w:rPr>
          <w:b/>
          <w:bCs/>
        </w:rPr>
        <w:t xml:space="preserve"> </w:t>
      </w:r>
      <w:r w:rsidRPr="00B67CD8" w:rsidR="00053C31">
        <w:rPr>
          <w:b/>
          <w:bCs/>
        </w:rPr>
        <w:t xml:space="preserve">by </w:t>
      </w:r>
      <w:r w:rsidRPr="00B67CD8" w:rsidR="00FA3DA1">
        <w:rPr>
          <w:b/>
          <w:bCs/>
        </w:rPr>
        <w:t>R</w:t>
      </w:r>
      <w:r w:rsidRPr="00B67CD8" w:rsidR="00053C31">
        <w:rPr>
          <w:b/>
          <w:bCs/>
        </w:rPr>
        <w:t>espondents</w:t>
      </w:r>
    </w:p>
    <w:p w:rsidR="00972DEF" w:rsidRPr="00B67CD8" w:rsidP="00972DEF" w14:paraId="769D0D3C" w14:textId="77777777"/>
    <w:p w:rsidR="002D1DCF" w:rsidRPr="00B67CD8" w:rsidP="002D1DCF" w14:paraId="7C002552" w14:textId="5AE59714">
      <w:pPr>
        <w:pStyle w:val="BodyTextIndent2"/>
        <w:spacing w:line="240" w:lineRule="auto"/>
        <w:ind w:left="0"/>
      </w:pPr>
      <w:r w:rsidRPr="00B67CD8">
        <w:t>The CDC Office of the Chief Information Officer has determined that the Privacy Act does not apply to this information collection request</w:t>
      </w:r>
      <w:r w:rsidRPr="00B67CD8" w:rsidR="00FA3DA1">
        <w:t xml:space="preserve"> (</w:t>
      </w:r>
      <w:r w:rsidRPr="00F77F01" w:rsidR="00FA3DA1">
        <w:rPr>
          <w:b/>
          <w:bCs/>
          <w:u w:val="single"/>
        </w:rPr>
        <w:t>Attachment F</w:t>
      </w:r>
      <w:r w:rsidRPr="00B67CD8" w:rsidR="00FA3DA1">
        <w:t xml:space="preserve">). </w:t>
      </w:r>
    </w:p>
    <w:p w:rsidR="00B42028" w:rsidRPr="00B67CD8" w:rsidP="002D1DCF" w14:paraId="1E90ADC7" w14:textId="4D3F52E0">
      <w:pPr>
        <w:rPr>
          <w:lang w:val="en"/>
        </w:rPr>
      </w:pPr>
      <w:r w:rsidRPr="00B67CD8">
        <w:rPr>
          <w:lang w:val="en"/>
        </w:rPr>
        <w:t>Four main strategies will be implemented to maintain the confidentiality of the data</w:t>
      </w:r>
      <w:r w:rsidRPr="00B67CD8">
        <w:rPr>
          <w:lang w:val="en"/>
        </w:rPr>
        <w:t xml:space="preserve">: </w:t>
      </w:r>
    </w:p>
    <w:p w:rsidR="00B42028" w:rsidRPr="00B67CD8" w:rsidP="002D1DCF" w14:paraId="115B373E" w14:textId="77777777">
      <w:pPr>
        <w:rPr>
          <w:lang w:val="en"/>
        </w:rPr>
      </w:pPr>
    </w:p>
    <w:p w:rsidR="002D1DCF" w:rsidRPr="00B67CD8" w:rsidP="004D6497" w14:paraId="42FD5E2E" w14:textId="6B9FE692">
      <w:pPr>
        <w:pStyle w:val="ListParagraph"/>
        <w:numPr>
          <w:ilvl w:val="0"/>
          <w:numId w:val="15"/>
        </w:numPr>
      </w:pPr>
      <w:r w:rsidRPr="00B67CD8">
        <w:rPr>
          <w:lang w:val="en"/>
        </w:rPr>
        <w:t xml:space="preserve">State health departments and the District of Columbia (the respondents) will only share with CDC aggregate data collected on one standardized form: the </w:t>
      </w:r>
      <w:r w:rsidRPr="00B67CD8" w:rsidR="001C11B6">
        <w:rPr>
          <w:i/>
          <w:lang w:val="en"/>
        </w:rPr>
        <w:t>ED violence</w:t>
      </w:r>
      <w:r w:rsidRPr="00B67CD8">
        <w:rPr>
          <w:i/>
          <w:lang w:val="en"/>
        </w:rPr>
        <w:t xml:space="preserve"> data form</w:t>
      </w:r>
      <w:r w:rsidRPr="00B67CD8">
        <w:rPr>
          <w:i/>
        </w:rPr>
        <w:t>.</w:t>
      </w:r>
      <w:r w:rsidRPr="00B67CD8">
        <w:rPr>
          <w:lang w:val="en"/>
        </w:rPr>
        <w:t xml:space="preserve"> Although CDC will have access to case-level ED data through NSSP </w:t>
      </w:r>
      <w:r w:rsidRPr="00B67CD8">
        <w:rPr>
          <w:lang w:val="en"/>
        </w:rPr>
        <w:t>BioSense</w:t>
      </w:r>
      <w:r w:rsidRPr="00B67CD8">
        <w:rPr>
          <w:lang w:val="en"/>
        </w:rPr>
        <w:t xml:space="preserve"> for all health departments </w:t>
      </w:r>
      <w:r w:rsidRPr="00B67CD8" w:rsidR="00687C01">
        <w:rPr>
          <w:lang w:val="en"/>
        </w:rPr>
        <w:t>to</w:t>
      </w:r>
      <w:r w:rsidRPr="00B67CD8">
        <w:rPr>
          <w:lang w:val="en"/>
        </w:rPr>
        <w:t xml:space="preserve"> automate completion of the </w:t>
      </w:r>
      <w:r w:rsidRPr="00B67CD8" w:rsidR="001C11B6">
        <w:rPr>
          <w:i/>
          <w:lang w:val="en"/>
        </w:rPr>
        <w:t>ED violence</w:t>
      </w:r>
      <w:r w:rsidRPr="00B67CD8">
        <w:rPr>
          <w:i/>
          <w:lang w:val="en"/>
        </w:rPr>
        <w:t xml:space="preserve"> data form</w:t>
      </w:r>
      <w:r w:rsidRPr="00B67CD8">
        <w:rPr>
          <w:lang w:val="en"/>
        </w:rPr>
        <w:t xml:space="preserve">, CDC will only report on aggregate ED data entered into the </w:t>
      </w:r>
      <w:r w:rsidRPr="00B67CD8" w:rsidR="001C11B6">
        <w:rPr>
          <w:i/>
          <w:lang w:val="en"/>
        </w:rPr>
        <w:t>ED violence</w:t>
      </w:r>
      <w:r w:rsidRPr="00B67CD8">
        <w:rPr>
          <w:i/>
          <w:lang w:val="en"/>
        </w:rPr>
        <w:t xml:space="preserve"> data form</w:t>
      </w:r>
      <w:r w:rsidRPr="00B67CD8">
        <w:rPr>
          <w:i/>
        </w:rPr>
        <w:t>.</w:t>
      </w:r>
      <w:r w:rsidRPr="00B67CD8">
        <w:rPr>
          <w:lang w:val="en"/>
        </w:rPr>
        <w:t xml:space="preserve"> Case-level ED data will only be used by CDC to assist public health departments complete the </w:t>
      </w:r>
      <w:r w:rsidRPr="00B67CD8" w:rsidR="001C11B6">
        <w:rPr>
          <w:i/>
          <w:lang w:val="en"/>
        </w:rPr>
        <w:t>ED violence</w:t>
      </w:r>
      <w:r w:rsidRPr="00B67CD8">
        <w:rPr>
          <w:i/>
          <w:lang w:val="en"/>
        </w:rPr>
        <w:t xml:space="preserve"> data form</w:t>
      </w:r>
      <w:r w:rsidRPr="00B67CD8">
        <w:rPr>
          <w:lang w:val="en"/>
        </w:rPr>
        <w:t xml:space="preserve"> </w:t>
      </w:r>
      <w:r w:rsidRPr="00B67CD8">
        <w:t xml:space="preserve">on a </w:t>
      </w:r>
      <w:r w:rsidRPr="00B67CD8" w:rsidR="001B46CA">
        <w:t>bimonthly</w:t>
      </w:r>
      <w:r w:rsidRPr="00B67CD8">
        <w:t xml:space="preserve"> basis</w:t>
      </w:r>
      <w:r w:rsidRPr="00B67CD8">
        <w:rPr>
          <w:lang w:val="en"/>
        </w:rPr>
        <w:t xml:space="preserve"> and </w:t>
      </w:r>
      <w:r w:rsidRPr="00B67CD8" w:rsidR="00D509B3">
        <w:rPr>
          <w:lang w:val="en"/>
        </w:rPr>
        <w:t xml:space="preserve">help health departments and </w:t>
      </w:r>
      <w:r w:rsidRPr="00B67CD8">
        <w:rPr>
          <w:lang w:val="en"/>
        </w:rPr>
        <w:t>CDC improve data quality and identification</w:t>
      </w:r>
      <w:r w:rsidRPr="00B67CD8" w:rsidR="00B42028">
        <w:rPr>
          <w:lang w:val="en"/>
        </w:rPr>
        <w:t xml:space="preserve"> of firearm injuries, other violence-related injuries, and mental health conditions.</w:t>
      </w:r>
    </w:p>
    <w:p w:rsidR="002D1DCF" w:rsidRPr="00B67CD8" w:rsidP="004D6497" w14:paraId="0D12EBD2" w14:textId="0A6C7C9C">
      <w:pPr>
        <w:pStyle w:val="ListParagraph"/>
        <w:numPr>
          <w:ilvl w:val="0"/>
          <w:numId w:val="15"/>
        </w:numPr>
      </w:pPr>
      <w:r w:rsidRPr="00B67CD8">
        <w:rPr>
          <w:lang w:val="en"/>
        </w:rPr>
        <w:t>Participating</w:t>
      </w:r>
      <w:r w:rsidRPr="00B67CD8">
        <w:t xml:space="preserve"> health departments will </w:t>
      </w:r>
      <w:r w:rsidRPr="00B67CD8" w:rsidR="00335877">
        <w:t>access and submit the</w:t>
      </w:r>
      <w:r w:rsidRPr="00B67CD8">
        <w:rPr>
          <w:lang w:val="en"/>
        </w:rPr>
        <w:t xml:space="preserve"> </w:t>
      </w:r>
      <w:r w:rsidRPr="00B67CD8" w:rsidR="001C11B6">
        <w:rPr>
          <w:i/>
          <w:lang w:val="en"/>
        </w:rPr>
        <w:t>ED violence</w:t>
      </w:r>
      <w:r w:rsidRPr="00B67CD8">
        <w:rPr>
          <w:i/>
          <w:lang w:val="en"/>
        </w:rPr>
        <w:t xml:space="preserve"> data form</w:t>
      </w:r>
      <w:r w:rsidRPr="00B67CD8">
        <w:rPr>
          <w:lang w:val="en"/>
        </w:rPr>
        <w:t xml:space="preserve"> </w:t>
      </w:r>
      <w:r w:rsidRPr="00B67CD8">
        <w:t>to CDC using the NCIPC Partner’s Portal hosted on the CDC Secure Access Management Service (SAMS) site</w:t>
      </w:r>
      <w:r w:rsidRPr="00B67CD8" w:rsidR="006E1492">
        <w:t xml:space="preserve"> </w:t>
      </w:r>
      <w:r w:rsidRPr="00B67CD8" w:rsidR="006E1492">
        <w:fldChar w:fldCharType="begin" w:fldLock="1"/>
      </w:r>
      <w:r w:rsidR="00EF75DD">
        <w:instrText>ADDIN CSL_CITATION {"citationItems":[{"id":"ITEM-1","itemData":{"URL":"https://auth.cdc.gov/sams/SAMSUserGuide.pdf","id":"ITEM-1","issued":{"date-parts":[["0"]]},"title":"CDC SAMS","type":"webpage"},"uris":["http://www.mendeley.com/documents/?uuid=9f41effa-6eb5-4981-accc-f674e4ed619f"]}],"mendeley":{"formattedCitation":"(10)","plainTextFormattedCitation":"(10)","previouslyFormattedCitation":"(10)"},"properties":{"noteIndex":0},"schema":"https://github.com/citation-style-language/schema/raw/master/csl-citation.json"}</w:instrText>
      </w:r>
      <w:r w:rsidRPr="00B67CD8" w:rsidR="006E1492">
        <w:fldChar w:fldCharType="separate"/>
      </w:r>
      <w:r w:rsidRPr="00D9046D" w:rsidR="00D9046D">
        <w:rPr>
          <w:noProof/>
        </w:rPr>
        <w:t>(10)</w:t>
      </w:r>
      <w:r w:rsidRPr="00B67CD8" w:rsidR="006E1492">
        <w:fldChar w:fldCharType="end"/>
      </w:r>
      <w:r w:rsidRPr="00B67CD8">
        <w:t xml:space="preserve">. The CDC SAMS Partner’s Portal is a web site designed to provide secure centralized access to external users such as public health departments to data and computer applications operated by CDC. It can also be used to securely exchange data between CDC and participating health departments.  </w:t>
      </w:r>
    </w:p>
    <w:p w:rsidR="002D1DCF" w:rsidRPr="00B67CD8" w:rsidP="004D6497" w14:paraId="29ED9A5A" w14:textId="426D835C">
      <w:pPr>
        <w:pStyle w:val="ListParagraph"/>
        <w:numPr>
          <w:ilvl w:val="0"/>
          <w:numId w:val="15"/>
        </w:numPr>
      </w:pPr>
      <w:r w:rsidRPr="00B67CD8">
        <w:rPr>
          <w:lang w:val="en"/>
        </w:rPr>
        <w:t xml:space="preserve">Only selected staff working in the </w:t>
      </w:r>
      <w:r w:rsidRPr="00B67CD8" w:rsidR="001B46CA">
        <w:rPr>
          <w:lang w:val="en"/>
        </w:rPr>
        <w:t>AVERT</w:t>
      </w:r>
      <w:r w:rsidRPr="00B67CD8">
        <w:rPr>
          <w:lang w:val="en"/>
        </w:rPr>
        <w:t xml:space="preserve"> program will have access to aggregate data entered into the </w:t>
      </w:r>
      <w:r w:rsidRPr="00B67CD8" w:rsidR="001C11B6">
        <w:rPr>
          <w:i/>
          <w:lang w:val="en"/>
        </w:rPr>
        <w:t>ED violence</w:t>
      </w:r>
      <w:r w:rsidRPr="00B67CD8">
        <w:rPr>
          <w:i/>
          <w:lang w:val="en"/>
        </w:rPr>
        <w:t xml:space="preserve"> data form</w:t>
      </w:r>
      <w:r w:rsidRPr="00B67CD8">
        <w:rPr>
          <w:lang w:val="en"/>
        </w:rPr>
        <w:t xml:space="preserve"> by participating health departments. Also, Excel files as well as analytical statistical files will be stored and managed on secure CDC servers.</w:t>
      </w:r>
    </w:p>
    <w:p w:rsidR="002D1DCF" w:rsidRPr="00B67CD8" w:rsidP="004D6497" w14:paraId="1B4737FA" w14:textId="1591E6F7">
      <w:pPr>
        <w:pStyle w:val="ListParagraph"/>
        <w:numPr>
          <w:ilvl w:val="0"/>
          <w:numId w:val="15"/>
        </w:numPr>
      </w:pPr>
      <w:r w:rsidRPr="00B67CD8">
        <w:t>AVERT</w:t>
      </w:r>
      <w:r w:rsidRPr="00B67CD8">
        <w:t xml:space="preserve"> will follow NCHS guidelines on suppression of small sample sizes in data tabulations (e.g., not report any information that involves between 1 and 9 people) to prevent the inadvertent identification of an individual through the combination of various demographic characteristics. </w:t>
      </w:r>
    </w:p>
    <w:p w:rsidR="007503A7" w:rsidRPr="00B67CD8" w:rsidP="00972DEF" w14:paraId="54CD245A" w14:textId="77777777"/>
    <w:p w:rsidR="0014146B" w:rsidRPr="00B67CD8" w:rsidP="00972DEF" w14:paraId="7E7CE35E" w14:textId="77777777">
      <w:pPr>
        <w:rPr>
          <w:b/>
          <w:bCs/>
        </w:rPr>
      </w:pPr>
    </w:p>
    <w:p w:rsidR="00972DEF" w:rsidRPr="00B67CD8" w:rsidP="00972DEF" w14:paraId="7D355C6B" w14:textId="70FAC0DE">
      <w:pPr>
        <w:rPr>
          <w:b/>
          <w:bCs/>
        </w:rPr>
      </w:pPr>
      <w:r w:rsidRPr="00B67CD8">
        <w:rPr>
          <w:b/>
          <w:bCs/>
        </w:rPr>
        <w:t>A.11.</w:t>
      </w:r>
      <w:r w:rsidRPr="00B67CD8" w:rsidR="00CA5DC1">
        <w:rPr>
          <w:b/>
          <w:bCs/>
        </w:rPr>
        <w:t>Institutional Review Board (IRB) and Justification for Sensitive Questions</w:t>
      </w:r>
      <w:r w:rsidRPr="00B67CD8">
        <w:rPr>
          <w:b/>
          <w:bCs/>
        </w:rPr>
        <w:tab/>
      </w:r>
    </w:p>
    <w:p w:rsidR="0073187D" w:rsidRPr="00B67CD8" w:rsidP="00972DEF" w14:paraId="1231BE67" w14:textId="77777777">
      <w:pPr>
        <w:rPr>
          <w:b/>
          <w:bCs/>
        </w:rPr>
      </w:pPr>
    </w:p>
    <w:p w:rsidR="00464C69" w:rsidRPr="00B67CD8" w:rsidP="0095702B" w14:paraId="4F22D230" w14:textId="32EB0911">
      <w:r w:rsidRPr="00B67CD8">
        <w:t>IRB Approval</w:t>
      </w:r>
    </w:p>
    <w:p w:rsidR="00464C69" w:rsidRPr="00B67CD8" w:rsidP="0095702B" w14:paraId="62CC7225" w14:textId="3202BE4F"/>
    <w:p w:rsidR="00464C69" w:rsidRPr="00B67CD8" w:rsidP="00464C69" w14:paraId="16C98AB8" w14:textId="7DEF15C8">
      <w:r w:rsidRPr="00B67CD8">
        <w:t xml:space="preserve">The CDC National Center for Injury Prevention and Control’s OMB and human subject’s liaison has determined that the </w:t>
      </w:r>
      <w:r w:rsidRPr="00B67CD8">
        <w:rPr>
          <w:lang w:val="en"/>
        </w:rPr>
        <w:t xml:space="preserve">activity is not research and </w:t>
      </w:r>
      <w:r w:rsidRPr="00B67CD8">
        <w:t xml:space="preserve">IRB approval is not </w:t>
      </w:r>
      <w:r w:rsidRPr="00F77F01" w:rsidR="002E3B0B">
        <w:t>required</w:t>
      </w:r>
      <w:r w:rsidRPr="00B67CD8">
        <w:t>. This data collection is a surveillance effort and human subjects will not be involved (</w:t>
      </w:r>
      <w:r w:rsidRPr="00B67CD8">
        <w:rPr>
          <w:b/>
          <w:bCs/>
        </w:rPr>
        <w:t>Attachment C</w:t>
      </w:r>
      <w:r w:rsidRPr="00B67CD8">
        <w:t>).</w:t>
      </w:r>
    </w:p>
    <w:p w:rsidR="00464C69" w:rsidRPr="00B67CD8" w:rsidP="0095702B" w14:paraId="4316F87C" w14:textId="3E4471BF">
      <w:r w:rsidRPr="00B67CD8">
        <w:t>Sensitive Questions</w:t>
      </w:r>
    </w:p>
    <w:p w:rsidR="002E3B0B" w:rsidRPr="00B67CD8" w:rsidP="0095702B" w14:paraId="5FD17FBF" w14:textId="77777777"/>
    <w:p w:rsidR="00464C69" w:rsidRPr="00F77F01" w:rsidP="0095702B" w14:paraId="21F38282" w14:textId="15EB5DD3">
      <w:r w:rsidRPr="00F77F01">
        <w:t>This data/information collection do</w:t>
      </w:r>
      <w:r w:rsidRPr="00F77F01" w:rsidR="005060D7">
        <w:t>es</w:t>
      </w:r>
      <w:r w:rsidRPr="00F77F01">
        <w:t xml:space="preserve"> not involve the collection of information </w:t>
      </w:r>
      <w:r w:rsidRPr="00F77F01" w:rsidR="005060D7">
        <w:t xml:space="preserve">of </w:t>
      </w:r>
      <w:r w:rsidRPr="00F77F01">
        <w:t>any questions of sensitive nature.</w:t>
      </w:r>
    </w:p>
    <w:p w:rsidR="0095702B" w:rsidRPr="00B67CD8" w:rsidP="0095702B" w14:paraId="1C2252E1" w14:textId="3097706F"/>
    <w:p w:rsidR="00CA5DC1" w:rsidRPr="00B67CD8" w:rsidP="00972DEF" w14:paraId="30D7AA69" w14:textId="77777777"/>
    <w:p w:rsidR="00972DEF" w:rsidRPr="00B67CD8" w:rsidP="00972DEF" w14:paraId="03DE1B82" w14:textId="1CEC7485">
      <w:pPr>
        <w:autoSpaceDE w:val="0"/>
        <w:autoSpaceDN w:val="0"/>
        <w:adjustRightInd w:val="0"/>
        <w:rPr>
          <w:b/>
          <w:bCs/>
        </w:rPr>
      </w:pPr>
      <w:r w:rsidRPr="00B67CD8">
        <w:rPr>
          <w:b/>
          <w:bCs/>
        </w:rPr>
        <w:t xml:space="preserve">A.12. Estimates of Annualized Burden Hours and Costs </w:t>
      </w:r>
    </w:p>
    <w:p w:rsidR="009C7E88" w:rsidRPr="00B67CD8" w:rsidP="00972DEF" w14:paraId="5D2725D7" w14:textId="41E39A53">
      <w:pPr>
        <w:autoSpaceDE w:val="0"/>
        <w:autoSpaceDN w:val="0"/>
        <w:adjustRightInd w:val="0"/>
        <w:rPr>
          <w:b/>
          <w:bCs/>
        </w:rPr>
      </w:pPr>
    </w:p>
    <w:p w:rsidR="009C7E88" w:rsidRPr="00B67CD8" w:rsidP="009C7E88" w14:paraId="5B8214C4" w14:textId="26662510">
      <w:r w:rsidRPr="00B67CD8">
        <w:t xml:space="preserve">This data collection includes on data form: </w:t>
      </w:r>
    </w:p>
    <w:p w:rsidR="00F059C2" w:rsidRPr="00B67CD8" w:rsidP="009C7E88" w14:paraId="37A893E1" w14:textId="77777777"/>
    <w:p w:rsidR="00586FB1" w:rsidRPr="00B67CD8" w:rsidP="00586FB1" w14:paraId="30980878" w14:textId="7BE13F9E">
      <w:r w:rsidRPr="00B67CD8">
        <w:rPr>
          <w:i/>
          <w:szCs w:val="20"/>
        </w:rPr>
        <w:t>ED violence</w:t>
      </w:r>
      <w:r w:rsidRPr="00B67CD8" w:rsidR="009C7E88">
        <w:rPr>
          <w:i/>
          <w:szCs w:val="20"/>
        </w:rPr>
        <w:t xml:space="preserve"> data form </w:t>
      </w:r>
      <w:r w:rsidRPr="00B67CD8" w:rsidR="009C7E88">
        <w:rPr>
          <w:iCs/>
          <w:szCs w:val="20"/>
        </w:rPr>
        <w:t>(</w:t>
      </w:r>
      <w:r w:rsidRPr="00F77F01" w:rsidR="00DC7139">
        <w:rPr>
          <w:b/>
          <w:bCs/>
          <w:iCs/>
          <w:szCs w:val="20"/>
          <w:u w:val="single"/>
        </w:rPr>
        <w:t xml:space="preserve">Attachment </w:t>
      </w:r>
      <w:r w:rsidRPr="00F77F01" w:rsidR="00FA5004">
        <w:rPr>
          <w:b/>
          <w:bCs/>
          <w:iCs/>
          <w:szCs w:val="20"/>
          <w:u w:val="single"/>
        </w:rPr>
        <w:t>E</w:t>
      </w:r>
      <w:r w:rsidRPr="00B67CD8" w:rsidR="009C7E88">
        <w:rPr>
          <w:iCs/>
          <w:szCs w:val="20"/>
        </w:rPr>
        <w:t xml:space="preserve">) </w:t>
      </w:r>
      <w:r w:rsidRPr="00B67CD8" w:rsidR="009C7E88">
        <w:t xml:space="preserve">supports rapid </w:t>
      </w:r>
      <w:r w:rsidRPr="00B67CD8" w:rsidR="00F059C2">
        <w:t>bimonthly</w:t>
      </w:r>
      <w:r w:rsidRPr="00B67CD8" w:rsidR="009C7E88">
        <w:t xml:space="preserve"> ED surveillance of </w:t>
      </w:r>
      <w:r w:rsidRPr="00B67CD8" w:rsidR="00DC7139">
        <w:t xml:space="preserve">firearm injuries (regardless of intent), other </w:t>
      </w:r>
      <w:r w:rsidRPr="00B67CD8" w:rsidR="00F50590">
        <w:t>violence</w:t>
      </w:r>
      <w:r w:rsidRPr="00B67CD8" w:rsidR="00DC7139">
        <w:t xml:space="preserve">-related injuries, and mental health conditions to </w:t>
      </w:r>
      <w:r w:rsidRPr="00B67CD8" w:rsidR="00DC7139">
        <w:rPr>
          <w:bCs/>
          <w:lang w:val="en"/>
        </w:rPr>
        <w:t>detect and respond to upticks or shifts in violence trends in a timely manner.</w:t>
      </w:r>
      <w:r w:rsidRPr="00B67CD8" w:rsidR="00F50590">
        <w:rPr>
          <w:bCs/>
          <w:lang w:val="en"/>
        </w:rPr>
        <w:t xml:space="preserve"> </w:t>
      </w:r>
      <w:r w:rsidRPr="00B67CD8" w:rsidR="009C7E88">
        <w:rPr>
          <w:lang w:val="en"/>
        </w:rPr>
        <w:t xml:space="preserve">The </w:t>
      </w:r>
      <w:r w:rsidRPr="00B67CD8">
        <w:rPr>
          <w:i/>
          <w:lang w:val="en"/>
        </w:rPr>
        <w:t>ED violence</w:t>
      </w:r>
      <w:r w:rsidRPr="00B67CD8" w:rsidR="009C7E88">
        <w:rPr>
          <w:i/>
          <w:lang w:val="en"/>
        </w:rPr>
        <w:t xml:space="preserve"> data form</w:t>
      </w:r>
      <w:r w:rsidRPr="00B67CD8" w:rsidR="009C7E88">
        <w:rPr>
          <w:lang w:val="en"/>
        </w:rPr>
        <w:t xml:space="preserve"> </w:t>
      </w:r>
      <w:r w:rsidRPr="00B67CD8" w:rsidR="00BA7985">
        <w:t xml:space="preserve">includes calculations of the total number of </w:t>
      </w:r>
      <w:r w:rsidRPr="00B67CD8" w:rsidR="00E35B42">
        <w:t xml:space="preserve">ED visits for overall firearm injury, intentional self-directed firearm injury, unintentional firearm injury, assault-related firearm injury, intimate partner violence, sexual violence, suspected child abuse and neglect, youth violence, and mental health conditions that </w:t>
      </w:r>
      <w:r w:rsidRPr="00B67CD8" w:rsidR="009C7E88">
        <w:t xml:space="preserve">occurred each month by county and by age, sex, and race/ethnicity. Also, jurisdictions will be asked to provide metadata including coverage of the local ED surveillance system (i.e., percentage of all ED visits captured by the jurisdiction’s ED surveillance) and recent major changes in the local ED data collection efforts (e.g., large number of hospitals begin or terminate participation). </w:t>
      </w:r>
    </w:p>
    <w:p w:rsidR="00586FB1" w:rsidRPr="00B67CD8" w:rsidP="00586FB1" w14:paraId="63B419D5" w14:textId="4910ED24"/>
    <w:p w:rsidR="009C7E88" w:rsidRPr="00B67CD8" w:rsidP="008F1FE0" w14:paraId="10080F66" w14:textId="0F3D81C3">
      <w:r w:rsidRPr="00B67CD8">
        <w:t xml:space="preserve">CDC expects </w:t>
      </w:r>
      <w:r w:rsidRPr="00B67CD8" w:rsidR="008F1FE0">
        <w:t>all of the</w:t>
      </w:r>
      <w:r w:rsidRPr="00B67CD8">
        <w:t xml:space="preserve"> funded health departments to provide CDC access to case-level ED data through the NSSP </w:t>
      </w:r>
      <w:r w:rsidRPr="00B67CD8">
        <w:t>BioSense</w:t>
      </w:r>
      <w:r w:rsidRPr="00B67CD8">
        <w:t xml:space="preserve"> Platform (OMB #0920-0824). Using the case-level data, CDC will complete the vast majority of the </w:t>
      </w:r>
      <w:r w:rsidRPr="00B67CD8" w:rsidR="00FE407E">
        <w:rPr>
          <w:i/>
          <w:szCs w:val="20"/>
        </w:rPr>
        <w:t>ED violence</w:t>
      </w:r>
      <w:r w:rsidRPr="00B67CD8">
        <w:rPr>
          <w:i/>
          <w:szCs w:val="20"/>
        </w:rPr>
        <w:t xml:space="preserve"> data form</w:t>
      </w:r>
      <w:r w:rsidRPr="00B67CD8">
        <w:rPr>
          <w:szCs w:val="20"/>
        </w:rPr>
        <w:t xml:space="preserve"> including </w:t>
      </w:r>
      <w:r w:rsidRPr="00B67CD8">
        <w:t xml:space="preserve">calculating the </w:t>
      </w:r>
      <w:r w:rsidRPr="00B67CD8" w:rsidR="008D213C">
        <w:t>total number of ED visits for overall firearm injury, intentional self-directed firearm injury, unintentional firearm injury, assault-related firearm injury, intimate partner violence, sexual violence, suspected child abuse and neglect, youth violence, and mental health conditions t</w:t>
      </w:r>
      <w:r w:rsidRPr="00B67CD8">
        <w:t xml:space="preserve">hat occurred each month by county and by age, sex, and race/ethnicity. CDC, however, will consult with the jurisdiction when completing metadata and this will result in a small burden. Based on CDC collaborative work with health departments using the NSSP </w:t>
      </w:r>
      <w:r w:rsidRPr="00B67CD8">
        <w:t>BioSense</w:t>
      </w:r>
      <w:r w:rsidRPr="00B67CD8">
        <w:t xml:space="preserve"> Platform, the burden will be .5 hours </w:t>
      </w:r>
      <w:r w:rsidRPr="00B67CD8" w:rsidR="00740522">
        <w:t>per bimonthly</w:t>
      </w:r>
      <w:r w:rsidRPr="00B67CD8">
        <w:t xml:space="preserve"> report per jurisdiction. Thus, the annual burden per health department will be </w:t>
      </w:r>
      <w:r w:rsidRPr="00B67CD8" w:rsidR="00740522">
        <w:t>3</w:t>
      </w:r>
      <w:r w:rsidRPr="00B67CD8">
        <w:t xml:space="preserve"> hours (.5 hours x </w:t>
      </w:r>
      <w:r w:rsidRPr="00B67CD8" w:rsidR="00740522">
        <w:t>6</w:t>
      </w:r>
      <w:r w:rsidRPr="00B67CD8">
        <w:t xml:space="preserve"> months) or a total of </w:t>
      </w:r>
      <w:r w:rsidRPr="00B67CD8" w:rsidR="00740522">
        <w:t>30</w:t>
      </w:r>
      <w:r w:rsidRPr="00B67CD8">
        <w:t xml:space="preserve"> burden hours across the </w:t>
      </w:r>
      <w:r w:rsidRPr="00B67CD8" w:rsidR="00740522">
        <w:t>10</w:t>
      </w:r>
      <w:r w:rsidRPr="00B67CD8">
        <w:t xml:space="preserve"> responding health departments</w:t>
      </w:r>
      <w:r w:rsidRPr="00B67CD8" w:rsidR="0014146B">
        <w:t xml:space="preserve"> (Table 3)</w:t>
      </w:r>
      <w:r w:rsidRPr="00B67CD8">
        <w:t>.</w:t>
      </w:r>
    </w:p>
    <w:p w:rsidR="004D7884" w:rsidRPr="00B67CD8" w:rsidP="004D7884" w14:paraId="7196D064" w14:textId="77777777">
      <w:pPr>
        <w:pStyle w:val="a"/>
        <w:tabs>
          <w:tab w:val="left" w:pos="-1440"/>
        </w:tabs>
        <w:ind w:left="0" w:firstLine="0"/>
      </w:pPr>
    </w:p>
    <w:p w:rsidR="003C7992" w:rsidRPr="00B67CD8" w:rsidP="003C7992" w14:paraId="2A0FDEBD" w14:textId="4DB9BB4B">
      <w:pPr>
        <w:rPr>
          <w:rFonts w:eastAsia="Calibri"/>
          <w:b/>
        </w:rPr>
      </w:pPr>
      <w:r w:rsidRPr="00B67CD8">
        <w:rPr>
          <w:rFonts w:eastAsia="Calibri"/>
          <w:b/>
        </w:rPr>
        <w:t xml:space="preserve">Table </w:t>
      </w:r>
      <w:r w:rsidRPr="00B67CD8" w:rsidR="0014146B">
        <w:rPr>
          <w:rFonts w:eastAsia="Calibri"/>
          <w:b/>
        </w:rPr>
        <w:t>3</w:t>
      </w:r>
      <w:r w:rsidRPr="00B67CD8">
        <w:rPr>
          <w:rFonts w:eastAsia="Calibri"/>
          <w:b/>
        </w:rPr>
        <w:t>. Estimates of annualized respondent burden hours</w:t>
      </w:r>
    </w:p>
    <w:tbl>
      <w:tblPr>
        <w:tblStyle w:val="TableGrid"/>
        <w:tblW w:w="9681" w:type="dxa"/>
        <w:tblInd w:w="0" w:type="dxa"/>
        <w:tblLayout w:type="fixed"/>
        <w:tblLook w:val="04A0"/>
      </w:tblPr>
      <w:tblGrid>
        <w:gridCol w:w="2155"/>
        <w:gridCol w:w="1505"/>
        <w:gridCol w:w="1505"/>
        <w:gridCol w:w="1505"/>
        <w:gridCol w:w="1505"/>
        <w:gridCol w:w="1506"/>
      </w:tblGrid>
      <w:tr w14:paraId="67ABB585" w14:textId="77777777" w:rsidTr="00C8519D">
        <w:tblPrEx>
          <w:tblW w:w="9681" w:type="dxa"/>
          <w:tblInd w:w="0" w:type="dxa"/>
          <w:tblLayout w:type="fixed"/>
          <w:tblLook w:val="04A0"/>
        </w:tblPrEx>
        <w:tc>
          <w:tcPr>
            <w:tcW w:w="2155" w:type="dxa"/>
            <w:vAlign w:val="center"/>
          </w:tcPr>
          <w:p w:rsidR="003C7992" w:rsidRPr="00B67CD8" w:rsidP="00C550C3" w14:paraId="3DE0BA86" w14:textId="77777777">
            <w:pPr>
              <w:jc w:val="center"/>
              <w:rPr>
                <w:b/>
                <w:sz w:val="22"/>
                <w:szCs w:val="22"/>
              </w:rPr>
            </w:pPr>
            <w:r w:rsidRPr="00B67CD8">
              <w:rPr>
                <w:b/>
                <w:sz w:val="22"/>
                <w:szCs w:val="22"/>
              </w:rPr>
              <w:t>Type of respondent</w:t>
            </w:r>
          </w:p>
        </w:tc>
        <w:tc>
          <w:tcPr>
            <w:tcW w:w="1505" w:type="dxa"/>
            <w:vAlign w:val="center"/>
          </w:tcPr>
          <w:p w:rsidR="003C7992" w:rsidRPr="00B67CD8" w:rsidP="00C550C3" w14:paraId="7160738E" w14:textId="77777777">
            <w:pPr>
              <w:jc w:val="center"/>
              <w:rPr>
                <w:b/>
                <w:sz w:val="22"/>
                <w:szCs w:val="22"/>
              </w:rPr>
            </w:pPr>
            <w:r w:rsidRPr="00B67CD8">
              <w:rPr>
                <w:b/>
                <w:sz w:val="22"/>
                <w:szCs w:val="22"/>
              </w:rPr>
              <w:t>Form name</w:t>
            </w:r>
          </w:p>
        </w:tc>
        <w:tc>
          <w:tcPr>
            <w:tcW w:w="1505" w:type="dxa"/>
            <w:vAlign w:val="center"/>
          </w:tcPr>
          <w:p w:rsidR="003C7992" w:rsidRPr="00B67CD8" w:rsidP="00C550C3" w14:paraId="1C3DF65D" w14:textId="77777777">
            <w:pPr>
              <w:jc w:val="center"/>
              <w:rPr>
                <w:b/>
                <w:sz w:val="22"/>
                <w:szCs w:val="22"/>
              </w:rPr>
            </w:pPr>
            <w:r w:rsidRPr="00B67CD8">
              <w:rPr>
                <w:b/>
                <w:sz w:val="22"/>
                <w:szCs w:val="22"/>
              </w:rPr>
              <w:t>No. of respondents</w:t>
            </w:r>
          </w:p>
        </w:tc>
        <w:tc>
          <w:tcPr>
            <w:tcW w:w="1505" w:type="dxa"/>
            <w:vAlign w:val="center"/>
          </w:tcPr>
          <w:p w:rsidR="003C7992" w:rsidRPr="00B67CD8" w:rsidP="00C550C3" w14:paraId="1021174B" w14:textId="77777777">
            <w:pPr>
              <w:jc w:val="center"/>
              <w:rPr>
                <w:b/>
                <w:sz w:val="22"/>
                <w:szCs w:val="22"/>
              </w:rPr>
            </w:pPr>
            <w:r w:rsidRPr="00B67CD8">
              <w:rPr>
                <w:b/>
                <w:sz w:val="22"/>
                <w:szCs w:val="22"/>
              </w:rPr>
              <w:t>Total no. of responses per respondent</w:t>
            </w:r>
          </w:p>
        </w:tc>
        <w:tc>
          <w:tcPr>
            <w:tcW w:w="1505" w:type="dxa"/>
            <w:vAlign w:val="center"/>
          </w:tcPr>
          <w:p w:rsidR="003C7992" w:rsidRPr="00B67CD8" w:rsidP="00C550C3" w14:paraId="608752FD" w14:textId="77777777">
            <w:pPr>
              <w:jc w:val="center"/>
              <w:rPr>
                <w:b/>
                <w:sz w:val="22"/>
                <w:szCs w:val="22"/>
              </w:rPr>
            </w:pPr>
            <w:r w:rsidRPr="00B67CD8">
              <w:rPr>
                <w:b/>
                <w:sz w:val="22"/>
                <w:szCs w:val="22"/>
              </w:rPr>
              <w:t>Average burden per response (hours)</w:t>
            </w:r>
          </w:p>
        </w:tc>
        <w:tc>
          <w:tcPr>
            <w:tcW w:w="1506" w:type="dxa"/>
            <w:vAlign w:val="center"/>
          </w:tcPr>
          <w:p w:rsidR="003C7992" w:rsidRPr="00B67CD8" w:rsidP="00C550C3" w14:paraId="42879D56" w14:textId="77777777">
            <w:pPr>
              <w:jc w:val="center"/>
              <w:rPr>
                <w:b/>
                <w:sz w:val="22"/>
                <w:szCs w:val="22"/>
              </w:rPr>
            </w:pPr>
            <w:r w:rsidRPr="00B67CD8">
              <w:rPr>
                <w:b/>
                <w:sz w:val="22"/>
                <w:szCs w:val="22"/>
              </w:rPr>
              <w:t>Total annual burden (hours)</w:t>
            </w:r>
          </w:p>
        </w:tc>
      </w:tr>
      <w:tr w14:paraId="54AF53D9" w14:textId="77777777" w:rsidTr="00C8519D">
        <w:tblPrEx>
          <w:tblW w:w="9681" w:type="dxa"/>
          <w:tblInd w:w="0" w:type="dxa"/>
          <w:tblLayout w:type="fixed"/>
          <w:tblLook w:val="04A0"/>
        </w:tblPrEx>
        <w:tc>
          <w:tcPr>
            <w:tcW w:w="2155" w:type="dxa"/>
          </w:tcPr>
          <w:p w:rsidR="003C7992" w:rsidRPr="00B67CD8" w:rsidP="00C550C3" w14:paraId="415FA1E2" w14:textId="6BDAF871">
            <w:pPr>
              <w:rPr>
                <w:sz w:val="22"/>
                <w:szCs w:val="22"/>
              </w:rPr>
            </w:pPr>
            <w:r w:rsidRPr="00B67CD8">
              <w:rPr>
                <w:sz w:val="22"/>
                <w:szCs w:val="22"/>
              </w:rPr>
              <w:t>Participating health departments</w:t>
            </w:r>
            <w:r w:rsidRPr="00B67CD8" w:rsidR="00816A21">
              <w:rPr>
                <w:sz w:val="22"/>
                <w:szCs w:val="22"/>
              </w:rPr>
              <w:t xml:space="preserve"> </w:t>
            </w:r>
            <w:r w:rsidRPr="00B67CD8">
              <w:rPr>
                <w:sz w:val="22"/>
                <w:szCs w:val="22"/>
              </w:rPr>
              <w:t xml:space="preserve">sharing case-level ED data with CDC through the NSSP </w:t>
            </w:r>
            <w:r w:rsidRPr="00B67CD8">
              <w:rPr>
                <w:sz w:val="22"/>
                <w:szCs w:val="22"/>
              </w:rPr>
              <w:t>BioSense</w:t>
            </w:r>
            <w:r w:rsidRPr="00B67CD8">
              <w:rPr>
                <w:sz w:val="22"/>
                <w:szCs w:val="22"/>
              </w:rPr>
              <w:t xml:space="preserve"> (OMB #0920-0824)* </w:t>
            </w:r>
          </w:p>
        </w:tc>
        <w:tc>
          <w:tcPr>
            <w:tcW w:w="1505" w:type="dxa"/>
          </w:tcPr>
          <w:p w:rsidR="003C7992" w:rsidRPr="00B67CD8" w:rsidP="00C550C3" w14:paraId="0CD22A87" w14:textId="687DCD42">
            <w:pPr>
              <w:rPr>
                <w:sz w:val="22"/>
                <w:szCs w:val="22"/>
                <w:highlight w:val="yellow"/>
              </w:rPr>
            </w:pPr>
            <w:r w:rsidRPr="00B67CD8">
              <w:rPr>
                <w:sz w:val="22"/>
                <w:szCs w:val="22"/>
              </w:rPr>
              <w:t>ED form (</w:t>
            </w:r>
            <w:r w:rsidRPr="00B67CD8" w:rsidR="00C00CFD">
              <w:rPr>
                <w:i/>
                <w:iCs/>
                <w:sz w:val="22"/>
                <w:szCs w:val="22"/>
              </w:rPr>
              <w:t>ED violence data form</w:t>
            </w:r>
            <w:r w:rsidRPr="00B67CD8" w:rsidR="00C00CFD">
              <w:rPr>
                <w:sz w:val="22"/>
                <w:szCs w:val="22"/>
              </w:rPr>
              <w:t>)</w:t>
            </w:r>
            <w:r w:rsidRPr="00B67CD8">
              <w:rPr>
                <w:sz w:val="22"/>
                <w:szCs w:val="22"/>
              </w:rPr>
              <w:t xml:space="preserve"> </w:t>
            </w:r>
          </w:p>
        </w:tc>
        <w:tc>
          <w:tcPr>
            <w:tcW w:w="1505" w:type="dxa"/>
            <w:vAlign w:val="center"/>
          </w:tcPr>
          <w:p w:rsidR="003C7992" w:rsidRPr="00B67CD8" w:rsidP="00C550C3" w14:paraId="75B64532" w14:textId="77777777">
            <w:pPr>
              <w:jc w:val="center"/>
              <w:rPr>
                <w:sz w:val="22"/>
                <w:szCs w:val="22"/>
              </w:rPr>
            </w:pPr>
            <w:r w:rsidRPr="00B67CD8">
              <w:rPr>
                <w:sz w:val="22"/>
                <w:szCs w:val="22"/>
              </w:rPr>
              <w:t>10</w:t>
            </w:r>
          </w:p>
        </w:tc>
        <w:tc>
          <w:tcPr>
            <w:tcW w:w="1505" w:type="dxa"/>
            <w:vAlign w:val="center"/>
          </w:tcPr>
          <w:p w:rsidR="003C7992" w:rsidRPr="00B67CD8" w:rsidP="00C550C3" w14:paraId="6C898C4B" w14:textId="77777777">
            <w:pPr>
              <w:jc w:val="center"/>
              <w:rPr>
                <w:sz w:val="22"/>
                <w:szCs w:val="22"/>
              </w:rPr>
            </w:pPr>
            <w:r w:rsidRPr="00B67CD8">
              <w:rPr>
                <w:sz w:val="22"/>
                <w:szCs w:val="22"/>
              </w:rPr>
              <w:t>6</w:t>
            </w:r>
          </w:p>
        </w:tc>
        <w:tc>
          <w:tcPr>
            <w:tcW w:w="1505" w:type="dxa"/>
            <w:vAlign w:val="center"/>
          </w:tcPr>
          <w:p w:rsidR="003C7992" w:rsidRPr="00B67CD8" w:rsidP="00C550C3" w14:paraId="73D80045" w14:textId="77777777">
            <w:pPr>
              <w:jc w:val="center"/>
              <w:rPr>
                <w:sz w:val="22"/>
                <w:szCs w:val="22"/>
              </w:rPr>
            </w:pPr>
            <w:r w:rsidRPr="00B67CD8">
              <w:rPr>
                <w:sz w:val="22"/>
                <w:szCs w:val="22"/>
              </w:rPr>
              <w:t>30/60</w:t>
            </w:r>
          </w:p>
        </w:tc>
        <w:tc>
          <w:tcPr>
            <w:tcW w:w="1506" w:type="dxa"/>
            <w:vAlign w:val="center"/>
          </w:tcPr>
          <w:p w:rsidR="003C7992" w:rsidRPr="00B67CD8" w:rsidP="00C550C3" w14:paraId="408F4DFA" w14:textId="77777777">
            <w:pPr>
              <w:jc w:val="center"/>
              <w:rPr>
                <w:sz w:val="22"/>
                <w:szCs w:val="22"/>
              </w:rPr>
            </w:pPr>
            <w:r w:rsidRPr="00B67CD8">
              <w:rPr>
                <w:sz w:val="22"/>
                <w:szCs w:val="22"/>
              </w:rPr>
              <w:t>30</w:t>
            </w:r>
          </w:p>
        </w:tc>
      </w:tr>
      <w:tr w14:paraId="29E03CE3" w14:textId="77777777" w:rsidTr="00C8519D">
        <w:tblPrEx>
          <w:tblW w:w="9681" w:type="dxa"/>
          <w:tblInd w:w="0" w:type="dxa"/>
          <w:tblLayout w:type="fixed"/>
          <w:tblLook w:val="04A0"/>
        </w:tblPrEx>
        <w:tc>
          <w:tcPr>
            <w:tcW w:w="2155" w:type="dxa"/>
            <w:vAlign w:val="center"/>
          </w:tcPr>
          <w:p w:rsidR="003C7992" w:rsidRPr="00B67CD8" w:rsidP="00C550C3" w14:paraId="6530987A" w14:textId="77777777">
            <w:pPr>
              <w:rPr>
                <w:sz w:val="22"/>
                <w:szCs w:val="22"/>
              </w:rPr>
            </w:pPr>
            <w:r w:rsidRPr="00B67CD8">
              <w:rPr>
                <w:b/>
                <w:sz w:val="22"/>
                <w:szCs w:val="22"/>
              </w:rPr>
              <w:t>Total</w:t>
            </w:r>
          </w:p>
        </w:tc>
        <w:tc>
          <w:tcPr>
            <w:tcW w:w="1505" w:type="dxa"/>
            <w:vAlign w:val="center"/>
          </w:tcPr>
          <w:p w:rsidR="003C7992" w:rsidRPr="00B67CD8" w:rsidP="00C550C3" w14:paraId="145668B3" w14:textId="77777777">
            <w:pPr>
              <w:rPr>
                <w:sz w:val="22"/>
                <w:szCs w:val="22"/>
              </w:rPr>
            </w:pPr>
          </w:p>
        </w:tc>
        <w:tc>
          <w:tcPr>
            <w:tcW w:w="1505" w:type="dxa"/>
            <w:vAlign w:val="center"/>
          </w:tcPr>
          <w:p w:rsidR="003C7992" w:rsidRPr="00B67CD8" w:rsidP="00C550C3" w14:paraId="51FB4F7A" w14:textId="77777777">
            <w:pPr>
              <w:jc w:val="center"/>
              <w:rPr>
                <w:sz w:val="22"/>
                <w:szCs w:val="22"/>
              </w:rPr>
            </w:pPr>
          </w:p>
        </w:tc>
        <w:tc>
          <w:tcPr>
            <w:tcW w:w="1505" w:type="dxa"/>
            <w:vAlign w:val="center"/>
          </w:tcPr>
          <w:p w:rsidR="003C7992" w:rsidRPr="00B67CD8" w:rsidP="00C550C3" w14:paraId="3124DADB" w14:textId="77777777">
            <w:pPr>
              <w:jc w:val="center"/>
              <w:rPr>
                <w:sz w:val="22"/>
                <w:szCs w:val="22"/>
              </w:rPr>
            </w:pPr>
          </w:p>
        </w:tc>
        <w:tc>
          <w:tcPr>
            <w:tcW w:w="1505" w:type="dxa"/>
            <w:vAlign w:val="center"/>
          </w:tcPr>
          <w:p w:rsidR="003C7992" w:rsidRPr="00B67CD8" w:rsidP="00C550C3" w14:paraId="6DECCDBC" w14:textId="77777777">
            <w:pPr>
              <w:jc w:val="center"/>
              <w:rPr>
                <w:sz w:val="22"/>
                <w:szCs w:val="22"/>
              </w:rPr>
            </w:pPr>
          </w:p>
        </w:tc>
        <w:tc>
          <w:tcPr>
            <w:tcW w:w="1506" w:type="dxa"/>
            <w:vAlign w:val="center"/>
          </w:tcPr>
          <w:p w:rsidR="003C7992" w:rsidRPr="00B67CD8" w:rsidP="00C550C3" w14:paraId="309D9EC2" w14:textId="77777777">
            <w:pPr>
              <w:jc w:val="center"/>
              <w:rPr>
                <w:sz w:val="22"/>
                <w:szCs w:val="22"/>
              </w:rPr>
            </w:pPr>
            <w:r w:rsidRPr="00B67CD8">
              <w:rPr>
                <w:sz w:val="22"/>
                <w:szCs w:val="22"/>
              </w:rPr>
              <w:t>30</w:t>
            </w:r>
          </w:p>
        </w:tc>
      </w:tr>
    </w:tbl>
    <w:p w:rsidR="003C7992" w:rsidRPr="00B67CD8" w:rsidP="003C7992" w14:paraId="1A8CA416" w14:textId="77777777">
      <w:pPr>
        <w:rPr>
          <w:szCs w:val="20"/>
        </w:rPr>
      </w:pPr>
      <w:r w:rsidRPr="00B67CD8">
        <w:rPr>
          <w:szCs w:val="20"/>
        </w:rPr>
        <w:t>* The reporting burden for jurisdictions sharing case-level ED data with CDC is substantially lower because CDC completes most of the form for the jurisdiction and only needs to consult with the jurisdiction on completing the metadata.</w:t>
      </w:r>
    </w:p>
    <w:p w:rsidR="003C7992" w:rsidRPr="00B67CD8" w:rsidP="003C7992" w14:paraId="207FAEBE" w14:textId="77777777"/>
    <w:p w:rsidR="003C7992" w:rsidRPr="00F77F01" w:rsidP="003C7992" w14:paraId="5D5F8531" w14:textId="77777777">
      <w:pPr>
        <w:rPr>
          <w:b/>
          <w:bCs/>
        </w:rPr>
      </w:pPr>
      <w:r w:rsidRPr="00F77F01">
        <w:rPr>
          <w:b/>
          <w:bCs/>
        </w:rPr>
        <w:t>Estimates of annualized respondent burden costs:</w:t>
      </w:r>
    </w:p>
    <w:p w:rsidR="003C7992" w:rsidRPr="00F77F01" w:rsidP="003C7992" w14:paraId="34857E4C" w14:textId="77777777">
      <w:pPr>
        <w:rPr>
          <w:b/>
          <w:bCs/>
        </w:rPr>
      </w:pPr>
    </w:p>
    <w:p w:rsidR="0014146B" w:rsidRPr="00F77F01" w:rsidP="003C7992" w14:paraId="2A982EBA" w14:textId="69A7C217">
      <w:pPr>
        <w:rPr>
          <w:bCs/>
        </w:rPr>
      </w:pPr>
      <w:r w:rsidRPr="00F77F01">
        <w:rPr>
          <w:bCs/>
        </w:rPr>
        <w:t>Because staff retrieving and sharing specified data with CDC will vary substantially across organizations, the mean hourly wage of federal, state, and local government employees (</w:t>
      </w:r>
      <w:r w:rsidRPr="00B67CD8">
        <w:t>$30.85</w:t>
      </w:r>
      <w:r w:rsidRPr="00F77F01">
        <w:rPr>
          <w:bCs/>
        </w:rPr>
        <w:t>) as estimated by the Bureau of Labor Statistics (</w:t>
      </w:r>
      <w:hyperlink r:id="rId11" w:anchor="00-0000" w:history="1">
        <w:r w:rsidRPr="00F77F01">
          <w:rPr>
            <w:rStyle w:val="Hyperlink"/>
            <w:bCs/>
            <w:color w:val="auto"/>
          </w:rPr>
          <w:t>https://www.bls.gov/oes/current/999001.htm#00-0000</w:t>
        </w:r>
      </w:hyperlink>
      <w:r w:rsidRPr="00F77F01">
        <w:rPr>
          <w:bCs/>
        </w:rPr>
        <w:t>, accessed on 02Feb2023) was used to estimate burden costs</w:t>
      </w:r>
      <w:r w:rsidRPr="00F77F01">
        <w:rPr>
          <w:bCs/>
        </w:rPr>
        <w:t xml:space="preserve"> (Table 4)</w:t>
      </w:r>
      <w:r w:rsidRPr="00F77F01">
        <w:rPr>
          <w:bCs/>
        </w:rPr>
        <w:t>.</w:t>
      </w:r>
    </w:p>
    <w:p w:rsidR="0014146B" w:rsidRPr="00F77F01" w:rsidP="003C7992" w14:paraId="1C39C34A" w14:textId="77777777">
      <w:pPr>
        <w:rPr>
          <w:bCs/>
        </w:rPr>
      </w:pPr>
    </w:p>
    <w:p w:rsidR="003C7992" w:rsidRPr="00B67CD8" w:rsidP="003C7992" w14:paraId="48BABD0B" w14:textId="62B5097E">
      <w:r w:rsidRPr="00F77F01">
        <w:rPr>
          <w:b/>
          <w:bCs/>
        </w:rPr>
        <w:t xml:space="preserve">Table </w:t>
      </w:r>
      <w:r w:rsidRPr="00F77F01" w:rsidR="0014146B">
        <w:rPr>
          <w:b/>
          <w:bCs/>
        </w:rPr>
        <w:t>4</w:t>
      </w:r>
      <w:r w:rsidRPr="00F77F01">
        <w:rPr>
          <w:b/>
          <w:bCs/>
        </w:rPr>
        <w:t>. Estimates of annualized respondent burden costs</w:t>
      </w:r>
    </w:p>
    <w:tbl>
      <w:tblPr>
        <w:tblStyle w:val="TableGrid"/>
        <w:tblW w:w="9522" w:type="dxa"/>
        <w:jc w:val="center"/>
        <w:tblInd w:w="0" w:type="dxa"/>
        <w:tblLayout w:type="fixed"/>
        <w:tblLook w:val="04A0"/>
      </w:tblPr>
      <w:tblGrid>
        <w:gridCol w:w="2070"/>
        <w:gridCol w:w="1490"/>
        <w:gridCol w:w="1490"/>
        <w:gridCol w:w="1491"/>
        <w:gridCol w:w="1490"/>
        <w:gridCol w:w="1491"/>
      </w:tblGrid>
      <w:tr w14:paraId="5DB57F66" w14:textId="77777777" w:rsidTr="0014146B">
        <w:tblPrEx>
          <w:tblW w:w="9522" w:type="dxa"/>
          <w:jc w:val="center"/>
          <w:tblInd w:w="0" w:type="dxa"/>
          <w:tblLayout w:type="fixed"/>
          <w:tblLook w:val="04A0"/>
        </w:tblPrEx>
        <w:trPr>
          <w:trHeight w:val="2063"/>
          <w:jc w:val="center"/>
        </w:trPr>
        <w:tc>
          <w:tcPr>
            <w:tcW w:w="2070" w:type="dxa"/>
            <w:vAlign w:val="center"/>
          </w:tcPr>
          <w:p w:rsidR="003C7992" w:rsidRPr="00B67CD8" w:rsidP="00C550C3" w14:paraId="3EF33593" w14:textId="77777777">
            <w:pPr>
              <w:jc w:val="center"/>
              <w:rPr>
                <w:b/>
                <w:sz w:val="22"/>
                <w:szCs w:val="22"/>
              </w:rPr>
            </w:pPr>
            <w:r w:rsidRPr="00B67CD8">
              <w:rPr>
                <w:b/>
                <w:sz w:val="22"/>
                <w:szCs w:val="22"/>
              </w:rPr>
              <w:t>Type of respondent</w:t>
            </w:r>
          </w:p>
        </w:tc>
        <w:tc>
          <w:tcPr>
            <w:tcW w:w="1490" w:type="dxa"/>
            <w:vAlign w:val="center"/>
          </w:tcPr>
          <w:p w:rsidR="003C7992" w:rsidRPr="00B67CD8" w:rsidP="00C550C3" w14:paraId="135B156F" w14:textId="77777777">
            <w:pPr>
              <w:jc w:val="center"/>
              <w:rPr>
                <w:b/>
                <w:sz w:val="22"/>
                <w:szCs w:val="22"/>
              </w:rPr>
            </w:pPr>
            <w:r w:rsidRPr="00B67CD8">
              <w:rPr>
                <w:b/>
                <w:sz w:val="22"/>
                <w:szCs w:val="22"/>
              </w:rPr>
              <w:t>No. of respondents</w:t>
            </w:r>
          </w:p>
        </w:tc>
        <w:tc>
          <w:tcPr>
            <w:tcW w:w="1490" w:type="dxa"/>
            <w:vAlign w:val="center"/>
          </w:tcPr>
          <w:p w:rsidR="003C7992" w:rsidRPr="00B67CD8" w:rsidP="00C550C3" w14:paraId="2851EC50" w14:textId="77777777">
            <w:pPr>
              <w:jc w:val="center"/>
              <w:rPr>
                <w:b/>
                <w:sz w:val="22"/>
                <w:szCs w:val="22"/>
              </w:rPr>
            </w:pPr>
            <w:r w:rsidRPr="00B67CD8">
              <w:rPr>
                <w:b/>
                <w:sz w:val="22"/>
                <w:szCs w:val="22"/>
              </w:rPr>
              <w:t>No. of responses per respondent</w:t>
            </w:r>
          </w:p>
        </w:tc>
        <w:tc>
          <w:tcPr>
            <w:tcW w:w="1491" w:type="dxa"/>
            <w:vAlign w:val="center"/>
          </w:tcPr>
          <w:p w:rsidR="003C7992" w:rsidRPr="00B67CD8" w:rsidP="00C550C3" w14:paraId="69E37A3F" w14:textId="77777777">
            <w:pPr>
              <w:jc w:val="center"/>
              <w:rPr>
                <w:b/>
                <w:sz w:val="22"/>
                <w:szCs w:val="22"/>
              </w:rPr>
            </w:pPr>
            <w:r w:rsidRPr="00B67CD8">
              <w:rPr>
                <w:b/>
                <w:sz w:val="22"/>
                <w:szCs w:val="22"/>
              </w:rPr>
              <w:t>Total burden (hours)</w:t>
            </w:r>
          </w:p>
        </w:tc>
        <w:tc>
          <w:tcPr>
            <w:tcW w:w="1490" w:type="dxa"/>
            <w:vAlign w:val="center"/>
          </w:tcPr>
          <w:p w:rsidR="003C7992" w:rsidRPr="00B67CD8" w:rsidP="00C550C3" w14:paraId="56D5C423" w14:textId="77777777">
            <w:pPr>
              <w:jc w:val="center"/>
              <w:rPr>
                <w:b/>
                <w:sz w:val="22"/>
                <w:szCs w:val="22"/>
              </w:rPr>
            </w:pPr>
            <w:r w:rsidRPr="00B67CD8">
              <w:rPr>
                <w:b/>
                <w:sz w:val="22"/>
                <w:szCs w:val="22"/>
              </w:rPr>
              <w:t>Hourly wage rate</w:t>
            </w:r>
          </w:p>
        </w:tc>
        <w:tc>
          <w:tcPr>
            <w:tcW w:w="1491" w:type="dxa"/>
            <w:vAlign w:val="center"/>
          </w:tcPr>
          <w:p w:rsidR="003C7992" w:rsidRPr="00B67CD8" w:rsidP="00C550C3" w14:paraId="61D25937" w14:textId="77777777">
            <w:pPr>
              <w:jc w:val="center"/>
              <w:rPr>
                <w:b/>
                <w:sz w:val="22"/>
                <w:szCs w:val="22"/>
              </w:rPr>
            </w:pPr>
            <w:r w:rsidRPr="00B67CD8">
              <w:rPr>
                <w:b/>
                <w:sz w:val="22"/>
                <w:szCs w:val="22"/>
              </w:rPr>
              <w:t>Total respondent cost</w:t>
            </w:r>
          </w:p>
        </w:tc>
      </w:tr>
      <w:tr w14:paraId="48966D90" w14:textId="77777777" w:rsidTr="0014146B">
        <w:tblPrEx>
          <w:tblW w:w="9522" w:type="dxa"/>
          <w:jc w:val="center"/>
          <w:tblInd w:w="0" w:type="dxa"/>
          <w:tblLayout w:type="fixed"/>
          <w:tblLook w:val="04A0"/>
        </w:tblPrEx>
        <w:trPr>
          <w:trHeight w:val="1457"/>
          <w:jc w:val="center"/>
        </w:trPr>
        <w:tc>
          <w:tcPr>
            <w:tcW w:w="2070" w:type="dxa"/>
          </w:tcPr>
          <w:p w:rsidR="003C7992" w:rsidRPr="00B67CD8" w:rsidP="00C550C3" w14:paraId="16E565E4" w14:textId="77777777">
            <w:pPr>
              <w:rPr>
                <w:sz w:val="22"/>
                <w:szCs w:val="22"/>
              </w:rPr>
            </w:pPr>
            <w:r w:rsidRPr="00B67CD8">
              <w:rPr>
                <w:sz w:val="22"/>
                <w:szCs w:val="22"/>
              </w:rPr>
              <w:t xml:space="preserve">Participating health departments sharing case-level ED data with CDC through the NSSP </w:t>
            </w:r>
            <w:r w:rsidRPr="00B67CD8">
              <w:rPr>
                <w:sz w:val="22"/>
                <w:szCs w:val="22"/>
              </w:rPr>
              <w:t>BioSense</w:t>
            </w:r>
            <w:r w:rsidRPr="00B67CD8">
              <w:rPr>
                <w:sz w:val="22"/>
                <w:szCs w:val="22"/>
              </w:rPr>
              <w:t xml:space="preserve"> (OMB #0920-0824)*</w:t>
            </w:r>
          </w:p>
        </w:tc>
        <w:tc>
          <w:tcPr>
            <w:tcW w:w="1490" w:type="dxa"/>
            <w:vAlign w:val="center"/>
          </w:tcPr>
          <w:p w:rsidR="003C7992" w:rsidRPr="00B67CD8" w:rsidP="00C550C3" w14:paraId="79829CA3" w14:textId="77777777">
            <w:pPr>
              <w:jc w:val="center"/>
              <w:rPr>
                <w:sz w:val="22"/>
                <w:szCs w:val="22"/>
                <w:highlight w:val="yellow"/>
              </w:rPr>
            </w:pPr>
            <w:r w:rsidRPr="00B67CD8">
              <w:rPr>
                <w:sz w:val="22"/>
                <w:szCs w:val="22"/>
              </w:rPr>
              <w:t>10</w:t>
            </w:r>
          </w:p>
        </w:tc>
        <w:tc>
          <w:tcPr>
            <w:tcW w:w="1490" w:type="dxa"/>
            <w:vAlign w:val="center"/>
          </w:tcPr>
          <w:p w:rsidR="003C7992" w:rsidRPr="00B67CD8" w:rsidP="00C550C3" w14:paraId="22C01DFD" w14:textId="77777777">
            <w:pPr>
              <w:jc w:val="center"/>
              <w:rPr>
                <w:sz w:val="22"/>
                <w:szCs w:val="22"/>
              </w:rPr>
            </w:pPr>
            <w:r w:rsidRPr="00B67CD8">
              <w:rPr>
                <w:sz w:val="22"/>
                <w:szCs w:val="22"/>
              </w:rPr>
              <w:t>6</w:t>
            </w:r>
          </w:p>
        </w:tc>
        <w:tc>
          <w:tcPr>
            <w:tcW w:w="1491" w:type="dxa"/>
            <w:vAlign w:val="center"/>
          </w:tcPr>
          <w:p w:rsidR="003C7992" w:rsidRPr="00B67CD8" w:rsidP="00C550C3" w14:paraId="3F4B47A8" w14:textId="77777777">
            <w:pPr>
              <w:jc w:val="center"/>
              <w:rPr>
                <w:sz w:val="22"/>
                <w:szCs w:val="22"/>
              </w:rPr>
            </w:pPr>
            <w:r w:rsidRPr="00B67CD8">
              <w:rPr>
                <w:sz w:val="22"/>
                <w:szCs w:val="22"/>
              </w:rPr>
              <w:t>30</w:t>
            </w:r>
          </w:p>
        </w:tc>
        <w:tc>
          <w:tcPr>
            <w:tcW w:w="1490" w:type="dxa"/>
            <w:vAlign w:val="center"/>
          </w:tcPr>
          <w:p w:rsidR="003C7992" w:rsidRPr="00B67CD8" w:rsidP="00C550C3" w14:paraId="4608BC37" w14:textId="77777777">
            <w:pPr>
              <w:jc w:val="center"/>
              <w:rPr>
                <w:sz w:val="22"/>
                <w:szCs w:val="22"/>
              </w:rPr>
            </w:pPr>
            <w:r w:rsidRPr="00B67CD8">
              <w:rPr>
                <w:sz w:val="22"/>
                <w:szCs w:val="22"/>
              </w:rPr>
              <w:t>$30.85</w:t>
            </w:r>
          </w:p>
        </w:tc>
        <w:tc>
          <w:tcPr>
            <w:tcW w:w="1491" w:type="dxa"/>
            <w:vAlign w:val="center"/>
          </w:tcPr>
          <w:p w:rsidR="003C7992" w:rsidRPr="00B67CD8" w:rsidP="00C550C3" w14:paraId="58296F0F" w14:textId="77777777">
            <w:pPr>
              <w:jc w:val="center"/>
              <w:rPr>
                <w:sz w:val="22"/>
                <w:szCs w:val="22"/>
              </w:rPr>
            </w:pPr>
            <w:r w:rsidRPr="00B67CD8">
              <w:rPr>
                <w:sz w:val="22"/>
                <w:szCs w:val="22"/>
              </w:rPr>
              <w:t>$926</w:t>
            </w:r>
          </w:p>
        </w:tc>
      </w:tr>
      <w:tr w14:paraId="3808B15F" w14:textId="77777777" w:rsidTr="0014146B">
        <w:tblPrEx>
          <w:tblW w:w="9522" w:type="dxa"/>
          <w:jc w:val="center"/>
          <w:tblInd w:w="0" w:type="dxa"/>
          <w:tblLayout w:type="fixed"/>
          <w:tblLook w:val="04A0"/>
        </w:tblPrEx>
        <w:trPr>
          <w:trHeight w:val="366"/>
          <w:jc w:val="center"/>
        </w:trPr>
        <w:tc>
          <w:tcPr>
            <w:tcW w:w="2070" w:type="dxa"/>
            <w:vAlign w:val="center"/>
          </w:tcPr>
          <w:p w:rsidR="003C7992" w:rsidRPr="00B67CD8" w:rsidP="00C550C3" w14:paraId="4DF6025B" w14:textId="77777777">
            <w:pPr>
              <w:rPr>
                <w:sz w:val="22"/>
                <w:szCs w:val="22"/>
              </w:rPr>
            </w:pPr>
            <w:r w:rsidRPr="00B67CD8">
              <w:rPr>
                <w:b/>
                <w:sz w:val="22"/>
                <w:szCs w:val="22"/>
              </w:rPr>
              <w:t>Total</w:t>
            </w:r>
          </w:p>
        </w:tc>
        <w:tc>
          <w:tcPr>
            <w:tcW w:w="1490" w:type="dxa"/>
            <w:vAlign w:val="center"/>
          </w:tcPr>
          <w:p w:rsidR="003C7992" w:rsidRPr="00B67CD8" w:rsidP="00C550C3" w14:paraId="71C53D1D" w14:textId="77777777">
            <w:pPr>
              <w:rPr>
                <w:sz w:val="22"/>
                <w:szCs w:val="22"/>
              </w:rPr>
            </w:pPr>
          </w:p>
        </w:tc>
        <w:tc>
          <w:tcPr>
            <w:tcW w:w="1490" w:type="dxa"/>
            <w:vAlign w:val="center"/>
          </w:tcPr>
          <w:p w:rsidR="003C7992" w:rsidRPr="00B67CD8" w:rsidP="00C550C3" w14:paraId="36C67C7E" w14:textId="77777777">
            <w:pPr>
              <w:jc w:val="center"/>
              <w:rPr>
                <w:sz w:val="22"/>
                <w:szCs w:val="22"/>
              </w:rPr>
            </w:pPr>
          </w:p>
        </w:tc>
        <w:tc>
          <w:tcPr>
            <w:tcW w:w="1491" w:type="dxa"/>
            <w:vAlign w:val="center"/>
          </w:tcPr>
          <w:p w:rsidR="003C7992" w:rsidRPr="00B67CD8" w:rsidP="00C550C3" w14:paraId="77A2CA75" w14:textId="77777777">
            <w:pPr>
              <w:jc w:val="center"/>
              <w:rPr>
                <w:sz w:val="22"/>
                <w:szCs w:val="22"/>
              </w:rPr>
            </w:pPr>
          </w:p>
        </w:tc>
        <w:tc>
          <w:tcPr>
            <w:tcW w:w="1490" w:type="dxa"/>
            <w:vAlign w:val="center"/>
          </w:tcPr>
          <w:p w:rsidR="003C7992" w:rsidRPr="00B67CD8" w:rsidP="00C550C3" w14:paraId="3B3DDECB" w14:textId="77777777">
            <w:pPr>
              <w:jc w:val="center"/>
              <w:rPr>
                <w:sz w:val="22"/>
                <w:szCs w:val="22"/>
              </w:rPr>
            </w:pPr>
          </w:p>
        </w:tc>
        <w:tc>
          <w:tcPr>
            <w:tcW w:w="1491" w:type="dxa"/>
            <w:vAlign w:val="center"/>
          </w:tcPr>
          <w:p w:rsidR="003C7992" w:rsidRPr="00F77F01" w:rsidP="00C550C3" w14:paraId="4F98E7FD" w14:textId="77777777">
            <w:pPr>
              <w:widowControl/>
              <w:autoSpaceDE/>
              <w:autoSpaceDN/>
              <w:adjustRightInd/>
              <w:jc w:val="center"/>
              <w:rPr>
                <w:sz w:val="22"/>
                <w:szCs w:val="22"/>
              </w:rPr>
            </w:pPr>
            <w:r w:rsidRPr="00B67CD8">
              <w:rPr>
                <w:sz w:val="22"/>
                <w:szCs w:val="22"/>
              </w:rPr>
              <w:t xml:space="preserve">$926 </w:t>
            </w:r>
          </w:p>
        </w:tc>
      </w:tr>
    </w:tbl>
    <w:p w:rsidR="003C7992" w:rsidRPr="00B67CD8" w:rsidP="003C7992" w14:paraId="408968E5" w14:textId="77777777">
      <w:pPr>
        <w:rPr>
          <w:szCs w:val="20"/>
        </w:rPr>
      </w:pPr>
      <w:r w:rsidRPr="00B67CD8">
        <w:rPr>
          <w:szCs w:val="20"/>
        </w:rPr>
        <w:t>* The reporting burden for jurisdictions sharing case-level ED data with CDC is substantially lower because CDC completes most of the form for the jurisdiction and only needs to consult with the jurisdiction on completing the metadata.</w:t>
      </w:r>
    </w:p>
    <w:p w:rsidR="00C55DD2" w:rsidRPr="00B67CD8" w:rsidP="00E704DE" w14:paraId="16287F21" w14:textId="77777777">
      <w:pPr>
        <w:rPr>
          <w:b/>
        </w:rPr>
      </w:pPr>
    </w:p>
    <w:p w:rsidR="00972DEF" w:rsidRPr="00B67CD8" w:rsidP="00E704DE" w14:paraId="73DB7622" w14:textId="77777777">
      <w:pPr>
        <w:rPr>
          <w:b/>
        </w:rPr>
      </w:pPr>
      <w:r w:rsidRPr="00B67CD8">
        <w:rPr>
          <w:b/>
        </w:rPr>
        <w:t xml:space="preserve">A.13. </w:t>
      </w:r>
      <w:r w:rsidRPr="00B67CD8">
        <w:rPr>
          <w:b/>
        </w:rPr>
        <w:tab/>
        <w:t>Estimates of Other Total Annual Cost Burden to Respondents or Record Keepers</w:t>
      </w:r>
    </w:p>
    <w:p w:rsidR="00E704DE" w:rsidRPr="00B67CD8" w:rsidP="00E704DE" w14:paraId="5BE93A62" w14:textId="2A389882">
      <w:pPr>
        <w:rPr>
          <w:b/>
        </w:rPr>
      </w:pPr>
    </w:p>
    <w:p w:rsidR="00251B7A" w:rsidRPr="00B67CD8" w:rsidP="00251B7A" w14:paraId="1855DF63" w14:textId="1F1DD3BC">
      <w:r w:rsidRPr="00F77F01">
        <w:t xml:space="preserve">There will be no annual cost burden to respondents or record keepers resulting from this data/information collection.  </w:t>
      </w:r>
    </w:p>
    <w:p w:rsidR="00251B7A" w:rsidRPr="00B67CD8" w:rsidP="00E704DE" w14:paraId="583F881F" w14:textId="77777777">
      <w:pPr>
        <w:rPr>
          <w:b/>
        </w:rPr>
      </w:pPr>
    </w:p>
    <w:p w:rsidR="00972DEF" w:rsidRPr="00B67CD8" w:rsidP="00972DEF" w14:paraId="7DD0FEA0" w14:textId="77777777">
      <w:pPr>
        <w:autoSpaceDE w:val="0"/>
        <w:autoSpaceDN w:val="0"/>
        <w:adjustRightInd w:val="0"/>
      </w:pPr>
      <w:r w:rsidRPr="00B67CD8">
        <w:rPr>
          <w:b/>
          <w:bCs/>
        </w:rPr>
        <w:t xml:space="preserve">A.14. </w:t>
      </w:r>
      <w:r w:rsidRPr="00B67CD8">
        <w:rPr>
          <w:b/>
          <w:bCs/>
        </w:rPr>
        <w:tab/>
        <w:t xml:space="preserve">Annualized Cost to the Government </w:t>
      </w:r>
    </w:p>
    <w:p w:rsidR="0012575C" w:rsidRPr="00B67CD8" w:rsidP="00013F0A" w14:paraId="384BA73E" w14:textId="77777777">
      <w:pPr>
        <w:pStyle w:val="SL-FlLftSgl"/>
      </w:pPr>
    </w:p>
    <w:p w:rsidR="00D140BB" w:rsidRPr="00B67CD8" w:rsidP="00D140BB" w14:paraId="5FA76BFB" w14:textId="53DF4CF0">
      <w:r w:rsidRPr="00B67CD8">
        <w:t xml:space="preserve">AVERT costs to the government are described in Table </w:t>
      </w:r>
      <w:r w:rsidRPr="00B67CD8" w:rsidR="0014146B">
        <w:t>5.</w:t>
      </w:r>
      <w:r w:rsidRPr="00B67CD8">
        <w:t xml:space="preserve"> </w:t>
      </w:r>
    </w:p>
    <w:p w:rsidR="00D140BB" w:rsidRPr="00B67CD8" w:rsidP="00D140BB" w14:paraId="083EDF27" w14:textId="77777777"/>
    <w:p w:rsidR="007C0A77" w:rsidRPr="00B67CD8" w:rsidP="00D140BB" w14:paraId="3CEF025D" w14:textId="0F243FF0">
      <w:r w:rsidRPr="00B67CD8">
        <w:rPr>
          <w:b/>
          <w:bCs/>
        </w:rPr>
        <w:t xml:space="preserve">Table </w:t>
      </w:r>
      <w:r w:rsidRPr="00B67CD8" w:rsidR="0014146B">
        <w:rPr>
          <w:b/>
          <w:bCs/>
        </w:rPr>
        <w:t>5</w:t>
      </w:r>
      <w:r w:rsidRPr="00B67CD8">
        <w:rPr>
          <w:b/>
          <w:bCs/>
        </w:rPr>
        <w:t xml:space="preserve">. </w:t>
      </w:r>
      <w:r w:rsidRPr="00B67CD8" w:rsidR="00097656">
        <w:rPr>
          <w:b/>
        </w:rPr>
        <w:t xml:space="preserve">AVERT Government Costs </w:t>
      </w:r>
    </w:p>
    <w:tbl>
      <w:tblPr>
        <w:tblW w:w="9900"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00"/>
      </w:tblPr>
      <w:tblGrid>
        <w:gridCol w:w="2605"/>
        <w:gridCol w:w="5135"/>
        <w:gridCol w:w="2160"/>
      </w:tblGrid>
      <w:tr w14:paraId="220EEC70" w14:textId="77777777" w:rsidTr="00D140BB">
        <w:tblPrEx>
          <w:tblW w:w="9900"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00"/>
        </w:tblPrEx>
        <w:trPr>
          <w:trHeight w:val="432"/>
          <w:jc w:val="center"/>
        </w:trPr>
        <w:tc>
          <w:tcPr>
            <w:tcW w:w="2605" w:type="dxa"/>
            <w:shd w:val="clear" w:color="auto" w:fill="auto"/>
            <w:vAlign w:val="center"/>
          </w:tcPr>
          <w:p w:rsidR="00BA69DB" w:rsidRPr="00B67CD8" w:rsidP="00D140BB" w14:paraId="2EE6BEEA" w14:textId="77777777">
            <w:pPr>
              <w:jc w:val="center"/>
              <w:rPr>
                <w:b/>
                <w:bCs/>
                <w:sz w:val="22"/>
                <w:szCs w:val="22"/>
              </w:rPr>
            </w:pPr>
            <w:r w:rsidRPr="00B67CD8">
              <w:rPr>
                <w:b/>
                <w:bCs/>
                <w:sz w:val="22"/>
                <w:szCs w:val="22"/>
              </w:rPr>
              <w:t>Personnel</w:t>
            </w:r>
          </w:p>
        </w:tc>
        <w:tc>
          <w:tcPr>
            <w:tcW w:w="5135" w:type="dxa"/>
            <w:shd w:val="clear" w:color="auto" w:fill="auto"/>
            <w:vAlign w:val="center"/>
          </w:tcPr>
          <w:p w:rsidR="00BA69DB" w:rsidRPr="00B67CD8" w:rsidP="00D140BB" w14:paraId="043ECEFD" w14:textId="77777777">
            <w:pPr>
              <w:jc w:val="center"/>
              <w:rPr>
                <w:b/>
                <w:bCs/>
                <w:sz w:val="22"/>
                <w:szCs w:val="22"/>
              </w:rPr>
            </w:pPr>
            <w:r w:rsidRPr="00B67CD8">
              <w:rPr>
                <w:b/>
                <w:bCs/>
                <w:sz w:val="22"/>
                <w:szCs w:val="22"/>
              </w:rPr>
              <w:t>Tasks</w:t>
            </w:r>
          </w:p>
        </w:tc>
        <w:tc>
          <w:tcPr>
            <w:tcW w:w="2160" w:type="dxa"/>
            <w:shd w:val="clear" w:color="auto" w:fill="auto"/>
            <w:vAlign w:val="center"/>
          </w:tcPr>
          <w:p w:rsidR="00BA69DB" w:rsidRPr="00B67CD8" w:rsidP="00D140BB" w14:paraId="62F6685F" w14:textId="77777777">
            <w:pPr>
              <w:jc w:val="center"/>
              <w:rPr>
                <w:b/>
                <w:bCs/>
                <w:sz w:val="22"/>
                <w:szCs w:val="22"/>
              </w:rPr>
            </w:pPr>
            <w:r w:rsidRPr="00B67CD8">
              <w:rPr>
                <w:b/>
                <w:bCs/>
                <w:sz w:val="22"/>
                <w:szCs w:val="22"/>
              </w:rPr>
              <w:t>Avg. cost/yr.</w:t>
            </w:r>
          </w:p>
        </w:tc>
      </w:tr>
      <w:tr w14:paraId="304C358C" w14:textId="77777777" w:rsidTr="00D140BB">
        <w:tblPrEx>
          <w:tblW w:w="9900" w:type="dxa"/>
          <w:jc w:val="center"/>
          <w:tblLayout w:type="fixed"/>
          <w:tblLook w:val="0000"/>
        </w:tblPrEx>
        <w:trPr>
          <w:trHeight w:val="576"/>
          <w:jc w:val="center"/>
        </w:trPr>
        <w:tc>
          <w:tcPr>
            <w:tcW w:w="2605" w:type="dxa"/>
            <w:shd w:val="clear" w:color="auto" w:fill="auto"/>
            <w:vAlign w:val="center"/>
          </w:tcPr>
          <w:p w:rsidR="00BA69DB" w:rsidRPr="00B67CD8" w:rsidP="00D140BB" w14:paraId="31915C0E" w14:textId="0A0EB066">
            <w:pPr>
              <w:rPr>
                <w:sz w:val="22"/>
                <w:szCs w:val="22"/>
              </w:rPr>
            </w:pPr>
            <w:r w:rsidRPr="00B67CD8">
              <w:rPr>
                <w:sz w:val="22"/>
                <w:szCs w:val="22"/>
              </w:rPr>
              <w:t>Senior Scientist</w:t>
            </w:r>
            <w:r w:rsidRPr="00B67CD8" w:rsidR="00344FB9">
              <w:rPr>
                <w:sz w:val="22"/>
                <w:szCs w:val="22"/>
              </w:rPr>
              <w:t xml:space="preserve"> (50%) </w:t>
            </w:r>
          </w:p>
        </w:tc>
        <w:tc>
          <w:tcPr>
            <w:tcW w:w="5135" w:type="dxa"/>
            <w:shd w:val="clear" w:color="auto" w:fill="auto"/>
            <w:vAlign w:val="center"/>
          </w:tcPr>
          <w:p w:rsidR="00BA69DB" w:rsidRPr="00B67CD8" w:rsidP="004D6497" w14:paraId="308556FC" w14:textId="35D9B568">
            <w:pPr>
              <w:pStyle w:val="ListParagraph"/>
              <w:numPr>
                <w:ilvl w:val="0"/>
                <w:numId w:val="11"/>
              </w:numPr>
              <w:rPr>
                <w:sz w:val="22"/>
                <w:szCs w:val="22"/>
              </w:rPr>
            </w:pPr>
            <w:r w:rsidRPr="00B67CD8">
              <w:rPr>
                <w:sz w:val="22"/>
                <w:szCs w:val="22"/>
              </w:rPr>
              <w:t>Program oversight</w:t>
            </w:r>
            <w:r w:rsidRPr="00B67CD8" w:rsidR="00344FB9">
              <w:rPr>
                <w:sz w:val="22"/>
                <w:szCs w:val="22"/>
              </w:rPr>
              <w:t xml:space="preserve"> and strategic direction </w:t>
            </w:r>
          </w:p>
        </w:tc>
        <w:tc>
          <w:tcPr>
            <w:tcW w:w="2160" w:type="dxa"/>
            <w:shd w:val="clear" w:color="auto" w:fill="auto"/>
            <w:vAlign w:val="center"/>
          </w:tcPr>
          <w:p w:rsidR="00BA69DB" w:rsidRPr="00B67CD8" w:rsidP="00D140BB" w14:paraId="0666C97B" w14:textId="5038563E">
            <w:pPr>
              <w:jc w:val="right"/>
              <w:rPr>
                <w:sz w:val="22"/>
                <w:szCs w:val="22"/>
              </w:rPr>
            </w:pPr>
            <w:r w:rsidRPr="00B67CD8">
              <w:rPr>
                <w:sz w:val="22"/>
                <w:szCs w:val="22"/>
              </w:rPr>
              <w:t>$80,000</w:t>
            </w:r>
          </w:p>
        </w:tc>
      </w:tr>
      <w:tr w14:paraId="7C862CE3" w14:textId="77777777" w:rsidTr="00D140BB">
        <w:tblPrEx>
          <w:tblW w:w="9900" w:type="dxa"/>
          <w:jc w:val="center"/>
          <w:tblLayout w:type="fixed"/>
          <w:tblLook w:val="0000"/>
        </w:tblPrEx>
        <w:trPr>
          <w:trHeight w:val="576"/>
          <w:jc w:val="center"/>
        </w:trPr>
        <w:tc>
          <w:tcPr>
            <w:tcW w:w="2605" w:type="dxa"/>
            <w:shd w:val="clear" w:color="auto" w:fill="auto"/>
            <w:vAlign w:val="center"/>
          </w:tcPr>
          <w:p w:rsidR="00BA69DB" w:rsidRPr="00B67CD8" w:rsidP="00D140BB" w14:paraId="76AF08BC" w14:textId="791A1E1A">
            <w:pPr>
              <w:rPr>
                <w:sz w:val="22"/>
                <w:szCs w:val="22"/>
              </w:rPr>
            </w:pPr>
            <w:r w:rsidRPr="00B67CD8">
              <w:rPr>
                <w:sz w:val="22"/>
                <w:szCs w:val="22"/>
              </w:rPr>
              <w:t xml:space="preserve">2 Epidemiologists (75%) </w:t>
            </w:r>
          </w:p>
        </w:tc>
        <w:tc>
          <w:tcPr>
            <w:tcW w:w="5135" w:type="dxa"/>
            <w:shd w:val="clear" w:color="auto" w:fill="auto"/>
            <w:vAlign w:val="center"/>
          </w:tcPr>
          <w:p w:rsidR="00BA69DB" w:rsidRPr="00B67CD8" w:rsidP="004D6497" w14:paraId="33EEFC13" w14:textId="77777777">
            <w:pPr>
              <w:pStyle w:val="ListParagraph"/>
              <w:numPr>
                <w:ilvl w:val="0"/>
                <w:numId w:val="11"/>
              </w:numPr>
              <w:rPr>
                <w:sz w:val="22"/>
                <w:szCs w:val="22"/>
              </w:rPr>
            </w:pPr>
            <w:r w:rsidRPr="00B67CD8">
              <w:rPr>
                <w:sz w:val="22"/>
                <w:szCs w:val="22"/>
              </w:rPr>
              <w:t>Technical assistance and data usage</w:t>
            </w:r>
          </w:p>
        </w:tc>
        <w:tc>
          <w:tcPr>
            <w:tcW w:w="2160" w:type="dxa"/>
            <w:shd w:val="clear" w:color="auto" w:fill="auto"/>
            <w:vAlign w:val="center"/>
          </w:tcPr>
          <w:p w:rsidR="00BA69DB" w:rsidRPr="00B67CD8" w:rsidP="00D140BB" w14:paraId="72492E67" w14:textId="555BE2B5">
            <w:pPr>
              <w:jc w:val="right"/>
              <w:rPr>
                <w:sz w:val="22"/>
                <w:szCs w:val="22"/>
              </w:rPr>
            </w:pPr>
            <w:r w:rsidRPr="00B67CD8">
              <w:rPr>
                <w:sz w:val="22"/>
                <w:szCs w:val="22"/>
              </w:rPr>
              <w:t>$</w:t>
            </w:r>
            <w:r w:rsidRPr="00B67CD8" w:rsidR="007469E4">
              <w:rPr>
                <w:sz w:val="22"/>
                <w:szCs w:val="22"/>
              </w:rPr>
              <w:t>156,000</w:t>
            </w:r>
          </w:p>
        </w:tc>
      </w:tr>
      <w:tr w14:paraId="1F940331" w14:textId="77777777" w:rsidTr="00D140BB">
        <w:tblPrEx>
          <w:tblW w:w="9900" w:type="dxa"/>
          <w:jc w:val="center"/>
          <w:tblLayout w:type="fixed"/>
          <w:tblLook w:val="0000"/>
        </w:tblPrEx>
        <w:trPr>
          <w:trHeight w:val="432"/>
          <w:jc w:val="center"/>
        </w:trPr>
        <w:tc>
          <w:tcPr>
            <w:tcW w:w="2605" w:type="dxa"/>
            <w:shd w:val="clear" w:color="auto" w:fill="auto"/>
            <w:vAlign w:val="center"/>
          </w:tcPr>
          <w:p w:rsidR="00BA69DB" w:rsidRPr="00B67CD8" w:rsidP="00D140BB" w14:paraId="4274E9E4" w14:textId="6A5325B6">
            <w:pPr>
              <w:rPr>
                <w:sz w:val="22"/>
                <w:szCs w:val="22"/>
              </w:rPr>
            </w:pPr>
            <w:r w:rsidRPr="00B67CD8">
              <w:rPr>
                <w:sz w:val="22"/>
                <w:szCs w:val="22"/>
              </w:rPr>
              <w:t xml:space="preserve">2 Public Health Advisors (75%) </w:t>
            </w:r>
          </w:p>
        </w:tc>
        <w:tc>
          <w:tcPr>
            <w:tcW w:w="5135" w:type="dxa"/>
            <w:shd w:val="clear" w:color="auto" w:fill="auto"/>
            <w:vAlign w:val="center"/>
          </w:tcPr>
          <w:p w:rsidR="00BA69DB" w:rsidRPr="00B67CD8" w:rsidP="004D6497" w14:paraId="1A3D9930" w14:textId="77777777">
            <w:pPr>
              <w:pStyle w:val="ListParagraph"/>
              <w:numPr>
                <w:ilvl w:val="0"/>
                <w:numId w:val="11"/>
              </w:numPr>
              <w:rPr>
                <w:sz w:val="22"/>
                <w:szCs w:val="22"/>
              </w:rPr>
            </w:pPr>
            <w:r w:rsidRPr="00B67CD8">
              <w:rPr>
                <w:sz w:val="22"/>
                <w:szCs w:val="22"/>
              </w:rPr>
              <w:t>Programmatic, budgetary, administrative management &amp; oversight</w:t>
            </w:r>
          </w:p>
        </w:tc>
        <w:tc>
          <w:tcPr>
            <w:tcW w:w="2160" w:type="dxa"/>
            <w:shd w:val="clear" w:color="auto" w:fill="auto"/>
            <w:vAlign w:val="center"/>
          </w:tcPr>
          <w:p w:rsidR="00BA69DB" w:rsidRPr="00B67CD8" w:rsidP="00D140BB" w14:paraId="482A733F" w14:textId="5597BB75">
            <w:pPr>
              <w:jc w:val="right"/>
              <w:rPr>
                <w:sz w:val="22"/>
                <w:szCs w:val="22"/>
              </w:rPr>
            </w:pPr>
            <w:r w:rsidRPr="00B67CD8">
              <w:rPr>
                <w:sz w:val="22"/>
                <w:szCs w:val="22"/>
              </w:rPr>
              <w:t>$</w:t>
            </w:r>
            <w:r w:rsidRPr="00B67CD8" w:rsidR="00957FB9">
              <w:rPr>
                <w:sz w:val="22"/>
                <w:szCs w:val="22"/>
              </w:rPr>
              <w:t>167,000</w:t>
            </w:r>
          </w:p>
        </w:tc>
      </w:tr>
      <w:tr w14:paraId="79B567F6" w14:textId="77777777" w:rsidTr="00D140BB">
        <w:tblPrEx>
          <w:tblW w:w="9900" w:type="dxa"/>
          <w:jc w:val="center"/>
          <w:tblLayout w:type="fixed"/>
          <w:tblLook w:val="0000"/>
        </w:tblPrEx>
        <w:trPr>
          <w:trHeight w:val="576"/>
          <w:jc w:val="center"/>
        </w:trPr>
        <w:tc>
          <w:tcPr>
            <w:tcW w:w="2605" w:type="dxa"/>
            <w:shd w:val="clear" w:color="auto" w:fill="auto"/>
            <w:vAlign w:val="center"/>
          </w:tcPr>
          <w:p w:rsidR="00BA69DB" w:rsidRPr="00B67CD8" w:rsidP="00D140BB" w14:paraId="0C4B3756" w14:textId="10F34FBD">
            <w:pPr>
              <w:rPr>
                <w:sz w:val="22"/>
                <w:szCs w:val="22"/>
              </w:rPr>
            </w:pPr>
            <w:r w:rsidRPr="00B67CD8">
              <w:rPr>
                <w:sz w:val="22"/>
                <w:szCs w:val="22"/>
              </w:rPr>
              <w:t xml:space="preserve">1 Data Manager </w:t>
            </w:r>
            <w:r w:rsidRPr="00B67CD8" w:rsidR="00712B13">
              <w:rPr>
                <w:sz w:val="22"/>
                <w:szCs w:val="22"/>
              </w:rPr>
              <w:t xml:space="preserve">(100%) </w:t>
            </w:r>
          </w:p>
        </w:tc>
        <w:tc>
          <w:tcPr>
            <w:tcW w:w="5135" w:type="dxa"/>
            <w:shd w:val="clear" w:color="auto" w:fill="auto"/>
            <w:vAlign w:val="center"/>
          </w:tcPr>
          <w:p w:rsidR="00712B13" w:rsidRPr="00B67CD8" w:rsidP="004D6497" w14:paraId="271E90E0" w14:textId="19E4CE49">
            <w:pPr>
              <w:pStyle w:val="ListParagraph"/>
              <w:numPr>
                <w:ilvl w:val="0"/>
                <w:numId w:val="11"/>
              </w:numPr>
              <w:rPr>
                <w:sz w:val="22"/>
                <w:szCs w:val="22"/>
              </w:rPr>
            </w:pPr>
            <w:r w:rsidRPr="00B67CD8">
              <w:rPr>
                <w:sz w:val="22"/>
                <w:szCs w:val="22"/>
              </w:rPr>
              <w:t>Manage and curate bimonthly data submitted</w:t>
            </w:r>
          </w:p>
          <w:p w:rsidR="00712B13" w:rsidRPr="00B67CD8" w:rsidP="004D6497" w14:paraId="47EC00FA" w14:textId="77777777">
            <w:pPr>
              <w:pStyle w:val="ListParagraph"/>
              <w:numPr>
                <w:ilvl w:val="0"/>
                <w:numId w:val="11"/>
              </w:numPr>
              <w:rPr>
                <w:sz w:val="22"/>
                <w:szCs w:val="22"/>
              </w:rPr>
            </w:pPr>
            <w:r w:rsidRPr="00B67CD8">
              <w:rPr>
                <w:sz w:val="22"/>
                <w:szCs w:val="22"/>
              </w:rPr>
              <w:t>Implement system to rapidly and automatically identify data quality problems that need follow-up, perform preliminary analyses, and transform data for rapid posting to the public.</w:t>
            </w:r>
          </w:p>
          <w:p w:rsidR="00856B9D" w:rsidRPr="00B67CD8" w:rsidP="004D6497" w14:paraId="3C968B20" w14:textId="2F25604C">
            <w:pPr>
              <w:pStyle w:val="ListParagraph"/>
              <w:numPr>
                <w:ilvl w:val="0"/>
                <w:numId w:val="11"/>
              </w:numPr>
              <w:rPr>
                <w:sz w:val="22"/>
                <w:szCs w:val="22"/>
              </w:rPr>
            </w:pPr>
            <w:r w:rsidRPr="00B67CD8">
              <w:rPr>
                <w:sz w:val="22"/>
                <w:szCs w:val="22"/>
              </w:rPr>
              <w:t>Engage in continuous quality improvement to enhance data quality and analysis in collaboration with epidemiologist.</w:t>
            </w:r>
          </w:p>
        </w:tc>
        <w:tc>
          <w:tcPr>
            <w:tcW w:w="2160" w:type="dxa"/>
            <w:shd w:val="clear" w:color="auto" w:fill="auto"/>
            <w:vAlign w:val="center"/>
          </w:tcPr>
          <w:p w:rsidR="00BA69DB" w:rsidRPr="00B67CD8" w:rsidP="00D140BB" w14:paraId="76641CE5" w14:textId="11402969">
            <w:pPr>
              <w:jc w:val="right"/>
              <w:rPr>
                <w:sz w:val="22"/>
                <w:szCs w:val="22"/>
              </w:rPr>
            </w:pPr>
            <w:r w:rsidRPr="00B67CD8">
              <w:rPr>
                <w:sz w:val="22"/>
                <w:szCs w:val="22"/>
              </w:rPr>
              <w:t>$120,000</w:t>
            </w:r>
          </w:p>
        </w:tc>
      </w:tr>
      <w:tr w14:paraId="7D9DC8D0" w14:textId="77777777" w:rsidTr="00D140BB">
        <w:tblPrEx>
          <w:tblW w:w="9900" w:type="dxa"/>
          <w:jc w:val="center"/>
          <w:tblLayout w:type="fixed"/>
          <w:tblLook w:val="0000"/>
        </w:tblPrEx>
        <w:trPr>
          <w:trHeight w:val="576"/>
          <w:jc w:val="center"/>
        </w:trPr>
        <w:tc>
          <w:tcPr>
            <w:tcW w:w="2605" w:type="dxa"/>
            <w:shd w:val="clear" w:color="auto" w:fill="auto"/>
          </w:tcPr>
          <w:p w:rsidR="00BA69DB" w:rsidRPr="00B67CD8" w:rsidP="00D140BB" w14:paraId="25EDDAEE" w14:textId="219CC459">
            <w:pPr>
              <w:rPr>
                <w:b/>
                <w:bCs/>
                <w:sz w:val="22"/>
                <w:szCs w:val="22"/>
              </w:rPr>
            </w:pPr>
            <w:r w:rsidRPr="00B67CD8">
              <w:rPr>
                <w:b/>
                <w:bCs/>
                <w:sz w:val="22"/>
                <w:szCs w:val="22"/>
              </w:rPr>
              <w:t xml:space="preserve">Annualized federal costs </w:t>
            </w:r>
          </w:p>
        </w:tc>
        <w:tc>
          <w:tcPr>
            <w:tcW w:w="5135" w:type="dxa"/>
            <w:shd w:val="clear" w:color="auto" w:fill="auto"/>
          </w:tcPr>
          <w:p w:rsidR="00BA69DB" w:rsidRPr="00B67CD8" w:rsidP="00D140BB" w14:paraId="30F4AE6F" w14:textId="77777777">
            <w:pPr>
              <w:rPr>
                <w:sz w:val="22"/>
                <w:szCs w:val="22"/>
              </w:rPr>
            </w:pPr>
          </w:p>
          <w:p w:rsidR="00BA69DB" w:rsidRPr="00B67CD8" w:rsidP="00D140BB" w14:paraId="35D4A73A" w14:textId="77777777">
            <w:pPr>
              <w:rPr>
                <w:sz w:val="22"/>
                <w:szCs w:val="22"/>
              </w:rPr>
            </w:pPr>
          </w:p>
        </w:tc>
        <w:tc>
          <w:tcPr>
            <w:tcW w:w="2160" w:type="dxa"/>
            <w:shd w:val="clear" w:color="auto" w:fill="auto"/>
          </w:tcPr>
          <w:p w:rsidR="00BA69DB" w:rsidRPr="00B67CD8" w:rsidP="00D140BB" w14:paraId="3A2019D0" w14:textId="77777777">
            <w:pPr>
              <w:rPr>
                <w:sz w:val="22"/>
                <w:szCs w:val="22"/>
              </w:rPr>
            </w:pPr>
          </w:p>
          <w:p w:rsidR="00BA69DB" w:rsidRPr="00B67CD8" w:rsidP="00D140BB" w14:paraId="7C8B0DCF" w14:textId="41CDB89B">
            <w:pPr>
              <w:jc w:val="right"/>
              <w:rPr>
                <w:sz w:val="22"/>
                <w:szCs w:val="22"/>
              </w:rPr>
            </w:pPr>
            <w:r w:rsidRPr="00B67CD8">
              <w:rPr>
                <w:b/>
                <w:bCs/>
                <w:sz w:val="22"/>
                <w:szCs w:val="22"/>
              </w:rPr>
              <w:t xml:space="preserve"> $</w:t>
            </w:r>
            <w:r w:rsidRPr="00B67CD8" w:rsidR="00DF74BA">
              <w:rPr>
                <w:b/>
                <w:bCs/>
                <w:sz w:val="22"/>
                <w:szCs w:val="22"/>
              </w:rPr>
              <w:t>523,000</w:t>
            </w:r>
          </w:p>
        </w:tc>
      </w:tr>
    </w:tbl>
    <w:p w:rsidR="00BA69DB" w:rsidRPr="00B67CD8" w:rsidP="007C0A77" w14:paraId="110329CA" w14:textId="764097AE">
      <w:pPr>
        <w:ind w:firstLine="360"/>
        <w:rPr>
          <w:b/>
          <w:bCs/>
        </w:rPr>
      </w:pPr>
    </w:p>
    <w:p w:rsidR="00E85A4E" w:rsidRPr="00B67CD8" w:rsidP="00D140BB" w14:paraId="7504B941" w14:textId="01B87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7CD8">
        <w:t xml:space="preserve">AVERT is </w:t>
      </w:r>
      <w:r w:rsidRPr="00B67CD8" w:rsidR="00217386">
        <w:t xml:space="preserve">a multi-year project, with most initial cooperative agreements spanning five years. Ongoing surveillance activities will include </w:t>
      </w:r>
      <w:r w:rsidRPr="00B67CD8">
        <w:t>recurring data collection, monitoring of data quality, and preparation and analysis of survey results. The government costs are the personnel costs of federal staff involved in oversight, design, and analysis. No outside contractors will be used. There will be no printing or publication costs for the government.</w:t>
      </w:r>
    </w:p>
    <w:p w:rsidR="0069469E" w:rsidRPr="00B67CD8" w:rsidP="00BE2065" w14:paraId="2A1F701D" w14:textId="77777777">
      <w:pPr>
        <w:autoSpaceDE w:val="0"/>
        <w:autoSpaceDN w:val="0"/>
        <w:adjustRightInd w:val="0"/>
        <w:rPr>
          <w:rFonts w:ascii="TimesNewRomanPSMT" w:hAnsi="TimesNewRomanPSMT" w:cs="TimesNewRomanPSMT"/>
        </w:rPr>
      </w:pPr>
    </w:p>
    <w:p w:rsidR="00972DEF" w:rsidRPr="00B67CD8" w:rsidP="00972DEF" w14:paraId="044C6286" w14:textId="3D3EA63F">
      <w:pPr>
        <w:autoSpaceDE w:val="0"/>
        <w:autoSpaceDN w:val="0"/>
        <w:adjustRightInd w:val="0"/>
        <w:rPr>
          <w:b/>
          <w:bCs/>
        </w:rPr>
      </w:pPr>
      <w:r w:rsidRPr="00B67CD8">
        <w:rPr>
          <w:b/>
          <w:bCs/>
        </w:rPr>
        <w:t xml:space="preserve">A.15. Explanation for Program Changes or Adjustments </w:t>
      </w:r>
    </w:p>
    <w:p w:rsidR="00C55DD2" w:rsidRPr="00B67CD8" w:rsidP="00972DEF" w14:paraId="03EFCA41" w14:textId="7F6F7D6E">
      <w:pPr>
        <w:autoSpaceDE w:val="0"/>
        <w:autoSpaceDN w:val="0"/>
        <w:adjustRightInd w:val="0"/>
        <w:rPr>
          <w:b/>
          <w:bCs/>
        </w:rPr>
      </w:pPr>
    </w:p>
    <w:p w:rsidR="005B397F" w:rsidRPr="00B67CD8" w:rsidP="00972DEF" w14:paraId="53588AFC" w14:textId="4D04246F">
      <w:pPr>
        <w:autoSpaceDE w:val="0"/>
        <w:autoSpaceDN w:val="0"/>
        <w:adjustRightInd w:val="0"/>
      </w:pPr>
      <w:r w:rsidRPr="00B67CD8">
        <w:t>“This is a new data/information collection.”</w:t>
      </w:r>
    </w:p>
    <w:p w:rsidR="002E3B0B" w:rsidRPr="00B67CD8" w:rsidP="00972DEF" w14:paraId="32F68B38" w14:textId="77777777">
      <w:pPr>
        <w:autoSpaceDE w:val="0"/>
        <w:autoSpaceDN w:val="0"/>
        <w:adjustRightInd w:val="0"/>
      </w:pPr>
    </w:p>
    <w:p w:rsidR="00972DEF" w:rsidRPr="00B67CD8" w:rsidP="00972DEF" w14:paraId="482741C6" w14:textId="28F222C2">
      <w:pPr>
        <w:autoSpaceDE w:val="0"/>
        <w:autoSpaceDN w:val="0"/>
        <w:adjustRightInd w:val="0"/>
      </w:pPr>
      <w:r w:rsidRPr="00B67CD8">
        <w:rPr>
          <w:b/>
          <w:bCs/>
        </w:rPr>
        <w:t>A.16. Plans for Tabulation</w:t>
      </w:r>
      <w:r w:rsidRPr="00B67CD8" w:rsidR="00203955">
        <w:rPr>
          <w:b/>
          <w:bCs/>
        </w:rPr>
        <w:t xml:space="preserve"> and </w:t>
      </w:r>
      <w:r w:rsidRPr="00B67CD8">
        <w:rPr>
          <w:b/>
          <w:bCs/>
        </w:rPr>
        <w:t>Publication, and Project Time Schedule</w:t>
      </w:r>
      <w:r w:rsidRPr="00B67CD8">
        <w:t xml:space="preserve"> </w:t>
      </w:r>
    </w:p>
    <w:p w:rsidR="00E35B6D" w:rsidRPr="00B67CD8" w:rsidP="00972DEF" w14:paraId="6C2C27F8" w14:textId="75063779">
      <w:pPr>
        <w:autoSpaceDE w:val="0"/>
        <w:autoSpaceDN w:val="0"/>
        <w:adjustRightInd w:val="0"/>
      </w:pPr>
    </w:p>
    <w:p w:rsidR="00E35B6D" w:rsidRPr="00B67CD8" w:rsidP="00E35B6D" w14:paraId="0E8FD7A3" w14:textId="0644F381">
      <w:r w:rsidRPr="00B67CD8">
        <w:t xml:space="preserve">Monthly, quarterly, and yearly trends in ED visits involving </w:t>
      </w:r>
      <w:r w:rsidRPr="00B67CD8" w:rsidR="00B90319">
        <w:t>f</w:t>
      </w:r>
      <w:r w:rsidRPr="00B67CD8" w:rsidR="00B90319">
        <w:rPr>
          <w:rFonts w:eastAsia="SimSun"/>
        </w:rPr>
        <w:t xml:space="preserve">irearm injuries (regardless of intent), other violence-related injuries, and mental health conditions (which may increase risk for or be a negative associated with firearm injuries and other violence-related injuries) at the state-level will be reported publicly on an ongoing basis by CDC. </w:t>
      </w:r>
      <w:r w:rsidRPr="00B67CD8">
        <w:t>Additional analyses examining data by age group, sex, race/ethnicity</w:t>
      </w:r>
      <w:r w:rsidRPr="00B67CD8" w:rsidR="00F04B9B">
        <w:t xml:space="preserve">, </w:t>
      </w:r>
      <w:r w:rsidRPr="00B67CD8">
        <w:t>and county will also be conducted as well as comparison of ED trends with other data sets</w:t>
      </w:r>
      <w:r w:rsidRPr="00B67CD8" w:rsidR="00B90319">
        <w:t xml:space="preserve">, such as </w:t>
      </w:r>
      <w:r w:rsidRPr="00B67CD8" w:rsidR="00F04B9B">
        <w:t>violent death data</w:t>
      </w:r>
      <w:r w:rsidRPr="00B67CD8" w:rsidR="00FE55EB">
        <w:t xml:space="preserve">. </w:t>
      </w:r>
      <w:r w:rsidRPr="00B67CD8">
        <w:t xml:space="preserve">These additional analyses will be released in CDC publications such as </w:t>
      </w:r>
      <w:r w:rsidRPr="00B67CD8">
        <w:rPr>
          <w:i/>
          <w:iCs/>
        </w:rPr>
        <w:t>MMWR</w:t>
      </w:r>
      <w:r w:rsidRPr="00B67CD8">
        <w:t xml:space="preserve"> or in other peer-reviewed publications as well as available every six months </w:t>
      </w:r>
      <w:r w:rsidRPr="00B67CD8" w:rsidR="00FE55EB">
        <w:t xml:space="preserve">on a future violence surveillance website. A project time schedule is presented </w:t>
      </w:r>
      <w:r w:rsidRPr="00B67CD8" w:rsidR="0014146B">
        <w:t xml:space="preserve">in Table 6 </w:t>
      </w:r>
      <w:r w:rsidRPr="00B67CD8" w:rsidR="00FE55EB">
        <w:t xml:space="preserve">below. </w:t>
      </w:r>
      <w:r w:rsidRPr="00B67CD8">
        <w:t xml:space="preserve"> </w:t>
      </w:r>
    </w:p>
    <w:p w:rsidR="00E35B6D" w:rsidRPr="00B67CD8" w:rsidP="00E35B6D" w14:paraId="3F50376C" w14:textId="77777777">
      <w:pPr>
        <w:ind w:firstLine="720"/>
      </w:pPr>
    </w:p>
    <w:p w:rsidR="00E35B6D" w:rsidRPr="00B67CD8" w:rsidP="00E35B6D" w14:paraId="036AEE59" w14:textId="24699547">
      <w:pPr>
        <w:rPr>
          <w:b/>
        </w:rPr>
      </w:pPr>
      <w:r w:rsidRPr="00B67CD8">
        <w:rPr>
          <w:b/>
        </w:rPr>
        <w:t xml:space="preserve">Table </w:t>
      </w:r>
      <w:r w:rsidRPr="00B67CD8" w:rsidR="0014146B">
        <w:rPr>
          <w:b/>
        </w:rPr>
        <w:t>6</w:t>
      </w:r>
      <w:r w:rsidRPr="00B67CD8">
        <w:rPr>
          <w:b/>
        </w:rPr>
        <w:t xml:space="preserve">. Time Schedule </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3"/>
        <w:gridCol w:w="4027"/>
      </w:tblGrid>
      <w:tr w14:paraId="48F3314F" w14:textId="77777777" w:rsidTr="00D140BB">
        <w:tblPrEx>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243" w:type="dxa"/>
            <w:tcBorders>
              <w:top w:val="single" w:sz="4" w:space="0" w:color="auto"/>
              <w:left w:val="single" w:sz="4" w:space="0" w:color="auto"/>
              <w:bottom w:val="single" w:sz="4" w:space="0" w:color="auto"/>
              <w:right w:val="single" w:sz="4" w:space="0" w:color="auto"/>
            </w:tcBorders>
          </w:tcPr>
          <w:p w:rsidR="00E35B6D" w:rsidRPr="00B67CD8" w14:paraId="0445D281" w14:textId="77777777">
            <w:pPr>
              <w:spacing w:line="120" w:lineRule="exact"/>
              <w:rPr>
                <w:sz w:val="22"/>
                <w:szCs w:val="22"/>
              </w:rPr>
            </w:pPr>
          </w:p>
          <w:p w:rsidR="00E35B6D" w:rsidRPr="00B67CD8" w14:paraId="05A94D2C" w14:textId="77777777">
            <w:pPr>
              <w:spacing w:after="58"/>
              <w:jc w:val="center"/>
              <w:rPr>
                <w:b/>
                <w:sz w:val="22"/>
                <w:szCs w:val="22"/>
              </w:rPr>
            </w:pPr>
            <w:r w:rsidRPr="00B67CD8">
              <w:rPr>
                <w:b/>
                <w:sz w:val="22"/>
                <w:szCs w:val="22"/>
              </w:rPr>
              <w:t>Task</w:t>
            </w:r>
          </w:p>
        </w:tc>
        <w:tc>
          <w:tcPr>
            <w:tcW w:w="4027" w:type="dxa"/>
            <w:tcBorders>
              <w:top w:val="single" w:sz="4" w:space="0" w:color="auto"/>
              <w:left w:val="single" w:sz="4" w:space="0" w:color="auto"/>
              <w:bottom w:val="single" w:sz="4" w:space="0" w:color="auto"/>
              <w:right w:val="single" w:sz="4" w:space="0" w:color="auto"/>
            </w:tcBorders>
          </w:tcPr>
          <w:p w:rsidR="00E35B6D" w:rsidRPr="00B67CD8" w14:paraId="4B024E33" w14:textId="77777777">
            <w:pPr>
              <w:spacing w:line="120" w:lineRule="exact"/>
              <w:rPr>
                <w:sz w:val="22"/>
                <w:szCs w:val="22"/>
              </w:rPr>
            </w:pPr>
          </w:p>
          <w:p w:rsidR="00E35B6D" w:rsidRPr="00B67CD8" w14:paraId="327EE3BA" w14:textId="77777777">
            <w:pPr>
              <w:spacing w:after="58"/>
              <w:jc w:val="center"/>
              <w:rPr>
                <w:b/>
                <w:sz w:val="22"/>
                <w:szCs w:val="22"/>
              </w:rPr>
            </w:pPr>
            <w:r w:rsidRPr="00B67CD8">
              <w:rPr>
                <w:b/>
                <w:sz w:val="22"/>
                <w:szCs w:val="22"/>
              </w:rPr>
              <w:t>Time Period</w:t>
            </w:r>
          </w:p>
        </w:tc>
      </w:tr>
      <w:tr w14:paraId="7E270B00" w14:textId="77777777" w:rsidTr="00D140BB">
        <w:tblPrEx>
          <w:tblW w:w="9270" w:type="dxa"/>
          <w:tblInd w:w="-5" w:type="dxa"/>
          <w:tblLook w:val="01E0"/>
        </w:tblPrEx>
        <w:tc>
          <w:tcPr>
            <w:tcW w:w="9270" w:type="dxa"/>
            <w:gridSpan w:val="2"/>
            <w:tcBorders>
              <w:top w:val="single" w:sz="4" w:space="0" w:color="auto"/>
              <w:left w:val="single" w:sz="4" w:space="0" w:color="auto"/>
              <w:bottom w:val="single" w:sz="4" w:space="0" w:color="auto"/>
              <w:right w:val="single" w:sz="4" w:space="0" w:color="auto"/>
            </w:tcBorders>
            <w:hideMark/>
          </w:tcPr>
          <w:p w:rsidR="00E35B6D" w:rsidRPr="00B67CD8" w14:paraId="34B77C44" w14:textId="582388C6">
            <w:pPr>
              <w:spacing w:after="58"/>
              <w:rPr>
                <w:b/>
                <w:sz w:val="22"/>
                <w:szCs w:val="22"/>
              </w:rPr>
            </w:pPr>
          </w:p>
        </w:tc>
      </w:tr>
      <w:tr w14:paraId="73360516" w14:textId="77777777" w:rsidTr="00D140BB">
        <w:tblPrEx>
          <w:tblW w:w="9270" w:type="dxa"/>
          <w:tblInd w:w="-5" w:type="dxa"/>
          <w:tblLook w:val="01E0"/>
        </w:tblPrEx>
        <w:tc>
          <w:tcPr>
            <w:tcW w:w="5243" w:type="dxa"/>
            <w:tcBorders>
              <w:top w:val="single" w:sz="4" w:space="0" w:color="auto"/>
              <w:left w:val="single" w:sz="4" w:space="0" w:color="auto"/>
              <w:bottom w:val="single" w:sz="4" w:space="0" w:color="auto"/>
              <w:right w:val="single" w:sz="4" w:space="0" w:color="auto"/>
            </w:tcBorders>
            <w:hideMark/>
          </w:tcPr>
          <w:p w:rsidR="00E35B6D" w:rsidRPr="00B67CD8" w14:paraId="3ADDF816" w14:textId="396FF3D2">
            <w:pPr>
              <w:spacing w:after="58"/>
              <w:rPr>
                <w:sz w:val="22"/>
                <w:szCs w:val="22"/>
              </w:rPr>
            </w:pPr>
            <w:r w:rsidRPr="00B67CD8">
              <w:rPr>
                <w:sz w:val="22"/>
                <w:szCs w:val="22"/>
              </w:rPr>
              <w:t xml:space="preserve">Receive on a </w:t>
            </w:r>
            <w:r w:rsidRPr="00B67CD8" w:rsidR="009F0DD8">
              <w:rPr>
                <w:sz w:val="22"/>
                <w:szCs w:val="22"/>
              </w:rPr>
              <w:t>bimonthly</w:t>
            </w:r>
            <w:r w:rsidRPr="00B67CD8">
              <w:rPr>
                <w:sz w:val="22"/>
                <w:szCs w:val="22"/>
              </w:rPr>
              <w:t xml:space="preserve"> basis (</w:t>
            </w:r>
            <w:r w:rsidRPr="00B67CD8" w:rsidR="00D140BB">
              <w:rPr>
                <w:i/>
                <w:sz w:val="22"/>
                <w:szCs w:val="22"/>
              </w:rPr>
              <w:t>ED violence data form</w:t>
            </w:r>
            <w:r w:rsidRPr="00B67CD8">
              <w:rPr>
                <w:sz w:val="22"/>
                <w:szCs w:val="22"/>
              </w:rPr>
              <w:t>) from the jurisdiction</w:t>
            </w:r>
          </w:p>
        </w:tc>
        <w:tc>
          <w:tcPr>
            <w:tcW w:w="4027" w:type="dxa"/>
            <w:tcBorders>
              <w:top w:val="single" w:sz="4" w:space="0" w:color="auto"/>
              <w:left w:val="single" w:sz="4" w:space="0" w:color="auto"/>
              <w:bottom w:val="single" w:sz="4" w:space="0" w:color="auto"/>
              <w:right w:val="single" w:sz="4" w:space="0" w:color="auto"/>
            </w:tcBorders>
            <w:hideMark/>
          </w:tcPr>
          <w:p w:rsidR="00E35B6D" w:rsidRPr="00B67CD8" w14:paraId="70832BD9" w14:textId="5DDBD35B">
            <w:pPr>
              <w:spacing w:after="58"/>
              <w:rPr>
                <w:sz w:val="22"/>
                <w:szCs w:val="22"/>
              </w:rPr>
            </w:pPr>
            <w:r w:rsidRPr="00B67CD8">
              <w:rPr>
                <w:sz w:val="22"/>
                <w:szCs w:val="22"/>
              </w:rPr>
              <w:t>2</w:t>
            </w:r>
            <w:r w:rsidRPr="00B67CD8">
              <w:rPr>
                <w:sz w:val="22"/>
                <w:szCs w:val="22"/>
              </w:rPr>
              <w:t xml:space="preserve"> – </w:t>
            </w:r>
            <w:r w:rsidRPr="00B67CD8">
              <w:rPr>
                <w:sz w:val="22"/>
                <w:szCs w:val="22"/>
              </w:rPr>
              <w:t>3</w:t>
            </w:r>
            <w:r w:rsidRPr="00B67CD8" w:rsidR="006E0C55">
              <w:rPr>
                <w:sz w:val="22"/>
                <w:szCs w:val="22"/>
              </w:rPr>
              <w:t>-month</w:t>
            </w:r>
            <w:r w:rsidRPr="00B67CD8">
              <w:rPr>
                <w:sz w:val="22"/>
                <w:szCs w:val="22"/>
              </w:rPr>
              <w:t xml:space="preserve"> </w:t>
            </w:r>
            <w:r w:rsidR="005753C8">
              <w:rPr>
                <w:sz w:val="22"/>
                <w:szCs w:val="22"/>
              </w:rPr>
              <w:t xml:space="preserve">after OMB approval </w:t>
            </w:r>
            <w:r w:rsidRPr="00B67CD8" w:rsidR="005753C8">
              <w:rPr>
                <w:sz w:val="22"/>
                <w:szCs w:val="22"/>
              </w:rPr>
              <w:t>and</w:t>
            </w:r>
            <w:r w:rsidR="005753C8">
              <w:rPr>
                <w:sz w:val="22"/>
                <w:szCs w:val="22"/>
              </w:rPr>
              <w:t xml:space="preserve"> continuously</w:t>
            </w:r>
          </w:p>
        </w:tc>
      </w:tr>
      <w:tr w14:paraId="0C4047C4" w14:textId="77777777" w:rsidTr="00D140BB">
        <w:tblPrEx>
          <w:tblW w:w="9270" w:type="dxa"/>
          <w:tblInd w:w="-5" w:type="dxa"/>
          <w:tblLook w:val="01E0"/>
        </w:tblPrEx>
        <w:tc>
          <w:tcPr>
            <w:tcW w:w="5243" w:type="dxa"/>
            <w:tcBorders>
              <w:top w:val="single" w:sz="4" w:space="0" w:color="auto"/>
              <w:left w:val="single" w:sz="4" w:space="0" w:color="auto"/>
              <w:bottom w:val="single" w:sz="4" w:space="0" w:color="auto"/>
              <w:right w:val="single" w:sz="4" w:space="0" w:color="auto"/>
            </w:tcBorders>
            <w:hideMark/>
          </w:tcPr>
          <w:p w:rsidR="00E35B6D" w:rsidRPr="00B67CD8" w14:paraId="7A6E1480" w14:textId="77777777">
            <w:pPr>
              <w:spacing w:after="58"/>
              <w:rPr>
                <w:sz w:val="22"/>
                <w:szCs w:val="22"/>
              </w:rPr>
            </w:pPr>
            <w:r w:rsidRPr="00B67CD8">
              <w:rPr>
                <w:sz w:val="22"/>
                <w:szCs w:val="22"/>
              </w:rPr>
              <w:t>Final analysis files validated within 1 month of receipt of data from jurisdiction. Preliminary data is shared with participating health department and CDC/HHS leadership</w:t>
            </w:r>
          </w:p>
        </w:tc>
        <w:tc>
          <w:tcPr>
            <w:tcW w:w="4027" w:type="dxa"/>
            <w:tcBorders>
              <w:top w:val="single" w:sz="4" w:space="0" w:color="auto"/>
              <w:left w:val="single" w:sz="4" w:space="0" w:color="auto"/>
              <w:bottom w:val="single" w:sz="4" w:space="0" w:color="auto"/>
              <w:right w:val="single" w:sz="4" w:space="0" w:color="auto"/>
            </w:tcBorders>
            <w:hideMark/>
          </w:tcPr>
          <w:p w:rsidR="00E35B6D" w:rsidRPr="00B67CD8" w14:paraId="6C1567E9" w14:textId="1D045731">
            <w:pPr>
              <w:spacing w:after="58"/>
              <w:rPr>
                <w:sz w:val="22"/>
                <w:szCs w:val="22"/>
              </w:rPr>
            </w:pPr>
            <w:r w:rsidRPr="00B67CD8">
              <w:rPr>
                <w:sz w:val="22"/>
                <w:szCs w:val="22"/>
              </w:rPr>
              <w:t>4</w:t>
            </w:r>
            <w:r w:rsidRPr="00B67CD8">
              <w:rPr>
                <w:sz w:val="22"/>
                <w:szCs w:val="22"/>
              </w:rPr>
              <w:t xml:space="preserve"> – </w:t>
            </w:r>
            <w:r w:rsidRPr="00B67CD8">
              <w:rPr>
                <w:sz w:val="22"/>
                <w:szCs w:val="22"/>
              </w:rPr>
              <w:t>5</w:t>
            </w:r>
            <w:r w:rsidRPr="00B67CD8" w:rsidR="006E0C55">
              <w:rPr>
                <w:sz w:val="22"/>
                <w:szCs w:val="22"/>
              </w:rPr>
              <w:t>-month</w:t>
            </w:r>
            <w:r w:rsidRPr="00B67CD8">
              <w:rPr>
                <w:sz w:val="22"/>
                <w:szCs w:val="22"/>
              </w:rPr>
              <w:t xml:space="preserve"> delay from when the ED visit occurred </w:t>
            </w:r>
          </w:p>
        </w:tc>
      </w:tr>
      <w:tr w14:paraId="4696F49C" w14:textId="77777777" w:rsidTr="00D140BB">
        <w:tblPrEx>
          <w:tblW w:w="9270" w:type="dxa"/>
          <w:tblInd w:w="-5" w:type="dxa"/>
          <w:tblLook w:val="01E0"/>
        </w:tblPrEx>
        <w:tc>
          <w:tcPr>
            <w:tcW w:w="5243" w:type="dxa"/>
            <w:tcBorders>
              <w:top w:val="single" w:sz="4" w:space="0" w:color="auto"/>
              <w:left w:val="single" w:sz="4" w:space="0" w:color="auto"/>
              <w:bottom w:val="single" w:sz="4" w:space="0" w:color="auto"/>
              <w:right w:val="single" w:sz="4" w:space="0" w:color="auto"/>
            </w:tcBorders>
            <w:hideMark/>
          </w:tcPr>
          <w:p w:rsidR="00E35B6D" w:rsidRPr="00B67CD8" w14:paraId="190DCFE5" w14:textId="66F0BAD8">
            <w:pPr>
              <w:rPr>
                <w:sz w:val="22"/>
                <w:szCs w:val="22"/>
              </w:rPr>
            </w:pPr>
            <w:r w:rsidRPr="00B67CD8">
              <w:rPr>
                <w:sz w:val="22"/>
                <w:szCs w:val="22"/>
              </w:rPr>
              <w:t xml:space="preserve">At least </w:t>
            </w:r>
            <w:r w:rsidRPr="00B67CD8" w:rsidR="009E2467">
              <w:rPr>
                <w:sz w:val="22"/>
                <w:szCs w:val="22"/>
              </w:rPr>
              <w:t>once</w:t>
            </w:r>
            <w:r w:rsidRPr="00B67CD8">
              <w:rPr>
                <w:sz w:val="22"/>
                <w:szCs w:val="22"/>
              </w:rPr>
              <w:t xml:space="preserve"> a year, quarterly or monthly changes in ED visits involving </w:t>
            </w:r>
            <w:r w:rsidRPr="00B67CD8" w:rsidR="009E2467">
              <w:rPr>
                <w:sz w:val="22"/>
                <w:szCs w:val="22"/>
              </w:rPr>
              <w:t>firearm injuries (regardless of intent), other violence-related injuries, and mental health conditions</w:t>
            </w:r>
            <w:r w:rsidRPr="00B67CD8">
              <w:rPr>
                <w:sz w:val="22"/>
                <w:szCs w:val="22"/>
              </w:rPr>
              <w:t xml:space="preserve"> will be posted on the web for public access</w:t>
            </w:r>
          </w:p>
        </w:tc>
        <w:tc>
          <w:tcPr>
            <w:tcW w:w="4027" w:type="dxa"/>
            <w:tcBorders>
              <w:top w:val="single" w:sz="4" w:space="0" w:color="auto"/>
              <w:left w:val="single" w:sz="4" w:space="0" w:color="auto"/>
              <w:bottom w:val="single" w:sz="4" w:space="0" w:color="auto"/>
              <w:right w:val="single" w:sz="4" w:space="0" w:color="auto"/>
            </w:tcBorders>
            <w:hideMark/>
          </w:tcPr>
          <w:p w:rsidR="00E35B6D" w:rsidRPr="00B67CD8" w14:paraId="41ED45AE" w14:textId="501AC5FC">
            <w:pPr>
              <w:rPr>
                <w:sz w:val="22"/>
                <w:szCs w:val="22"/>
              </w:rPr>
            </w:pPr>
            <w:r w:rsidRPr="00B67CD8">
              <w:rPr>
                <w:sz w:val="22"/>
                <w:szCs w:val="22"/>
              </w:rPr>
              <w:t>6 – 12</w:t>
            </w:r>
            <w:r w:rsidRPr="00B67CD8" w:rsidR="009E2467">
              <w:rPr>
                <w:sz w:val="22"/>
                <w:szCs w:val="22"/>
              </w:rPr>
              <w:t>-</w:t>
            </w:r>
            <w:r w:rsidRPr="00B67CD8">
              <w:rPr>
                <w:sz w:val="22"/>
                <w:szCs w:val="22"/>
              </w:rPr>
              <w:t xml:space="preserve">months </w:t>
            </w:r>
            <w:r w:rsidRPr="00B67CD8" w:rsidR="009E2467">
              <w:rPr>
                <w:sz w:val="22"/>
                <w:szCs w:val="22"/>
              </w:rPr>
              <w:t xml:space="preserve">from when the ED visit occurred </w:t>
            </w:r>
          </w:p>
        </w:tc>
      </w:tr>
      <w:tr w14:paraId="41FC7FDC" w14:textId="77777777" w:rsidTr="00D140BB">
        <w:tblPrEx>
          <w:tblW w:w="9270" w:type="dxa"/>
          <w:tblInd w:w="-5" w:type="dxa"/>
          <w:tblLook w:val="01E0"/>
        </w:tblPrEx>
        <w:trPr>
          <w:trHeight w:val="395"/>
        </w:trPr>
        <w:tc>
          <w:tcPr>
            <w:tcW w:w="9270" w:type="dxa"/>
            <w:gridSpan w:val="2"/>
            <w:tcBorders>
              <w:top w:val="single" w:sz="4" w:space="0" w:color="auto"/>
              <w:left w:val="single" w:sz="4" w:space="0" w:color="auto"/>
              <w:bottom w:val="single" w:sz="4" w:space="0" w:color="auto"/>
              <w:right w:val="single" w:sz="4" w:space="0" w:color="auto"/>
            </w:tcBorders>
            <w:hideMark/>
          </w:tcPr>
          <w:p w:rsidR="00E35B6D" w:rsidRPr="00B67CD8" w14:paraId="2832DAB1" w14:textId="07D8EDC2">
            <w:pPr>
              <w:rPr>
                <w:b/>
                <w:sz w:val="22"/>
                <w:szCs w:val="22"/>
              </w:rPr>
            </w:pPr>
            <w:r w:rsidRPr="00B67CD8">
              <w:rPr>
                <w:b/>
                <w:sz w:val="22"/>
                <w:szCs w:val="22"/>
              </w:rPr>
              <w:t xml:space="preserve">Publish surveillance reports and epidemiologic analyses of </w:t>
            </w:r>
            <w:r w:rsidRPr="00B67CD8" w:rsidR="009E2467">
              <w:rPr>
                <w:b/>
                <w:sz w:val="22"/>
                <w:szCs w:val="22"/>
              </w:rPr>
              <w:t>AVERT</w:t>
            </w:r>
            <w:r w:rsidRPr="00B67CD8">
              <w:rPr>
                <w:b/>
                <w:sz w:val="22"/>
                <w:szCs w:val="22"/>
              </w:rPr>
              <w:t xml:space="preserve"> data to support public health prevention efforts</w:t>
            </w:r>
          </w:p>
        </w:tc>
      </w:tr>
      <w:tr w14:paraId="7137C4D3" w14:textId="77777777" w:rsidTr="00D140BB">
        <w:tblPrEx>
          <w:tblW w:w="9270" w:type="dxa"/>
          <w:tblInd w:w="-5" w:type="dxa"/>
          <w:tblLook w:val="01E0"/>
        </w:tblPrEx>
        <w:trPr>
          <w:trHeight w:val="395"/>
        </w:trPr>
        <w:tc>
          <w:tcPr>
            <w:tcW w:w="5243" w:type="dxa"/>
            <w:tcBorders>
              <w:top w:val="single" w:sz="4" w:space="0" w:color="auto"/>
              <w:left w:val="single" w:sz="4" w:space="0" w:color="auto"/>
              <w:bottom w:val="single" w:sz="4" w:space="0" w:color="auto"/>
              <w:right w:val="single" w:sz="4" w:space="0" w:color="auto"/>
            </w:tcBorders>
            <w:hideMark/>
          </w:tcPr>
          <w:p w:rsidR="00E35B6D" w:rsidRPr="00B67CD8" w14:paraId="0EC1E04F" w14:textId="5895EB3A">
            <w:pPr>
              <w:rPr>
                <w:sz w:val="22"/>
                <w:szCs w:val="22"/>
              </w:rPr>
            </w:pPr>
            <w:r w:rsidRPr="00B67CD8">
              <w:rPr>
                <w:sz w:val="22"/>
                <w:szCs w:val="22"/>
              </w:rPr>
              <w:t xml:space="preserve">Analyze trends in ED visits to identify important patterns to inform public health action and improve syndromic ED definitions of </w:t>
            </w:r>
            <w:r w:rsidRPr="00B67CD8" w:rsidR="009E2467">
              <w:rPr>
                <w:sz w:val="22"/>
                <w:szCs w:val="22"/>
              </w:rPr>
              <w:t>firearm injuries (regardless of intent), other violence-related injuries, and mental health conditions</w:t>
            </w:r>
          </w:p>
        </w:tc>
        <w:tc>
          <w:tcPr>
            <w:tcW w:w="4027" w:type="dxa"/>
            <w:tcBorders>
              <w:top w:val="single" w:sz="4" w:space="0" w:color="auto"/>
              <w:left w:val="single" w:sz="4" w:space="0" w:color="auto"/>
              <w:bottom w:val="single" w:sz="4" w:space="0" w:color="auto"/>
              <w:right w:val="single" w:sz="4" w:space="0" w:color="auto"/>
            </w:tcBorders>
            <w:hideMark/>
          </w:tcPr>
          <w:p w:rsidR="00E35B6D" w:rsidRPr="00B67CD8" w14:paraId="3EC6F1D1" w14:textId="07390D12">
            <w:pPr>
              <w:rPr>
                <w:sz w:val="22"/>
                <w:szCs w:val="22"/>
              </w:rPr>
            </w:pPr>
            <w:r w:rsidRPr="00B67CD8">
              <w:rPr>
                <w:sz w:val="22"/>
                <w:szCs w:val="22"/>
              </w:rPr>
              <w:t xml:space="preserve">At least </w:t>
            </w:r>
            <w:r w:rsidRPr="00B67CD8" w:rsidR="009E2467">
              <w:rPr>
                <w:sz w:val="22"/>
                <w:szCs w:val="22"/>
              </w:rPr>
              <w:t>two</w:t>
            </w:r>
            <w:r w:rsidRPr="00B67CD8">
              <w:rPr>
                <w:sz w:val="22"/>
                <w:szCs w:val="22"/>
              </w:rPr>
              <w:t xml:space="preserve"> articles per year will be published, starting 1 year after the </w:t>
            </w:r>
            <w:r w:rsidRPr="00B67CD8" w:rsidR="009E2467">
              <w:rPr>
                <w:sz w:val="22"/>
                <w:szCs w:val="22"/>
              </w:rPr>
              <w:t>AVERT</w:t>
            </w:r>
            <w:r w:rsidRPr="00B67CD8">
              <w:rPr>
                <w:sz w:val="22"/>
                <w:szCs w:val="22"/>
              </w:rPr>
              <w:t xml:space="preserve"> system begins operating.</w:t>
            </w:r>
          </w:p>
        </w:tc>
      </w:tr>
      <w:tr w14:paraId="6681EB3C" w14:textId="77777777" w:rsidTr="00D140BB">
        <w:tblPrEx>
          <w:tblW w:w="9270" w:type="dxa"/>
          <w:tblInd w:w="-5" w:type="dxa"/>
          <w:tblLook w:val="01E0"/>
        </w:tblPrEx>
        <w:trPr>
          <w:trHeight w:val="50"/>
        </w:trPr>
        <w:tc>
          <w:tcPr>
            <w:tcW w:w="9270" w:type="dxa"/>
            <w:gridSpan w:val="2"/>
            <w:tcBorders>
              <w:top w:val="single" w:sz="4" w:space="0" w:color="auto"/>
              <w:left w:val="single" w:sz="4" w:space="0" w:color="auto"/>
              <w:bottom w:val="single" w:sz="4" w:space="0" w:color="auto"/>
              <w:right w:val="single" w:sz="4" w:space="0" w:color="auto"/>
            </w:tcBorders>
            <w:hideMark/>
          </w:tcPr>
          <w:p w:rsidR="00E35B6D" w:rsidRPr="00B67CD8" w14:paraId="0386D40F" w14:textId="77777777">
            <w:pPr>
              <w:rPr>
                <w:b/>
                <w:sz w:val="22"/>
                <w:szCs w:val="22"/>
              </w:rPr>
            </w:pPr>
            <w:r w:rsidRPr="00B67CD8">
              <w:rPr>
                <w:b/>
                <w:sz w:val="22"/>
                <w:szCs w:val="22"/>
              </w:rPr>
              <w:t>Conduct analyses to support improved data collection and analysis</w:t>
            </w:r>
          </w:p>
        </w:tc>
      </w:tr>
      <w:tr w14:paraId="7E765698" w14:textId="77777777" w:rsidTr="00D140BB">
        <w:tblPrEx>
          <w:tblW w:w="9270" w:type="dxa"/>
          <w:tblInd w:w="-5" w:type="dxa"/>
          <w:tblLook w:val="01E0"/>
        </w:tblPrEx>
        <w:trPr>
          <w:trHeight w:val="50"/>
        </w:trPr>
        <w:tc>
          <w:tcPr>
            <w:tcW w:w="5243" w:type="dxa"/>
            <w:tcBorders>
              <w:top w:val="single" w:sz="4" w:space="0" w:color="auto"/>
              <w:left w:val="single" w:sz="4" w:space="0" w:color="auto"/>
              <w:bottom w:val="single" w:sz="4" w:space="0" w:color="auto"/>
              <w:right w:val="single" w:sz="4" w:space="0" w:color="auto"/>
            </w:tcBorders>
            <w:hideMark/>
          </w:tcPr>
          <w:p w:rsidR="009E2467" w:rsidRPr="00B67CD8" w14:paraId="1AFF68C8" w14:textId="60B5EA65">
            <w:pPr>
              <w:rPr>
                <w:sz w:val="22"/>
                <w:szCs w:val="22"/>
              </w:rPr>
            </w:pPr>
            <w:r w:rsidRPr="00B67CD8">
              <w:rPr>
                <w:sz w:val="22"/>
                <w:szCs w:val="22"/>
              </w:rPr>
              <w:t xml:space="preserve">Conduct ongoing </w:t>
            </w:r>
            <w:r w:rsidRPr="00B67CD8">
              <w:rPr>
                <w:sz w:val="22"/>
                <w:szCs w:val="22"/>
              </w:rPr>
              <w:t>analysis of metadata</w:t>
            </w:r>
            <w:r w:rsidRPr="00B67CD8" w:rsidR="00A420B8">
              <w:rPr>
                <w:sz w:val="22"/>
                <w:szCs w:val="22"/>
              </w:rPr>
              <w:t xml:space="preserve"> submitted by jurisdictions to inform improvements to data collection </w:t>
            </w:r>
          </w:p>
          <w:p w:rsidR="00E35B6D" w:rsidRPr="00B67CD8" w14:paraId="212A47F2" w14:textId="4EE82D56">
            <w:pPr>
              <w:rPr>
                <w:sz w:val="22"/>
                <w:szCs w:val="22"/>
              </w:rPr>
            </w:pPr>
          </w:p>
        </w:tc>
        <w:tc>
          <w:tcPr>
            <w:tcW w:w="4027" w:type="dxa"/>
            <w:tcBorders>
              <w:top w:val="single" w:sz="4" w:space="0" w:color="auto"/>
              <w:left w:val="single" w:sz="4" w:space="0" w:color="auto"/>
              <w:bottom w:val="single" w:sz="4" w:space="0" w:color="auto"/>
              <w:right w:val="single" w:sz="4" w:space="0" w:color="auto"/>
            </w:tcBorders>
            <w:hideMark/>
          </w:tcPr>
          <w:p w:rsidR="00E35B6D" w:rsidRPr="00B67CD8" w14:paraId="6E16DF03" w14:textId="5DD8F30A">
            <w:pPr>
              <w:rPr>
                <w:sz w:val="22"/>
                <w:szCs w:val="22"/>
              </w:rPr>
            </w:pPr>
            <w:r w:rsidRPr="00B67CD8">
              <w:rPr>
                <w:sz w:val="22"/>
                <w:szCs w:val="22"/>
              </w:rPr>
              <w:t xml:space="preserve">These analyses will start 6 months after the </w:t>
            </w:r>
            <w:r w:rsidRPr="00B67CD8" w:rsidR="00A420B8">
              <w:rPr>
                <w:sz w:val="22"/>
                <w:szCs w:val="22"/>
              </w:rPr>
              <w:t>AVERT</w:t>
            </w:r>
            <w:r w:rsidRPr="00B67CD8">
              <w:rPr>
                <w:sz w:val="22"/>
                <w:szCs w:val="22"/>
              </w:rPr>
              <w:t xml:space="preserve"> system begins operating and sufficient data is available.</w:t>
            </w:r>
          </w:p>
        </w:tc>
      </w:tr>
    </w:tbl>
    <w:p w:rsidR="00E35B6D" w:rsidRPr="00B67CD8" w:rsidP="00E35B6D" w14:paraId="18C8D516" w14:textId="77777777">
      <w:pPr>
        <w:ind w:firstLine="90"/>
        <w:rPr>
          <w:highlight w:val="yellow"/>
        </w:rPr>
      </w:pPr>
    </w:p>
    <w:p w:rsidR="00E35B6D" w:rsidRPr="00B67CD8" w:rsidP="00E35B6D" w14:paraId="6BA37D2A" w14:textId="01F0336C">
      <w:pPr>
        <w:pStyle w:val="BodyText2"/>
      </w:pPr>
      <w:r w:rsidRPr="00B67CD8">
        <w:t xml:space="preserve">Future publications will focus on: </w:t>
      </w:r>
    </w:p>
    <w:p w:rsidR="00F00B15" w:rsidRPr="00B67CD8" w:rsidP="004D6497" w14:paraId="3CBFB3E5" w14:textId="29A23A7A">
      <w:pPr>
        <w:pStyle w:val="BodyText2"/>
        <w:numPr>
          <w:ilvl w:val="0"/>
          <w:numId w:val="14"/>
        </w:numPr>
        <w:tabs>
          <w:tab w:val="clear" w:pos="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jc w:val="left"/>
      </w:pPr>
      <w:r w:rsidRPr="00B67CD8">
        <w:t xml:space="preserve">Identifying patterns of </w:t>
      </w:r>
      <w:r w:rsidRPr="00B67CD8" w:rsidR="00D60970">
        <w:t xml:space="preserve">ED visits for firearm injuries </w:t>
      </w:r>
      <w:r w:rsidRPr="00B67CD8" w:rsidR="005F7B61">
        <w:t>(regardless of intent), other types of violence-related injuries, and mental health conditions,</w:t>
      </w:r>
      <w:r w:rsidRPr="00B67CD8" w:rsidR="00D60970">
        <w:t xml:space="preserve"> and </w:t>
      </w:r>
      <w:r w:rsidRPr="00B67CD8" w:rsidR="005F7B61">
        <w:t xml:space="preserve">examining </w:t>
      </w:r>
      <w:r w:rsidRPr="00B67CD8" w:rsidR="00D60970">
        <w:t xml:space="preserve">how these patterns vary across demographic groups to better target interventions. </w:t>
      </w:r>
    </w:p>
    <w:p w:rsidR="00BA4BBB" w:rsidRPr="00B67CD8" w:rsidP="004D6497" w14:paraId="545577C4" w14:textId="77777777">
      <w:pPr>
        <w:pStyle w:val="BodyText2"/>
        <w:numPr>
          <w:ilvl w:val="0"/>
          <w:numId w:val="14"/>
        </w:numPr>
        <w:tabs>
          <w:tab w:val="clear" w:pos="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jc w:val="left"/>
      </w:pPr>
      <w:r w:rsidRPr="00B67CD8">
        <w:t>Assessing relationships between health inequities and social determinants of health and ED visits for firearm injuries (regardless of intent), other types of violence-related injuries, and mental health conditions.</w:t>
      </w:r>
    </w:p>
    <w:p w:rsidR="00BA4BBB" w:rsidRPr="00B67CD8" w:rsidP="004D6497" w14:paraId="00EDA124" w14:textId="06D8C130">
      <w:pPr>
        <w:pStyle w:val="BodyText2"/>
        <w:numPr>
          <w:ilvl w:val="0"/>
          <w:numId w:val="14"/>
        </w:numPr>
        <w:tabs>
          <w:tab w:val="clear" w:pos="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jc w:val="left"/>
      </w:pPr>
      <w:r w:rsidRPr="00B67CD8">
        <w:t xml:space="preserve">Comparing state and </w:t>
      </w:r>
      <w:r w:rsidRPr="00B67CD8" w:rsidR="00952614">
        <w:t>national</w:t>
      </w:r>
      <w:r w:rsidRPr="00B67CD8">
        <w:t xml:space="preserve"> trends in ED visits involving </w:t>
      </w:r>
      <w:r w:rsidRPr="00B67CD8" w:rsidR="00952614">
        <w:t xml:space="preserve">firearm injuries (regardless of intent), other types of violence-related injuries, and mental health conditions </w:t>
      </w:r>
      <w:r w:rsidRPr="00B67CD8">
        <w:t xml:space="preserve">with trends observed in </w:t>
      </w:r>
      <w:r w:rsidRPr="00B67CD8" w:rsidR="00AD7C43">
        <w:t>violence-related deaths</w:t>
      </w:r>
      <w:r w:rsidRPr="00B67CD8">
        <w:t>. This will help validate and improve the current data collection</w:t>
      </w:r>
      <w:r w:rsidRPr="00B67CD8">
        <w:t xml:space="preserve">. </w:t>
      </w:r>
    </w:p>
    <w:p w:rsidR="00760067" w:rsidRPr="00B67CD8" w:rsidP="00972DEF" w14:paraId="5F96A722" w14:textId="77777777">
      <w:pPr>
        <w:autoSpaceDE w:val="0"/>
        <w:autoSpaceDN w:val="0"/>
        <w:adjustRightInd w:val="0"/>
        <w:rPr>
          <w:bCs/>
        </w:rPr>
      </w:pPr>
    </w:p>
    <w:p w:rsidR="00972DEF" w:rsidRPr="00B67CD8" w:rsidP="00972DEF" w14:paraId="25D87415" w14:textId="77777777">
      <w:pPr>
        <w:autoSpaceDE w:val="0"/>
        <w:autoSpaceDN w:val="0"/>
        <w:adjustRightInd w:val="0"/>
        <w:rPr>
          <w:b/>
          <w:bCs/>
        </w:rPr>
      </w:pPr>
      <w:r w:rsidRPr="00B67CD8">
        <w:rPr>
          <w:b/>
          <w:bCs/>
        </w:rPr>
        <w:t xml:space="preserve">A.17. Reason(s) Display of OMB Expiration Date is Inappropriate </w:t>
      </w:r>
    </w:p>
    <w:p w:rsidR="00972DEF" w:rsidRPr="00B67CD8" w:rsidP="00972DEF" w14:paraId="5B95CD12" w14:textId="77777777">
      <w:pPr>
        <w:autoSpaceDE w:val="0"/>
        <w:autoSpaceDN w:val="0"/>
        <w:adjustRightInd w:val="0"/>
        <w:rPr>
          <w:b/>
          <w:bCs/>
        </w:rPr>
      </w:pPr>
    </w:p>
    <w:p w:rsidR="00837D2E" w:rsidRPr="00B67CD8" w:rsidP="00972DEF" w14:paraId="4DFF37B7" w14:textId="77109859">
      <w:pPr>
        <w:autoSpaceDE w:val="0"/>
        <w:autoSpaceDN w:val="0"/>
        <w:adjustRightInd w:val="0"/>
      </w:pPr>
      <w:r w:rsidRPr="00B67CD8">
        <w:t xml:space="preserve">There are no standard paper data collection forms to be used in this data collection. Instead, the participating health departments share the requested ED data with CDC using an Excel file, the </w:t>
      </w:r>
      <w:r w:rsidRPr="00B67CD8" w:rsidR="00D140BB">
        <w:rPr>
          <w:i/>
          <w:iCs/>
        </w:rPr>
        <w:t>ED violence data form</w:t>
      </w:r>
      <w:r w:rsidRPr="00B67CD8">
        <w:t xml:space="preserve">. The OMB number will be displayed on the </w:t>
      </w:r>
      <w:r w:rsidRPr="00B67CD8" w:rsidR="00D140BB">
        <w:rPr>
          <w:i/>
          <w:iCs/>
        </w:rPr>
        <w:t>ED violence data form</w:t>
      </w:r>
      <w:r w:rsidRPr="00B67CD8" w:rsidR="00D140BB">
        <w:t xml:space="preserve"> </w:t>
      </w:r>
      <w:r w:rsidRPr="00B67CD8">
        <w:t xml:space="preserve">distributed to state health departments. </w:t>
      </w:r>
    </w:p>
    <w:p w:rsidR="00837D2E" w:rsidRPr="00B67CD8" w:rsidP="00972DEF" w14:paraId="00DBF098" w14:textId="77777777">
      <w:pPr>
        <w:autoSpaceDE w:val="0"/>
        <w:autoSpaceDN w:val="0"/>
        <w:adjustRightInd w:val="0"/>
      </w:pPr>
    </w:p>
    <w:p w:rsidR="00972DEF" w:rsidRPr="00B67CD8" w:rsidP="00972DEF" w14:paraId="66D888A4" w14:textId="77777777">
      <w:pPr>
        <w:autoSpaceDE w:val="0"/>
        <w:autoSpaceDN w:val="0"/>
        <w:adjustRightInd w:val="0"/>
        <w:rPr>
          <w:b/>
          <w:bCs/>
        </w:rPr>
      </w:pPr>
      <w:r w:rsidRPr="00B67CD8">
        <w:rPr>
          <w:b/>
          <w:bCs/>
        </w:rPr>
        <w:t xml:space="preserve">A.18. Exceptions to Certification for Paperwork Reduction Act Submissions </w:t>
      </w:r>
    </w:p>
    <w:p w:rsidR="00972DEF" w:rsidRPr="00B67CD8" w:rsidP="00972DEF" w14:paraId="13CB595B" w14:textId="77777777">
      <w:pPr>
        <w:autoSpaceDE w:val="0"/>
        <w:autoSpaceDN w:val="0"/>
        <w:adjustRightInd w:val="0"/>
        <w:rPr>
          <w:b/>
          <w:bCs/>
        </w:rPr>
      </w:pPr>
    </w:p>
    <w:p w:rsidR="001B6821" w:rsidP="00420226" w14:paraId="0535F08F" w14:textId="77BC0A1F">
      <w:pPr>
        <w:autoSpaceDE w:val="0"/>
        <w:autoSpaceDN w:val="0"/>
        <w:adjustRightInd w:val="0"/>
      </w:pPr>
      <w:r w:rsidRPr="00B67CD8">
        <w:t>There are no exceptions to the certification</w:t>
      </w:r>
      <w:r w:rsidRPr="00B67CD8">
        <w:t>.</w:t>
      </w:r>
    </w:p>
    <w:p w:rsidR="00EF75DD" w:rsidRPr="00B67CD8" w:rsidP="00420226" w14:paraId="33A2B058" w14:textId="77CDC51E">
      <w:pPr>
        <w:autoSpaceDE w:val="0"/>
        <w:autoSpaceDN w:val="0"/>
        <w:adjustRightInd w:val="0"/>
      </w:pPr>
    </w:p>
    <w:sectPr w:rsidSect="001A0A8C">
      <w:footerReference w:type="even" r:id="rId12"/>
      <w:footerReference w:type="default" r:id="rId13"/>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187D" w:rsidP="001A0A8C" w14:paraId="53928121" w14:textId="28E69B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43A8">
      <w:rPr>
        <w:rStyle w:val="PageNumber"/>
        <w:noProof/>
      </w:rPr>
      <w:t>3</w:t>
    </w:r>
    <w:r>
      <w:rPr>
        <w:rStyle w:val="PageNumber"/>
      </w:rPr>
      <w:fldChar w:fldCharType="end"/>
    </w:r>
  </w:p>
  <w:p w:rsidR="0073187D" w:rsidP="001A0A8C" w14:paraId="675E05E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187D" w:rsidP="001A0A8C" w14:paraId="7C70BCC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090A">
      <w:rPr>
        <w:rStyle w:val="PageNumber"/>
        <w:noProof/>
      </w:rPr>
      <w:t>5</w:t>
    </w:r>
    <w:r>
      <w:rPr>
        <w:rStyle w:val="PageNumber"/>
      </w:rPr>
      <w:fldChar w:fldCharType="end"/>
    </w:r>
  </w:p>
  <w:p w:rsidR="0073187D" w:rsidRPr="00BB4559" w:rsidP="00144640" w14:paraId="77A52294"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C73AB"/>
    <w:multiLevelType w:val="hybridMultilevel"/>
    <w:tmpl w:val="74BCACA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06536142"/>
    <w:multiLevelType w:val="hybridMultilevel"/>
    <w:tmpl w:val="D4B24A5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095A6301"/>
    <w:multiLevelType w:val="hybridMultilevel"/>
    <w:tmpl w:val="F6EE98D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13054A65"/>
    <w:multiLevelType w:val="hybridMultilevel"/>
    <w:tmpl w:val="6DD4F1E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1662657A"/>
    <w:multiLevelType w:val="hybridMultilevel"/>
    <w:tmpl w:val="9A5C676C"/>
    <w:lvl w:ilvl="0">
      <w:start w:val="1"/>
      <w:numFmt w:val="decimal"/>
      <w:pStyle w:val="Level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992330E"/>
    <w:multiLevelType w:val="hybridMultilevel"/>
    <w:tmpl w:val="8EDC1B8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317FD3"/>
    <w:multiLevelType w:val="hybridMultilevel"/>
    <w:tmpl w:val="D8A48E9C"/>
    <w:lvl w:ilvl="0">
      <w:start w:val="1"/>
      <w:numFmt w:val="bullet"/>
      <w:pStyle w:val="Bulleted"/>
      <w:lvlText w:val=""/>
      <w:lvlJc w:val="left"/>
      <w:pPr>
        <w:tabs>
          <w:tab w:val="num" w:pos="504"/>
        </w:tabs>
        <w:ind w:left="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7">
    <w:nsid w:val="1EF30D0C"/>
    <w:multiLevelType w:val="hybridMultilevel"/>
    <w:tmpl w:val="607836DA"/>
    <w:lvl w:ilvl="0">
      <w:start w:val="1"/>
      <w:numFmt w:val="bullet"/>
      <w:pStyle w:val="List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8">
    <w:nsid w:val="23703531"/>
    <w:multiLevelType w:val="hybridMultilevel"/>
    <w:tmpl w:val="96CA4E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263753F0"/>
    <w:multiLevelType w:val="hybridMultilevel"/>
    <w:tmpl w:val="DD9C4BFE"/>
    <w:lvl w:ilvl="0">
      <w:start w:val="1"/>
      <w:numFmt w:val="decimal"/>
      <w:lvlText w:val="%1."/>
      <w:lvlJc w:val="left"/>
      <w:pPr>
        <w:ind w:left="360" w:hanging="360"/>
      </w:pPr>
    </w:lvl>
    <w:lvl w:ilvl="1">
      <w:start w:val="1"/>
      <w:numFmt w:val="lowerLetter"/>
      <w:lvlText w:val="%2."/>
      <w:lvlJc w:val="left"/>
      <w:pPr>
        <w:ind w:left="72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9915E29"/>
    <w:multiLevelType w:val="hybridMultilevel"/>
    <w:tmpl w:val="F89299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2B4B219E"/>
    <w:multiLevelType w:val="hybridMultilevel"/>
    <w:tmpl w:val="2DC2C10E"/>
    <w:lvl w:ilvl="0">
      <w:start w:val="1"/>
      <w:numFmt w:val="bullet"/>
      <w:pStyle w:val="bullets"/>
      <w:lvlText w:val="■"/>
      <w:lvlJc w:val="left"/>
      <w:pPr>
        <w:tabs>
          <w:tab w:val="num" w:pos="720"/>
        </w:tabs>
        <w:ind w:left="720" w:hanging="360"/>
      </w:pPr>
      <w:rPr>
        <w:rFonts w:ascii="Times New Roman" w:hAnsi="Times New Roman" w:cs="Times New Roman" w:hint="default"/>
      </w:rPr>
    </w:lvl>
    <w:lvl w:ilvl="1">
      <w:start w:val="1"/>
      <w:numFmt w:val="bullet"/>
      <w:pStyle w:val="a2colbul"/>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343063FF"/>
    <w:multiLevelType w:val="hybridMultilevel"/>
    <w:tmpl w:val="F7261D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2B84E31"/>
    <w:multiLevelType w:val="hybridMultilevel"/>
    <w:tmpl w:val="E1AE7F2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42CC5522"/>
    <w:multiLevelType w:val="hybridMultilevel"/>
    <w:tmpl w:val="98A226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438C0C1B"/>
    <w:multiLevelType w:val="hybridMultilevel"/>
    <w:tmpl w:val="17E4E0D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477E6193"/>
    <w:multiLevelType w:val="hybridMultilevel"/>
    <w:tmpl w:val="3EE8D48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48216D0E"/>
    <w:multiLevelType w:val="hybridMultilevel"/>
    <w:tmpl w:val="ED7C2E6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5491137D"/>
    <w:multiLevelType w:val="hybridMultilevel"/>
    <w:tmpl w:val="97F0451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5C3364E9"/>
    <w:multiLevelType w:val="hybridMultilevel"/>
    <w:tmpl w:val="15941F6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5E081BB4"/>
    <w:multiLevelType w:val="hybridMultilevel"/>
    <w:tmpl w:val="15525FDC"/>
    <w:lvl w:ilvl="0">
      <w:start w:val="1"/>
      <w:numFmt w:val="decimal"/>
      <w:lvlText w:val="%1."/>
      <w:lvlJc w:val="left"/>
      <w:pPr>
        <w:ind w:left="360" w:hanging="360"/>
      </w:pPr>
      <w:rPr>
        <w:b w:val="0"/>
        <w:bCs w:val="0"/>
        <w:i w:val="0"/>
      </w:rPr>
    </w:lvl>
    <w:lvl w:ilvl="1">
      <w:start w:val="1"/>
      <w:numFmt w:val="lowerLetter"/>
      <w:lvlText w:val="%2."/>
      <w:lvlJc w:val="left"/>
      <w:pPr>
        <w:ind w:left="1080" w:hanging="360"/>
      </w:pPr>
      <w:rPr>
        <w:b w:val="0"/>
      </w:rPr>
    </w:lvl>
    <w:lvl w:ilvl="2">
      <w:start w:val="1"/>
      <w:numFmt w:val="lowerRoman"/>
      <w:lvlText w:val="%3."/>
      <w:lvlJc w:val="right"/>
      <w:pPr>
        <w:ind w:left="1800" w:hanging="180"/>
      </w:pPr>
      <w:rPr>
        <w:b w:val="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5F7051E"/>
    <w:multiLevelType w:val="hybridMultilevel"/>
    <w:tmpl w:val="E86E436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6C386A53"/>
    <w:multiLevelType w:val="hybridMultilevel"/>
    <w:tmpl w:val="6A6AED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6C4572B3"/>
    <w:multiLevelType w:val="hybridMultilevel"/>
    <w:tmpl w:val="1F4C24B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4">
    <w:nsid w:val="71593DBC"/>
    <w:multiLevelType w:val="hybridMultilevel"/>
    <w:tmpl w:val="6B6EBFF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26">
    <w:nsid w:val="7CF21256"/>
    <w:multiLevelType w:val="hybridMultilevel"/>
    <w:tmpl w:val="5E86A4D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7">
    <w:nsid w:val="7F093DE5"/>
    <w:multiLevelType w:val="hybridMultilevel"/>
    <w:tmpl w:val="62A00F0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72173813">
    <w:abstractNumId w:val="4"/>
  </w:num>
  <w:num w:numId="2" w16cid:durableId="1341813391">
    <w:abstractNumId w:val="25"/>
  </w:num>
  <w:num w:numId="3" w16cid:durableId="1625112544">
    <w:abstractNumId w:val="6"/>
  </w:num>
  <w:num w:numId="4" w16cid:durableId="452600941">
    <w:abstractNumId w:val="7"/>
  </w:num>
  <w:num w:numId="5" w16cid:durableId="1881894543">
    <w:abstractNumId w:val="11"/>
  </w:num>
  <w:num w:numId="6" w16cid:durableId="3316393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9172829">
    <w:abstractNumId w:val="20"/>
  </w:num>
  <w:num w:numId="8" w16cid:durableId="526869916">
    <w:abstractNumId w:val="14"/>
  </w:num>
  <w:num w:numId="9" w16cid:durableId="262735776">
    <w:abstractNumId w:val="8"/>
  </w:num>
  <w:num w:numId="10" w16cid:durableId="1559318478">
    <w:abstractNumId w:val="10"/>
  </w:num>
  <w:num w:numId="11" w16cid:durableId="1537426484">
    <w:abstractNumId w:val="15"/>
  </w:num>
  <w:num w:numId="12" w16cid:durableId="617487032">
    <w:abstractNumId w:val="24"/>
  </w:num>
  <w:num w:numId="13" w16cid:durableId="1818959565">
    <w:abstractNumId w:val="5"/>
  </w:num>
  <w:num w:numId="14" w16cid:durableId="229965875">
    <w:abstractNumId w:val="3"/>
  </w:num>
  <w:num w:numId="15" w16cid:durableId="1678998151">
    <w:abstractNumId w:val="27"/>
  </w:num>
  <w:num w:numId="16" w16cid:durableId="225579607">
    <w:abstractNumId w:val="9"/>
  </w:num>
  <w:num w:numId="17" w16cid:durableId="44332718">
    <w:abstractNumId w:val="12"/>
  </w:num>
  <w:num w:numId="18" w16cid:durableId="1898467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9235929">
    <w:abstractNumId w:val="13"/>
  </w:num>
  <w:num w:numId="20" w16cid:durableId="752051580">
    <w:abstractNumId w:val="16"/>
  </w:num>
  <w:num w:numId="21" w16cid:durableId="99222283">
    <w:abstractNumId w:val="18"/>
  </w:num>
  <w:num w:numId="22" w16cid:durableId="1076900241">
    <w:abstractNumId w:val="17"/>
  </w:num>
  <w:num w:numId="23" w16cid:durableId="501705850">
    <w:abstractNumId w:val="26"/>
  </w:num>
  <w:num w:numId="24" w16cid:durableId="33433554">
    <w:abstractNumId w:val="23"/>
  </w:num>
  <w:num w:numId="25" w16cid:durableId="224681560">
    <w:abstractNumId w:val="0"/>
  </w:num>
  <w:num w:numId="26" w16cid:durableId="1640455201">
    <w:abstractNumId w:val="1"/>
  </w:num>
  <w:num w:numId="27" w16cid:durableId="798912261">
    <w:abstractNumId w:val="2"/>
  </w:num>
  <w:num w:numId="28" w16cid:durableId="762191285">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EF"/>
    <w:rsid w:val="00002669"/>
    <w:rsid w:val="00002CB2"/>
    <w:rsid w:val="00003D0C"/>
    <w:rsid w:val="000068D5"/>
    <w:rsid w:val="00006CD4"/>
    <w:rsid w:val="000106C6"/>
    <w:rsid w:val="00012596"/>
    <w:rsid w:val="00013F0A"/>
    <w:rsid w:val="00014066"/>
    <w:rsid w:val="0001452F"/>
    <w:rsid w:val="00014C5D"/>
    <w:rsid w:val="000151A9"/>
    <w:rsid w:val="000236D9"/>
    <w:rsid w:val="00024097"/>
    <w:rsid w:val="00026113"/>
    <w:rsid w:val="00026C55"/>
    <w:rsid w:val="00030B06"/>
    <w:rsid w:val="00032EAB"/>
    <w:rsid w:val="00034D66"/>
    <w:rsid w:val="00036B38"/>
    <w:rsid w:val="00037139"/>
    <w:rsid w:val="00040551"/>
    <w:rsid w:val="00043C49"/>
    <w:rsid w:val="00045CF8"/>
    <w:rsid w:val="000462CE"/>
    <w:rsid w:val="00046631"/>
    <w:rsid w:val="00046C01"/>
    <w:rsid w:val="00046D69"/>
    <w:rsid w:val="00047243"/>
    <w:rsid w:val="00047A3B"/>
    <w:rsid w:val="000523C9"/>
    <w:rsid w:val="0005319C"/>
    <w:rsid w:val="00053C31"/>
    <w:rsid w:val="00054F7E"/>
    <w:rsid w:val="0005567A"/>
    <w:rsid w:val="00057ED8"/>
    <w:rsid w:val="000630F3"/>
    <w:rsid w:val="00063B71"/>
    <w:rsid w:val="00063EA6"/>
    <w:rsid w:val="000642F2"/>
    <w:rsid w:val="000663CC"/>
    <w:rsid w:val="000711CD"/>
    <w:rsid w:val="00081BDB"/>
    <w:rsid w:val="00082FB9"/>
    <w:rsid w:val="000847B7"/>
    <w:rsid w:val="00084F1E"/>
    <w:rsid w:val="00085277"/>
    <w:rsid w:val="000858FA"/>
    <w:rsid w:val="0009080F"/>
    <w:rsid w:val="000925D2"/>
    <w:rsid w:val="00093851"/>
    <w:rsid w:val="00094BF2"/>
    <w:rsid w:val="00095AF9"/>
    <w:rsid w:val="00096849"/>
    <w:rsid w:val="00097656"/>
    <w:rsid w:val="000A0F71"/>
    <w:rsid w:val="000A4F24"/>
    <w:rsid w:val="000B7303"/>
    <w:rsid w:val="000C274B"/>
    <w:rsid w:val="000C2EFC"/>
    <w:rsid w:val="000C3B79"/>
    <w:rsid w:val="000C3F79"/>
    <w:rsid w:val="000C4150"/>
    <w:rsid w:val="000C4CAF"/>
    <w:rsid w:val="000C6765"/>
    <w:rsid w:val="000D05A0"/>
    <w:rsid w:val="000D0892"/>
    <w:rsid w:val="000D31C0"/>
    <w:rsid w:val="000D4D34"/>
    <w:rsid w:val="000E3608"/>
    <w:rsid w:val="000E3BC9"/>
    <w:rsid w:val="000E4AB2"/>
    <w:rsid w:val="000F0EE6"/>
    <w:rsid w:val="000F1766"/>
    <w:rsid w:val="000F19A7"/>
    <w:rsid w:val="000F1D4A"/>
    <w:rsid w:val="000F50B9"/>
    <w:rsid w:val="000F55B5"/>
    <w:rsid w:val="00100D30"/>
    <w:rsid w:val="00101B6B"/>
    <w:rsid w:val="00102734"/>
    <w:rsid w:val="00103D59"/>
    <w:rsid w:val="001064F7"/>
    <w:rsid w:val="001134E9"/>
    <w:rsid w:val="00115D62"/>
    <w:rsid w:val="00116850"/>
    <w:rsid w:val="00116C35"/>
    <w:rsid w:val="00117092"/>
    <w:rsid w:val="00121022"/>
    <w:rsid w:val="00122751"/>
    <w:rsid w:val="001245D1"/>
    <w:rsid w:val="00124EB1"/>
    <w:rsid w:val="00124F7A"/>
    <w:rsid w:val="0012575C"/>
    <w:rsid w:val="00125D25"/>
    <w:rsid w:val="0013185D"/>
    <w:rsid w:val="00133154"/>
    <w:rsid w:val="00133289"/>
    <w:rsid w:val="001355B4"/>
    <w:rsid w:val="00135823"/>
    <w:rsid w:val="00136C93"/>
    <w:rsid w:val="00140AD2"/>
    <w:rsid w:val="0014146B"/>
    <w:rsid w:val="00141F78"/>
    <w:rsid w:val="00143326"/>
    <w:rsid w:val="00143A97"/>
    <w:rsid w:val="00143BF1"/>
    <w:rsid w:val="001440C5"/>
    <w:rsid w:val="00144640"/>
    <w:rsid w:val="00146038"/>
    <w:rsid w:val="00147660"/>
    <w:rsid w:val="00147F0D"/>
    <w:rsid w:val="00152324"/>
    <w:rsid w:val="001528DE"/>
    <w:rsid w:val="00153B43"/>
    <w:rsid w:val="001543AF"/>
    <w:rsid w:val="001553BF"/>
    <w:rsid w:val="00162CE1"/>
    <w:rsid w:val="0016565B"/>
    <w:rsid w:val="00166105"/>
    <w:rsid w:val="001668C4"/>
    <w:rsid w:val="00172EEC"/>
    <w:rsid w:val="001737B2"/>
    <w:rsid w:val="0018364C"/>
    <w:rsid w:val="00183655"/>
    <w:rsid w:val="001838E3"/>
    <w:rsid w:val="00190B66"/>
    <w:rsid w:val="00190E6C"/>
    <w:rsid w:val="00191682"/>
    <w:rsid w:val="00192B8D"/>
    <w:rsid w:val="001936FE"/>
    <w:rsid w:val="0019427F"/>
    <w:rsid w:val="00195C2D"/>
    <w:rsid w:val="0019616B"/>
    <w:rsid w:val="00196CCD"/>
    <w:rsid w:val="001A05F9"/>
    <w:rsid w:val="001A0A8C"/>
    <w:rsid w:val="001A25A8"/>
    <w:rsid w:val="001A4E71"/>
    <w:rsid w:val="001A569A"/>
    <w:rsid w:val="001A5E9F"/>
    <w:rsid w:val="001A6157"/>
    <w:rsid w:val="001A6604"/>
    <w:rsid w:val="001A77D0"/>
    <w:rsid w:val="001A7C5C"/>
    <w:rsid w:val="001B218A"/>
    <w:rsid w:val="001B2979"/>
    <w:rsid w:val="001B2B80"/>
    <w:rsid w:val="001B43C7"/>
    <w:rsid w:val="001B46CA"/>
    <w:rsid w:val="001B495A"/>
    <w:rsid w:val="001B6821"/>
    <w:rsid w:val="001C03CC"/>
    <w:rsid w:val="001C0E4A"/>
    <w:rsid w:val="001C11B6"/>
    <w:rsid w:val="001C4949"/>
    <w:rsid w:val="001C4D29"/>
    <w:rsid w:val="001C7212"/>
    <w:rsid w:val="001C7245"/>
    <w:rsid w:val="001C79EF"/>
    <w:rsid w:val="001D230B"/>
    <w:rsid w:val="001D3733"/>
    <w:rsid w:val="001D3CE3"/>
    <w:rsid w:val="001D55A6"/>
    <w:rsid w:val="001E07EB"/>
    <w:rsid w:val="001E1584"/>
    <w:rsid w:val="001E1A5D"/>
    <w:rsid w:val="001E7051"/>
    <w:rsid w:val="001F1FDA"/>
    <w:rsid w:val="001F2730"/>
    <w:rsid w:val="001F2E0D"/>
    <w:rsid w:val="001F3081"/>
    <w:rsid w:val="001F4E47"/>
    <w:rsid w:val="001F6EB7"/>
    <w:rsid w:val="00200EF9"/>
    <w:rsid w:val="0020133D"/>
    <w:rsid w:val="0020149B"/>
    <w:rsid w:val="00202616"/>
    <w:rsid w:val="002031E9"/>
    <w:rsid w:val="00203779"/>
    <w:rsid w:val="00203955"/>
    <w:rsid w:val="002049A0"/>
    <w:rsid w:val="00205515"/>
    <w:rsid w:val="00205D79"/>
    <w:rsid w:val="00211543"/>
    <w:rsid w:val="00211558"/>
    <w:rsid w:val="00211777"/>
    <w:rsid w:val="002121A0"/>
    <w:rsid w:val="00212621"/>
    <w:rsid w:val="00212983"/>
    <w:rsid w:val="002154A8"/>
    <w:rsid w:val="00215ED9"/>
    <w:rsid w:val="00217386"/>
    <w:rsid w:val="002174E2"/>
    <w:rsid w:val="00220898"/>
    <w:rsid w:val="00222B19"/>
    <w:rsid w:val="00222B5F"/>
    <w:rsid w:val="00222E65"/>
    <w:rsid w:val="002254E6"/>
    <w:rsid w:val="00226422"/>
    <w:rsid w:val="00227662"/>
    <w:rsid w:val="00233FB1"/>
    <w:rsid w:val="00234AED"/>
    <w:rsid w:val="00234FD5"/>
    <w:rsid w:val="00236E15"/>
    <w:rsid w:val="00237911"/>
    <w:rsid w:val="002420E6"/>
    <w:rsid w:val="00242B38"/>
    <w:rsid w:val="0024577E"/>
    <w:rsid w:val="00251B7A"/>
    <w:rsid w:val="00253F44"/>
    <w:rsid w:val="0025574D"/>
    <w:rsid w:val="00263928"/>
    <w:rsid w:val="0026412F"/>
    <w:rsid w:val="0026518B"/>
    <w:rsid w:val="00265796"/>
    <w:rsid w:val="00267068"/>
    <w:rsid w:val="00267102"/>
    <w:rsid w:val="0027160A"/>
    <w:rsid w:val="00271E8F"/>
    <w:rsid w:val="0027328D"/>
    <w:rsid w:val="00274D73"/>
    <w:rsid w:val="0027700E"/>
    <w:rsid w:val="0027701C"/>
    <w:rsid w:val="00277131"/>
    <w:rsid w:val="00282E91"/>
    <w:rsid w:val="00283F53"/>
    <w:rsid w:val="002868D1"/>
    <w:rsid w:val="00286B9B"/>
    <w:rsid w:val="0028717E"/>
    <w:rsid w:val="00287302"/>
    <w:rsid w:val="0028778D"/>
    <w:rsid w:val="00287B54"/>
    <w:rsid w:val="00293622"/>
    <w:rsid w:val="00295BB7"/>
    <w:rsid w:val="002963A8"/>
    <w:rsid w:val="0029651F"/>
    <w:rsid w:val="002A25C6"/>
    <w:rsid w:val="002A71C6"/>
    <w:rsid w:val="002A73B0"/>
    <w:rsid w:val="002A7BE0"/>
    <w:rsid w:val="002B1F00"/>
    <w:rsid w:val="002B1FD3"/>
    <w:rsid w:val="002B23D0"/>
    <w:rsid w:val="002B4943"/>
    <w:rsid w:val="002B5E08"/>
    <w:rsid w:val="002B686F"/>
    <w:rsid w:val="002B7441"/>
    <w:rsid w:val="002B7F79"/>
    <w:rsid w:val="002C0813"/>
    <w:rsid w:val="002C2A59"/>
    <w:rsid w:val="002C3BEA"/>
    <w:rsid w:val="002C5DEA"/>
    <w:rsid w:val="002D1314"/>
    <w:rsid w:val="002D1936"/>
    <w:rsid w:val="002D1DCF"/>
    <w:rsid w:val="002D5113"/>
    <w:rsid w:val="002D592C"/>
    <w:rsid w:val="002D626B"/>
    <w:rsid w:val="002E2B98"/>
    <w:rsid w:val="002E3A2A"/>
    <w:rsid w:val="002E3B0B"/>
    <w:rsid w:val="002E447A"/>
    <w:rsid w:val="002E45B2"/>
    <w:rsid w:val="002E5E78"/>
    <w:rsid w:val="002F0D3D"/>
    <w:rsid w:val="002F55BA"/>
    <w:rsid w:val="002F658C"/>
    <w:rsid w:val="002F7686"/>
    <w:rsid w:val="0030062F"/>
    <w:rsid w:val="00300922"/>
    <w:rsid w:val="0030186F"/>
    <w:rsid w:val="00303D69"/>
    <w:rsid w:val="00305166"/>
    <w:rsid w:val="003056EB"/>
    <w:rsid w:val="00305748"/>
    <w:rsid w:val="00305806"/>
    <w:rsid w:val="00307CE5"/>
    <w:rsid w:val="00307DC2"/>
    <w:rsid w:val="00311022"/>
    <w:rsid w:val="00313773"/>
    <w:rsid w:val="00313C77"/>
    <w:rsid w:val="003164E4"/>
    <w:rsid w:val="00317A2B"/>
    <w:rsid w:val="00317FF8"/>
    <w:rsid w:val="00321103"/>
    <w:rsid w:val="003213FB"/>
    <w:rsid w:val="0032281D"/>
    <w:rsid w:val="00322A75"/>
    <w:rsid w:val="0032357F"/>
    <w:rsid w:val="003245AD"/>
    <w:rsid w:val="00330867"/>
    <w:rsid w:val="00330C43"/>
    <w:rsid w:val="00334B07"/>
    <w:rsid w:val="00335877"/>
    <w:rsid w:val="00335D3D"/>
    <w:rsid w:val="00336388"/>
    <w:rsid w:val="003369F1"/>
    <w:rsid w:val="003379A2"/>
    <w:rsid w:val="00337C4A"/>
    <w:rsid w:val="00337E44"/>
    <w:rsid w:val="00337FCD"/>
    <w:rsid w:val="00340943"/>
    <w:rsid w:val="00344009"/>
    <w:rsid w:val="00344FB9"/>
    <w:rsid w:val="003467B9"/>
    <w:rsid w:val="003474F1"/>
    <w:rsid w:val="00351B4A"/>
    <w:rsid w:val="00352DA4"/>
    <w:rsid w:val="003544B9"/>
    <w:rsid w:val="00360C3E"/>
    <w:rsid w:val="00360F81"/>
    <w:rsid w:val="00361659"/>
    <w:rsid w:val="00362CAD"/>
    <w:rsid w:val="00366436"/>
    <w:rsid w:val="0037022F"/>
    <w:rsid w:val="00373237"/>
    <w:rsid w:val="0037355C"/>
    <w:rsid w:val="0037791E"/>
    <w:rsid w:val="00377B8E"/>
    <w:rsid w:val="00380E1B"/>
    <w:rsid w:val="0038124B"/>
    <w:rsid w:val="00382642"/>
    <w:rsid w:val="0038374C"/>
    <w:rsid w:val="00384074"/>
    <w:rsid w:val="00385B8F"/>
    <w:rsid w:val="00386D2B"/>
    <w:rsid w:val="00386DC7"/>
    <w:rsid w:val="003901A3"/>
    <w:rsid w:val="003901C4"/>
    <w:rsid w:val="00390B26"/>
    <w:rsid w:val="00390B3E"/>
    <w:rsid w:val="0039296A"/>
    <w:rsid w:val="00392A36"/>
    <w:rsid w:val="00393820"/>
    <w:rsid w:val="003946CE"/>
    <w:rsid w:val="00395139"/>
    <w:rsid w:val="0039709E"/>
    <w:rsid w:val="003A236F"/>
    <w:rsid w:val="003A32D0"/>
    <w:rsid w:val="003A517B"/>
    <w:rsid w:val="003A5968"/>
    <w:rsid w:val="003A6381"/>
    <w:rsid w:val="003B1062"/>
    <w:rsid w:val="003B14A4"/>
    <w:rsid w:val="003B1FC1"/>
    <w:rsid w:val="003B3C8F"/>
    <w:rsid w:val="003B4D2D"/>
    <w:rsid w:val="003B54A2"/>
    <w:rsid w:val="003B62E6"/>
    <w:rsid w:val="003B6AB5"/>
    <w:rsid w:val="003B6E8E"/>
    <w:rsid w:val="003C2F65"/>
    <w:rsid w:val="003C5105"/>
    <w:rsid w:val="003C6134"/>
    <w:rsid w:val="003C61ED"/>
    <w:rsid w:val="003C657F"/>
    <w:rsid w:val="003C7992"/>
    <w:rsid w:val="003D01BA"/>
    <w:rsid w:val="003D0E3E"/>
    <w:rsid w:val="003D29AA"/>
    <w:rsid w:val="003D4830"/>
    <w:rsid w:val="003E1523"/>
    <w:rsid w:val="003F2103"/>
    <w:rsid w:val="003F24FB"/>
    <w:rsid w:val="003F2567"/>
    <w:rsid w:val="003F3139"/>
    <w:rsid w:val="003F39D3"/>
    <w:rsid w:val="003F4612"/>
    <w:rsid w:val="003F4EDC"/>
    <w:rsid w:val="003F647A"/>
    <w:rsid w:val="003F77E5"/>
    <w:rsid w:val="004016E1"/>
    <w:rsid w:val="00401926"/>
    <w:rsid w:val="0040417C"/>
    <w:rsid w:val="004055ED"/>
    <w:rsid w:val="00405CC1"/>
    <w:rsid w:val="00410DE1"/>
    <w:rsid w:val="00413799"/>
    <w:rsid w:val="00413947"/>
    <w:rsid w:val="00414129"/>
    <w:rsid w:val="00414F4D"/>
    <w:rsid w:val="00420226"/>
    <w:rsid w:val="0042044E"/>
    <w:rsid w:val="0042528D"/>
    <w:rsid w:val="004270FA"/>
    <w:rsid w:val="004308C9"/>
    <w:rsid w:val="0043129A"/>
    <w:rsid w:val="0043245D"/>
    <w:rsid w:val="00433262"/>
    <w:rsid w:val="00434AC6"/>
    <w:rsid w:val="00435F41"/>
    <w:rsid w:val="00440CAA"/>
    <w:rsid w:val="004413CE"/>
    <w:rsid w:val="00444062"/>
    <w:rsid w:val="004463FB"/>
    <w:rsid w:val="004467D7"/>
    <w:rsid w:val="00447B2A"/>
    <w:rsid w:val="0045133E"/>
    <w:rsid w:val="0045156A"/>
    <w:rsid w:val="00452D20"/>
    <w:rsid w:val="00454B74"/>
    <w:rsid w:val="004557D8"/>
    <w:rsid w:val="0045753B"/>
    <w:rsid w:val="00457A05"/>
    <w:rsid w:val="004629C8"/>
    <w:rsid w:val="00462A10"/>
    <w:rsid w:val="00462C2C"/>
    <w:rsid w:val="00463909"/>
    <w:rsid w:val="0046461B"/>
    <w:rsid w:val="00464C69"/>
    <w:rsid w:val="004652C6"/>
    <w:rsid w:val="00465E5A"/>
    <w:rsid w:val="00466B57"/>
    <w:rsid w:val="00467698"/>
    <w:rsid w:val="00467DF4"/>
    <w:rsid w:val="004711E7"/>
    <w:rsid w:val="004712A2"/>
    <w:rsid w:val="004717AB"/>
    <w:rsid w:val="0047487F"/>
    <w:rsid w:val="0047522A"/>
    <w:rsid w:val="0047702E"/>
    <w:rsid w:val="00477041"/>
    <w:rsid w:val="00480944"/>
    <w:rsid w:val="00483754"/>
    <w:rsid w:val="00483ACE"/>
    <w:rsid w:val="00486B82"/>
    <w:rsid w:val="00486BF8"/>
    <w:rsid w:val="0049057C"/>
    <w:rsid w:val="00490F99"/>
    <w:rsid w:val="0049300D"/>
    <w:rsid w:val="004930E9"/>
    <w:rsid w:val="004941DD"/>
    <w:rsid w:val="004959B0"/>
    <w:rsid w:val="00495DF8"/>
    <w:rsid w:val="004964BB"/>
    <w:rsid w:val="004966A9"/>
    <w:rsid w:val="004970E0"/>
    <w:rsid w:val="00497E4B"/>
    <w:rsid w:val="004A332E"/>
    <w:rsid w:val="004A33B3"/>
    <w:rsid w:val="004A3A24"/>
    <w:rsid w:val="004A4436"/>
    <w:rsid w:val="004A5382"/>
    <w:rsid w:val="004B1AD2"/>
    <w:rsid w:val="004B43E5"/>
    <w:rsid w:val="004B65A1"/>
    <w:rsid w:val="004C230F"/>
    <w:rsid w:val="004C382C"/>
    <w:rsid w:val="004C3842"/>
    <w:rsid w:val="004C4BBD"/>
    <w:rsid w:val="004C7230"/>
    <w:rsid w:val="004D01B3"/>
    <w:rsid w:val="004D0582"/>
    <w:rsid w:val="004D098F"/>
    <w:rsid w:val="004D15BB"/>
    <w:rsid w:val="004D3458"/>
    <w:rsid w:val="004D5948"/>
    <w:rsid w:val="004D6211"/>
    <w:rsid w:val="004D6379"/>
    <w:rsid w:val="004D6497"/>
    <w:rsid w:val="004D709D"/>
    <w:rsid w:val="004D724B"/>
    <w:rsid w:val="004D7884"/>
    <w:rsid w:val="004E091D"/>
    <w:rsid w:val="004E1345"/>
    <w:rsid w:val="004E1598"/>
    <w:rsid w:val="004E35BD"/>
    <w:rsid w:val="004E3D74"/>
    <w:rsid w:val="004E4A64"/>
    <w:rsid w:val="004E5A4A"/>
    <w:rsid w:val="004F0F79"/>
    <w:rsid w:val="004F1B4B"/>
    <w:rsid w:val="004F2F1A"/>
    <w:rsid w:val="004F39CA"/>
    <w:rsid w:val="004F5AAA"/>
    <w:rsid w:val="004F7D4D"/>
    <w:rsid w:val="00501904"/>
    <w:rsid w:val="00502A59"/>
    <w:rsid w:val="005031BF"/>
    <w:rsid w:val="005040E3"/>
    <w:rsid w:val="005060D7"/>
    <w:rsid w:val="00506507"/>
    <w:rsid w:val="005068B0"/>
    <w:rsid w:val="00510566"/>
    <w:rsid w:val="00511650"/>
    <w:rsid w:val="00513C2A"/>
    <w:rsid w:val="005141CC"/>
    <w:rsid w:val="00514E0A"/>
    <w:rsid w:val="00516C4D"/>
    <w:rsid w:val="005170B6"/>
    <w:rsid w:val="005228D2"/>
    <w:rsid w:val="00522F95"/>
    <w:rsid w:val="00527146"/>
    <w:rsid w:val="0052776C"/>
    <w:rsid w:val="00530866"/>
    <w:rsid w:val="00530A86"/>
    <w:rsid w:val="00532988"/>
    <w:rsid w:val="00532DEA"/>
    <w:rsid w:val="00534D79"/>
    <w:rsid w:val="00537652"/>
    <w:rsid w:val="00537F19"/>
    <w:rsid w:val="00541B70"/>
    <w:rsid w:val="00541D30"/>
    <w:rsid w:val="00543913"/>
    <w:rsid w:val="005441D4"/>
    <w:rsid w:val="00545657"/>
    <w:rsid w:val="00546310"/>
    <w:rsid w:val="00546691"/>
    <w:rsid w:val="00546EDE"/>
    <w:rsid w:val="00550417"/>
    <w:rsid w:val="00551816"/>
    <w:rsid w:val="0055218E"/>
    <w:rsid w:val="00553C3C"/>
    <w:rsid w:val="00557028"/>
    <w:rsid w:val="00560DD5"/>
    <w:rsid w:val="0056138E"/>
    <w:rsid w:val="00562428"/>
    <w:rsid w:val="005628A0"/>
    <w:rsid w:val="00562BC1"/>
    <w:rsid w:val="005657B2"/>
    <w:rsid w:val="0057192D"/>
    <w:rsid w:val="00571B88"/>
    <w:rsid w:val="00572127"/>
    <w:rsid w:val="00572D0A"/>
    <w:rsid w:val="005745B3"/>
    <w:rsid w:val="005753C8"/>
    <w:rsid w:val="00575DCB"/>
    <w:rsid w:val="005826C4"/>
    <w:rsid w:val="00584D31"/>
    <w:rsid w:val="00586FB1"/>
    <w:rsid w:val="005901DE"/>
    <w:rsid w:val="00590795"/>
    <w:rsid w:val="00590EAA"/>
    <w:rsid w:val="005937DA"/>
    <w:rsid w:val="0059448A"/>
    <w:rsid w:val="005959D2"/>
    <w:rsid w:val="00595BDF"/>
    <w:rsid w:val="00596733"/>
    <w:rsid w:val="00597261"/>
    <w:rsid w:val="005A406C"/>
    <w:rsid w:val="005A4E67"/>
    <w:rsid w:val="005A53E2"/>
    <w:rsid w:val="005A58AE"/>
    <w:rsid w:val="005B1431"/>
    <w:rsid w:val="005B23E0"/>
    <w:rsid w:val="005B397F"/>
    <w:rsid w:val="005B424A"/>
    <w:rsid w:val="005C0B15"/>
    <w:rsid w:val="005C20AE"/>
    <w:rsid w:val="005C420B"/>
    <w:rsid w:val="005C53C4"/>
    <w:rsid w:val="005C5B05"/>
    <w:rsid w:val="005C6A4D"/>
    <w:rsid w:val="005D017B"/>
    <w:rsid w:val="005D4291"/>
    <w:rsid w:val="005D4786"/>
    <w:rsid w:val="005D5E45"/>
    <w:rsid w:val="005D79B8"/>
    <w:rsid w:val="005D79D3"/>
    <w:rsid w:val="005E012C"/>
    <w:rsid w:val="005E0216"/>
    <w:rsid w:val="005E4C8D"/>
    <w:rsid w:val="005E72AB"/>
    <w:rsid w:val="005F3F4E"/>
    <w:rsid w:val="005F4116"/>
    <w:rsid w:val="005F7B61"/>
    <w:rsid w:val="006045B1"/>
    <w:rsid w:val="00606950"/>
    <w:rsid w:val="00615F2A"/>
    <w:rsid w:val="006164A2"/>
    <w:rsid w:val="006167A0"/>
    <w:rsid w:val="0062245E"/>
    <w:rsid w:val="006258F5"/>
    <w:rsid w:val="006260B2"/>
    <w:rsid w:val="006274BE"/>
    <w:rsid w:val="006304DB"/>
    <w:rsid w:val="00631B18"/>
    <w:rsid w:val="00631F91"/>
    <w:rsid w:val="00633591"/>
    <w:rsid w:val="006340BB"/>
    <w:rsid w:val="00635389"/>
    <w:rsid w:val="00637802"/>
    <w:rsid w:val="00637B29"/>
    <w:rsid w:val="00637FBE"/>
    <w:rsid w:val="0064549A"/>
    <w:rsid w:val="00647037"/>
    <w:rsid w:val="00651F6F"/>
    <w:rsid w:val="006536FC"/>
    <w:rsid w:val="006604C6"/>
    <w:rsid w:val="00660600"/>
    <w:rsid w:val="00660ED8"/>
    <w:rsid w:val="00661B1D"/>
    <w:rsid w:val="00664077"/>
    <w:rsid w:val="00666B67"/>
    <w:rsid w:val="006700B5"/>
    <w:rsid w:val="006709ED"/>
    <w:rsid w:val="00674F65"/>
    <w:rsid w:val="00677BBC"/>
    <w:rsid w:val="00680642"/>
    <w:rsid w:val="006846BF"/>
    <w:rsid w:val="00685163"/>
    <w:rsid w:val="00686CCB"/>
    <w:rsid w:val="00687C01"/>
    <w:rsid w:val="00690CAD"/>
    <w:rsid w:val="00691454"/>
    <w:rsid w:val="0069204F"/>
    <w:rsid w:val="0069426C"/>
    <w:rsid w:val="0069469E"/>
    <w:rsid w:val="00694A0F"/>
    <w:rsid w:val="00694C3F"/>
    <w:rsid w:val="00696EAF"/>
    <w:rsid w:val="006A10F2"/>
    <w:rsid w:val="006A3D91"/>
    <w:rsid w:val="006A43AB"/>
    <w:rsid w:val="006A4D7F"/>
    <w:rsid w:val="006A4DC2"/>
    <w:rsid w:val="006A52E7"/>
    <w:rsid w:val="006A7A53"/>
    <w:rsid w:val="006B1164"/>
    <w:rsid w:val="006B204A"/>
    <w:rsid w:val="006B3C55"/>
    <w:rsid w:val="006B51A1"/>
    <w:rsid w:val="006B54AF"/>
    <w:rsid w:val="006B71C5"/>
    <w:rsid w:val="006C1464"/>
    <w:rsid w:val="006C279D"/>
    <w:rsid w:val="006C41DB"/>
    <w:rsid w:val="006C6E10"/>
    <w:rsid w:val="006D375D"/>
    <w:rsid w:val="006D5759"/>
    <w:rsid w:val="006D6F61"/>
    <w:rsid w:val="006D7764"/>
    <w:rsid w:val="006D7A23"/>
    <w:rsid w:val="006D7CBF"/>
    <w:rsid w:val="006E0C55"/>
    <w:rsid w:val="006E1492"/>
    <w:rsid w:val="006E22AC"/>
    <w:rsid w:val="006E52A2"/>
    <w:rsid w:val="006E54B7"/>
    <w:rsid w:val="006E5789"/>
    <w:rsid w:val="006E58C3"/>
    <w:rsid w:val="006F0679"/>
    <w:rsid w:val="006F0701"/>
    <w:rsid w:val="006F1DA6"/>
    <w:rsid w:val="006F20DA"/>
    <w:rsid w:val="006F49BF"/>
    <w:rsid w:val="006F66A9"/>
    <w:rsid w:val="006F6C70"/>
    <w:rsid w:val="006F7CD6"/>
    <w:rsid w:val="007018C5"/>
    <w:rsid w:val="00703113"/>
    <w:rsid w:val="00704C1A"/>
    <w:rsid w:val="00704CC1"/>
    <w:rsid w:val="0070509B"/>
    <w:rsid w:val="00705E40"/>
    <w:rsid w:val="0071075F"/>
    <w:rsid w:val="007115CC"/>
    <w:rsid w:val="00712B13"/>
    <w:rsid w:val="00712EBA"/>
    <w:rsid w:val="00713376"/>
    <w:rsid w:val="00714750"/>
    <w:rsid w:val="00716211"/>
    <w:rsid w:val="00716AB8"/>
    <w:rsid w:val="00723EE4"/>
    <w:rsid w:val="007245ED"/>
    <w:rsid w:val="0072469C"/>
    <w:rsid w:val="00726CE9"/>
    <w:rsid w:val="007274B4"/>
    <w:rsid w:val="00727F68"/>
    <w:rsid w:val="007306D6"/>
    <w:rsid w:val="007310C0"/>
    <w:rsid w:val="0073187D"/>
    <w:rsid w:val="007346CC"/>
    <w:rsid w:val="00734D2F"/>
    <w:rsid w:val="00736BB3"/>
    <w:rsid w:val="00740522"/>
    <w:rsid w:val="00740A7F"/>
    <w:rsid w:val="00740F28"/>
    <w:rsid w:val="0074187A"/>
    <w:rsid w:val="00742897"/>
    <w:rsid w:val="00743E43"/>
    <w:rsid w:val="00745DE6"/>
    <w:rsid w:val="007469E4"/>
    <w:rsid w:val="00747468"/>
    <w:rsid w:val="007475AC"/>
    <w:rsid w:val="007478DD"/>
    <w:rsid w:val="00747954"/>
    <w:rsid w:val="007479AD"/>
    <w:rsid w:val="00747CA9"/>
    <w:rsid w:val="007503A7"/>
    <w:rsid w:val="0075297A"/>
    <w:rsid w:val="007531A8"/>
    <w:rsid w:val="00753C4E"/>
    <w:rsid w:val="00754B26"/>
    <w:rsid w:val="00756792"/>
    <w:rsid w:val="00760067"/>
    <w:rsid w:val="00760946"/>
    <w:rsid w:val="00760CBB"/>
    <w:rsid w:val="00762A56"/>
    <w:rsid w:val="00763ECB"/>
    <w:rsid w:val="00764618"/>
    <w:rsid w:val="00765642"/>
    <w:rsid w:val="00765EEB"/>
    <w:rsid w:val="00770A7D"/>
    <w:rsid w:val="00771B3A"/>
    <w:rsid w:val="007733AE"/>
    <w:rsid w:val="007740B4"/>
    <w:rsid w:val="00774741"/>
    <w:rsid w:val="007800FF"/>
    <w:rsid w:val="007813F5"/>
    <w:rsid w:val="00781D75"/>
    <w:rsid w:val="0079212E"/>
    <w:rsid w:val="007932AC"/>
    <w:rsid w:val="0079357C"/>
    <w:rsid w:val="0079382B"/>
    <w:rsid w:val="0079760C"/>
    <w:rsid w:val="007A1B80"/>
    <w:rsid w:val="007A2C77"/>
    <w:rsid w:val="007A69AB"/>
    <w:rsid w:val="007B046D"/>
    <w:rsid w:val="007B0D9F"/>
    <w:rsid w:val="007B2E53"/>
    <w:rsid w:val="007B2F29"/>
    <w:rsid w:val="007B3265"/>
    <w:rsid w:val="007B3A6F"/>
    <w:rsid w:val="007B596C"/>
    <w:rsid w:val="007B5F29"/>
    <w:rsid w:val="007B6232"/>
    <w:rsid w:val="007B6550"/>
    <w:rsid w:val="007B6DE7"/>
    <w:rsid w:val="007B6FF1"/>
    <w:rsid w:val="007C0A77"/>
    <w:rsid w:val="007C395B"/>
    <w:rsid w:val="007C3D2C"/>
    <w:rsid w:val="007C5FF4"/>
    <w:rsid w:val="007C742D"/>
    <w:rsid w:val="007D07E2"/>
    <w:rsid w:val="007D2420"/>
    <w:rsid w:val="007D5AE0"/>
    <w:rsid w:val="007D65EF"/>
    <w:rsid w:val="007D7ECC"/>
    <w:rsid w:val="007E077E"/>
    <w:rsid w:val="007E1F3E"/>
    <w:rsid w:val="007E4E6B"/>
    <w:rsid w:val="007E5D14"/>
    <w:rsid w:val="007E73B7"/>
    <w:rsid w:val="007E749D"/>
    <w:rsid w:val="007E7C28"/>
    <w:rsid w:val="007E7ECC"/>
    <w:rsid w:val="007F327B"/>
    <w:rsid w:val="007F55C8"/>
    <w:rsid w:val="007F5BED"/>
    <w:rsid w:val="0080191A"/>
    <w:rsid w:val="0080270A"/>
    <w:rsid w:val="00802784"/>
    <w:rsid w:val="008050C2"/>
    <w:rsid w:val="00807160"/>
    <w:rsid w:val="00807B32"/>
    <w:rsid w:val="00810DF9"/>
    <w:rsid w:val="00812EDE"/>
    <w:rsid w:val="00813278"/>
    <w:rsid w:val="00814796"/>
    <w:rsid w:val="008153DF"/>
    <w:rsid w:val="00815F1F"/>
    <w:rsid w:val="00816A21"/>
    <w:rsid w:val="008211F0"/>
    <w:rsid w:val="00822164"/>
    <w:rsid w:val="008228DF"/>
    <w:rsid w:val="00823DD1"/>
    <w:rsid w:val="0082457E"/>
    <w:rsid w:val="008245FB"/>
    <w:rsid w:val="008256F6"/>
    <w:rsid w:val="00826B6B"/>
    <w:rsid w:val="008309D9"/>
    <w:rsid w:val="0083236C"/>
    <w:rsid w:val="00833CB3"/>
    <w:rsid w:val="00834F55"/>
    <w:rsid w:val="00834FA5"/>
    <w:rsid w:val="00837D2E"/>
    <w:rsid w:val="008429DD"/>
    <w:rsid w:val="00843107"/>
    <w:rsid w:val="00843F9D"/>
    <w:rsid w:val="0084469A"/>
    <w:rsid w:val="008478B1"/>
    <w:rsid w:val="00850889"/>
    <w:rsid w:val="008523E6"/>
    <w:rsid w:val="0085425C"/>
    <w:rsid w:val="00854468"/>
    <w:rsid w:val="0085463C"/>
    <w:rsid w:val="00855014"/>
    <w:rsid w:val="00855324"/>
    <w:rsid w:val="008567FF"/>
    <w:rsid w:val="00856B9D"/>
    <w:rsid w:val="00860589"/>
    <w:rsid w:val="0086059F"/>
    <w:rsid w:val="00860D56"/>
    <w:rsid w:val="008615EB"/>
    <w:rsid w:val="00865E81"/>
    <w:rsid w:val="008670BB"/>
    <w:rsid w:val="0086721B"/>
    <w:rsid w:val="00867F51"/>
    <w:rsid w:val="00870F16"/>
    <w:rsid w:val="008715DF"/>
    <w:rsid w:val="0087371B"/>
    <w:rsid w:val="00873CA2"/>
    <w:rsid w:val="00875095"/>
    <w:rsid w:val="00876A32"/>
    <w:rsid w:val="00877201"/>
    <w:rsid w:val="00885A4B"/>
    <w:rsid w:val="00895DB5"/>
    <w:rsid w:val="008A02C8"/>
    <w:rsid w:val="008A1866"/>
    <w:rsid w:val="008A1A86"/>
    <w:rsid w:val="008A1E86"/>
    <w:rsid w:val="008A3C94"/>
    <w:rsid w:val="008A663C"/>
    <w:rsid w:val="008A6A5A"/>
    <w:rsid w:val="008A7362"/>
    <w:rsid w:val="008B0908"/>
    <w:rsid w:val="008B6133"/>
    <w:rsid w:val="008B6E27"/>
    <w:rsid w:val="008C0492"/>
    <w:rsid w:val="008C26EC"/>
    <w:rsid w:val="008C4045"/>
    <w:rsid w:val="008C4E34"/>
    <w:rsid w:val="008C54DC"/>
    <w:rsid w:val="008D0B72"/>
    <w:rsid w:val="008D1EBA"/>
    <w:rsid w:val="008D2085"/>
    <w:rsid w:val="008D213C"/>
    <w:rsid w:val="008D2CE4"/>
    <w:rsid w:val="008D2E86"/>
    <w:rsid w:val="008D48F1"/>
    <w:rsid w:val="008D5AEB"/>
    <w:rsid w:val="008E0680"/>
    <w:rsid w:val="008E3293"/>
    <w:rsid w:val="008E402E"/>
    <w:rsid w:val="008E4BC7"/>
    <w:rsid w:val="008E4D36"/>
    <w:rsid w:val="008E50D4"/>
    <w:rsid w:val="008E52F5"/>
    <w:rsid w:val="008E556D"/>
    <w:rsid w:val="008E6E95"/>
    <w:rsid w:val="008E75D8"/>
    <w:rsid w:val="008E766D"/>
    <w:rsid w:val="008E770D"/>
    <w:rsid w:val="008E78B9"/>
    <w:rsid w:val="008E7B62"/>
    <w:rsid w:val="008F1FE0"/>
    <w:rsid w:val="008F25C5"/>
    <w:rsid w:val="008F2E8D"/>
    <w:rsid w:val="008F4441"/>
    <w:rsid w:val="00900B33"/>
    <w:rsid w:val="00902C24"/>
    <w:rsid w:val="00904484"/>
    <w:rsid w:val="00905AEB"/>
    <w:rsid w:val="00907E75"/>
    <w:rsid w:val="00910583"/>
    <w:rsid w:val="00913EDB"/>
    <w:rsid w:val="00913F8A"/>
    <w:rsid w:val="00915AD4"/>
    <w:rsid w:val="0091648D"/>
    <w:rsid w:val="0092047B"/>
    <w:rsid w:val="00920508"/>
    <w:rsid w:val="0092167B"/>
    <w:rsid w:val="009253F9"/>
    <w:rsid w:val="009259B3"/>
    <w:rsid w:val="00926756"/>
    <w:rsid w:val="0092793E"/>
    <w:rsid w:val="00931CA6"/>
    <w:rsid w:val="00932DFA"/>
    <w:rsid w:val="00934709"/>
    <w:rsid w:val="0093547E"/>
    <w:rsid w:val="0093739D"/>
    <w:rsid w:val="0094196E"/>
    <w:rsid w:val="00945F58"/>
    <w:rsid w:val="00946BB2"/>
    <w:rsid w:val="00952614"/>
    <w:rsid w:val="00953BD9"/>
    <w:rsid w:val="00953D4F"/>
    <w:rsid w:val="0095419B"/>
    <w:rsid w:val="009559E8"/>
    <w:rsid w:val="00956982"/>
    <w:rsid w:val="00956D43"/>
    <w:rsid w:val="0095702B"/>
    <w:rsid w:val="00957059"/>
    <w:rsid w:val="00957FB9"/>
    <w:rsid w:val="009622A8"/>
    <w:rsid w:val="009634B5"/>
    <w:rsid w:val="009647EA"/>
    <w:rsid w:val="00965BA7"/>
    <w:rsid w:val="009704AE"/>
    <w:rsid w:val="009721F9"/>
    <w:rsid w:val="00972DEF"/>
    <w:rsid w:val="00973167"/>
    <w:rsid w:val="009743C5"/>
    <w:rsid w:val="00974FB7"/>
    <w:rsid w:val="0097678A"/>
    <w:rsid w:val="00976FEE"/>
    <w:rsid w:val="00977034"/>
    <w:rsid w:val="00981F16"/>
    <w:rsid w:val="00985407"/>
    <w:rsid w:val="009854E8"/>
    <w:rsid w:val="0098565D"/>
    <w:rsid w:val="00985817"/>
    <w:rsid w:val="009873D9"/>
    <w:rsid w:val="009878EF"/>
    <w:rsid w:val="009901D4"/>
    <w:rsid w:val="009926F2"/>
    <w:rsid w:val="009942F1"/>
    <w:rsid w:val="00996715"/>
    <w:rsid w:val="009971A3"/>
    <w:rsid w:val="00997D4E"/>
    <w:rsid w:val="009A1445"/>
    <w:rsid w:val="009A1588"/>
    <w:rsid w:val="009A275B"/>
    <w:rsid w:val="009A2D3C"/>
    <w:rsid w:val="009A3453"/>
    <w:rsid w:val="009A3A64"/>
    <w:rsid w:val="009A41BA"/>
    <w:rsid w:val="009A48D5"/>
    <w:rsid w:val="009A71AB"/>
    <w:rsid w:val="009B1429"/>
    <w:rsid w:val="009B43A8"/>
    <w:rsid w:val="009B4439"/>
    <w:rsid w:val="009B4AA0"/>
    <w:rsid w:val="009B6981"/>
    <w:rsid w:val="009C0C82"/>
    <w:rsid w:val="009C1939"/>
    <w:rsid w:val="009C68CB"/>
    <w:rsid w:val="009C7E88"/>
    <w:rsid w:val="009D2C2C"/>
    <w:rsid w:val="009D47A8"/>
    <w:rsid w:val="009D6225"/>
    <w:rsid w:val="009D76EF"/>
    <w:rsid w:val="009E007B"/>
    <w:rsid w:val="009E2467"/>
    <w:rsid w:val="009E4871"/>
    <w:rsid w:val="009E5E02"/>
    <w:rsid w:val="009E631C"/>
    <w:rsid w:val="009F0B8B"/>
    <w:rsid w:val="009F0B98"/>
    <w:rsid w:val="009F0DD8"/>
    <w:rsid w:val="009F22FB"/>
    <w:rsid w:val="009F3541"/>
    <w:rsid w:val="009F418D"/>
    <w:rsid w:val="009F72A0"/>
    <w:rsid w:val="00A00F78"/>
    <w:rsid w:val="00A01353"/>
    <w:rsid w:val="00A02695"/>
    <w:rsid w:val="00A06EC8"/>
    <w:rsid w:val="00A1201A"/>
    <w:rsid w:val="00A1346B"/>
    <w:rsid w:val="00A1379C"/>
    <w:rsid w:val="00A13FC9"/>
    <w:rsid w:val="00A14032"/>
    <w:rsid w:val="00A15EC2"/>
    <w:rsid w:val="00A160CB"/>
    <w:rsid w:val="00A17697"/>
    <w:rsid w:val="00A2003D"/>
    <w:rsid w:val="00A203A1"/>
    <w:rsid w:val="00A21B94"/>
    <w:rsid w:val="00A21E6D"/>
    <w:rsid w:val="00A257E4"/>
    <w:rsid w:val="00A26B90"/>
    <w:rsid w:val="00A2748B"/>
    <w:rsid w:val="00A318DF"/>
    <w:rsid w:val="00A324BA"/>
    <w:rsid w:val="00A33DC6"/>
    <w:rsid w:val="00A34DE3"/>
    <w:rsid w:val="00A3649E"/>
    <w:rsid w:val="00A365A1"/>
    <w:rsid w:val="00A37553"/>
    <w:rsid w:val="00A40C98"/>
    <w:rsid w:val="00A420B8"/>
    <w:rsid w:val="00A42F11"/>
    <w:rsid w:val="00A43960"/>
    <w:rsid w:val="00A4439E"/>
    <w:rsid w:val="00A4616C"/>
    <w:rsid w:val="00A47FA8"/>
    <w:rsid w:val="00A50E9E"/>
    <w:rsid w:val="00A53200"/>
    <w:rsid w:val="00A539ED"/>
    <w:rsid w:val="00A540CD"/>
    <w:rsid w:val="00A55AA4"/>
    <w:rsid w:val="00A5757E"/>
    <w:rsid w:val="00A6099B"/>
    <w:rsid w:val="00A6200C"/>
    <w:rsid w:val="00A62F9F"/>
    <w:rsid w:val="00A65CA1"/>
    <w:rsid w:val="00A66BEE"/>
    <w:rsid w:val="00A707DC"/>
    <w:rsid w:val="00A72024"/>
    <w:rsid w:val="00A7443B"/>
    <w:rsid w:val="00A753EB"/>
    <w:rsid w:val="00A779A2"/>
    <w:rsid w:val="00A8069C"/>
    <w:rsid w:val="00A80F16"/>
    <w:rsid w:val="00A813AE"/>
    <w:rsid w:val="00A818BC"/>
    <w:rsid w:val="00A818C7"/>
    <w:rsid w:val="00A82C8B"/>
    <w:rsid w:val="00A834FD"/>
    <w:rsid w:val="00A90AD3"/>
    <w:rsid w:val="00A90D95"/>
    <w:rsid w:val="00A90E1C"/>
    <w:rsid w:val="00A92A25"/>
    <w:rsid w:val="00A954B6"/>
    <w:rsid w:val="00A959DF"/>
    <w:rsid w:val="00A977BF"/>
    <w:rsid w:val="00AA0FEF"/>
    <w:rsid w:val="00AA22EF"/>
    <w:rsid w:val="00AA2784"/>
    <w:rsid w:val="00AA56AA"/>
    <w:rsid w:val="00AA5E12"/>
    <w:rsid w:val="00AB0B57"/>
    <w:rsid w:val="00AB2A94"/>
    <w:rsid w:val="00AB417E"/>
    <w:rsid w:val="00AB4552"/>
    <w:rsid w:val="00AB466D"/>
    <w:rsid w:val="00AB4CD3"/>
    <w:rsid w:val="00AB5A80"/>
    <w:rsid w:val="00AB5AB4"/>
    <w:rsid w:val="00AB6C8A"/>
    <w:rsid w:val="00AB7D40"/>
    <w:rsid w:val="00AC0910"/>
    <w:rsid w:val="00AC1D1F"/>
    <w:rsid w:val="00AC257F"/>
    <w:rsid w:val="00AC33DF"/>
    <w:rsid w:val="00AC4434"/>
    <w:rsid w:val="00AC448C"/>
    <w:rsid w:val="00AC513E"/>
    <w:rsid w:val="00AC6352"/>
    <w:rsid w:val="00AC6B44"/>
    <w:rsid w:val="00AC6FA8"/>
    <w:rsid w:val="00AD0BB8"/>
    <w:rsid w:val="00AD7C43"/>
    <w:rsid w:val="00AE00DD"/>
    <w:rsid w:val="00AE3644"/>
    <w:rsid w:val="00AE4DB7"/>
    <w:rsid w:val="00AF0404"/>
    <w:rsid w:val="00AF1D25"/>
    <w:rsid w:val="00AF1EA4"/>
    <w:rsid w:val="00AF2AE4"/>
    <w:rsid w:val="00AF39E7"/>
    <w:rsid w:val="00AF3DA4"/>
    <w:rsid w:val="00AF410E"/>
    <w:rsid w:val="00AF63D0"/>
    <w:rsid w:val="00AF7623"/>
    <w:rsid w:val="00B016AC"/>
    <w:rsid w:val="00B02772"/>
    <w:rsid w:val="00B027F4"/>
    <w:rsid w:val="00B0361E"/>
    <w:rsid w:val="00B05574"/>
    <w:rsid w:val="00B062EC"/>
    <w:rsid w:val="00B12635"/>
    <w:rsid w:val="00B17389"/>
    <w:rsid w:val="00B17729"/>
    <w:rsid w:val="00B216C1"/>
    <w:rsid w:val="00B22BB7"/>
    <w:rsid w:val="00B24E98"/>
    <w:rsid w:val="00B24F64"/>
    <w:rsid w:val="00B2733B"/>
    <w:rsid w:val="00B27D1D"/>
    <w:rsid w:val="00B3035E"/>
    <w:rsid w:val="00B33817"/>
    <w:rsid w:val="00B35F0D"/>
    <w:rsid w:val="00B371D2"/>
    <w:rsid w:val="00B42028"/>
    <w:rsid w:val="00B42744"/>
    <w:rsid w:val="00B43061"/>
    <w:rsid w:val="00B45969"/>
    <w:rsid w:val="00B51963"/>
    <w:rsid w:val="00B51CB3"/>
    <w:rsid w:val="00B54182"/>
    <w:rsid w:val="00B566C6"/>
    <w:rsid w:val="00B56752"/>
    <w:rsid w:val="00B6005C"/>
    <w:rsid w:val="00B6065C"/>
    <w:rsid w:val="00B63808"/>
    <w:rsid w:val="00B65413"/>
    <w:rsid w:val="00B67CD8"/>
    <w:rsid w:val="00B70FA9"/>
    <w:rsid w:val="00B7145E"/>
    <w:rsid w:val="00B71834"/>
    <w:rsid w:val="00B75A46"/>
    <w:rsid w:val="00B762DC"/>
    <w:rsid w:val="00B813A5"/>
    <w:rsid w:val="00B8190C"/>
    <w:rsid w:val="00B81C3E"/>
    <w:rsid w:val="00B820F5"/>
    <w:rsid w:val="00B823F2"/>
    <w:rsid w:val="00B83935"/>
    <w:rsid w:val="00B87B74"/>
    <w:rsid w:val="00B90319"/>
    <w:rsid w:val="00B91F61"/>
    <w:rsid w:val="00B93FC0"/>
    <w:rsid w:val="00B944AE"/>
    <w:rsid w:val="00B95FE7"/>
    <w:rsid w:val="00B9616A"/>
    <w:rsid w:val="00BA0A8C"/>
    <w:rsid w:val="00BA0A94"/>
    <w:rsid w:val="00BA234F"/>
    <w:rsid w:val="00BA4BBB"/>
    <w:rsid w:val="00BA4EDA"/>
    <w:rsid w:val="00BA6705"/>
    <w:rsid w:val="00BA69DB"/>
    <w:rsid w:val="00BA751C"/>
    <w:rsid w:val="00BA7985"/>
    <w:rsid w:val="00BB127E"/>
    <w:rsid w:val="00BB1F82"/>
    <w:rsid w:val="00BB22CD"/>
    <w:rsid w:val="00BB25A1"/>
    <w:rsid w:val="00BB3299"/>
    <w:rsid w:val="00BB32A6"/>
    <w:rsid w:val="00BB4559"/>
    <w:rsid w:val="00BC04D3"/>
    <w:rsid w:val="00BC08D2"/>
    <w:rsid w:val="00BC140B"/>
    <w:rsid w:val="00BC1721"/>
    <w:rsid w:val="00BC1D56"/>
    <w:rsid w:val="00BC3B20"/>
    <w:rsid w:val="00BC5894"/>
    <w:rsid w:val="00BD0D8B"/>
    <w:rsid w:val="00BD1896"/>
    <w:rsid w:val="00BD2281"/>
    <w:rsid w:val="00BD267E"/>
    <w:rsid w:val="00BD42F2"/>
    <w:rsid w:val="00BD599B"/>
    <w:rsid w:val="00BD65BE"/>
    <w:rsid w:val="00BD7C4E"/>
    <w:rsid w:val="00BE0513"/>
    <w:rsid w:val="00BE1D00"/>
    <w:rsid w:val="00BE2065"/>
    <w:rsid w:val="00BE2319"/>
    <w:rsid w:val="00BE49E1"/>
    <w:rsid w:val="00BF069C"/>
    <w:rsid w:val="00BF189E"/>
    <w:rsid w:val="00BF18F4"/>
    <w:rsid w:val="00BF6F40"/>
    <w:rsid w:val="00C00CFD"/>
    <w:rsid w:val="00C00E0A"/>
    <w:rsid w:val="00C019B7"/>
    <w:rsid w:val="00C0378B"/>
    <w:rsid w:val="00C057BC"/>
    <w:rsid w:val="00C06097"/>
    <w:rsid w:val="00C11126"/>
    <w:rsid w:val="00C11950"/>
    <w:rsid w:val="00C159CF"/>
    <w:rsid w:val="00C1738D"/>
    <w:rsid w:val="00C174AE"/>
    <w:rsid w:val="00C2269C"/>
    <w:rsid w:val="00C23DD0"/>
    <w:rsid w:val="00C278D1"/>
    <w:rsid w:val="00C322EF"/>
    <w:rsid w:val="00C32CEA"/>
    <w:rsid w:val="00C3389F"/>
    <w:rsid w:val="00C35C82"/>
    <w:rsid w:val="00C361DF"/>
    <w:rsid w:val="00C37846"/>
    <w:rsid w:val="00C37A07"/>
    <w:rsid w:val="00C41EC4"/>
    <w:rsid w:val="00C43FE6"/>
    <w:rsid w:val="00C45252"/>
    <w:rsid w:val="00C45646"/>
    <w:rsid w:val="00C45EF7"/>
    <w:rsid w:val="00C50317"/>
    <w:rsid w:val="00C50992"/>
    <w:rsid w:val="00C533F9"/>
    <w:rsid w:val="00C550C3"/>
    <w:rsid w:val="00C55DD2"/>
    <w:rsid w:val="00C57883"/>
    <w:rsid w:val="00C57CF8"/>
    <w:rsid w:val="00C60005"/>
    <w:rsid w:val="00C621FB"/>
    <w:rsid w:val="00C6270C"/>
    <w:rsid w:val="00C62F07"/>
    <w:rsid w:val="00C63172"/>
    <w:rsid w:val="00C6606D"/>
    <w:rsid w:val="00C6649E"/>
    <w:rsid w:val="00C668E8"/>
    <w:rsid w:val="00C67DE9"/>
    <w:rsid w:val="00C719E2"/>
    <w:rsid w:val="00C722B8"/>
    <w:rsid w:val="00C7325D"/>
    <w:rsid w:val="00C7327F"/>
    <w:rsid w:val="00C73634"/>
    <w:rsid w:val="00C73F1A"/>
    <w:rsid w:val="00C751CD"/>
    <w:rsid w:val="00C762F9"/>
    <w:rsid w:val="00C778EC"/>
    <w:rsid w:val="00C816F0"/>
    <w:rsid w:val="00C81ECE"/>
    <w:rsid w:val="00C82C86"/>
    <w:rsid w:val="00C831F1"/>
    <w:rsid w:val="00C8519D"/>
    <w:rsid w:val="00C86358"/>
    <w:rsid w:val="00C870A2"/>
    <w:rsid w:val="00C90187"/>
    <w:rsid w:val="00C90B6C"/>
    <w:rsid w:val="00C91433"/>
    <w:rsid w:val="00C94885"/>
    <w:rsid w:val="00C9591D"/>
    <w:rsid w:val="00C95B1E"/>
    <w:rsid w:val="00C963F0"/>
    <w:rsid w:val="00C96496"/>
    <w:rsid w:val="00C977F3"/>
    <w:rsid w:val="00C97AAA"/>
    <w:rsid w:val="00C97B6C"/>
    <w:rsid w:val="00C97E8B"/>
    <w:rsid w:val="00CA0176"/>
    <w:rsid w:val="00CA1CEB"/>
    <w:rsid w:val="00CA3F4B"/>
    <w:rsid w:val="00CA462A"/>
    <w:rsid w:val="00CA5A00"/>
    <w:rsid w:val="00CA5DC1"/>
    <w:rsid w:val="00CA6C66"/>
    <w:rsid w:val="00CA7A60"/>
    <w:rsid w:val="00CB41C1"/>
    <w:rsid w:val="00CB545E"/>
    <w:rsid w:val="00CC03D0"/>
    <w:rsid w:val="00CC0E79"/>
    <w:rsid w:val="00CC2A7D"/>
    <w:rsid w:val="00CC48E5"/>
    <w:rsid w:val="00CC6BDA"/>
    <w:rsid w:val="00CC6CB6"/>
    <w:rsid w:val="00CD0ED5"/>
    <w:rsid w:val="00CD395F"/>
    <w:rsid w:val="00CD425C"/>
    <w:rsid w:val="00CD4C1F"/>
    <w:rsid w:val="00CD722B"/>
    <w:rsid w:val="00CE0733"/>
    <w:rsid w:val="00CE08B4"/>
    <w:rsid w:val="00CE3351"/>
    <w:rsid w:val="00CE3C7B"/>
    <w:rsid w:val="00CE3DC4"/>
    <w:rsid w:val="00CE71A2"/>
    <w:rsid w:val="00CE757E"/>
    <w:rsid w:val="00CF1009"/>
    <w:rsid w:val="00CF14B9"/>
    <w:rsid w:val="00CF18B0"/>
    <w:rsid w:val="00CF324A"/>
    <w:rsid w:val="00CF4520"/>
    <w:rsid w:val="00CF50F0"/>
    <w:rsid w:val="00CF780C"/>
    <w:rsid w:val="00D02902"/>
    <w:rsid w:val="00D041FC"/>
    <w:rsid w:val="00D07554"/>
    <w:rsid w:val="00D07A64"/>
    <w:rsid w:val="00D10BA9"/>
    <w:rsid w:val="00D11EEB"/>
    <w:rsid w:val="00D140BB"/>
    <w:rsid w:val="00D14840"/>
    <w:rsid w:val="00D14990"/>
    <w:rsid w:val="00D16005"/>
    <w:rsid w:val="00D16D40"/>
    <w:rsid w:val="00D20F53"/>
    <w:rsid w:val="00D21B25"/>
    <w:rsid w:val="00D2504B"/>
    <w:rsid w:val="00D265DD"/>
    <w:rsid w:val="00D323FA"/>
    <w:rsid w:val="00D343C7"/>
    <w:rsid w:val="00D36B60"/>
    <w:rsid w:val="00D44442"/>
    <w:rsid w:val="00D44A75"/>
    <w:rsid w:val="00D44EB9"/>
    <w:rsid w:val="00D4728E"/>
    <w:rsid w:val="00D505A4"/>
    <w:rsid w:val="00D509B3"/>
    <w:rsid w:val="00D50B7B"/>
    <w:rsid w:val="00D51DE7"/>
    <w:rsid w:val="00D5287D"/>
    <w:rsid w:val="00D54862"/>
    <w:rsid w:val="00D56521"/>
    <w:rsid w:val="00D60970"/>
    <w:rsid w:val="00D61DC8"/>
    <w:rsid w:val="00D629FE"/>
    <w:rsid w:val="00D641FA"/>
    <w:rsid w:val="00D658AF"/>
    <w:rsid w:val="00D672EB"/>
    <w:rsid w:val="00D701BA"/>
    <w:rsid w:val="00D72F44"/>
    <w:rsid w:val="00D74983"/>
    <w:rsid w:val="00D7593E"/>
    <w:rsid w:val="00D80044"/>
    <w:rsid w:val="00D80137"/>
    <w:rsid w:val="00D81867"/>
    <w:rsid w:val="00D821F4"/>
    <w:rsid w:val="00D82ACE"/>
    <w:rsid w:val="00D832B6"/>
    <w:rsid w:val="00D837F5"/>
    <w:rsid w:val="00D83D56"/>
    <w:rsid w:val="00D86D58"/>
    <w:rsid w:val="00D87C3E"/>
    <w:rsid w:val="00D9046D"/>
    <w:rsid w:val="00D9326F"/>
    <w:rsid w:val="00D9465E"/>
    <w:rsid w:val="00D95286"/>
    <w:rsid w:val="00D968E6"/>
    <w:rsid w:val="00DA1BDF"/>
    <w:rsid w:val="00DA3C59"/>
    <w:rsid w:val="00DA4076"/>
    <w:rsid w:val="00DA5359"/>
    <w:rsid w:val="00DB1243"/>
    <w:rsid w:val="00DB30B3"/>
    <w:rsid w:val="00DB434F"/>
    <w:rsid w:val="00DB678B"/>
    <w:rsid w:val="00DB6DED"/>
    <w:rsid w:val="00DC141E"/>
    <w:rsid w:val="00DC283E"/>
    <w:rsid w:val="00DC30F8"/>
    <w:rsid w:val="00DC34EE"/>
    <w:rsid w:val="00DC3BBA"/>
    <w:rsid w:val="00DC3C0C"/>
    <w:rsid w:val="00DC47D3"/>
    <w:rsid w:val="00DC5094"/>
    <w:rsid w:val="00DC7139"/>
    <w:rsid w:val="00DC7A89"/>
    <w:rsid w:val="00DD163C"/>
    <w:rsid w:val="00DD1855"/>
    <w:rsid w:val="00DE0088"/>
    <w:rsid w:val="00DE06C9"/>
    <w:rsid w:val="00DE2126"/>
    <w:rsid w:val="00DE521C"/>
    <w:rsid w:val="00DE59A9"/>
    <w:rsid w:val="00DE6B0F"/>
    <w:rsid w:val="00DE7CB0"/>
    <w:rsid w:val="00DE7DF3"/>
    <w:rsid w:val="00DF16CB"/>
    <w:rsid w:val="00DF1B64"/>
    <w:rsid w:val="00DF41A2"/>
    <w:rsid w:val="00DF42AA"/>
    <w:rsid w:val="00DF5BD7"/>
    <w:rsid w:val="00DF6608"/>
    <w:rsid w:val="00DF676A"/>
    <w:rsid w:val="00DF73BE"/>
    <w:rsid w:val="00DF74BA"/>
    <w:rsid w:val="00E00033"/>
    <w:rsid w:val="00E046DE"/>
    <w:rsid w:val="00E04BF4"/>
    <w:rsid w:val="00E13469"/>
    <w:rsid w:val="00E14B37"/>
    <w:rsid w:val="00E15081"/>
    <w:rsid w:val="00E150BD"/>
    <w:rsid w:val="00E20963"/>
    <w:rsid w:val="00E21D29"/>
    <w:rsid w:val="00E22065"/>
    <w:rsid w:val="00E2294D"/>
    <w:rsid w:val="00E24367"/>
    <w:rsid w:val="00E254B8"/>
    <w:rsid w:val="00E272BA"/>
    <w:rsid w:val="00E275FE"/>
    <w:rsid w:val="00E27E98"/>
    <w:rsid w:val="00E27F7B"/>
    <w:rsid w:val="00E305D2"/>
    <w:rsid w:val="00E3090A"/>
    <w:rsid w:val="00E32B9E"/>
    <w:rsid w:val="00E345D2"/>
    <w:rsid w:val="00E35B42"/>
    <w:rsid w:val="00E35B6D"/>
    <w:rsid w:val="00E40D13"/>
    <w:rsid w:val="00E417E2"/>
    <w:rsid w:val="00E500A6"/>
    <w:rsid w:val="00E52425"/>
    <w:rsid w:val="00E52AA2"/>
    <w:rsid w:val="00E5312C"/>
    <w:rsid w:val="00E54EC7"/>
    <w:rsid w:val="00E61A26"/>
    <w:rsid w:val="00E62DE5"/>
    <w:rsid w:val="00E63E38"/>
    <w:rsid w:val="00E64F39"/>
    <w:rsid w:val="00E65825"/>
    <w:rsid w:val="00E6740E"/>
    <w:rsid w:val="00E704DE"/>
    <w:rsid w:val="00E70823"/>
    <w:rsid w:val="00E727D2"/>
    <w:rsid w:val="00E73253"/>
    <w:rsid w:val="00E73955"/>
    <w:rsid w:val="00E73B77"/>
    <w:rsid w:val="00E7448D"/>
    <w:rsid w:val="00E75EC8"/>
    <w:rsid w:val="00E763F5"/>
    <w:rsid w:val="00E769A5"/>
    <w:rsid w:val="00E7712D"/>
    <w:rsid w:val="00E779B9"/>
    <w:rsid w:val="00E805F6"/>
    <w:rsid w:val="00E81E34"/>
    <w:rsid w:val="00E821B0"/>
    <w:rsid w:val="00E829BC"/>
    <w:rsid w:val="00E84112"/>
    <w:rsid w:val="00E85A4E"/>
    <w:rsid w:val="00E902CB"/>
    <w:rsid w:val="00E903BC"/>
    <w:rsid w:val="00E90D02"/>
    <w:rsid w:val="00E929DE"/>
    <w:rsid w:val="00EA04B8"/>
    <w:rsid w:val="00EA05DC"/>
    <w:rsid w:val="00EA1845"/>
    <w:rsid w:val="00EA204C"/>
    <w:rsid w:val="00EA2681"/>
    <w:rsid w:val="00EA2FDE"/>
    <w:rsid w:val="00EA3700"/>
    <w:rsid w:val="00EA3B42"/>
    <w:rsid w:val="00EA4EE2"/>
    <w:rsid w:val="00EB00D9"/>
    <w:rsid w:val="00EB270F"/>
    <w:rsid w:val="00EB2957"/>
    <w:rsid w:val="00EB356F"/>
    <w:rsid w:val="00EB39C1"/>
    <w:rsid w:val="00EB4376"/>
    <w:rsid w:val="00EB48CA"/>
    <w:rsid w:val="00EB6736"/>
    <w:rsid w:val="00EB7ED6"/>
    <w:rsid w:val="00EC0725"/>
    <w:rsid w:val="00EC08C6"/>
    <w:rsid w:val="00EC173A"/>
    <w:rsid w:val="00EC18B4"/>
    <w:rsid w:val="00EC214B"/>
    <w:rsid w:val="00EC247A"/>
    <w:rsid w:val="00EC6258"/>
    <w:rsid w:val="00EC7E7A"/>
    <w:rsid w:val="00EC7FC5"/>
    <w:rsid w:val="00ED01D9"/>
    <w:rsid w:val="00EE289E"/>
    <w:rsid w:val="00EE3987"/>
    <w:rsid w:val="00EE40C4"/>
    <w:rsid w:val="00EE5316"/>
    <w:rsid w:val="00EE57D6"/>
    <w:rsid w:val="00EE5C86"/>
    <w:rsid w:val="00EE7E39"/>
    <w:rsid w:val="00EF2F61"/>
    <w:rsid w:val="00EF579A"/>
    <w:rsid w:val="00EF57FE"/>
    <w:rsid w:val="00EF6CD8"/>
    <w:rsid w:val="00EF75DD"/>
    <w:rsid w:val="00F00B15"/>
    <w:rsid w:val="00F02D91"/>
    <w:rsid w:val="00F04959"/>
    <w:rsid w:val="00F04B9B"/>
    <w:rsid w:val="00F059C2"/>
    <w:rsid w:val="00F05BBF"/>
    <w:rsid w:val="00F07352"/>
    <w:rsid w:val="00F077CB"/>
    <w:rsid w:val="00F14D34"/>
    <w:rsid w:val="00F16BBB"/>
    <w:rsid w:val="00F16E29"/>
    <w:rsid w:val="00F16F32"/>
    <w:rsid w:val="00F20EAE"/>
    <w:rsid w:val="00F217F5"/>
    <w:rsid w:val="00F21DFA"/>
    <w:rsid w:val="00F220DE"/>
    <w:rsid w:val="00F235C3"/>
    <w:rsid w:val="00F23EE2"/>
    <w:rsid w:val="00F2484F"/>
    <w:rsid w:val="00F24B5D"/>
    <w:rsid w:val="00F30D8D"/>
    <w:rsid w:val="00F31437"/>
    <w:rsid w:val="00F31B74"/>
    <w:rsid w:val="00F31EDE"/>
    <w:rsid w:val="00F344AA"/>
    <w:rsid w:val="00F34606"/>
    <w:rsid w:val="00F34F02"/>
    <w:rsid w:val="00F35BE5"/>
    <w:rsid w:val="00F365B6"/>
    <w:rsid w:val="00F42619"/>
    <w:rsid w:val="00F429D1"/>
    <w:rsid w:val="00F42AB1"/>
    <w:rsid w:val="00F438C4"/>
    <w:rsid w:val="00F43D9A"/>
    <w:rsid w:val="00F446D8"/>
    <w:rsid w:val="00F45522"/>
    <w:rsid w:val="00F50590"/>
    <w:rsid w:val="00F535D8"/>
    <w:rsid w:val="00F54F16"/>
    <w:rsid w:val="00F574C1"/>
    <w:rsid w:val="00F6243C"/>
    <w:rsid w:val="00F6319C"/>
    <w:rsid w:val="00F63E8B"/>
    <w:rsid w:val="00F64FA1"/>
    <w:rsid w:val="00F66B81"/>
    <w:rsid w:val="00F67B03"/>
    <w:rsid w:val="00F7286B"/>
    <w:rsid w:val="00F736C8"/>
    <w:rsid w:val="00F749CA"/>
    <w:rsid w:val="00F76502"/>
    <w:rsid w:val="00F77F01"/>
    <w:rsid w:val="00F816E7"/>
    <w:rsid w:val="00F819F3"/>
    <w:rsid w:val="00F81B3E"/>
    <w:rsid w:val="00F820FE"/>
    <w:rsid w:val="00F823D6"/>
    <w:rsid w:val="00F83514"/>
    <w:rsid w:val="00F84BA7"/>
    <w:rsid w:val="00F860BF"/>
    <w:rsid w:val="00F87933"/>
    <w:rsid w:val="00F90C18"/>
    <w:rsid w:val="00F91F55"/>
    <w:rsid w:val="00F954D2"/>
    <w:rsid w:val="00F97375"/>
    <w:rsid w:val="00F97935"/>
    <w:rsid w:val="00F97CC3"/>
    <w:rsid w:val="00FA3DA1"/>
    <w:rsid w:val="00FA5004"/>
    <w:rsid w:val="00FA5530"/>
    <w:rsid w:val="00FA7664"/>
    <w:rsid w:val="00FB0DC0"/>
    <w:rsid w:val="00FB1045"/>
    <w:rsid w:val="00FB17A6"/>
    <w:rsid w:val="00FB326F"/>
    <w:rsid w:val="00FB37C8"/>
    <w:rsid w:val="00FB39D9"/>
    <w:rsid w:val="00FB39F3"/>
    <w:rsid w:val="00FB432B"/>
    <w:rsid w:val="00FB4D21"/>
    <w:rsid w:val="00FB6EE8"/>
    <w:rsid w:val="00FC16D4"/>
    <w:rsid w:val="00FC41C9"/>
    <w:rsid w:val="00FC48A2"/>
    <w:rsid w:val="00FC6711"/>
    <w:rsid w:val="00FD34A6"/>
    <w:rsid w:val="00FD3B17"/>
    <w:rsid w:val="00FD40C5"/>
    <w:rsid w:val="00FD51DF"/>
    <w:rsid w:val="00FE2A89"/>
    <w:rsid w:val="00FE407E"/>
    <w:rsid w:val="00FE41B7"/>
    <w:rsid w:val="00FE55EB"/>
    <w:rsid w:val="00FE5E19"/>
    <w:rsid w:val="00FF33CE"/>
    <w:rsid w:val="00FF383C"/>
    <w:rsid w:val="00FF555B"/>
    <w:rsid w:val="00FF68DA"/>
    <w:rsid w:val="00FF7C4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31193F2"/>
  <w15:docId w15:val="{95F0A456-8F4F-433C-9DAE-CC32780C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1EA4"/>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ody text Char,body tx,body tx Char,bt,bt Char,flush,flush Char Char,flush Char Char Char,flush Char Char Char Char Char,flush Char Char Char Char Char Char,indent,indent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semiHidden/>
    <w:rsid w:val="00972DEF"/>
    <w:rPr>
      <w:sz w:val="16"/>
      <w:szCs w:val="16"/>
    </w:rPr>
  </w:style>
  <w:style w:type="paragraph" w:styleId="CommentText">
    <w:name w:val="annotation text"/>
    <w:basedOn w:val="Normal"/>
    <w:link w:val="CommentTextChar"/>
    <w:uiPriority w:val="99"/>
    <w:semiHidden/>
    <w:rsid w:val="00972DEF"/>
  </w:style>
  <w:style w:type="character" w:customStyle="1" w:styleId="CommentTextChar">
    <w:name w:val="Comment Text Char"/>
    <w:link w:val="CommentText"/>
    <w:uiPriority w:val="99"/>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ody text Char Char,body tx Char Char,body tx Char1,bt Char Char,bt Char1,flush Char,flush Char Char Char Char Char Char Char,flush Char Char Char Char Char Char1,flush Char Char Char1,indent Char Char,indent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E007B"/>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character" w:styleId="UnresolvedMention">
    <w:name w:val="Unresolved Mention"/>
    <w:basedOn w:val="DefaultParagraphFont"/>
    <w:uiPriority w:val="99"/>
    <w:semiHidden/>
    <w:unhideWhenUsed/>
    <w:rsid w:val="002031E9"/>
    <w:rPr>
      <w:color w:val="605E5C"/>
      <w:shd w:val="clear" w:color="auto" w:fill="E1DFDD"/>
    </w:rPr>
  </w:style>
  <w:style w:type="paragraph" w:styleId="EndnoteText">
    <w:name w:val="endnote text"/>
    <w:basedOn w:val="Normal"/>
    <w:link w:val="EndnoteTextChar"/>
    <w:semiHidden/>
    <w:unhideWhenUsed/>
    <w:rsid w:val="00DC141E"/>
    <w:pPr>
      <w:widowControl w:val="0"/>
      <w:autoSpaceDE w:val="0"/>
      <w:autoSpaceDN w:val="0"/>
      <w:adjustRightInd w:val="0"/>
    </w:pPr>
    <w:rPr>
      <w:sz w:val="20"/>
      <w:szCs w:val="20"/>
    </w:rPr>
  </w:style>
  <w:style w:type="character" w:customStyle="1" w:styleId="EndnoteTextChar">
    <w:name w:val="Endnote Text Char"/>
    <w:basedOn w:val="DefaultParagraphFont"/>
    <w:link w:val="EndnoteText"/>
    <w:semiHidden/>
    <w:rsid w:val="00DC141E"/>
  </w:style>
  <w:style w:type="character" w:styleId="EndnoteReference">
    <w:name w:val="endnote reference"/>
    <w:semiHidden/>
    <w:unhideWhenUsed/>
    <w:rsid w:val="00DC141E"/>
    <w:rPr>
      <w:vertAlign w:val="superscript"/>
    </w:rPr>
  </w:style>
  <w:style w:type="table" w:styleId="TableGrid">
    <w:name w:val="Table Grid"/>
    <w:basedOn w:val="TableNormal"/>
    <w:rsid w:val="00DC141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C6765"/>
    <w:pPr>
      <w:spacing w:before="100" w:beforeAutospacing="1" w:after="100" w:afterAutospacing="1"/>
    </w:pPr>
  </w:style>
  <w:style w:type="character" w:customStyle="1" w:styleId="normaltextrun">
    <w:name w:val="normaltextrun"/>
    <w:basedOn w:val="DefaultParagraphFont"/>
    <w:rsid w:val="000C6765"/>
  </w:style>
  <w:style w:type="character" w:customStyle="1" w:styleId="spellingerror">
    <w:name w:val="spellingerror"/>
    <w:basedOn w:val="DefaultParagraphFont"/>
    <w:rsid w:val="000C6765"/>
  </w:style>
  <w:style w:type="character" w:customStyle="1" w:styleId="eop">
    <w:name w:val="eop"/>
    <w:basedOn w:val="DefaultParagraphFont"/>
    <w:rsid w:val="000C6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cdetect.org/nc-faster-firearm-quarterly-reports/" TargetMode="External" /><Relationship Id="rId11" Type="http://schemas.openxmlformats.org/officeDocument/2006/relationships/hyperlink" Target="https://www.bls.gov/oes/current/999001.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vdh.virginia.gov/surveillance-and-investigation/syndromic-surveillance/firearm-injury-surveillance/" TargetMode="External" /><Relationship Id="rId9" Type="http://schemas.openxmlformats.org/officeDocument/2006/relationships/hyperlink" Target="https://dph.georgia.gov/faster-g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8199D4A264542AD5C3143F6FC1949" ma:contentTypeVersion="12" ma:contentTypeDescription="Create a new document." ma:contentTypeScope="" ma:versionID="b9c553f1cb7bbcca11705f427280eadd">
  <xsd:schema xmlns:xsd="http://www.w3.org/2001/XMLSchema" xmlns:xs="http://www.w3.org/2001/XMLSchema" xmlns:p="http://schemas.microsoft.com/office/2006/metadata/properties" xmlns:ns1="http://schemas.microsoft.com/sharepoint/v3" xmlns:ns2="47589024-6abd-4dc5-a818-b7bb380cb000" xmlns:ns3="e02f097f-9e46-4e4b-aedc-9e5c33dfeef2" targetNamespace="http://schemas.microsoft.com/office/2006/metadata/properties" ma:root="true" ma:fieldsID="4e55221921919ed8e85b8b84b8ec6a35" ns1:_="" ns2:_="" ns3:_="">
    <xsd:import namespace="http://schemas.microsoft.com/sharepoint/v3"/>
    <xsd:import namespace="47589024-6abd-4dc5-a818-b7bb380cb000"/>
    <xsd:import namespace="e02f097f-9e46-4e4b-aedc-9e5c33dfeef2"/>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589024-6abd-4dc5-a818-b7bb380cb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2f097f-9e46-4e4b-aedc-9e5c33dfee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6DE2F16-D7F9-47B8-9202-BBB7F269E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589024-6abd-4dc5-a818-b7bb380cb000"/>
    <ds:schemaRef ds:uri="e02f097f-9e46-4e4b-aedc-9e5c33dfe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B4A342-2D6D-4DBD-8C3D-247BCE356196}">
  <ds:schemaRefs>
    <ds:schemaRef ds:uri="http://schemas.openxmlformats.org/officeDocument/2006/bibliography"/>
  </ds:schemaRefs>
</ds:datastoreItem>
</file>

<file path=customXml/itemProps3.xml><?xml version="1.0" encoding="utf-8"?>
<ds:datastoreItem xmlns:ds="http://schemas.openxmlformats.org/officeDocument/2006/customXml" ds:itemID="{AFB53785-3D9A-4A9D-B0CB-D6E7B7B690D0}">
  <ds:schemaRefs>
    <ds:schemaRef ds:uri="http://schemas.microsoft.com/sharepoint/v3/contenttype/forms"/>
  </ds:schemaRefs>
</ds:datastoreItem>
</file>

<file path=customXml/itemProps4.xml><?xml version="1.0" encoding="utf-8"?>
<ds:datastoreItem xmlns:ds="http://schemas.openxmlformats.org/officeDocument/2006/customXml" ds:itemID="{DA48D616-DE41-4E43-994E-AE28A3042AE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5787</Words>
  <Characters>74516</Characters>
  <Application>Microsoft Office Word</Application>
  <DocSecurity>0</DocSecurity>
  <Lines>620</Lines>
  <Paragraphs>160</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80143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Angel, Karen C. (CDC/DDNID/NCIPC/OD)</cp:lastModifiedBy>
  <cp:revision>4</cp:revision>
  <cp:lastPrinted>2014-10-08T15:28:00Z</cp:lastPrinted>
  <dcterms:created xsi:type="dcterms:W3CDTF">2023-07-25T20:17:00Z</dcterms:created>
  <dcterms:modified xsi:type="dcterms:W3CDTF">2023-07-25T20:21:00Z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0x0101002C38199D4A264542AD5C3143F6FC1949</vt:lpwstr>
  </property>
  <property fmtid="{D5CDD505-2E9C-101B-9397-08002B2CF9AE}" pid="3" name="Mendeley Citation Style_1">
    <vt:lpwstr>http://www.zotero.org/styles/frontiers-in-public-health</vt:lpwstr>
  </property>
  <property fmtid="{D5CDD505-2E9C-101B-9397-08002B2CF9AE}" pid="4" name="Mendeley Document_1">
    <vt:lpwstr>True</vt:lpwstr>
  </property>
  <property fmtid="{D5CDD505-2E9C-101B-9397-08002B2CF9AE}" pid="5" name="Mendeley Recent Style Id 0_1">
    <vt:lpwstr>http://www.zotero.org/styles/american-journal-of-epidemiology</vt:lpwstr>
  </property>
  <property fmtid="{D5CDD505-2E9C-101B-9397-08002B2CF9AE}" pid="6" name="Mendeley Recent Style Id 1_1">
    <vt:lpwstr>http://www.zotero.org/styles/american-journal-of-hypertension</vt:lpwstr>
  </property>
  <property fmtid="{D5CDD505-2E9C-101B-9397-08002B2CF9AE}" pid="7" name="Mendeley Recent Style Id 2_1">
    <vt:lpwstr>http://www.zotero.org/styles/american-journal-of-public-health</vt:lpwstr>
  </property>
  <property fmtid="{D5CDD505-2E9C-101B-9397-08002B2CF9AE}" pid="8" name="Mendeley Recent Style Id 3_1">
    <vt:lpwstr>http://www.zotero.org/styles/apa</vt:lpwstr>
  </property>
  <property fmtid="{D5CDD505-2E9C-101B-9397-08002B2CF9AE}" pid="9" name="Mendeley Recent Style Id 4_1">
    <vt:lpwstr>http://www.zotero.org/styles/annals-of-emergency-medicine</vt:lpwstr>
  </property>
  <property fmtid="{D5CDD505-2E9C-101B-9397-08002B2CF9AE}" pid="10" name="Mendeley Recent Style Id 5_1">
    <vt:lpwstr>http://www.zotero.org/styles/frontiers-in-public-health</vt:lpwstr>
  </property>
  <property fmtid="{D5CDD505-2E9C-101B-9397-08002B2CF9AE}" pid="11" name="Mendeley Recent Style Id 6_1">
    <vt:lpwstr>http://www.zotero.org/styles/frontiers-medical-journals</vt:lpwstr>
  </property>
  <property fmtid="{D5CDD505-2E9C-101B-9397-08002B2CF9AE}" pid="12" name="Mendeley Recent Style Id 7_1">
    <vt:lpwstr>http://www.zotero.org/styles/journal-of-hypertension</vt:lpwstr>
  </property>
  <property fmtid="{D5CDD505-2E9C-101B-9397-08002B2CF9AE}" pid="13" name="Mendeley Recent Style Id 8_1">
    <vt:lpwstr>http://www.zotero.org/styles/national-library-of-medicine</vt:lpwstr>
  </property>
  <property fmtid="{D5CDD505-2E9C-101B-9397-08002B2CF9AE}" pid="14" name="Mendeley Recent Style Id 9_1">
    <vt:lpwstr>http://www.zotero.org/styles/pediatrics</vt:lpwstr>
  </property>
  <property fmtid="{D5CDD505-2E9C-101B-9397-08002B2CF9AE}" pid="15" name="Mendeley Recent Style Name 0_1">
    <vt:lpwstr>American Journal of Epidemiology</vt:lpwstr>
  </property>
  <property fmtid="{D5CDD505-2E9C-101B-9397-08002B2CF9AE}" pid="16" name="Mendeley Recent Style Name 1_1">
    <vt:lpwstr>American Journal of Hypertension</vt:lpwstr>
  </property>
  <property fmtid="{D5CDD505-2E9C-101B-9397-08002B2CF9AE}" pid="17" name="Mendeley Recent Style Name 2_1">
    <vt:lpwstr>American Journal of Public Health</vt:lpwstr>
  </property>
  <property fmtid="{D5CDD505-2E9C-101B-9397-08002B2CF9AE}" pid="18" name="Mendeley Recent Style Name 3_1">
    <vt:lpwstr>American Psychological Association 6th edition</vt:lpwstr>
  </property>
  <property fmtid="{D5CDD505-2E9C-101B-9397-08002B2CF9AE}" pid="19" name="Mendeley Recent Style Name 4_1">
    <vt:lpwstr>Annals of Emergency Medicine</vt:lpwstr>
  </property>
  <property fmtid="{D5CDD505-2E9C-101B-9397-08002B2CF9AE}" pid="20" name="Mendeley Recent Style Name 5_1">
    <vt:lpwstr>Frontiers in Public Health</vt:lpwstr>
  </property>
  <property fmtid="{D5CDD505-2E9C-101B-9397-08002B2CF9AE}" pid="21" name="Mendeley Recent Style Name 6_1">
    <vt:lpwstr>Frontiers medical journals</vt:lpwstr>
  </property>
  <property fmtid="{D5CDD505-2E9C-101B-9397-08002B2CF9AE}" pid="22" name="Mendeley Recent Style Name 7_1">
    <vt:lpwstr>Journal of Hypertension</vt:lpwstr>
  </property>
  <property fmtid="{D5CDD505-2E9C-101B-9397-08002B2CF9AE}" pid="23" name="Mendeley Recent Style Name 8_1">
    <vt:lpwstr>National Library of Medicine</vt:lpwstr>
  </property>
  <property fmtid="{D5CDD505-2E9C-101B-9397-08002B2CF9AE}" pid="24" name="Mendeley Recent Style Name 9_1">
    <vt:lpwstr>Pediatrics</vt:lpwstr>
  </property>
  <property fmtid="{D5CDD505-2E9C-101B-9397-08002B2CF9AE}" pid="25" name="Mendeley Unique User Id_1">
    <vt:lpwstr>089ce8e2-0119-3b0e-89a9-f7f01e4dc6c0</vt:lpwstr>
  </property>
  <property fmtid="{D5CDD505-2E9C-101B-9397-08002B2CF9AE}" pid="26" name="MSIP_Label_8af03ff0-41c5-4c41-b55e-fabb8fae94be_ActionId">
    <vt:lpwstr>d3e3cc33-d063-4c56-a655-0e0056efc734</vt:lpwstr>
  </property>
  <property fmtid="{D5CDD505-2E9C-101B-9397-08002B2CF9AE}" pid="27" name="MSIP_Label_8af03ff0-41c5-4c41-b55e-fabb8fae94be_ContentBits">
    <vt:lpwstr>0</vt:lpwstr>
  </property>
  <property fmtid="{D5CDD505-2E9C-101B-9397-08002B2CF9AE}" pid="28" name="MSIP_Label_8af03ff0-41c5-4c41-b55e-fabb8fae94be_Enabled">
    <vt:lpwstr>true</vt:lpwstr>
  </property>
  <property fmtid="{D5CDD505-2E9C-101B-9397-08002B2CF9AE}" pid="29" name="MSIP_Label_8af03ff0-41c5-4c41-b55e-fabb8fae94be_Method">
    <vt:lpwstr>Privileged</vt:lpwstr>
  </property>
  <property fmtid="{D5CDD505-2E9C-101B-9397-08002B2CF9AE}" pid="30" name="MSIP_Label_8af03ff0-41c5-4c41-b55e-fabb8fae94be_Name">
    <vt:lpwstr>8af03ff0-41c5-4c41-b55e-fabb8fae94be</vt:lpwstr>
  </property>
  <property fmtid="{D5CDD505-2E9C-101B-9397-08002B2CF9AE}" pid="31" name="MSIP_Label_8af03ff0-41c5-4c41-b55e-fabb8fae94be_SetDate">
    <vt:lpwstr>2023-01-11T14:43:14Z</vt:lpwstr>
  </property>
  <property fmtid="{D5CDD505-2E9C-101B-9397-08002B2CF9AE}" pid="32" name="MSIP_Label_8af03ff0-41c5-4c41-b55e-fabb8fae94be_SiteId">
    <vt:lpwstr>9ce70869-60db-44fd-abe8-d2767077fc8f</vt:lpwstr>
  </property>
  <property fmtid="{D5CDD505-2E9C-101B-9397-08002B2CF9AE}" pid="33" name="Order0">
    <vt:r8>9</vt:r8>
  </property>
  <property fmtid="{D5CDD505-2E9C-101B-9397-08002B2CF9AE}" pid="34" name="URL">
    <vt:lpwstr/>
  </property>
  <property fmtid="{D5CDD505-2E9C-101B-9397-08002B2CF9AE}" pid="35" name="_dlc_DocIdItemGuid">
    <vt:lpwstr>a8fcc1f3-ba25-4397-8fcb-9452be1e473e</vt:lpwstr>
  </property>
</Properties>
</file>