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02BB" w:rsidP="00CC395F" w14:paraId="48282C37" w14:textId="77777777">
      <w:pPr>
        <w:pStyle w:val="Heading2"/>
        <w:tabs>
          <w:tab w:val="left" w:pos="900"/>
        </w:tabs>
        <w:ind w:right="-180"/>
      </w:pPr>
    </w:p>
    <w:p w:rsidR="0014647F" w:rsidP="0014647F" w14:paraId="2D14B60D" w14:textId="77777777">
      <w:pPr>
        <w:pStyle w:val="Heading2"/>
        <w:tabs>
          <w:tab w:val="left" w:pos="900"/>
        </w:tabs>
        <w:ind w:right="-180"/>
      </w:pPr>
      <w:r w:rsidRPr="005B11E0">
        <w:t xml:space="preserve">Request for </w:t>
      </w:r>
      <w:r>
        <w:t xml:space="preserve">Fast-Track </w:t>
      </w:r>
      <w:r w:rsidRPr="005B11E0">
        <w:t xml:space="preserve">Generic Clearance for the Collection </w:t>
      </w:r>
    </w:p>
    <w:p w:rsidR="0014647F" w:rsidP="0014647F" w14:paraId="0E98D62F" w14:textId="77777777">
      <w:pPr>
        <w:pStyle w:val="Heading2"/>
        <w:tabs>
          <w:tab w:val="left" w:pos="900"/>
        </w:tabs>
        <w:ind w:right="-180"/>
      </w:pPr>
      <w:r>
        <w:t>o</w:t>
      </w:r>
      <w:r w:rsidRPr="005B11E0">
        <w:t>f</w:t>
      </w:r>
      <w:r>
        <w:t xml:space="preserve"> </w:t>
      </w:r>
      <w:r w:rsidRPr="005B11E0">
        <w:t>Routine Customer Feedback</w:t>
      </w:r>
      <w:r>
        <w:t xml:space="preserve"> </w:t>
      </w:r>
      <w:r w:rsidRPr="005B11E0">
        <w:t>on HHS Communications</w:t>
      </w:r>
    </w:p>
    <w:p w:rsidR="002D40B1" w:rsidRPr="002D40B1" w:rsidP="0014647F" w14:paraId="617944FA" w14:textId="6E0E13A6">
      <w:pPr>
        <w:pStyle w:val="Heading2"/>
        <w:tabs>
          <w:tab w:val="left" w:pos="900"/>
        </w:tabs>
        <w:ind w:right="-180"/>
        <w:rPr>
          <w:b w:val="0"/>
        </w:rPr>
      </w:pPr>
    </w:p>
    <w:p w:rsidR="002D40B1" w:rsidRPr="002D40B1" w:rsidP="002D40B1" w14:paraId="04582841" w14:textId="33399D48">
      <w:pPr>
        <w:jc w:val="center"/>
        <w:rPr>
          <w:b/>
        </w:rPr>
      </w:pPr>
      <w:r w:rsidRPr="00C70CB5">
        <w:rPr>
          <w:b/>
        </w:rPr>
        <w:t>Supporting Statement</w:t>
      </w:r>
      <w:r w:rsidRPr="00C70CB5" w:rsidR="008E6CCC">
        <w:rPr>
          <w:b/>
        </w:rPr>
        <w:t xml:space="preserve"> for 0990-0459</w:t>
      </w:r>
    </w:p>
    <w:p w:rsidR="009C7916" w:rsidP="00370B16" w14:paraId="312783BA" w14:textId="77777777">
      <w:pPr>
        <w:tabs>
          <w:tab w:val="left" w:pos="5205"/>
        </w:tabs>
      </w:pPr>
    </w:p>
    <w:p w:rsidR="00CC395F" w:rsidP="00A37A9F" w14:paraId="1E1E74A2" w14:textId="5A54C7EC">
      <w:pPr>
        <w:tabs>
          <w:tab w:val="left" w:pos="5205"/>
        </w:tabs>
      </w:pPr>
      <w:r>
        <w:tab/>
      </w:r>
    </w:p>
    <w:p w:rsidR="00CC395F" w:rsidRPr="00101AB6" w:rsidP="00CC395F" w14:paraId="116D2B38" w14:textId="77777777">
      <w:pPr>
        <w:rPr>
          <w:b/>
        </w:rPr>
      </w:pPr>
      <w:r w:rsidRPr="00101AB6">
        <w:rPr>
          <w:b/>
        </w:rPr>
        <w:t>JUSTIFICATION</w:t>
      </w:r>
    </w:p>
    <w:p w:rsidR="00CC395F" w:rsidP="00CC395F" w14:paraId="241FB7F2" w14:textId="77777777"/>
    <w:p w:rsidR="00CC395F" w:rsidRPr="00DF63FC" w:rsidP="001308B1" w14:paraId="6FE08605" w14:textId="77777777">
      <w:pPr>
        <w:pStyle w:val="ListParagraph"/>
        <w:numPr>
          <w:ilvl w:val="0"/>
          <w:numId w:val="28"/>
        </w:numPr>
        <w:ind w:left="270" w:hanging="270"/>
        <w:rPr>
          <w:b/>
          <w:u w:val="single"/>
        </w:rPr>
      </w:pPr>
      <w:r w:rsidRPr="00DF63FC">
        <w:rPr>
          <w:b/>
          <w:u w:val="single"/>
        </w:rPr>
        <w:t>Circumstances Making the Collection of Information Necessary</w:t>
      </w:r>
    </w:p>
    <w:p w:rsidR="00CC395F" w:rsidRPr="002A17C1" w:rsidP="00CC395F" w14:paraId="1382561F" w14:textId="77777777">
      <w:pPr>
        <w:pStyle w:val="ListParagraph"/>
      </w:pPr>
    </w:p>
    <w:p w:rsidR="004769F9" w:rsidP="00425BF7" w14:paraId="0A2E90BF" w14:textId="2AC677DA">
      <w:pPr>
        <w:rPr>
          <w:color w:val="000000"/>
          <w:lang w:val="en"/>
        </w:rPr>
      </w:pPr>
      <w:r>
        <w:t xml:space="preserve">The </w:t>
      </w:r>
      <w:r w:rsidRPr="002A17C1">
        <w:t>U.S. Department of Health and Human Services (HH</w:t>
      </w:r>
      <w:r w:rsidR="00020665">
        <w:t>S), Office of the Secretary</w:t>
      </w:r>
      <w:r w:rsidRPr="002A17C1">
        <w:t>, Office of the Assistant Secr</w:t>
      </w:r>
      <w:r w:rsidR="007B702D">
        <w:t xml:space="preserve">etary for Public Affairs (ASPA), </w:t>
      </w:r>
      <w:r w:rsidRPr="002A17C1" w:rsidR="007B702D">
        <w:rPr>
          <w:color w:val="000000"/>
          <w:lang w:val="en"/>
        </w:rPr>
        <w:t>conducts national public affairs programs and provides centralized leadership and guidance for public affairs acti</w:t>
      </w:r>
      <w:r w:rsidR="007B702D">
        <w:rPr>
          <w:color w:val="000000"/>
          <w:lang w:val="en"/>
        </w:rPr>
        <w:t xml:space="preserve">vities within HHS' 17 </w:t>
      </w:r>
      <w:r w:rsidRPr="002A17C1" w:rsidR="007B702D">
        <w:rPr>
          <w:color w:val="000000"/>
          <w:lang w:val="en"/>
        </w:rPr>
        <w:t xml:space="preserve">Staff </w:t>
      </w:r>
      <w:r w:rsidR="007B702D">
        <w:rPr>
          <w:color w:val="000000"/>
          <w:lang w:val="en"/>
        </w:rPr>
        <w:t xml:space="preserve">Divisions, 11 </w:t>
      </w:r>
      <w:r w:rsidRPr="002A17C1" w:rsidR="007B702D">
        <w:rPr>
          <w:color w:val="000000"/>
          <w:lang w:val="en"/>
        </w:rPr>
        <w:t>Operating Divisions</w:t>
      </w:r>
      <w:r w:rsidR="007B702D">
        <w:rPr>
          <w:color w:val="000000"/>
          <w:lang w:val="en"/>
        </w:rPr>
        <w:t>,</w:t>
      </w:r>
      <w:r w:rsidRPr="002A17C1" w:rsidR="007B702D">
        <w:rPr>
          <w:color w:val="000000"/>
          <w:lang w:val="en"/>
        </w:rPr>
        <w:t xml:space="preserve"> and </w:t>
      </w:r>
      <w:r w:rsidR="007B702D">
        <w:rPr>
          <w:color w:val="000000"/>
          <w:lang w:val="en"/>
        </w:rPr>
        <w:t>10 Regional O</w:t>
      </w:r>
      <w:r w:rsidRPr="002A17C1" w:rsidR="007B702D">
        <w:rPr>
          <w:color w:val="000000"/>
          <w:lang w:val="en"/>
        </w:rPr>
        <w:t>ffices</w:t>
      </w:r>
      <w:r w:rsidR="007B702D">
        <w:rPr>
          <w:color w:val="000000"/>
          <w:lang w:val="en"/>
        </w:rPr>
        <w:t xml:space="preserve"> (hereafter ‘HHS Offices’)</w:t>
      </w:r>
      <w:r w:rsidRPr="002A17C1" w:rsidR="007B702D">
        <w:rPr>
          <w:color w:val="000000"/>
          <w:lang w:val="en"/>
        </w:rPr>
        <w:t>.</w:t>
      </w:r>
      <w:r w:rsidR="007B702D">
        <w:rPr>
          <w:color w:val="000000"/>
          <w:lang w:val="en"/>
        </w:rPr>
        <w:t xml:space="preserve"> ASPA is seeking</w:t>
      </w:r>
      <w:r>
        <w:t xml:space="preserve"> OMB </w:t>
      </w:r>
      <w:r w:rsidRPr="00C70CB5" w:rsidR="00AD2048">
        <w:t>renewal</w:t>
      </w:r>
      <w:r>
        <w:t xml:space="preserve"> of </w:t>
      </w:r>
      <w:r w:rsidR="00AD2048">
        <w:t>this</w:t>
      </w:r>
      <w:r>
        <w:t xml:space="preserve"> </w:t>
      </w:r>
      <w:r w:rsidR="00D45940">
        <w:t xml:space="preserve">Fast-Track </w:t>
      </w:r>
      <w:r>
        <w:t xml:space="preserve">generic clearance </w:t>
      </w:r>
      <w:r w:rsidR="007B702D">
        <w:t xml:space="preserve">that allows HHS Offices </w:t>
      </w:r>
      <w:r>
        <w:t xml:space="preserve">to collect qualitative </w:t>
      </w:r>
      <w:r w:rsidRPr="00AD2048">
        <w:t>feedback</w:t>
      </w:r>
      <w:r>
        <w:t xml:space="preserve"> on HHS</w:t>
      </w:r>
      <w:r w:rsidR="004369FA">
        <w:t xml:space="preserve"> communication</w:t>
      </w:r>
      <w:r>
        <w:t xml:space="preserve"> products (e.g.</w:t>
      </w:r>
      <w:r w:rsidR="00A3196B">
        <w:t>,</w:t>
      </w:r>
      <w:r>
        <w:t xml:space="preserve"> brochures, booklets, posters, toolkits, fact sheets, videos, public service announcements, websites, campaign materials).  </w:t>
      </w:r>
    </w:p>
    <w:p w:rsidR="004769F9" w:rsidP="00425BF7" w14:paraId="3773ACAE" w14:textId="77777777">
      <w:pPr>
        <w:rPr>
          <w:color w:val="000000"/>
          <w:lang w:val="en"/>
        </w:rPr>
      </w:pPr>
    </w:p>
    <w:p w:rsidR="00DC15DB" w:rsidP="00DC15DB" w14:paraId="6BB45903" w14:textId="288CA2E0">
      <w:r>
        <w:t xml:space="preserve">This collection of information is necessary to enable HHS to garner </w:t>
      </w:r>
      <w:r w:rsidR="00603F3B">
        <w:t xml:space="preserve">feedback from </w:t>
      </w:r>
      <w:r>
        <w:t>customer</w:t>
      </w:r>
      <w:r w:rsidR="00603F3B">
        <w:t>s, participants,</w:t>
      </w:r>
      <w:r>
        <w:t xml:space="preserve"> and </w:t>
      </w:r>
      <w:r w:rsidR="00603F3B">
        <w:t>other interested parties</w:t>
      </w:r>
      <w:r w:rsidR="00AE35D7">
        <w:t>.</w:t>
      </w:r>
      <w:r>
        <w:t xml:space="preserve"> </w:t>
      </w:r>
      <w:r w:rsidR="00D65814">
        <w:t>Information will be</w:t>
      </w:r>
      <w:r>
        <w:t xml:space="preserve"> collected from </w:t>
      </w:r>
      <w:r w:rsidR="00603F3B">
        <w:t>these individuals</w:t>
      </w:r>
      <w:r>
        <w:t xml:space="preserve"> </w:t>
      </w:r>
      <w:r w:rsidR="00D65814">
        <w:t>from the concept phase to the end of the product life cycle. This will help</w:t>
      </w:r>
      <w:r>
        <w:t xml:space="preserve"> ensure that </w:t>
      </w:r>
      <w:r w:rsidR="00603F3B">
        <w:t xml:space="preserve">these individuals </w:t>
      </w:r>
      <w:r>
        <w:t xml:space="preserve">have an effective, efficient, and satisfying experience with HHS communications products. The primary objectives are to </w:t>
      </w:r>
      <w:r w:rsidR="00D45940">
        <w:t>help</w:t>
      </w:r>
      <w:r>
        <w:t xml:space="preserve"> HHS </w:t>
      </w:r>
      <w:r w:rsidR="00D45940">
        <w:t xml:space="preserve">improve </w:t>
      </w:r>
      <w:r>
        <w:t>communications products</w:t>
      </w:r>
      <w:r w:rsidR="00D45940">
        <w:t xml:space="preserve"> that</w:t>
      </w:r>
      <w:r>
        <w:t xml:space="preserve">: 1) meet the needs of the audience; 2) use effective mediums for </w:t>
      </w:r>
      <w:r w:rsidR="00352FAE">
        <w:t>delivering</w:t>
      </w:r>
      <w:r>
        <w:t xml:space="preserve"> messages to audiences; 3) motivate the expected impact or change; 4) require mid-course corrections; and 5) require change in development and dissemination strategies for future communications</w:t>
      </w:r>
      <w:r w:rsidRPr="00A3196B">
        <w:t>.</w:t>
      </w:r>
      <w:r w:rsidRPr="00A3196B" w:rsidR="00A3196B">
        <w:t xml:space="preserve"> This collection, therefore, is related to </w:t>
      </w:r>
      <w:r w:rsidR="00A3196B">
        <w:t xml:space="preserve">HHS compliance with OMB Circular </w:t>
      </w:r>
      <w:r w:rsidRPr="00A3196B" w:rsidR="00A3196B">
        <w:t>A-11 Section 280: Managing Customer Experience and Improving Service Delivery.</w:t>
      </w:r>
    </w:p>
    <w:p w:rsidR="00DC15DB" w:rsidP="00DC15DB" w14:paraId="00C7C513" w14:textId="77777777"/>
    <w:p w:rsidR="00D5608E" w:rsidP="00425BF7" w14:paraId="0AE01C7C" w14:textId="2262AE80">
      <w:r>
        <w:t>In order to</w:t>
      </w:r>
      <w:r>
        <w:t xml:space="preserve"> </w:t>
      </w:r>
      <w:r w:rsidR="0030081B">
        <w:t>e</w:t>
      </w:r>
      <w:r>
        <w:t>nsure that HHS communication products are ef</w:t>
      </w:r>
      <w:r w:rsidR="0030081B">
        <w:t xml:space="preserve">fective and have </w:t>
      </w:r>
      <w:r w:rsidRPr="00734BED" w:rsidR="00425BF7">
        <w:t>the highest potential to be received, understood, and accepted by those for whom they are intended</w:t>
      </w:r>
      <w:r w:rsidR="00B041E9">
        <w:t>, HHS Offices</w:t>
      </w:r>
      <w:r w:rsidR="00E93A72">
        <w:t xml:space="preserve"> </w:t>
      </w:r>
      <w:r w:rsidR="00425BF7">
        <w:t xml:space="preserve">will </w:t>
      </w:r>
      <w:r w:rsidR="00B041E9">
        <w:t xml:space="preserve">conduct surveys </w:t>
      </w:r>
      <w:r w:rsidR="00370B16">
        <w:t>to collect feedback from their target audiences</w:t>
      </w:r>
      <w:r w:rsidR="00E81086">
        <w:t>. Feedback will be collected at the concept phase,</w:t>
      </w:r>
      <w:r w:rsidR="00370B16">
        <w:t xml:space="preserve"> </w:t>
      </w:r>
      <w:r w:rsidR="00E81086">
        <w:t>in advance of product development</w:t>
      </w:r>
      <w:r w:rsidR="00E82A5C">
        <w:t xml:space="preserve"> to help determine product need</w:t>
      </w:r>
      <w:r w:rsidR="00E81086">
        <w:t>, as well as throughout the development process</w:t>
      </w:r>
      <w:r w:rsidR="00370B16">
        <w:t xml:space="preserve"> – message testing, </w:t>
      </w:r>
      <w:r w:rsidR="00E610E9">
        <w:t xml:space="preserve">product prototype testing, </w:t>
      </w:r>
      <w:r w:rsidR="00E81086">
        <w:t>testing after dissemination.</w:t>
      </w:r>
      <w:r w:rsidR="00370B16">
        <w:t xml:space="preserve"> </w:t>
      </w:r>
      <w:r w:rsidR="00020665">
        <w:t>ASPA</w:t>
      </w:r>
      <w:r w:rsidR="00B969E3">
        <w:t xml:space="preserve"> is requesting </w:t>
      </w:r>
      <w:r w:rsidRPr="00C70CB5" w:rsidR="00A37A9F">
        <w:t>a renewal of this</w:t>
      </w:r>
      <w:r w:rsidR="00B969E3">
        <w:t xml:space="preserve"> </w:t>
      </w:r>
      <w:r w:rsidR="00D45940">
        <w:t xml:space="preserve">Fast-Track </w:t>
      </w:r>
      <w:r w:rsidR="00B969E3">
        <w:t xml:space="preserve">generic clearance for collecting </w:t>
      </w:r>
      <w:r w:rsidR="00635EEE">
        <w:t>qualitative</w:t>
      </w:r>
      <w:r w:rsidR="00E81086">
        <w:t xml:space="preserve"> </w:t>
      </w:r>
      <w:r w:rsidR="00635EEE">
        <w:t xml:space="preserve">feedback </w:t>
      </w:r>
      <w:r w:rsidR="004369FA">
        <w:t>to</w:t>
      </w:r>
      <w:r w:rsidR="00903D8D">
        <w:t xml:space="preserve"> help ensure the content </w:t>
      </w:r>
      <w:r w:rsidR="00D45940">
        <w:t xml:space="preserve">will be </w:t>
      </w:r>
      <w:r w:rsidR="00903D8D">
        <w:t xml:space="preserve">appropriate </w:t>
      </w:r>
      <w:r w:rsidR="002D1AF5">
        <w:t xml:space="preserve">at meeting </w:t>
      </w:r>
      <w:r w:rsidR="00020665">
        <w:t>audience ne</w:t>
      </w:r>
      <w:r w:rsidR="002D1AF5">
        <w:t>ed</w:t>
      </w:r>
      <w:r w:rsidR="00020665">
        <w:t>s</w:t>
      </w:r>
      <w:r w:rsidR="00903D8D">
        <w:t xml:space="preserve">. </w:t>
      </w:r>
    </w:p>
    <w:p w:rsidR="00161D6F" w:rsidP="007E1167" w14:paraId="52B16576" w14:textId="77777777"/>
    <w:p w:rsidR="007E1167" w:rsidP="007E1167" w14:paraId="7A8E4FD8" w14:textId="53F545EB">
      <w:r>
        <w:t xml:space="preserve">This feedback will provide insights into </w:t>
      </w:r>
      <w:r w:rsidR="006A1854">
        <w:t>audience</w:t>
      </w:r>
      <w:r>
        <w:t xml:space="preserve"> perceptions, </w:t>
      </w:r>
      <w:r>
        <w:t>experiences</w:t>
      </w:r>
      <w:r>
        <w:t xml:space="preserve"> and expectations, provide an early </w:t>
      </w:r>
      <w:r w:rsidR="00607D97">
        <w:t>indication</w:t>
      </w:r>
      <w:r>
        <w:t xml:space="preserve"> of issues with </w:t>
      </w:r>
      <w:r w:rsidR="00607D97">
        <w:t>content</w:t>
      </w:r>
      <w:r>
        <w:t xml:space="preserve">, </w:t>
      </w:r>
      <w:r w:rsidR="00607D97">
        <w:t xml:space="preserve">and </w:t>
      </w:r>
      <w:r>
        <w:t>focus attention on areas where c</w:t>
      </w:r>
      <w:r w:rsidR="001C325E">
        <w:t>hanges might improve</w:t>
      </w:r>
      <w:r w:rsidR="00270BC0">
        <w:t xml:space="preserve"> understanding and</w:t>
      </w:r>
      <w:r w:rsidR="001C325E">
        <w:t xml:space="preserve"> </w:t>
      </w:r>
      <w:r w:rsidR="00E81086">
        <w:t>impact</w:t>
      </w:r>
      <w:r w:rsidR="001C325E">
        <w:t xml:space="preserve">. </w:t>
      </w:r>
      <w:r w:rsidR="006A1854">
        <w:t xml:space="preserve">If this information is not collected, vital feedback on HHS communications will be unavailable, preventing programs from </w:t>
      </w:r>
      <w:r w:rsidR="00E82A5C">
        <w:t>developing communications products that meets the needs of the audience and demonstrating impact of the communications products developed</w:t>
      </w:r>
      <w:r w:rsidR="006A1854">
        <w:t>.</w:t>
      </w:r>
    </w:p>
    <w:p w:rsidR="007E1167" w:rsidP="00D5608E" w14:paraId="716E279C" w14:textId="752CC036"/>
    <w:p w:rsidR="007E1167" w:rsidRPr="0094671C" w:rsidP="00E615EB" w14:paraId="29F28D00" w14:textId="77777777">
      <w:pPr>
        <w:pStyle w:val="ListParagraph"/>
        <w:numPr>
          <w:ilvl w:val="0"/>
          <w:numId w:val="28"/>
        </w:numPr>
        <w:ind w:left="360"/>
        <w:rPr>
          <w:b/>
          <w:u w:val="single"/>
        </w:rPr>
      </w:pPr>
      <w:r w:rsidRPr="0094671C">
        <w:rPr>
          <w:b/>
          <w:u w:val="single"/>
        </w:rPr>
        <w:t>Purpose and Use of the Information</w:t>
      </w:r>
    </w:p>
    <w:p w:rsidR="00FC004E" w:rsidRPr="00E615EB" w:rsidP="00FC004E" w14:paraId="59180041" w14:textId="77777777">
      <w:pPr>
        <w:pStyle w:val="ListParagraph"/>
        <w:ind w:left="360"/>
        <w:rPr>
          <w:u w:val="single"/>
        </w:rPr>
      </w:pPr>
    </w:p>
    <w:p w:rsidR="00FC004E" w:rsidP="00702078" w14:paraId="08CEB3DB" w14:textId="0A73DF73">
      <w:r>
        <w:t xml:space="preserve">HHS Offices plan to use the data collected under this </w:t>
      </w:r>
      <w:r w:rsidR="00603F3B">
        <w:t xml:space="preserve">Fast-Track </w:t>
      </w:r>
      <w:r>
        <w:t xml:space="preserve">generic clearance to </w:t>
      </w:r>
      <w:r w:rsidR="00FC452E">
        <w:t>inform the development of HHS communication products and identify areas for improvement in content or delivery</w:t>
      </w:r>
      <w:r w:rsidR="002F57F2">
        <w:t xml:space="preserve">. </w:t>
      </w:r>
      <w:r w:rsidR="000C3B80">
        <w:t xml:space="preserve">If </w:t>
      </w:r>
      <w:r w:rsidR="00A87A05">
        <w:t>needed</w:t>
      </w:r>
      <w:r w:rsidR="000C3B80">
        <w:t>, revisions would be intended to increase th</w:t>
      </w:r>
      <w:r w:rsidR="000F270B">
        <w:t>e success rate of communication</w:t>
      </w:r>
      <w:r w:rsidR="000C3B80">
        <w:t xml:space="preserve"> </w:t>
      </w:r>
      <w:r w:rsidR="000C3B80">
        <w:t xml:space="preserve">products, increasing the </w:t>
      </w:r>
      <w:r w:rsidR="002F57F2">
        <w:t>return on</w:t>
      </w:r>
      <w:r w:rsidR="000C3B80">
        <w:t xml:space="preserve"> </w:t>
      </w:r>
      <w:r w:rsidR="007F534E">
        <w:t>investment</w:t>
      </w:r>
      <w:r w:rsidR="000C3B80">
        <w:t>.</w:t>
      </w:r>
      <w:r>
        <w:t xml:space="preserve"> </w:t>
      </w:r>
      <w:r w:rsidR="001C325E">
        <w:t>It will also allow feedback to contribute directly to the i</w:t>
      </w:r>
      <w:r w:rsidR="004B130D">
        <w:t>mprovement of program management.</w:t>
      </w:r>
    </w:p>
    <w:p w:rsidR="00D45940" w:rsidP="00702078" w14:paraId="7CD67DCB" w14:textId="77777777"/>
    <w:p w:rsidR="00D45940" w:rsidP="00D45940" w14:paraId="4BA4DF83" w14:textId="2C7B3EFE">
      <w:r>
        <w:t xml:space="preserve">The Agency will only submit a collection for approval under this </w:t>
      </w:r>
      <w:r w:rsidR="00CF3688">
        <w:t xml:space="preserve">Fast-Track </w:t>
      </w:r>
      <w:r>
        <w:t xml:space="preserve">generic clearance if it meets the following conditions: </w:t>
      </w:r>
    </w:p>
    <w:p w:rsidR="00D45940" w:rsidP="00D45940" w14:paraId="0F1F8DB8" w14:textId="77777777"/>
    <w:p w:rsidR="00D45940" w:rsidP="00D45940" w14:paraId="488C7940" w14:textId="36512A17">
      <w:pPr>
        <w:pStyle w:val="ListParagraph"/>
        <w:numPr>
          <w:ilvl w:val="0"/>
          <w:numId w:val="30"/>
        </w:numPr>
      </w:pPr>
      <w:r w:rsidRPr="00FD7312">
        <w:t>Information gathered will be used only internally for general service improvement and program management purposes and is not intended fo</w:t>
      </w:r>
      <w:r>
        <w:t xml:space="preserve">r release outside of the </w:t>
      </w:r>
      <w:r>
        <w:t>agency;</w:t>
      </w:r>
    </w:p>
    <w:p w:rsidR="00D45940" w:rsidP="00D45940" w14:paraId="501468F0" w14:textId="77777777">
      <w:pPr>
        <w:pStyle w:val="ListParagraph"/>
        <w:numPr>
          <w:ilvl w:val="0"/>
          <w:numId w:val="30"/>
        </w:numPr>
      </w:pPr>
      <w:r>
        <w:t xml:space="preserve">Information gathered will not be used for the purpose of substantially informing influential policy decisions </w:t>
      </w:r>
      <w:r>
        <w:rPr>
          <w:rStyle w:val="FootnoteReference"/>
        </w:rPr>
        <w:footnoteReference w:id="2"/>
      </w:r>
      <w:r>
        <w:t>;</w:t>
      </w:r>
    </w:p>
    <w:p w:rsidR="00D45940" w:rsidP="00D45940" w14:paraId="3A0A8D1D" w14:textId="682DF6E4">
      <w:pPr>
        <w:pStyle w:val="ListParagraph"/>
        <w:numPr>
          <w:ilvl w:val="0"/>
          <w:numId w:val="29"/>
        </w:numPr>
      </w:pPr>
      <w:r>
        <w:t>Information gathered will yield qualitative information; the collections will not be designed or expected to yield statistically reliable results or used as though the results are generaliz</w:t>
      </w:r>
      <w:r w:rsidR="004E0F18">
        <w:t xml:space="preserve">able to the population of </w:t>
      </w:r>
      <w:r w:rsidR="004E0F18">
        <w:t>study</w:t>
      </w:r>
      <w:r>
        <w:t>;</w:t>
      </w:r>
      <w:r>
        <w:t xml:space="preserve">  </w:t>
      </w:r>
    </w:p>
    <w:p w:rsidR="00D45940" w:rsidP="00D45940" w14:paraId="41D467C7" w14:textId="77777777">
      <w:pPr>
        <w:pStyle w:val="ListParagraph"/>
        <w:numPr>
          <w:ilvl w:val="0"/>
          <w:numId w:val="29"/>
        </w:numPr>
      </w:pPr>
      <w:r>
        <w:t xml:space="preserve">The collections are </w:t>
      </w:r>
      <w:r>
        <w:t>voluntary;</w:t>
      </w:r>
    </w:p>
    <w:p w:rsidR="00D45940" w:rsidP="00D45940" w14:paraId="0C9E19C2" w14:textId="77777777">
      <w:pPr>
        <w:pStyle w:val="ListParagraph"/>
        <w:numPr>
          <w:ilvl w:val="0"/>
          <w:numId w:val="29"/>
        </w:numPr>
      </w:pPr>
      <w:r>
        <w:t xml:space="preserve">The collections are low-burden for respondents (based on considerations of total burden hours, total number of respondents, or burden-hours per respondent) and are low-cost for both the respondents and the Federal </w:t>
      </w:r>
      <w:r>
        <w:t>Government;</w:t>
      </w:r>
    </w:p>
    <w:p w:rsidR="00D45940" w:rsidP="00D45940" w14:paraId="284EE080" w14:textId="46657A32">
      <w:pPr>
        <w:pStyle w:val="ListParagraph"/>
        <w:numPr>
          <w:ilvl w:val="0"/>
          <w:numId w:val="29"/>
        </w:numPr>
      </w:pPr>
      <w:r>
        <w:t xml:space="preserve">The collections are non-controversial and do not raise issues of concern to other Federal </w:t>
      </w:r>
      <w:r>
        <w:t>agencies;</w:t>
      </w:r>
      <w:r>
        <w:t xml:space="preserve"> </w:t>
      </w:r>
    </w:p>
    <w:p w:rsidR="00D45940" w:rsidP="00D45940" w14:paraId="75074ABD" w14:textId="77777777">
      <w:pPr>
        <w:pStyle w:val="ListParagraph"/>
        <w:numPr>
          <w:ilvl w:val="0"/>
          <w:numId w:val="29"/>
        </w:numPr>
      </w:pPr>
      <w:r>
        <w:t xml:space="preserve">Any collection is targeted to the solicitation of opinions from respondents who have experience with the program or may have experience with the program </w:t>
      </w:r>
      <w:r>
        <w:t>in the near future</w:t>
      </w:r>
      <w:r>
        <w:t>; and</w:t>
      </w:r>
    </w:p>
    <w:p w:rsidR="00D45940" w:rsidP="00D45940" w14:paraId="33CB365D" w14:textId="77777777">
      <w:pPr>
        <w:pStyle w:val="ListParagraph"/>
        <w:numPr>
          <w:ilvl w:val="0"/>
          <w:numId w:val="29"/>
        </w:numPr>
      </w:pPr>
      <w:r>
        <w:t>With the exception of</w:t>
      </w:r>
      <w:r>
        <w:t xml:space="preserve"> information needed to provide token of appreciations for participants of focus groups and cognitive laboratory studies, personally identifiable information (PII) is collected only to the extent necessary and is not retained. </w:t>
      </w:r>
    </w:p>
    <w:p w:rsidR="00D45940" w:rsidP="00D45940" w14:paraId="15F15173" w14:textId="77777777">
      <w:pPr>
        <w:pStyle w:val="ListParagraph"/>
        <w:ind w:left="360"/>
      </w:pPr>
    </w:p>
    <w:p w:rsidR="00D45940" w:rsidP="00D45940" w14:paraId="65CE5D13" w14:textId="77777777">
      <w:r>
        <w:t xml:space="preserve">If these conditions are not met, the Agency will submit an information collection request to OMB for approval through the normal PRA process. </w:t>
      </w:r>
    </w:p>
    <w:p w:rsidR="00D45940" w:rsidP="00702078" w14:paraId="38D599DD" w14:textId="77777777"/>
    <w:p w:rsidR="00D45940" w:rsidP="00D45940" w14:paraId="757C85B4" w14:textId="0F2C7224">
      <w:r>
        <w:t xml:space="preserve">To obtain approval for a collection that meets the conditions of this </w:t>
      </w:r>
      <w:r w:rsidR="00CF3688">
        <w:t xml:space="preserve">Fast-Track </w:t>
      </w:r>
      <w:r>
        <w:t xml:space="preserve">generic clearance, a standardized form will be submitted to OMB along with supporting documentation (e.g., a copy of the comment card).  The submission will have automatic </w:t>
      </w:r>
      <w:r>
        <w:t>approval, unless</w:t>
      </w:r>
      <w:r>
        <w:t xml:space="preserve"> OMB identifies issues within </w:t>
      </w:r>
      <w:r w:rsidRPr="003A7A16">
        <w:t>5 business days</w:t>
      </w:r>
      <w:r>
        <w:t>.</w:t>
      </w:r>
    </w:p>
    <w:p w:rsidR="00D45940" w:rsidP="00D45940" w14:paraId="4522431A" w14:textId="77777777"/>
    <w:p w:rsidR="00D45940" w:rsidP="00D45940" w14:paraId="4E7507E6" w14:textId="372376B7">
      <w:r>
        <w:t xml:space="preserve">The types of collections that this </w:t>
      </w:r>
      <w:r w:rsidR="00CF3688">
        <w:t xml:space="preserve">Fast-Track </w:t>
      </w:r>
      <w:r>
        <w:t>generic clearance covers include, but are not limited to:</w:t>
      </w:r>
    </w:p>
    <w:p w:rsidR="00D45940" w:rsidP="00D45940" w14:paraId="7ABCD905" w14:textId="77777777">
      <w:pPr>
        <w:pStyle w:val="ListParagraph"/>
        <w:numPr>
          <w:ilvl w:val="0"/>
          <w:numId w:val="37"/>
        </w:numPr>
        <w:spacing w:after="200" w:line="276" w:lineRule="auto"/>
      </w:pPr>
      <w:r>
        <w:t>Customer comment cards/complaint forms</w:t>
      </w:r>
    </w:p>
    <w:p w:rsidR="00D45940" w:rsidP="00D45940" w14:paraId="39DE862F" w14:textId="77777777">
      <w:pPr>
        <w:pStyle w:val="ListParagraph"/>
        <w:numPr>
          <w:ilvl w:val="0"/>
          <w:numId w:val="37"/>
        </w:numPr>
        <w:spacing w:after="200" w:line="276" w:lineRule="auto"/>
      </w:pPr>
      <w:r>
        <w:t>Small discussion groups</w:t>
      </w:r>
    </w:p>
    <w:p w:rsidR="00D45940" w:rsidP="00D45940" w14:paraId="28CE8C2C" w14:textId="3E0DA32F">
      <w:pPr>
        <w:pStyle w:val="ListParagraph"/>
        <w:numPr>
          <w:ilvl w:val="0"/>
          <w:numId w:val="37"/>
        </w:numPr>
      </w:pPr>
      <w:r>
        <w:t>Focus Groups of customers, potential customers, delivery partners, or other stakeholders</w:t>
      </w:r>
    </w:p>
    <w:p w:rsidR="00D45940" w:rsidP="00D45940" w14:paraId="16E43852" w14:textId="77777777">
      <w:pPr>
        <w:pStyle w:val="ListParagraph"/>
        <w:numPr>
          <w:ilvl w:val="0"/>
          <w:numId w:val="37"/>
        </w:numPr>
      </w:pPr>
      <w:r>
        <w:t xml:space="preserve">Cognitive laboratory studies, such as those used to refine questions or assess usability of a </w:t>
      </w:r>
      <w:r>
        <w:t>website;</w:t>
      </w:r>
    </w:p>
    <w:p w:rsidR="00D45940" w:rsidP="00D45940" w14:paraId="4C516E71" w14:textId="77777777">
      <w:pPr>
        <w:pStyle w:val="ListParagraph"/>
        <w:numPr>
          <w:ilvl w:val="0"/>
          <w:numId w:val="37"/>
        </w:numPr>
        <w:spacing w:after="200" w:line="276" w:lineRule="auto"/>
      </w:pPr>
      <w:r>
        <w:t>Qualitative customer satisfaction surveys (e.g., post-transaction surveys; opt-out web surveys)</w:t>
      </w:r>
    </w:p>
    <w:p w:rsidR="00D45940" w:rsidP="00D45940" w14:paraId="6B06B7EB" w14:textId="77777777">
      <w:pPr>
        <w:pStyle w:val="ListParagraph"/>
        <w:numPr>
          <w:ilvl w:val="0"/>
          <w:numId w:val="37"/>
        </w:numPr>
        <w:spacing w:after="200" w:line="276" w:lineRule="auto"/>
      </w:pPr>
      <w:r>
        <w:t>In-person observation testing (e.g., website or software usability tests)</w:t>
      </w:r>
    </w:p>
    <w:p w:rsidR="00D45940" w:rsidP="00D45940" w14:paraId="7BCAAE86" w14:textId="77777777">
      <w:r>
        <w:t>The Agency has established a manager/managing entity to serve for this generic clearance and will conduct an independent review of each information collection to ensure compliance with the terms of this clearance prior to submitting each collection to OMB.</w:t>
      </w:r>
    </w:p>
    <w:p w:rsidR="0002104D" w:rsidP="0002104D" w14:paraId="6BFEEF48" w14:textId="77777777">
      <w:pPr>
        <w:rPr>
          <w:color w:val="000000"/>
        </w:rPr>
      </w:pPr>
    </w:p>
    <w:p w:rsidR="0002104D" w:rsidP="00DF63FC" w14:paraId="2E2E89E1" w14:textId="77777777">
      <w:pPr>
        <w:pStyle w:val="ListParagraph"/>
        <w:numPr>
          <w:ilvl w:val="0"/>
          <w:numId w:val="28"/>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outlineLvl w:val="2"/>
        <w:rPr>
          <w:b/>
          <w:bCs/>
          <w:u w:val="single"/>
        </w:rPr>
      </w:pPr>
      <w:bookmarkStart w:id="0" w:name="_Toc239649223"/>
      <w:r w:rsidRPr="0002104D">
        <w:rPr>
          <w:b/>
          <w:bCs/>
          <w:u w:val="single"/>
        </w:rPr>
        <w:t>Use of Information Technology and Burden Reduction</w:t>
      </w:r>
      <w:bookmarkStart w:id="1" w:name="_Toc239649224"/>
      <w:bookmarkEnd w:id="0"/>
    </w:p>
    <w:p w:rsidR="00DF63FC" w:rsidP="00DF63FC" w14:paraId="4A6C45CB" w14:textId="77777777"/>
    <w:p w:rsidR="00DF63FC" w:rsidP="00DF63FC" w14:paraId="36BE5A68" w14:textId="77777777">
      <w:r>
        <w:t xml:space="preserve">All communications products will be required to undergo review using ASPA’s Strategic Communications Planning tool.  Part of this rigorous process is to ensure that evaluation measurements are clearly identified and directly tied to measuring the performance of the communications products.  This includes the goals for the communications, how attainment of the goals will be measured, and the plan for evaluation.  Where possible, data will be collected from the target audience electronically to reduce the burden to the respondent. </w:t>
      </w:r>
    </w:p>
    <w:p w:rsidR="00DF63FC" w:rsidP="00DF63FC" w14:paraId="3F9F2392" w14:textId="77777777">
      <w:pPr>
        <w:pStyle w:val="ListParagraph"/>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p>
    <w:bookmarkEnd w:id="1"/>
    <w:p w:rsidR="0002104D" w:rsidRPr="00DF63FC" w:rsidP="00DF63FC" w14:paraId="57245F12" w14:textId="77777777">
      <w:pPr>
        <w:pStyle w:val="ListParagraph"/>
        <w:numPr>
          <w:ilvl w:val="0"/>
          <w:numId w:val="28"/>
        </w:numPr>
        <w:tabs>
          <w:tab w:val="left" w:pos="450"/>
        </w:tabs>
        <w:ind w:hanging="720"/>
        <w:contextualSpacing w:val="0"/>
        <w:rPr>
          <w:b/>
          <w:bCs/>
          <w:u w:val="single"/>
        </w:rPr>
      </w:pPr>
      <w:r w:rsidRPr="00DF63FC">
        <w:rPr>
          <w:b/>
          <w:bCs/>
          <w:u w:val="single"/>
        </w:rPr>
        <w:t>Duplication of Information</w:t>
      </w:r>
    </w:p>
    <w:p w:rsidR="0002104D" w:rsidP="0002104D" w14:paraId="296016DF" w14:textId="77777777"/>
    <w:p w:rsidR="0002104D" w:rsidP="0002104D" w14:paraId="665A40FA" w14:textId="77777777">
      <w:r>
        <w:t xml:space="preserve">No similar data are gathered or maintained by the Agency or are available from other sources known to </w:t>
      </w:r>
      <w:r w:rsidRPr="002A35E6">
        <w:t>the Agency.</w:t>
      </w:r>
    </w:p>
    <w:p w:rsidR="0002104D" w:rsidP="0002104D" w14:paraId="2F7B9A1A" w14:textId="77777777"/>
    <w:p w:rsidR="0002104D" w:rsidRPr="00DF63FC" w:rsidP="0002104D" w14:paraId="33D3A4C6" w14:textId="77777777">
      <w:pPr>
        <w:pStyle w:val="ListParagraph"/>
        <w:numPr>
          <w:ilvl w:val="0"/>
          <w:numId w:val="28"/>
        </w:numPr>
        <w:ind w:left="360"/>
        <w:rPr>
          <w:u w:val="single"/>
        </w:rPr>
      </w:pPr>
      <w:r w:rsidRPr="00DF63FC">
        <w:rPr>
          <w:b/>
          <w:bCs/>
          <w:u w:val="single"/>
        </w:rPr>
        <w:t>Reducing the Burden on Small Entities</w:t>
      </w:r>
    </w:p>
    <w:p w:rsidR="0002104D" w:rsidP="00352FAE" w14:paraId="596504CA" w14:textId="77777777"/>
    <w:p w:rsidR="0002104D" w:rsidP="00352FAE" w14:paraId="13759074" w14:textId="77777777">
      <w:r w:rsidRPr="00E77B9E">
        <w:t xml:space="preserve">There is no burden on small businesses or small entities. </w:t>
      </w:r>
    </w:p>
    <w:p w:rsidR="0002104D" w:rsidP="00352FAE" w14:paraId="2033682B" w14:textId="77777777"/>
    <w:p w:rsidR="0002104D" w:rsidRPr="00326C6F" w:rsidP="00352FAE" w14:paraId="6F2FEBA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2" w:name="_Toc239649226"/>
      <w:r w:rsidRPr="005E5681">
        <w:rPr>
          <w:b/>
          <w:bCs/>
        </w:rPr>
        <w:t>6.</w:t>
      </w:r>
      <w:r w:rsidRPr="005E5681">
        <w:t xml:space="preserve">  </w:t>
      </w:r>
      <w:r w:rsidRPr="005E5681">
        <w:rPr>
          <w:b/>
          <w:bCs/>
          <w:u w:val="single"/>
        </w:rPr>
        <w:t>Consequence of Collecting the Information Less Frequently</w:t>
      </w:r>
      <w:bookmarkEnd w:id="2"/>
    </w:p>
    <w:p w:rsidR="00352FAE" w:rsidP="009C7916" w14:paraId="26D05CFD" w14:textId="77777777"/>
    <w:p w:rsidR="009C7916" w:rsidP="009C7916" w14:paraId="0FE122A3" w14:textId="381E9FFA">
      <w:pPr>
        <w:rPr>
          <w:color w:val="000000"/>
          <w:lang w:val="en"/>
        </w:rPr>
      </w:pPr>
      <w:r>
        <w:t xml:space="preserve">This </w:t>
      </w:r>
      <w:r w:rsidR="00CF3688">
        <w:t xml:space="preserve">Fast-Track </w:t>
      </w:r>
      <w:r>
        <w:t>generic clearance will be available to all HHS Offices (</w:t>
      </w:r>
      <w:r>
        <w:rPr>
          <w:color w:val="000000"/>
          <w:lang w:val="en"/>
        </w:rPr>
        <w:t xml:space="preserve">HHS' 17 </w:t>
      </w:r>
      <w:r w:rsidRPr="002A17C1">
        <w:rPr>
          <w:color w:val="000000"/>
          <w:lang w:val="en"/>
        </w:rPr>
        <w:t xml:space="preserve">Staff </w:t>
      </w:r>
      <w:r>
        <w:rPr>
          <w:color w:val="000000"/>
          <w:lang w:val="en"/>
        </w:rPr>
        <w:t xml:space="preserve">Divisions, 11 </w:t>
      </w:r>
      <w:r w:rsidRPr="002A17C1">
        <w:rPr>
          <w:color w:val="000000"/>
          <w:lang w:val="en"/>
        </w:rPr>
        <w:t>Operating Divisions</w:t>
      </w:r>
      <w:r>
        <w:rPr>
          <w:color w:val="000000"/>
          <w:lang w:val="en"/>
        </w:rPr>
        <w:t>,</w:t>
      </w:r>
      <w:r w:rsidRPr="002A17C1">
        <w:rPr>
          <w:color w:val="000000"/>
          <w:lang w:val="en"/>
        </w:rPr>
        <w:t xml:space="preserve"> and </w:t>
      </w:r>
      <w:r>
        <w:rPr>
          <w:color w:val="000000"/>
          <w:lang w:val="en"/>
        </w:rPr>
        <w:t>10 Regional O</w:t>
      </w:r>
      <w:r w:rsidRPr="002A17C1">
        <w:rPr>
          <w:color w:val="000000"/>
          <w:lang w:val="en"/>
        </w:rPr>
        <w:t>ffices</w:t>
      </w:r>
      <w:r>
        <w:rPr>
          <w:color w:val="000000"/>
          <w:lang w:val="en"/>
        </w:rPr>
        <w:t xml:space="preserve">). It is possible that a </w:t>
      </w:r>
      <w:r w:rsidR="00BE68F1">
        <w:rPr>
          <w:color w:val="000000"/>
          <w:lang w:val="en"/>
        </w:rPr>
        <w:t>single</w:t>
      </w:r>
      <w:r>
        <w:rPr>
          <w:color w:val="000000"/>
          <w:lang w:val="en"/>
        </w:rPr>
        <w:t xml:space="preserve"> communication product may be surveyed </w:t>
      </w:r>
      <w:r w:rsidR="00B61CBF">
        <w:rPr>
          <w:color w:val="000000"/>
          <w:lang w:val="en"/>
        </w:rPr>
        <w:t xml:space="preserve">several </w:t>
      </w:r>
      <w:r>
        <w:rPr>
          <w:color w:val="000000"/>
          <w:lang w:val="en"/>
        </w:rPr>
        <w:t xml:space="preserve">times. </w:t>
      </w:r>
      <w:r w:rsidR="00B61CBF">
        <w:rPr>
          <w:color w:val="000000"/>
          <w:lang w:val="en"/>
        </w:rPr>
        <w:t>For example, f</w:t>
      </w:r>
      <w:r w:rsidR="00B61CBF">
        <w:t>eedback</w:t>
      </w:r>
      <w:r w:rsidR="00B61CBF">
        <w:t xml:space="preserve"> may be collected at the concept phase, in advance of product development to help determine product need, as well as throughout the development process – message testing, product prototype testing, and testing after dissemination. </w:t>
      </w:r>
      <w:r w:rsidR="00B61CBF">
        <w:rPr>
          <w:color w:val="000000"/>
          <w:lang w:val="en"/>
        </w:rPr>
        <w:t>The number of times a single communication product may be surveyed will vary based on type of product and production schedule.</w:t>
      </w:r>
      <w:r w:rsidR="00CF3688">
        <w:rPr>
          <w:color w:val="000000"/>
          <w:lang w:val="en"/>
        </w:rPr>
        <w:t xml:space="preserve"> If the Agency was unable to collect information iteratively and frequently, then the quality of HHS customer service would be diminished.</w:t>
      </w:r>
    </w:p>
    <w:p w:rsidR="009C7916" w:rsidP="009C7916" w14:paraId="118BED7C" w14:textId="77777777"/>
    <w:p w:rsidR="0002104D" w:rsidRPr="0002104D" w:rsidP="00352FAE" w14:paraId="228C2A22" w14:textId="77777777">
      <w:pPr>
        <w:pStyle w:val="ListParagraph"/>
        <w:numPr>
          <w:ilvl w:val="0"/>
          <w:numId w:val="33"/>
        </w:numPr>
        <w:ind w:left="450" w:hanging="450"/>
        <w:contextualSpacing w:val="0"/>
      </w:pPr>
      <w:r w:rsidRPr="0002104D">
        <w:rPr>
          <w:b/>
          <w:bCs/>
        </w:rPr>
        <w:t>Special Circumstances</w:t>
      </w:r>
    </w:p>
    <w:p w:rsidR="000C4682" w:rsidP="00352FAE" w14:paraId="22E43184" w14:textId="10F19E07">
      <w:r>
        <w:t>There are no special circumstances. The information collected will be voluntary and will not be used for statistical purposes.</w:t>
      </w:r>
    </w:p>
    <w:p w:rsidR="0002104D" w:rsidP="00352FAE" w14:paraId="274C63B4" w14:textId="77777777"/>
    <w:p w:rsidR="0002104D" w:rsidRPr="0002104D" w:rsidP="00352FAE" w14:paraId="3899C68F" w14:textId="77777777">
      <w:pPr>
        <w:pStyle w:val="ListParagraph"/>
        <w:numPr>
          <w:ilvl w:val="0"/>
          <w:numId w:val="33"/>
        </w:numPr>
        <w:ind w:left="360"/>
        <w:rPr>
          <w:b/>
          <w:bCs/>
        </w:rPr>
      </w:pPr>
      <w:r w:rsidRPr="0002104D">
        <w:rPr>
          <w:b/>
          <w:bCs/>
        </w:rPr>
        <w:t>Consultations with Persons Outside the Agency</w:t>
      </w:r>
    </w:p>
    <w:p w:rsidR="0002104D" w:rsidP="0002104D" w14:paraId="7E633170" w14:textId="77777777">
      <w:pPr>
        <w:pStyle w:val="ListParagraph"/>
        <w:ind w:left="0"/>
        <w:rPr>
          <w:b/>
          <w:bCs/>
        </w:rPr>
      </w:pPr>
    </w:p>
    <w:p w:rsidR="0002104D" w:rsidP="0002104D" w14:paraId="3E6C9F8E" w14:textId="750D5F59">
      <w:r>
        <w:t xml:space="preserve">In accordance with 5 CFR 1320.8(d), </w:t>
      </w:r>
      <w:r w:rsidR="000C4682">
        <w:t xml:space="preserve">on </w:t>
      </w:r>
      <w:r w:rsidR="00D55B49">
        <w:t xml:space="preserve">April </w:t>
      </w:r>
      <w:r w:rsidR="00BA6BA3">
        <w:t>17,</w:t>
      </w:r>
      <w:r w:rsidR="00D55B49">
        <w:t xml:space="preserve"> 202</w:t>
      </w:r>
      <w:r w:rsidR="00BA6BA3">
        <w:t>3</w:t>
      </w:r>
      <w:r w:rsidR="000C4682">
        <w:t xml:space="preserve">, </w:t>
      </w:r>
      <w:r>
        <w:t xml:space="preserve">a 60-day notice for public comment was published in the </w:t>
      </w:r>
      <w:r>
        <w:rPr>
          <w:i/>
          <w:iCs/>
        </w:rPr>
        <w:t>Federal Register</w:t>
      </w:r>
      <w:r>
        <w:t>.</w:t>
      </w:r>
      <w:r w:rsidR="001E0CD2">
        <w:t xml:space="preserve"> The Agency received 0 comments in response to the 60-day notice publish</w:t>
      </w:r>
      <w:r w:rsidR="00D55B49">
        <w:t>ed in Federal Register Volume 8</w:t>
      </w:r>
      <w:r w:rsidR="00BA6BA3">
        <w:t>8</w:t>
      </w:r>
      <w:r w:rsidR="00D55B49">
        <w:t xml:space="preserve">, April </w:t>
      </w:r>
      <w:r w:rsidR="00BA6BA3">
        <w:t>17</w:t>
      </w:r>
      <w:r w:rsidR="00D55B49">
        <w:t xml:space="preserve">, </w:t>
      </w:r>
      <w:r w:rsidR="00D55B49">
        <w:t>202</w:t>
      </w:r>
      <w:r w:rsidR="00BA6BA3">
        <w:t>3</w:t>
      </w:r>
      <w:r w:rsidR="00D55B49">
        <w:t>;</w:t>
      </w:r>
      <w:r w:rsidR="00D55B49">
        <w:t xml:space="preserve"> Page</w:t>
      </w:r>
      <w:r w:rsidR="00BA6BA3">
        <w:t xml:space="preserve"> 23445</w:t>
      </w:r>
      <w:r w:rsidR="001E0CD2">
        <w:t>.</w:t>
      </w:r>
    </w:p>
    <w:p w:rsidR="0002104D" w:rsidP="0002104D" w14:paraId="6831ECD1" w14:textId="77777777"/>
    <w:p w:rsidR="0002104D" w:rsidP="00790897" w14:paraId="5E56ECC9" w14:textId="77777777">
      <w:pPr>
        <w:pStyle w:val="ListParagraph"/>
        <w:numPr>
          <w:ilvl w:val="0"/>
          <w:numId w:val="33"/>
        </w:numPr>
        <w:tabs>
          <w:tab w:val="left" w:pos="360"/>
        </w:tabs>
        <w:ind w:left="0" w:firstLine="0"/>
        <w:contextualSpacing w:val="0"/>
        <w:rPr>
          <w:b/>
          <w:bCs/>
        </w:rPr>
      </w:pPr>
      <w:r>
        <w:rPr>
          <w:b/>
          <w:bCs/>
        </w:rPr>
        <w:t>Payment or Gift</w:t>
      </w:r>
    </w:p>
    <w:p w:rsidR="0002104D" w:rsidP="0002104D" w14:paraId="47C6B336" w14:textId="77777777"/>
    <w:p w:rsidR="00D45940" w:rsidP="00D45940" w14:paraId="2CD5F071" w14:textId="2C3A25CE">
      <w:r>
        <w:t xml:space="preserve">It is standard practice in commercial market research to offer recruited respondents some form of remuneration for the time they spend engaged in a research activity.  Instances for offering a small incentive will be determined on a case-by-case basis (depending on the </w:t>
      </w:r>
      <w:r>
        <w:t>particular information</w:t>
      </w:r>
      <w:r>
        <w:t xml:space="preserve"> collection design).  Small amounts of money may be offered as an incentive for self-administered surveys. </w:t>
      </w:r>
      <w:r w:rsidRPr="004D3E3E">
        <w:t>Incentive amounts for information collections submitted under this generic will typically not exceed $40 for</w:t>
      </w:r>
      <w:r>
        <w:t xml:space="preserve"> </w:t>
      </w:r>
      <w:r w:rsidR="0055201F">
        <w:t xml:space="preserve">30 </w:t>
      </w:r>
      <w:r>
        <w:t>minute</w:t>
      </w:r>
      <w:r w:rsidRPr="004D3E3E">
        <w:t xml:space="preserve"> in-person surveys involving populations that are difficult to recruit online.</w:t>
      </w:r>
      <w:r>
        <w:t xml:space="preserve">  For any collections involving provision of incentives to participants, the </w:t>
      </w:r>
      <w:r>
        <w:t>GenIC</w:t>
      </w:r>
      <w:r>
        <w:t xml:space="preserve"> will provide additional justifications in the request for clearance of these specific activities.</w:t>
      </w:r>
    </w:p>
    <w:p w:rsidR="00945A74" w:rsidP="0002104D" w14:paraId="131FBF70" w14:textId="77777777"/>
    <w:p w:rsidR="0002104D" w:rsidP="00790897" w14:paraId="43FFF830" w14:textId="77777777">
      <w:pPr>
        <w:pStyle w:val="ListParagraph"/>
        <w:numPr>
          <w:ilvl w:val="0"/>
          <w:numId w:val="33"/>
        </w:numPr>
        <w:ind w:left="0" w:firstLine="0"/>
        <w:contextualSpacing w:val="0"/>
        <w:rPr>
          <w:b/>
          <w:bCs/>
        </w:rPr>
      </w:pPr>
      <w:r>
        <w:rPr>
          <w:b/>
          <w:bCs/>
        </w:rPr>
        <w:t xml:space="preserve"> Confidentiality </w:t>
      </w:r>
    </w:p>
    <w:p w:rsidR="0002104D" w:rsidP="0002104D" w14:paraId="4DE134BC" w14:textId="77777777"/>
    <w:p w:rsidR="0002104D" w:rsidP="0002104D" w14:paraId="53B0EE55" w14:textId="77777777">
      <w:r w:rsidRPr="00E77B9E">
        <w:t xml:space="preserve">All participants will be informed at the beginning of the </w:t>
      </w:r>
      <w:r>
        <w:t xml:space="preserve">survey </w:t>
      </w:r>
      <w:r w:rsidRPr="00E77B9E">
        <w:t xml:space="preserve">that their responses will be treated in a </w:t>
      </w:r>
      <w:r>
        <w:t>secure</w:t>
      </w:r>
      <w:r w:rsidRPr="00E77B9E">
        <w:t xml:space="preserve"> manner, that all data will be safeguarded closely, and that no individual identifiers </w:t>
      </w:r>
      <w:r>
        <w:t>are planned to</w:t>
      </w:r>
      <w:r w:rsidRPr="00E77B9E">
        <w:t xml:space="preserve"> be used in survey reports.</w:t>
      </w:r>
    </w:p>
    <w:p w:rsidR="00D45940" w:rsidP="0002104D" w14:paraId="45B40B25" w14:textId="77777777"/>
    <w:p w:rsidR="00D45940" w:rsidP="0002104D" w14:paraId="271C633C" w14:textId="4DC9209C">
      <w:r>
        <w:t xml:space="preserve">If </w:t>
      </w:r>
      <w:r w:rsidR="00CF3688">
        <w:t>personally</w:t>
      </w:r>
      <w:r>
        <w:t xml:space="preserve"> identifiable information (PII) is collected in a survey, the Agency will consult appropriate HHS Privacy Officials to confirm that applicable privacy and security laws are satisfied (</w:t>
      </w:r>
      <w:r>
        <w:t>e.g</w:t>
      </w:r>
      <w:r>
        <w:t>, Privacy Act)</w:t>
      </w:r>
      <w:r w:rsidR="006134A0">
        <w:t xml:space="preserve"> and include a justification for the need and use of the PII in the submission package</w:t>
      </w:r>
      <w:r>
        <w:t xml:space="preserve">.  If necessary, the </w:t>
      </w:r>
      <w:r>
        <w:t>GenIC</w:t>
      </w:r>
      <w:r>
        <w:t xml:space="preserve"> will include the appropriate System of Records Notice and Privacy Impact Assessment in the submission package to OMB.</w:t>
      </w:r>
    </w:p>
    <w:p w:rsidR="0002104D" w:rsidP="0002104D" w14:paraId="0717B1A4" w14:textId="77777777"/>
    <w:p w:rsidR="00790897" w:rsidRPr="00B61CBF" w:rsidP="00790897" w14:paraId="0B0F5E51" w14:textId="010E941C">
      <w:pPr>
        <w:pStyle w:val="ListParagraph"/>
        <w:numPr>
          <w:ilvl w:val="0"/>
          <w:numId w:val="33"/>
        </w:numPr>
        <w:ind w:left="0" w:firstLine="0"/>
        <w:contextualSpacing w:val="0"/>
        <w:rPr>
          <w:b/>
          <w:bCs/>
        </w:rPr>
      </w:pPr>
      <w:r>
        <w:rPr>
          <w:b/>
          <w:bCs/>
        </w:rPr>
        <w:t xml:space="preserve">Sensitive </w:t>
      </w:r>
      <w:r w:rsidR="00D35510">
        <w:rPr>
          <w:b/>
          <w:bCs/>
        </w:rPr>
        <w:t xml:space="preserve">Nature </w:t>
      </w:r>
      <w:r w:rsidR="00AC0C60">
        <w:rPr>
          <w:b/>
          <w:bCs/>
        </w:rPr>
        <w:t>- No</w:t>
      </w:r>
      <w:r>
        <w:t xml:space="preserve"> questions will be asked that are of a personal or sensitive nature.</w:t>
      </w:r>
      <w:bookmarkStart w:id="3" w:name="_Toc239649234"/>
    </w:p>
    <w:p w:rsidR="00790897" w:rsidP="00790897" w14:paraId="67A202F8" w14:textId="77777777"/>
    <w:p w:rsidR="00945A74" w:rsidRPr="00945A74" w:rsidP="00945A74" w14:paraId="4D58D11D" w14:textId="77777777">
      <w:pPr>
        <w:pStyle w:val="ListParagraph"/>
        <w:numPr>
          <w:ilvl w:val="0"/>
          <w:numId w:val="33"/>
        </w:numPr>
        <w:ind w:left="450" w:hanging="450"/>
      </w:pPr>
      <w:r w:rsidRPr="005012C5">
        <w:rPr>
          <w:b/>
          <w:bCs/>
        </w:rPr>
        <w:t>Estimated Burden of Information Collection</w:t>
      </w:r>
      <w:r w:rsidRPr="005012C5" w:rsidR="005012C5">
        <w:rPr>
          <w:b/>
          <w:bCs/>
        </w:rPr>
        <w:t xml:space="preserve"> </w:t>
      </w:r>
    </w:p>
    <w:p w:rsidR="00945A74" w:rsidP="00945A74" w14:paraId="635B2A63" w14:textId="77777777"/>
    <w:p w:rsidR="00B150AB" w:rsidP="00B150AB" w14:paraId="3B760489" w14:textId="77777777">
      <w:r w:rsidRPr="00B150AB">
        <w:rPr>
          <w:color w:val="000000"/>
        </w:rPr>
        <w:t>A variety of collection types will be used to gather information from respondents</w:t>
      </w:r>
      <w:r>
        <w:rPr>
          <w:color w:val="000000"/>
        </w:rPr>
        <w:t xml:space="preserve"> that include, but are not limited to the following:</w:t>
      </w:r>
    </w:p>
    <w:p w:rsidR="00B150AB" w:rsidP="00B150AB" w14:paraId="3998DD2D" w14:textId="77777777">
      <w:pPr>
        <w:pStyle w:val="ListParagraph"/>
        <w:numPr>
          <w:ilvl w:val="0"/>
          <w:numId w:val="19"/>
        </w:numPr>
        <w:contextualSpacing w:val="0"/>
      </w:pPr>
      <w:r>
        <w:t>Customer comment cards/complaint forms</w:t>
      </w:r>
    </w:p>
    <w:p w:rsidR="00B150AB" w:rsidP="00B150AB" w14:paraId="3869E648" w14:textId="77777777">
      <w:pPr>
        <w:pStyle w:val="ListParagraph"/>
        <w:numPr>
          <w:ilvl w:val="0"/>
          <w:numId w:val="19"/>
        </w:numPr>
        <w:contextualSpacing w:val="0"/>
      </w:pPr>
      <w:r>
        <w:t>Small discussion groups</w:t>
      </w:r>
    </w:p>
    <w:p w:rsidR="00B150AB" w:rsidP="00B150AB" w14:paraId="51B43750" w14:textId="37F4D32B">
      <w:pPr>
        <w:pStyle w:val="ListParagraph"/>
        <w:numPr>
          <w:ilvl w:val="0"/>
          <w:numId w:val="19"/>
        </w:numPr>
        <w:contextualSpacing w:val="0"/>
      </w:pPr>
      <w:r>
        <w:t xml:space="preserve">Focus </w:t>
      </w:r>
      <w:r w:rsidR="00CF3688">
        <w:t xml:space="preserve">groups </w:t>
      </w:r>
      <w:r>
        <w:t>of customers, potential customers, delivery partners, or other stakeholders</w:t>
      </w:r>
    </w:p>
    <w:p w:rsidR="00B150AB" w:rsidP="00B150AB" w14:paraId="09BAEC21" w14:textId="77777777">
      <w:pPr>
        <w:pStyle w:val="ListParagraph"/>
        <w:numPr>
          <w:ilvl w:val="0"/>
          <w:numId w:val="19"/>
        </w:numPr>
        <w:contextualSpacing w:val="0"/>
      </w:pPr>
      <w:r>
        <w:t xml:space="preserve">Cognitive laboratory studies, such as those used to refine questions or assess usability of a </w:t>
      </w:r>
      <w:r>
        <w:t>communication;</w:t>
      </w:r>
    </w:p>
    <w:p w:rsidR="00B150AB" w:rsidP="00B150AB" w14:paraId="63016F53" w14:textId="77777777">
      <w:pPr>
        <w:pStyle w:val="ListParagraph"/>
        <w:numPr>
          <w:ilvl w:val="0"/>
          <w:numId w:val="19"/>
        </w:numPr>
        <w:contextualSpacing w:val="0"/>
      </w:pPr>
      <w:r>
        <w:t>Qualitative customer satisfaction surveys (e.g., post-transaction surveys; web surveys)</w:t>
      </w:r>
    </w:p>
    <w:p w:rsidR="00B150AB" w:rsidP="00B150AB" w14:paraId="4918ABFA" w14:textId="77777777">
      <w:pPr>
        <w:pStyle w:val="ListParagraph"/>
        <w:numPr>
          <w:ilvl w:val="0"/>
          <w:numId w:val="19"/>
        </w:numPr>
        <w:contextualSpacing w:val="0"/>
      </w:pPr>
      <w:r>
        <w:t>In-person observation testing (e.g., campaign usability tests)</w:t>
      </w:r>
    </w:p>
    <w:p w:rsidR="00B150AB" w:rsidP="00B150AB" w14:paraId="528A7414" w14:textId="77777777">
      <w:pPr>
        <w:pStyle w:val="ListParagraph"/>
        <w:numPr>
          <w:ilvl w:val="0"/>
          <w:numId w:val="19"/>
        </w:numPr>
        <w:contextualSpacing w:val="0"/>
      </w:pPr>
      <w:r>
        <w:t>Telephone interviews</w:t>
      </w:r>
    </w:p>
    <w:p w:rsidR="00B150AB" w:rsidP="00B150AB" w14:paraId="24941070" w14:textId="6A2F4B71">
      <w:pPr>
        <w:pStyle w:val="ListParagraph"/>
        <w:numPr>
          <w:ilvl w:val="0"/>
          <w:numId w:val="19"/>
        </w:numPr>
        <w:contextualSpacing w:val="0"/>
      </w:pPr>
      <w:r>
        <w:t>Social media or web-based polls (e.g.</w:t>
      </w:r>
      <w:r w:rsidR="00CF3688">
        <w:t>,</w:t>
      </w:r>
      <w:r>
        <w:t xml:space="preserve"> Foresee, SurveyMonkey, Facebook polls)</w:t>
      </w:r>
    </w:p>
    <w:p w:rsidR="00B150AB" w:rsidP="00945A74" w14:paraId="5F47651D"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9"/>
        <w:gridCol w:w="1876"/>
        <w:gridCol w:w="1863"/>
        <w:gridCol w:w="1097"/>
        <w:gridCol w:w="2086"/>
      </w:tblGrid>
      <w:tr w14:paraId="1DAE523F" w14:textId="77777777" w:rsidTr="008839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56"/>
        </w:trPr>
        <w:tc>
          <w:tcPr>
            <w:tcW w:w="1325" w:type="dxa"/>
            <w:shd w:val="clear" w:color="auto" w:fill="auto"/>
          </w:tcPr>
          <w:p w:rsidR="0088395B" w:rsidRPr="004732BA" w:rsidP="00322ED4" w14:paraId="50FEEDD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p>
          <w:p w:rsidR="0088395B" w:rsidRPr="004732BA" w:rsidP="00322ED4" w14:paraId="5EF8197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4732BA">
              <w:rPr>
                <w:b/>
                <w:sz w:val="22"/>
                <w:szCs w:val="22"/>
              </w:rPr>
              <w:t>Survey Type</w:t>
            </w:r>
          </w:p>
        </w:tc>
        <w:tc>
          <w:tcPr>
            <w:tcW w:w="1876" w:type="dxa"/>
            <w:shd w:val="clear" w:color="auto" w:fill="auto"/>
            <w:vAlign w:val="center"/>
          </w:tcPr>
          <w:p w:rsidR="0088395B" w:rsidRPr="004732BA" w:rsidP="00322ED4" w14:paraId="6EF4DBF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4732BA">
              <w:rPr>
                <w:b/>
                <w:sz w:val="22"/>
                <w:szCs w:val="22"/>
              </w:rPr>
              <w:t>Number of Respondents</w:t>
            </w:r>
          </w:p>
        </w:tc>
        <w:tc>
          <w:tcPr>
            <w:tcW w:w="1863" w:type="dxa"/>
          </w:tcPr>
          <w:p w:rsidR="0088395B" w:rsidRPr="004732BA" w:rsidP="0088395B" w14:paraId="42A688D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4732BA">
              <w:rPr>
                <w:b/>
                <w:bCs/>
                <w:sz w:val="22"/>
                <w:szCs w:val="22"/>
              </w:rPr>
              <w:t xml:space="preserve">Total </w:t>
            </w:r>
            <w:r>
              <w:rPr>
                <w:b/>
                <w:bCs/>
                <w:sz w:val="22"/>
                <w:szCs w:val="22"/>
              </w:rPr>
              <w:t>Frequency per</w:t>
            </w:r>
            <w:r w:rsidRPr="004732BA">
              <w:rPr>
                <w:b/>
                <w:bCs/>
                <w:sz w:val="22"/>
                <w:szCs w:val="22"/>
              </w:rPr>
              <w:t xml:space="preserve"> Response</w:t>
            </w:r>
          </w:p>
        </w:tc>
        <w:tc>
          <w:tcPr>
            <w:tcW w:w="1097" w:type="dxa"/>
            <w:shd w:val="clear" w:color="auto" w:fill="auto"/>
            <w:vAlign w:val="center"/>
          </w:tcPr>
          <w:p w:rsidR="0088395B" w:rsidRPr="004732BA" w:rsidP="00322ED4" w14:paraId="09DD57B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Pr>
                <w:b/>
                <w:bCs/>
                <w:sz w:val="22"/>
                <w:szCs w:val="22"/>
              </w:rPr>
              <w:t>Hours</w:t>
            </w:r>
            <w:r w:rsidRPr="004732BA">
              <w:rPr>
                <w:b/>
                <w:bCs/>
                <w:sz w:val="22"/>
                <w:szCs w:val="22"/>
              </w:rPr>
              <w:t xml:space="preserve"> per Response</w:t>
            </w:r>
          </w:p>
        </w:tc>
        <w:tc>
          <w:tcPr>
            <w:tcW w:w="2086" w:type="dxa"/>
            <w:shd w:val="clear" w:color="auto" w:fill="auto"/>
            <w:vAlign w:val="center"/>
          </w:tcPr>
          <w:p w:rsidR="0088395B" w:rsidRPr="004732BA" w:rsidP="00322ED4" w14:paraId="0B7B8BC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4732BA">
              <w:rPr>
                <w:b/>
                <w:sz w:val="22"/>
                <w:szCs w:val="22"/>
              </w:rPr>
              <w:t>Total Hours</w:t>
            </w:r>
          </w:p>
        </w:tc>
      </w:tr>
      <w:tr w14:paraId="6A6782F9" w14:textId="77777777" w:rsidTr="0088395B">
        <w:tblPrEx>
          <w:tblW w:w="0" w:type="auto"/>
          <w:tblLook w:val="01E0"/>
        </w:tblPrEx>
        <w:trPr>
          <w:trHeight w:val="61"/>
        </w:trPr>
        <w:tc>
          <w:tcPr>
            <w:tcW w:w="1325" w:type="dxa"/>
            <w:shd w:val="clear" w:color="auto" w:fill="auto"/>
          </w:tcPr>
          <w:p w:rsidR="0088395B" w:rsidRPr="004732BA" w:rsidP="00322ED4" w14:paraId="4396058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Customer Feedback/Satisfaction Survey</w:t>
            </w:r>
          </w:p>
        </w:tc>
        <w:tc>
          <w:tcPr>
            <w:tcW w:w="1876" w:type="dxa"/>
            <w:shd w:val="clear" w:color="auto" w:fill="auto"/>
          </w:tcPr>
          <w:p w:rsidR="0088395B" w:rsidRPr="004732BA" w:rsidP="00964ED5" w14:paraId="6D5E6F7E" w14:textId="5C605D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30,000</w:t>
            </w:r>
          </w:p>
        </w:tc>
        <w:tc>
          <w:tcPr>
            <w:tcW w:w="1863" w:type="dxa"/>
          </w:tcPr>
          <w:p w:rsidR="0088395B" w:rsidRPr="004732BA" w:rsidP="00322ED4" w14:paraId="5AE82D1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w:t>
            </w:r>
          </w:p>
        </w:tc>
        <w:tc>
          <w:tcPr>
            <w:tcW w:w="1097" w:type="dxa"/>
            <w:shd w:val="clear" w:color="auto" w:fill="auto"/>
          </w:tcPr>
          <w:p w:rsidR="0088395B" w:rsidRPr="004732BA" w:rsidP="00322ED4" w14:paraId="18175A3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30/60</w:t>
            </w:r>
          </w:p>
        </w:tc>
        <w:tc>
          <w:tcPr>
            <w:tcW w:w="2086" w:type="dxa"/>
            <w:shd w:val="clear" w:color="auto" w:fill="auto"/>
          </w:tcPr>
          <w:p w:rsidR="0088395B" w:rsidRPr="00AF1E23" w:rsidP="00322ED4" w14:paraId="52ED0862" w14:textId="65BD1A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15,000</w:t>
            </w:r>
          </w:p>
        </w:tc>
      </w:tr>
    </w:tbl>
    <w:p w:rsidR="009B7290" w:rsidRPr="009B7290" w:rsidP="005012C5" w14:paraId="6478D602" w14:textId="77777777"/>
    <w:p w:rsidR="0094671C" w:rsidRPr="00790897" w:rsidP="009B7290" w14:paraId="0AB70A42" w14:textId="77777777">
      <w:pPr>
        <w:ind w:left="720" w:hanging="720"/>
      </w:pPr>
      <w:r w:rsidRPr="009B7290">
        <w:rPr>
          <w:b/>
          <w:bCs/>
        </w:rPr>
        <w:t xml:space="preserve">13.  </w:t>
      </w:r>
      <w:r w:rsidRPr="009B7290">
        <w:rPr>
          <w:b/>
          <w:bCs/>
          <w:u w:val="single"/>
        </w:rPr>
        <w:t xml:space="preserve">Cost Burden to Respondents </w:t>
      </w:r>
      <w:bookmarkEnd w:id="3"/>
    </w:p>
    <w:p w:rsidR="00AB2E4F" w:rsidP="0094671C" w14:paraId="2B113F4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bookmarkStart w:id="4" w:name="_Toc239649235"/>
    </w:p>
    <w:p w:rsidR="0094671C" w:rsidP="0094671C" w14:paraId="4FB61EB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
        <w:t>No costs are anticipated</w:t>
      </w:r>
    </w:p>
    <w:p w:rsidR="0094671C" w:rsidP="0094671C" w14:paraId="18C5906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p>
    <w:p w:rsidR="0094671C" w:rsidRPr="002051D8" w:rsidP="0094671C" w14:paraId="6E426AA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r w:rsidRPr="002051D8">
        <w:rPr>
          <w:b/>
          <w:bCs/>
        </w:rPr>
        <w:t xml:space="preserve">14.  </w:t>
      </w:r>
      <w:r w:rsidRPr="002051D8">
        <w:rPr>
          <w:b/>
          <w:bCs/>
          <w:u w:val="single"/>
        </w:rPr>
        <w:t>Annualized Cost to the Federal Government</w:t>
      </w:r>
      <w:bookmarkEnd w:id="4"/>
    </w:p>
    <w:p w:rsidR="0094671C" w:rsidRPr="002051D8" w:rsidP="0094671C" w14:paraId="0503813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671C" w:rsidRPr="002051D8" w:rsidP="0094671C" w14:paraId="727FB82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A0239" w:rsidP="001A0239" w14:paraId="28C9507E" w14:textId="7564BDD4">
      <w:pPr>
        <w:pStyle w:val="ListParagraph"/>
        <w:ind w:left="0"/>
      </w:pPr>
      <w:r>
        <w:t xml:space="preserve">The estimated anticipated cost to the Federal Government is approximately </w:t>
      </w:r>
      <w:r w:rsidRPr="00AE35D7">
        <w:t>$</w:t>
      </w:r>
      <w:r w:rsidRPr="00AE35D7" w:rsidR="001803AD">
        <w:t>383,400</w:t>
      </w:r>
      <w:r>
        <w:t xml:space="preserve"> annually</w:t>
      </w:r>
      <w:r w:rsidR="00E624D4">
        <w:t xml:space="preserve">. </w:t>
      </w:r>
      <w:r>
        <w:t xml:space="preserve">These costs are comprised </w:t>
      </w:r>
      <w:r w:rsidR="00AC0C60">
        <w:t>of</w:t>
      </w:r>
      <w:r>
        <w:t xml:space="preserve"> instrument preparation, </w:t>
      </w:r>
      <w:r>
        <w:t>implementation</w:t>
      </w:r>
      <w:r>
        <w:t xml:space="preserve"> and analysis; survey preparation, conduction and analysis; and manager survey review</w:t>
      </w:r>
      <w:r w:rsidR="00AF277E">
        <w:t>, and incentives</w:t>
      </w:r>
      <w:r>
        <w:t>.</w:t>
      </w:r>
    </w:p>
    <w:p w:rsidR="001A0239" w:rsidP="001A0239" w14:paraId="4E21C9D0" w14:textId="77777777">
      <w:pPr>
        <w:pStyle w:val="ListParagraph"/>
        <w:ind w:left="0"/>
      </w:pPr>
    </w:p>
    <w:p w:rsidR="001A0239" w:rsidP="001A0239" w14:paraId="01481AD1" w14:textId="7D89C3F8">
      <w:r>
        <w:t xml:space="preserve">Surveys will be prepared/conducted by contractors or Federal staff (FTE). An FTE manager will review all surveys. Project teams will vary across HHS but typically an FTE and contractor will work together on survey preparations, coding the surveys electronically, conducting the surveys, and analyzing of data. Additionally, a senior-level FTE will typically review and approve the activities. The amount of time </w:t>
      </w:r>
      <w:r w:rsidR="00191DCA">
        <w:t xml:space="preserve">Federal </w:t>
      </w:r>
      <w:r>
        <w:t xml:space="preserve">staff and contractors spend on surveys will vary depending on the number of participants for each survey, the number of questions, and the site being </w:t>
      </w:r>
      <w:r w:rsidR="00191DCA">
        <w:t>surveyed. An average number of 2</w:t>
      </w:r>
      <w:r>
        <w:t xml:space="preserve">00 </w:t>
      </w:r>
      <w:r w:rsidR="00191DCA">
        <w:t xml:space="preserve">communication products will be surveyed </w:t>
      </w:r>
      <w:r>
        <w:t xml:space="preserve">a year </w:t>
      </w:r>
      <w:r w:rsidR="00191DCA">
        <w:t>are assumed for estimation purposes (assuming up to 3 surveys per communication product) equals an estimated total of 600 surveys per year</w:t>
      </w:r>
      <w:r w:rsidR="007C16CE">
        <w:t xml:space="preserve">, </w:t>
      </w:r>
      <w:r w:rsidR="007C16CE">
        <w:rPr>
          <w:rStyle w:val="CommentReference"/>
        </w:rPr>
        <w:t>600 surveys a year would mean 18</w:t>
      </w:r>
      <w:r w:rsidR="003A41F3">
        <w:rPr>
          <w:rStyle w:val="CommentReference"/>
        </w:rPr>
        <w:t>00</w:t>
      </w:r>
      <w:r w:rsidR="00CB22E7">
        <w:rPr>
          <w:rStyle w:val="CommentReference"/>
        </w:rPr>
        <w:t xml:space="preserve"> </w:t>
      </w:r>
      <w:r w:rsidR="007C16CE">
        <w:rPr>
          <w:rStyle w:val="CommentReference"/>
        </w:rPr>
        <w:t xml:space="preserve">surveys over the 3-year approval and about </w:t>
      </w:r>
      <w:r w:rsidRPr="00484BBE" w:rsidR="007C16CE">
        <w:rPr>
          <w:rStyle w:val="CommentReference"/>
        </w:rPr>
        <w:t>5,55</w:t>
      </w:r>
      <w:r w:rsidR="007C16CE">
        <w:rPr>
          <w:rStyle w:val="CommentReference"/>
        </w:rPr>
        <w:t xml:space="preserve">6 respondents per survey. </w:t>
      </w:r>
      <w:r>
        <w:t>Overall time spent by Agency staff and contractors is lessened as this package provides tasks and questions to be used in the survey; thus, reducing time staff normally would have spent developing these questions.</w:t>
      </w:r>
    </w:p>
    <w:p w:rsidR="0094671C" w14:paraId="463966C4" w14:textId="77777777">
      <w:pPr>
        <w:rPr>
          <w:color w:val="000000"/>
        </w:rPr>
      </w:pPr>
    </w:p>
    <w:tbl>
      <w:tblPr>
        <w:tblW w:w="9000" w:type="dxa"/>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4860"/>
        <w:gridCol w:w="1260"/>
        <w:gridCol w:w="1620"/>
        <w:gridCol w:w="1260"/>
      </w:tblGrid>
      <w:tr w14:paraId="132F0D4E" w14:textId="77777777" w:rsidTr="001A0239">
        <w:tblPrEx>
          <w:tblW w:w="9000" w:type="dxa"/>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Ex>
        <w:trPr>
          <w:trHeight w:val="240"/>
        </w:trPr>
        <w:tc>
          <w:tcPr>
            <w:tcW w:w="4860" w:type="dxa"/>
            <w:tcBorders>
              <w:top w:val="single" w:sz="8" w:space="0" w:color="4F81BD"/>
              <w:left w:val="single" w:sz="8" w:space="0" w:color="4F81BD"/>
              <w:bottom w:val="single" w:sz="8" w:space="0" w:color="4F81BD"/>
              <w:right w:val="single" w:sz="8" w:space="0" w:color="4F81BD"/>
            </w:tcBorders>
            <w:shd w:val="clear" w:color="auto" w:fill="4F81BD"/>
            <w:vAlign w:val="center"/>
            <w:hideMark/>
          </w:tcPr>
          <w:p w:rsidR="001A0239" w14:paraId="232858CE" w14:textId="77777777">
            <w:pPr>
              <w:pStyle w:val="NoSpacing"/>
            </w:pPr>
            <w:r>
              <w:t>Staff or Contractor</w:t>
            </w:r>
          </w:p>
        </w:tc>
        <w:tc>
          <w:tcPr>
            <w:tcW w:w="1260" w:type="dxa"/>
            <w:tcBorders>
              <w:top w:val="single" w:sz="8" w:space="0" w:color="4F81BD"/>
              <w:left w:val="single" w:sz="8" w:space="0" w:color="4F81BD"/>
              <w:bottom w:val="single" w:sz="8" w:space="0" w:color="4F81BD"/>
              <w:right w:val="single" w:sz="8" w:space="0" w:color="4F81BD"/>
            </w:tcBorders>
            <w:shd w:val="clear" w:color="auto" w:fill="4F81BD"/>
            <w:vAlign w:val="center"/>
            <w:hideMark/>
          </w:tcPr>
          <w:p w:rsidR="001A0239" w14:paraId="5DE38F7B" w14:textId="77777777">
            <w:pPr>
              <w:pStyle w:val="NoSpacing"/>
            </w:pPr>
            <w:r>
              <w:t>Average Hours per Study</w:t>
            </w:r>
          </w:p>
        </w:tc>
        <w:tc>
          <w:tcPr>
            <w:tcW w:w="1620" w:type="dxa"/>
            <w:tcBorders>
              <w:top w:val="single" w:sz="8" w:space="0" w:color="4F81BD"/>
              <w:left w:val="single" w:sz="8" w:space="0" w:color="4F81BD"/>
              <w:bottom w:val="single" w:sz="8" w:space="0" w:color="4F81BD"/>
              <w:right w:val="single" w:sz="8" w:space="0" w:color="4F81BD"/>
            </w:tcBorders>
            <w:shd w:val="clear" w:color="auto" w:fill="4F81BD"/>
            <w:vAlign w:val="center"/>
            <w:hideMark/>
          </w:tcPr>
          <w:p w:rsidR="001A0239" w14:paraId="7E0447CF" w14:textId="77777777">
            <w:pPr>
              <w:pStyle w:val="NoSpacing"/>
            </w:pPr>
            <w:r>
              <w:t>Average Hourly Rate</w:t>
            </w:r>
          </w:p>
        </w:tc>
        <w:tc>
          <w:tcPr>
            <w:tcW w:w="1260" w:type="dxa"/>
            <w:tcBorders>
              <w:top w:val="single" w:sz="8" w:space="0" w:color="4F81BD"/>
              <w:left w:val="single" w:sz="8" w:space="0" w:color="4F81BD"/>
              <w:bottom w:val="single" w:sz="8" w:space="0" w:color="4F81BD"/>
              <w:right w:val="single" w:sz="8" w:space="0" w:color="4F81BD"/>
            </w:tcBorders>
            <w:shd w:val="clear" w:color="auto" w:fill="4F81BD"/>
            <w:vAlign w:val="center"/>
            <w:hideMark/>
          </w:tcPr>
          <w:p w:rsidR="001A0239" w14:paraId="0543C025" w14:textId="77777777">
            <w:pPr>
              <w:pStyle w:val="NoSpacing"/>
            </w:pPr>
            <w:r>
              <w:t>Average Cost</w:t>
            </w:r>
          </w:p>
        </w:tc>
      </w:tr>
      <w:tr w14:paraId="5E7EB699" w14:textId="77777777" w:rsidTr="001A0239">
        <w:tblPrEx>
          <w:tblW w:w="9000" w:type="dxa"/>
          <w:tblInd w:w="-106" w:type="dxa"/>
          <w:tblLook w:val="04A0"/>
        </w:tblPrEx>
        <w:trPr>
          <w:trHeight w:val="240"/>
        </w:trPr>
        <w:tc>
          <w:tcPr>
            <w:tcW w:w="4860" w:type="dxa"/>
            <w:tcBorders>
              <w:top w:val="single" w:sz="8" w:space="0" w:color="4F81BD"/>
              <w:left w:val="single" w:sz="8" w:space="0" w:color="4F81BD"/>
              <w:bottom w:val="single" w:sz="8" w:space="0" w:color="4F81BD"/>
              <w:right w:val="single" w:sz="8" w:space="0" w:color="4F81BD"/>
            </w:tcBorders>
            <w:hideMark/>
          </w:tcPr>
          <w:p w:rsidR="001A0239" w:rsidRPr="00C70CB5" w14:paraId="0F1E3637" w14:textId="77777777">
            <w:pPr>
              <w:pStyle w:val="NoSpacing"/>
            </w:pPr>
            <w:r w:rsidRPr="00C70CB5">
              <w:t>Contractor instrument preparati</w:t>
            </w:r>
            <w:r w:rsidRPr="00C70CB5" w:rsidR="00191DCA">
              <w:t>on, conduction, analysis (</w:t>
            </w:r>
            <w:r w:rsidRPr="00C70CB5">
              <w:t>GS-13 equivalent)</w:t>
            </w:r>
          </w:p>
        </w:tc>
        <w:tc>
          <w:tcPr>
            <w:tcW w:w="1260" w:type="dxa"/>
            <w:tcBorders>
              <w:top w:val="single" w:sz="8" w:space="0" w:color="4F81BD"/>
              <w:left w:val="single" w:sz="8" w:space="0" w:color="4F81BD"/>
              <w:bottom w:val="single" w:sz="8" w:space="0" w:color="4F81BD"/>
              <w:right w:val="single" w:sz="8" w:space="0" w:color="4F81BD"/>
            </w:tcBorders>
            <w:hideMark/>
          </w:tcPr>
          <w:p w:rsidR="001A0239" w:rsidRPr="00C70CB5" w14:paraId="15129D65" w14:textId="77777777">
            <w:pPr>
              <w:pStyle w:val="NoSpacing"/>
              <w:jc w:val="right"/>
            </w:pPr>
            <w:r w:rsidRPr="00C70CB5">
              <w:t>3</w:t>
            </w:r>
          </w:p>
        </w:tc>
        <w:tc>
          <w:tcPr>
            <w:tcW w:w="1620" w:type="dxa"/>
            <w:tcBorders>
              <w:top w:val="single" w:sz="8" w:space="0" w:color="4F81BD"/>
              <w:left w:val="single" w:sz="8" w:space="0" w:color="4F81BD"/>
              <w:bottom w:val="single" w:sz="8" w:space="0" w:color="4F81BD"/>
              <w:right w:val="single" w:sz="8" w:space="0" w:color="4F81BD"/>
            </w:tcBorders>
            <w:hideMark/>
          </w:tcPr>
          <w:p w:rsidR="001A0239" w:rsidRPr="00C70CB5" w14:paraId="062CF520" w14:textId="7F01AFBE">
            <w:pPr>
              <w:pStyle w:val="NoSpacing"/>
              <w:jc w:val="right"/>
            </w:pPr>
            <w:r w:rsidRPr="00C70CB5">
              <w:t>$49.00</w:t>
            </w:r>
          </w:p>
        </w:tc>
        <w:tc>
          <w:tcPr>
            <w:tcW w:w="1260" w:type="dxa"/>
            <w:tcBorders>
              <w:top w:val="single" w:sz="8" w:space="0" w:color="4F81BD"/>
              <w:left w:val="single" w:sz="8" w:space="0" w:color="4F81BD"/>
              <w:bottom w:val="single" w:sz="8" w:space="0" w:color="4F81BD"/>
              <w:right w:val="single" w:sz="8" w:space="0" w:color="4F81BD"/>
            </w:tcBorders>
            <w:hideMark/>
          </w:tcPr>
          <w:p w:rsidR="001A0239" w:rsidRPr="00C70CB5" w:rsidP="00191DCA" w14:paraId="05C48068" w14:textId="44360588">
            <w:pPr>
              <w:pStyle w:val="NoSpacing"/>
              <w:jc w:val="right"/>
            </w:pPr>
            <w:r w:rsidRPr="00C70CB5">
              <w:t>$147.00</w:t>
            </w:r>
          </w:p>
        </w:tc>
      </w:tr>
      <w:tr w14:paraId="15EDAB68" w14:textId="77777777" w:rsidTr="001A0239">
        <w:tblPrEx>
          <w:tblW w:w="9000" w:type="dxa"/>
          <w:tblInd w:w="-106" w:type="dxa"/>
          <w:tblLook w:val="04A0"/>
        </w:tblPrEx>
        <w:trPr>
          <w:trHeight w:val="240"/>
        </w:trPr>
        <w:tc>
          <w:tcPr>
            <w:tcW w:w="4860" w:type="dxa"/>
            <w:tcBorders>
              <w:top w:val="single" w:sz="8" w:space="0" w:color="4F81BD"/>
              <w:left w:val="single" w:sz="8" w:space="0" w:color="4F81BD"/>
              <w:bottom w:val="single" w:sz="8" w:space="0" w:color="4F81BD"/>
              <w:right w:val="single" w:sz="8" w:space="0" w:color="4F81BD"/>
            </w:tcBorders>
            <w:hideMark/>
          </w:tcPr>
          <w:p w:rsidR="001A0239" w:rsidRPr="00C70CB5" w14:paraId="3E2FFADA" w14:textId="77777777">
            <w:pPr>
              <w:pStyle w:val="NoSpacing"/>
            </w:pPr>
            <w:r w:rsidRPr="00C70CB5">
              <w:t>FTE survey preparation, conduction, analysis (GS-13)</w:t>
            </w:r>
          </w:p>
        </w:tc>
        <w:tc>
          <w:tcPr>
            <w:tcW w:w="1260" w:type="dxa"/>
            <w:tcBorders>
              <w:top w:val="single" w:sz="8" w:space="0" w:color="4F81BD"/>
              <w:left w:val="single" w:sz="8" w:space="0" w:color="4F81BD"/>
              <w:bottom w:val="single" w:sz="8" w:space="0" w:color="4F81BD"/>
              <w:right w:val="single" w:sz="8" w:space="0" w:color="4F81BD"/>
            </w:tcBorders>
            <w:hideMark/>
          </w:tcPr>
          <w:p w:rsidR="001A0239" w:rsidRPr="00C70CB5" w14:paraId="51B74CEB" w14:textId="77777777">
            <w:pPr>
              <w:pStyle w:val="NoSpacing"/>
              <w:jc w:val="right"/>
            </w:pPr>
            <w:r w:rsidRPr="00C70CB5">
              <w:t>10</w:t>
            </w:r>
          </w:p>
        </w:tc>
        <w:tc>
          <w:tcPr>
            <w:tcW w:w="1620" w:type="dxa"/>
            <w:tcBorders>
              <w:top w:val="single" w:sz="8" w:space="0" w:color="4F81BD"/>
              <w:left w:val="single" w:sz="8" w:space="0" w:color="4F81BD"/>
              <w:bottom w:val="single" w:sz="8" w:space="0" w:color="4F81BD"/>
              <w:right w:val="single" w:sz="8" w:space="0" w:color="4F81BD"/>
            </w:tcBorders>
            <w:hideMark/>
          </w:tcPr>
          <w:p w:rsidR="001A0239" w:rsidRPr="00C70CB5" w14:paraId="000EB768" w14:textId="04C8FDC8">
            <w:pPr>
              <w:pStyle w:val="NoSpacing"/>
              <w:jc w:val="right"/>
            </w:pPr>
            <w:r w:rsidRPr="00C70CB5">
              <w:t>$49.00</w:t>
            </w:r>
          </w:p>
        </w:tc>
        <w:tc>
          <w:tcPr>
            <w:tcW w:w="1260" w:type="dxa"/>
            <w:tcBorders>
              <w:top w:val="single" w:sz="8" w:space="0" w:color="4F81BD"/>
              <w:left w:val="single" w:sz="8" w:space="0" w:color="4F81BD"/>
              <w:bottom w:val="single" w:sz="8" w:space="0" w:color="4F81BD"/>
              <w:right w:val="single" w:sz="8" w:space="0" w:color="4F81BD"/>
            </w:tcBorders>
            <w:hideMark/>
          </w:tcPr>
          <w:p w:rsidR="001A0239" w:rsidRPr="00C70CB5" w:rsidP="00191DCA" w14:paraId="4F9EB0B3" w14:textId="7BF8AB79">
            <w:pPr>
              <w:pStyle w:val="NoSpacing"/>
              <w:jc w:val="right"/>
            </w:pPr>
            <w:r w:rsidRPr="00C70CB5">
              <w:t>$</w:t>
            </w:r>
            <w:r w:rsidRPr="00C70CB5" w:rsidR="00F40CF1">
              <w:t>49</w:t>
            </w:r>
            <w:r w:rsidRPr="00C70CB5" w:rsidR="00191DCA">
              <w:t>0</w:t>
            </w:r>
            <w:r w:rsidRPr="00C70CB5">
              <w:t>.00</w:t>
            </w:r>
          </w:p>
        </w:tc>
      </w:tr>
      <w:tr w14:paraId="3A45079C" w14:textId="77777777" w:rsidTr="001A0239">
        <w:tblPrEx>
          <w:tblW w:w="9000" w:type="dxa"/>
          <w:tblInd w:w="-106" w:type="dxa"/>
          <w:tblLook w:val="04A0"/>
        </w:tblPrEx>
        <w:trPr>
          <w:trHeight w:val="240"/>
        </w:trPr>
        <w:tc>
          <w:tcPr>
            <w:tcW w:w="4860" w:type="dxa"/>
            <w:tcBorders>
              <w:top w:val="single" w:sz="8" w:space="0" w:color="4F81BD"/>
              <w:left w:val="single" w:sz="8" w:space="0" w:color="4F81BD"/>
              <w:bottom w:val="single" w:sz="8" w:space="0" w:color="4F81BD"/>
              <w:right w:val="single" w:sz="8" w:space="0" w:color="4F81BD"/>
            </w:tcBorders>
            <w:hideMark/>
          </w:tcPr>
          <w:p w:rsidR="001A0239" w:rsidRPr="00C70CB5" w14:paraId="59D576DE" w14:textId="77777777">
            <w:pPr>
              <w:pStyle w:val="NoSpacing"/>
            </w:pPr>
            <w:r w:rsidRPr="00C70CB5">
              <w:t>FTE manager survey review (GS-14)</w:t>
            </w:r>
          </w:p>
        </w:tc>
        <w:tc>
          <w:tcPr>
            <w:tcW w:w="1260" w:type="dxa"/>
            <w:tcBorders>
              <w:top w:val="single" w:sz="8" w:space="0" w:color="4F81BD"/>
              <w:left w:val="single" w:sz="8" w:space="0" w:color="4F81BD"/>
              <w:bottom w:val="single" w:sz="8" w:space="0" w:color="4F81BD"/>
              <w:right w:val="single" w:sz="8" w:space="0" w:color="4F81BD"/>
            </w:tcBorders>
            <w:hideMark/>
          </w:tcPr>
          <w:p w:rsidR="001A0239" w:rsidRPr="00C70CB5" w14:paraId="6D3E046D" w14:textId="77777777">
            <w:pPr>
              <w:pStyle w:val="NoSpacing"/>
              <w:jc w:val="right"/>
            </w:pPr>
            <w:r w:rsidRPr="00C70CB5">
              <w:t>1</w:t>
            </w:r>
          </w:p>
        </w:tc>
        <w:tc>
          <w:tcPr>
            <w:tcW w:w="1620" w:type="dxa"/>
            <w:tcBorders>
              <w:top w:val="single" w:sz="8" w:space="0" w:color="4F81BD"/>
              <w:left w:val="single" w:sz="8" w:space="0" w:color="4F81BD"/>
              <w:bottom w:val="single" w:sz="8" w:space="0" w:color="4F81BD"/>
              <w:right w:val="single" w:sz="8" w:space="0" w:color="4F81BD"/>
            </w:tcBorders>
            <w:hideMark/>
          </w:tcPr>
          <w:p w:rsidR="001A0239" w:rsidRPr="00C70CB5" w14:paraId="7F3CCB5F" w14:textId="36535D22">
            <w:pPr>
              <w:pStyle w:val="NoSpacing"/>
              <w:jc w:val="right"/>
            </w:pPr>
            <w:r w:rsidRPr="00C70CB5">
              <w:t>$58.00</w:t>
            </w:r>
          </w:p>
        </w:tc>
        <w:tc>
          <w:tcPr>
            <w:tcW w:w="1260" w:type="dxa"/>
            <w:tcBorders>
              <w:top w:val="single" w:sz="8" w:space="0" w:color="4F81BD"/>
              <w:left w:val="single" w:sz="8" w:space="0" w:color="4F81BD"/>
              <w:bottom w:val="single" w:sz="8" w:space="0" w:color="4F81BD"/>
              <w:right w:val="single" w:sz="8" w:space="0" w:color="4F81BD"/>
            </w:tcBorders>
            <w:hideMark/>
          </w:tcPr>
          <w:p w:rsidR="001A0239" w:rsidRPr="00C70CB5" w:rsidP="00191DCA" w14:paraId="5A52EC6D" w14:textId="3AAF23EB">
            <w:pPr>
              <w:pStyle w:val="NoSpacing"/>
              <w:jc w:val="right"/>
            </w:pPr>
            <w:r w:rsidRPr="00C70CB5">
              <w:t>$</w:t>
            </w:r>
            <w:r w:rsidRPr="00C70CB5" w:rsidR="00F40CF1">
              <w:t>58</w:t>
            </w:r>
            <w:r w:rsidRPr="00C70CB5">
              <w:t>.00</w:t>
            </w:r>
          </w:p>
        </w:tc>
      </w:tr>
      <w:tr w14:paraId="7AA56FE7" w14:textId="77777777" w:rsidTr="001A0239">
        <w:tblPrEx>
          <w:tblW w:w="9000" w:type="dxa"/>
          <w:tblInd w:w="-106" w:type="dxa"/>
          <w:tblLook w:val="04A0"/>
        </w:tblPrEx>
        <w:trPr>
          <w:trHeight w:val="240"/>
        </w:trPr>
        <w:tc>
          <w:tcPr>
            <w:tcW w:w="4860" w:type="dxa"/>
            <w:tcBorders>
              <w:top w:val="single" w:sz="8" w:space="0" w:color="4F81BD"/>
              <w:left w:val="single" w:sz="8" w:space="0" w:color="4F81BD"/>
              <w:bottom w:val="single" w:sz="8" w:space="0" w:color="4F81BD"/>
              <w:right w:val="single" w:sz="8" w:space="0" w:color="4F81BD"/>
            </w:tcBorders>
          </w:tcPr>
          <w:p w:rsidR="00452550" w:rsidRPr="00C70CB5" w14:paraId="12525520" w14:textId="44783B11">
            <w:pPr>
              <w:pStyle w:val="NoSpacing"/>
            </w:pPr>
            <w:r>
              <w:t>Incentive</w:t>
            </w:r>
            <w:r w:rsidR="00163EBB">
              <w:t>s</w:t>
            </w:r>
          </w:p>
        </w:tc>
        <w:tc>
          <w:tcPr>
            <w:tcW w:w="1260" w:type="dxa"/>
            <w:tcBorders>
              <w:top w:val="single" w:sz="8" w:space="0" w:color="4F81BD"/>
              <w:left w:val="single" w:sz="8" w:space="0" w:color="4F81BD"/>
              <w:bottom w:val="single" w:sz="8" w:space="0" w:color="4F81BD"/>
              <w:right w:val="single" w:sz="8" w:space="0" w:color="4F81BD"/>
            </w:tcBorders>
          </w:tcPr>
          <w:p w:rsidR="00452550" w:rsidRPr="00C70CB5" w14:paraId="7B986199" w14:textId="695B1021">
            <w:pPr>
              <w:pStyle w:val="NoSpacing"/>
              <w:jc w:val="right"/>
            </w:pPr>
            <w:r>
              <w:t>30</w:t>
            </w:r>
          </w:p>
        </w:tc>
        <w:tc>
          <w:tcPr>
            <w:tcW w:w="1620" w:type="dxa"/>
            <w:tcBorders>
              <w:top w:val="single" w:sz="8" w:space="0" w:color="4F81BD"/>
              <w:left w:val="single" w:sz="8" w:space="0" w:color="4F81BD"/>
              <w:bottom w:val="single" w:sz="8" w:space="0" w:color="4F81BD"/>
              <w:right w:val="single" w:sz="8" w:space="0" w:color="4F81BD"/>
            </w:tcBorders>
          </w:tcPr>
          <w:p w:rsidR="00452550" w:rsidRPr="00C70CB5" w14:paraId="1FE51488" w14:textId="1118FBB7">
            <w:pPr>
              <w:pStyle w:val="NoSpacing"/>
              <w:jc w:val="right"/>
            </w:pPr>
            <w:r>
              <w:t>$40.00</w:t>
            </w:r>
          </w:p>
        </w:tc>
        <w:tc>
          <w:tcPr>
            <w:tcW w:w="1260" w:type="dxa"/>
            <w:tcBorders>
              <w:top w:val="single" w:sz="8" w:space="0" w:color="4F81BD"/>
              <w:left w:val="single" w:sz="8" w:space="0" w:color="4F81BD"/>
              <w:bottom w:val="single" w:sz="8" w:space="0" w:color="4F81BD"/>
              <w:right w:val="single" w:sz="8" w:space="0" w:color="4F81BD"/>
            </w:tcBorders>
          </w:tcPr>
          <w:p w:rsidR="00452550" w:rsidRPr="00C70CB5" w:rsidP="00191DCA" w14:paraId="32517941" w14:textId="3DD81AB2">
            <w:pPr>
              <w:pStyle w:val="NoSpacing"/>
              <w:jc w:val="right"/>
            </w:pPr>
            <w:r>
              <w:t>$1200.00</w:t>
            </w:r>
          </w:p>
        </w:tc>
      </w:tr>
      <w:tr w14:paraId="38627097" w14:textId="77777777" w:rsidTr="001A0239">
        <w:tblPrEx>
          <w:tblW w:w="9000" w:type="dxa"/>
          <w:tblInd w:w="-106" w:type="dxa"/>
          <w:tblLook w:val="04A0"/>
        </w:tblPrEx>
        <w:trPr>
          <w:trHeight w:val="240"/>
        </w:trPr>
        <w:tc>
          <w:tcPr>
            <w:tcW w:w="4860" w:type="dxa"/>
            <w:tcBorders>
              <w:top w:val="single" w:sz="8" w:space="0" w:color="4F81BD"/>
              <w:left w:val="single" w:sz="8" w:space="0" w:color="4F81BD"/>
              <w:bottom w:val="single" w:sz="8" w:space="0" w:color="4F81BD"/>
              <w:right w:val="single" w:sz="8" w:space="0" w:color="4F81BD"/>
            </w:tcBorders>
            <w:shd w:val="clear" w:color="auto" w:fill="B8CCE4"/>
            <w:hideMark/>
          </w:tcPr>
          <w:p w:rsidR="001A0239" w:rsidRPr="00C70CB5" w14:paraId="0541C8BD" w14:textId="77777777">
            <w:pPr>
              <w:pStyle w:val="NoSpacing"/>
            </w:pPr>
            <w:r w:rsidRPr="00C70CB5">
              <w:t>AVERAGE COST PER SURVEY</w:t>
            </w:r>
          </w:p>
        </w:tc>
        <w:tc>
          <w:tcPr>
            <w:tcW w:w="1260" w:type="dxa"/>
            <w:tcBorders>
              <w:top w:val="single" w:sz="8" w:space="0" w:color="4F81BD"/>
              <w:left w:val="single" w:sz="8" w:space="0" w:color="4F81BD"/>
              <w:bottom w:val="single" w:sz="8" w:space="0" w:color="4F81BD"/>
              <w:right w:val="single" w:sz="8" w:space="0" w:color="4F81BD"/>
            </w:tcBorders>
            <w:shd w:val="clear" w:color="auto" w:fill="B8CCE4"/>
          </w:tcPr>
          <w:p w:rsidR="001A0239" w:rsidRPr="00C70CB5" w14:paraId="47BE9EB3" w14:textId="77777777">
            <w:pPr>
              <w:pStyle w:val="NoSpacing"/>
              <w:jc w:val="right"/>
              <w:rPr>
                <w:rFonts w:ascii="Arial" w:hAnsi="Arial" w:cs="Arial"/>
                <w:sz w:val="20"/>
                <w:szCs w:val="20"/>
              </w:rPr>
            </w:pPr>
          </w:p>
        </w:tc>
        <w:tc>
          <w:tcPr>
            <w:tcW w:w="1620" w:type="dxa"/>
            <w:tcBorders>
              <w:top w:val="single" w:sz="8" w:space="0" w:color="4F81BD"/>
              <w:left w:val="single" w:sz="8" w:space="0" w:color="4F81BD"/>
              <w:bottom w:val="single" w:sz="8" w:space="0" w:color="4F81BD"/>
              <w:right w:val="single" w:sz="8" w:space="0" w:color="4F81BD"/>
            </w:tcBorders>
            <w:shd w:val="clear" w:color="auto" w:fill="B8CCE4"/>
          </w:tcPr>
          <w:p w:rsidR="001A0239" w:rsidRPr="00C70CB5" w14:paraId="76DB2106" w14:textId="77777777">
            <w:pPr>
              <w:pStyle w:val="NoSpacing"/>
              <w:jc w:val="right"/>
              <w:rPr>
                <w:rFonts w:ascii="Arial" w:hAnsi="Arial" w:cs="Arial"/>
                <w:sz w:val="20"/>
                <w:szCs w:val="20"/>
              </w:rPr>
            </w:pPr>
          </w:p>
        </w:tc>
        <w:tc>
          <w:tcPr>
            <w:tcW w:w="1260" w:type="dxa"/>
            <w:tcBorders>
              <w:top w:val="single" w:sz="8" w:space="0" w:color="4F81BD"/>
              <w:left w:val="single" w:sz="8" w:space="0" w:color="4F81BD"/>
              <w:bottom w:val="single" w:sz="8" w:space="0" w:color="4F81BD"/>
              <w:right w:val="single" w:sz="8" w:space="0" w:color="4F81BD"/>
            </w:tcBorders>
            <w:shd w:val="clear" w:color="auto" w:fill="B8CCE4"/>
            <w:hideMark/>
          </w:tcPr>
          <w:p w:rsidR="001A0239" w:rsidRPr="00C70CB5" w14:paraId="4F8EE7E1" w14:textId="292FEEDE">
            <w:pPr>
              <w:pStyle w:val="NoSpacing"/>
              <w:jc w:val="right"/>
            </w:pPr>
            <w:r w:rsidRPr="00C70CB5">
              <w:t>$</w:t>
            </w:r>
            <w:r w:rsidR="003B7E79">
              <w:t>18</w:t>
            </w:r>
            <w:r w:rsidRPr="00C70CB5">
              <w:t>95.00</w:t>
            </w:r>
          </w:p>
        </w:tc>
      </w:tr>
      <w:tr w14:paraId="64B42910" w14:textId="77777777" w:rsidTr="001A0239">
        <w:tblPrEx>
          <w:tblW w:w="9000" w:type="dxa"/>
          <w:tblInd w:w="-106" w:type="dxa"/>
          <w:tblLook w:val="04A0"/>
        </w:tblPrEx>
        <w:trPr>
          <w:trHeight w:val="240"/>
        </w:trPr>
        <w:tc>
          <w:tcPr>
            <w:tcW w:w="4860" w:type="dxa"/>
            <w:tcBorders>
              <w:top w:val="single" w:sz="8" w:space="0" w:color="4F81BD"/>
              <w:left w:val="single" w:sz="8" w:space="0" w:color="4F81BD"/>
              <w:bottom w:val="single" w:sz="8" w:space="0" w:color="4F81BD"/>
              <w:right w:val="single" w:sz="8" w:space="0" w:color="4F81BD"/>
            </w:tcBorders>
            <w:shd w:val="clear" w:color="auto" w:fill="B8CCE4"/>
            <w:hideMark/>
          </w:tcPr>
          <w:p w:rsidR="001A0239" w:rsidRPr="00C70CB5" w14:paraId="33862021" w14:textId="77777777">
            <w:pPr>
              <w:pStyle w:val="NoSpacing"/>
            </w:pPr>
            <w:r w:rsidRPr="00C70CB5">
              <w:t xml:space="preserve">AVERAGE 1-YEAR COST </w:t>
            </w:r>
          </w:p>
        </w:tc>
        <w:tc>
          <w:tcPr>
            <w:tcW w:w="1260" w:type="dxa"/>
            <w:tcBorders>
              <w:top w:val="single" w:sz="8" w:space="0" w:color="4F81BD"/>
              <w:left w:val="single" w:sz="8" w:space="0" w:color="4F81BD"/>
              <w:bottom w:val="single" w:sz="8" w:space="0" w:color="4F81BD"/>
              <w:right w:val="single" w:sz="8" w:space="0" w:color="4F81BD"/>
            </w:tcBorders>
            <w:shd w:val="clear" w:color="auto" w:fill="B8CCE4"/>
          </w:tcPr>
          <w:p w:rsidR="001A0239" w:rsidRPr="00C70CB5" w14:paraId="3B8B7292" w14:textId="77777777">
            <w:pPr>
              <w:pStyle w:val="NoSpacing"/>
              <w:jc w:val="right"/>
              <w:rPr>
                <w:rFonts w:ascii="Arial" w:hAnsi="Arial" w:cs="Arial"/>
                <w:sz w:val="20"/>
                <w:szCs w:val="20"/>
              </w:rPr>
            </w:pPr>
          </w:p>
        </w:tc>
        <w:tc>
          <w:tcPr>
            <w:tcW w:w="1620" w:type="dxa"/>
            <w:tcBorders>
              <w:top w:val="single" w:sz="8" w:space="0" w:color="4F81BD"/>
              <w:left w:val="single" w:sz="8" w:space="0" w:color="4F81BD"/>
              <w:bottom w:val="single" w:sz="8" w:space="0" w:color="4F81BD"/>
              <w:right w:val="single" w:sz="8" w:space="0" w:color="4F81BD"/>
            </w:tcBorders>
            <w:shd w:val="clear" w:color="auto" w:fill="B8CCE4"/>
          </w:tcPr>
          <w:p w:rsidR="001A0239" w:rsidRPr="00C70CB5" w14:paraId="6FB72A0C" w14:textId="77777777">
            <w:pPr>
              <w:pStyle w:val="NoSpacing"/>
              <w:jc w:val="right"/>
              <w:rPr>
                <w:rFonts w:ascii="Arial" w:hAnsi="Arial" w:cs="Arial"/>
                <w:sz w:val="20"/>
                <w:szCs w:val="20"/>
              </w:rPr>
            </w:pPr>
          </w:p>
        </w:tc>
        <w:tc>
          <w:tcPr>
            <w:tcW w:w="1260" w:type="dxa"/>
            <w:tcBorders>
              <w:top w:val="single" w:sz="8" w:space="0" w:color="4F81BD"/>
              <w:left w:val="single" w:sz="8" w:space="0" w:color="4F81BD"/>
              <w:bottom w:val="single" w:sz="8" w:space="0" w:color="4F81BD"/>
              <w:right w:val="single" w:sz="8" w:space="0" w:color="4F81BD"/>
            </w:tcBorders>
            <w:shd w:val="clear" w:color="auto" w:fill="B8CCE4"/>
            <w:hideMark/>
          </w:tcPr>
          <w:p w:rsidR="001A0239" w:rsidP="00495C95" w14:paraId="60D4F47C" w14:textId="2EEB722C">
            <w:pPr>
              <w:pStyle w:val="NoSpacing"/>
              <w:jc w:val="right"/>
            </w:pPr>
            <w:r w:rsidRPr="00C70CB5">
              <w:t>$</w:t>
            </w:r>
            <w:r w:rsidR="00163EBB">
              <w:t>631.66</w:t>
            </w:r>
          </w:p>
        </w:tc>
      </w:tr>
    </w:tbl>
    <w:p w:rsidR="008A4E47" w14:paraId="6E9839DB" w14:textId="77777777">
      <w:pPr>
        <w:rPr>
          <w:color w:val="000000"/>
        </w:rPr>
      </w:pPr>
    </w:p>
    <w:p w:rsidR="0094671C" w:rsidRPr="005E5681" w:rsidP="0094671C" w14:paraId="60F067B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5" w:name="_Toc239649236"/>
      <w:r w:rsidRPr="005E5681">
        <w:rPr>
          <w:b/>
          <w:bCs/>
        </w:rPr>
        <w:t>15.</w:t>
      </w:r>
      <w:r w:rsidRPr="005E5681">
        <w:t xml:space="preserve">  </w:t>
      </w:r>
      <w:r w:rsidRPr="005E5681">
        <w:rPr>
          <w:b/>
          <w:bCs/>
          <w:u w:val="single"/>
        </w:rPr>
        <w:t>Explanation for Program Changes or Adjustments</w:t>
      </w:r>
      <w:bookmarkEnd w:id="5"/>
    </w:p>
    <w:p w:rsidR="0094671C" w:rsidRPr="005E5681" w:rsidP="0094671C" w14:paraId="01C8AE2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671C" w:rsidRPr="002051D8" w:rsidP="0094671C" w14:paraId="0ACCF41E" w14:textId="2778FA1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70CB5">
        <w:t xml:space="preserve">This is a </w:t>
      </w:r>
      <w:r w:rsidRPr="00C70CB5" w:rsidR="004E0F18">
        <w:t xml:space="preserve">request to renew </w:t>
      </w:r>
      <w:r w:rsidRPr="00C70CB5" w:rsidR="00AD2048">
        <w:t xml:space="preserve">the Generic for </w:t>
      </w:r>
      <w:r w:rsidRPr="00C70CB5" w:rsidR="004E0F18">
        <w:t xml:space="preserve">the </w:t>
      </w:r>
      <w:r w:rsidRPr="00C70CB5">
        <w:t>collection of information.</w:t>
      </w:r>
      <w:r w:rsidR="00D35AE3">
        <w:t xml:space="preserve"> </w:t>
      </w:r>
      <w:r w:rsidR="009C61DF">
        <w:t>Due to an adjustment</w:t>
      </w:r>
      <w:r w:rsidR="00406FE1">
        <w:t xml:space="preserve"> </w:t>
      </w:r>
      <w:r w:rsidR="009C61DF">
        <w:t xml:space="preserve">to the previous number of Response left over </w:t>
      </w:r>
      <w:r w:rsidR="00406FE1">
        <w:t>43408</w:t>
      </w:r>
      <w:r w:rsidR="009C61DF">
        <w:t>,</w:t>
      </w:r>
      <w:r w:rsidR="00406FE1">
        <w:t xml:space="preserve"> </w:t>
      </w:r>
      <w:r w:rsidR="009C61DF">
        <w:t xml:space="preserve">decreasing </w:t>
      </w:r>
      <w:r w:rsidR="00A9371C">
        <w:t>50,000 by 30,000 = 20,000 number of r</w:t>
      </w:r>
      <w:r w:rsidR="00406FE1">
        <w:t>esponse</w:t>
      </w:r>
      <w:r w:rsidR="00A9371C">
        <w:t>s.</w:t>
      </w:r>
      <w:r w:rsidR="00406FE1">
        <w:t xml:space="preserve"> </w:t>
      </w:r>
      <w:r w:rsidR="00A9371C">
        <w:t>Previous burden hr</w:t>
      </w:r>
      <w:r w:rsidR="00452550">
        <w:t>.</w:t>
      </w:r>
      <w:r w:rsidR="00A9371C">
        <w:t xml:space="preserve"> </w:t>
      </w:r>
      <w:r w:rsidR="00406FE1">
        <w:t>23,676 left ov</w:t>
      </w:r>
      <w:r w:rsidR="00A9371C">
        <w:t>er. Requesting</w:t>
      </w:r>
      <w:r w:rsidR="003D39D2">
        <w:t xml:space="preserve"> </w:t>
      </w:r>
      <w:r w:rsidR="00A9371C">
        <w:t>15,000 b</w:t>
      </w:r>
      <w:r w:rsidR="003D39D2">
        <w:t>urden hour</w:t>
      </w:r>
      <w:r w:rsidR="00452550">
        <w:t>,</w:t>
      </w:r>
      <w:r w:rsidR="00A9371C">
        <w:t xml:space="preserve"> 500,000</w:t>
      </w:r>
      <w:r w:rsidR="00452550">
        <w:t xml:space="preserve"> decrease by</w:t>
      </w:r>
      <w:r w:rsidR="00A9371C">
        <w:t xml:space="preserve"> </w:t>
      </w:r>
      <w:r w:rsidR="009C61DF">
        <w:t>485,000</w:t>
      </w:r>
      <w:r w:rsidR="00452550">
        <w:t>.</w:t>
      </w:r>
      <w:r w:rsidR="009C61DF">
        <w:t xml:space="preserve"> </w:t>
      </w:r>
    </w:p>
    <w:p w:rsidR="00D5608E" w:rsidRPr="00F06866" w:rsidP="0096108F" w14:paraId="73BDEB5B" w14:textId="77777777">
      <w:pPr>
        <w:pStyle w:val="BodyTextIndent"/>
        <w:tabs>
          <w:tab w:val="left" w:pos="360"/>
        </w:tabs>
        <w:ind w:left="0"/>
        <w:rPr>
          <w:bCs/>
          <w:sz w:val="24"/>
        </w:rPr>
      </w:pPr>
    </w:p>
    <w:p w:rsidR="0094671C" w:rsidRPr="005E5681" w:rsidP="0094671C" w14:paraId="57FAE55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6" w:name="_Toc239649238"/>
      <w:r w:rsidRPr="005E5681">
        <w:rPr>
          <w:b/>
          <w:bCs/>
        </w:rPr>
        <w:t xml:space="preserve">17.  </w:t>
      </w:r>
      <w:r w:rsidRPr="005E5681">
        <w:rPr>
          <w:b/>
          <w:bCs/>
          <w:u w:val="single"/>
        </w:rPr>
        <w:t>Reason(s) Display of OMB Expiration Date is Inappropriate</w:t>
      </w:r>
      <w:bookmarkEnd w:id="6"/>
    </w:p>
    <w:p w:rsidR="0094671C" w:rsidRPr="005E5681" w:rsidP="0094671C" w14:paraId="4F3CABF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671C" w:rsidRPr="005E5681" w:rsidP="0094671C" w14:paraId="659F1F5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74C20">
        <w:t xml:space="preserve">We are </w:t>
      </w:r>
      <w:r>
        <w:t xml:space="preserve">not </w:t>
      </w:r>
      <w:r w:rsidRPr="00874C20">
        <w:t xml:space="preserve">requesting </w:t>
      </w:r>
      <w:r>
        <w:t>an</w:t>
      </w:r>
      <w:r w:rsidRPr="00874C20">
        <w:t xml:space="preserve"> exemption</w:t>
      </w:r>
      <w:r w:rsidRPr="00BF4123">
        <w:t xml:space="preserve"> to this requirement.</w:t>
      </w:r>
      <w:r w:rsidR="00C55B5B">
        <w:t xml:space="preserve"> </w:t>
      </w:r>
      <w:r w:rsidRPr="005E5681">
        <w:t>The OMB expiration date will be displayed.</w:t>
      </w:r>
    </w:p>
    <w:p w:rsidR="0094671C" w:rsidRPr="005E5681" w:rsidP="0094671C" w14:paraId="248328C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4671C" w:rsidRPr="005E5681" w:rsidP="0094671C" w14:paraId="56C0F72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7" w:name="_Toc239649239"/>
      <w:r w:rsidRPr="005E5681">
        <w:rPr>
          <w:b/>
          <w:bCs/>
        </w:rPr>
        <w:t xml:space="preserve">18.  </w:t>
      </w:r>
      <w:r w:rsidRPr="005E5681">
        <w:rPr>
          <w:b/>
          <w:bCs/>
          <w:u w:val="single"/>
        </w:rPr>
        <w:t>Exceptions to Certification for Paperwork Reduction Act Submissions</w:t>
      </w:r>
      <w:bookmarkEnd w:id="7"/>
    </w:p>
    <w:p w:rsidR="0094671C" w:rsidRPr="005E5681" w:rsidP="0094671C" w14:paraId="43D71D6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5A74" w:rsidP="00B61CBF" w14:paraId="49A25011" w14:textId="32C2F94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5E5681">
        <w:t>These information collection activities involve no exception to the Certification for Paperwork Reduction Act Submissions.</w:t>
      </w:r>
      <w:r w:rsidRPr="002051D8">
        <w:rPr>
          <w:b/>
          <w:bCs/>
        </w:rPr>
        <w:t xml:space="preserve"> </w:t>
      </w:r>
    </w:p>
    <w:sectPr w:rsidSect="00A37A9F">
      <w:footerReference w:type="default" r:id="rId6"/>
      <w:pgSz w:w="12240" w:h="15840"/>
      <w:pgMar w:top="57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3C0B1B57" w14:textId="72F0667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A4CF0">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930A0" w14:paraId="2D15127A" w14:textId="77777777">
      <w:r>
        <w:separator/>
      </w:r>
    </w:p>
  </w:footnote>
  <w:footnote w:type="continuationSeparator" w:id="1">
    <w:p w:rsidR="00E930A0" w14:paraId="734C94B5" w14:textId="77777777">
      <w:r>
        <w:continuationSeparator/>
      </w:r>
    </w:p>
  </w:footnote>
  <w:footnote w:id="2">
    <w:p w:rsidR="00D45940" w:rsidRPr="00AC0C60" w:rsidP="00D45940" w14:paraId="7FC2BAF6" w14:textId="77777777">
      <w:pPr>
        <w:pStyle w:val="FootnoteText"/>
        <w:rPr>
          <w:rFonts w:ascii="Times New Roman" w:hAnsi="Times New Roman"/>
        </w:rPr>
      </w:pPr>
      <w:r w:rsidRPr="00AC0C60">
        <w:rPr>
          <w:rStyle w:val="FootnoteReference"/>
          <w:rFonts w:ascii="Times New Roman" w:hAnsi="Times New Roman"/>
        </w:rPr>
        <w:footnoteRef/>
      </w:r>
      <w:r w:rsidRPr="00AC0C60">
        <w:rPr>
          <w:rFonts w:ascii="Times New Roman" w:hAnsi="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60E79B2"/>
    <w:multiLevelType w:val="hybridMultilevel"/>
    <w:tmpl w:val="F43C4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DA6D5A"/>
    <w:multiLevelType w:val="hybridMultilevel"/>
    <w:tmpl w:val="D682FA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B9D1E38"/>
    <w:multiLevelType w:val="hybridMultilevel"/>
    <w:tmpl w:val="622A6DF6"/>
    <w:lvl w:ilvl="0">
      <w:start w:val="5"/>
      <w:numFmt w:val="bullet"/>
      <w:lvlText w:val="•"/>
      <w:lvlJc w:val="left"/>
      <w:pPr>
        <w:ind w:left="1080" w:hanging="72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CC323DE"/>
    <w:multiLevelType w:val="hybridMultilevel"/>
    <w:tmpl w:val="84622C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316DCB"/>
    <w:multiLevelType w:val="hybridMultilevel"/>
    <w:tmpl w:val="FA52E03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8F57DDB"/>
    <w:multiLevelType w:val="hybridMultilevel"/>
    <w:tmpl w:val="12D834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5A1D84"/>
    <w:multiLevelType w:val="hybridMultilevel"/>
    <w:tmpl w:val="043E4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8C1AE9"/>
    <w:multiLevelType w:val="hybridMultilevel"/>
    <w:tmpl w:val="40DEE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7">
    <w:nsid w:val="36732371"/>
    <w:multiLevelType w:val="hybridMultilevel"/>
    <w:tmpl w:val="BE763498"/>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9">
    <w:nsid w:val="3DA361FD"/>
    <w:multiLevelType w:val="hybridMultilevel"/>
    <w:tmpl w:val="14CE7E8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4AB1250"/>
    <w:multiLevelType w:val="hybridMultilevel"/>
    <w:tmpl w:val="4420D612"/>
    <w:lvl w:ilvl="0">
      <w:start w:val="1"/>
      <w:numFmt w:val="upperLetter"/>
      <w:lvlText w:val="%1."/>
      <w:lvlJc w:val="left"/>
      <w:pPr>
        <w:ind w:left="810" w:hanging="360"/>
      </w:pPr>
      <w:rPr>
        <w:rFonts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3">
    <w:nsid w:val="462A7C00"/>
    <w:multiLevelType w:val="hybridMultilevel"/>
    <w:tmpl w:val="EDA0DC3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D2A0BD6"/>
    <w:multiLevelType w:val="hybridMultilevel"/>
    <w:tmpl w:val="7A0821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E4877C0"/>
    <w:multiLevelType w:val="hybridMultilevel"/>
    <w:tmpl w:val="8466B72A"/>
    <w:lvl w:ilvl="0">
      <w:start w:val="7"/>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9351823"/>
    <w:multiLevelType w:val="hybridMultilevel"/>
    <w:tmpl w:val="5DA29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nsid w:val="5A1D4ED1"/>
    <w:multiLevelType w:val="hybridMultilevel"/>
    <w:tmpl w:val="E8268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4821AE3"/>
    <w:multiLevelType w:val="hybridMultilevel"/>
    <w:tmpl w:val="7AEE740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32">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05606821">
    <w:abstractNumId w:val="21"/>
  </w:num>
  <w:num w:numId="2" w16cid:durableId="1714886120">
    <w:abstractNumId w:val="35"/>
  </w:num>
  <w:num w:numId="3" w16cid:durableId="1520239724">
    <w:abstractNumId w:val="34"/>
  </w:num>
  <w:num w:numId="4" w16cid:durableId="806899336">
    <w:abstractNumId w:val="36"/>
  </w:num>
  <w:num w:numId="5" w16cid:durableId="494272552">
    <w:abstractNumId w:val="5"/>
  </w:num>
  <w:num w:numId="6" w16cid:durableId="1995331482">
    <w:abstractNumId w:val="1"/>
  </w:num>
  <w:num w:numId="7" w16cid:durableId="1691561650">
    <w:abstractNumId w:val="18"/>
  </w:num>
  <w:num w:numId="8" w16cid:durableId="1318152433">
    <w:abstractNumId w:val="31"/>
  </w:num>
  <w:num w:numId="9" w16cid:durableId="586571359">
    <w:abstractNumId w:val="20"/>
  </w:num>
  <w:num w:numId="10" w16cid:durableId="1211308315">
    <w:abstractNumId w:val="2"/>
  </w:num>
  <w:num w:numId="11" w16cid:durableId="1715155339">
    <w:abstractNumId w:val="12"/>
  </w:num>
  <w:num w:numId="12" w16cid:durableId="666858034">
    <w:abstractNumId w:val="13"/>
  </w:num>
  <w:num w:numId="13" w16cid:durableId="1384131948">
    <w:abstractNumId w:val="0"/>
  </w:num>
  <w:num w:numId="14" w16cid:durableId="116146403">
    <w:abstractNumId w:val="33"/>
  </w:num>
  <w:num w:numId="15" w16cid:durableId="2013990054">
    <w:abstractNumId w:val="29"/>
  </w:num>
  <w:num w:numId="16" w16cid:durableId="1498378120">
    <w:abstractNumId w:val="25"/>
  </w:num>
  <w:num w:numId="17" w16cid:durableId="321592433">
    <w:abstractNumId w:val="6"/>
  </w:num>
  <w:num w:numId="18" w16cid:durableId="124201618">
    <w:abstractNumId w:val="7"/>
  </w:num>
  <w:num w:numId="19" w16cid:durableId="654065314">
    <w:abstractNumId w:val="28"/>
  </w:num>
  <w:num w:numId="20" w16cid:durableId="1488741562">
    <w:abstractNumId w:val="11"/>
  </w:num>
  <w:num w:numId="21" w16cid:durableId="1074736713">
    <w:abstractNumId w:val="17"/>
  </w:num>
  <w:num w:numId="22" w16cid:durableId="1639335716">
    <w:abstractNumId w:val="8"/>
  </w:num>
  <w:num w:numId="23" w16cid:durableId="681593437">
    <w:abstractNumId w:val="3"/>
  </w:num>
  <w:num w:numId="24" w16cid:durableId="16928759">
    <w:abstractNumId w:val="22"/>
  </w:num>
  <w:num w:numId="25" w16cid:durableId="1000237265">
    <w:abstractNumId w:val="19"/>
  </w:num>
  <w:num w:numId="26" w16cid:durableId="395444279">
    <w:abstractNumId w:val="30"/>
  </w:num>
  <w:num w:numId="27" w16cid:durableId="1750349727">
    <w:abstractNumId w:val="9"/>
  </w:num>
  <w:num w:numId="28" w16cid:durableId="2015373713">
    <w:abstractNumId w:val="23"/>
  </w:num>
  <w:num w:numId="29" w16cid:durableId="713189189">
    <w:abstractNumId w:val="27"/>
  </w:num>
  <w:num w:numId="30" w16cid:durableId="1682731221">
    <w:abstractNumId w:val="16"/>
  </w:num>
  <w:num w:numId="31" w16cid:durableId="112333025">
    <w:abstractNumId w:val="32"/>
  </w:num>
  <w:num w:numId="32" w16cid:durableId="1305042229">
    <w:abstractNumId w:val="24"/>
  </w:num>
  <w:num w:numId="33" w16cid:durableId="1281764137">
    <w:abstractNumId w:val="26"/>
  </w:num>
  <w:num w:numId="34" w16cid:durableId="1582521553">
    <w:abstractNumId w:val="4"/>
  </w:num>
  <w:num w:numId="35" w16cid:durableId="1892422579">
    <w:abstractNumId w:val="15"/>
  </w:num>
  <w:num w:numId="36" w16cid:durableId="178546909">
    <w:abstractNumId w:val="14"/>
  </w:num>
  <w:num w:numId="37" w16cid:durableId="10991839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0665"/>
    <w:rsid w:val="0002104D"/>
    <w:rsid w:val="00023A57"/>
    <w:rsid w:val="00041931"/>
    <w:rsid w:val="00047A64"/>
    <w:rsid w:val="00067329"/>
    <w:rsid w:val="000B2838"/>
    <w:rsid w:val="000C3B80"/>
    <w:rsid w:val="000C4682"/>
    <w:rsid w:val="000D44CA"/>
    <w:rsid w:val="000E200B"/>
    <w:rsid w:val="000F270B"/>
    <w:rsid w:val="000F6411"/>
    <w:rsid w:val="000F68BE"/>
    <w:rsid w:val="00101AB6"/>
    <w:rsid w:val="001102BB"/>
    <w:rsid w:val="001308B1"/>
    <w:rsid w:val="001448A8"/>
    <w:rsid w:val="0014647F"/>
    <w:rsid w:val="00161D6F"/>
    <w:rsid w:val="00163EBB"/>
    <w:rsid w:val="001768D1"/>
    <w:rsid w:val="001803AD"/>
    <w:rsid w:val="00191DCA"/>
    <w:rsid w:val="001927A4"/>
    <w:rsid w:val="00194AC6"/>
    <w:rsid w:val="001A0239"/>
    <w:rsid w:val="001A23B0"/>
    <w:rsid w:val="001A25CC"/>
    <w:rsid w:val="001B0AAA"/>
    <w:rsid w:val="001B5CBA"/>
    <w:rsid w:val="001B6A58"/>
    <w:rsid w:val="001C325E"/>
    <w:rsid w:val="001C35AF"/>
    <w:rsid w:val="001C39F7"/>
    <w:rsid w:val="001E0CD2"/>
    <w:rsid w:val="0020202A"/>
    <w:rsid w:val="002051D8"/>
    <w:rsid w:val="00206AE4"/>
    <w:rsid w:val="00224AE4"/>
    <w:rsid w:val="00236C7C"/>
    <w:rsid w:val="00237B48"/>
    <w:rsid w:val="00240526"/>
    <w:rsid w:val="0024521E"/>
    <w:rsid w:val="00263C3D"/>
    <w:rsid w:val="00270BC0"/>
    <w:rsid w:val="00274D0B"/>
    <w:rsid w:val="00287E3E"/>
    <w:rsid w:val="002A17C1"/>
    <w:rsid w:val="002A1EB5"/>
    <w:rsid w:val="002A1F49"/>
    <w:rsid w:val="002A35E6"/>
    <w:rsid w:val="002A645F"/>
    <w:rsid w:val="002B3C95"/>
    <w:rsid w:val="002D0B92"/>
    <w:rsid w:val="002D1AF5"/>
    <w:rsid w:val="002D40B1"/>
    <w:rsid w:val="002D5CF2"/>
    <w:rsid w:val="002F57F2"/>
    <w:rsid w:val="0030081B"/>
    <w:rsid w:val="003225A9"/>
    <w:rsid w:val="00322ED4"/>
    <w:rsid w:val="003239E7"/>
    <w:rsid w:val="00325A5E"/>
    <w:rsid w:val="00326C6F"/>
    <w:rsid w:val="00342AE3"/>
    <w:rsid w:val="00352FAE"/>
    <w:rsid w:val="00370B16"/>
    <w:rsid w:val="00390A37"/>
    <w:rsid w:val="003A41F3"/>
    <w:rsid w:val="003A7A16"/>
    <w:rsid w:val="003B0169"/>
    <w:rsid w:val="003B0A60"/>
    <w:rsid w:val="003B7E79"/>
    <w:rsid w:val="003C33E2"/>
    <w:rsid w:val="003D39D2"/>
    <w:rsid w:val="003D5BBE"/>
    <w:rsid w:val="003E3C61"/>
    <w:rsid w:val="003F1C5B"/>
    <w:rsid w:val="00406FE1"/>
    <w:rsid w:val="00425BF7"/>
    <w:rsid w:val="00434E33"/>
    <w:rsid w:val="004369FA"/>
    <w:rsid w:val="004375CB"/>
    <w:rsid w:val="00437DDA"/>
    <w:rsid w:val="00441434"/>
    <w:rsid w:val="00442DC5"/>
    <w:rsid w:val="00452550"/>
    <w:rsid w:val="0045264C"/>
    <w:rsid w:val="00454BE0"/>
    <w:rsid w:val="00455430"/>
    <w:rsid w:val="004732BA"/>
    <w:rsid w:val="004769F9"/>
    <w:rsid w:val="004846B5"/>
    <w:rsid w:val="00484BBE"/>
    <w:rsid w:val="00484DD0"/>
    <w:rsid w:val="004876EC"/>
    <w:rsid w:val="00495C95"/>
    <w:rsid w:val="004B130D"/>
    <w:rsid w:val="004B40A3"/>
    <w:rsid w:val="004D0603"/>
    <w:rsid w:val="004D3E3E"/>
    <w:rsid w:val="004D6E14"/>
    <w:rsid w:val="004E0F18"/>
    <w:rsid w:val="005009B0"/>
    <w:rsid w:val="005012C5"/>
    <w:rsid w:val="00542DEE"/>
    <w:rsid w:val="0055201F"/>
    <w:rsid w:val="00563762"/>
    <w:rsid w:val="00593DC6"/>
    <w:rsid w:val="005A1006"/>
    <w:rsid w:val="005B11E0"/>
    <w:rsid w:val="005E5681"/>
    <w:rsid w:val="005E714A"/>
    <w:rsid w:val="0060017B"/>
    <w:rsid w:val="006014E4"/>
    <w:rsid w:val="00603F3B"/>
    <w:rsid w:val="00607D97"/>
    <w:rsid w:val="006134A0"/>
    <w:rsid w:val="006140A0"/>
    <w:rsid w:val="00635EEE"/>
    <w:rsid w:val="00636621"/>
    <w:rsid w:val="00642B49"/>
    <w:rsid w:val="006832D9"/>
    <w:rsid w:val="0069403B"/>
    <w:rsid w:val="00694B38"/>
    <w:rsid w:val="006A1854"/>
    <w:rsid w:val="006A7082"/>
    <w:rsid w:val="006F3DDE"/>
    <w:rsid w:val="006F770D"/>
    <w:rsid w:val="00702078"/>
    <w:rsid w:val="00704678"/>
    <w:rsid w:val="00734BED"/>
    <w:rsid w:val="007425E7"/>
    <w:rsid w:val="00790897"/>
    <w:rsid w:val="007A1EA3"/>
    <w:rsid w:val="007A6BE3"/>
    <w:rsid w:val="007B702D"/>
    <w:rsid w:val="007C16CE"/>
    <w:rsid w:val="007E1167"/>
    <w:rsid w:val="007E78FB"/>
    <w:rsid w:val="007F534E"/>
    <w:rsid w:val="00802607"/>
    <w:rsid w:val="00803E41"/>
    <w:rsid w:val="008101A5"/>
    <w:rsid w:val="008207E0"/>
    <w:rsid w:val="00822664"/>
    <w:rsid w:val="00843796"/>
    <w:rsid w:val="00844191"/>
    <w:rsid w:val="00853D45"/>
    <w:rsid w:val="00874C20"/>
    <w:rsid w:val="0088395B"/>
    <w:rsid w:val="00895229"/>
    <w:rsid w:val="008A4E47"/>
    <w:rsid w:val="008D197E"/>
    <w:rsid w:val="008E6CCC"/>
    <w:rsid w:val="008F0203"/>
    <w:rsid w:val="008F50D4"/>
    <w:rsid w:val="00903D8D"/>
    <w:rsid w:val="009239AA"/>
    <w:rsid w:val="00926693"/>
    <w:rsid w:val="00935ADA"/>
    <w:rsid w:val="00945A74"/>
    <w:rsid w:val="0094671C"/>
    <w:rsid w:val="00946B6C"/>
    <w:rsid w:val="00955A71"/>
    <w:rsid w:val="0096108F"/>
    <w:rsid w:val="00964ED5"/>
    <w:rsid w:val="00970326"/>
    <w:rsid w:val="009A4CF0"/>
    <w:rsid w:val="009B7290"/>
    <w:rsid w:val="009C13B9"/>
    <w:rsid w:val="009C61DF"/>
    <w:rsid w:val="009C7916"/>
    <w:rsid w:val="009D01A2"/>
    <w:rsid w:val="009D19E4"/>
    <w:rsid w:val="009D512C"/>
    <w:rsid w:val="009E2185"/>
    <w:rsid w:val="009F5923"/>
    <w:rsid w:val="00A1299B"/>
    <w:rsid w:val="00A15407"/>
    <w:rsid w:val="00A3037E"/>
    <w:rsid w:val="00A307A3"/>
    <w:rsid w:val="00A31071"/>
    <w:rsid w:val="00A3196B"/>
    <w:rsid w:val="00A36386"/>
    <w:rsid w:val="00A37A9F"/>
    <w:rsid w:val="00A403BB"/>
    <w:rsid w:val="00A5542C"/>
    <w:rsid w:val="00A674DF"/>
    <w:rsid w:val="00A83AA6"/>
    <w:rsid w:val="00A87A05"/>
    <w:rsid w:val="00A9371C"/>
    <w:rsid w:val="00AB2E4F"/>
    <w:rsid w:val="00AC0C60"/>
    <w:rsid w:val="00AC4D21"/>
    <w:rsid w:val="00AD2048"/>
    <w:rsid w:val="00AE1809"/>
    <w:rsid w:val="00AE35D7"/>
    <w:rsid w:val="00AF1E23"/>
    <w:rsid w:val="00AF277E"/>
    <w:rsid w:val="00B041E9"/>
    <w:rsid w:val="00B150AB"/>
    <w:rsid w:val="00B160D2"/>
    <w:rsid w:val="00B55211"/>
    <w:rsid w:val="00B61CBF"/>
    <w:rsid w:val="00B80D76"/>
    <w:rsid w:val="00B95F12"/>
    <w:rsid w:val="00B969E3"/>
    <w:rsid w:val="00BA2105"/>
    <w:rsid w:val="00BA6BA3"/>
    <w:rsid w:val="00BA7E06"/>
    <w:rsid w:val="00BB43B5"/>
    <w:rsid w:val="00BB60F2"/>
    <w:rsid w:val="00BB6219"/>
    <w:rsid w:val="00BC36D0"/>
    <w:rsid w:val="00BD290F"/>
    <w:rsid w:val="00BE68F1"/>
    <w:rsid w:val="00BF0970"/>
    <w:rsid w:val="00BF4123"/>
    <w:rsid w:val="00C14CC4"/>
    <w:rsid w:val="00C33C52"/>
    <w:rsid w:val="00C40D8B"/>
    <w:rsid w:val="00C55B5B"/>
    <w:rsid w:val="00C7016E"/>
    <w:rsid w:val="00C70CB5"/>
    <w:rsid w:val="00C74535"/>
    <w:rsid w:val="00C8407A"/>
    <w:rsid w:val="00C8488C"/>
    <w:rsid w:val="00C86E91"/>
    <w:rsid w:val="00CA2650"/>
    <w:rsid w:val="00CA797A"/>
    <w:rsid w:val="00CB1078"/>
    <w:rsid w:val="00CB22E7"/>
    <w:rsid w:val="00CC395F"/>
    <w:rsid w:val="00CC6FAF"/>
    <w:rsid w:val="00CD2F79"/>
    <w:rsid w:val="00CD7FF2"/>
    <w:rsid w:val="00CF3688"/>
    <w:rsid w:val="00D11966"/>
    <w:rsid w:val="00D22696"/>
    <w:rsid w:val="00D24698"/>
    <w:rsid w:val="00D35510"/>
    <w:rsid w:val="00D35AE3"/>
    <w:rsid w:val="00D40562"/>
    <w:rsid w:val="00D45940"/>
    <w:rsid w:val="00D54EA1"/>
    <w:rsid w:val="00D55B49"/>
    <w:rsid w:val="00D5608E"/>
    <w:rsid w:val="00D6383F"/>
    <w:rsid w:val="00D65814"/>
    <w:rsid w:val="00DB59D0"/>
    <w:rsid w:val="00DC15DB"/>
    <w:rsid w:val="00DC33D3"/>
    <w:rsid w:val="00DF4394"/>
    <w:rsid w:val="00DF63FC"/>
    <w:rsid w:val="00E01AD9"/>
    <w:rsid w:val="00E26329"/>
    <w:rsid w:val="00E40B50"/>
    <w:rsid w:val="00E50293"/>
    <w:rsid w:val="00E610E9"/>
    <w:rsid w:val="00E615EB"/>
    <w:rsid w:val="00E624D4"/>
    <w:rsid w:val="00E65FFC"/>
    <w:rsid w:val="00E77B9E"/>
    <w:rsid w:val="00E80951"/>
    <w:rsid w:val="00E81086"/>
    <w:rsid w:val="00E82A5C"/>
    <w:rsid w:val="00E86CC6"/>
    <w:rsid w:val="00E930A0"/>
    <w:rsid w:val="00E93A72"/>
    <w:rsid w:val="00EB56B3"/>
    <w:rsid w:val="00ED6492"/>
    <w:rsid w:val="00ED6AA8"/>
    <w:rsid w:val="00EF2095"/>
    <w:rsid w:val="00EF70B5"/>
    <w:rsid w:val="00F06136"/>
    <w:rsid w:val="00F06866"/>
    <w:rsid w:val="00F15956"/>
    <w:rsid w:val="00F24CFC"/>
    <w:rsid w:val="00F3170F"/>
    <w:rsid w:val="00F40CF1"/>
    <w:rsid w:val="00F467D9"/>
    <w:rsid w:val="00F976B0"/>
    <w:rsid w:val="00FA6DE7"/>
    <w:rsid w:val="00FB0355"/>
    <w:rsid w:val="00FB27FD"/>
    <w:rsid w:val="00FC004E"/>
    <w:rsid w:val="00FC0A8E"/>
    <w:rsid w:val="00FC452E"/>
    <w:rsid w:val="00FC5FD7"/>
    <w:rsid w:val="00FD7312"/>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E9D5C7"/>
  <w15:docId w15:val="{E62A40A1-DFC8-4B16-A3CD-DCDB9B18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rsid w:val="00F06136"/>
    <w:pPr>
      <w:autoSpaceDE w:val="0"/>
      <w:autoSpaceDN w:val="0"/>
      <w:adjustRightInd w:val="0"/>
    </w:pPr>
    <w:rPr>
      <w:rFonts w:ascii="Courier 10cpi" w:hAnsi="Courier 10cpi"/>
      <w:sz w:val="20"/>
      <w:szCs w:val="20"/>
    </w:rPr>
  </w:style>
  <w:style w:type="character" w:customStyle="1" w:styleId="FootnoteTextChar">
    <w:name w:val="Footnote Text Char"/>
    <w:basedOn w:val="DefaultParagraphFont"/>
    <w:link w:val="FootnoteText"/>
    <w:uiPriority w:val="99"/>
    <w:rsid w:val="00F06136"/>
    <w:rPr>
      <w:rFonts w:ascii="Courier 10cpi" w:hAnsi="Courier 10cpi"/>
    </w:rPr>
  </w:style>
  <w:style w:type="character" w:styleId="FootnoteReference">
    <w:name w:val="footnote reference"/>
    <w:uiPriority w:val="99"/>
    <w:rsid w:val="00F06136"/>
    <w:rPr>
      <w:vertAlign w:val="superscript"/>
    </w:rPr>
  </w:style>
  <w:style w:type="paragraph" w:styleId="NoSpacing">
    <w:name w:val="No Spacing"/>
    <w:uiPriority w:val="99"/>
    <w:qFormat/>
    <w:rsid w:val="001A0239"/>
    <w:rPr>
      <w:rFonts w:ascii="Calibri" w:hAnsi="Calibri" w:cs="Calibri"/>
      <w:sz w:val="22"/>
      <w:szCs w:val="22"/>
    </w:rPr>
  </w:style>
  <w:style w:type="character" w:customStyle="1" w:styleId="Heading2Char">
    <w:name w:val="Heading 2 Char"/>
    <w:basedOn w:val="DefaultParagraphFont"/>
    <w:link w:val="Heading2"/>
    <w:rsid w:val="000F6411"/>
    <w:rPr>
      <w:b/>
      <w:bCs/>
      <w:sz w:val="24"/>
      <w:szCs w:val="24"/>
    </w:rPr>
  </w:style>
  <w:style w:type="character" w:customStyle="1" w:styleId="HeaderChar">
    <w:name w:val="Header Char"/>
    <w:basedOn w:val="DefaultParagraphFont"/>
    <w:link w:val="Header"/>
    <w:rsid w:val="00325A5E"/>
    <w:rPr>
      <w:snapToGrid w:val="0"/>
      <w:sz w:val="24"/>
      <w:szCs w:val="24"/>
    </w:rPr>
  </w:style>
  <w:style w:type="character" w:customStyle="1" w:styleId="BodyTextIndentChar">
    <w:name w:val="Body Text Indent Char"/>
    <w:basedOn w:val="DefaultParagraphFont"/>
    <w:link w:val="BodyTextIndent"/>
    <w:rsid w:val="00325A5E"/>
    <w:rPr>
      <w:lang w:eastAsia="zh-CN"/>
    </w:rPr>
  </w:style>
  <w:style w:type="character" w:styleId="Hyperlink">
    <w:name w:val="Hyperlink"/>
    <w:basedOn w:val="DefaultParagraphFont"/>
    <w:unhideWhenUsed/>
    <w:rsid w:val="00603F3B"/>
    <w:rPr>
      <w:color w:val="0000FF" w:themeColor="hyperlink"/>
      <w:u w:val="single"/>
    </w:rPr>
  </w:style>
  <w:style w:type="character" w:styleId="UnresolvedMention">
    <w:name w:val="Unresolved Mention"/>
    <w:basedOn w:val="DefaultParagraphFont"/>
    <w:uiPriority w:val="99"/>
    <w:semiHidden/>
    <w:unhideWhenUsed/>
    <w:rsid w:val="00603F3B"/>
    <w:rPr>
      <w:color w:val="605E5C"/>
      <w:shd w:val="clear" w:color="auto" w:fill="E1DFDD"/>
    </w:rPr>
  </w:style>
  <w:style w:type="paragraph" w:styleId="Revision">
    <w:name w:val="Revision"/>
    <w:hidden/>
    <w:uiPriority w:val="99"/>
    <w:semiHidden/>
    <w:rsid w:val="005520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E46EA-43CB-4A9C-899E-735545A6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1970</Words>
  <Characters>11235</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DOCUMENTATION FOR THE GENERIC CLEARANCE</vt:lpstr>
      <vt:lpstr/>
      <vt:lpstr>    Request for Fast-Track Generic Clearance for the Collection </vt:lpstr>
      <vt:lpstr>    of Routine Customer Feedback on HHS Communications</vt:lpstr>
      <vt:lpstr/>
      <vt:lpstr>        Use of Information Technology and Burden Reduction</vt:lpstr>
      <vt:lpstr/>
      <vt:lpstr>        6.  Consequence of Collecting the Information Less Frequently</vt:lpstr>
      <vt:lpstr/>
      <vt:lpstr>        No costs are anticipated</vt:lpstr>
      <vt:lpstr/>
      <vt:lpstr>        14.  Annualized Cost to the Federal Government</vt:lpstr>
      <vt:lpstr>        15.  Explanation for Program Changes or Adjustments</vt:lpstr>
      <vt:lpstr>        17.  Reason(s) Display of OMB Expiration Date is Inappropriate</vt:lpstr>
      <vt:lpstr>        18.  Exceptions to Certification for Paperwork Reduction Act Submissions</vt:lpstr>
    </vt:vector>
  </TitlesOfParts>
  <Company>ssa</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Funn, Sherrette (OS/OCIO/CDO)</cp:lastModifiedBy>
  <cp:revision>2</cp:revision>
  <cp:lastPrinted>2017-05-23T15:23:00Z</cp:lastPrinted>
  <dcterms:created xsi:type="dcterms:W3CDTF">2023-10-12T15:44:00Z</dcterms:created>
  <dcterms:modified xsi:type="dcterms:W3CDTF">2023-10-12T15:44:00Z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