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0940" w:rsidRPr="00095EC6" w:rsidP="00095EC6" w14:paraId="15C2A6B3" w14:textId="5E227E36">
      <w:pPr>
        <w:pStyle w:val="PlainText"/>
        <w:jc w:val="center"/>
        <w:rPr>
          <w:rFonts w:ascii="Times New Roman" w:eastAsia="MS Mincho" w:hAnsi="Times New Roman" w:cs="Times New Roman"/>
          <w:sz w:val="24"/>
          <w:u w:val="single"/>
        </w:rPr>
      </w:pPr>
      <w:r w:rsidRPr="00095EC6">
        <w:rPr>
          <w:rFonts w:ascii="Times New Roman" w:eastAsia="MS Mincho" w:hAnsi="Times New Roman" w:cs="Times New Roman"/>
          <w:sz w:val="24"/>
          <w:u w:val="single"/>
        </w:rPr>
        <w:t>Supporting Statement</w:t>
      </w:r>
    </w:p>
    <w:p w:rsidR="00095EC6" w:rsidRPr="00294A1A" w:rsidP="00294A1A" w14:paraId="7C7FB67C" w14:textId="6674C64D">
      <w:pPr>
        <w:pStyle w:val="PlainText"/>
        <w:spacing w:after="240"/>
        <w:jc w:val="center"/>
        <w:rPr>
          <w:rFonts w:ascii="Times New Roman" w:eastAsia="MS Mincho" w:hAnsi="Times New Roman" w:cs="Times New Roman"/>
          <w:sz w:val="24"/>
          <w:u w:val="single"/>
        </w:rPr>
      </w:pPr>
      <w:r w:rsidRPr="00095EC6">
        <w:rPr>
          <w:rFonts w:ascii="Times New Roman" w:eastAsia="MS Mincho" w:hAnsi="Times New Roman" w:cs="Times New Roman"/>
          <w:sz w:val="24"/>
          <w:u w:val="single"/>
        </w:rPr>
        <w:t>OMB Control Number 1506-</w:t>
      </w:r>
      <w:r w:rsidR="00B23B45">
        <w:rPr>
          <w:rFonts w:ascii="Times New Roman" w:eastAsia="MS Mincho" w:hAnsi="Times New Roman" w:cs="Times New Roman"/>
          <w:sz w:val="24"/>
          <w:u w:val="single"/>
        </w:rPr>
        <w:t>007</w:t>
      </w:r>
      <w:r w:rsidR="00253761">
        <w:rPr>
          <w:rFonts w:ascii="Times New Roman" w:eastAsia="MS Mincho" w:hAnsi="Times New Roman" w:cs="Times New Roman"/>
          <w:sz w:val="24"/>
          <w:u w:val="single"/>
        </w:rPr>
        <w:t>7</w:t>
      </w:r>
      <w:r w:rsidR="00652B72">
        <w:rPr>
          <w:rFonts w:ascii="Times New Roman" w:eastAsia="MS Mincho" w:hAnsi="Times New Roman" w:cs="Times New Roman"/>
          <w:sz w:val="24"/>
          <w:u w:val="single"/>
        </w:rPr>
        <w:t xml:space="preserve"> (RIN 1506-</w:t>
      </w:r>
      <w:r w:rsidR="00DC1AC5">
        <w:rPr>
          <w:rFonts w:ascii="Times New Roman" w:eastAsia="MS Mincho" w:hAnsi="Times New Roman" w:cs="Times New Roman"/>
          <w:sz w:val="24"/>
          <w:u w:val="single"/>
        </w:rPr>
        <w:t>AB</w:t>
      </w:r>
      <w:r w:rsidR="00F22F70">
        <w:rPr>
          <w:rFonts w:ascii="Times New Roman" w:eastAsia="MS Mincho" w:hAnsi="Times New Roman" w:cs="Times New Roman"/>
          <w:sz w:val="24"/>
          <w:u w:val="single"/>
        </w:rPr>
        <w:t>5</w:t>
      </w:r>
      <w:r w:rsidR="00DC1AC5">
        <w:rPr>
          <w:rFonts w:ascii="Times New Roman" w:eastAsia="MS Mincho" w:hAnsi="Times New Roman" w:cs="Times New Roman"/>
          <w:sz w:val="24"/>
          <w:u w:val="single"/>
        </w:rPr>
        <w:t>9</w:t>
      </w:r>
      <w:r w:rsidR="00652B72">
        <w:rPr>
          <w:rFonts w:ascii="Times New Roman" w:eastAsia="MS Mincho" w:hAnsi="Times New Roman" w:cs="Times New Roman"/>
          <w:sz w:val="24"/>
          <w:u w:val="single"/>
        </w:rPr>
        <w:t>)</w:t>
      </w:r>
    </w:p>
    <w:p w:rsidR="00600940" w:rsidRPr="00294A1A" w:rsidP="00294A1A" w14:paraId="7B42B98C" w14:textId="1921BB25">
      <w:pPr>
        <w:autoSpaceDE w:val="0"/>
        <w:autoSpaceDN w:val="0"/>
        <w:adjustRightInd w:val="0"/>
        <w:spacing w:after="240"/>
        <w:jc w:val="center"/>
        <w:rPr>
          <w:color w:val="000000"/>
          <w:u w:val="single"/>
        </w:rPr>
      </w:pPr>
      <w:r w:rsidRPr="00095EC6">
        <w:rPr>
          <w:color w:val="000000"/>
          <w:u w:val="single"/>
        </w:rPr>
        <w:t xml:space="preserve">Beneficial Ownership </w:t>
      </w:r>
      <w:r w:rsidR="00AC76BF">
        <w:rPr>
          <w:color w:val="000000"/>
          <w:u w:val="single"/>
        </w:rPr>
        <w:t xml:space="preserve">Information </w:t>
      </w:r>
      <w:r w:rsidR="00413720">
        <w:rPr>
          <w:color w:val="000000"/>
          <w:u w:val="single"/>
        </w:rPr>
        <w:t>Access and Safegu</w:t>
      </w:r>
      <w:r w:rsidR="0083628A">
        <w:rPr>
          <w:color w:val="000000"/>
          <w:u w:val="single"/>
        </w:rPr>
        <w:t>ards</w:t>
      </w:r>
      <w:r w:rsidR="00AC76BF">
        <w:rPr>
          <w:color w:val="000000"/>
          <w:u w:val="single"/>
        </w:rPr>
        <w:t xml:space="preserve"> </w:t>
      </w:r>
    </w:p>
    <w:p w:rsidR="00A07E44" w:rsidRPr="00294A1A" w:rsidP="003E52C0" w14:paraId="200684CC" w14:textId="4A636FB3">
      <w:pPr>
        <w:pStyle w:val="PlainText"/>
        <w:numPr>
          <w:ilvl w:val="0"/>
          <w:numId w:val="10"/>
        </w:numPr>
        <w:rPr>
          <w:rFonts w:ascii="Times New Roman" w:hAnsi="Times New Roman" w:cs="Times New Roman"/>
          <w:sz w:val="24"/>
          <w:szCs w:val="22"/>
          <w:u w:val="single"/>
        </w:rPr>
      </w:pPr>
      <w:r>
        <w:rPr>
          <w:rFonts w:ascii="Times New Roman" w:hAnsi="Times New Roman" w:cs="Times New Roman"/>
          <w:sz w:val="24"/>
          <w:szCs w:val="22"/>
          <w:u w:val="single"/>
        </w:rPr>
        <w:t>Circumstanc</w:t>
      </w:r>
      <w:r w:rsidR="007E495B">
        <w:rPr>
          <w:rFonts w:ascii="Times New Roman" w:hAnsi="Times New Roman" w:cs="Times New Roman"/>
          <w:sz w:val="24"/>
          <w:szCs w:val="22"/>
          <w:u w:val="single"/>
        </w:rPr>
        <w:t>es necessitating collection of i</w:t>
      </w:r>
      <w:r>
        <w:rPr>
          <w:rFonts w:ascii="Times New Roman" w:hAnsi="Times New Roman" w:cs="Times New Roman"/>
          <w:sz w:val="24"/>
          <w:szCs w:val="22"/>
          <w:u w:val="single"/>
        </w:rPr>
        <w:t>nformation.</w:t>
      </w:r>
    </w:p>
    <w:p w:rsidR="00154F61" w:rsidP="003E52C0" w14:paraId="33973C5E" w14:textId="606EB91B">
      <w:pPr>
        <w:spacing w:before="284"/>
        <w:ind w:firstLine="720"/>
      </w:pPr>
      <w:r w:rsidRPr="003264BB">
        <w:t>The Financial Crimes Enforcement Netwo</w:t>
      </w:r>
      <w:r w:rsidRPr="00BD14B4">
        <w:t xml:space="preserve">rk (FinCEN) </w:t>
      </w:r>
      <w:r w:rsidR="00CC144B">
        <w:t xml:space="preserve">is issuing this statement to support </w:t>
      </w:r>
      <w:r w:rsidR="00E24B83">
        <w:t>its</w:t>
      </w:r>
      <w:r w:rsidR="00CC144B">
        <w:t xml:space="preserve"> request </w:t>
      </w:r>
      <w:r w:rsidR="00C06EDF">
        <w:t xml:space="preserve">that the </w:t>
      </w:r>
      <w:r w:rsidR="00CC144B">
        <w:t>O</w:t>
      </w:r>
      <w:r w:rsidR="00505331">
        <w:t>ffice of Management and Budget (O</w:t>
      </w:r>
      <w:r w:rsidR="00CC144B">
        <w:t>MB</w:t>
      </w:r>
      <w:r w:rsidR="00505331">
        <w:t>)</w:t>
      </w:r>
      <w:r w:rsidR="00CC144B">
        <w:t xml:space="preserve"> approv</w:t>
      </w:r>
      <w:r w:rsidR="005551BF">
        <w:t>e</w:t>
      </w:r>
      <w:r w:rsidR="00CC144B">
        <w:t xml:space="preserve"> a </w:t>
      </w:r>
      <w:r w:rsidR="00050C29">
        <w:t xml:space="preserve">final rule </w:t>
      </w:r>
      <w:r w:rsidRPr="00F6706A" w:rsidR="00812EA5">
        <w:t>regarding access</w:t>
      </w:r>
      <w:r w:rsidR="00812EA5">
        <w:t>, by certain authorized recipients,</w:t>
      </w:r>
      <w:r w:rsidRPr="00F6706A" w:rsidR="00812EA5">
        <w:t xml:space="preserve"> to </w:t>
      </w:r>
      <w:r w:rsidRPr="00EE106E" w:rsidR="00812EA5">
        <w:t>identifying information associated with reporting companies, their beneficial owners, and their company applicants</w:t>
      </w:r>
      <w:r w:rsidR="00812EA5">
        <w:t xml:space="preserve"> (together “beneficial ownership information” or</w:t>
      </w:r>
      <w:r w:rsidRPr="00EE106E" w:rsidR="00812EA5">
        <w:t xml:space="preserve"> </w:t>
      </w:r>
      <w:r w:rsidR="00812EA5">
        <w:t>“</w:t>
      </w:r>
      <w:r w:rsidRPr="00EE106E" w:rsidR="00812EA5">
        <w:t>BOI</w:t>
      </w:r>
      <w:r w:rsidR="00812EA5">
        <w:t>”</w:t>
      </w:r>
      <w:r w:rsidRPr="00EE106E" w:rsidR="00812EA5">
        <w:t>)</w:t>
      </w:r>
      <w:r w:rsidR="000A07D0">
        <w:t>, in order</w:t>
      </w:r>
      <w:r w:rsidRPr="00EE106E" w:rsidR="00812EA5">
        <w:t xml:space="preserve"> </w:t>
      </w:r>
      <w:r w:rsidR="00CF3B3E">
        <w:t xml:space="preserve">to implement the information collection </w:t>
      </w:r>
      <w:r w:rsidRPr="006F4560" w:rsidR="00CF3B3E">
        <w:t>required by</w:t>
      </w:r>
      <w:r w:rsidR="00CF3B3E">
        <w:t xml:space="preserve"> 31 U.S.C. 5336(c).  </w:t>
      </w:r>
      <w:r w:rsidR="00CC144B">
        <w:t xml:space="preserve">This statement </w:t>
      </w:r>
      <w:r w:rsidR="008B79B9">
        <w:t xml:space="preserve">identifies </w:t>
      </w:r>
      <w:r w:rsidR="00CC144B">
        <w:t>the estimated burden hours for th</w:t>
      </w:r>
      <w:r w:rsidR="008B79B9">
        <w:t>e</w:t>
      </w:r>
      <w:r w:rsidR="00CC144B">
        <w:t xml:space="preserve"> OMB control number</w:t>
      </w:r>
      <w:r w:rsidR="008B79B9">
        <w:t xml:space="preserve"> associated with </w:t>
      </w:r>
      <w:r w:rsidR="00BE4C82">
        <w:t xml:space="preserve">the final rule. </w:t>
      </w:r>
      <w:r w:rsidRPr="00484DB6" w:rsidR="00484DB6">
        <w:t xml:space="preserve"> </w:t>
      </w:r>
    </w:p>
    <w:p w:rsidR="009F7795" w:rsidRPr="0024531F" w:rsidP="0024531F" w14:paraId="020F3621" w14:textId="4586A036">
      <w:pPr>
        <w:pStyle w:val="BodyText"/>
        <w:ind w:right="115" w:firstLine="720"/>
        <w:rPr>
          <w:sz w:val="24"/>
          <w:szCs w:val="24"/>
        </w:rPr>
      </w:pPr>
      <w:r w:rsidRPr="00BD14B4">
        <w:rPr>
          <w:sz w:val="24"/>
          <w:szCs w:val="24"/>
        </w:rPr>
        <w:t>FinCEN exercises regulatory functions primarily under the Currency and F</w:t>
      </w:r>
      <w:r>
        <w:rPr>
          <w:sz w:val="24"/>
          <w:szCs w:val="24"/>
        </w:rPr>
        <w:t>oreign</w:t>
      </w:r>
      <w:r w:rsidRPr="00BD14B4">
        <w:rPr>
          <w:sz w:val="24"/>
          <w:szCs w:val="24"/>
        </w:rPr>
        <w:t xml:space="preserve"> Transactions Reporting Act of 1970, as amended</w:t>
      </w:r>
      <w:r w:rsidRPr="00C455D9">
        <w:rPr>
          <w:sz w:val="24"/>
          <w:szCs w:val="24"/>
        </w:rPr>
        <w:t xml:space="preserve"> </w:t>
      </w:r>
      <w:r w:rsidRPr="000C0227">
        <w:rPr>
          <w:sz w:val="24"/>
          <w:szCs w:val="24"/>
        </w:rPr>
        <w:t xml:space="preserve">by the Uniting and Strengthening America by Providing Appropriate Tools Required to Intercept and </w:t>
      </w:r>
      <w:r w:rsidRPr="000C0227">
        <w:rPr>
          <w:sz w:val="24"/>
          <w:szCs w:val="24"/>
        </w:rPr>
        <w:t>Obstruct Terrorism Act of 2001 (USA PATRIOT Act), Public Law 107–56 (October 26, 2001), and other legislation</w:t>
      </w:r>
      <w:r w:rsidRPr="00BD14B4">
        <w:rPr>
          <w:sz w:val="24"/>
          <w:szCs w:val="24"/>
        </w:rPr>
        <w:t>, including the Corporate Transparency Act (CTA).</w:t>
      </w:r>
      <w:r>
        <w:rPr>
          <w:sz w:val="24"/>
          <w:szCs w:val="24"/>
          <w:vertAlign w:val="superscript"/>
        </w:rPr>
        <w:footnoteReference w:id="3"/>
      </w:r>
      <w:r w:rsidRPr="00BD14B4">
        <w:rPr>
          <w:sz w:val="24"/>
          <w:szCs w:val="24"/>
        </w:rPr>
        <w:t>  Th</w:t>
      </w:r>
      <w:r>
        <w:rPr>
          <w:sz w:val="24"/>
          <w:szCs w:val="24"/>
        </w:rPr>
        <w:t xml:space="preserve">e overall </w:t>
      </w:r>
      <w:r w:rsidRPr="00BD14B4">
        <w:rPr>
          <w:sz w:val="24"/>
          <w:szCs w:val="24"/>
        </w:rPr>
        <w:t xml:space="preserve">legislative framework is commonly referred to as the Bank Secrecy Act (BSA).  The </w:t>
      </w:r>
      <w:r w:rsidRPr="00BD14B4">
        <w:rPr>
          <w:sz w:val="24"/>
          <w:szCs w:val="24"/>
        </w:rPr>
        <w:t xml:space="preserve">CTA added a new </w:t>
      </w:r>
      <w:r>
        <w:rPr>
          <w:sz w:val="24"/>
          <w:szCs w:val="24"/>
        </w:rPr>
        <w:t>s</w:t>
      </w:r>
      <w:r w:rsidRPr="00BD14B4">
        <w:rPr>
          <w:sz w:val="24"/>
          <w:szCs w:val="24"/>
        </w:rPr>
        <w:t xml:space="preserve">ection </w:t>
      </w:r>
      <w:r>
        <w:rPr>
          <w:sz w:val="24"/>
          <w:szCs w:val="24"/>
        </w:rPr>
        <w:t xml:space="preserve">to the BSA, </w:t>
      </w:r>
      <w:r w:rsidRPr="00BD14B4">
        <w:rPr>
          <w:sz w:val="24"/>
          <w:szCs w:val="24"/>
        </w:rPr>
        <w:t>31 U.S.C. 5336</w:t>
      </w:r>
      <w:r>
        <w:rPr>
          <w:sz w:val="24"/>
          <w:szCs w:val="24"/>
        </w:rPr>
        <w:t>,</w:t>
      </w:r>
      <w:r w:rsidRPr="00BD14B4">
        <w:rPr>
          <w:sz w:val="24"/>
          <w:szCs w:val="24"/>
        </w:rPr>
        <w:t xml:space="preserve"> to </w:t>
      </w:r>
      <w:r w:rsidRPr="00C8322F">
        <w:rPr>
          <w:sz w:val="24"/>
          <w:szCs w:val="24"/>
        </w:rPr>
        <w:t xml:space="preserve">provide for </w:t>
      </w:r>
      <w:r>
        <w:rPr>
          <w:sz w:val="24"/>
          <w:szCs w:val="24"/>
        </w:rPr>
        <w:t xml:space="preserve">FinCEN’s </w:t>
      </w:r>
      <w:r w:rsidRPr="00C8322F">
        <w:rPr>
          <w:sz w:val="24"/>
          <w:szCs w:val="24"/>
        </w:rPr>
        <w:t xml:space="preserve">collection of </w:t>
      </w:r>
      <w:r w:rsidRPr="0002275A">
        <w:rPr>
          <w:sz w:val="24"/>
          <w:szCs w:val="24"/>
        </w:rPr>
        <w:t xml:space="preserve">certain legal entities’ </w:t>
      </w:r>
      <w:r>
        <w:rPr>
          <w:sz w:val="24"/>
          <w:szCs w:val="24"/>
        </w:rPr>
        <w:t>BOI</w:t>
      </w:r>
      <w:r>
        <w:rPr>
          <w:rStyle w:val="FootnoteReference"/>
          <w:sz w:val="24"/>
          <w:szCs w:val="24"/>
        </w:rPr>
        <w:footnoteReference w:id="4"/>
      </w:r>
      <w:r>
        <w:rPr>
          <w:sz w:val="24"/>
          <w:szCs w:val="24"/>
        </w:rPr>
        <w:t xml:space="preserve"> and access by authorized recipients</w:t>
      </w:r>
      <w:r w:rsidRPr="00250785" w:rsidR="00250785">
        <w:rPr>
          <w:sz w:val="24"/>
          <w:szCs w:val="24"/>
        </w:rPr>
        <w:t xml:space="preserve"> to that BOI</w:t>
      </w:r>
      <w:r w:rsidRPr="00BD14B4">
        <w:rPr>
          <w:sz w:val="24"/>
          <w:szCs w:val="24"/>
        </w:rPr>
        <w:t>.</w:t>
      </w:r>
      <w:r w:rsidRPr="003264BB">
        <w:rPr>
          <w:sz w:val="24"/>
          <w:szCs w:val="24"/>
        </w:rPr>
        <w:t xml:space="preserve">  </w:t>
      </w:r>
    </w:p>
    <w:p w:rsidR="00D67187" w:rsidP="006F61FF" w14:paraId="532252E7" w14:textId="01C02234">
      <w:pPr>
        <w:pStyle w:val="BodyText"/>
        <w:ind w:right="115" w:firstLine="720"/>
        <w:rPr>
          <w:sz w:val="24"/>
          <w:szCs w:val="24"/>
        </w:rPr>
      </w:pPr>
      <w:r>
        <w:rPr>
          <w:sz w:val="24"/>
          <w:szCs w:val="24"/>
        </w:rPr>
        <w:t xml:space="preserve">To implement </w:t>
      </w:r>
      <w:r w:rsidR="00EB437F">
        <w:rPr>
          <w:sz w:val="24"/>
          <w:szCs w:val="24"/>
        </w:rPr>
        <w:t>the</w:t>
      </w:r>
      <w:r>
        <w:rPr>
          <w:sz w:val="24"/>
          <w:szCs w:val="24"/>
        </w:rPr>
        <w:t xml:space="preserve"> </w:t>
      </w:r>
      <w:r w:rsidR="005F5F18">
        <w:rPr>
          <w:sz w:val="24"/>
          <w:szCs w:val="24"/>
        </w:rPr>
        <w:t>reporting</w:t>
      </w:r>
      <w:r w:rsidRPr="00DF1231">
        <w:rPr>
          <w:sz w:val="24"/>
          <w:szCs w:val="24"/>
        </w:rPr>
        <w:t xml:space="preserve"> provision at 31 U.S.C. 5336(b), </w:t>
      </w:r>
      <w:r>
        <w:rPr>
          <w:sz w:val="24"/>
          <w:szCs w:val="24"/>
        </w:rPr>
        <w:t>FinCEN issued regulation</w:t>
      </w:r>
      <w:r w:rsidR="00576AF0">
        <w:rPr>
          <w:sz w:val="24"/>
          <w:szCs w:val="24"/>
        </w:rPr>
        <w:t>s</w:t>
      </w:r>
      <w:r>
        <w:rPr>
          <w:sz w:val="24"/>
          <w:szCs w:val="24"/>
        </w:rPr>
        <w:t xml:space="preserve"> </w:t>
      </w:r>
      <w:r>
        <w:rPr>
          <w:sz w:val="24"/>
          <w:szCs w:val="24"/>
        </w:rPr>
        <w:t>at 31 CFR 1010.380 that require certain entities (“reporting companies”) to report their BOI to FinCEN beginning January 1, 2024</w:t>
      </w:r>
      <w:r w:rsidRPr="00060ED4">
        <w:rPr>
          <w:sz w:val="24"/>
          <w:szCs w:val="24"/>
        </w:rPr>
        <w:t>.</w:t>
      </w:r>
      <w:r>
        <w:rPr>
          <w:sz w:val="24"/>
          <w:szCs w:val="24"/>
          <w:vertAlign w:val="superscript"/>
        </w:rPr>
        <w:footnoteReference w:id="5"/>
      </w:r>
      <w:r>
        <w:rPr>
          <w:sz w:val="24"/>
          <w:szCs w:val="24"/>
        </w:rPr>
        <w:t xml:space="preserve">  The CTA authorizes FinCEN to disclose this BOI to</w:t>
      </w:r>
      <w:r w:rsidRPr="001F0ABB">
        <w:rPr>
          <w:sz w:val="24"/>
          <w:szCs w:val="24"/>
        </w:rPr>
        <w:t xml:space="preserve"> </w:t>
      </w:r>
      <w:r w:rsidR="00DB13EF">
        <w:rPr>
          <w:sz w:val="24"/>
          <w:szCs w:val="24"/>
        </w:rPr>
        <w:t xml:space="preserve">certain </w:t>
      </w:r>
      <w:r w:rsidRPr="001F0ABB">
        <w:rPr>
          <w:sz w:val="24"/>
          <w:szCs w:val="24"/>
        </w:rPr>
        <w:t>government agencies, financial institutions, and financial</w:t>
      </w:r>
      <w:r w:rsidRPr="00A75BDB" w:rsidR="00A75BDB">
        <w:rPr>
          <w:sz w:val="24"/>
          <w:szCs w:val="24"/>
        </w:rPr>
        <w:t xml:space="preserve"> </w:t>
      </w:r>
      <w:r w:rsidRPr="001F0ABB">
        <w:rPr>
          <w:sz w:val="24"/>
          <w:szCs w:val="24"/>
        </w:rPr>
        <w:t>regulators, subject to appropriate protocols</w:t>
      </w:r>
      <w:r>
        <w:rPr>
          <w:sz w:val="24"/>
          <w:szCs w:val="24"/>
        </w:rPr>
        <w:t>.</w:t>
      </w:r>
      <w:r>
        <w:rPr>
          <w:rStyle w:val="FootnoteReference"/>
          <w:sz w:val="24"/>
          <w:szCs w:val="24"/>
        </w:rPr>
        <w:footnoteReference w:id="6"/>
      </w:r>
      <w:r>
        <w:rPr>
          <w:sz w:val="24"/>
          <w:szCs w:val="24"/>
        </w:rPr>
        <w:t xml:space="preserve">  These disclosures support law enforcement, intelligence, and national security activities and they facilitate customer due diligence efforts by financial institutions.  The CTA further requires FinCEN to mak</w:t>
      </w:r>
      <w:r>
        <w:rPr>
          <w:sz w:val="24"/>
          <w:szCs w:val="24"/>
        </w:rPr>
        <w:t xml:space="preserve">e BOI accessible for inspection or disclosure </w:t>
      </w:r>
      <w:r w:rsidRPr="0060078F">
        <w:rPr>
          <w:sz w:val="24"/>
          <w:szCs w:val="24"/>
        </w:rPr>
        <w:t xml:space="preserve">to </w:t>
      </w:r>
      <w:r w:rsidRPr="00654425">
        <w:rPr>
          <w:sz w:val="24"/>
          <w:szCs w:val="24"/>
        </w:rPr>
        <w:t>officers and employees of the Dep</w:t>
      </w:r>
      <w:r w:rsidRPr="00752C3B">
        <w:rPr>
          <w:sz w:val="24"/>
          <w:szCs w:val="24"/>
        </w:rPr>
        <w:t xml:space="preserve">artment of the Treasury </w:t>
      </w:r>
      <w:r>
        <w:rPr>
          <w:sz w:val="24"/>
          <w:szCs w:val="24"/>
        </w:rPr>
        <w:t xml:space="preserve">(Treasury) </w:t>
      </w:r>
      <w:r w:rsidRPr="00654425">
        <w:rPr>
          <w:sz w:val="24"/>
          <w:szCs w:val="24"/>
        </w:rPr>
        <w:t>whose official duties require such inspection or disclosure</w:t>
      </w:r>
      <w:r>
        <w:rPr>
          <w:sz w:val="24"/>
          <w:szCs w:val="24"/>
        </w:rPr>
        <w:t>, or for tax administration.</w:t>
      </w:r>
      <w:r>
        <w:rPr>
          <w:rStyle w:val="FootnoteReference"/>
          <w:sz w:val="24"/>
          <w:szCs w:val="24"/>
        </w:rPr>
        <w:footnoteReference w:id="7"/>
      </w:r>
      <w:r>
        <w:rPr>
          <w:sz w:val="24"/>
          <w:szCs w:val="24"/>
        </w:rPr>
        <w:t xml:space="preserve">  </w:t>
      </w:r>
      <w:r w:rsidRPr="003E52C0" w:rsidR="007C5864">
        <w:rPr>
          <w:rStyle w:val="cf01"/>
          <w:rFonts w:ascii="Times New Roman" w:hAnsi="Times New Roman" w:cs="Times New Roman"/>
          <w:sz w:val="24"/>
          <w:szCs w:val="24"/>
        </w:rPr>
        <w:t>Consistent with the CTA, FinCEN will permit certain Federal, State, local, and Tribal officials, as well as foreign officials</w:t>
      </w:r>
      <w:r w:rsidR="007C5864">
        <w:rPr>
          <w:rStyle w:val="cf01"/>
          <w:rFonts w:ascii="Times New Roman" w:hAnsi="Times New Roman" w:cs="Times New Roman"/>
          <w:sz w:val="24"/>
          <w:szCs w:val="24"/>
        </w:rPr>
        <w:t xml:space="preserve"> </w:t>
      </w:r>
      <w:r w:rsidR="00975151">
        <w:rPr>
          <w:rStyle w:val="cf01"/>
          <w:rFonts w:ascii="Times New Roman" w:hAnsi="Times New Roman" w:cs="Times New Roman"/>
          <w:sz w:val="24"/>
          <w:szCs w:val="24"/>
        </w:rPr>
        <w:t>that</w:t>
      </w:r>
      <w:r w:rsidRPr="003E52C0" w:rsidR="007C5864">
        <w:rPr>
          <w:rStyle w:val="cf01"/>
          <w:rFonts w:ascii="Times New Roman" w:hAnsi="Times New Roman" w:cs="Times New Roman"/>
          <w:sz w:val="24"/>
          <w:szCs w:val="24"/>
        </w:rPr>
        <w:t xml:space="preserve"> </w:t>
      </w:r>
      <w:r w:rsidR="008B1C2A">
        <w:rPr>
          <w:rStyle w:val="cf01"/>
          <w:rFonts w:ascii="Times New Roman" w:hAnsi="Times New Roman" w:cs="Times New Roman"/>
          <w:sz w:val="24"/>
          <w:szCs w:val="24"/>
        </w:rPr>
        <w:t xml:space="preserve">request </w:t>
      </w:r>
      <w:r w:rsidR="008B1C2A">
        <w:rPr>
          <w:rStyle w:val="cf01"/>
          <w:rFonts w:ascii="Times New Roman" w:hAnsi="Times New Roman" w:cs="Times New Roman"/>
          <w:sz w:val="24"/>
          <w:szCs w:val="24"/>
        </w:rPr>
        <w:t>BOI</w:t>
      </w:r>
      <w:r w:rsidRPr="003E52C0" w:rsidR="007C5864">
        <w:rPr>
          <w:rStyle w:val="cf01"/>
          <w:rFonts w:ascii="Times New Roman" w:hAnsi="Times New Roman" w:cs="Times New Roman"/>
          <w:sz w:val="24"/>
          <w:szCs w:val="24"/>
        </w:rPr>
        <w:t xml:space="preserve"> through a Federal agency</w:t>
      </w:r>
      <w:r w:rsidR="00D15FEC">
        <w:rPr>
          <w:rStyle w:val="cf01"/>
          <w:rFonts w:ascii="Times New Roman" w:hAnsi="Times New Roman" w:cs="Times New Roman"/>
          <w:sz w:val="24"/>
          <w:szCs w:val="24"/>
        </w:rPr>
        <w:t xml:space="preserve"> (“foreign requesters”)</w:t>
      </w:r>
      <w:r w:rsidRPr="003E52C0" w:rsidR="007C5864">
        <w:rPr>
          <w:rStyle w:val="cf01"/>
          <w:rFonts w:ascii="Times New Roman" w:hAnsi="Times New Roman" w:cs="Times New Roman"/>
          <w:sz w:val="24"/>
          <w:szCs w:val="24"/>
        </w:rPr>
        <w:t xml:space="preserve">, to obtain BOI for use in furtherance of statutorily authorized activities such as those related to national security, intelligence, and law enforcement. </w:t>
      </w:r>
      <w:r w:rsidRPr="003E52C0" w:rsidR="00364447">
        <w:rPr>
          <w:rStyle w:val="cf01"/>
          <w:rFonts w:ascii="Times New Roman" w:hAnsi="Times New Roman" w:cs="Times New Roman"/>
          <w:sz w:val="24"/>
          <w:szCs w:val="24"/>
        </w:rPr>
        <w:t xml:space="preserve"> </w:t>
      </w:r>
      <w:r w:rsidRPr="003E52C0" w:rsidR="007C5864">
        <w:rPr>
          <w:rStyle w:val="cf01"/>
          <w:rFonts w:ascii="Times New Roman" w:hAnsi="Times New Roman" w:cs="Times New Roman"/>
          <w:sz w:val="24"/>
          <w:szCs w:val="24"/>
        </w:rPr>
        <w:t>Financial institutions with customer due diligence requirements under applicable law will have access to BOI to facilitate compliance with those requirements, as will the Federal functional regulators or other appropriate regulatory agencies that supervise or assess those financial institutions’ compliance with such requirements.</w:t>
      </w:r>
    </w:p>
    <w:p w:rsidR="00E25A5A" w:rsidP="006F61FF" w14:paraId="738071A2" w14:textId="621B9A03">
      <w:pPr>
        <w:pStyle w:val="BodyText"/>
        <w:spacing w:before="284"/>
        <w:ind w:right="115" w:firstLine="720"/>
      </w:pPr>
      <w:r w:rsidRPr="00562418">
        <w:rPr>
          <w:sz w:val="24"/>
          <w:szCs w:val="24"/>
        </w:rPr>
        <w:t>FinCEN intends to</w:t>
      </w:r>
      <w:r>
        <w:rPr>
          <w:sz w:val="24"/>
          <w:szCs w:val="24"/>
        </w:rPr>
        <w:t xml:space="preserve"> store BOI in, and manage requests for BOI through, a secure </w:t>
      </w:r>
      <w:r w:rsidRPr="00562418">
        <w:rPr>
          <w:sz w:val="24"/>
          <w:szCs w:val="24"/>
        </w:rPr>
        <w:t>beneficial ownership IT system</w:t>
      </w:r>
      <w:r w:rsidR="00200ABF">
        <w:rPr>
          <w:sz w:val="24"/>
          <w:szCs w:val="24"/>
        </w:rPr>
        <w:t xml:space="preserve"> (BO IT </w:t>
      </w:r>
      <w:r w:rsidR="0091705A">
        <w:rPr>
          <w:sz w:val="24"/>
          <w:szCs w:val="24"/>
        </w:rPr>
        <w:t>s</w:t>
      </w:r>
      <w:r w:rsidR="00200ABF">
        <w:rPr>
          <w:sz w:val="24"/>
          <w:szCs w:val="24"/>
        </w:rPr>
        <w:t>ystem)</w:t>
      </w:r>
      <w:r w:rsidR="006D2329">
        <w:rPr>
          <w:sz w:val="24"/>
          <w:szCs w:val="24"/>
        </w:rPr>
        <w:t>.</w:t>
      </w:r>
      <w:r>
        <w:rPr>
          <w:sz w:val="24"/>
          <w:szCs w:val="24"/>
        </w:rPr>
        <w:t xml:space="preserve">  </w:t>
      </w:r>
      <w:r w:rsidR="00BE16FB">
        <w:rPr>
          <w:sz w:val="24"/>
          <w:szCs w:val="24"/>
        </w:rPr>
        <w:t>For the purposes of this Supporting Statement</w:t>
      </w:r>
      <w:r w:rsidR="00977CEE">
        <w:rPr>
          <w:sz w:val="24"/>
          <w:szCs w:val="24"/>
        </w:rPr>
        <w:t>, t</w:t>
      </w:r>
      <w:r w:rsidRPr="003E52C0" w:rsidR="00822D81">
        <w:rPr>
          <w:sz w:val="24"/>
          <w:szCs w:val="24"/>
        </w:rPr>
        <w:t xml:space="preserve">he term </w:t>
      </w:r>
      <w:r w:rsidR="003E7BCC">
        <w:rPr>
          <w:rStyle w:val="cf01"/>
          <w:rFonts w:ascii="Times New Roman" w:hAnsi="Times New Roman" w:cs="Times New Roman"/>
          <w:sz w:val="24"/>
          <w:szCs w:val="24"/>
        </w:rPr>
        <w:t>“</w:t>
      </w:r>
      <w:r w:rsidRPr="00822D81" w:rsidR="00822D81">
        <w:rPr>
          <w:rStyle w:val="cf01"/>
          <w:rFonts w:ascii="Times New Roman" w:hAnsi="Times New Roman" w:cs="Times New Roman"/>
          <w:sz w:val="24"/>
          <w:szCs w:val="24"/>
        </w:rPr>
        <w:t xml:space="preserve">BO IT </w:t>
      </w:r>
      <w:r w:rsidR="0091705A">
        <w:rPr>
          <w:rStyle w:val="cf01"/>
          <w:rFonts w:ascii="Times New Roman" w:hAnsi="Times New Roman" w:cs="Times New Roman"/>
          <w:sz w:val="24"/>
          <w:szCs w:val="24"/>
        </w:rPr>
        <w:t>s</w:t>
      </w:r>
      <w:r w:rsidRPr="00822D81" w:rsidR="00822D81">
        <w:rPr>
          <w:rStyle w:val="cf01"/>
          <w:rFonts w:ascii="Times New Roman" w:hAnsi="Times New Roman" w:cs="Times New Roman"/>
          <w:sz w:val="24"/>
          <w:szCs w:val="24"/>
        </w:rPr>
        <w:t>ystem access request</w:t>
      </w:r>
      <w:r w:rsidR="003E7BCC">
        <w:rPr>
          <w:rStyle w:val="cf01"/>
          <w:rFonts w:ascii="Times New Roman" w:hAnsi="Times New Roman" w:cs="Times New Roman"/>
          <w:sz w:val="24"/>
          <w:szCs w:val="24"/>
        </w:rPr>
        <w:t>”</w:t>
      </w:r>
      <w:r w:rsidRPr="00822D81" w:rsidR="00822D81">
        <w:rPr>
          <w:rStyle w:val="cf01"/>
          <w:rFonts w:ascii="Times New Roman" w:hAnsi="Times New Roman" w:cs="Times New Roman"/>
          <w:sz w:val="24"/>
          <w:szCs w:val="24"/>
        </w:rPr>
        <w:t xml:space="preserve"> refers to a request from an authorized recipient to FinCEN for access to the BO IT </w:t>
      </w:r>
      <w:r w:rsidR="004E3D4B">
        <w:rPr>
          <w:rStyle w:val="cf01"/>
          <w:rFonts w:ascii="Times New Roman" w:hAnsi="Times New Roman" w:cs="Times New Roman"/>
          <w:sz w:val="24"/>
          <w:szCs w:val="24"/>
        </w:rPr>
        <w:t>s</w:t>
      </w:r>
      <w:r w:rsidRPr="00822D81" w:rsidR="00822D81">
        <w:rPr>
          <w:rStyle w:val="cf01"/>
          <w:rFonts w:ascii="Times New Roman" w:hAnsi="Times New Roman" w:cs="Times New Roman"/>
          <w:sz w:val="24"/>
          <w:szCs w:val="24"/>
        </w:rPr>
        <w:t>ystem</w:t>
      </w:r>
      <w:r w:rsidR="00BE16FB">
        <w:rPr>
          <w:rStyle w:val="cf01"/>
          <w:rFonts w:ascii="Times New Roman" w:hAnsi="Times New Roman" w:cs="Times New Roman"/>
          <w:sz w:val="24"/>
          <w:szCs w:val="24"/>
        </w:rPr>
        <w:t>, and</w:t>
      </w:r>
      <w:r w:rsidRPr="00822D81" w:rsidR="00822D81">
        <w:rPr>
          <w:rStyle w:val="cf01"/>
          <w:rFonts w:ascii="Times New Roman" w:hAnsi="Times New Roman" w:cs="Times New Roman"/>
          <w:sz w:val="24"/>
          <w:szCs w:val="24"/>
        </w:rPr>
        <w:t xml:space="preserve"> the term </w:t>
      </w:r>
      <w:r w:rsidR="003E7BCC">
        <w:rPr>
          <w:rStyle w:val="cf01"/>
          <w:rFonts w:ascii="Times New Roman" w:hAnsi="Times New Roman" w:cs="Times New Roman"/>
          <w:sz w:val="24"/>
          <w:szCs w:val="24"/>
        </w:rPr>
        <w:t>“</w:t>
      </w:r>
      <w:r w:rsidRPr="00822D81" w:rsidR="00822D81">
        <w:rPr>
          <w:rStyle w:val="cf01"/>
          <w:rFonts w:ascii="Times New Roman" w:hAnsi="Times New Roman" w:cs="Times New Roman"/>
          <w:sz w:val="24"/>
          <w:szCs w:val="24"/>
        </w:rPr>
        <w:t>BOI request</w:t>
      </w:r>
      <w:r w:rsidR="003E7BCC">
        <w:rPr>
          <w:rStyle w:val="cf01"/>
          <w:rFonts w:ascii="Times New Roman" w:hAnsi="Times New Roman" w:cs="Times New Roman"/>
          <w:sz w:val="24"/>
          <w:szCs w:val="24"/>
        </w:rPr>
        <w:t>”</w:t>
      </w:r>
      <w:r w:rsidRPr="00822D81" w:rsidR="00822D81">
        <w:rPr>
          <w:rStyle w:val="cf01"/>
          <w:rFonts w:ascii="Times New Roman" w:hAnsi="Times New Roman" w:cs="Times New Roman"/>
          <w:sz w:val="24"/>
          <w:szCs w:val="24"/>
        </w:rPr>
        <w:t xml:space="preserve"> refers to a request from an authorized recipient to FinCEN for a specific BOI report on a reporting company.</w:t>
      </w:r>
      <w:r w:rsidR="00822D81">
        <w:rPr>
          <w:rStyle w:val="cf01"/>
        </w:rPr>
        <w:t xml:space="preserve">  </w:t>
      </w:r>
      <w:r>
        <w:rPr>
          <w:sz w:val="24"/>
          <w:szCs w:val="24"/>
        </w:rPr>
        <w:t xml:space="preserve">The CTA requires the Secretary of the Treasury (Secretary) to establish protocols to safeguard BOI that </w:t>
      </w:r>
      <w:r w:rsidR="00FB6B41">
        <w:rPr>
          <w:sz w:val="24"/>
          <w:szCs w:val="24"/>
        </w:rPr>
        <w:t xml:space="preserve">authorized recipients </w:t>
      </w:r>
      <w:r>
        <w:rPr>
          <w:sz w:val="24"/>
          <w:szCs w:val="24"/>
        </w:rPr>
        <w:t xml:space="preserve">must implement as a condition of accessing </w:t>
      </w:r>
      <w:r w:rsidR="00DA4220">
        <w:rPr>
          <w:sz w:val="24"/>
          <w:szCs w:val="24"/>
        </w:rPr>
        <w:t>BOI</w:t>
      </w:r>
      <w:r>
        <w:rPr>
          <w:sz w:val="24"/>
          <w:szCs w:val="24"/>
        </w:rPr>
        <w:t>.</w:t>
      </w:r>
      <w:r>
        <w:rPr>
          <w:rStyle w:val="FootnoteReference"/>
          <w:sz w:val="24"/>
          <w:szCs w:val="24"/>
        </w:rPr>
        <w:footnoteReference w:id="8"/>
      </w:r>
      <w:r>
        <w:rPr>
          <w:sz w:val="24"/>
          <w:szCs w:val="24"/>
        </w:rPr>
        <w:t xml:space="preserve">  These protocols vary by the t</w:t>
      </w:r>
      <w:r>
        <w:rPr>
          <w:sz w:val="24"/>
          <w:szCs w:val="24"/>
        </w:rPr>
        <w:t>ype of requester and, in the case of some requester types, constitute information collections under the Paperwork Reduction Act (PRA).  This supporting statement provides information about the reporting and recordkeeping burdens associated with those colle</w:t>
      </w:r>
      <w:r>
        <w:rPr>
          <w:sz w:val="24"/>
          <w:szCs w:val="24"/>
        </w:rPr>
        <w:t xml:space="preserve">ctions.  Consistent with PRA requirements, it only considers burdens incurred by “persons” deemed to be members of the public </w:t>
      </w:r>
      <w:r w:rsidR="001575AA">
        <w:rPr>
          <w:sz w:val="24"/>
          <w:szCs w:val="24"/>
        </w:rPr>
        <w:t xml:space="preserve">— </w:t>
      </w:r>
      <w:r>
        <w:rPr>
          <w:sz w:val="24"/>
          <w:szCs w:val="24"/>
        </w:rPr>
        <w:t xml:space="preserve">a category that does not include Federal agencies or foreign national governments, although both will be eligible to </w:t>
      </w:r>
      <w:r>
        <w:rPr>
          <w:sz w:val="24"/>
          <w:szCs w:val="24"/>
        </w:rPr>
        <w:t>request BOI from FinCEN under certain circumstances.</w:t>
      </w:r>
      <w:r>
        <w:rPr>
          <w:rStyle w:val="FootnoteReference"/>
          <w:sz w:val="24"/>
          <w:szCs w:val="24"/>
        </w:rPr>
        <w:footnoteReference w:id="9"/>
      </w:r>
      <w:r w:rsidRPr="00D140BE">
        <w:rPr>
          <w:sz w:val="24"/>
          <w:szCs w:val="24"/>
        </w:rPr>
        <w:t xml:space="preserve"> </w:t>
      </w:r>
    </w:p>
    <w:p w:rsidR="00D86196" w:rsidP="006F61FF" w14:paraId="7BAF3053" w14:textId="7F143C16">
      <w:pPr>
        <w:autoSpaceDE w:val="0"/>
        <w:autoSpaceDN w:val="0"/>
        <w:adjustRightInd w:val="0"/>
        <w:spacing w:before="284"/>
        <w:ind w:firstLine="720"/>
      </w:pPr>
      <w:r>
        <w:t xml:space="preserve">This supporting statement analyzes burdens </w:t>
      </w:r>
      <w:r w:rsidR="003171E8">
        <w:t xml:space="preserve">associated with </w:t>
      </w:r>
      <w:r w:rsidR="002E5039">
        <w:t>three categories of persons: (1)</w:t>
      </w:r>
      <w:r w:rsidRPr="00A13F12" w:rsidR="00A13F12">
        <w:rPr>
          <w:i/>
        </w:rPr>
        <w:t xml:space="preserve"> </w:t>
      </w:r>
      <w:r w:rsidRPr="00A13F12" w:rsidR="00A13F12">
        <w:t>State, local and Tribal agencies</w:t>
      </w:r>
      <w:r w:rsidR="00A13F12">
        <w:t>;</w:t>
      </w:r>
      <w:r w:rsidR="002E5039">
        <w:t xml:space="preserve"> (2)</w:t>
      </w:r>
      <w:r w:rsidRPr="00A13F12" w:rsidR="00A13F12">
        <w:t xml:space="preserve"> </w:t>
      </w:r>
      <w:r w:rsidRPr="00F34A02" w:rsidR="00F34A02">
        <w:t xml:space="preserve">financial </w:t>
      </w:r>
      <w:r w:rsidRPr="00A13F12" w:rsidR="0013617E">
        <w:t>institutions with customer due diligence obligations</w:t>
      </w:r>
      <w:r w:rsidR="0013617E">
        <w:t xml:space="preserve"> under applicable law</w:t>
      </w:r>
      <w:r w:rsidR="0013617E">
        <w:rPr>
          <w:rStyle w:val="cf01"/>
          <w:rFonts w:ascii="Times New Roman" w:hAnsi="Times New Roman" w:cs="Times New Roman"/>
          <w:sz w:val="24"/>
          <w:szCs w:val="24"/>
        </w:rPr>
        <w:t xml:space="preserve">; and </w:t>
      </w:r>
      <w:r w:rsidR="000E37CE">
        <w:rPr>
          <w:rStyle w:val="cf01"/>
          <w:rFonts w:ascii="Times New Roman" w:hAnsi="Times New Roman" w:cs="Times New Roman"/>
          <w:sz w:val="24"/>
          <w:szCs w:val="24"/>
        </w:rPr>
        <w:t xml:space="preserve">(3) </w:t>
      </w:r>
      <w:r w:rsidRPr="00F34A02" w:rsidR="00F34A02">
        <w:t xml:space="preserve">financial self-regulatory organizations </w:t>
      </w:r>
      <w:r w:rsidR="00F34A02">
        <w:t>(</w:t>
      </w:r>
      <w:r w:rsidRPr="00A13F12" w:rsidR="00A13F12">
        <w:t>SROs</w:t>
      </w:r>
      <w:r w:rsidR="00F34A02">
        <w:t>)</w:t>
      </w:r>
      <w:r w:rsidR="0013617E">
        <w:t>.</w:t>
      </w:r>
      <w:r w:rsidR="00773A08">
        <w:t xml:space="preserve">  </w:t>
      </w:r>
      <w:r>
        <w:t xml:space="preserve">In order to access BOI, FinCEN </w:t>
      </w:r>
      <w:r w:rsidR="002213DE">
        <w:t>will</w:t>
      </w:r>
      <w:r>
        <w:t xml:space="preserve"> require requesters to submit information with</w:t>
      </w:r>
      <w:r w:rsidR="00E6706D">
        <w:t>,</w:t>
      </w:r>
      <w:r>
        <w:t xml:space="preserve"> or retain information about</w:t>
      </w:r>
      <w:r w:rsidR="00E6706D">
        <w:t>,</w:t>
      </w:r>
      <w:r>
        <w:t xml:space="preserve"> each request for BOI</w:t>
      </w:r>
      <w:r w:rsidR="006960D2">
        <w:t>, which</w:t>
      </w:r>
      <w:r>
        <w:t xml:space="preserve"> FinCEN can use to confirm compliance with CT</w:t>
      </w:r>
      <w:r>
        <w:t xml:space="preserve">A requirements. </w:t>
      </w:r>
      <w:r w:rsidR="00266A1E">
        <w:t xml:space="preserve"> </w:t>
      </w:r>
      <w:r w:rsidRPr="0061449E" w:rsidR="001836AB">
        <w:t xml:space="preserve">The requirements that must be met in order for authorized recipients to obtain BOI will </w:t>
      </w:r>
      <w:r w:rsidR="001836AB">
        <w:t xml:space="preserve">be </w:t>
      </w:r>
      <w:r w:rsidRPr="0061449E" w:rsidR="001836AB">
        <w:t>specified in the final rule and codified at 31</w:t>
      </w:r>
      <w:r w:rsidR="001836AB">
        <w:t xml:space="preserve"> CFR</w:t>
      </w:r>
      <w:r w:rsidRPr="00921954" w:rsidR="001836AB">
        <w:rPr>
          <w:rFonts w:eastAsia="Calibri"/>
          <w:b/>
          <w:bCs/>
        </w:rPr>
        <w:t xml:space="preserve"> </w:t>
      </w:r>
      <w:r w:rsidRPr="00881C22" w:rsidR="001836AB">
        <w:rPr>
          <w:rFonts w:eastAsia="Calibri"/>
        </w:rPr>
        <w:t>1010.955</w:t>
      </w:r>
      <w:r w:rsidR="001836AB">
        <w:t xml:space="preserve">. </w:t>
      </w:r>
    </w:p>
    <w:p w:rsidR="00E56F42" w:rsidP="006F61FF" w14:paraId="0939220E" w14:textId="15D42324">
      <w:pPr>
        <w:autoSpaceDE w:val="0"/>
        <w:autoSpaceDN w:val="0"/>
        <w:adjustRightInd w:val="0"/>
        <w:spacing w:before="284"/>
        <w:ind w:firstLine="720"/>
      </w:pPr>
      <w:r w:rsidRPr="00635BE7">
        <w:t xml:space="preserve">The collection of information is necessary to comply with the CTA requirement that BOI </w:t>
      </w:r>
      <w:r w:rsidR="00FA7F09">
        <w:t xml:space="preserve">is disclosed </w:t>
      </w:r>
      <w:r w:rsidRPr="00635BE7">
        <w:t>only to authorized recipients.</w:t>
      </w:r>
      <w:r>
        <w:t xml:space="preserve"> </w:t>
      </w:r>
      <w:r w:rsidR="0047478A">
        <w:t xml:space="preserve">FinCEN expects </w:t>
      </w:r>
      <w:r w:rsidRPr="00904224" w:rsidR="0047478A">
        <w:t xml:space="preserve">that </w:t>
      </w:r>
      <w:r w:rsidR="00D86196">
        <w:t xml:space="preserve">the </w:t>
      </w:r>
      <w:r w:rsidRPr="00904224" w:rsidR="0047478A">
        <w:t xml:space="preserve">information </w:t>
      </w:r>
      <w:r w:rsidR="0047478A">
        <w:t xml:space="preserve">collection </w:t>
      </w:r>
      <w:r w:rsidRPr="00904224" w:rsidR="0047478A">
        <w:t xml:space="preserve">would </w:t>
      </w:r>
      <w:r w:rsidR="0047478A">
        <w:t>occur</w:t>
      </w:r>
      <w:r w:rsidRPr="00904224" w:rsidR="0047478A">
        <w:t xml:space="preserve"> </w:t>
      </w:r>
      <w:r w:rsidR="0047478A">
        <w:t>electronically</w:t>
      </w:r>
      <w:r w:rsidRPr="00904224" w:rsidR="0047478A">
        <w:t xml:space="preserve"> in the form and manner prescribed by FinCEN</w:t>
      </w:r>
      <w:r w:rsidRPr="005B38E7" w:rsidR="0047478A">
        <w:t xml:space="preserve">.  </w:t>
      </w:r>
      <w:r w:rsidR="00F63010">
        <w:t>FinCEN has aimed to reduce unnecessary burdens on authorized recipients to the extent practicable</w:t>
      </w:r>
      <w:r w:rsidR="0028673C">
        <w:t>.</w:t>
      </w:r>
      <w:r w:rsidR="00F63010">
        <w:t xml:space="preserve"> </w:t>
      </w:r>
    </w:p>
    <w:p w:rsidR="003E52C0" w:rsidP="00DF1AEF" w14:paraId="7E636F7D" w14:textId="728FE64F">
      <w:pPr>
        <w:numPr>
          <w:ilvl w:val="0"/>
          <w:numId w:val="10"/>
        </w:numPr>
        <w:spacing w:before="284"/>
      </w:pPr>
      <w:r>
        <w:rPr>
          <w:u w:val="single"/>
        </w:rPr>
        <w:t>Method of c</w:t>
      </w:r>
      <w:r w:rsidR="00600940">
        <w:rPr>
          <w:u w:val="single"/>
        </w:rPr>
        <w:t xml:space="preserve">ollection and </w:t>
      </w:r>
      <w:r>
        <w:rPr>
          <w:u w:val="single"/>
        </w:rPr>
        <w:t>u</w:t>
      </w:r>
      <w:r w:rsidR="00600940">
        <w:rPr>
          <w:u w:val="single"/>
        </w:rPr>
        <w:t xml:space="preserve">se of </w:t>
      </w:r>
      <w:r>
        <w:rPr>
          <w:u w:val="single"/>
        </w:rPr>
        <w:t>d</w:t>
      </w:r>
      <w:r w:rsidRPr="000272F8" w:rsidR="00600940">
        <w:rPr>
          <w:u w:val="single"/>
        </w:rPr>
        <w:t>ata</w:t>
      </w:r>
      <w:r w:rsidRPr="003E52C0" w:rsidR="00600940">
        <w:t xml:space="preserve">. </w:t>
      </w:r>
    </w:p>
    <w:p w:rsidR="00857F34" w:rsidP="006F61FF" w14:paraId="0FCE2D27" w14:textId="0654CDAF">
      <w:pPr>
        <w:spacing w:before="284"/>
        <w:ind w:firstLine="720"/>
      </w:pPr>
      <w:r>
        <w:t xml:space="preserve">FinCEN intends to disclose BOI to authorized recipients after collecting specific information from </w:t>
      </w:r>
      <w:r w:rsidR="009D7D44">
        <w:t>them</w:t>
      </w:r>
      <w:r>
        <w:t xml:space="preserve"> through electronically available request forms.  FinCEN has not yet proposed the forms that will be used in this collection, but it has identified in th</w:t>
      </w:r>
      <w:r>
        <w:t xml:space="preserve">e final rule the requirements </w:t>
      </w:r>
      <w:r w:rsidR="00F23B41">
        <w:t xml:space="preserve">in order </w:t>
      </w:r>
      <w:r>
        <w:t>for authorized recipients to obtain BOI from FinCEN</w:t>
      </w:r>
      <w:r w:rsidR="007C22EE">
        <w:t>.</w:t>
      </w:r>
      <w:r w:rsidRPr="004F2D70" w:rsidR="004F2D70">
        <w:t xml:space="preserve"> </w:t>
      </w:r>
      <w:r w:rsidR="00FE545F">
        <w:t xml:space="preserve"> </w:t>
      </w:r>
      <w:r w:rsidRPr="004F2D70" w:rsidR="004F2D70">
        <w:t>To the extent and in the manner required by the PRA, FinCEN would provide public notice of, and request public comment on, any proposed information collection associated with BOI requests</w:t>
      </w:r>
      <w:r w:rsidR="004F2D70">
        <w:t xml:space="preserve">. </w:t>
      </w:r>
    </w:p>
    <w:p w:rsidR="00E34D72" w:rsidRPr="00995D5E" w:rsidP="006F61FF" w14:paraId="633AABD6" w14:textId="2DF33E70">
      <w:pPr>
        <w:spacing w:before="284"/>
        <w:ind w:firstLine="720"/>
        <w:rPr>
          <w:i/>
          <w:iCs/>
        </w:rPr>
      </w:pPr>
      <w:r>
        <w:t xml:space="preserve">State, local, and Tribal agencies, SROs, and financial institutions that wish to access BOI would follow the requirements in the </w:t>
      </w:r>
      <w:r w:rsidR="0059077D">
        <w:t xml:space="preserve">final rule </w:t>
      </w:r>
      <w:r>
        <w:t xml:space="preserve">and provide information about following such requirements to FinCEN.  </w:t>
      </w:r>
      <w:r w:rsidRPr="00562418">
        <w:t>Financial instituti</w:t>
      </w:r>
      <w:r w:rsidRPr="00562418">
        <w:t xml:space="preserve">ons would also be required to obtain and document customer consent </w:t>
      </w:r>
      <w:r>
        <w:t xml:space="preserve">and </w:t>
      </w:r>
      <w:r w:rsidRPr="00562418">
        <w:t xml:space="preserve">maintain a record of such consent for five years after it </w:t>
      </w:r>
      <w:r>
        <w:t xml:space="preserve">was </w:t>
      </w:r>
      <w:r w:rsidRPr="00562418">
        <w:t xml:space="preserve">last relied </w:t>
      </w:r>
      <w:r>
        <w:t>upon;</w:t>
      </w:r>
      <w:r w:rsidRPr="00562418">
        <w:t xml:space="preserve"> </w:t>
      </w:r>
      <w:r>
        <w:t>th</w:t>
      </w:r>
      <w:r w:rsidR="00914271">
        <w:t>o</w:t>
      </w:r>
      <w:r>
        <w:t>se requirements</w:t>
      </w:r>
      <w:r w:rsidRPr="00562418">
        <w:t xml:space="preserve"> may </w:t>
      </w:r>
      <w:r>
        <w:t>necessitate</w:t>
      </w:r>
      <w:r w:rsidRPr="00562418">
        <w:t xml:space="preserve"> updates to existing processes and creation of consent forms.  </w:t>
      </w:r>
      <w:r>
        <w:t xml:space="preserve">The resulting information, stemming from the requirements of the </w:t>
      </w:r>
      <w:r w:rsidR="00AD45F9">
        <w:t>f</w:t>
      </w:r>
      <w:r w:rsidR="009D4665">
        <w:t xml:space="preserve">inal rule, </w:t>
      </w:r>
      <w:r>
        <w:t>would be used to ensure compliance with the security and confidentiality requirements to access BOI.</w:t>
      </w:r>
    </w:p>
    <w:p w:rsidR="00600940" w:rsidP="006F61FF" w14:paraId="4F39F08C" w14:textId="10254A13">
      <w:pPr>
        <w:spacing w:before="284"/>
        <w:rPr>
          <w:szCs w:val="22"/>
        </w:rPr>
      </w:pPr>
      <w:r>
        <w:rPr>
          <w:szCs w:val="22"/>
        </w:rPr>
        <w:t xml:space="preserve">3. </w:t>
      </w:r>
      <w:r w:rsidR="007E495B">
        <w:rPr>
          <w:szCs w:val="22"/>
          <w:u w:val="single"/>
        </w:rPr>
        <w:t>Use of improved i</w:t>
      </w:r>
      <w:r>
        <w:rPr>
          <w:szCs w:val="22"/>
          <w:u w:val="single"/>
        </w:rPr>
        <w:t>n</w:t>
      </w:r>
      <w:r w:rsidR="007E495B">
        <w:rPr>
          <w:szCs w:val="22"/>
          <w:u w:val="single"/>
        </w:rPr>
        <w:t>formation technology to reduce b</w:t>
      </w:r>
      <w:r>
        <w:rPr>
          <w:szCs w:val="22"/>
          <w:u w:val="single"/>
        </w:rPr>
        <w:t>urden.</w:t>
      </w:r>
      <w:r>
        <w:rPr>
          <w:szCs w:val="22"/>
        </w:rPr>
        <w:t xml:space="preserve"> </w:t>
      </w:r>
    </w:p>
    <w:p w:rsidR="008A0B7C" w:rsidRPr="00572631" w:rsidP="006F61FF" w14:paraId="32F37858" w14:textId="481C6CD8">
      <w:pPr>
        <w:spacing w:before="273"/>
        <w:ind w:firstLine="720"/>
      </w:pPr>
      <w:r>
        <w:rPr>
          <w:szCs w:val="22"/>
        </w:rPr>
        <w:t>Authorized recipients</w:t>
      </w:r>
      <w:r w:rsidR="00C0759E">
        <w:rPr>
          <w:szCs w:val="22"/>
        </w:rPr>
        <w:t xml:space="preserve"> </w:t>
      </w:r>
      <w:r w:rsidR="00055C7A">
        <w:rPr>
          <w:szCs w:val="22"/>
        </w:rPr>
        <w:t>of BOI</w:t>
      </w:r>
      <w:r w:rsidR="005F13D8">
        <w:rPr>
          <w:szCs w:val="22"/>
        </w:rPr>
        <w:t xml:space="preserve"> </w:t>
      </w:r>
      <w:r w:rsidR="005F695D">
        <w:rPr>
          <w:szCs w:val="22"/>
        </w:rPr>
        <w:t xml:space="preserve">will be required to </w:t>
      </w:r>
      <w:r w:rsidR="005F13D8">
        <w:rPr>
          <w:szCs w:val="22"/>
        </w:rPr>
        <w:t xml:space="preserve">provide </w:t>
      </w:r>
      <w:r w:rsidR="00DD4300">
        <w:rPr>
          <w:szCs w:val="22"/>
        </w:rPr>
        <w:t xml:space="preserve">a </w:t>
      </w:r>
      <w:r w:rsidR="00795C20">
        <w:rPr>
          <w:szCs w:val="22"/>
        </w:rPr>
        <w:t xml:space="preserve">certification </w:t>
      </w:r>
      <w:r w:rsidR="00DD4300">
        <w:rPr>
          <w:szCs w:val="22"/>
        </w:rPr>
        <w:t xml:space="preserve">to FinCEN </w:t>
      </w:r>
      <w:r w:rsidR="00795C20">
        <w:rPr>
          <w:szCs w:val="22"/>
        </w:rPr>
        <w:t>for each BOI request</w:t>
      </w:r>
      <w:r w:rsidR="00C0759E">
        <w:rPr>
          <w:szCs w:val="22"/>
        </w:rPr>
        <w:t xml:space="preserve"> </w:t>
      </w:r>
      <w:r w:rsidR="00EB58CC">
        <w:rPr>
          <w:szCs w:val="22"/>
        </w:rPr>
        <w:t>electronically</w:t>
      </w:r>
      <w:r w:rsidR="00F15B27">
        <w:rPr>
          <w:szCs w:val="22"/>
        </w:rPr>
        <w:t xml:space="preserve"> </w:t>
      </w:r>
      <w:r w:rsidRPr="74B43A82" w:rsidR="00F15B27">
        <w:t>“in such form and manner as FinCEN shall prescribe</w:t>
      </w:r>
      <w:r w:rsidR="00EB58CC">
        <w:rPr>
          <w:szCs w:val="22"/>
        </w:rPr>
        <w:t>.</w:t>
      </w:r>
      <w:r w:rsidR="008E3403">
        <w:rPr>
          <w:szCs w:val="22"/>
        </w:rPr>
        <w:t>”</w:t>
      </w:r>
      <w:r w:rsidR="00EB58CC">
        <w:rPr>
          <w:szCs w:val="22"/>
        </w:rPr>
        <w:t xml:space="preserve">  </w:t>
      </w:r>
      <w:r w:rsidR="00E639C2">
        <w:t xml:space="preserve">FinCEN expects that compliance with other proposed requirements would necessitate the use of information technology systems by authorized recipients.  </w:t>
      </w:r>
    </w:p>
    <w:p w:rsidR="006E505F" w:rsidP="006F61FF" w14:paraId="3E9755D5" w14:textId="655E9C9A">
      <w:pPr>
        <w:spacing w:before="283"/>
        <w:rPr>
          <w:szCs w:val="22"/>
          <w:u w:val="single"/>
        </w:rPr>
      </w:pPr>
      <w:r>
        <w:rPr>
          <w:szCs w:val="22"/>
        </w:rPr>
        <w:t xml:space="preserve">4. </w:t>
      </w:r>
      <w:r w:rsidR="007E495B">
        <w:rPr>
          <w:szCs w:val="22"/>
          <w:u w:val="single"/>
        </w:rPr>
        <w:t>Efforts to identify d</w:t>
      </w:r>
      <w:r>
        <w:rPr>
          <w:szCs w:val="22"/>
          <w:u w:val="single"/>
        </w:rPr>
        <w:t>uplication</w:t>
      </w:r>
      <w:r w:rsidR="00384B9B">
        <w:rPr>
          <w:szCs w:val="22"/>
          <w:u w:val="single"/>
        </w:rPr>
        <w:t>.</w:t>
      </w:r>
      <w:r>
        <w:rPr>
          <w:szCs w:val="22"/>
          <w:u w:val="single"/>
        </w:rPr>
        <w:t xml:space="preserve"> </w:t>
      </w:r>
    </w:p>
    <w:p w:rsidR="00FA0164" w:rsidP="006F61FF" w14:paraId="36E8446A" w14:textId="05887882">
      <w:pPr>
        <w:spacing w:before="284"/>
        <w:ind w:firstLine="720"/>
      </w:pPr>
      <w:r>
        <w:t>T</w:t>
      </w:r>
      <w:r w:rsidRPr="00B86944" w:rsidR="00BC34B9">
        <w:t xml:space="preserve">here are no </w:t>
      </w:r>
      <w:r w:rsidR="000E47A9">
        <w:t>F</w:t>
      </w:r>
      <w:r w:rsidRPr="00B86944" w:rsidR="00BC34B9">
        <w:t xml:space="preserve">ederal rules that </w:t>
      </w:r>
      <w:r w:rsidR="00BC34B9">
        <w:t xml:space="preserve">directly </w:t>
      </w:r>
      <w:r w:rsidR="001A731C">
        <w:t xml:space="preserve">or </w:t>
      </w:r>
      <w:r w:rsidR="00BC34B9">
        <w:t xml:space="preserve">fully </w:t>
      </w:r>
      <w:r w:rsidRPr="00B86944" w:rsidR="00BC34B9">
        <w:t>duplicate</w:t>
      </w:r>
      <w:r w:rsidR="006308F9">
        <w:t xml:space="preserve"> or </w:t>
      </w:r>
      <w:r w:rsidRPr="00B86944" w:rsidR="00BC34B9">
        <w:t>overlap</w:t>
      </w:r>
      <w:r w:rsidR="00632C2C">
        <w:t xml:space="preserve"> </w:t>
      </w:r>
      <w:r w:rsidRPr="00B86944" w:rsidR="00BC34B9">
        <w:t xml:space="preserve">with the </w:t>
      </w:r>
      <w:r w:rsidR="00C77DD6">
        <w:t>final</w:t>
      </w:r>
      <w:r w:rsidRPr="00B86944" w:rsidR="00BC34B9">
        <w:t xml:space="preserve"> </w:t>
      </w:r>
      <w:r w:rsidR="00BC34B9">
        <w:t>rule</w:t>
      </w:r>
      <w:r w:rsidR="006308F9">
        <w:t xml:space="preserve">, or that require the </w:t>
      </w:r>
      <w:r w:rsidR="000E47A9">
        <w:t>submission</w:t>
      </w:r>
      <w:r w:rsidR="006308F9">
        <w:t xml:space="preserve"> of the same information</w:t>
      </w:r>
      <w:r w:rsidRPr="00B86944" w:rsidR="00BC34B9">
        <w:t>.</w:t>
      </w:r>
      <w:r w:rsidR="00BC34B9">
        <w:t xml:space="preserve">  </w:t>
      </w:r>
      <w:r w:rsidR="006308F9">
        <w:t>Therefore</w:t>
      </w:r>
      <w:r w:rsidR="00B42FEF">
        <w:t>,</w:t>
      </w:r>
      <w:r w:rsidR="006308F9">
        <w:t xml:space="preserve"> there is no information already available to the </w:t>
      </w:r>
      <w:r w:rsidR="00F70B8A">
        <w:t>F</w:t>
      </w:r>
      <w:r w:rsidR="006308F9">
        <w:t xml:space="preserve">ederal government that could be used or modified to fully satisfy the statutory requirements identified in </w:t>
      </w:r>
      <w:r w:rsidR="00A64E0C">
        <w:t xml:space="preserve">Section </w:t>
      </w:r>
      <w:r w:rsidR="006308F9">
        <w:t>1 or</w:t>
      </w:r>
      <w:r w:rsidR="00B42FEF">
        <w:t xml:space="preserve"> that</w:t>
      </w:r>
      <w:r w:rsidR="006308F9">
        <w:t xml:space="preserve"> fully serve the uses identified in </w:t>
      </w:r>
      <w:r w:rsidR="00A64E0C">
        <w:t xml:space="preserve">Section </w:t>
      </w:r>
      <w:r w:rsidR="006308F9">
        <w:t>2.</w:t>
      </w:r>
      <w:r w:rsidR="00F431F0">
        <w:t xml:space="preserve"> </w:t>
      </w:r>
    </w:p>
    <w:p w:rsidR="00FA0164" w:rsidP="006F61FF" w14:paraId="5CDF5083" w14:textId="569D127E">
      <w:pPr>
        <w:widowControl w:val="0"/>
        <w:spacing w:before="284"/>
        <w:ind w:firstLine="720"/>
      </w:pPr>
      <w:r w:rsidRPr="005B38E7">
        <w:t xml:space="preserve">The </w:t>
      </w:r>
      <w:r>
        <w:t xml:space="preserve">final </w:t>
      </w:r>
      <w:r w:rsidRPr="005B38E7">
        <w:t xml:space="preserve">rule is closely related to </w:t>
      </w:r>
      <w:r w:rsidR="000B2E1E">
        <w:t>the</w:t>
      </w:r>
      <w:r w:rsidR="002738A0">
        <w:t xml:space="preserve"> issuance</w:t>
      </w:r>
      <w:r w:rsidRPr="005B38E7">
        <w:t xml:space="preserve"> of the </w:t>
      </w:r>
      <w:r>
        <w:t xml:space="preserve">BOI </w:t>
      </w:r>
      <w:r w:rsidRPr="005B38E7">
        <w:t>reporting rule.</w:t>
      </w:r>
      <w:r>
        <w:rPr>
          <w:rStyle w:val="FootnoteReference"/>
        </w:rPr>
        <w:footnoteReference w:id="10"/>
      </w:r>
      <w:r w:rsidRPr="005B38E7">
        <w:t xml:space="preserve">  The </w:t>
      </w:r>
      <w:r>
        <w:t xml:space="preserve">BOI </w:t>
      </w:r>
      <w:r w:rsidRPr="005B38E7">
        <w:t>reporting rule implement</w:t>
      </w:r>
      <w:r w:rsidR="00105446">
        <w:t>s</w:t>
      </w:r>
      <w:r w:rsidRPr="005B38E7">
        <w:t xml:space="preserve"> the CTA’s BOI reporting requirements, which describe who must file a report, what information must be prov</w:t>
      </w:r>
      <w:r w:rsidRPr="005B38E7">
        <w:t xml:space="preserve">ided, and when a report is due.  In contrast, </w:t>
      </w:r>
      <w:r>
        <w:t xml:space="preserve">the </w:t>
      </w:r>
      <w:r w:rsidR="00CB067C">
        <w:t xml:space="preserve">final rule </w:t>
      </w:r>
      <w:r w:rsidR="005B00D5">
        <w:t>sets out the</w:t>
      </w:r>
      <w:r w:rsidRPr="005B38E7">
        <w:t xml:space="preserve"> appropriate protocols for </w:t>
      </w:r>
      <w:r>
        <w:t>access to</w:t>
      </w:r>
      <w:r w:rsidRPr="005B38E7">
        <w:t xml:space="preserve"> and disclosure of BOI</w:t>
      </w:r>
      <w:r>
        <w:t xml:space="preserve"> to authorized recipients</w:t>
      </w:r>
      <w:r w:rsidRPr="005B38E7">
        <w:t xml:space="preserve">.  The </w:t>
      </w:r>
      <w:r>
        <w:t xml:space="preserve">BOI </w:t>
      </w:r>
      <w:r w:rsidRPr="005B38E7">
        <w:t xml:space="preserve">reporting rule’s </w:t>
      </w:r>
      <w:r>
        <w:t>regulatory impact analysis (</w:t>
      </w:r>
      <w:r w:rsidRPr="005B38E7">
        <w:t>RIA</w:t>
      </w:r>
      <w:r>
        <w:t>)</w:t>
      </w:r>
      <w:r w:rsidRPr="005B38E7">
        <w:t xml:space="preserve"> estimated the cost to the public of rep</w:t>
      </w:r>
      <w:r w:rsidRPr="005B38E7">
        <w:t xml:space="preserve">orting and updating BOI and information related to FinCEN identifiers.  </w:t>
      </w:r>
      <w:r w:rsidR="00DE4D67">
        <w:t xml:space="preserve">It </w:t>
      </w:r>
      <w:r w:rsidRPr="005B38E7">
        <w:t xml:space="preserve">also estimated the cost to FinCEN of developing and maintaining this reporting mechanism, costs to other government agencies as a result of reporting requirements, and the benefits </w:t>
      </w:r>
      <w:r w:rsidRPr="005B38E7">
        <w:t xml:space="preserve">of the requirements.  FinCEN has aimed to not duplicate costs and benefits covered in the </w:t>
      </w:r>
      <w:r>
        <w:t xml:space="preserve">BOI </w:t>
      </w:r>
      <w:r w:rsidRPr="005B38E7">
        <w:t xml:space="preserve">reporting rule </w:t>
      </w:r>
      <w:r>
        <w:t>in this</w:t>
      </w:r>
      <w:r w:rsidR="00F15EBC">
        <w:t xml:space="preserve"> final rule.</w:t>
      </w:r>
      <w:r>
        <w:t xml:space="preserve"> </w:t>
      </w:r>
    </w:p>
    <w:p w:rsidR="00B95656" w:rsidRPr="00A308EB" w:rsidP="006F61FF" w14:paraId="117250BE" w14:textId="1A6A430D">
      <w:pPr>
        <w:spacing w:before="283"/>
        <w:rPr>
          <w:szCs w:val="22"/>
          <w:u w:val="single"/>
        </w:rPr>
      </w:pPr>
      <w:r w:rsidRPr="005713B0">
        <w:rPr>
          <w:szCs w:val="22"/>
        </w:rPr>
        <w:t xml:space="preserve">5. </w:t>
      </w:r>
      <w:r w:rsidRPr="005713B0">
        <w:rPr>
          <w:szCs w:val="22"/>
          <w:u w:val="single"/>
        </w:rPr>
        <w:t>Metho</w:t>
      </w:r>
      <w:r w:rsidRPr="005713B0" w:rsidR="007E495B">
        <w:rPr>
          <w:szCs w:val="22"/>
          <w:u w:val="single"/>
        </w:rPr>
        <w:t>ds to minimize burden on small b</w:t>
      </w:r>
      <w:r w:rsidRPr="005713B0">
        <w:rPr>
          <w:szCs w:val="22"/>
          <w:u w:val="single"/>
        </w:rPr>
        <w:t xml:space="preserve">usinesses or </w:t>
      </w:r>
      <w:r w:rsidRPr="005713B0" w:rsidR="007E495B">
        <w:rPr>
          <w:szCs w:val="22"/>
          <w:u w:val="single"/>
        </w:rPr>
        <w:t>other small e</w:t>
      </w:r>
      <w:r w:rsidRPr="005713B0">
        <w:rPr>
          <w:szCs w:val="22"/>
          <w:u w:val="single"/>
        </w:rPr>
        <w:t>ntities</w:t>
      </w:r>
      <w:r w:rsidRPr="005713B0" w:rsidR="00384B9B">
        <w:rPr>
          <w:szCs w:val="22"/>
          <w:u w:val="single"/>
        </w:rPr>
        <w:t>.</w:t>
      </w:r>
    </w:p>
    <w:p w:rsidR="00CC296D" w:rsidRPr="00BF5C1C" w:rsidP="006F61FF" w14:paraId="33637222" w14:textId="62DB4982">
      <w:pPr>
        <w:spacing w:before="284"/>
        <w:ind w:firstLine="720"/>
      </w:pPr>
      <w:r w:rsidRPr="00BF5C1C">
        <w:t xml:space="preserve">Under the </w:t>
      </w:r>
      <w:r>
        <w:t xml:space="preserve">final </w:t>
      </w:r>
      <w:r w:rsidRPr="00BF5C1C">
        <w:t>rule</w:t>
      </w:r>
      <w:r>
        <w:t>,</w:t>
      </w:r>
      <w:r w:rsidRPr="00BF5C1C">
        <w:t xml:space="preserve"> accessing BOI is not mandatory; therefore, the </w:t>
      </w:r>
      <w:r>
        <w:t xml:space="preserve">final </w:t>
      </w:r>
      <w:r w:rsidRPr="00BF5C1C">
        <w:t xml:space="preserve">rule will not impose requirements </w:t>
      </w:r>
      <w:r>
        <w:t xml:space="preserve">(and burden) </w:t>
      </w:r>
      <w:r w:rsidRPr="00BF5C1C">
        <w:t>in the strictest sense.</w:t>
      </w:r>
      <w:r>
        <w:rPr>
          <w:rStyle w:val="FootnoteReference"/>
        </w:rPr>
        <w:footnoteReference w:id="11"/>
      </w:r>
      <w:r w:rsidRPr="00BF5C1C">
        <w:t xml:space="preserve">  However, the </w:t>
      </w:r>
      <w:r>
        <w:t xml:space="preserve">final </w:t>
      </w:r>
      <w:r w:rsidRPr="00BF5C1C">
        <w:t>rule will</w:t>
      </w:r>
      <w:r>
        <w:t xml:space="preserve"> require</w:t>
      </w:r>
      <w:r w:rsidRPr="00BF5C1C">
        <w:t xml:space="preserve"> those that </w:t>
      </w:r>
      <w:r>
        <w:t>elect</w:t>
      </w:r>
      <w:r w:rsidRPr="00BF5C1C">
        <w:t xml:space="preserve"> to access BOI to establish standards</w:t>
      </w:r>
      <w:r w:rsidR="00E233C2">
        <w:t>,</w:t>
      </w:r>
      <w:r w:rsidRPr="00BF5C1C">
        <w:t xml:space="preserve"> procedures</w:t>
      </w:r>
      <w:r w:rsidR="006B1302">
        <w:t>,</w:t>
      </w:r>
      <w:r w:rsidRPr="00BF5C1C">
        <w:t xml:space="preserve"> </w:t>
      </w:r>
      <w:r w:rsidR="00AF4625">
        <w:t>and</w:t>
      </w:r>
      <w:r w:rsidRPr="00BF5C1C">
        <w:t xml:space="preserve"> safeguards, and to c</w:t>
      </w:r>
      <w:r w:rsidRPr="00BF5C1C">
        <w:t xml:space="preserve">omply with other requirements.  In particular, </w:t>
      </w:r>
      <w:r>
        <w:t xml:space="preserve">financial institutions </w:t>
      </w:r>
      <w:r w:rsidRPr="00BF5C1C">
        <w:t xml:space="preserve">will </w:t>
      </w:r>
      <w:r>
        <w:t xml:space="preserve">be required to </w:t>
      </w:r>
      <w:r w:rsidRPr="00BF5C1C">
        <w:t xml:space="preserve">develop and implement administrative, technical, and physical safeguards reasonably designed to protect the security, confidentiality, and integrity of BOI.  </w:t>
      </w:r>
      <w:r>
        <w:t>Financia</w:t>
      </w:r>
      <w:r>
        <w:t xml:space="preserve">l institutions </w:t>
      </w:r>
      <w:r w:rsidRPr="00BF5C1C">
        <w:t>will also be required to obtain and document customer consent</w:t>
      </w:r>
      <w:r>
        <w:t xml:space="preserve"> to access their BOI</w:t>
      </w:r>
      <w:r w:rsidRPr="00BF5C1C">
        <w:t xml:space="preserve">, as well as maintain a record of such consent for five years after it was last relied upon, which may require updates to existing policies and procedures.  </w:t>
      </w:r>
      <w:r>
        <w:t>Fin</w:t>
      </w:r>
      <w:r>
        <w:t xml:space="preserve">ancial institutions will also be required to comply with certain geographic restrictions and notify FinCEN if they receive an information demand from a foreign government.  </w:t>
      </w:r>
      <w:r w:rsidRPr="00BF5C1C">
        <w:t xml:space="preserve">The rule will also require those that access BOI </w:t>
      </w:r>
      <w:r>
        <w:t xml:space="preserve">to </w:t>
      </w:r>
      <w:r w:rsidRPr="00BF5C1C">
        <w:t>provide a certification for eac</w:t>
      </w:r>
      <w:r w:rsidRPr="00BF5C1C">
        <w:t>h BOI request, in the form and manner prescribed by FinCEN.  FinCEN intends to provide additional detail</w:t>
      </w:r>
      <w:r w:rsidR="00B02D40">
        <w:t>s</w:t>
      </w:r>
      <w:r w:rsidRPr="00BF5C1C">
        <w:t xml:space="preserve"> regarding the form and manner of BOI requests for all categories of authorized recipients through specific instructions and guidance as it continues d</w:t>
      </w:r>
      <w:r w:rsidRPr="00BF5C1C">
        <w:t xml:space="preserve">eveloping the </w:t>
      </w:r>
      <w:r w:rsidR="00775B35">
        <w:t>BO</w:t>
      </w:r>
      <w:r w:rsidR="00F60F0D">
        <w:t xml:space="preserve"> </w:t>
      </w:r>
      <w:r w:rsidRPr="00BF5C1C">
        <w:t>IT system.  To the extent required by the PRA, FinCEN will publish for notice and comment any proposed information collection associated with BOI requests.</w:t>
      </w:r>
    </w:p>
    <w:p w:rsidR="00817A2B" w:rsidRPr="00D223AD" w:rsidP="006F61FF" w14:paraId="6BB561A0" w14:textId="496E01DA">
      <w:pPr>
        <w:spacing w:before="284"/>
        <w:ind w:firstLine="720"/>
      </w:pPr>
      <w:r>
        <w:t xml:space="preserve">In </w:t>
      </w:r>
      <w:r w:rsidR="00EB543F">
        <w:t>the</w:t>
      </w:r>
      <w:r>
        <w:t xml:space="preserve"> final regulatory flexibility analysis</w:t>
      </w:r>
      <w:r w:rsidR="00716B95">
        <w:t>,</w:t>
      </w:r>
      <w:r>
        <w:t xml:space="preserve"> </w:t>
      </w:r>
      <w:r w:rsidR="00E85020">
        <w:t xml:space="preserve">conducted </w:t>
      </w:r>
      <w:r w:rsidR="00D66ADE">
        <w:t>as part of</w:t>
      </w:r>
      <w:r>
        <w:t xml:space="preserve"> </w:t>
      </w:r>
      <w:r w:rsidR="00A40E1E">
        <w:t>the</w:t>
      </w:r>
      <w:r w:rsidR="000212CB">
        <w:t xml:space="preserve"> </w:t>
      </w:r>
      <w:r w:rsidR="00A40E1E">
        <w:t>RIA</w:t>
      </w:r>
      <w:r w:rsidR="002A44BD">
        <w:t xml:space="preserve"> </w:t>
      </w:r>
      <w:r w:rsidR="004D02C2">
        <w:t>in</w:t>
      </w:r>
      <w:r w:rsidR="002A44BD">
        <w:t xml:space="preserve"> the final rule</w:t>
      </w:r>
      <w:r>
        <w:t xml:space="preserve">, FinCEN </w:t>
      </w:r>
      <w:r w:rsidR="00304850">
        <w:t xml:space="preserve">assesses </w:t>
      </w:r>
      <w:r w:rsidR="002621C0">
        <w:t xml:space="preserve">that </w:t>
      </w:r>
      <w:r w:rsidR="00316BBC">
        <w:t xml:space="preserve">small financial institutions will be </w:t>
      </w:r>
      <w:r w:rsidR="000912F2">
        <w:t xml:space="preserve">the </w:t>
      </w:r>
      <w:r>
        <w:t>small entities affected</w:t>
      </w:r>
      <w:r w:rsidR="00304850">
        <w:t xml:space="preserve">, </w:t>
      </w:r>
      <w:r w:rsidR="00316BBC">
        <w:t>as they</w:t>
      </w:r>
      <w:r>
        <w:t xml:space="preserve"> </w:t>
      </w:r>
      <w:r w:rsidR="00304850">
        <w:t xml:space="preserve">will be required to comply with </w:t>
      </w:r>
      <w:r w:rsidR="005C1019">
        <w:t>rule’s</w:t>
      </w:r>
      <w:r w:rsidR="00304850">
        <w:t xml:space="preserve"> requirements if they access BOI.  FinCEN assumes that the professional expertise needed to comply with such requirements already exists at small financial institutions with customer due diligence obligations.</w:t>
      </w:r>
      <w:r>
        <w:t xml:space="preserve">  </w:t>
      </w:r>
      <w:r w:rsidR="00304850">
        <w:t>The steps FinCEN has taken to minimize the significant economic impact on small entities and the factual, policy, and legal reasons are described throughout Section III</w:t>
      </w:r>
      <w:r w:rsidR="00F71530">
        <w:t xml:space="preserve"> of the final rule</w:t>
      </w:r>
      <w:r w:rsidR="00304850">
        <w:t>.</w:t>
      </w:r>
      <w:r w:rsidR="00F71530">
        <w:t xml:space="preserve">  </w:t>
      </w:r>
    </w:p>
    <w:p w:rsidR="00817A2B" w:rsidRPr="00D43829" w:rsidP="006F61FF" w14:paraId="4E28DD92" w14:textId="408BE139">
      <w:pPr>
        <w:spacing w:before="284"/>
        <w:ind w:firstLine="720"/>
        <w:rPr>
          <w:rStyle w:val="cf01"/>
          <w:rFonts w:ascii="Times New Roman" w:hAnsi="Times New Roman" w:cs="Times New Roman"/>
          <w:sz w:val="24"/>
          <w:szCs w:val="24"/>
        </w:rPr>
      </w:pPr>
      <w:r>
        <w:t xml:space="preserve">FinCEN considered the comments it received </w:t>
      </w:r>
      <w:r w:rsidR="008450DF">
        <w:t xml:space="preserve">in response to </w:t>
      </w:r>
      <w:r>
        <w:t>the</w:t>
      </w:r>
      <w:r w:rsidR="00CE4097">
        <w:t xml:space="preserve"> </w:t>
      </w:r>
      <w:r w:rsidRPr="00E56F42" w:rsidR="00CE4097">
        <w:t xml:space="preserve">notice of proposed rulemaking on beneficial ownership information access and safeguards (the </w:t>
      </w:r>
      <w:r w:rsidR="006F617A">
        <w:t xml:space="preserve">“Access </w:t>
      </w:r>
      <w:r w:rsidRPr="00E56F42" w:rsidR="00CE4097">
        <w:t>NPRM</w:t>
      </w:r>
      <w:r w:rsidR="006F617A">
        <w:t>”</w:t>
      </w:r>
      <w:r w:rsidRPr="00E56F42" w:rsidR="00CE4097">
        <w:t>)</w:t>
      </w:r>
      <w:r w:rsidR="00A26285">
        <w:t xml:space="preserve">. </w:t>
      </w:r>
      <w:r w:rsidR="00F377DB">
        <w:t xml:space="preserve"> </w:t>
      </w:r>
      <w:r w:rsidR="00350197">
        <w:t xml:space="preserve">In response to the </w:t>
      </w:r>
      <w:r>
        <w:t xml:space="preserve">comments on </w:t>
      </w:r>
      <w:r w:rsidRPr="00D223AD" w:rsidR="00D223AD">
        <w:rPr>
          <w:rStyle w:val="cf01"/>
          <w:rFonts w:ascii="Times New Roman" w:hAnsi="Times New Roman" w:cs="Times New Roman"/>
          <w:sz w:val="24"/>
          <w:szCs w:val="24"/>
        </w:rPr>
        <w:t>p</w:t>
      </w:r>
      <w:r w:rsidRPr="00D223AD" w:rsidR="00F71530">
        <w:rPr>
          <w:rStyle w:val="cf01"/>
          <w:rFonts w:ascii="Times New Roman" w:hAnsi="Times New Roman" w:cs="Times New Roman"/>
          <w:sz w:val="24"/>
          <w:szCs w:val="24"/>
        </w:rPr>
        <w:t>roposed 31 CFR 1010.955(d)(2)(iv)</w:t>
      </w:r>
      <w:r w:rsidRPr="00D223AD" w:rsidR="00D223AD">
        <w:rPr>
          <w:rStyle w:val="cf01"/>
          <w:rFonts w:ascii="Times New Roman" w:hAnsi="Times New Roman" w:cs="Times New Roman"/>
          <w:sz w:val="24"/>
          <w:szCs w:val="24"/>
        </w:rPr>
        <w:t>, which</w:t>
      </w:r>
      <w:r w:rsidRPr="00D223AD" w:rsidR="00F71530">
        <w:rPr>
          <w:rStyle w:val="cf01"/>
          <w:rFonts w:ascii="Times New Roman" w:hAnsi="Times New Roman" w:cs="Times New Roman"/>
          <w:sz w:val="24"/>
          <w:szCs w:val="24"/>
        </w:rPr>
        <w:t xml:space="preserve"> would </w:t>
      </w:r>
      <w:r w:rsidR="00864C4D">
        <w:rPr>
          <w:rStyle w:val="cf01"/>
          <w:rFonts w:ascii="Times New Roman" w:hAnsi="Times New Roman" w:cs="Times New Roman"/>
          <w:sz w:val="24"/>
          <w:szCs w:val="24"/>
        </w:rPr>
        <w:t xml:space="preserve">have </w:t>
      </w:r>
      <w:r w:rsidRPr="00D223AD" w:rsidR="00F71530">
        <w:rPr>
          <w:rStyle w:val="cf01"/>
          <w:rFonts w:ascii="Times New Roman" w:hAnsi="Times New Roman" w:cs="Times New Roman"/>
          <w:sz w:val="24"/>
          <w:szCs w:val="24"/>
        </w:rPr>
        <w:t>require</w:t>
      </w:r>
      <w:r w:rsidR="009D2559">
        <w:rPr>
          <w:rStyle w:val="cf01"/>
          <w:rFonts w:ascii="Times New Roman" w:hAnsi="Times New Roman" w:cs="Times New Roman"/>
          <w:sz w:val="24"/>
          <w:szCs w:val="24"/>
        </w:rPr>
        <w:t>d</w:t>
      </w:r>
      <w:r w:rsidRPr="00D223AD" w:rsidR="00F71530">
        <w:rPr>
          <w:rStyle w:val="cf01"/>
          <w:rFonts w:ascii="Times New Roman" w:hAnsi="Times New Roman" w:cs="Times New Roman"/>
          <w:sz w:val="24"/>
          <w:szCs w:val="24"/>
        </w:rPr>
        <w:t xml:space="preserve"> a financial institution to “make a written certification to FinCEN” for each BOI request</w:t>
      </w:r>
      <w:r w:rsidRPr="00D223AD" w:rsidR="00D223AD">
        <w:rPr>
          <w:rStyle w:val="cf01"/>
          <w:rFonts w:ascii="Times New Roman" w:hAnsi="Times New Roman" w:cs="Times New Roman"/>
          <w:sz w:val="24"/>
          <w:szCs w:val="24"/>
        </w:rPr>
        <w:t xml:space="preserve">, FinCEN </w:t>
      </w:r>
      <w:r w:rsidR="00951D7A">
        <w:rPr>
          <w:rStyle w:val="cf01"/>
          <w:rFonts w:ascii="Times New Roman" w:hAnsi="Times New Roman" w:cs="Times New Roman"/>
          <w:sz w:val="24"/>
          <w:szCs w:val="24"/>
        </w:rPr>
        <w:t>has revised</w:t>
      </w:r>
      <w:r w:rsidRPr="00D223AD" w:rsidR="00D223AD">
        <w:rPr>
          <w:rStyle w:val="cf01"/>
          <w:rFonts w:ascii="Times New Roman" w:hAnsi="Times New Roman" w:cs="Times New Roman"/>
          <w:sz w:val="24"/>
          <w:szCs w:val="24"/>
        </w:rPr>
        <w:t xml:space="preserve"> the proposed rule </w:t>
      </w:r>
      <w:r w:rsidRPr="00D223AD" w:rsidR="00F71530">
        <w:rPr>
          <w:rStyle w:val="cf01"/>
          <w:rFonts w:ascii="Times New Roman" w:hAnsi="Times New Roman" w:cs="Times New Roman"/>
          <w:sz w:val="24"/>
          <w:szCs w:val="24"/>
        </w:rPr>
        <w:t xml:space="preserve">to require that financial institutions provide a certification to FinCEN “in such form and manner as FinCEN shall prescribe.” </w:t>
      </w:r>
      <w:r w:rsidR="009868BE">
        <w:rPr>
          <w:rStyle w:val="cf01"/>
          <w:rFonts w:ascii="Times New Roman" w:hAnsi="Times New Roman" w:cs="Times New Roman"/>
          <w:sz w:val="24"/>
          <w:szCs w:val="24"/>
        </w:rPr>
        <w:t>Furthermore, i</w:t>
      </w:r>
      <w:r w:rsidR="00CC296D">
        <w:rPr>
          <w:rStyle w:val="cf01"/>
          <w:rFonts w:ascii="Times New Roman" w:hAnsi="Times New Roman" w:cs="Times New Roman"/>
          <w:sz w:val="24"/>
          <w:szCs w:val="24"/>
        </w:rPr>
        <w:t xml:space="preserve">n response to comments, FinCEN revised </w:t>
      </w:r>
      <w:r w:rsidR="00714BC2">
        <w:rPr>
          <w:rStyle w:val="cf01"/>
          <w:rFonts w:ascii="Times New Roman" w:hAnsi="Times New Roman" w:cs="Times New Roman"/>
          <w:sz w:val="24"/>
          <w:szCs w:val="24"/>
        </w:rPr>
        <w:t>t</w:t>
      </w:r>
      <w:r w:rsidRPr="00D223AD" w:rsidR="00F71530">
        <w:rPr>
          <w:rStyle w:val="cf01"/>
          <w:rFonts w:ascii="Times New Roman" w:hAnsi="Times New Roman" w:cs="Times New Roman"/>
          <w:sz w:val="24"/>
          <w:szCs w:val="24"/>
        </w:rPr>
        <w:t xml:space="preserve">he </w:t>
      </w:r>
      <w:r w:rsidR="009868BE">
        <w:rPr>
          <w:rStyle w:val="cf01"/>
          <w:rFonts w:ascii="Times New Roman" w:hAnsi="Times New Roman" w:cs="Times New Roman"/>
          <w:sz w:val="24"/>
          <w:szCs w:val="24"/>
        </w:rPr>
        <w:t>proposed</w:t>
      </w:r>
      <w:r w:rsidRPr="00D223AD" w:rsidR="00F71530">
        <w:rPr>
          <w:rStyle w:val="cf01"/>
          <w:rFonts w:ascii="Times New Roman" w:hAnsi="Times New Roman" w:cs="Times New Roman"/>
          <w:sz w:val="24"/>
          <w:szCs w:val="24"/>
        </w:rPr>
        <w:t xml:space="preserve"> rule </w:t>
      </w:r>
      <w:r w:rsidR="00714BC2">
        <w:rPr>
          <w:rStyle w:val="cf01"/>
          <w:rFonts w:ascii="Times New Roman" w:hAnsi="Times New Roman" w:cs="Times New Roman"/>
          <w:sz w:val="24"/>
          <w:szCs w:val="24"/>
        </w:rPr>
        <w:t>to</w:t>
      </w:r>
      <w:r w:rsidRPr="00D223AD" w:rsidR="00F71530">
        <w:rPr>
          <w:rStyle w:val="cf01"/>
          <w:rFonts w:ascii="Times New Roman" w:hAnsi="Times New Roman" w:cs="Times New Roman"/>
          <w:sz w:val="24"/>
          <w:szCs w:val="24"/>
        </w:rPr>
        <w:t xml:space="preserve"> </w:t>
      </w:r>
      <w:r>
        <w:rPr>
          <w:rStyle w:val="cf01"/>
          <w:rFonts w:ascii="Times New Roman" w:hAnsi="Times New Roman" w:cs="Times New Roman"/>
          <w:sz w:val="24"/>
          <w:szCs w:val="24"/>
        </w:rPr>
        <w:t>al</w:t>
      </w:r>
      <w:r w:rsidR="00714BC2">
        <w:rPr>
          <w:rStyle w:val="cf01"/>
          <w:rFonts w:ascii="Times New Roman" w:hAnsi="Times New Roman" w:cs="Times New Roman"/>
          <w:sz w:val="24"/>
          <w:szCs w:val="24"/>
        </w:rPr>
        <w:t xml:space="preserve">low the agency to take </w:t>
      </w:r>
      <w:r w:rsidRPr="00D223AD" w:rsidR="00F71530">
        <w:rPr>
          <w:rStyle w:val="cf01"/>
          <w:rFonts w:ascii="Times New Roman" w:hAnsi="Times New Roman" w:cs="Times New Roman"/>
          <w:sz w:val="24"/>
          <w:szCs w:val="24"/>
        </w:rPr>
        <w:t>a flexible approach towards implementation of the certification requirement</w:t>
      </w:r>
      <w:r w:rsidR="000164CB">
        <w:rPr>
          <w:rStyle w:val="cf01"/>
          <w:rFonts w:ascii="Times New Roman" w:hAnsi="Times New Roman" w:cs="Times New Roman"/>
          <w:sz w:val="24"/>
          <w:szCs w:val="24"/>
        </w:rPr>
        <w:t xml:space="preserve">, which will allow it to </w:t>
      </w:r>
      <w:r w:rsidRPr="00D223AD" w:rsidR="00F71530">
        <w:rPr>
          <w:rStyle w:val="cf01"/>
          <w:rFonts w:ascii="Times New Roman" w:hAnsi="Times New Roman" w:cs="Times New Roman"/>
          <w:sz w:val="24"/>
          <w:szCs w:val="24"/>
        </w:rPr>
        <w:t xml:space="preserve">take into account a range of considerations, such as technological feasibility. </w:t>
      </w:r>
      <w:r w:rsidRPr="00D223AD" w:rsidR="00D223AD">
        <w:rPr>
          <w:rStyle w:val="cf01"/>
          <w:rFonts w:ascii="Times New Roman" w:hAnsi="Times New Roman" w:cs="Times New Roman"/>
          <w:sz w:val="24"/>
          <w:szCs w:val="24"/>
        </w:rPr>
        <w:t xml:space="preserve"> </w:t>
      </w:r>
      <w:r w:rsidRPr="00D223AD" w:rsidR="00F71530">
        <w:rPr>
          <w:rStyle w:val="cf01"/>
          <w:rFonts w:ascii="Times New Roman" w:hAnsi="Times New Roman" w:cs="Times New Roman"/>
          <w:sz w:val="24"/>
          <w:szCs w:val="24"/>
        </w:rPr>
        <w:t xml:space="preserve">Accordingly, FinCEN intends to prescribe a certification mechanism that seeks to minimize burdens, </w:t>
      </w:r>
      <w:r w:rsidR="00D0641A">
        <w:rPr>
          <w:rStyle w:val="cf01"/>
          <w:rFonts w:ascii="Times New Roman" w:hAnsi="Times New Roman" w:cs="Times New Roman"/>
          <w:sz w:val="24"/>
          <w:szCs w:val="24"/>
        </w:rPr>
        <w:t>which</w:t>
      </w:r>
      <w:r w:rsidRPr="00D223AD" w:rsidR="00F71530">
        <w:rPr>
          <w:rStyle w:val="cf01"/>
          <w:rFonts w:ascii="Times New Roman" w:hAnsi="Times New Roman" w:cs="Times New Roman"/>
          <w:sz w:val="24"/>
          <w:szCs w:val="24"/>
        </w:rPr>
        <w:t xml:space="preserve"> may include checkboxes or other forms. </w:t>
      </w:r>
      <w:r w:rsidRPr="00D223AD" w:rsidR="00D223AD">
        <w:rPr>
          <w:rStyle w:val="cf01"/>
          <w:rFonts w:ascii="Times New Roman" w:hAnsi="Times New Roman" w:cs="Times New Roman"/>
          <w:sz w:val="24"/>
          <w:szCs w:val="24"/>
        </w:rPr>
        <w:t xml:space="preserve"> </w:t>
      </w:r>
      <w:r w:rsidR="00A13103">
        <w:rPr>
          <w:rStyle w:val="cf01"/>
          <w:rFonts w:ascii="Times New Roman" w:hAnsi="Times New Roman" w:cs="Times New Roman"/>
          <w:sz w:val="24"/>
          <w:szCs w:val="24"/>
        </w:rPr>
        <w:t xml:space="preserve">For instance, </w:t>
      </w:r>
      <w:r w:rsidRPr="00D43829" w:rsidR="00F71530">
        <w:rPr>
          <w:rStyle w:val="cf01"/>
          <w:rFonts w:ascii="Times New Roman" w:hAnsi="Times New Roman" w:cs="Times New Roman"/>
          <w:sz w:val="24"/>
          <w:szCs w:val="24"/>
        </w:rPr>
        <w:t xml:space="preserve">FinCEN anticipates that a financial institution will be able to make the certification via a simple checkbox when requesting BOI via the BO IT system. </w:t>
      </w:r>
      <w:r w:rsidRPr="00D43829" w:rsidR="00D223AD">
        <w:rPr>
          <w:rStyle w:val="cf01"/>
          <w:rFonts w:ascii="Times New Roman" w:hAnsi="Times New Roman" w:cs="Times New Roman"/>
          <w:sz w:val="24"/>
          <w:szCs w:val="24"/>
        </w:rPr>
        <w:t xml:space="preserve"> </w:t>
      </w:r>
      <w:r w:rsidRPr="00D43829" w:rsidR="00F71530">
        <w:rPr>
          <w:rStyle w:val="cf01"/>
          <w:rFonts w:ascii="Times New Roman" w:hAnsi="Times New Roman" w:cs="Times New Roman"/>
          <w:sz w:val="24"/>
          <w:szCs w:val="24"/>
        </w:rPr>
        <w:t>Additionally, FinCEN amend</w:t>
      </w:r>
      <w:r w:rsidR="00132287">
        <w:rPr>
          <w:rStyle w:val="cf01"/>
          <w:rFonts w:ascii="Times New Roman" w:hAnsi="Times New Roman" w:cs="Times New Roman"/>
          <w:sz w:val="24"/>
          <w:szCs w:val="24"/>
        </w:rPr>
        <w:t>ed</w:t>
      </w:r>
      <w:r w:rsidRPr="00D43829" w:rsidR="00F71530">
        <w:rPr>
          <w:rStyle w:val="cf01"/>
          <w:rFonts w:ascii="Times New Roman" w:hAnsi="Times New Roman" w:cs="Times New Roman"/>
          <w:sz w:val="24"/>
          <w:szCs w:val="24"/>
        </w:rPr>
        <w:t xml:space="preserve"> proposed 1010.955(d)(2)(iv) to require a financial institution to certify that it has obtained and “documented” a reporting company’s consent to request the reporting company’s BOI from FinCEN. </w:t>
      </w:r>
      <w:r w:rsidRPr="00D43829" w:rsidR="00D223AD">
        <w:rPr>
          <w:rStyle w:val="cf01"/>
          <w:rFonts w:ascii="Times New Roman" w:hAnsi="Times New Roman" w:cs="Times New Roman"/>
          <w:sz w:val="24"/>
          <w:szCs w:val="24"/>
        </w:rPr>
        <w:t xml:space="preserve"> </w:t>
      </w:r>
      <w:r w:rsidRPr="00D43829" w:rsidR="00F71530">
        <w:rPr>
          <w:rStyle w:val="cf01"/>
          <w:rFonts w:ascii="Times New Roman" w:hAnsi="Times New Roman" w:cs="Times New Roman"/>
          <w:sz w:val="24"/>
          <w:szCs w:val="24"/>
        </w:rPr>
        <w:t xml:space="preserve">The revised </w:t>
      </w:r>
      <w:r w:rsidRPr="00D43829" w:rsidR="00F71530">
        <w:rPr>
          <w:rStyle w:val="cf01"/>
          <w:rFonts w:ascii="Times New Roman" w:hAnsi="Times New Roman" w:cs="Times New Roman"/>
          <w:sz w:val="24"/>
          <w:szCs w:val="24"/>
        </w:rPr>
        <w:t>approach eliminates the requirement for the financial institution to obtain “written” consent from the reporting company, requiring only that consent be “documented.”</w:t>
      </w:r>
    </w:p>
    <w:p w:rsidR="00F71530" w:rsidRPr="00D43829" w:rsidP="006F61FF" w14:paraId="0D33230E" w14:textId="6A1AD101">
      <w:pPr>
        <w:spacing w:before="284"/>
        <w:ind w:firstLine="720"/>
      </w:pPr>
      <w:r w:rsidRPr="00D43829">
        <w:rPr>
          <w:rStyle w:val="cf01"/>
          <w:rFonts w:ascii="Times New Roman" w:hAnsi="Times New Roman" w:cs="Times New Roman"/>
          <w:sz w:val="24"/>
          <w:szCs w:val="24"/>
        </w:rPr>
        <w:t>FinCEN also aims to minimize the burden on small financial institutions by providing the ability for financial institutions to submit sea</w:t>
      </w:r>
      <w:r w:rsidRPr="00D43829">
        <w:rPr>
          <w:rStyle w:val="cf01"/>
          <w:rFonts w:ascii="Times New Roman" w:hAnsi="Times New Roman" w:cs="Times New Roman"/>
          <w:sz w:val="24"/>
          <w:szCs w:val="24"/>
        </w:rPr>
        <w:t>rch requests through an automated process, lessening costs associated with manual searches by financial institutions.  FinCEN expects that financial institutions will use Application Programming Interfaces (APIs) to access BOI, and that the BO IT system wi</w:t>
      </w:r>
      <w:r w:rsidRPr="00D43829">
        <w:rPr>
          <w:rStyle w:val="cf01"/>
          <w:rFonts w:ascii="Times New Roman" w:hAnsi="Times New Roman" w:cs="Times New Roman"/>
          <w:sz w:val="24"/>
          <w:szCs w:val="24"/>
        </w:rPr>
        <w:t>ll accommodate the use of APIs for this purpose (including the submission of required certifications).</w:t>
      </w:r>
    </w:p>
    <w:p w:rsidR="00D44137" w:rsidRPr="00D43829" w:rsidP="006F61FF" w14:paraId="7DD49AB6" w14:textId="77777777">
      <w:pPr>
        <w:spacing w:before="284"/>
        <w:ind w:firstLine="720"/>
      </w:pPr>
      <w:r w:rsidRPr="00D43829">
        <w:t xml:space="preserve">FinCEN </w:t>
      </w:r>
      <w:r w:rsidRPr="00D43829" w:rsidR="00F71530">
        <w:t xml:space="preserve">also </w:t>
      </w:r>
      <w:r w:rsidRPr="00D43829">
        <w:t xml:space="preserve">aims to minimize the burden on small entities by providing clear guidance on how to comply with the final rule.  </w:t>
      </w:r>
    </w:p>
    <w:p w:rsidR="00995673" w:rsidP="006F61FF" w14:paraId="2D4F3870" w14:textId="514C20B9">
      <w:pPr>
        <w:spacing w:before="283"/>
      </w:pPr>
      <w:r>
        <w:rPr>
          <w:szCs w:val="22"/>
        </w:rPr>
        <w:t xml:space="preserve">6. </w:t>
      </w:r>
      <w:r w:rsidR="007E495B">
        <w:rPr>
          <w:szCs w:val="22"/>
          <w:u w:val="single"/>
        </w:rPr>
        <w:t>Consequences to the Federal g</w:t>
      </w:r>
      <w:r>
        <w:rPr>
          <w:szCs w:val="22"/>
          <w:u w:val="single"/>
        </w:rPr>
        <w:t xml:space="preserve">overnment of </w:t>
      </w:r>
      <w:r w:rsidR="007E495B">
        <w:rPr>
          <w:szCs w:val="22"/>
          <w:u w:val="single"/>
        </w:rPr>
        <w:t>n</w:t>
      </w:r>
      <w:r>
        <w:rPr>
          <w:szCs w:val="22"/>
          <w:u w:val="single"/>
        </w:rPr>
        <w:t xml:space="preserve">ot </w:t>
      </w:r>
      <w:r w:rsidR="007E495B">
        <w:rPr>
          <w:szCs w:val="22"/>
          <w:u w:val="single"/>
        </w:rPr>
        <w:t>collecting the i</w:t>
      </w:r>
      <w:r>
        <w:rPr>
          <w:szCs w:val="22"/>
          <w:u w:val="single"/>
        </w:rPr>
        <w:t>nformation.</w:t>
      </w:r>
      <w:r>
        <w:rPr>
          <w:szCs w:val="22"/>
        </w:rPr>
        <w:t xml:space="preserve"> </w:t>
      </w:r>
    </w:p>
    <w:p w:rsidR="00C4099D" w:rsidP="006F61FF" w14:paraId="3E070C21" w14:textId="31FA2D71">
      <w:pPr>
        <w:spacing w:before="284"/>
        <w:ind w:firstLine="720"/>
      </w:pPr>
      <w:r w:rsidRPr="74B43A82">
        <w:t xml:space="preserve">The </w:t>
      </w:r>
      <w:r>
        <w:t>final rule</w:t>
      </w:r>
      <w:r w:rsidRPr="74B43A82">
        <w:t xml:space="preserve"> implement</w:t>
      </w:r>
      <w:r>
        <w:t>s</w:t>
      </w:r>
      <w:r w:rsidRPr="74B43A82">
        <w:t xml:space="preserve"> the strict protocols required by the CTA to protect sensitive personally identifiable information reported to FinCEN</w:t>
      </w:r>
      <w:r>
        <w:t xml:space="preserve"> and</w:t>
      </w:r>
      <w:r w:rsidRPr="74B43A82">
        <w:t xml:space="preserve"> </w:t>
      </w:r>
      <w:r w:rsidR="00296591">
        <w:t>to</w:t>
      </w:r>
      <w:r w:rsidRPr="74B43A82">
        <w:t xml:space="preserve"> establish the circumstances in which </w:t>
      </w:r>
      <w:r>
        <w:t>authorized</w:t>
      </w:r>
      <w:r w:rsidRPr="74B43A82">
        <w:t xml:space="preserve"> recipie</w:t>
      </w:r>
      <w:r w:rsidRPr="74B43A82">
        <w:t xml:space="preserve">nts have access to BOI, </w:t>
      </w:r>
      <w:r w:rsidR="007E2DFE">
        <w:t>as well as</w:t>
      </w:r>
      <w:r w:rsidRPr="74B43A82">
        <w:t xml:space="preserve"> data protection protocols and oversight mechanisms applicable to each recipient category. </w:t>
      </w:r>
      <w:r w:rsidRPr="00727AFA" w:rsidR="00727AFA">
        <w:t xml:space="preserve"> The final rule also provides a robust framework to ensure that BOI reported to FinCEN, and received by authorized recipients, is subject to strict cybersecurity controls, confidentiality protections and restrictions, and robust audit and oversight measures.</w:t>
      </w:r>
      <w:r w:rsidRPr="001B312C" w:rsidR="001B312C">
        <w:t xml:space="preserve"> </w:t>
      </w:r>
    </w:p>
    <w:p w:rsidR="00282E42" w:rsidP="006F61FF" w14:paraId="6E9DF6D4" w14:textId="77777777">
      <w:pPr>
        <w:spacing w:before="284"/>
        <w:ind w:firstLine="720"/>
      </w:pPr>
      <w:r>
        <w:t xml:space="preserve">The collection of information from authorized users is necessary </w:t>
      </w:r>
      <w:r w:rsidR="007919AE">
        <w:t xml:space="preserve">to adequately protect </w:t>
      </w:r>
      <w:r w:rsidR="004438EE">
        <w:t>BOI from unauthorized disclosure</w:t>
      </w:r>
      <w:r w:rsidR="00FD1E7F">
        <w:t xml:space="preserve">, as well as </w:t>
      </w:r>
      <w:r w:rsidRPr="001C600B" w:rsidR="001C600B">
        <w:t xml:space="preserve">to ensure that authorized recipients use that BOI only for purposes permitted by the CTA. </w:t>
      </w:r>
      <w:r w:rsidR="00885404">
        <w:t xml:space="preserve"> </w:t>
      </w:r>
      <w:r w:rsidR="004438EE">
        <w:t>T</w:t>
      </w:r>
      <w:r w:rsidR="007919AE">
        <w:t>herefore, n</w:t>
      </w:r>
      <w:r w:rsidRPr="00A90AC2" w:rsidR="00A90AC2">
        <w:t>ot collecting this information would be contrary to the statutory requirements of the CTA to establish appropriate protocols and protect sensitive personally identifiable information</w:t>
      </w:r>
      <w:r w:rsidR="004438EE">
        <w:t xml:space="preserve">. </w:t>
      </w:r>
    </w:p>
    <w:p w:rsidR="00600940" w:rsidRPr="00885404" w:rsidP="00C6362C" w14:paraId="513FE6D5" w14:textId="69AB6065">
      <w:pPr>
        <w:spacing w:before="284"/>
        <w:rPr>
          <w:szCs w:val="22"/>
          <w:u w:val="single"/>
        </w:rPr>
      </w:pPr>
      <w:r>
        <w:rPr>
          <w:szCs w:val="22"/>
        </w:rPr>
        <w:t xml:space="preserve">7. </w:t>
      </w:r>
      <w:r>
        <w:rPr>
          <w:szCs w:val="22"/>
          <w:u w:val="single"/>
        </w:rPr>
        <w:t>S</w:t>
      </w:r>
      <w:r w:rsidR="007E495B">
        <w:rPr>
          <w:szCs w:val="22"/>
          <w:u w:val="single"/>
        </w:rPr>
        <w:t>pecial circumstances requiring d</w:t>
      </w:r>
      <w:r>
        <w:rPr>
          <w:szCs w:val="22"/>
          <w:u w:val="single"/>
        </w:rPr>
        <w:t>at</w:t>
      </w:r>
      <w:r w:rsidR="007E495B">
        <w:rPr>
          <w:szCs w:val="22"/>
          <w:u w:val="single"/>
        </w:rPr>
        <w:t>a collection inconsistent with g</w:t>
      </w:r>
      <w:r>
        <w:rPr>
          <w:szCs w:val="22"/>
          <w:u w:val="single"/>
        </w:rPr>
        <w:t>uidelines.</w:t>
      </w:r>
    </w:p>
    <w:p w:rsidR="00600940" w:rsidRPr="00885404" w:rsidP="006F61FF" w14:paraId="1B875DEF" w14:textId="369FE793">
      <w:pPr>
        <w:spacing w:before="284"/>
        <w:ind w:firstLine="720"/>
      </w:pPr>
      <w:r>
        <w:rPr>
          <w:szCs w:val="4"/>
        </w:rPr>
        <w:t xml:space="preserve">There are no special circumstances under which the </w:t>
      </w:r>
      <w:r w:rsidR="00050C29">
        <w:rPr>
          <w:szCs w:val="4"/>
        </w:rPr>
        <w:t>final rule</w:t>
      </w:r>
      <w:r>
        <w:rPr>
          <w:szCs w:val="4"/>
        </w:rPr>
        <w:t xml:space="preserve"> will require data collection inconsistent with guidelines.</w:t>
      </w:r>
    </w:p>
    <w:p w:rsidR="00C556A7" w:rsidP="006F61FF" w14:paraId="2F3EC31D" w14:textId="62A015E7">
      <w:pPr>
        <w:spacing w:before="284"/>
      </w:pPr>
      <w:r>
        <w:rPr>
          <w:szCs w:val="22"/>
        </w:rPr>
        <w:t xml:space="preserve">8. </w:t>
      </w:r>
      <w:r>
        <w:rPr>
          <w:szCs w:val="22"/>
          <w:u w:val="single"/>
        </w:rPr>
        <w:t>Consultation w</w:t>
      </w:r>
      <w:r w:rsidR="007E495B">
        <w:rPr>
          <w:szCs w:val="22"/>
          <w:u w:val="single"/>
        </w:rPr>
        <w:t>ith individuals outside of the a</w:t>
      </w:r>
      <w:r>
        <w:rPr>
          <w:szCs w:val="22"/>
          <w:u w:val="single"/>
        </w:rPr>
        <w:t xml:space="preserve">gency on </w:t>
      </w:r>
      <w:r w:rsidR="007E495B">
        <w:rPr>
          <w:szCs w:val="22"/>
          <w:u w:val="single"/>
        </w:rPr>
        <w:t>availability of data,</w:t>
      </w:r>
      <w:r w:rsidR="00902855">
        <w:rPr>
          <w:szCs w:val="22"/>
          <w:u w:val="single"/>
        </w:rPr>
        <w:t xml:space="preserve"> </w:t>
      </w:r>
      <w:r w:rsidR="007E495B">
        <w:rPr>
          <w:szCs w:val="22"/>
          <w:u w:val="single"/>
        </w:rPr>
        <w:t>f</w:t>
      </w:r>
      <w:r>
        <w:rPr>
          <w:szCs w:val="22"/>
          <w:u w:val="single"/>
        </w:rPr>
        <w:t>requ</w:t>
      </w:r>
      <w:r w:rsidR="007E495B">
        <w:rPr>
          <w:szCs w:val="22"/>
          <w:u w:val="single"/>
        </w:rPr>
        <w:t>ency of collection, clarity of i</w:t>
      </w:r>
      <w:r>
        <w:rPr>
          <w:szCs w:val="22"/>
          <w:u w:val="single"/>
        </w:rPr>
        <w:t>n</w:t>
      </w:r>
      <w:r w:rsidR="007E495B">
        <w:rPr>
          <w:szCs w:val="22"/>
          <w:u w:val="single"/>
        </w:rPr>
        <w:t>structions and forms, and data e</w:t>
      </w:r>
      <w:r>
        <w:rPr>
          <w:szCs w:val="22"/>
          <w:u w:val="single"/>
        </w:rPr>
        <w:t>lements.</w:t>
      </w:r>
      <w:r>
        <w:rPr>
          <w:szCs w:val="22"/>
        </w:rPr>
        <w:t xml:space="preserve"> </w:t>
      </w:r>
    </w:p>
    <w:p w:rsidR="00CC3DD2" w:rsidRPr="003E52C0" w:rsidP="006F61FF" w14:paraId="12572DAA" w14:textId="744987A1">
      <w:pPr>
        <w:pStyle w:val="BodyText"/>
        <w:ind w:right="115" w:firstLine="720"/>
      </w:pPr>
      <w:r w:rsidRPr="007B7B9C">
        <w:rPr>
          <w:rStyle w:val="normaltextrun"/>
          <w:rFonts w:eastAsia="Calibri"/>
          <w:color w:val="000000"/>
          <w:sz w:val="24"/>
          <w:szCs w:val="24"/>
          <w:shd w:val="clear" w:color="auto" w:fill="FFFFFF"/>
        </w:rPr>
        <w:t xml:space="preserve">On December 16, 2022, FinCEN published </w:t>
      </w:r>
      <w:r w:rsidR="00AD1B94">
        <w:rPr>
          <w:rStyle w:val="normaltextrun"/>
          <w:rFonts w:eastAsia="Calibri"/>
          <w:color w:val="000000"/>
          <w:sz w:val="24"/>
          <w:szCs w:val="24"/>
          <w:shd w:val="clear" w:color="auto" w:fill="FFFFFF"/>
        </w:rPr>
        <w:t>the Access NPRM</w:t>
      </w:r>
      <w:r w:rsidRPr="007B7B9C">
        <w:rPr>
          <w:rStyle w:val="normaltextrun"/>
          <w:rFonts w:eastAsia="Calibri"/>
          <w:color w:val="000000"/>
          <w:sz w:val="24"/>
          <w:szCs w:val="24"/>
          <w:shd w:val="clear" w:color="auto" w:fill="FFFFFF"/>
        </w:rPr>
        <w:t>.</w:t>
      </w:r>
      <w:r>
        <w:rPr>
          <w:rStyle w:val="FootnoteReference"/>
          <w:rFonts w:eastAsia="Calibri"/>
          <w:color w:val="000000"/>
          <w:sz w:val="24"/>
          <w:szCs w:val="24"/>
          <w:shd w:val="clear" w:color="auto" w:fill="FFFFFF"/>
        </w:rPr>
        <w:footnoteReference w:id="12"/>
      </w:r>
      <w:r w:rsidRPr="007B7B9C">
        <w:rPr>
          <w:rStyle w:val="normaltextrun"/>
          <w:rFonts w:eastAsia="Calibri"/>
          <w:color w:val="000000"/>
          <w:sz w:val="24"/>
          <w:szCs w:val="24"/>
          <w:shd w:val="clear" w:color="auto" w:fill="FFFFFF"/>
        </w:rPr>
        <w:t xml:space="preserve">  </w:t>
      </w:r>
      <w:r w:rsidR="00AD1B94">
        <w:rPr>
          <w:sz w:val="24"/>
          <w:szCs w:val="24"/>
        </w:rPr>
        <w:t xml:space="preserve">The Access NPRM </w:t>
      </w:r>
      <w:r w:rsidRPr="007B7B9C">
        <w:rPr>
          <w:sz w:val="24"/>
          <w:szCs w:val="24"/>
        </w:rPr>
        <w:t xml:space="preserve">described who would be authorized to access BOI reported to FinCEN, how those parties could use the information, and how they would be required to safeguard it.  </w:t>
      </w:r>
      <w:r w:rsidRPr="007B7B9C">
        <w:rPr>
          <w:rStyle w:val="normaltextrun"/>
          <w:rFonts w:eastAsia="Calibri"/>
          <w:color w:val="000000"/>
          <w:sz w:val="24"/>
          <w:szCs w:val="24"/>
          <w:shd w:val="clear" w:color="auto" w:fill="FFFFFF"/>
        </w:rPr>
        <w:t xml:space="preserve">The </w:t>
      </w:r>
      <w:r w:rsidR="00AD1B94">
        <w:rPr>
          <w:rStyle w:val="normaltextrun"/>
          <w:rFonts w:eastAsia="Calibri"/>
          <w:color w:val="000000"/>
          <w:sz w:val="24"/>
          <w:szCs w:val="24"/>
          <w:shd w:val="clear" w:color="auto" w:fill="FFFFFF"/>
        </w:rPr>
        <w:t xml:space="preserve">Access </w:t>
      </w:r>
      <w:r w:rsidRPr="007B7B9C">
        <w:rPr>
          <w:rStyle w:val="normaltextrun"/>
          <w:rFonts w:eastAsia="Calibri"/>
          <w:color w:val="000000"/>
          <w:sz w:val="24"/>
          <w:szCs w:val="24"/>
          <w:shd w:val="clear" w:color="auto" w:fill="FFFFFF"/>
        </w:rPr>
        <w:t xml:space="preserve">NPRM reflected information gleaned from over </w:t>
      </w:r>
      <w:r w:rsidRPr="007B7B9C">
        <w:rPr>
          <w:sz w:val="24"/>
          <w:szCs w:val="24"/>
        </w:rPr>
        <w:t>30 outreach sessions with representati</w:t>
      </w:r>
      <w:r w:rsidRPr="007B7B9C">
        <w:rPr>
          <w:sz w:val="24"/>
          <w:szCs w:val="24"/>
        </w:rPr>
        <w:t xml:space="preserve">ves from Federal agencies, state courts, state and local prosecutors’ offices, Tribal governments, financial institutions, SROs, and government offices that had </w:t>
      </w:r>
      <w:r w:rsidRPr="007B7B9C">
        <w:rPr>
          <w:sz w:val="24"/>
          <w:szCs w:val="24"/>
        </w:rPr>
        <w:t xml:space="preserve">established beneficial ownership databases.  </w:t>
      </w:r>
      <w:r>
        <w:rPr>
          <w:sz w:val="24"/>
          <w:szCs w:val="24"/>
        </w:rPr>
        <w:t xml:space="preserve">It also reflected </w:t>
      </w:r>
      <w:r w:rsidR="00A87AC2">
        <w:rPr>
          <w:sz w:val="24"/>
          <w:szCs w:val="24"/>
        </w:rPr>
        <w:t>input that FinCEN received in response to</w:t>
      </w:r>
      <w:r w:rsidR="0047212B">
        <w:rPr>
          <w:sz w:val="24"/>
          <w:szCs w:val="24"/>
        </w:rPr>
        <w:t xml:space="preserve"> a</w:t>
      </w:r>
      <w:r w:rsidR="00AC3CCA">
        <w:rPr>
          <w:sz w:val="24"/>
          <w:szCs w:val="24"/>
        </w:rPr>
        <w:t xml:space="preserve">n </w:t>
      </w:r>
      <w:r w:rsidR="00D679BB">
        <w:rPr>
          <w:sz w:val="24"/>
          <w:szCs w:val="24"/>
        </w:rPr>
        <w:t>a</w:t>
      </w:r>
      <w:r w:rsidR="00AC3CCA">
        <w:rPr>
          <w:sz w:val="24"/>
          <w:szCs w:val="24"/>
        </w:rPr>
        <w:t>dvance</w:t>
      </w:r>
      <w:r w:rsidR="0017188B">
        <w:rPr>
          <w:sz w:val="24"/>
          <w:szCs w:val="24"/>
        </w:rPr>
        <w:t>d</w:t>
      </w:r>
      <w:r w:rsidR="00AC3CCA">
        <w:rPr>
          <w:sz w:val="24"/>
          <w:szCs w:val="24"/>
        </w:rPr>
        <w:t xml:space="preserve"> </w:t>
      </w:r>
      <w:r w:rsidR="00D679BB">
        <w:rPr>
          <w:sz w:val="24"/>
          <w:szCs w:val="24"/>
        </w:rPr>
        <w:t>n</w:t>
      </w:r>
      <w:r w:rsidR="00AC3CCA">
        <w:rPr>
          <w:sz w:val="24"/>
          <w:szCs w:val="24"/>
        </w:rPr>
        <w:t xml:space="preserve">otice of </w:t>
      </w:r>
      <w:r w:rsidR="00D679BB">
        <w:rPr>
          <w:sz w:val="24"/>
          <w:szCs w:val="24"/>
        </w:rPr>
        <w:t>p</w:t>
      </w:r>
      <w:r w:rsidR="00AC3CCA">
        <w:rPr>
          <w:sz w:val="24"/>
          <w:szCs w:val="24"/>
        </w:rPr>
        <w:t xml:space="preserve">roposed </w:t>
      </w:r>
      <w:r w:rsidR="00D679BB">
        <w:rPr>
          <w:sz w:val="24"/>
          <w:szCs w:val="24"/>
        </w:rPr>
        <w:t>r</w:t>
      </w:r>
      <w:r w:rsidR="00AC3CCA">
        <w:rPr>
          <w:sz w:val="24"/>
          <w:szCs w:val="24"/>
        </w:rPr>
        <w:t>ulemaking</w:t>
      </w:r>
      <w:r w:rsidR="0017188B">
        <w:rPr>
          <w:sz w:val="24"/>
          <w:szCs w:val="24"/>
        </w:rPr>
        <w:t xml:space="preserve">, </w:t>
      </w:r>
      <w:r w:rsidRPr="0017188B" w:rsidR="0017188B">
        <w:rPr>
          <w:sz w:val="24"/>
          <w:szCs w:val="24"/>
        </w:rPr>
        <w:t xml:space="preserve">published on April 5, 2021, </w:t>
      </w:r>
      <w:r w:rsidRPr="003E52C0" w:rsidR="0017188B">
        <w:rPr>
          <w:sz w:val="24"/>
          <w:szCs w:val="24"/>
        </w:rPr>
        <w:t>which sought</w:t>
      </w:r>
      <w:r w:rsidR="0017188B">
        <w:rPr>
          <w:sz w:val="24"/>
          <w:szCs w:val="24"/>
        </w:rPr>
        <w:t xml:space="preserve"> </w:t>
      </w:r>
      <w:r w:rsidRPr="003E52C0" w:rsidR="0017188B">
        <w:rPr>
          <w:sz w:val="24"/>
          <w:szCs w:val="24"/>
        </w:rPr>
        <w:t xml:space="preserve">input </w:t>
      </w:r>
      <w:r w:rsidR="00D679BB">
        <w:rPr>
          <w:sz w:val="24"/>
          <w:szCs w:val="24"/>
        </w:rPr>
        <w:t xml:space="preserve">from the public </w:t>
      </w:r>
      <w:r w:rsidRPr="003E52C0" w:rsidR="0017188B">
        <w:rPr>
          <w:sz w:val="24"/>
          <w:szCs w:val="24"/>
        </w:rPr>
        <w:t xml:space="preserve">on five open-ended categories of questions, including questions </w:t>
      </w:r>
      <w:r w:rsidR="00D679BB">
        <w:rPr>
          <w:sz w:val="24"/>
          <w:szCs w:val="24"/>
        </w:rPr>
        <w:t>concerning</w:t>
      </w:r>
      <w:r w:rsidRPr="003E52C0" w:rsidR="0017188B">
        <w:rPr>
          <w:sz w:val="24"/>
          <w:szCs w:val="24"/>
        </w:rPr>
        <w:t xml:space="preserve"> key CTA definitions and on implement</w:t>
      </w:r>
      <w:r w:rsidR="00862EA0">
        <w:rPr>
          <w:sz w:val="24"/>
          <w:szCs w:val="24"/>
        </w:rPr>
        <w:t>ation of</w:t>
      </w:r>
      <w:r w:rsidRPr="003E52C0" w:rsidR="0017188B">
        <w:rPr>
          <w:sz w:val="24"/>
          <w:szCs w:val="24"/>
        </w:rPr>
        <w:t xml:space="preserve"> CTA provisions governing </w:t>
      </w:r>
      <w:r w:rsidR="00D679BB">
        <w:rPr>
          <w:sz w:val="24"/>
          <w:szCs w:val="24"/>
        </w:rPr>
        <w:t>the</w:t>
      </w:r>
      <w:r w:rsidRPr="003E52C0" w:rsidR="0017188B">
        <w:rPr>
          <w:sz w:val="24"/>
          <w:szCs w:val="24"/>
        </w:rPr>
        <w:t xml:space="preserve"> maintenance and disclosure of BOI.</w:t>
      </w:r>
      <w:r>
        <w:rPr>
          <w:sz w:val="24"/>
          <w:szCs w:val="24"/>
          <w:vertAlign w:val="superscript"/>
        </w:rPr>
        <w:footnoteReference w:id="13"/>
      </w:r>
      <w:r w:rsidRPr="0017188B" w:rsidR="0017188B">
        <w:t xml:space="preserve"> </w:t>
      </w:r>
    </w:p>
    <w:p w:rsidR="007428B2" w:rsidP="006F61FF" w14:paraId="783689D7" w14:textId="01AD748E">
      <w:pPr>
        <w:pStyle w:val="BodyText"/>
        <w:ind w:right="115" w:firstLine="720"/>
        <w:rPr>
          <w:sz w:val="24"/>
          <w:szCs w:val="24"/>
        </w:rPr>
      </w:pPr>
      <w:r w:rsidRPr="007B7B9C">
        <w:rPr>
          <w:sz w:val="24"/>
          <w:szCs w:val="24"/>
        </w:rPr>
        <w:t xml:space="preserve">In response to the </w:t>
      </w:r>
      <w:r w:rsidR="007A01FE">
        <w:rPr>
          <w:sz w:val="24"/>
          <w:szCs w:val="24"/>
        </w:rPr>
        <w:t xml:space="preserve">Access </w:t>
      </w:r>
      <w:r w:rsidRPr="007B7B9C">
        <w:rPr>
          <w:sz w:val="24"/>
          <w:szCs w:val="24"/>
        </w:rPr>
        <w:t xml:space="preserve">NPRM, FinCEN received over 80 comments from a broad array of individuals and organizations, including members of Congress, the financial industry and related trade associations, groups representing small business interests, corporate transparency advocacy </w:t>
      </w:r>
      <w:r w:rsidRPr="007B7B9C">
        <w:rPr>
          <w:sz w:val="24"/>
          <w:szCs w:val="24"/>
        </w:rPr>
        <w:t xml:space="preserve">groups, law enforcement representatives, regulatory associations, legal associations, and other interested groups and individuals.  </w:t>
      </w:r>
      <w:r w:rsidRPr="004D17BB" w:rsidR="004D17BB">
        <w:rPr>
          <w:sz w:val="24"/>
          <w:szCs w:val="24"/>
        </w:rPr>
        <w:t>The commenters expressed a range of opinions about the</w:t>
      </w:r>
      <w:r w:rsidR="000705AF">
        <w:rPr>
          <w:sz w:val="24"/>
          <w:szCs w:val="24"/>
        </w:rPr>
        <w:t xml:space="preserve"> Access</w:t>
      </w:r>
      <w:r w:rsidRPr="004D17BB" w:rsidR="004D17BB">
        <w:rPr>
          <w:sz w:val="24"/>
          <w:szCs w:val="24"/>
        </w:rPr>
        <w:t xml:space="preserve"> NPRM, and they </w:t>
      </w:r>
      <w:r w:rsidRPr="006F7B0F" w:rsidR="006428AF">
        <w:rPr>
          <w:sz w:val="24"/>
          <w:szCs w:val="24"/>
        </w:rPr>
        <w:t xml:space="preserve">suggested specific modifications to the proposed regulations to enhance clarity, refine policy expectations, ensure technical accuracy, and improve implementation more broadly.  Commenters sought clarification on specific definitions, use cases, technical requirements and processes, and database functionality, among other things.  </w:t>
      </w:r>
      <w:r w:rsidRPr="006F7B0F" w:rsidR="004D17BB">
        <w:rPr>
          <w:sz w:val="24"/>
          <w:szCs w:val="24"/>
        </w:rPr>
        <w:t xml:space="preserve">Commenters also </w:t>
      </w:r>
      <w:r w:rsidR="00F17653">
        <w:rPr>
          <w:sz w:val="24"/>
          <w:szCs w:val="24"/>
        </w:rPr>
        <w:t>opined</w:t>
      </w:r>
      <w:r w:rsidRPr="006F7B0F" w:rsidR="00F17653">
        <w:rPr>
          <w:sz w:val="24"/>
          <w:szCs w:val="24"/>
        </w:rPr>
        <w:t xml:space="preserve"> </w:t>
      </w:r>
      <w:r w:rsidRPr="006F7B0F" w:rsidR="004D17BB">
        <w:rPr>
          <w:sz w:val="24"/>
          <w:szCs w:val="24"/>
        </w:rPr>
        <w:t xml:space="preserve">that the proposed regulations would be too costly and burdensome for small businesses.  </w:t>
      </w:r>
    </w:p>
    <w:p w:rsidR="007428B2" w:rsidRPr="00E56F42" w:rsidP="006F61FF" w14:paraId="54657978" w14:textId="6A97DBDA">
      <w:pPr>
        <w:pStyle w:val="BodyText"/>
        <w:spacing w:before="284"/>
        <w:ind w:right="115" w:firstLine="720"/>
      </w:pPr>
      <w:r w:rsidRPr="006F7B0F">
        <w:rPr>
          <w:sz w:val="24"/>
          <w:szCs w:val="24"/>
        </w:rPr>
        <w:t xml:space="preserve">In particular, commenters expressed concern over the </w:t>
      </w:r>
      <w:r w:rsidRPr="00F17653">
        <w:rPr>
          <w:sz w:val="24"/>
          <w:szCs w:val="24"/>
        </w:rPr>
        <w:t>access provisions relating to State, local, and Tribal law en</w:t>
      </w:r>
      <w:r w:rsidRPr="00F17653">
        <w:rPr>
          <w:sz w:val="24"/>
          <w:szCs w:val="24"/>
        </w:rPr>
        <w:t>forcement authorities and financial institutions.  Some commenters stated that certain requirements for law enforcement access to BOI, such as the requirement to submit “a copy of a court order” and “written justification” would create undue barriers for S</w:t>
      </w:r>
      <w:r w:rsidRPr="00F17653">
        <w:rPr>
          <w:sz w:val="24"/>
          <w:szCs w:val="24"/>
        </w:rPr>
        <w:t xml:space="preserve">tate, local and Tribal law enforcement and contradict the statutory text. </w:t>
      </w:r>
      <w:r w:rsidR="006452F9">
        <w:rPr>
          <w:sz w:val="24"/>
          <w:szCs w:val="24"/>
        </w:rPr>
        <w:t xml:space="preserve"> </w:t>
      </w:r>
      <w:r w:rsidRPr="006452F9" w:rsidR="006452F9">
        <w:rPr>
          <w:sz w:val="24"/>
          <w:szCs w:val="24"/>
        </w:rPr>
        <w:t>More specifically, c</w:t>
      </w:r>
      <w:r w:rsidRPr="006452F9">
        <w:rPr>
          <w:sz w:val="24"/>
          <w:szCs w:val="24"/>
        </w:rPr>
        <w:t xml:space="preserve">ommenters to the </w:t>
      </w:r>
      <w:r w:rsidR="000705AF">
        <w:rPr>
          <w:sz w:val="24"/>
          <w:szCs w:val="24"/>
        </w:rPr>
        <w:t xml:space="preserve">Access </w:t>
      </w:r>
      <w:r w:rsidRPr="006452F9">
        <w:rPr>
          <w:sz w:val="24"/>
          <w:szCs w:val="24"/>
        </w:rPr>
        <w:t>NPRM generally opposed the requirements in proposed 31 CFR 1010.955(d)(1)(ii)(B)(2)(i) that the head of a State, local, or Tribal law enf</w:t>
      </w:r>
      <w:r w:rsidRPr="006452F9">
        <w:rPr>
          <w:sz w:val="24"/>
          <w:szCs w:val="24"/>
        </w:rPr>
        <w:t xml:space="preserve">orcement agency, or their designee, must obtain and submit a copy of a court order to FinCEN authorizing the agency to seek BOI in a criminal or civil investigation.  These commenters explained that these requirements would create burdens on State, local, </w:t>
      </w:r>
      <w:r w:rsidRPr="006452F9">
        <w:rPr>
          <w:sz w:val="24"/>
          <w:szCs w:val="24"/>
        </w:rPr>
        <w:t>and Tribal agencies that would impede their ability to access BOI in a timely manner, which would be contrary to the goals of the CTA.  In general, commenters encouraged FinCEN to take a more flexible approach in specifying the manner in which a court auth</w:t>
      </w:r>
      <w:r w:rsidRPr="006452F9">
        <w:rPr>
          <w:sz w:val="24"/>
          <w:szCs w:val="24"/>
        </w:rPr>
        <w:t xml:space="preserve">orizes a request for BOI, which court personnel can provide that authorization, and at what stage in an investigation or proceeding agencies may seek the BOI from FinCEN.  </w:t>
      </w:r>
    </w:p>
    <w:p w:rsidR="007428B2" w:rsidP="006F61FF" w14:paraId="7C85A64A" w14:textId="5EDA1FB9">
      <w:pPr>
        <w:spacing w:before="284"/>
        <w:ind w:firstLine="720"/>
      </w:pPr>
      <w:r w:rsidRPr="00E56F42">
        <w:t xml:space="preserve">Commenters </w:t>
      </w:r>
      <w:r>
        <w:t xml:space="preserve">to the </w:t>
      </w:r>
      <w:r w:rsidR="00076A5D">
        <w:t xml:space="preserve">Access </w:t>
      </w:r>
      <w:r>
        <w:t xml:space="preserve">NPRM </w:t>
      </w:r>
      <w:r w:rsidRPr="00E56F42">
        <w:t>also generally opposed</w:t>
      </w:r>
      <w:r w:rsidR="002715FE">
        <w:t>,</w:t>
      </w:r>
      <w:r w:rsidRPr="00E56F42">
        <w:t xml:space="preserve"> for largely the same reasons</w:t>
      </w:r>
      <w:r w:rsidR="002715FE">
        <w:t>,</w:t>
      </w:r>
      <w:r w:rsidRPr="00E56F42">
        <w:t xml:space="preserve"> the requirement in proposed 31 CFR 1010.955(d)(1)(ii)(B)(2)(i) that the agency head must also submit a written justification to FinCEN explaining the relevance of the BOI for the investigation.  Specifically, some commenters noted that the CTA does not co</w:t>
      </w:r>
      <w:r w:rsidRPr="00E56F42">
        <w:t>ntain such a requirement, expressed concerns that this requirement would unduly delay requests by agencies for BOI, and highlighted the challenges involved in FinCEN reviewing each justification provided by an agency that requests BOI.</w:t>
      </w:r>
      <w:r>
        <w:t xml:space="preserve">  </w:t>
      </w:r>
    </w:p>
    <w:p w:rsidR="007428B2" w:rsidRPr="00F17653" w:rsidP="006F61FF" w14:paraId="57552255" w14:textId="0C8D3BEB">
      <w:pPr>
        <w:spacing w:before="284"/>
        <w:ind w:firstLine="720"/>
      </w:pPr>
      <w:r w:rsidRPr="0074287D">
        <w:t xml:space="preserve">FinCEN was </w:t>
      </w:r>
      <w:r w:rsidRPr="0074287D">
        <w:t>persuaded by comments that were critical of the requirements in proposed 31 CFR 1010.955(d)(1)(ii)(B)(2) that State, local, and Tribal law enforcement agencies submit a copy of a court order and written justification for FinCEN review prior to searching fo</w:t>
      </w:r>
      <w:r w:rsidRPr="0074287D">
        <w:t xml:space="preserve">r BOI.  Accordingly, FinCEN has made several changes to that provision in the final rule.  These revisions are intended to streamline State, local, and Tribal agency access to BOI and reduce burdens on these agencies and courts as well as on FinCEN, while </w:t>
      </w:r>
      <w:r w:rsidRPr="0074287D">
        <w:t>at the same time, maintaining robust confidentiality and security requirements for these agencies and FinCEN oversight and audit of these requests.</w:t>
      </w:r>
      <w:r>
        <w:t xml:space="preserve">  </w:t>
      </w:r>
      <w:r w:rsidR="008B2220">
        <w:t xml:space="preserve"> </w:t>
      </w:r>
    </w:p>
    <w:p w:rsidR="00600940" w:rsidP="006F61FF" w14:paraId="79226055" w14:textId="107C48F6">
      <w:pPr>
        <w:spacing w:before="283"/>
        <w:rPr>
          <w:szCs w:val="22"/>
        </w:rPr>
      </w:pPr>
      <w:r>
        <w:rPr>
          <w:szCs w:val="22"/>
        </w:rPr>
        <w:t xml:space="preserve">9. </w:t>
      </w:r>
      <w:r w:rsidR="00902855">
        <w:rPr>
          <w:szCs w:val="22"/>
          <w:u w:val="single"/>
        </w:rPr>
        <w:t>Payments and g</w:t>
      </w:r>
      <w:r>
        <w:rPr>
          <w:szCs w:val="22"/>
          <w:u w:val="single"/>
        </w:rPr>
        <w:t>ifts</w:t>
      </w:r>
      <w:r w:rsidR="00384B9B">
        <w:rPr>
          <w:szCs w:val="22"/>
          <w:u w:val="single"/>
        </w:rPr>
        <w:t>.</w:t>
      </w:r>
      <w:r>
        <w:rPr>
          <w:szCs w:val="22"/>
        </w:rPr>
        <w:t xml:space="preserve"> </w:t>
      </w:r>
    </w:p>
    <w:p w:rsidR="00600940" w:rsidP="006F61FF" w14:paraId="36D68C13" w14:textId="77777777">
      <w:pPr>
        <w:spacing w:before="283"/>
        <w:ind w:firstLine="720"/>
        <w:rPr>
          <w:szCs w:val="22"/>
        </w:rPr>
      </w:pPr>
      <w:r>
        <w:rPr>
          <w:szCs w:val="22"/>
        </w:rPr>
        <w:t xml:space="preserve">No payments or gifts were made to respondents. </w:t>
      </w:r>
    </w:p>
    <w:p w:rsidR="00782261" w:rsidP="006F61FF" w14:paraId="2DCDF7D6" w14:textId="5B3FE8A1">
      <w:pPr>
        <w:pStyle w:val="BodyText"/>
        <w:rPr>
          <w:sz w:val="24"/>
          <w:szCs w:val="24"/>
        </w:rPr>
      </w:pPr>
      <w:r>
        <w:rPr>
          <w:sz w:val="24"/>
        </w:rPr>
        <w:t xml:space="preserve">10. </w:t>
      </w:r>
      <w:r>
        <w:rPr>
          <w:sz w:val="24"/>
          <w:u w:val="single"/>
        </w:rPr>
        <w:t>A</w:t>
      </w:r>
      <w:r w:rsidR="00902855">
        <w:rPr>
          <w:sz w:val="24"/>
          <w:u w:val="single"/>
        </w:rPr>
        <w:t>ssurance of confidentiality of r</w:t>
      </w:r>
      <w:r>
        <w:rPr>
          <w:sz w:val="24"/>
          <w:u w:val="single"/>
        </w:rPr>
        <w:t>esponses.</w:t>
      </w:r>
      <w:r>
        <w:rPr>
          <w:sz w:val="24"/>
        </w:rPr>
        <w:t xml:space="preserve"> </w:t>
      </w:r>
    </w:p>
    <w:p w:rsidR="000D4337" w:rsidRPr="00E77095" w:rsidP="006F61FF" w14:paraId="2521FE85" w14:textId="029BD30B">
      <w:pPr>
        <w:pStyle w:val="BodyText"/>
        <w:ind w:right="115" w:firstLine="720"/>
        <w:rPr>
          <w:sz w:val="24"/>
        </w:rPr>
      </w:pPr>
      <w:r w:rsidRPr="00E77095">
        <w:rPr>
          <w:sz w:val="24"/>
          <w:szCs w:val="24"/>
        </w:rPr>
        <w:t>FinCEN</w:t>
      </w:r>
      <w:r w:rsidRPr="00E77095" w:rsidR="00F85623">
        <w:rPr>
          <w:sz w:val="24"/>
          <w:szCs w:val="24"/>
        </w:rPr>
        <w:t xml:space="preserve"> will</w:t>
      </w:r>
      <w:r w:rsidR="008B2220">
        <w:rPr>
          <w:sz w:val="24"/>
          <w:szCs w:val="24"/>
        </w:rPr>
        <w:t xml:space="preserve"> </w:t>
      </w:r>
      <w:r w:rsidRPr="00E77095" w:rsidR="00F85623">
        <w:rPr>
          <w:sz w:val="24"/>
          <w:szCs w:val="24"/>
        </w:rPr>
        <w:t xml:space="preserve">maintain the confidentiality of </w:t>
      </w:r>
      <w:r w:rsidR="00AC3D19">
        <w:rPr>
          <w:sz w:val="24"/>
          <w:szCs w:val="24"/>
        </w:rPr>
        <w:t xml:space="preserve">responses, </w:t>
      </w:r>
      <w:r w:rsidR="00A50969">
        <w:rPr>
          <w:sz w:val="24"/>
          <w:szCs w:val="24"/>
        </w:rPr>
        <w:t xml:space="preserve">including </w:t>
      </w:r>
      <w:r w:rsidR="00916898">
        <w:rPr>
          <w:sz w:val="24"/>
          <w:szCs w:val="24"/>
        </w:rPr>
        <w:t>information</w:t>
      </w:r>
      <w:r w:rsidR="00800C0D">
        <w:rPr>
          <w:sz w:val="24"/>
          <w:szCs w:val="24"/>
        </w:rPr>
        <w:t xml:space="preserve"> associated with</w:t>
      </w:r>
      <w:r w:rsidR="009714D5">
        <w:rPr>
          <w:sz w:val="24"/>
          <w:szCs w:val="24"/>
        </w:rPr>
        <w:t xml:space="preserve"> </w:t>
      </w:r>
      <w:r w:rsidRPr="00E77095" w:rsidR="00F33644">
        <w:rPr>
          <w:sz w:val="24"/>
          <w:szCs w:val="24"/>
        </w:rPr>
        <w:t xml:space="preserve">BOI </w:t>
      </w:r>
      <w:r w:rsidRPr="00E77095" w:rsidR="00F85623">
        <w:rPr>
          <w:sz w:val="24"/>
          <w:szCs w:val="24"/>
        </w:rPr>
        <w:t>requests</w:t>
      </w:r>
      <w:r w:rsidR="00A50969">
        <w:rPr>
          <w:sz w:val="24"/>
          <w:szCs w:val="24"/>
        </w:rPr>
        <w:t>,</w:t>
      </w:r>
      <w:r w:rsidR="009139E7">
        <w:rPr>
          <w:sz w:val="24"/>
          <w:szCs w:val="24"/>
        </w:rPr>
        <w:t xml:space="preserve"> </w:t>
      </w:r>
      <w:r w:rsidR="00E200DD">
        <w:rPr>
          <w:sz w:val="24"/>
          <w:szCs w:val="24"/>
        </w:rPr>
        <w:t xml:space="preserve">consistent with </w:t>
      </w:r>
      <w:r w:rsidR="00D62084">
        <w:rPr>
          <w:sz w:val="24"/>
          <w:szCs w:val="24"/>
        </w:rPr>
        <w:t>its obligations</w:t>
      </w:r>
      <w:r w:rsidR="00B043AC">
        <w:rPr>
          <w:sz w:val="24"/>
          <w:szCs w:val="24"/>
        </w:rPr>
        <w:t xml:space="preserve"> under</w:t>
      </w:r>
      <w:r w:rsidR="00D62084">
        <w:rPr>
          <w:sz w:val="24"/>
          <w:szCs w:val="24"/>
        </w:rPr>
        <w:t xml:space="preserve"> </w:t>
      </w:r>
      <w:r w:rsidR="00DE22C9">
        <w:rPr>
          <w:sz w:val="24"/>
          <w:szCs w:val="24"/>
        </w:rPr>
        <w:t>the Privacy Act of 1974</w:t>
      </w:r>
      <w:r w:rsidR="005E4B4A">
        <w:rPr>
          <w:sz w:val="24"/>
          <w:szCs w:val="24"/>
        </w:rPr>
        <w:t xml:space="preserve"> (</w:t>
      </w:r>
      <w:r w:rsidRPr="005E4B4A" w:rsidR="005E4B4A">
        <w:rPr>
          <w:sz w:val="24"/>
          <w:szCs w:val="24"/>
        </w:rPr>
        <w:t>5 U.S.C. 552a</w:t>
      </w:r>
      <w:r w:rsidR="005E4B4A">
        <w:rPr>
          <w:sz w:val="24"/>
          <w:szCs w:val="24"/>
        </w:rPr>
        <w:t>)</w:t>
      </w:r>
      <w:r w:rsidRPr="005E4B4A" w:rsidR="005E4B4A">
        <w:rPr>
          <w:sz w:val="24"/>
          <w:szCs w:val="24"/>
        </w:rPr>
        <w:t>,</w:t>
      </w:r>
      <w:r w:rsidR="00652EBC">
        <w:rPr>
          <w:sz w:val="24"/>
          <w:szCs w:val="24"/>
        </w:rPr>
        <w:t xml:space="preserve"> as amended</w:t>
      </w:r>
      <w:r w:rsidR="0098212B">
        <w:rPr>
          <w:sz w:val="24"/>
          <w:szCs w:val="24"/>
        </w:rPr>
        <w:t>,</w:t>
      </w:r>
      <w:r w:rsidR="00CE6928">
        <w:rPr>
          <w:sz w:val="24"/>
          <w:szCs w:val="24"/>
        </w:rPr>
        <w:t xml:space="preserve"> and</w:t>
      </w:r>
      <w:r w:rsidR="00A609C5">
        <w:rPr>
          <w:sz w:val="24"/>
          <w:szCs w:val="24"/>
        </w:rPr>
        <w:t xml:space="preserve"> </w:t>
      </w:r>
      <w:r w:rsidR="00301006">
        <w:rPr>
          <w:sz w:val="24"/>
          <w:szCs w:val="24"/>
        </w:rPr>
        <w:t>31 CFR 1.36</w:t>
      </w:r>
      <w:r w:rsidR="0069251B">
        <w:rPr>
          <w:sz w:val="24"/>
        </w:rPr>
        <w:t xml:space="preserve">. </w:t>
      </w:r>
      <w:r w:rsidRPr="00E77095" w:rsidR="0091479E">
        <w:rPr>
          <w:sz w:val="24"/>
        </w:rPr>
        <w:t xml:space="preserve"> </w:t>
      </w:r>
      <w:r w:rsidRPr="00E77095" w:rsidR="00F85623">
        <w:rPr>
          <w:sz w:val="24"/>
        </w:rPr>
        <w:t xml:space="preserve"> </w:t>
      </w:r>
    </w:p>
    <w:p w:rsidR="00600940" w:rsidP="006F61FF" w14:paraId="1ABA96FC" w14:textId="6C91755C">
      <w:pPr>
        <w:spacing w:before="264"/>
        <w:rPr>
          <w:szCs w:val="22"/>
        </w:rPr>
      </w:pPr>
      <w:r>
        <w:rPr>
          <w:szCs w:val="22"/>
        </w:rPr>
        <w:t xml:space="preserve">11. </w:t>
      </w:r>
      <w:r w:rsidR="00CA6EF3">
        <w:rPr>
          <w:szCs w:val="22"/>
          <w:u w:val="single"/>
        </w:rPr>
        <w:t>Justification of s</w:t>
      </w:r>
      <w:r w:rsidR="00902855">
        <w:rPr>
          <w:szCs w:val="22"/>
          <w:u w:val="single"/>
        </w:rPr>
        <w:t>ensitive q</w:t>
      </w:r>
      <w:r>
        <w:rPr>
          <w:szCs w:val="22"/>
          <w:u w:val="single"/>
        </w:rPr>
        <w:t>uestions.</w:t>
      </w:r>
      <w:r>
        <w:rPr>
          <w:szCs w:val="22"/>
        </w:rPr>
        <w:t xml:space="preserve"> </w:t>
      </w:r>
    </w:p>
    <w:p w:rsidR="00663BD0" w:rsidP="006F61FF" w14:paraId="033F0716" w14:textId="2EFBF8FB">
      <w:pPr>
        <w:spacing w:before="254"/>
        <w:ind w:firstLine="720"/>
      </w:pPr>
      <w:r w:rsidRPr="002B7E9A">
        <w:t xml:space="preserve">There are no questions of a sensitive nature in the collection of information.  </w:t>
      </w:r>
    </w:p>
    <w:p w:rsidR="00F1666A" w:rsidP="006F61FF" w14:paraId="496ECD2C" w14:textId="094E9AC2">
      <w:pPr>
        <w:spacing w:before="254"/>
        <w:rPr>
          <w:szCs w:val="22"/>
        </w:rPr>
      </w:pPr>
      <w:r>
        <w:rPr>
          <w:szCs w:val="22"/>
        </w:rPr>
        <w:t xml:space="preserve">12. </w:t>
      </w:r>
      <w:r w:rsidR="00902855">
        <w:rPr>
          <w:szCs w:val="22"/>
          <w:u w:val="single"/>
        </w:rPr>
        <w:t>Estimated annual hourly b</w:t>
      </w:r>
      <w:r>
        <w:rPr>
          <w:szCs w:val="22"/>
          <w:u w:val="single"/>
        </w:rPr>
        <w:t>urden.</w:t>
      </w:r>
      <w:r>
        <w:rPr>
          <w:szCs w:val="22"/>
        </w:rPr>
        <w:t xml:space="preserve"> </w:t>
      </w:r>
    </w:p>
    <w:p w:rsidR="00D017A9" w:rsidP="006F61FF" w14:paraId="0C078F56" w14:textId="0621D310">
      <w:pPr>
        <w:pStyle w:val="BodyText"/>
        <w:ind w:right="115" w:firstLine="720"/>
      </w:pPr>
      <w:r>
        <w:rPr>
          <w:sz w:val="24"/>
          <w:szCs w:val="24"/>
        </w:rPr>
        <w:t>As explained in Section 1</w:t>
      </w:r>
      <w:r w:rsidR="00C74A8B">
        <w:rPr>
          <w:sz w:val="24"/>
          <w:szCs w:val="24"/>
        </w:rPr>
        <w:t xml:space="preserve"> and</w:t>
      </w:r>
      <w:r>
        <w:rPr>
          <w:sz w:val="24"/>
          <w:szCs w:val="24"/>
        </w:rPr>
        <w:t xml:space="preserve"> c</w:t>
      </w:r>
      <w:r w:rsidR="00436D68">
        <w:rPr>
          <w:sz w:val="24"/>
          <w:szCs w:val="24"/>
        </w:rPr>
        <w:t xml:space="preserve">onsistent with PRA requirements, </w:t>
      </w:r>
      <w:r>
        <w:rPr>
          <w:sz w:val="24"/>
          <w:szCs w:val="24"/>
        </w:rPr>
        <w:t>th</w:t>
      </w:r>
      <w:r w:rsidR="00D1518E">
        <w:rPr>
          <w:sz w:val="24"/>
          <w:szCs w:val="24"/>
        </w:rPr>
        <w:t>is</w:t>
      </w:r>
      <w:r>
        <w:rPr>
          <w:sz w:val="24"/>
          <w:szCs w:val="24"/>
        </w:rPr>
        <w:t xml:space="preserve"> </w:t>
      </w:r>
      <w:r w:rsidR="00D1518E">
        <w:rPr>
          <w:sz w:val="24"/>
          <w:szCs w:val="24"/>
        </w:rPr>
        <w:t>S</w:t>
      </w:r>
      <w:r>
        <w:rPr>
          <w:sz w:val="24"/>
          <w:szCs w:val="24"/>
        </w:rPr>
        <w:t xml:space="preserve">upporting </w:t>
      </w:r>
      <w:r w:rsidR="00D1518E">
        <w:rPr>
          <w:sz w:val="24"/>
          <w:szCs w:val="24"/>
        </w:rPr>
        <w:t>S</w:t>
      </w:r>
      <w:r>
        <w:rPr>
          <w:sz w:val="24"/>
          <w:szCs w:val="24"/>
        </w:rPr>
        <w:t>tatement</w:t>
      </w:r>
      <w:r w:rsidR="00436D68">
        <w:rPr>
          <w:sz w:val="24"/>
          <w:szCs w:val="24"/>
        </w:rPr>
        <w:t xml:space="preserve"> only considers burdens incurred by “persons” deemed to be members of the public </w:t>
      </w:r>
      <w:r w:rsidR="00672642">
        <w:rPr>
          <w:sz w:val="24"/>
          <w:szCs w:val="24"/>
        </w:rPr>
        <w:t xml:space="preserve">— </w:t>
      </w:r>
      <w:r w:rsidR="00436D68">
        <w:rPr>
          <w:sz w:val="24"/>
          <w:szCs w:val="24"/>
        </w:rPr>
        <w:t>a category that does not include Federal agencies or foreign national governments, although both will be eligible to request BOI from FinCEN under certain circumstances.</w:t>
      </w:r>
      <w:r>
        <w:rPr>
          <w:sz w:val="24"/>
          <w:szCs w:val="24"/>
        </w:rPr>
        <w:t xml:space="preserve">  </w:t>
      </w:r>
      <w:r w:rsidR="009D7F36">
        <w:rPr>
          <w:sz w:val="24"/>
          <w:szCs w:val="24"/>
        </w:rPr>
        <w:t>Therefore, this</w:t>
      </w:r>
      <w:r w:rsidR="00436D68">
        <w:rPr>
          <w:sz w:val="24"/>
          <w:szCs w:val="24"/>
        </w:rPr>
        <w:t xml:space="preserve"> supporting statement analyzes </w:t>
      </w:r>
      <w:r w:rsidR="00E90276">
        <w:rPr>
          <w:sz w:val="24"/>
          <w:szCs w:val="24"/>
        </w:rPr>
        <w:t xml:space="preserve">the estimated </w:t>
      </w:r>
      <w:r w:rsidR="00823FF6">
        <w:rPr>
          <w:sz w:val="24"/>
          <w:szCs w:val="24"/>
        </w:rPr>
        <w:t xml:space="preserve">annual hourly </w:t>
      </w:r>
      <w:r w:rsidR="00436D68">
        <w:rPr>
          <w:sz w:val="24"/>
          <w:szCs w:val="24"/>
        </w:rPr>
        <w:t xml:space="preserve">burden associated with three categories of persons: (1) state, local, and Tribal agencies; </w:t>
      </w:r>
      <w:r w:rsidR="005D0DBE">
        <w:rPr>
          <w:sz w:val="24"/>
          <w:szCs w:val="24"/>
        </w:rPr>
        <w:t xml:space="preserve">(2) financial institutions subject to customer due diligence requirements under applicable law; </w:t>
      </w:r>
      <w:r w:rsidR="00436D68">
        <w:rPr>
          <w:sz w:val="24"/>
          <w:szCs w:val="24"/>
        </w:rPr>
        <w:t xml:space="preserve">and (3) </w:t>
      </w:r>
      <w:r w:rsidR="00475413">
        <w:rPr>
          <w:rStyle w:val="cf01"/>
          <w:rFonts w:ascii="Times New Roman" w:hAnsi="Times New Roman" w:cs="Times New Roman"/>
          <w:sz w:val="24"/>
          <w:szCs w:val="24"/>
        </w:rPr>
        <w:t>SROs</w:t>
      </w:r>
      <w:r w:rsidRPr="00B473EC" w:rsidR="00436D68">
        <w:rPr>
          <w:rStyle w:val="cf01"/>
          <w:rFonts w:ascii="Times New Roman" w:hAnsi="Times New Roman" w:cs="Times New Roman"/>
          <w:sz w:val="24"/>
          <w:szCs w:val="24"/>
        </w:rPr>
        <w:t>.</w:t>
      </w:r>
      <w:r w:rsidR="00D86A03">
        <w:rPr>
          <w:rStyle w:val="cf01"/>
          <w:rFonts w:ascii="Times New Roman" w:hAnsi="Times New Roman" w:cs="Times New Roman"/>
          <w:sz w:val="24"/>
          <w:szCs w:val="24"/>
        </w:rPr>
        <w:t xml:space="preserve">  </w:t>
      </w:r>
    </w:p>
    <w:p w:rsidR="008E6A5A" w:rsidRPr="00C67454" w:rsidP="006F61FF" w14:paraId="0CCCBD51" w14:textId="34AA0FC1">
      <w:pPr>
        <w:spacing w:before="284"/>
        <w:ind w:firstLine="720"/>
        <w:rPr>
          <w:rFonts w:eastAsia="Calibri"/>
          <w:lang w:val="en-GB"/>
        </w:rPr>
      </w:pPr>
      <w:r w:rsidRPr="00C67454">
        <w:rPr>
          <w:rFonts w:eastAsia="Calibri"/>
          <w:lang w:val="en-GB"/>
        </w:rPr>
        <w:t>FinCEN estimates that during year 1</w:t>
      </w:r>
      <w:r>
        <w:rPr>
          <w:rStyle w:val="FootnoteReference"/>
          <w:rFonts w:eastAsia="Calibri"/>
          <w:lang w:val="en-GB"/>
        </w:rPr>
        <w:footnoteReference w:id="14"/>
      </w:r>
      <w:r w:rsidRPr="00C67454">
        <w:rPr>
          <w:rFonts w:eastAsia="Calibri"/>
          <w:lang w:val="en-GB"/>
        </w:rPr>
        <w:t xml:space="preserve"> the annual hourly burden </w:t>
      </w:r>
      <w:r>
        <w:rPr>
          <w:rFonts w:eastAsia="Calibri"/>
          <w:lang w:val="en-GB"/>
        </w:rPr>
        <w:t>will</w:t>
      </w:r>
      <w:r w:rsidRPr="00C67454">
        <w:rPr>
          <w:rFonts w:eastAsia="Calibri"/>
          <w:lang w:val="en-GB"/>
        </w:rPr>
        <w:t xml:space="preserve"> be </w:t>
      </w:r>
      <w:r>
        <w:rPr>
          <w:rFonts w:eastAsia="Calibri"/>
          <w:lang w:val="en-GB"/>
        </w:rPr>
        <w:t>8,743,781</w:t>
      </w:r>
      <w:r w:rsidRPr="00C67454">
        <w:rPr>
          <w:rFonts w:eastAsia="Calibri"/>
          <w:lang w:val="en-GB"/>
        </w:rPr>
        <w:t xml:space="preserve"> hours.</w:t>
      </w:r>
      <w:r>
        <w:rPr>
          <w:rStyle w:val="FootnoteReference"/>
          <w:rFonts w:eastAsia="Calibri"/>
          <w:lang w:val="en-GB"/>
        </w:rPr>
        <w:footnoteReference w:id="15"/>
      </w:r>
      <w:r w:rsidRPr="00C67454">
        <w:rPr>
          <w:rFonts w:eastAsia="Calibri"/>
          <w:lang w:val="en-GB"/>
        </w:rPr>
        <w:t xml:space="preserve">  In year 2</w:t>
      </w:r>
      <w:r>
        <w:rPr>
          <w:rStyle w:val="FootnoteReference"/>
          <w:rFonts w:eastAsia="Calibri"/>
          <w:lang w:val="en-GB"/>
        </w:rPr>
        <w:footnoteReference w:id="16"/>
      </w:r>
      <w:r w:rsidRPr="00C67454">
        <w:rPr>
          <w:rFonts w:eastAsia="Calibri"/>
          <w:lang w:val="en-GB"/>
        </w:rPr>
        <w:t xml:space="preserve"> and onward, FinCEN estimates that the annual hourly burden </w:t>
      </w:r>
      <w:r>
        <w:rPr>
          <w:rFonts w:eastAsia="Calibri"/>
          <w:lang w:val="en-GB"/>
        </w:rPr>
        <w:t>will</w:t>
      </w:r>
      <w:r w:rsidRPr="00C67454">
        <w:rPr>
          <w:rFonts w:eastAsia="Calibri"/>
          <w:lang w:val="en-GB"/>
        </w:rPr>
        <w:t xml:space="preserve"> be </w:t>
      </w:r>
      <w:r>
        <w:rPr>
          <w:rFonts w:eastAsia="Calibri"/>
          <w:lang w:val="en-GB"/>
        </w:rPr>
        <w:t>3,616,964</w:t>
      </w:r>
      <w:r w:rsidRPr="00C67454">
        <w:rPr>
          <w:rFonts w:eastAsia="Calibri"/>
          <w:lang w:val="en-GB"/>
        </w:rPr>
        <w:t xml:space="preserve"> hours.  The annual estimated burden hours for </w:t>
      </w:r>
      <w:r w:rsidRPr="00C67454">
        <w:rPr>
          <w:rFonts w:eastAsia="Calibri"/>
        </w:rPr>
        <w:t>State, loca</w:t>
      </w:r>
      <w:r w:rsidRPr="00C67454">
        <w:rPr>
          <w:rFonts w:eastAsia="Calibri"/>
        </w:rPr>
        <w:t>l, and Tribal entities as well as SROs</w:t>
      </w:r>
      <w:r w:rsidRPr="00C67454">
        <w:rPr>
          <w:rFonts w:eastAsia="Calibri"/>
          <w:lang w:val="en-GB"/>
        </w:rPr>
        <w:t xml:space="preserve"> is </w:t>
      </w:r>
      <w:r>
        <w:rPr>
          <w:rFonts w:eastAsia="Calibri"/>
          <w:lang w:val="en-GB"/>
        </w:rPr>
        <w:t>2,268,789</w:t>
      </w:r>
      <w:r w:rsidRPr="00C67454">
        <w:rPr>
          <w:rFonts w:eastAsia="Calibri"/>
          <w:lang w:val="en-GB"/>
        </w:rPr>
        <w:t xml:space="preserve"> hours in the first year, and </w:t>
      </w:r>
      <w:r>
        <w:rPr>
          <w:rFonts w:eastAsia="Calibri"/>
          <w:lang w:val="en-GB"/>
        </w:rPr>
        <w:t>1,699,612</w:t>
      </w:r>
      <w:r w:rsidRPr="00C67454">
        <w:rPr>
          <w:rFonts w:eastAsia="Calibri"/>
          <w:lang w:val="en-GB"/>
        </w:rPr>
        <w:t xml:space="preserve"> hours in year 2 and </w:t>
      </w:r>
      <w:r w:rsidRPr="00C67454">
        <w:rPr>
          <w:rFonts w:eastAsia="Calibri"/>
          <w:lang w:val="en-GB"/>
        </w:rPr>
        <w:t xml:space="preserve">onward.  As shown in Table </w:t>
      </w:r>
      <w:r w:rsidR="000145ED">
        <w:rPr>
          <w:rFonts w:eastAsia="Calibri"/>
          <w:lang w:val="en-GB"/>
        </w:rPr>
        <w:t>1</w:t>
      </w:r>
      <w:r w:rsidRPr="00C67454">
        <w:rPr>
          <w:rFonts w:eastAsia="Calibri"/>
          <w:lang w:val="en-GB"/>
        </w:rPr>
        <w:t xml:space="preserve"> </w:t>
      </w:r>
      <w:r w:rsidR="00416ACD">
        <w:rPr>
          <w:rFonts w:eastAsia="Calibri"/>
          <w:lang w:val="en-GB"/>
        </w:rPr>
        <w:t>below</w:t>
      </w:r>
      <w:r w:rsidRPr="00C67454">
        <w:rPr>
          <w:rFonts w:eastAsia="Calibri"/>
          <w:lang w:val="en-GB"/>
        </w:rPr>
        <w:t xml:space="preserve">, the hourly burden in year 1 for State, local, and Tribal entities and SROs includes the hourly burden associated with the following requirements in the </w:t>
      </w:r>
      <w:r>
        <w:rPr>
          <w:rFonts w:eastAsia="Calibri"/>
          <w:lang w:val="en-GB"/>
        </w:rPr>
        <w:t>rule</w:t>
      </w:r>
      <w:r w:rsidRPr="00C67454">
        <w:rPr>
          <w:rFonts w:eastAsia="Calibri"/>
          <w:lang w:val="en-GB"/>
        </w:rPr>
        <w:t>: enter into an agreement with FinCEN and establish standards and procedures (Action B); establish</w:t>
      </w:r>
      <w:r w:rsidRPr="00C67454">
        <w:rPr>
          <w:rFonts w:eastAsia="Calibri"/>
          <w:lang w:val="en-GB"/>
        </w:rPr>
        <w:t xml:space="preserve"> a secure system to store BOI (Action D); establish and maintain an auditable system of standardized records for requests (Action E); submit written certification for each request that it meets certain requirements (Action G); restrict access to appropriat</w:t>
      </w:r>
      <w:r w:rsidRPr="00C67454">
        <w:rPr>
          <w:rFonts w:eastAsia="Calibri"/>
          <w:lang w:val="en-GB"/>
        </w:rPr>
        <w:t>e persons within the entity (Action H); conduct an annual audit and cooperate with FinCEN’s annual audit (Action I); obtain certification of standards and procedures, initially and then semi-annually, by the head of the entity (Action J); and provide annua</w:t>
      </w:r>
      <w:r w:rsidRPr="00C67454">
        <w:rPr>
          <w:rFonts w:eastAsia="Calibri"/>
          <w:lang w:val="en-GB"/>
        </w:rPr>
        <w:t xml:space="preserve">l reports on procedures (Action K).  The hourly burden in year 2 and onward for State, local, and Tribal entities and SROs is associated with the same requirements as year 1, with the exception of Action B because FinCEN expects this action will result in </w:t>
      </w:r>
      <w:r w:rsidRPr="00C67454">
        <w:rPr>
          <w:rFonts w:eastAsia="Calibri"/>
          <w:lang w:val="en-GB"/>
        </w:rPr>
        <w:t>costs for these entities in year 1 only.</w:t>
      </w:r>
    </w:p>
    <w:p w:rsidR="008E6A5A" w:rsidRPr="00C67454" w:rsidP="006F61FF" w14:paraId="5C1CDD40" w14:textId="2B494EF7">
      <w:pPr>
        <w:spacing w:before="284"/>
        <w:ind w:firstLine="720"/>
        <w:rPr>
          <w:rFonts w:eastAsia="Calibri"/>
          <w:lang w:val="en-GB"/>
        </w:rPr>
      </w:pPr>
      <w:r w:rsidRPr="00C67454">
        <w:rPr>
          <w:rFonts w:eastAsia="Calibri"/>
          <w:lang w:val="en-GB"/>
        </w:rPr>
        <w:t xml:space="preserve">The annual estimated hourly burden for </w:t>
      </w:r>
      <w:r>
        <w:t>financial institutions</w:t>
      </w:r>
      <w:r>
        <w:rPr>
          <w:rFonts w:eastAsia="Calibri"/>
          <w:lang w:val="en-GB"/>
        </w:rPr>
        <w:t xml:space="preserve"> </w:t>
      </w:r>
      <w:r w:rsidRPr="00C67454">
        <w:rPr>
          <w:rFonts w:eastAsia="Calibri"/>
          <w:lang w:val="en-GB"/>
        </w:rPr>
        <w:t xml:space="preserve">is </w:t>
      </w:r>
      <w:r>
        <w:rPr>
          <w:rFonts w:eastAsia="Calibri"/>
          <w:lang w:val="en-GB"/>
        </w:rPr>
        <w:t>6,474,992</w:t>
      </w:r>
      <w:r w:rsidRPr="00C67454">
        <w:rPr>
          <w:rFonts w:eastAsia="Calibri"/>
          <w:lang w:val="en-GB"/>
        </w:rPr>
        <w:t xml:space="preserve"> hours in the first year and 1,</w:t>
      </w:r>
      <w:r>
        <w:rPr>
          <w:rFonts w:eastAsia="Calibri"/>
          <w:lang w:val="en-GB"/>
        </w:rPr>
        <w:t>917,352</w:t>
      </w:r>
      <w:r w:rsidRPr="00C67454">
        <w:rPr>
          <w:rFonts w:eastAsia="Calibri"/>
          <w:lang w:val="en-GB"/>
        </w:rPr>
        <w:t xml:space="preserve"> hours in year 2 and onward.  The hourly burden for </w:t>
      </w:r>
      <w:r>
        <w:t>financial institutions</w:t>
      </w:r>
      <w:r>
        <w:rPr>
          <w:rFonts w:eastAsia="Calibri"/>
          <w:lang w:val="en-GB"/>
        </w:rPr>
        <w:t xml:space="preserve"> </w:t>
      </w:r>
      <w:r w:rsidRPr="00C67454">
        <w:rPr>
          <w:rFonts w:eastAsia="Calibri"/>
          <w:lang w:val="en-GB"/>
        </w:rPr>
        <w:t xml:space="preserve">in year 1 is associated with the following: </w:t>
      </w:r>
      <w:r>
        <w:rPr>
          <w:rFonts w:eastAsia="Calibri"/>
          <w:lang w:val="en-GB"/>
        </w:rPr>
        <w:t>develop and implement</w:t>
      </w:r>
      <w:r w:rsidRPr="00C67454">
        <w:rPr>
          <w:rFonts w:eastAsia="Calibri"/>
          <w:lang w:val="en-GB"/>
        </w:rPr>
        <w:t xml:space="preserve"> administrative and physical safeguards (Action A); </w:t>
      </w:r>
      <w:r>
        <w:rPr>
          <w:rFonts w:eastAsia="Calibri"/>
        </w:rPr>
        <w:t>develop and implement</w:t>
      </w:r>
      <w:r w:rsidRPr="00C67454">
        <w:rPr>
          <w:rFonts w:eastAsia="Calibri"/>
        </w:rPr>
        <w:t xml:space="preserve"> technical safeguards (Action C); </w:t>
      </w:r>
      <w:r w:rsidRPr="00C67454">
        <w:rPr>
          <w:rFonts w:eastAsia="Calibri"/>
          <w:lang w:val="en-GB"/>
        </w:rPr>
        <w:t>obtain an</w:t>
      </w:r>
      <w:r w:rsidRPr="00C67454">
        <w:rPr>
          <w:rFonts w:eastAsia="Calibri"/>
          <w:lang w:val="en-GB"/>
        </w:rPr>
        <w:t>d document customer consent (Action F); submit certification for each request that it meets certain requirements (Action G); undergo training (Action H)</w:t>
      </w:r>
      <w:r>
        <w:rPr>
          <w:rFonts w:eastAsia="Calibri"/>
          <w:lang w:val="en-GB"/>
        </w:rPr>
        <w:t>; comply with certain geographic restrictions (Action L); and notify FinCEN if they receive an informati</w:t>
      </w:r>
      <w:r>
        <w:rPr>
          <w:rFonts w:eastAsia="Calibri"/>
          <w:lang w:val="en-GB"/>
        </w:rPr>
        <w:t>on demand from a foreign government (Action M)</w:t>
      </w:r>
      <w:r w:rsidRPr="00C67454">
        <w:rPr>
          <w:rFonts w:eastAsia="Calibri"/>
          <w:lang w:val="en-GB"/>
        </w:rPr>
        <w:t xml:space="preserve">.  The hourly burden in year 2 and onward for </w:t>
      </w:r>
      <w:r>
        <w:t>financial institutions</w:t>
      </w:r>
      <w:r>
        <w:rPr>
          <w:rFonts w:eastAsia="Calibri"/>
          <w:lang w:val="en-GB"/>
        </w:rPr>
        <w:t xml:space="preserve"> </w:t>
      </w:r>
      <w:r w:rsidRPr="00C67454">
        <w:rPr>
          <w:rFonts w:eastAsia="Calibri"/>
          <w:lang w:val="en-GB"/>
        </w:rPr>
        <w:t xml:space="preserve">is associated only with the requirements for Actions </w:t>
      </w:r>
      <w:r>
        <w:rPr>
          <w:rFonts w:eastAsia="Calibri"/>
          <w:lang w:val="en-GB"/>
        </w:rPr>
        <w:t xml:space="preserve">F, </w:t>
      </w:r>
      <w:r w:rsidRPr="00C67454">
        <w:rPr>
          <w:rFonts w:eastAsia="Calibri"/>
          <w:lang w:val="en-GB"/>
        </w:rPr>
        <w:t>G and H because FinCEN expects the other actions will result in costs for these entit</w:t>
      </w:r>
      <w:r w:rsidRPr="00C67454">
        <w:rPr>
          <w:rFonts w:eastAsia="Calibri"/>
          <w:lang w:val="en-GB"/>
        </w:rPr>
        <w:t xml:space="preserve">ies in year 1 only.  </w:t>
      </w:r>
    </w:p>
    <w:p w:rsidR="008E6A5A" w:rsidP="006F61FF" w14:paraId="4D53E491" w14:textId="6AD41AD1">
      <w:pPr>
        <w:spacing w:before="284"/>
        <w:ind w:firstLine="720"/>
        <w:rPr>
          <w:rFonts w:eastAsia="Calibri"/>
          <w:lang w:val="en-GB"/>
        </w:rPr>
      </w:pPr>
      <w:r w:rsidRPr="00C67454">
        <w:rPr>
          <w:rFonts w:eastAsia="Calibri"/>
          <w:lang w:val="en-GB"/>
        </w:rPr>
        <w:t xml:space="preserve">Annual estimated burden declines in year 2 and onward because State, local, and Tribal agencies, SROs, and </w:t>
      </w:r>
      <w:r>
        <w:t>financial institutions</w:t>
      </w:r>
      <w:r>
        <w:rPr>
          <w:rFonts w:eastAsia="Calibri"/>
          <w:lang w:val="en-GB"/>
        </w:rPr>
        <w:t xml:space="preserve"> </w:t>
      </w:r>
      <w:r w:rsidRPr="00C67454">
        <w:rPr>
          <w:rFonts w:eastAsia="Calibri"/>
          <w:lang w:val="en-GB"/>
        </w:rPr>
        <w:t>no longer need to complete Actions A</w:t>
      </w:r>
      <w:r>
        <w:rPr>
          <w:rFonts w:eastAsia="Calibri"/>
          <w:lang w:val="en-GB"/>
        </w:rPr>
        <w:t xml:space="preserve"> and </w:t>
      </w:r>
      <w:r w:rsidRPr="00C67454">
        <w:rPr>
          <w:rFonts w:eastAsia="Calibri"/>
          <w:lang w:val="en-GB"/>
        </w:rPr>
        <w:t>B, and have a lower hourly burden for Action</w:t>
      </w:r>
      <w:r>
        <w:rPr>
          <w:rFonts w:eastAsia="Calibri"/>
          <w:lang w:val="en-GB"/>
        </w:rPr>
        <w:t>s</w:t>
      </w:r>
      <w:r w:rsidRPr="00C67454">
        <w:rPr>
          <w:rFonts w:eastAsia="Calibri"/>
          <w:lang w:val="en-GB"/>
        </w:rPr>
        <w:t xml:space="preserve"> E</w:t>
      </w:r>
      <w:r>
        <w:rPr>
          <w:rFonts w:eastAsia="Calibri"/>
          <w:lang w:val="en-GB"/>
        </w:rPr>
        <w:t xml:space="preserve"> and F</w:t>
      </w:r>
      <w:r w:rsidRPr="00C67454">
        <w:rPr>
          <w:rFonts w:eastAsia="Calibri"/>
          <w:lang w:val="en-GB"/>
        </w:rPr>
        <w:t xml:space="preserve">.  State, </w:t>
      </w:r>
      <w:r w:rsidRPr="00C67454">
        <w:rPr>
          <w:rFonts w:eastAsia="Calibri"/>
          <w:lang w:val="en-GB"/>
        </w:rPr>
        <w:t xml:space="preserve">local, and Tribal </w:t>
      </w:r>
      <w:r>
        <w:rPr>
          <w:rFonts w:eastAsia="Calibri"/>
          <w:lang w:val="en-GB"/>
        </w:rPr>
        <w:t xml:space="preserve">law enforcement agencies have a lower hourly burden for Action G.  </w:t>
      </w:r>
      <w:r w:rsidRPr="00C67454">
        <w:rPr>
          <w:rFonts w:eastAsia="Calibri"/>
          <w:lang w:val="en-GB"/>
        </w:rPr>
        <w:t xml:space="preserve">Table </w:t>
      </w:r>
      <w:r w:rsidR="00DD2D87">
        <w:rPr>
          <w:rFonts w:eastAsia="Calibri"/>
          <w:lang w:val="en-GB"/>
        </w:rPr>
        <w:t>1</w:t>
      </w:r>
      <w:r w:rsidRPr="00C67454">
        <w:rPr>
          <w:rFonts w:eastAsia="Calibri"/>
          <w:lang w:val="en-GB"/>
        </w:rPr>
        <w:t xml:space="preserve"> </w:t>
      </w:r>
      <w:r w:rsidR="00416ACD">
        <w:rPr>
          <w:rFonts w:eastAsia="Calibri"/>
          <w:lang w:val="en-GB"/>
        </w:rPr>
        <w:t xml:space="preserve">below </w:t>
      </w:r>
      <w:r w:rsidRPr="00C67454">
        <w:rPr>
          <w:rFonts w:eastAsia="Calibri"/>
          <w:lang w:val="en-GB"/>
        </w:rPr>
        <w:t xml:space="preserve">lists the type of entity, the number of entities, the hours per entity, and the total hourly burden by action.  </w:t>
      </w:r>
      <w:r w:rsidRPr="00C67454" w:rsidR="00140167">
        <w:rPr>
          <w:rFonts w:eastAsia="Calibri"/>
          <w:lang w:val="en-GB"/>
        </w:rPr>
        <w:t xml:space="preserve">For Actions A, B, C, D, E, F, I, J, K, </w:t>
      </w:r>
      <w:r w:rsidR="00140167">
        <w:rPr>
          <w:rFonts w:eastAsia="Calibri"/>
          <w:lang w:val="en-GB"/>
        </w:rPr>
        <w:t xml:space="preserve">L, and M </w:t>
      </w:r>
      <w:r w:rsidRPr="00C67454" w:rsidR="00140167">
        <w:rPr>
          <w:rFonts w:eastAsia="Calibri"/>
          <w:lang w:val="en-GB"/>
        </w:rPr>
        <w:t xml:space="preserve">the hours per entity are the maximum of the range estimated in the cost analysis of the RIA.  For Action G and H, the hours per entity calculations are specified in footnotes to Table </w:t>
      </w:r>
      <w:r w:rsidR="00A64893">
        <w:rPr>
          <w:rFonts w:eastAsia="Calibri"/>
          <w:lang w:val="en-GB"/>
        </w:rPr>
        <w:t>1</w:t>
      </w:r>
      <w:r w:rsidRPr="00C67454" w:rsidR="00140167">
        <w:rPr>
          <w:rFonts w:eastAsia="Calibri"/>
          <w:lang w:val="en-GB"/>
        </w:rPr>
        <w:t xml:space="preserve">.  Total annual hourly burden is calculated by multiplying the number of entities by the hours per entity for each action.  In each subsequent year after initial implementation, FinCEN estimates that the total hourly annual burden is </w:t>
      </w:r>
      <w:r w:rsidR="00140167">
        <w:rPr>
          <w:rFonts w:eastAsia="Calibri"/>
          <w:lang w:val="en-GB"/>
        </w:rPr>
        <w:t>3,616,964</w:t>
      </w:r>
      <w:r w:rsidRPr="00C67454" w:rsidR="00140167">
        <w:rPr>
          <w:rFonts w:eastAsia="Calibri"/>
          <w:lang w:val="en-GB"/>
        </w:rPr>
        <w:t xml:space="preserve">.  This results in a 5-year average burden estimate of approximately </w:t>
      </w:r>
      <w:r w:rsidR="00140167">
        <w:rPr>
          <w:rFonts w:eastAsia="Calibri"/>
          <w:lang w:val="en-GB"/>
        </w:rPr>
        <w:t>4,642,327</w:t>
      </w:r>
      <w:r w:rsidRPr="00C67454" w:rsidR="00140167">
        <w:rPr>
          <w:rFonts w:eastAsia="Calibri"/>
          <w:lang w:val="en-GB"/>
        </w:rPr>
        <w:t xml:space="preserve"> hours.</w:t>
      </w:r>
      <w:r>
        <w:rPr>
          <w:rFonts w:eastAsia="Calibri"/>
          <w:vertAlign w:val="superscript"/>
          <w:lang w:val="en-GB"/>
        </w:rPr>
        <w:footnoteReference w:id="17"/>
      </w:r>
    </w:p>
    <w:p w:rsidR="008E6A5A" w:rsidRPr="00EF2830" w:rsidP="006F61FF" w14:paraId="26747B2D" w14:textId="085C08A9">
      <w:pPr>
        <w:spacing w:before="284" w:after="240"/>
        <w:jc w:val="center"/>
        <w:rPr>
          <w:b/>
          <w:bCs/>
        </w:rPr>
      </w:pPr>
      <w:r>
        <w:rPr>
          <w:b/>
          <w:bCs/>
        </w:rPr>
        <w:t xml:space="preserve">Table </w:t>
      </w:r>
      <w:r w:rsidR="00A64893">
        <w:rPr>
          <w:b/>
          <w:bCs/>
        </w:rPr>
        <w:t>1</w:t>
      </w:r>
      <w:r>
        <w:rPr>
          <w:b/>
          <w:bCs/>
        </w:rPr>
        <w:t xml:space="preserve"> </w:t>
      </w:r>
      <w:r w:rsidR="00B868C5">
        <w:rPr>
          <w:b/>
          <w:bCs/>
        </w:rPr>
        <w:t xml:space="preserve">— </w:t>
      </w:r>
      <w:r w:rsidRPr="00EF2830">
        <w:rPr>
          <w:b/>
          <w:bCs/>
        </w:rPr>
        <w:t>Annual Hourly Burden Associated with Rule Requirements</w:t>
      </w:r>
    </w:p>
    <w:tbl>
      <w:tblPr>
        <w:tblStyle w:val="TableGrid"/>
        <w:tblW w:w="9715" w:type="dxa"/>
        <w:jc w:val="center"/>
        <w:tblLook w:val="04A0"/>
      </w:tblPr>
      <w:tblGrid>
        <w:gridCol w:w="2991"/>
        <w:gridCol w:w="1590"/>
        <w:gridCol w:w="1253"/>
        <w:gridCol w:w="1572"/>
        <w:gridCol w:w="2309"/>
      </w:tblGrid>
      <w:tr w14:paraId="35DF6399" w14:textId="77777777" w:rsidTr="004549B3">
        <w:tblPrEx>
          <w:tblW w:w="9715" w:type="dxa"/>
          <w:jc w:val="center"/>
          <w:tblLook w:val="04A0"/>
        </w:tblPrEx>
        <w:trPr>
          <w:trHeight w:val="1291"/>
          <w:tblHeader/>
          <w:jc w:val="center"/>
        </w:trPr>
        <w:tc>
          <w:tcPr>
            <w:tcW w:w="2991" w:type="dxa"/>
            <w:shd w:val="clear" w:color="auto" w:fill="E7E6E6" w:themeFill="background2"/>
            <w:vAlign w:val="center"/>
          </w:tcPr>
          <w:p w:rsidR="008E6A5A" w:rsidRPr="00416ACD" w:rsidP="008E6A5A" w14:paraId="5DA6216C" w14:textId="77777777">
            <w:pPr>
              <w:contextualSpacing/>
              <w:rPr>
                <w:rFonts w:ascii="Times New Roman" w:hAnsi="Times New Roman"/>
                <w:b/>
                <w:bCs/>
                <w:sz w:val="20"/>
                <w:szCs w:val="20"/>
              </w:rPr>
            </w:pPr>
            <w:r w:rsidRPr="00416ACD">
              <w:rPr>
                <w:rFonts w:ascii="Times New Roman" w:hAnsi="Times New Roman"/>
                <w:b/>
                <w:bCs/>
                <w:sz w:val="20"/>
                <w:szCs w:val="20"/>
              </w:rPr>
              <w:t>Action</w:t>
            </w:r>
          </w:p>
        </w:tc>
        <w:tc>
          <w:tcPr>
            <w:tcW w:w="1590" w:type="dxa"/>
            <w:shd w:val="clear" w:color="auto" w:fill="E7E6E6" w:themeFill="background2"/>
            <w:vAlign w:val="center"/>
          </w:tcPr>
          <w:p w:rsidR="008E6A5A" w:rsidRPr="00416ACD" w:rsidP="004549B3" w14:paraId="495D0F4A" w14:textId="77777777">
            <w:pPr>
              <w:contextualSpacing/>
              <w:jc w:val="center"/>
              <w:rPr>
                <w:rFonts w:ascii="Times New Roman" w:hAnsi="Times New Roman"/>
                <w:b/>
                <w:bCs/>
                <w:sz w:val="20"/>
                <w:szCs w:val="20"/>
              </w:rPr>
            </w:pPr>
            <w:r w:rsidRPr="00416ACD">
              <w:rPr>
                <w:rFonts w:ascii="Times New Roman" w:hAnsi="Times New Roman"/>
                <w:b/>
                <w:bCs/>
                <w:sz w:val="20"/>
                <w:szCs w:val="20"/>
              </w:rPr>
              <w:t>Type of Entity</w:t>
            </w:r>
          </w:p>
        </w:tc>
        <w:tc>
          <w:tcPr>
            <w:tcW w:w="1253" w:type="dxa"/>
            <w:shd w:val="clear" w:color="auto" w:fill="E7E6E6" w:themeFill="background2"/>
            <w:vAlign w:val="center"/>
          </w:tcPr>
          <w:p w:rsidR="008E6A5A" w:rsidRPr="00416ACD" w:rsidP="008E6A5A" w14:paraId="122068AC" w14:textId="77777777">
            <w:pPr>
              <w:contextualSpacing/>
              <w:jc w:val="center"/>
              <w:rPr>
                <w:rFonts w:ascii="Times New Roman" w:hAnsi="Times New Roman"/>
                <w:b/>
                <w:bCs/>
                <w:sz w:val="20"/>
                <w:szCs w:val="20"/>
              </w:rPr>
            </w:pPr>
            <w:r w:rsidRPr="00416ACD">
              <w:rPr>
                <w:rFonts w:ascii="Times New Roman" w:hAnsi="Times New Roman"/>
                <w:b/>
                <w:bCs/>
                <w:sz w:val="20"/>
                <w:szCs w:val="20"/>
              </w:rPr>
              <w:t>Number of Entities</w:t>
            </w:r>
          </w:p>
        </w:tc>
        <w:tc>
          <w:tcPr>
            <w:tcW w:w="1572" w:type="dxa"/>
            <w:shd w:val="clear" w:color="auto" w:fill="E7E6E6" w:themeFill="background2"/>
            <w:vAlign w:val="center"/>
          </w:tcPr>
          <w:p w:rsidR="008E6A5A" w:rsidRPr="00416ACD" w:rsidP="008E6A5A" w14:paraId="005C3959" w14:textId="77777777">
            <w:pPr>
              <w:contextualSpacing/>
              <w:jc w:val="center"/>
              <w:rPr>
                <w:rFonts w:ascii="Times New Roman" w:hAnsi="Times New Roman"/>
                <w:b/>
                <w:bCs/>
                <w:sz w:val="20"/>
                <w:szCs w:val="20"/>
              </w:rPr>
            </w:pPr>
            <w:r w:rsidRPr="00416ACD">
              <w:rPr>
                <w:rFonts w:ascii="Times New Roman" w:hAnsi="Times New Roman"/>
                <w:b/>
                <w:bCs/>
                <w:sz w:val="20"/>
                <w:szCs w:val="20"/>
              </w:rPr>
              <w:t>Hours per Entity</w:t>
            </w:r>
          </w:p>
        </w:tc>
        <w:tc>
          <w:tcPr>
            <w:tcW w:w="2309" w:type="dxa"/>
            <w:shd w:val="clear" w:color="auto" w:fill="E7E6E6" w:themeFill="background2"/>
            <w:vAlign w:val="center"/>
          </w:tcPr>
          <w:p w:rsidR="008E6A5A" w:rsidRPr="00416ACD" w:rsidP="008E6A5A" w14:paraId="6D10BAE9" w14:textId="77777777">
            <w:pPr>
              <w:contextualSpacing/>
              <w:jc w:val="center"/>
              <w:rPr>
                <w:rFonts w:ascii="Times New Roman" w:hAnsi="Times New Roman"/>
                <w:b/>
                <w:bCs/>
                <w:sz w:val="20"/>
                <w:szCs w:val="20"/>
              </w:rPr>
            </w:pPr>
            <w:r w:rsidRPr="00416ACD">
              <w:rPr>
                <w:rFonts w:ascii="Times New Roman" w:hAnsi="Times New Roman"/>
                <w:b/>
                <w:bCs/>
                <w:sz w:val="20"/>
                <w:szCs w:val="20"/>
              </w:rPr>
              <w:t>Total Annual Hourly Burden</w:t>
            </w:r>
          </w:p>
        </w:tc>
      </w:tr>
      <w:tr w14:paraId="133A832A" w14:textId="77777777" w:rsidTr="003179A3">
        <w:tblPrEx>
          <w:tblW w:w="9715" w:type="dxa"/>
          <w:jc w:val="center"/>
          <w:tblLook w:val="04A0"/>
        </w:tblPrEx>
        <w:trPr>
          <w:trHeight w:val="728"/>
          <w:jc w:val="center"/>
        </w:trPr>
        <w:tc>
          <w:tcPr>
            <w:tcW w:w="2991" w:type="dxa"/>
          </w:tcPr>
          <w:p w:rsidR="008E6A5A" w:rsidRPr="00416ACD" w:rsidP="008E6A5A" w14:paraId="55FCBC79" w14:textId="77777777">
            <w:pPr>
              <w:numPr>
                <w:ilvl w:val="0"/>
                <w:numId w:val="11"/>
              </w:numPr>
              <w:contextualSpacing/>
              <w:rPr>
                <w:rFonts w:ascii="Times New Roman" w:hAnsi="Times New Roman"/>
                <w:sz w:val="20"/>
                <w:szCs w:val="20"/>
              </w:rPr>
            </w:pPr>
            <w:r w:rsidRPr="00416ACD">
              <w:rPr>
                <w:rFonts w:ascii="Times New Roman" w:hAnsi="Times New Roman"/>
                <w:sz w:val="20"/>
                <w:szCs w:val="20"/>
              </w:rPr>
              <w:t>Develop and implement administrative and physical safeguards</w:t>
            </w:r>
          </w:p>
        </w:tc>
        <w:tc>
          <w:tcPr>
            <w:tcW w:w="1590" w:type="dxa"/>
          </w:tcPr>
          <w:p w:rsidR="008E6A5A" w:rsidRPr="00416ACD" w:rsidP="008E6A5A" w14:paraId="5BD74A44" w14:textId="77777777">
            <w:pPr>
              <w:contextualSpacing/>
              <w:jc w:val="center"/>
              <w:rPr>
                <w:rFonts w:ascii="Times New Roman" w:hAnsi="Times New Roman"/>
                <w:sz w:val="20"/>
                <w:szCs w:val="20"/>
              </w:rPr>
            </w:pPr>
            <w:r w:rsidRPr="00416ACD">
              <w:rPr>
                <w:rFonts w:ascii="Times New Roman" w:hAnsi="Times New Roman"/>
                <w:sz w:val="20"/>
                <w:szCs w:val="20"/>
              </w:rPr>
              <w:t>Financial institutions</w:t>
            </w:r>
          </w:p>
        </w:tc>
        <w:tc>
          <w:tcPr>
            <w:tcW w:w="1253" w:type="dxa"/>
          </w:tcPr>
          <w:p w:rsidR="008E6A5A" w:rsidRPr="00416ACD" w:rsidP="008E6A5A" w14:paraId="6D490A83" w14:textId="77777777">
            <w:pPr>
              <w:contextualSpacing/>
              <w:jc w:val="center"/>
              <w:rPr>
                <w:rFonts w:ascii="Times New Roman" w:hAnsi="Times New Roman"/>
                <w:sz w:val="20"/>
                <w:szCs w:val="20"/>
              </w:rPr>
            </w:pPr>
            <w:r w:rsidRPr="00416ACD">
              <w:rPr>
                <w:rFonts w:ascii="Times New Roman" w:hAnsi="Times New Roman"/>
                <w:sz w:val="20"/>
                <w:szCs w:val="20"/>
              </w:rPr>
              <w:t>15,716</w:t>
            </w:r>
          </w:p>
        </w:tc>
        <w:tc>
          <w:tcPr>
            <w:tcW w:w="1572" w:type="dxa"/>
          </w:tcPr>
          <w:p w:rsidR="008E6A5A" w:rsidRPr="00416ACD" w:rsidP="008E6A5A" w14:paraId="26252E71" w14:textId="77777777">
            <w:pPr>
              <w:contextualSpacing/>
              <w:jc w:val="center"/>
              <w:rPr>
                <w:rFonts w:ascii="Times New Roman" w:hAnsi="Times New Roman"/>
                <w:sz w:val="20"/>
                <w:szCs w:val="20"/>
              </w:rPr>
            </w:pPr>
            <w:r w:rsidRPr="00416ACD">
              <w:rPr>
                <w:rFonts w:ascii="Times New Roman" w:hAnsi="Times New Roman"/>
                <w:sz w:val="20"/>
                <w:szCs w:val="20"/>
              </w:rPr>
              <w:t xml:space="preserve">240 </w:t>
            </w:r>
            <w:r w:rsidRPr="00416ACD">
              <w:rPr>
                <w:rFonts w:ascii="Times New Roman" w:hAnsi="Times New Roman"/>
                <w:sz w:val="20"/>
                <w:szCs w:val="20"/>
              </w:rPr>
              <w:t>in Year 1; 0 in Years 2+</w:t>
            </w:r>
          </w:p>
        </w:tc>
        <w:tc>
          <w:tcPr>
            <w:tcW w:w="2309" w:type="dxa"/>
          </w:tcPr>
          <w:p w:rsidR="008E6A5A" w:rsidRPr="00416ACD" w:rsidP="008E6A5A" w14:paraId="7B73596C" w14:textId="77777777">
            <w:pPr>
              <w:contextualSpacing/>
              <w:jc w:val="center"/>
              <w:rPr>
                <w:rFonts w:ascii="Times New Roman" w:hAnsi="Times New Roman"/>
                <w:sz w:val="20"/>
                <w:szCs w:val="20"/>
              </w:rPr>
            </w:pPr>
            <w:r w:rsidRPr="00416ACD">
              <w:rPr>
                <w:rFonts w:ascii="Times New Roman" w:hAnsi="Times New Roman"/>
                <w:sz w:val="20"/>
                <w:szCs w:val="20"/>
              </w:rPr>
              <w:t xml:space="preserve">3,771,840 in Year 1; 0 in Years 2+ </w:t>
            </w:r>
          </w:p>
        </w:tc>
      </w:tr>
      <w:tr w14:paraId="0AC0BA60" w14:textId="77777777" w:rsidTr="00416ACD">
        <w:tblPrEx>
          <w:tblW w:w="9715" w:type="dxa"/>
          <w:jc w:val="center"/>
          <w:tblLook w:val="04A0"/>
        </w:tblPrEx>
        <w:trPr>
          <w:trHeight w:val="755"/>
          <w:jc w:val="center"/>
        </w:trPr>
        <w:tc>
          <w:tcPr>
            <w:tcW w:w="2991" w:type="dxa"/>
          </w:tcPr>
          <w:p w:rsidR="008E6A5A" w:rsidRPr="00416ACD" w:rsidP="008E6A5A" w14:paraId="46C6B0B5" w14:textId="77777777">
            <w:pPr>
              <w:numPr>
                <w:ilvl w:val="0"/>
                <w:numId w:val="11"/>
              </w:numPr>
              <w:contextualSpacing/>
              <w:rPr>
                <w:rFonts w:ascii="Times New Roman" w:hAnsi="Times New Roman"/>
                <w:sz w:val="20"/>
                <w:szCs w:val="20"/>
              </w:rPr>
            </w:pPr>
            <w:r w:rsidRPr="00416ACD">
              <w:rPr>
                <w:rFonts w:ascii="Times New Roman" w:hAnsi="Times New Roman"/>
                <w:sz w:val="20"/>
                <w:szCs w:val="20"/>
              </w:rPr>
              <w:t>Enter into an agreement with FinCEN and establish standards and procedures</w:t>
            </w:r>
          </w:p>
        </w:tc>
        <w:tc>
          <w:tcPr>
            <w:tcW w:w="1590" w:type="dxa"/>
          </w:tcPr>
          <w:p w:rsidR="008E6A5A" w:rsidRPr="00416ACD" w:rsidP="008E6A5A" w14:paraId="4F75F069" w14:textId="77777777">
            <w:pPr>
              <w:contextualSpacing/>
              <w:jc w:val="center"/>
              <w:rPr>
                <w:rFonts w:ascii="Times New Roman" w:hAnsi="Times New Roman"/>
                <w:sz w:val="20"/>
                <w:szCs w:val="20"/>
              </w:rPr>
            </w:pPr>
            <w:r w:rsidRPr="00416ACD">
              <w:rPr>
                <w:rFonts w:ascii="Times New Roman" w:hAnsi="Times New Roman"/>
                <w:sz w:val="20"/>
                <w:szCs w:val="20"/>
              </w:rPr>
              <w:t>State, local, and Tribal agencies and SROs</w:t>
            </w:r>
          </w:p>
        </w:tc>
        <w:tc>
          <w:tcPr>
            <w:tcW w:w="1253" w:type="dxa"/>
          </w:tcPr>
          <w:p w:rsidR="008E6A5A" w:rsidRPr="00416ACD" w:rsidP="008E6A5A" w14:paraId="7A94D21E" w14:textId="77777777">
            <w:pPr>
              <w:contextualSpacing/>
              <w:jc w:val="center"/>
              <w:rPr>
                <w:rFonts w:ascii="Times New Roman" w:hAnsi="Times New Roman"/>
                <w:sz w:val="20"/>
                <w:szCs w:val="20"/>
              </w:rPr>
            </w:pPr>
            <w:r w:rsidRPr="00416ACD">
              <w:rPr>
                <w:rFonts w:ascii="Times New Roman" w:hAnsi="Times New Roman"/>
                <w:sz w:val="20"/>
                <w:szCs w:val="20"/>
              </w:rPr>
              <w:t>218</w:t>
            </w:r>
          </w:p>
        </w:tc>
        <w:tc>
          <w:tcPr>
            <w:tcW w:w="1572" w:type="dxa"/>
          </w:tcPr>
          <w:p w:rsidR="008E6A5A" w:rsidRPr="00416ACD" w:rsidP="008E6A5A" w14:paraId="3A4DD145" w14:textId="77777777">
            <w:pPr>
              <w:contextualSpacing/>
              <w:jc w:val="center"/>
              <w:rPr>
                <w:rFonts w:ascii="Times New Roman" w:hAnsi="Times New Roman"/>
                <w:sz w:val="20"/>
                <w:szCs w:val="20"/>
              </w:rPr>
            </w:pPr>
            <w:r w:rsidRPr="00416ACD">
              <w:rPr>
                <w:rFonts w:ascii="Times New Roman" w:hAnsi="Times New Roman"/>
                <w:sz w:val="20"/>
                <w:szCs w:val="20"/>
              </w:rPr>
              <w:t>300 in Year 1; 0 in Years 2+</w:t>
            </w:r>
          </w:p>
        </w:tc>
        <w:tc>
          <w:tcPr>
            <w:tcW w:w="2309" w:type="dxa"/>
          </w:tcPr>
          <w:p w:rsidR="008E6A5A" w:rsidRPr="00416ACD" w:rsidP="008E6A5A" w14:paraId="56620E05" w14:textId="77777777">
            <w:pPr>
              <w:contextualSpacing/>
              <w:jc w:val="center"/>
              <w:rPr>
                <w:rFonts w:ascii="Times New Roman" w:hAnsi="Times New Roman"/>
                <w:sz w:val="20"/>
                <w:szCs w:val="20"/>
              </w:rPr>
            </w:pPr>
            <w:r w:rsidRPr="00416ACD">
              <w:rPr>
                <w:rFonts w:ascii="Times New Roman" w:hAnsi="Times New Roman"/>
                <w:sz w:val="20"/>
                <w:szCs w:val="20"/>
              </w:rPr>
              <w:t>65,400 in Year 1; 0 in Years 2+</w:t>
            </w:r>
          </w:p>
        </w:tc>
      </w:tr>
      <w:tr w14:paraId="18826FA2" w14:textId="77777777" w:rsidTr="00BB292D">
        <w:tblPrEx>
          <w:tblW w:w="9715" w:type="dxa"/>
          <w:jc w:val="center"/>
          <w:tblLook w:val="04A0"/>
        </w:tblPrEx>
        <w:trPr>
          <w:trHeight w:val="593"/>
          <w:jc w:val="center"/>
        </w:trPr>
        <w:tc>
          <w:tcPr>
            <w:tcW w:w="2991" w:type="dxa"/>
          </w:tcPr>
          <w:p w:rsidR="008E6A5A" w:rsidRPr="00416ACD" w:rsidP="008E6A5A" w14:paraId="1EBA9F36" w14:textId="77777777">
            <w:pPr>
              <w:numPr>
                <w:ilvl w:val="0"/>
                <w:numId w:val="11"/>
              </w:numPr>
              <w:contextualSpacing/>
              <w:rPr>
                <w:rFonts w:ascii="Times New Roman" w:hAnsi="Times New Roman"/>
                <w:sz w:val="20"/>
                <w:szCs w:val="20"/>
              </w:rPr>
            </w:pPr>
            <w:r w:rsidRPr="00416ACD">
              <w:rPr>
                <w:rFonts w:ascii="Times New Roman" w:hAnsi="Times New Roman"/>
                <w:sz w:val="20"/>
                <w:szCs w:val="20"/>
              </w:rPr>
              <w:t xml:space="preserve">Develop and implement technical safeguards </w:t>
            </w:r>
          </w:p>
        </w:tc>
        <w:tc>
          <w:tcPr>
            <w:tcW w:w="1590" w:type="dxa"/>
          </w:tcPr>
          <w:p w:rsidR="008E6A5A" w:rsidRPr="00416ACD" w:rsidP="008E6A5A" w14:paraId="787AA624" w14:textId="77777777">
            <w:pPr>
              <w:contextualSpacing/>
              <w:jc w:val="center"/>
              <w:rPr>
                <w:rFonts w:ascii="Times New Roman" w:hAnsi="Times New Roman"/>
                <w:sz w:val="20"/>
                <w:szCs w:val="20"/>
              </w:rPr>
            </w:pPr>
            <w:r w:rsidRPr="00416ACD">
              <w:rPr>
                <w:rFonts w:ascii="Times New Roman" w:hAnsi="Times New Roman"/>
                <w:sz w:val="20"/>
                <w:szCs w:val="20"/>
              </w:rPr>
              <w:t>Financial institutions</w:t>
            </w:r>
          </w:p>
        </w:tc>
        <w:tc>
          <w:tcPr>
            <w:tcW w:w="1253" w:type="dxa"/>
          </w:tcPr>
          <w:p w:rsidR="008E6A5A" w:rsidRPr="00416ACD" w:rsidP="008E6A5A" w14:paraId="1444B6E1" w14:textId="77777777">
            <w:pPr>
              <w:contextualSpacing/>
              <w:jc w:val="center"/>
              <w:rPr>
                <w:rFonts w:ascii="Times New Roman" w:hAnsi="Times New Roman"/>
                <w:sz w:val="20"/>
                <w:szCs w:val="20"/>
              </w:rPr>
            </w:pPr>
            <w:r w:rsidRPr="00416ACD">
              <w:rPr>
                <w:rFonts w:ascii="Times New Roman" w:hAnsi="Times New Roman"/>
                <w:sz w:val="20"/>
                <w:szCs w:val="20"/>
              </w:rPr>
              <w:t>15,716</w:t>
            </w:r>
          </w:p>
        </w:tc>
        <w:tc>
          <w:tcPr>
            <w:tcW w:w="1572" w:type="dxa"/>
          </w:tcPr>
          <w:p w:rsidR="008E6A5A" w:rsidRPr="00416ACD" w:rsidP="008E6A5A" w14:paraId="2B289CB2" w14:textId="77777777">
            <w:pPr>
              <w:contextualSpacing/>
              <w:jc w:val="center"/>
              <w:rPr>
                <w:rFonts w:ascii="Times New Roman" w:hAnsi="Times New Roman"/>
                <w:sz w:val="20"/>
                <w:szCs w:val="20"/>
              </w:rPr>
            </w:pPr>
            <w:r w:rsidRPr="00416ACD">
              <w:rPr>
                <w:rFonts w:ascii="Times New Roman" w:hAnsi="Times New Roman"/>
                <w:sz w:val="20"/>
                <w:szCs w:val="20"/>
              </w:rPr>
              <w:t>0 in Year 1; 0 in Years 2+</w:t>
            </w:r>
          </w:p>
        </w:tc>
        <w:tc>
          <w:tcPr>
            <w:tcW w:w="2309" w:type="dxa"/>
          </w:tcPr>
          <w:p w:rsidR="008E6A5A" w:rsidRPr="00416ACD" w:rsidP="008E6A5A" w14:paraId="50103307" w14:textId="77777777">
            <w:pPr>
              <w:contextualSpacing/>
              <w:jc w:val="center"/>
              <w:rPr>
                <w:rFonts w:ascii="Times New Roman" w:hAnsi="Times New Roman"/>
                <w:sz w:val="20"/>
                <w:szCs w:val="20"/>
              </w:rPr>
            </w:pPr>
            <w:r w:rsidRPr="00416ACD">
              <w:rPr>
                <w:rFonts w:ascii="Times New Roman" w:hAnsi="Times New Roman"/>
                <w:sz w:val="20"/>
                <w:szCs w:val="20"/>
              </w:rPr>
              <w:t>0 in Year 1; 0 in Years 2+</w:t>
            </w:r>
          </w:p>
        </w:tc>
      </w:tr>
      <w:tr w14:paraId="61C7DB73" w14:textId="77777777" w:rsidTr="00BB292D">
        <w:tblPrEx>
          <w:tblW w:w="9715" w:type="dxa"/>
          <w:jc w:val="center"/>
          <w:tblLook w:val="04A0"/>
        </w:tblPrEx>
        <w:trPr>
          <w:trHeight w:val="773"/>
          <w:jc w:val="center"/>
        </w:trPr>
        <w:tc>
          <w:tcPr>
            <w:tcW w:w="2991" w:type="dxa"/>
          </w:tcPr>
          <w:p w:rsidR="008E6A5A" w:rsidRPr="00416ACD" w:rsidP="008E6A5A" w14:paraId="5F015664" w14:textId="77777777">
            <w:pPr>
              <w:numPr>
                <w:ilvl w:val="0"/>
                <w:numId w:val="11"/>
              </w:numPr>
              <w:contextualSpacing/>
              <w:rPr>
                <w:rFonts w:ascii="Times New Roman" w:hAnsi="Times New Roman"/>
                <w:sz w:val="20"/>
                <w:szCs w:val="20"/>
              </w:rPr>
            </w:pPr>
            <w:r w:rsidRPr="00416ACD">
              <w:rPr>
                <w:rFonts w:ascii="Times New Roman" w:hAnsi="Times New Roman"/>
                <w:sz w:val="20"/>
                <w:szCs w:val="20"/>
              </w:rPr>
              <w:t>Establish a secure system to store BOI</w:t>
            </w:r>
          </w:p>
        </w:tc>
        <w:tc>
          <w:tcPr>
            <w:tcW w:w="1590" w:type="dxa"/>
          </w:tcPr>
          <w:p w:rsidR="008E6A5A" w:rsidRPr="00416ACD" w:rsidP="008E6A5A" w14:paraId="515C318A" w14:textId="77777777">
            <w:pPr>
              <w:contextualSpacing/>
              <w:jc w:val="center"/>
              <w:rPr>
                <w:rFonts w:ascii="Times New Roman" w:hAnsi="Times New Roman"/>
                <w:sz w:val="20"/>
                <w:szCs w:val="20"/>
              </w:rPr>
            </w:pPr>
            <w:r w:rsidRPr="00416ACD">
              <w:rPr>
                <w:rFonts w:ascii="Times New Roman" w:hAnsi="Times New Roman"/>
                <w:sz w:val="20"/>
                <w:szCs w:val="20"/>
              </w:rPr>
              <w:t>State, local, and Tribal agencies and SROs</w:t>
            </w:r>
          </w:p>
        </w:tc>
        <w:tc>
          <w:tcPr>
            <w:tcW w:w="1253" w:type="dxa"/>
          </w:tcPr>
          <w:p w:rsidR="008E6A5A" w:rsidRPr="00416ACD" w:rsidP="008E6A5A" w14:paraId="58E55499" w14:textId="77777777">
            <w:pPr>
              <w:contextualSpacing/>
              <w:jc w:val="center"/>
              <w:rPr>
                <w:rFonts w:ascii="Times New Roman" w:hAnsi="Times New Roman"/>
                <w:sz w:val="20"/>
                <w:szCs w:val="20"/>
              </w:rPr>
            </w:pPr>
            <w:r w:rsidRPr="00416ACD">
              <w:rPr>
                <w:rFonts w:ascii="Times New Roman" w:hAnsi="Times New Roman"/>
                <w:sz w:val="20"/>
                <w:szCs w:val="20"/>
              </w:rPr>
              <w:t>218</w:t>
            </w:r>
          </w:p>
        </w:tc>
        <w:tc>
          <w:tcPr>
            <w:tcW w:w="1572" w:type="dxa"/>
          </w:tcPr>
          <w:p w:rsidR="008E6A5A" w:rsidRPr="00416ACD" w:rsidP="008E6A5A" w14:paraId="70EB46C6" w14:textId="77777777">
            <w:pPr>
              <w:contextualSpacing/>
              <w:jc w:val="center"/>
              <w:rPr>
                <w:rFonts w:ascii="Times New Roman" w:hAnsi="Times New Roman"/>
                <w:sz w:val="20"/>
                <w:szCs w:val="20"/>
              </w:rPr>
            </w:pPr>
            <w:r w:rsidRPr="00416ACD">
              <w:rPr>
                <w:rFonts w:ascii="Times New Roman" w:hAnsi="Times New Roman"/>
                <w:sz w:val="20"/>
                <w:szCs w:val="20"/>
              </w:rPr>
              <w:t>300 in Year 1; 4 in Years 2+</w:t>
            </w:r>
          </w:p>
        </w:tc>
        <w:tc>
          <w:tcPr>
            <w:tcW w:w="2309" w:type="dxa"/>
          </w:tcPr>
          <w:p w:rsidR="008E6A5A" w:rsidRPr="00416ACD" w:rsidP="008E6A5A" w14:paraId="0D0707EE" w14:textId="77777777">
            <w:pPr>
              <w:contextualSpacing/>
              <w:jc w:val="center"/>
              <w:rPr>
                <w:rFonts w:ascii="Times New Roman" w:hAnsi="Times New Roman"/>
                <w:sz w:val="20"/>
                <w:szCs w:val="20"/>
              </w:rPr>
            </w:pPr>
            <w:r w:rsidRPr="00416ACD">
              <w:rPr>
                <w:rFonts w:ascii="Times New Roman" w:hAnsi="Times New Roman"/>
                <w:sz w:val="20"/>
                <w:szCs w:val="20"/>
              </w:rPr>
              <w:t xml:space="preserve">65,400 in </w:t>
            </w:r>
            <w:r w:rsidRPr="00416ACD">
              <w:rPr>
                <w:rFonts w:ascii="Times New Roman" w:hAnsi="Times New Roman"/>
                <w:sz w:val="20"/>
                <w:szCs w:val="20"/>
              </w:rPr>
              <w:t>Year 1; 872 in Years 2+</w:t>
            </w:r>
          </w:p>
        </w:tc>
      </w:tr>
      <w:tr w14:paraId="5FB4ABE1" w14:textId="77777777" w:rsidTr="00BB292D">
        <w:tblPrEx>
          <w:tblW w:w="9715" w:type="dxa"/>
          <w:jc w:val="center"/>
          <w:tblLook w:val="04A0"/>
        </w:tblPrEx>
        <w:trPr>
          <w:trHeight w:val="935"/>
          <w:jc w:val="center"/>
        </w:trPr>
        <w:tc>
          <w:tcPr>
            <w:tcW w:w="2991" w:type="dxa"/>
          </w:tcPr>
          <w:p w:rsidR="008E6A5A" w:rsidRPr="00416ACD" w:rsidP="008E6A5A" w14:paraId="4B3AA823" w14:textId="77777777">
            <w:pPr>
              <w:numPr>
                <w:ilvl w:val="0"/>
                <w:numId w:val="11"/>
              </w:numPr>
              <w:contextualSpacing/>
              <w:rPr>
                <w:rFonts w:ascii="Times New Roman" w:hAnsi="Times New Roman"/>
                <w:sz w:val="20"/>
                <w:szCs w:val="20"/>
              </w:rPr>
            </w:pPr>
            <w:r w:rsidRPr="00416ACD">
              <w:rPr>
                <w:rFonts w:ascii="Times New Roman" w:hAnsi="Times New Roman"/>
                <w:sz w:val="20"/>
                <w:szCs w:val="20"/>
              </w:rPr>
              <w:t>Establish and maintain an auditable system of standardized records for requests</w:t>
            </w:r>
          </w:p>
        </w:tc>
        <w:tc>
          <w:tcPr>
            <w:tcW w:w="1590" w:type="dxa"/>
          </w:tcPr>
          <w:p w:rsidR="008E6A5A" w:rsidRPr="00416ACD" w:rsidP="008E6A5A" w14:paraId="24512CFE" w14:textId="77777777">
            <w:pPr>
              <w:contextualSpacing/>
              <w:jc w:val="center"/>
              <w:rPr>
                <w:rFonts w:ascii="Times New Roman" w:hAnsi="Times New Roman"/>
                <w:sz w:val="20"/>
                <w:szCs w:val="20"/>
              </w:rPr>
            </w:pPr>
            <w:r w:rsidRPr="00416ACD">
              <w:rPr>
                <w:rFonts w:ascii="Times New Roman" w:hAnsi="Times New Roman"/>
                <w:sz w:val="20"/>
                <w:szCs w:val="20"/>
              </w:rPr>
              <w:t>State, local, and Tribal agencies and SROs</w:t>
            </w:r>
          </w:p>
        </w:tc>
        <w:tc>
          <w:tcPr>
            <w:tcW w:w="1253" w:type="dxa"/>
          </w:tcPr>
          <w:p w:rsidR="008E6A5A" w:rsidRPr="00416ACD" w:rsidP="008E6A5A" w14:paraId="5937E3CA" w14:textId="77777777">
            <w:pPr>
              <w:contextualSpacing/>
              <w:jc w:val="center"/>
              <w:rPr>
                <w:rFonts w:ascii="Times New Roman" w:hAnsi="Times New Roman"/>
                <w:sz w:val="20"/>
                <w:szCs w:val="20"/>
              </w:rPr>
            </w:pPr>
            <w:r w:rsidRPr="00416ACD">
              <w:rPr>
                <w:rFonts w:ascii="Times New Roman" w:hAnsi="Times New Roman"/>
                <w:sz w:val="20"/>
                <w:szCs w:val="20"/>
              </w:rPr>
              <w:t>218</w:t>
            </w:r>
          </w:p>
        </w:tc>
        <w:tc>
          <w:tcPr>
            <w:tcW w:w="1572" w:type="dxa"/>
          </w:tcPr>
          <w:p w:rsidR="008E6A5A" w:rsidRPr="00416ACD" w:rsidP="008E6A5A" w14:paraId="502A9C37" w14:textId="77777777">
            <w:pPr>
              <w:contextualSpacing/>
              <w:jc w:val="center"/>
              <w:rPr>
                <w:rFonts w:ascii="Times New Roman" w:hAnsi="Times New Roman"/>
                <w:sz w:val="20"/>
                <w:szCs w:val="20"/>
              </w:rPr>
            </w:pPr>
            <w:r w:rsidRPr="00416ACD">
              <w:rPr>
                <w:rFonts w:ascii="Times New Roman" w:hAnsi="Times New Roman"/>
                <w:sz w:val="20"/>
                <w:szCs w:val="20"/>
              </w:rPr>
              <w:t>200 in Year 1; 20 in Years 2+</w:t>
            </w:r>
          </w:p>
        </w:tc>
        <w:tc>
          <w:tcPr>
            <w:tcW w:w="2309" w:type="dxa"/>
          </w:tcPr>
          <w:p w:rsidR="008E6A5A" w:rsidRPr="00416ACD" w:rsidP="008E6A5A" w14:paraId="0DB7D009" w14:textId="77777777">
            <w:pPr>
              <w:contextualSpacing/>
              <w:jc w:val="center"/>
              <w:rPr>
                <w:rFonts w:ascii="Times New Roman" w:hAnsi="Times New Roman"/>
                <w:sz w:val="20"/>
                <w:szCs w:val="20"/>
              </w:rPr>
            </w:pPr>
            <w:r w:rsidRPr="00416ACD">
              <w:rPr>
                <w:rFonts w:ascii="Times New Roman" w:hAnsi="Times New Roman"/>
                <w:sz w:val="20"/>
                <w:szCs w:val="20"/>
              </w:rPr>
              <w:t>43,600 in Year 1; 4,360 in Years 2+</w:t>
            </w:r>
          </w:p>
        </w:tc>
      </w:tr>
      <w:tr w14:paraId="056C261A" w14:textId="77777777" w:rsidTr="003179A3">
        <w:tblPrEx>
          <w:tblW w:w="9715" w:type="dxa"/>
          <w:jc w:val="center"/>
          <w:tblLook w:val="04A0"/>
        </w:tblPrEx>
        <w:trPr>
          <w:trHeight w:val="620"/>
          <w:jc w:val="center"/>
        </w:trPr>
        <w:tc>
          <w:tcPr>
            <w:tcW w:w="2991" w:type="dxa"/>
          </w:tcPr>
          <w:p w:rsidR="008E6A5A" w:rsidRPr="00416ACD" w:rsidP="008E6A5A" w14:paraId="3132C2F0" w14:textId="77777777">
            <w:pPr>
              <w:pStyle w:val="ListParagraph"/>
              <w:numPr>
                <w:ilvl w:val="0"/>
                <w:numId w:val="11"/>
              </w:numPr>
              <w:rPr>
                <w:rFonts w:ascii="Times New Roman" w:hAnsi="Times New Roman" w:eastAsiaTheme="minorEastAsia"/>
                <w:sz w:val="20"/>
                <w:szCs w:val="20"/>
              </w:rPr>
            </w:pPr>
            <w:r w:rsidRPr="00416ACD">
              <w:rPr>
                <w:rFonts w:ascii="Times New Roman" w:hAnsi="Times New Roman"/>
                <w:sz w:val="20"/>
                <w:szCs w:val="20"/>
              </w:rPr>
              <w:t xml:space="preserve">Obtain and document customer </w:t>
            </w:r>
            <w:r w:rsidRPr="00416ACD">
              <w:rPr>
                <w:rFonts w:ascii="Times New Roman" w:hAnsi="Times New Roman"/>
                <w:sz w:val="20"/>
                <w:szCs w:val="20"/>
              </w:rPr>
              <w:t>consent</w:t>
            </w:r>
          </w:p>
        </w:tc>
        <w:tc>
          <w:tcPr>
            <w:tcW w:w="1590" w:type="dxa"/>
          </w:tcPr>
          <w:p w:rsidR="008E6A5A" w:rsidRPr="00416ACD" w:rsidP="008E6A5A" w14:paraId="036D2FC2" w14:textId="77777777">
            <w:pPr>
              <w:contextualSpacing/>
              <w:jc w:val="center"/>
              <w:rPr>
                <w:rFonts w:ascii="Times New Roman" w:hAnsi="Times New Roman"/>
                <w:sz w:val="20"/>
                <w:szCs w:val="20"/>
              </w:rPr>
            </w:pPr>
            <w:r w:rsidRPr="00416ACD">
              <w:rPr>
                <w:rFonts w:ascii="Times New Roman" w:hAnsi="Times New Roman"/>
                <w:sz w:val="20"/>
                <w:szCs w:val="20"/>
              </w:rPr>
              <w:t>Financial institutions</w:t>
            </w:r>
          </w:p>
        </w:tc>
        <w:tc>
          <w:tcPr>
            <w:tcW w:w="1253" w:type="dxa"/>
          </w:tcPr>
          <w:p w:rsidR="008E6A5A" w:rsidRPr="00416ACD" w:rsidP="008E6A5A" w14:paraId="0ECDCC4B" w14:textId="77777777">
            <w:pPr>
              <w:contextualSpacing/>
              <w:jc w:val="center"/>
              <w:rPr>
                <w:rFonts w:ascii="Times New Roman" w:hAnsi="Times New Roman"/>
                <w:sz w:val="20"/>
                <w:szCs w:val="20"/>
              </w:rPr>
            </w:pPr>
            <w:r w:rsidRPr="00416ACD">
              <w:rPr>
                <w:rFonts w:ascii="Times New Roman" w:hAnsi="Times New Roman"/>
                <w:sz w:val="20"/>
                <w:szCs w:val="20"/>
              </w:rPr>
              <w:t>15,716</w:t>
            </w:r>
          </w:p>
        </w:tc>
        <w:tc>
          <w:tcPr>
            <w:tcW w:w="1572" w:type="dxa"/>
          </w:tcPr>
          <w:p w:rsidR="008E6A5A" w:rsidRPr="00416ACD" w:rsidP="008E6A5A" w14:paraId="0823102C" w14:textId="77777777">
            <w:pPr>
              <w:contextualSpacing/>
              <w:jc w:val="center"/>
              <w:rPr>
                <w:rFonts w:ascii="Times New Roman" w:hAnsi="Times New Roman"/>
                <w:sz w:val="20"/>
                <w:szCs w:val="20"/>
              </w:rPr>
            </w:pPr>
            <w:r w:rsidRPr="00416ACD">
              <w:rPr>
                <w:rFonts w:ascii="Times New Roman" w:hAnsi="Times New Roman"/>
                <w:sz w:val="20"/>
                <w:szCs w:val="20"/>
              </w:rPr>
              <w:t>70 in Year 1; 20 in Years 2+</w:t>
            </w:r>
          </w:p>
        </w:tc>
        <w:tc>
          <w:tcPr>
            <w:tcW w:w="2309" w:type="dxa"/>
          </w:tcPr>
          <w:p w:rsidR="008E6A5A" w:rsidRPr="00416ACD" w:rsidP="008E6A5A" w14:paraId="443020EE" w14:textId="77777777">
            <w:pPr>
              <w:contextualSpacing/>
              <w:jc w:val="center"/>
              <w:rPr>
                <w:rFonts w:ascii="Times New Roman" w:hAnsi="Times New Roman"/>
                <w:sz w:val="20"/>
                <w:szCs w:val="20"/>
              </w:rPr>
            </w:pPr>
            <w:r w:rsidRPr="00416ACD">
              <w:rPr>
                <w:rFonts w:ascii="Times New Roman" w:hAnsi="Times New Roman"/>
                <w:sz w:val="20"/>
                <w:szCs w:val="20"/>
              </w:rPr>
              <w:t>1,100,120 in Year 1; 314,320 in Years 2+</w:t>
            </w:r>
          </w:p>
        </w:tc>
      </w:tr>
      <w:tr w14:paraId="52D42779" w14:textId="77777777" w:rsidTr="00BB292D">
        <w:tblPrEx>
          <w:tblW w:w="9715" w:type="dxa"/>
          <w:jc w:val="center"/>
          <w:tblLook w:val="04A0"/>
        </w:tblPrEx>
        <w:trPr>
          <w:trHeight w:val="683"/>
          <w:jc w:val="center"/>
        </w:trPr>
        <w:tc>
          <w:tcPr>
            <w:tcW w:w="2991" w:type="dxa"/>
          </w:tcPr>
          <w:p w:rsidR="008E6A5A" w:rsidRPr="00416ACD" w:rsidP="008E6A5A" w14:paraId="20FE6C8B" w14:textId="77777777">
            <w:pPr>
              <w:numPr>
                <w:ilvl w:val="0"/>
                <w:numId w:val="11"/>
              </w:numPr>
              <w:contextualSpacing/>
              <w:rPr>
                <w:rFonts w:ascii="Times New Roman" w:hAnsi="Times New Roman"/>
                <w:sz w:val="20"/>
                <w:szCs w:val="20"/>
              </w:rPr>
            </w:pPr>
            <w:r w:rsidRPr="00416ACD">
              <w:rPr>
                <w:rFonts w:ascii="Times New Roman" w:hAnsi="Times New Roman"/>
                <w:sz w:val="20"/>
                <w:szCs w:val="20"/>
              </w:rPr>
              <w:t>Submit certification for each request that it meets certain requirements</w:t>
            </w:r>
            <w:r>
              <w:rPr>
                <w:rStyle w:val="FootnoteReference"/>
                <w:rFonts w:ascii="Times New Roman" w:hAnsi="Times New Roman"/>
                <w:sz w:val="20"/>
                <w:szCs w:val="20"/>
              </w:rPr>
              <w:footnoteReference w:customMarkFollows="1" w:id="18"/>
              <w:t xml:space="preserve">1</w:t>
            </w:r>
          </w:p>
        </w:tc>
        <w:tc>
          <w:tcPr>
            <w:tcW w:w="1590" w:type="dxa"/>
          </w:tcPr>
          <w:p w:rsidR="008E6A5A" w:rsidRPr="00416ACD" w:rsidP="008E6A5A" w14:paraId="5B96D3B5" w14:textId="77777777">
            <w:pPr>
              <w:contextualSpacing/>
              <w:jc w:val="center"/>
              <w:rPr>
                <w:rFonts w:ascii="Times New Roman" w:hAnsi="Times New Roman"/>
                <w:sz w:val="20"/>
                <w:szCs w:val="20"/>
              </w:rPr>
            </w:pPr>
            <w:r w:rsidRPr="00416ACD">
              <w:rPr>
                <w:rFonts w:ascii="Times New Roman" w:hAnsi="Times New Roman"/>
                <w:sz w:val="20"/>
                <w:szCs w:val="20"/>
              </w:rPr>
              <w:t>Financial institutions</w:t>
            </w:r>
          </w:p>
        </w:tc>
        <w:tc>
          <w:tcPr>
            <w:tcW w:w="1253" w:type="dxa"/>
          </w:tcPr>
          <w:p w:rsidR="008E6A5A" w:rsidRPr="00416ACD" w:rsidP="008E6A5A" w14:paraId="44449DF8" w14:textId="77777777">
            <w:pPr>
              <w:contextualSpacing/>
              <w:jc w:val="center"/>
              <w:rPr>
                <w:rFonts w:ascii="Times New Roman" w:hAnsi="Times New Roman"/>
                <w:sz w:val="20"/>
                <w:szCs w:val="20"/>
              </w:rPr>
            </w:pPr>
            <w:r w:rsidRPr="00416ACD">
              <w:rPr>
                <w:rFonts w:ascii="Times New Roman" w:hAnsi="Times New Roman"/>
                <w:sz w:val="20"/>
                <w:szCs w:val="20"/>
              </w:rPr>
              <w:t>15,716</w:t>
            </w:r>
          </w:p>
        </w:tc>
        <w:tc>
          <w:tcPr>
            <w:tcW w:w="1572" w:type="dxa"/>
          </w:tcPr>
          <w:p w:rsidR="008E6A5A" w:rsidRPr="00416ACD" w:rsidP="008E6A5A" w14:paraId="176D1D6B" w14:textId="77777777">
            <w:pPr>
              <w:contextualSpacing/>
              <w:jc w:val="center"/>
              <w:rPr>
                <w:rFonts w:ascii="Times New Roman" w:hAnsi="Times New Roman"/>
                <w:sz w:val="20"/>
                <w:szCs w:val="20"/>
              </w:rPr>
            </w:pPr>
            <w:r w:rsidRPr="00416ACD">
              <w:rPr>
                <w:rFonts w:ascii="Times New Roman" w:hAnsi="Times New Roman"/>
                <w:sz w:val="20"/>
                <w:szCs w:val="20"/>
              </w:rPr>
              <w:t>94 in Year 1; 94 in Years 2+</w:t>
            </w:r>
          </w:p>
        </w:tc>
        <w:tc>
          <w:tcPr>
            <w:tcW w:w="2309" w:type="dxa"/>
          </w:tcPr>
          <w:p w:rsidR="008E6A5A" w:rsidRPr="00416ACD" w:rsidP="008E6A5A" w14:paraId="500E620B" w14:textId="77777777">
            <w:pPr>
              <w:contextualSpacing/>
              <w:jc w:val="center"/>
              <w:rPr>
                <w:rFonts w:ascii="Times New Roman" w:hAnsi="Times New Roman"/>
                <w:sz w:val="20"/>
                <w:szCs w:val="20"/>
              </w:rPr>
            </w:pPr>
            <w:r w:rsidRPr="00416ACD">
              <w:rPr>
                <w:rFonts w:ascii="Times New Roman" w:hAnsi="Times New Roman"/>
                <w:sz w:val="20"/>
                <w:szCs w:val="20"/>
              </w:rPr>
              <w:t xml:space="preserve">1,474,161 in </w:t>
            </w:r>
            <w:r w:rsidRPr="00416ACD">
              <w:rPr>
                <w:rFonts w:ascii="Times New Roman" w:hAnsi="Times New Roman"/>
                <w:sz w:val="20"/>
                <w:szCs w:val="20"/>
              </w:rPr>
              <w:t>Year 1; 1,474,161 in Years 2+</w:t>
            </w:r>
          </w:p>
        </w:tc>
      </w:tr>
      <w:tr w14:paraId="0C760A43" w14:textId="77777777" w:rsidTr="00BB292D">
        <w:tblPrEx>
          <w:tblW w:w="9715" w:type="dxa"/>
          <w:jc w:val="left"/>
          <w:tblLook w:val="04A0"/>
        </w:tblPrEx>
        <w:trPr>
          <w:trHeight w:val="1025"/>
          <w:jc w:val="left"/>
        </w:trPr>
        <w:tc>
          <w:tcPr>
            <w:tcW w:w="2991" w:type="dxa"/>
          </w:tcPr>
          <w:p w:rsidR="008E6A5A" w:rsidRPr="00416ACD" w:rsidP="008E6A5A" w14:paraId="2FFB20E1" w14:textId="77777777">
            <w:pPr>
              <w:pStyle w:val="ListParagraph"/>
              <w:numPr>
                <w:ilvl w:val="0"/>
                <w:numId w:val="12"/>
              </w:numPr>
              <w:rPr>
                <w:rFonts w:ascii="Times New Roman" w:hAnsi="Times New Roman" w:eastAsiaTheme="minorEastAsia"/>
                <w:sz w:val="20"/>
                <w:szCs w:val="20"/>
              </w:rPr>
            </w:pPr>
            <w:r w:rsidRPr="00416ACD">
              <w:rPr>
                <w:rFonts w:ascii="Times New Roman" w:hAnsi="Times New Roman"/>
                <w:sz w:val="20"/>
                <w:szCs w:val="20"/>
              </w:rPr>
              <w:t>Submit written certification for each request that it meets certain requirements, including court authorization</w:t>
            </w:r>
          </w:p>
        </w:tc>
        <w:tc>
          <w:tcPr>
            <w:tcW w:w="1590" w:type="dxa"/>
          </w:tcPr>
          <w:p w:rsidR="008E6A5A" w:rsidRPr="00416ACD" w:rsidP="008E6A5A" w14:paraId="50291BFF" w14:textId="77777777">
            <w:pPr>
              <w:contextualSpacing/>
              <w:jc w:val="center"/>
              <w:rPr>
                <w:rFonts w:ascii="Times New Roman" w:hAnsi="Times New Roman"/>
                <w:sz w:val="20"/>
                <w:szCs w:val="20"/>
              </w:rPr>
            </w:pPr>
            <w:r w:rsidRPr="00416ACD">
              <w:rPr>
                <w:rFonts w:ascii="Times New Roman" w:hAnsi="Times New Roman"/>
                <w:sz w:val="20"/>
                <w:szCs w:val="20"/>
              </w:rPr>
              <w:t>State, local, and Tribal law enforcement</w:t>
            </w:r>
          </w:p>
        </w:tc>
        <w:tc>
          <w:tcPr>
            <w:tcW w:w="1253" w:type="dxa"/>
          </w:tcPr>
          <w:p w:rsidR="008E6A5A" w:rsidRPr="00416ACD" w:rsidP="008E6A5A" w14:paraId="5423F1AF" w14:textId="77777777">
            <w:pPr>
              <w:contextualSpacing/>
              <w:jc w:val="center"/>
              <w:rPr>
                <w:rFonts w:ascii="Times New Roman" w:hAnsi="Times New Roman"/>
                <w:sz w:val="20"/>
                <w:szCs w:val="20"/>
              </w:rPr>
            </w:pPr>
            <w:r w:rsidRPr="00416ACD">
              <w:rPr>
                <w:rFonts w:ascii="Times New Roman" w:hAnsi="Times New Roman"/>
                <w:sz w:val="20"/>
                <w:szCs w:val="20"/>
              </w:rPr>
              <w:t>158</w:t>
            </w:r>
          </w:p>
        </w:tc>
        <w:tc>
          <w:tcPr>
            <w:tcW w:w="1572" w:type="dxa"/>
          </w:tcPr>
          <w:p w:rsidR="008E6A5A" w:rsidRPr="00416ACD" w:rsidP="008E6A5A" w14:paraId="01FB9D92" w14:textId="77777777">
            <w:pPr>
              <w:contextualSpacing/>
              <w:jc w:val="center"/>
              <w:rPr>
                <w:rFonts w:ascii="Times New Roman" w:hAnsi="Times New Roman"/>
                <w:sz w:val="20"/>
                <w:szCs w:val="20"/>
              </w:rPr>
            </w:pPr>
            <w:r w:rsidRPr="00416ACD">
              <w:rPr>
                <w:rFonts w:ascii="Times New Roman" w:hAnsi="Times New Roman"/>
                <w:sz w:val="20"/>
                <w:szCs w:val="20"/>
              </w:rPr>
              <w:t>12,975 in Year 1; 10,443 in Years 2+</w:t>
            </w:r>
          </w:p>
        </w:tc>
        <w:tc>
          <w:tcPr>
            <w:tcW w:w="2309" w:type="dxa"/>
          </w:tcPr>
          <w:p w:rsidR="008E6A5A" w:rsidRPr="00416ACD" w:rsidP="008E6A5A" w14:paraId="2CD89918" w14:textId="77777777">
            <w:pPr>
              <w:contextualSpacing/>
              <w:jc w:val="center"/>
              <w:rPr>
                <w:rFonts w:ascii="Times New Roman" w:hAnsi="Times New Roman"/>
                <w:sz w:val="20"/>
                <w:szCs w:val="20"/>
              </w:rPr>
            </w:pPr>
            <w:r w:rsidRPr="00416ACD">
              <w:rPr>
                <w:rFonts w:ascii="Times New Roman" w:hAnsi="Times New Roman"/>
                <w:sz w:val="20"/>
                <w:szCs w:val="20"/>
              </w:rPr>
              <w:t xml:space="preserve">2,050,003 in Year 1; </w:t>
            </w:r>
            <w:r w:rsidRPr="00416ACD">
              <w:rPr>
                <w:rFonts w:ascii="Times New Roman" w:hAnsi="Times New Roman"/>
                <w:sz w:val="20"/>
                <w:szCs w:val="20"/>
              </w:rPr>
              <w:t>1,649,994 in Years 2+</w:t>
            </w:r>
          </w:p>
        </w:tc>
      </w:tr>
      <w:tr w14:paraId="4C5BF6CA" w14:textId="77777777" w:rsidTr="00BB292D">
        <w:tblPrEx>
          <w:tblW w:w="9715" w:type="dxa"/>
          <w:jc w:val="left"/>
          <w:tblLook w:val="04A0"/>
        </w:tblPrEx>
        <w:trPr>
          <w:trHeight w:val="719"/>
          <w:jc w:val="left"/>
        </w:trPr>
        <w:tc>
          <w:tcPr>
            <w:tcW w:w="2991" w:type="dxa"/>
          </w:tcPr>
          <w:p w:rsidR="008E6A5A" w:rsidRPr="00416ACD" w:rsidP="008E6A5A" w14:paraId="27745CF8" w14:textId="77777777">
            <w:pPr>
              <w:pStyle w:val="ListParagraph"/>
              <w:numPr>
                <w:ilvl w:val="0"/>
                <w:numId w:val="13"/>
              </w:numPr>
              <w:ind w:left="360"/>
              <w:rPr>
                <w:rFonts w:ascii="Times New Roman" w:hAnsi="Times New Roman" w:eastAsiaTheme="minorEastAsia"/>
                <w:sz w:val="20"/>
                <w:szCs w:val="20"/>
              </w:rPr>
            </w:pPr>
            <w:r w:rsidRPr="00416ACD">
              <w:rPr>
                <w:rFonts w:ascii="Times New Roman" w:hAnsi="Times New Roman"/>
                <w:sz w:val="20"/>
                <w:szCs w:val="20"/>
              </w:rPr>
              <w:t>Submit written certification for each request that it meets certain requirements</w:t>
            </w:r>
          </w:p>
        </w:tc>
        <w:tc>
          <w:tcPr>
            <w:tcW w:w="1590" w:type="dxa"/>
          </w:tcPr>
          <w:p w:rsidR="008E6A5A" w:rsidRPr="00416ACD" w:rsidP="008E6A5A" w14:paraId="361F6B83" w14:textId="77777777">
            <w:pPr>
              <w:contextualSpacing/>
              <w:jc w:val="center"/>
              <w:rPr>
                <w:rFonts w:ascii="Times New Roman" w:hAnsi="Times New Roman"/>
                <w:sz w:val="20"/>
                <w:szCs w:val="20"/>
              </w:rPr>
            </w:pPr>
            <w:r w:rsidRPr="00416ACD">
              <w:rPr>
                <w:rFonts w:ascii="Times New Roman" w:hAnsi="Times New Roman"/>
                <w:sz w:val="20"/>
                <w:szCs w:val="20"/>
              </w:rPr>
              <w:t xml:space="preserve">State regulatory agencies </w:t>
            </w:r>
            <w:r w:rsidRPr="00373B76">
              <w:rPr>
                <w:sz w:val="20"/>
                <w:szCs w:val="20"/>
              </w:rPr>
              <w:t>and SROs</w:t>
            </w:r>
          </w:p>
        </w:tc>
        <w:tc>
          <w:tcPr>
            <w:tcW w:w="1253" w:type="dxa"/>
          </w:tcPr>
          <w:p w:rsidR="008E6A5A" w:rsidRPr="00416ACD" w:rsidP="008E6A5A" w14:paraId="6E6C5D20" w14:textId="77777777">
            <w:pPr>
              <w:contextualSpacing/>
              <w:jc w:val="center"/>
              <w:rPr>
                <w:rFonts w:ascii="Times New Roman" w:hAnsi="Times New Roman"/>
                <w:sz w:val="20"/>
                <w:szCs w:val="20"/>
              </w:rPr>
            </w:pPr>
            <w:r w:rsidRPr="00416ACD">
              <w:rPr>
                <w:rFonts w:ascii="Times New Roman" w:hAnsi="Times New Roman"/>
                <w:sz w:val="20"/>
                <w:szCs w:val="20"/>
              </w:rPr>
              <w:t>60</w:t>
            </w:r>
          </w:p>
        </w:tc>
        <w:tc>
          <w:tcPr>
            <w:tcW w:w="1572" w:type="dxa"/>
          </w:tcPr>
          <w:p w:rsidR="008E6A5A" w:rsidRPr="00416ACD" w:rsidP="008E6A5A" w14:paraId="4E3D7AFA" w14:textId="77777777">
            <w:pPr>
              <w:contextualSpacing/>
              <w:jc w:val="center"/>
              <w:rPr>
                <w:rFonts w:ascii="Times New Roman" w:hAnsi="Times New Roman"/>
                <w:sz w:val="20"/>
                <w:szCs w:val="20"/>
              </w:rPr>
            </w:pPr>
            <w:r w:rsidRPr="00416ACD">
              <w:rPr>
                <w:rFonts w:ascii="Times New Roman" w:hAnsi="Times New Roman"/>
                <w:sz w:val="20"/>
                <w:szCs w:val="20"/>
              </w:rPr>
              <w:t>125 in Year 1; 125 in Years 2+</w:t>
            </w:r>
          </w:p>
        </w:tc>
        <w:tc>
          <w:tcPr>
            <w:tcW w:w="2309" w:type="dxa"/>
          </w:tcPr>
          <w:p w:rsidR="008E6A5A" w:rsidRPr="00416ACD" w:rsidP="008E6A5A" w14:paraId="27A3A775" w14:textId="77777777">
            <w:pPr>
              <w:contextualSpacing/>
              <w:jc w:val="center"/>
              <w:rPr>
                <w:rFonts w:ascii="Times New Roman" w:hAnsi="Times New Roman"/>
                <w:sz w:val="20"/>
                <w:szCs w:val="20"/>
              </w:rPr>
            </w:pPr>
            <w:r w:rsidRPr="00416ACD">
              <w:rPr>
                <w:rFonts w:ascii="Times New Roman" w:hAnsi="Times New Roman"/>
                <w:sz w:val="20"/>
                <w:szCs w:val="20"/>
              </w:rPr>
              <w:t>7,500 in Year 1; 7,500 in Years 2+</w:t>
            </w:r>
          </w:p>
        </w:tc>
      </w:tr>
      <w:tr w14:paraId="42FFA717" w14:textId="77777777" w:rsidTr="00BB292D">
        <w:tblPrEx>
          <w:tblW w:w="9715" w:type="dxa"/>
          <w:jc w:val="center"/>
          <w:tblLook w:val="04A0"/>
        </w:tblPrEx>
        <w:trPr>
          <w:trHeight w:val="566"/>
          <w:jc w:val="center"/>
        </w:trPr>
        <w:tc>
          <w:tcPr>
            <w:tcW w:w="2991" w:type="dxa"/>
          </w:tcPr>
          <w:p w:rsidR="008E6A5A" w:rsidRPr="00416ACD" w:rsidP="008E6A5A" w14:paraId="7F178190" w14:textId="77777777">
            <w:pPr>
              <w:numPr>
                <w:ilvl w:val="0"/>
                <w:numId w:val="13"/>
              </w:numPr>
              <w:ind w:left="360"/>
              <w:contextualSpacing/>
              <w:rPr>
                <w:rFonts w:ascii="Times New Roman" w:hAnsi="Times New Roman"/>
                <w:sz w:val="20"/>
                <w:szCs w:val="20"/>
              </w:rPr>
            </w:pPr>
            <w:r w:rsidRPr="00416ACD">
              <w:rPr>
                <w:rFonts w:ascii="Times New Roman" w:hAnsi="Times New Roman"/>
                <w:sz w:val="20"/>
                <w:szCs w:val="20"/>
              </w:rPr>
              <w:t>Undergo training</w:t>
            </w:r>
            <w:r>
              <w:rPr>
                <w:rStyle w:val="FootnoteReference"/>
                <w:rFonts w:ascii="Times New Roman" w:hAnsi="Times New Roman"/>
                <w:sz w:val="20"/>
                <w:szCs w:val="20"/>
              </w:rPr>
              <w:footnoteReference w:customMarkFollows="1" w:id="19"/>
              <w:t xml:space="preserve">2</w:t>
            </w:r>
          </w:p>
        </w:tc>
        <w:tc>
          <w:tcPr>
            <w:tcW w:w="1590" w:type="dxa"/>
          </w:tcPr>
          <w:p w:rsidR="008E6A5A" w:rsidRPr="00416ACD" w:rsidP="008E6A5A" w14:paraId="43D27DE1" w14:textId="77777777">
            <w:pPr>
              <w:contextualSpacing/>
              <w:jc w:val="center"/>
              <w:rPr>
                <w:rFonts w:ascii="Times New Roman" w:hAnsi="Times New Roman"/>
                <w:sz w:val="20"/>
                <w:szCs w:val="20"/>
              </w:rPr>
            </w:pPr>
            <w:r w:rsidRPr="00416ACD">
              <w:rPr>
                <w:rFonts w:ascii="Times New Roman" w:hAnsi="Times New Roman"/>
                <w:sz w:val="20"/>
                <w:szCs w:val="20"/>
              </w:rPr>
              <w:t xml:space="preserve">Financial </w:t>
            </w:r>
            <w:r w:rsidRPr="00416ACD">
              <w:rPr>
                <w:rFonts w:ascii="Times New Roman" w:hAnsi="Times New Roman"/>
                <w:sz w:val="20"/>
                <w:szCs w:val="20"/>
              </w:rPr>
              <w:t>institutions</w:t>
            </w:r>
          </w:p>
        </w:tc>
        <w:tc>
          <w:tcPr>
            <w:tcW w:w="1253" w:type="dxa"/>
          </w:tcPr>
          <w:p w:rsidR="008E6A5A" w:rsidRPr="00416ACD" w:rsidP="008E6A5A" w14:paraId="7D33F148" w14:textId="77777777">
            <w:pPr>
              <w:contextualSpacing/>
              <w:jc w:val="center"/>
              <w:rPr>
                <w:rFonts w:ascii="Times New Roman" w:hAnsi="Times New Roman"/>
                <w:sz w:val="20"/>
                <w:szCs w:val="20"/>
              </w:rPr>
            </w:pPr>
            <w:r w:rsidRPr="00416ACD">
              <w:rPr>
                <w:rFonts w:ascii="Times New Roman" w:hAnsi="Times New Roman"/>
                <w:sz w:val="20"/>
                <w:szCs w:val="20"/>
              </w:rPr>
              <w:t>15,716</w:t>
            </w:r>
          </w:p>
        </w:tc>
        <w:tc>
          <w:tcPr>
            <w:tcW w:w="1572" w:type="dxa"/>
          </w:tcPr>
          <w:p w:rsidR="008E6A5A" w:rsidRPr="00416ACD" w:rsidP="008E6A5A" w14:paraId="4CBC6179" w14:textId="77777777">
            <w:pPr>
              <w:contextualSpacing/>
              <w:jc w:val="center"/>
              <w:rPr>
                <w:rFonts w:ascii="Times New Roman" w:hAnsi="Times New Roman"/>
                <w:sz w:val="20"/>
                <w:szCs w:val="20"/>
              </w:rPr>
            </w:pPr>
            <w:r w:rsidRPr="00416ACD">
              <w:rPr>
                <w:rFonts w:ascii="Times New Roman" w:hAnsi="Times New Roman"/>
                <w:sz w:val="20"/>
                <w:szCs w:val="20"/>
              </w:rPr>
              <w:t>8 in Year 1; 8 in Years 2+</w:t>
            </w:r>
          </w:p>
        </w:tc>
        <w:tc>
          <w:tcPr>
            <w:tcW w:w="2309" w:type="dxa"/>
          </w:tcPr>
          <w:p w:rsidR="008E6A5A" w:rsidRPr="00416ACD" w:rsidP="008E6A5A" w14:paraId="71F444C8" w14:textId="77777777">
            <w:pPr>
              <w:contextualSpacing/>
              <w:jc w:val="center"/>
              <w:rPr>
                <w:rFonts w:ascii="Times New Roman" w:hAnsi="Times New Roman"/>
                <w:sz w:val="20"/>
                <w:szCs w:val="20"/>
              </w:rPr>
            </w:pPr>
            <w:r w:rsidRPr="00416ACD">
              <w:rPr>
                <w:rFonts w:ascii="Times New Roman" w:hAnsi="Times New Roman"/>
                <w:sz w:val="20"/>
                <w:szCs w:val="20"/>
              </w:rPr>
              <w:t>128,871 in Year 1; 128,871 in Years 2+</w:t>
            </w:r>
          </w:p>
        </w:tc>
      </w:tr>
      <w:tr w14:paraId="1D1863A7" w14:textId="77777777" w:rsidTr="003179A3">
        <w:tblPrEx>
          <w:tblW w:w="9715" w:type="dxa"/>
          <w:jc w:val="center"/>
          <w:tblLook w:val="04A0"/>
        </w:tblPrEx>
        <w:trPr>
          <w:trHeight w:val="1187"/>
          <w:jc w:val="center"/>
        </w:trPr>
        <w:tc>
          <w:tcPr>
            <w:tcW w:w="2991" w:type="dxa"/>
          </w:tcPr>
          <w:p w:rsidR="008E6A5A" w:rsidRPr="00416ACD" w:rsidP="008E6A5A" w14:paraId="64B9EFB3" w14:textId="77777777">
            <w:pPr>
              <w:pStyle w:val="ListParagraph"/>
              <w:numPr>
                <w:ilvl w:val="0"/>
                <w:numId w:val="14"/>
              </w:numPr>
              <w:rPr>
                <w:rFonts w:ascii="Times New Roman" w:hAnsi="Times New Roman" w:eastAsiaTheme="minorEastAsia"/>
                <w:sz w:val="20"/>
                <w:szCs w:val="20"/>
              </w:rPr>
            </w:pPr>
            <w:r w:rsidRPr="00416ACD">
              <w:rPr>
                <w:rFonts w:ascii="Times New Roman" w:hAnsi="Times New Roman"/>
                <w:sz w:val="20"/>
                <w:szCs w:val="20"/>
              </w:rPr>
              <w:t>Restrict access to appropriate persons within the entity, which specifies that appropriate persons will undergo training</w:t>
            </w:r>
            <w:r>
              <w:rPr>
                <w:rStyle w:val="FootnoteReference"/>
                <w:rFonts w:ascii="Times New Roman" w:hAnsi="Times New Roman"/>
                <w:sz w:val="20"/>
                <w:szCs w:val="20"/>
              </w:rPr>
              <w:footnoteReference w:customMarkFollows="1" w:id="20"/>
              <w:t xml:space="preserve">3</w:t>
            </w:r>
          </w:p>
        </w:tc>
        <w:tc>
          <w:tcPr>
            <w:tcW w:w="1590" w:type="dxa"/>
          </w:tcPr>
          <w:p w:rsidR="008E6A5A" w:rsidRPr="00416ACD" w:rsidP="008E6A5A" w14:paraId="4C2D97C5" w14:textId="77777777">
            <w:pPr>
              <w:contextualSpacing/>
              <w:jc w:val="center"/>
              <w:rPr>
                <w:rFonts w:ascii="Times New Roman" w:hAnsi="Times New Roman"/>
                <w:sz w:val="20"/>
                <w:szCs w:val="20"/>
              </w:rPr>
            </w:pPr>
            <w:r w:rsidRPr="00416ACD">
              <w:rPr>
                <w:rFonts w:ascii="Times New Roman" w:hAnsi="Times New Roman"/>
                <w:sz w:val="20"/>
                <w:szCs w:val="20"/>
              </w:rPr>
              <w:t>State, local, and Tribal agencies and SROs</w:t>
            </w:r>
          </w:p>
        </w:tc>
        <w:tc>
          <w:tcPr>
            <w:tcW w:w="1253" w:type="dxa"/>
          </w:tcPr>
          <w:p w:rsidR="008E6A5A" w:rsidRPr="00416ACD" w:rsidP="008E6A5A" w14:paraId="0C243012" w14:textId="77777777">
            <w:pPr>
              <w:contextualSpacing/>
              <w:jc w:val="center"/>
              <w:rPr>
                <w:rFonts w:ascii="Times New Roman" w:hAnsi="Times New Roman"/>
                <w:sz w:val="20"/>
                <w:szCs w:val="20"/>
              </w:rPr>
            </w:pPr>
            <w:r w:rsidRPr="00416ACD">
              <w:rPr>
                <w:rFonts w:ascii="Times New Roman" w:hAnsi="Times New Roman"/>
                <w:sz w:val="20"/>
                <w:szCs w:val="20"/>
              </w:rPr>
              <w:t>218</w:t>
            </w:r>
          </w:p>
        </w:tc>
        <w:tc>
          <w:tcPr>
            <w:tcW w:w="1572" w:type="dxa"/>
          </w:tcPr>
          <w:p w:rsidR="008E6A5A" w:rsidRPr="00416ACD" w:rsidP="008E6A5A" w14:paraId="6354CB4C" w14:textId="77777777">
            <w:pPr>
              <w:contextualSpacing/>
              <w:jc w:val="center"/>
              <w:rPr>
                <w:rFonts w:ascii="Times New Roman" w:hAnsi="Times New Roman"/>
                <w:sz w:val="20"/>
                <w:szCs w:val="20"/>
              </w:rPr>
            </w:pPr>
            <w:r w:rsidRPr="00416ACD">
              <w:rPr>
                <w:rFonts w:ascii="Times New Roman" w:hAnsi="Times New Roman"/>
                <w:sz w:val="20"/>
                <w:szCs w:val="20"/>
              </w:rPr>
              <w:t>9 in Year 1, 9 in Years 2+</w:t>
            </w:r>
          </w:p>
        </w:tc>
        <w:tc>
          <w:tcPr>
            <w:tcW w:w="2309" w:type="dxa"/>
          </w:tcPr>
          <w:p w:rsidR="008E6A5A" w:rsidRPr="00416ACD" w:rsidP="008E6A5A" w14:paraId="47081B9E" w14:textId="77777777">
            <w:pPr>
              <w:contextualSpacing/>
              <w:jc w:val="center"/>
              <w:rPr>
                <w:rFonts w:ascii="Times New Roman" w:hAnsi="Times New Roman"/>
                <w:sz w:val="20"/>
                <w:szCs w:val="20"/>
              </w:rPr>
            </w:pPr>
            <w:r w:rsidRPr="00416ACD">
              <w:rPr>
                <w:rFonts w:ascii="Times New Roman" w:hAnsi="Times New Roman"/>
                <w:sz w:val="20"/>
                <w:szCs w:val="20"/>
              </w:rPr>
              <w:t>2,006 in Year 1; 2,006 in Years 2+</w:t>
            </w:r>
          </w:p>
        </w:tc>
      </w:tr>
      <w:tr w14:paraId="42785FED" w14:textId="77777777" w:rsidTr="003179A3">
        <w:tblPrEx>
          <w:tblW w:w="9715" w:type="dxa"/>
          <w:jc w:val="center"/>
          <w:tblLook w:val="04A0"/>
        </w:tblPrEx>
        <w:trPr>
          <w:trHeight w:val="845"/>
          <w:jc w:val="center"/>
        </w:trPr>
        <w:tc>
          <w:tcPr>
            <w:tcW w:w="2991" w:type="dxa"/>
          </w:tcPr>
          <w:p w:rsidR="008E6A5A" w:rsidRPr="00416ACD" w:rsidP="008E6A5A" w14:paraId="4BB3BCAF" w14:textId="77777777">
            <w:pPr>
              <w:pStyle w:val="ListParagraph"/>
              <w:numPr>
                <w:ilvl w:val="0"/>
                <w:numId w:val="14"/>
              </w:numPr>
              <w:rPr>
                <w:rFonts w:ascii="Times New Roman" w:hAnsi="Times New Roman"/>
                <w:sz w:val="20"/>
                <w:szCs w:val="20"/>
              </w:rPr>
            </w:pPr>
            <w:r w:rsidRPr="00416ACD">
              <w:rPr>
                <w:rFonts w:ascii="Times New Roman" w:hAnsi="Times New Roman"/>
                <w:sz w:val="20"/>
                <w:szCs w:val="20"/>
              </w:rPr>
              <w:t>Conduct an annual audit and cooperate with FinCEN’s annual audit</w:t>
            </w:r>
          </w:p>
        </w:tc>
        <w:tc>
          <w:tcPr>
            <w:tcW w:w="1590" w:type="dxa"/>
          </w:tcPr>
          <w:p w:rsidR="008E6A5A" w:rsidRPr="00416ACD" w:rsidP="008E6A5A" w14:paraId="495A5632" w14:textId="77777777">
            <w:pPr>
              <w:contextualSpacing/>
              <w:jc w:val="center"/>
              <w:rPr>
                <w:rFonts w:ascii="Times New Roman" w:hAnsi="Times New Roman"/>
                <w:sz w:val="20"/>
                <w:szCs w:val="20"/>
              </w:rPr>
            </w:pPr>
            <w:r w:rsidRPr="00416ACD">
              <w:rPr>
                <w:rFonts w:ascii="Times New Roman" w:hAnsi="Times New Roman"/>
                <w:sz w:val="20"/>
                <w:szCs w:val="20"/>
              </w:rPr>
              <w:t>State, local, and Tribal agencies and SROs</w:t>
            </w:r>
          </w:p>
        </w:tc>
        <w:tc>
          <w:tcPr>
            <w:tcW w:w="1253" w:type="dxa"/>
          </w:tcPr>
          <w:p w:rsidR="008E6A5A" w:rsidRPr="00416ACD" w:rsidP="008E6A5A" w14:paraId="29A9A717" w14:textId="77777777">
            <w:pPr>
              <w:contextualSpacing/>
              <w:jc w:val="center"/>
              <w:rPr>
                <w:rFonts w:ascii="Times New Roman" w:hAnsi="Times New Roman"/>
                <w:sz w:val="20"/>
                <w:szCs w:val="20"/>
              </w:rPr>
            </w:pPr>
            <w:r w:rsidRPr="00416ACD">
              <w:rPr>
                <w:rFonts w:ascii="Times New Roman" w:hAnsi="Times New Roman"/>
                <w:sz w:val="20"/>
                <w:szCs w:val="20"/>
              </w:rPr>
              <w:t>218</w:t>
            </w:r>
          </w:p>
        </w:tc>
        <w:tc>
          <w:tcPr>
            <w:tcW w:w="1572" w:type="dxa"/>
          </w:tcPr>
          <w:p w:rsidR="008E6A5A" w:rsidRPr="00416ACD" w:rsidP="008E6A5A" w14:paraId="6C7BD88C" w14:textId="77777777">
            <w:pPr>
              <w:contextualSpacing/>
              <w:jc w:val="center"/>
              <w:rPr>
                <w:rFonts w:ascii="Times New Roman" w:hAnsi="Times New Roman"/>
                <w:sz w:val="20"/>
                <w:szCs w:val="20"/>
              </w:rPr>
            </w:pPr>
            <w:r w:rsidRPr="00416ACD">
              <w:rPr>
                <w:rFonts w:ascii="Times New Roman" w:hAnsi="Times New Roman"/>
                <w:sz w:val="20"/>
                <w:szCs w:val="20"/>
              </w:rPr>
              <w:t>160 in Year 1; 160 in Years 2+</w:t>
            </w:r>
          </w:p>
        </w:tc>
        <w:tc>
          <w:tcPr>
            <w:tcW w:w="2309" w:type="dxa"/>
          </w:tcPr>
          <w:p w:rsidR="008E6A5A" w:rsidRPr="00416ACD" w:rsidP="008E6A5A" w14:paraId="662F5FBA" w14:textId="77777777">
            <w:pPr>
              <w:contextualSpacing/>
              <w:jc w:val="center"/>
              <w:rPr>
                <w:rFonts w:ascii="Times New Roman" w:hAnsi="Times New Roman"/>
                <w:sz w:val="20"/>
                <w:szCs w:val="20"/>
              </w:rPr>
            </w:pPr>
            <w:r w:rsidRPr="00416ACD">
              <w:rPr>
                <w:rFonts w:ascii="Times New Roman" w:hAnsi="Times New Roman"/>
                <w:sz w:val="20"/>
                <w:szCs w:val="20"/>
              </w:rPr>
              <w:t>34,880 in Year 1; 34,880 in Years 2+</w:t>
            </w:r>
          </w:p>
        </w:tc>
      </w:tr>
      <w:tr w14:paraId="4D9F07B6" w14:textId="77777777" w:rsidTr="00BB292D">
        <w:tblPrEx>
          <w:tblW w:w="9715" w:type="dxa"/>
          <w:jc w:val="center"/>
          <w:tblLook w:val="04A0"/>
        </w:tblPrEx>
        <w:trPr>
          <w:trHeight w:val="494"/>
          <w:jc w:val="center"/>
        </w:trPr>
        <w:tc>
          <w:tcPr>
            <w:tcW w:w="2991" w:type="dxa"/>
          </w:tcPr>
          <w:p w:rsidR="008E6A5A" w:rsidRPr="00416ACD" w:rsidP="008E6A5A" w14:paraId="1F04DC85" w14:textId="77777777">
            <w:pPr>
              <w:numPr>
                <w:ilvl w:val="0"/>
                <w:numId w:val="14"/>
              </w:numPr>
              <w:contextualSpacing/>
              <w:rPr>
                <w:rFonts w:ascii="Times New Roman" w:hAnsi="Times New Roman"/>
                <w:sz w:val="20"/>
                <w:szCs w:val="20"/>
              </w:rPr>
            </w:pPr>
            <w:r w:rsidRPr="00416ACD">
              <w:rPr>
                <w:rFonts w:ascii="Times New Roman" w:hAnsi="Times New Roman"/>
                <w:sz w:val="20"/>
                <w:szCs w:val="20"/>
              </w:rPr>
              <w:t>Obtain certification of standards and procedures initially and then semi-</w:t>
            </w:r>
            <w:r w:rsidRPr="00416ACD">
              <w:rPr>
                <w:rFonts w:ascii="Times New Roman" w:hAnsi="Times New Roman"/>
                <w:sz w:val="20"/>
                <w:szCs w:val="20"/>
              </w:rPr>
              <w:t>annually, by the head of the entity</w:t>
            </w:r>
          </w:p>
        </w:tc>
        <w:tc>
          <w:tcPr>
            <w:tcW w:w="1590" w:type="dxa"/>
          </w:tcPr>
          <w:p w:rsidR="008E6A5A" w:rsidRPr="00416ACD" w:rsidP="008E6A5A" w14:paraId="188C907E" w14:textId="77777777">
            <w:pPr>
              <w:contextualSpacing/>
              <w:jc w:val="center"/>
              <w:rPr>
                <w:rFonts w:ascii="Times New Roman" w:hAnsi="Times New Roman"/>
                <w:sz w:val="20"/>
                <w:szCs w:val="20"/>
              </w:rPr>
            </w:pPr>
            <w:r w:rsidRPr="00416ACD">
              <w:rPr>
                <w:rFonts w:ascii="Times New Roman" w:hAnsi="Times New Roman"/>
                <w:sz w:val="20"/>
                <w:szCs w:val="20"/>
              </w:rPr>
              <w:t>State, local, and Tribal agencies and SROs</w:t>
            </w:r>
          </w:p>
        </w:tc>
        <w:tc>
          <w:tcPr>
            <w:tcW w:w="1253" w:type="dxa"/>
          </w:tcPr>
          <w:p w:rsidR="008E6A5A" w:rsidRPr="00416ACD" w:rsidP="008E6A5A" w14:paraId="638FF1C3" w14:textId="77777777">
            <w:pPr>
              <w:contextualSpacing/>
              <w:jc w:val="center"/>
              <w:rPr>
                <w:rFonts w:ascii="Times New Roman" w:hAnsi="Times New Roman"/>
                <w:sz w:val="20"/>
                <w:szCs w:val="20"/>
              </w:rPr>
            </w:pPr>
            <w:r w:rsidRPr="00416ACD">
              <w:rPr>
                <w:rFonts w:ascii="Times New Roman" w:hAnsi="Times New Roman"/>
                <w:sz w:val="20"/>
                <w:szCs w:val="20"/>
              </w:rPr>
              <w:t>218</w:t>
            </w:r>
          </w:p>
        </w:tc>
        <w:tc>
          <w:tcPr>
            <w:tcW w:w="1572" w:type="dxa"/>
          </w:tcPr>
          <w:p w:rsidR="008E6A5A" w:rsidRPr="00416ACD" w:rsidP="008E6A5A" w14:paraId="243AA454" w14:textId="77777777">
            <w:pPr>
              <w:contextualSpacing/>
              <w:jc w:val="center"/>
              <w:rPr>
                <w:rFonts w:ascii="Times New Roman" w:hAnsi="Times New Roman"/>
                <w:sz w:val="20"/>
                <w:szCs w:val="20"/>
              </w:rPr>
            </w:pPr>
            <w:r w:rsidRPr="00416ACD">
              <w:rPr>
                <w:rFonts w:ascii="Times New Roman" w:hAnsi="Times New Roman"/>
                <w:sz w:val="20"/>
                <w:szCs w:val="20"/>
              </w:rPr>
              <w:t>Included in I.</w:t>
            </w:r>
          </w:p>
        </w:tc>
        <w:tc>
          <w:tcPr>
            <w:tcW w:w="2309" w:type="dxa"/>
          </w:tcPr>
          <w:p w:rsidR="008E6A5A" w:rsidRPr="00416ACD" w:rsidP="008E6A5A" w14:paraId="78BEDFDD" w14:textId="77777777">
            <w:pPr>
              <w:contextualSpacing/>
              <w:jc w:val="center"/>
              <w:rPr>
                <w:rFonts w:ascii="Times New Roman" w:hAnsi="Times New Roman"/>
                <w:sz w:val="20"/>
                <w:szCs w:val="20"/>
              </w:rPr>
            </w:pPr>
            <w:r w:rsidRPr="00416ACD">
              <w:rPr>
                <w:rFonts w:ascii="Times New Roman" w:hAnsi="Times New Roman"/>
                <w:sz w:val="20"/>
                <w:szCs w:val="20"/>
              </w:rPr>
              <w:t>Included in I.</w:t>
            </w:r>
          </w:p>
        </w:tc>
      </w:tr>
      <w:tr w14:paraId="757A6385" w14:textId="77777777" w:rsidTr="003179A3">
        <w:tblPrEx>
          <w:tblW w:w="9715" w:type="dxa"/>
          <w:jc w:val="center"/>
          <w:tblLook w:val="04A0"/>
        </w:tblPrEx>
        <w:trPr>
          <w:trHeight w:val="188"/>
          <w:jc w:val="center"/>
        </w:trPr>
        <w:tc>
          <w:tcPr>
            <w:tcW w:w="2991" w:type="dxa"/>
          </w:tcPr>
          <w:p w:rsidR="008E6A5A" w:rsidRPr="00416ACD" w:rsidP="008E6A5A" w14:paraId="68F7B6A5" w14:textId="77777777">
            <w:pPr>
              <w:numPr>
                <w:ilvl w:val="0"/>
                <w:numId w:val="14"/>
              </w:numPr>
              <w:contextualSpacing/>
              <w:rPr>
                <w:rFonts w:ascii="Times New Roman" w:hAnsi="Times New Roman"/>
                <w:sz w:val="20"/>
                <w:szCs w:val="20"/>
              </w:rPr>
            </w:pPr>
            <w:r w:rsidRPr="00416ACD">
              <w:rPr>
                <w:rFonts w:ascii="Times New Roman" w:hAnsi="Times New Roman"/>
                <w:sz w:val="20"/>
                <w:szCs w:val="20"/>
              </w:rPr>
              <w:t>Provide initial and then an annual report on procedures</w:t>
            </w:r>
          </w:p>
        </w:tc>
        <w:tc>
          <w:tcPr>
            <w:tcW w:w="1590" w:type="dxa"/>
            <w:vAlign w:val="center"/>
          </w:tcPr>
          <w:p w:rsidR="008E6A5A" w:rsidRPr="00416ACD" w:rsidP="008E6A5A" w14:paraId="0226B681" w14:textId="77777777">
            <w:pPr>
              <w:contextualSpacing/>
              <w:jc w:val="center"/>
              <w:rPr>
                <w:rFonts w:ascii="Times New Roman" w:hAnsi="Times New Roman"/>
                <w:sz w:val="20"/>
                <w:szCs w:val="20"/>
              </w:rPr>
            </w:pPr>
            <w:r w:rsidRPr="00416ACD">
              <w:rPr>
                <w:rFonts w:ascii="Times New Roman" w:hAnsi="Times New Roman"/>
                <w:sz w:val="20"/>
                <w:szCs w:val="20"/>
              </w:rPr>
              <w:t xml:space="preserve">State, </w:t>
            </w:r>
            <w:r w:rsidRPr="00416ACD">
              <w:rPr>
                <w:rFonts w:ascii="Times New Roman" w:hAnsi="Times New Roman"/>
                <w:sz w:val="20"/>
                <w:szCs w:val="20"/>
              </w:rPr>
              <w:t>local, and Tribal agencies and SROs</w:t>
            </w:r>
          </w:p>
        </w:tc>
        <w:tc>
          <w:tcPr>
            <w:tcW w:w="1253" w:type="dxa"/>
            <w:vAlign w:val="center"/>
          </w:tcPr>
          <w:p w:rsidR="008E6A5A" w:rsidRPr="00416ACD" w:rsidP="008E6A5A" w14:paraId="22342F2F" w14:textId="77777777">
            <w:pPr>
              <w:contextualSpacing/>
              <w:jc w:val="center"/>
              <w:rPr>
                <w:rFonts w:ascii="Times New Roman" w:hAnsi="Times New Roman"/>
                <w:sz w:val="20"/>
                <w:szCs w:val="20"/>
              </w:rPr>
            </w:pPr>
            <w:r w:rsidRPr="00416ACD">
              <w:rPr>
                <w:rFonts w:ascii="Times New Roman" w:hAnsi="Times New Roman"/>
                <w:sz w:val="20"/>
                <w:szCs w:val="20"/>
              </w:rPr>
              <w:t>218</w:t>
            </w:r>
          </w:p>
        </w:tc>
        <w:tc>
          <w:tcPr>
            <w:tcW w:w="1572" w:type="dxa"/>
            <w:vAlign w:val="center"/>
          </w:tcPr>
          <w:p w:rsidR="008E6A5A" w:rsidRPr="00416ACD" w:rsidP="008E6A5A" w14:paraId="4702DA05" w14:textId="77777777">
            <w:pPr>
              <w:contextualSpacing/>
              <w:jc w:val="center"/>
              <w:rPr>
                <w:rFonts w:ascii="Times New Roman" w:hAnsi="Times New Roman"/>
                <w:sz w:val="20"/>
                <w:szCs w:val="20"/>
              </w:rPr>
            </w:pPr>
            <w:r w:rsidRPr="00416ACD">
              <w:rPr>
                <w:rFonts w:ascii="Times New Roman" w:hAnsi="Times New Roman"/>
                <w:sz w:val="20"/>
                <w:szCs w:val="20"/>
              </w:rPr>
              <w:t>Included in I.</w:t>
            </w:r>
          </w:p>
        </w:tc>
        <w:tc>
          <w:tcPr>
            <w:tcW w:w="2309" w:type="dxa"/>
            <w:vAlign w:val="center"/>
          </w:tcPr>
          <w:p w:rsidR="008E6A5A" w:rsidRPr="00416ACD" w:rsidP="008E6A5A" w14:paraId="5372C848" w14:textId="77777777">
            <w:pPr>
              <w:contextualSpacing/>
              <w:jc w:val="center"/>
              <w:rPr>
                <w:rFonts w:ascii="Times New Roman" w:hAnsi="Times New Roman"/>
                <w:sz w:val="20"/>
                <w:szCs w:val="20"/>
              </w:rPr>
            </w:pPr>
            <w:r w:rsidRPr="00416ACD">
              <w:rPr>
                <w:rFonts w:ascii="Times New Roman" w:hAnsi="Times New Roman"/>
                <w:sz w:val="20"/>
                <w:szCs w:val="20"/>
              </w:rPr>
              <w:t>Included in I.</w:t>
            </w:r>
          </w:p>
        </w:tc>
      </w:tr>
      <w:tr w14:paraId="2CBEA4DA" w14:textId="77777777" w:rsidTr="003179A3">
        <w:tblPrEx>
          <w:tblW w:w="9715" w:type="dxa"/>
          <w:jc w:val="center"/>
          <w:tblLook w:val="04A0"/>
        </w:tblPrEx>
        <w:trPr>
          <w:trHeight w:val="188"/>
          <w:jc w:val="center"/>
        </w:trPr>
        <w:tc>
          <w:tcPr>
            <w:tcW w:w="2991" w:type="dxa"/>
          </w:tcPr>
          <w:p w:rsidR="008E6A5A" w:rsidRPr="00416ACD" w:rsidP="008E6A5A" w14:paraId="7348DEB3" w14:textId="77777777">
            <w:pPr>
              <w:numPr>
                <w:ilvl w:val="0"/>
                <w:numId w:val="14"/>
              </w:numPr>
              <w:contextualSpacing/>
              <w:rPr>
                <w:rFonts w:ascii="Times New Roman" w:hAnsi="Times New Roman"/>
                <w:sz w:val="20"/>
                <w:szCs w:val="20"/>
              </w:rPr>
            </w:pPr>
            <w:r w:rsidRPr="00416ACD">
              <w:rPr>
                <w:rFonts w:ascii="Times New Roman" w:hAnsi="Times New Roman"/>
                <w:sz w:val="20"/>
                <w:szCs w:val="20"/>
              </w:rPr>
              <w:t>Comply with certain geographic restrictions</w:t>
            </w:r>
          </w:p>
        </w:tc>
        <w:tc>
          <w:tcPr>
            <w:tcW w:w="1590" w:type="dxa"/>
            <w:vAlign w:val="center"/>
          </w:tcPr>
          <w:p w:rsidR="008E6A5A" w:rsidRPr="00416ACD" w:rsidP="008E6A5A" w14:paraId="4D945CC2" w14:textId="77777777">
            <w:pPr>
              <w:contextualSpacing/>
              <w:jc w:val="center"/>
              <w:rPr>
                <w:rFonts w:ascii="Times New Roman" w:hAnsi="Times New Roman"/>
                <w:sz w:val="20"/>
                <w:szCs w:val="20"/>
              </w:rPr>
            </w:pPr>
            <w:r w:rsidRPr="00416ACD">
              <w:rPr>
                <w:rFonts w:ascii="Times New Roman" w:hAnsi="Times New Roman"/>
                <w:sz w:val="20"/>
                <w:szCs w:val="20"/>
              </w:rPr>
              <w:t>Financial institutions</w:t>
            </w:r>
          </w:p>
        </w:tc>
        <w:tc>
          <w:tcPr>
            <w:tcW w:w="1253" w:type="dxa"/>
            <w:vAlign w:val="center"/>
          </w:tcPr>
          <w:p w:rsidR="008E6A5A" w:rsidRPr="00416ACD" w:rsidP="008E6A5A" w14:paraId="4FB74F53" w14:textId="77777777">
            <w:pPr>
              <w:contextualSpacing/>
              <w:jc w:val="center"/>
              <w:rPr>
                <w:rFonts w:ascii="Times New Roman" w:hAnsi="Times New Roman"/>
                <w:sz w:val="20"/>
                <w:szCs w:val="20"/>
              </w:rPr>
            </w:pPr>
            <w:r w:rsidRPr="00416ACD">
              <w:rPr>
                <w:rFonts w:ascii="Times New Roman" w:hAnsi="Times New Roman"/>
                <w:sz w:val="20"/>
                <w:szCs w:val="20"/>
              </w:rPr>
              <w:t>15,716</w:t>
            </w:r>
          </w:p>
        </w:tc>
        <w:tc>
          <w:tcPr>
            <w:tcW w:w="1572" w:type="dxa"/>
            <w:vAlign w:val="center"/>
          </w:tcPr>
          <w:p w:rsidR="008E6A5A" w:rsidRPr="00416ACD" w:rsidP="008E6A5A" w14:paraId="466AFC9E" w14:textId="77777777">
            <w:pPr>
              <w:contextualSpacing/>
              <w:jc w:val="center"/>
              <w:rPr>
                <w:rFonts w:ascii="Times New Roman" w:hAnsi="Times New Roman"/>
                <w:sz w:val="20"/>
                <w:szCs w:val="20"/>
              </w:rPr>
            </w:pPr>
            <w:r w:rsidRPr="00416ACD">
              <w:rPr>
                <w:rFonts w:ascii="Times New Roman" w:hAnsi="Times New Roman"/>
                <w:sz w:val="20"/>
                <w:szCs w:val="20"/>
              </w:rPr>
              <w:t>0 in Year 1; 0 in Years 2+</w:t>
            </w:r>
          </w:p>
        </w:tc>
        <w:tc>
          <w:tcPr>
            <w:tcW w:w="2309" w:type="dxa"/>
            <w:vAlign w:val="center"/>
          </w:tcPr>
          <w:p w:rsidR="008E6A5A" w:rsidRPr="00416ACD" w:rsidP="008E6A5A" w14:paraId="116A0E98" w14:textId="77777777">
            <w:pPr>
              <w:contextualSpacing/>
              <w:jc w:val="center"/>
              <w:rPr>
                <w:rFonts w:ascii="Times New Roman" w:hAnsi="Times New Roman"/>
                <w:sz w:val="20"/>
                <w:szCs w:val="20"/>
              </w:rPr>
            </w:pPr>
            <w:r w:rsidRPr="00416ACD">
              <w:rPr>
                <w:rFonts w:ascii="Times New Roman" w:hAnsi="Times New Roman"/>
                <w:sz w:val="20"/>
                <w:szCs w:val="20"/>
              </w:rPr>
              <w:t>0 in Year 1; 0 in Years 2+</w:t>
            </w:r>
          </w:p>
        </w:tc>
      </w:tr>
      <w:tr w14:paraId="278E1D12" w14:textId="77777777" w:rsidTr="003179A3">
        <w:tblPrEx>
          <w:tblW w:w="9715" w:type="dxa"/>
          <w:jc w:val="center"/>
          <w:tblLook w:val="04A0"/>
        </w:tblPrEx>
        <w:trPr>
          <w:trHeight w:val="413"/>
          <w:jc w:val="center"/>
        </w:trPr>
        <w:tc>
          <w:tcPr>
            <w:tcW w:w="2991" w:type="dxa"/>
          </w:tcPr>
          <w:p w:rsidR="008E6A5A" w:rsidRPr="00416ACD" w:rsidP="008E6A5A" w14:paraId="28C70B8D" w14:textId="77777777">
            <w:pPr>
              <w:numPr>
                <w:ilvl w:val="0"/>
                <w:numId w:val="14"/>
              </w:numPr>
              <w:contextualSpacing/>
              <w:rPr>
                <w:rFonts w:ascii="Times New Roman" w:hAnsi="Times New Roman"/>
                <w:sz w:val="20"/>
                <w:szCs w:val="20"/>
              </w:rPr>
            </w:pPr>
            <w:r w:rsidRPr="00416ACD">
              <w:rPr>
                <w:rFonts w:ascii="Times New Roman" w:hAnsi="Times New Roman"/>
                <w:sz w:val="20"/>
                <w:szCs w:val="20"/>
              </w:rPr>
              <w:t xml:space="preserve">Notify FinCEN of information demand from foreign </w:t>
            </w:r>
            <w:r w:rsidRPr="00416ACD">
              <w:rPr>
                <w:rFonts w:ascii="Times New Roman" w:hAnsi="Times New Roman"/>
                <w:sz w:val="20"/>
                <w:szCs w:val="20"/>
              </w:rPr>
              <w:t>government</w:t>
            </w:r>
          </w:p>
        </w:tc>
        <w:tc>
          <w:tcPr>
            <w:tcW w:w="1590" w:type="dxa"/>
            <w:vAlign w:val="center"/>
          </w:tcPr>
          <w:p w:rsidR="008E6A5A" w:rsidRPr="00416ACD" w:rsidP="008E6A5A" w14:paraId="7712D738" w14:textId="77777777">
            <w:pPr>
              <w:contextualSpacing/>
              <w:jc w:val="center"/>
              <w:rPr>
                <w:rFonts w:ascii="Times New Roman" w:hAnsi="Times New Roman"/>
                <w:sz w:val="20"/>
                <w:szCs w:val="20"/>
              </w:rPr>
            </w:pPr>
            <w:r w:rsidRPr="00416ACD">
              <w:rPr>
                <w:rFonts w:ascii="Times New Roman" w:hAnsi="Times New Roman"/>
                <w:sz w:val="20"/>
                <w:szCs w:val="20"/>
              </w:rPr>
              <w:t>Financial institutions</w:t>
            </w:r>
          </w:p>
        </w:tc>
        <w:tc>
          <w:tcPr>
            <w:tcW w:w="1253" w:type="dxa"/>
            <w:vAlign w:val="center"/>
          </w:tcPr>
          <w:p w:rsidR="008E6A5A" w:rsidRPr="00416ACD" w:rsidP="008E6A5A" w14:paraId="28D7659F" w14:textId="77777777">
            <w:pPr>
              <w:contextualSpacing/>
              <w:jc w:val="center"/>
              <w:rPr>
                <w:rFonts w:ascii="Times New Roman" w:hAnsi="Times New Roman"/>
                <w:sz w:val="20"/>
                <w:szCs w:val="20"/>
              </w:rPr>
            </w:pPr>
            <w:r w:rsidRPr="00416ACD">
              <w:rPr>
                <w:rFonts w:ascii="Times New Roman" w:hAnsi="Times New Roman"/>
                <w:sz w:val="20"/>
                <w:szCs w:val="20"/>
              </w:rPr>
              <w:t>15,716</w:t>
            </w:r>
          </w:p>
        </w:tc>
        <w:tc>
          <w:tcPr>
            <w:tcW w:w="1572" w:type="dxa"/>
            <w:vAlign w:val="center"/>
          </w:tcPr>
          <w:p w:rsidR="008E6A5A" w:rsidRPr="00416ACD" w:rsidP="008E6A5A" w14:paraId="6A625C5A" w14:textId="77777777">
            <w:pPr>
              <w:contextualSpacing/>
              <w:jc w:val="center"/>
              <w:rPr>
                <w:rFonts w:ascii="Times New Roman" w:hAnsi="Times New Roman"/>
                <w:sz w:val="20"/>
                <w:szCs w:val="20"/>
              </w:rPr>
            </w:pPr>
            <w:r w:rsidRPr="00416ACD">
              <w:rPr>
                <w:rFonts w:ascii="Times New Roman" w:hAnsi="Times New Roman"/>
                <w:sz w:val="20"/>
                <w:szCs w:val="20"/>
              </w:rPr>
              <w:t>0 in Year 1; 0 in Years 2+</w:t>
            </w:r>
          </w:p>
        </w:tc>
        <w:tc>
          <w:tcPr>
            <w:tcW w:w="2309" w:type="dxa"/>
            <w:vAlign w:val="center"/>
          </w:tcPr>
          <w:p w:rsidR="008E6A5A" w:rsidRPr="00416ACD" w:rsidP="008E6A5A" w14:paraId="5A7DCF7F" w14:textId="77777777">
            <w:pPr>
              <w:contextualSpacing/>
              <w:jc w:val="center"/>
              <w:rPr>
                <w:rFonts w:ascii="Times New Roman" w:hAnsi="Times New Roman"/>
                <w:sz w:val="20"/>
                <w:szCs w:val="20"/>
              </w:rPr>
            </w:pPr>
            <w:r w:rsidRPr="00416ACD">
              <w:rPr>
                <w:rFonts w:ascii="Times New Roman" w:hAnsi="Times New Roman"/>
                <w:sz w:val="20"/>
                <w:szCs w:val="20"/>
              </w:rPr>
              <w:t>0 in Year 1; 0 in Years 2+</w:t>
            </w:r>
          </w:p>
        </w:tc>
      </w:tr>
      <w:tr w14:paraId="0296CA63" w14:textId="77777777" w:rsidTr="00BB292D">
        <w:tblPrEx>
          <w:tblW w:w="9715" w:type="dxa"/>
          <w:jc w:val="center"/>
          <w:tblLook w:val="04A0"/>
        </w:tblPrEx>
        <w:trPr>
          <w:trHeight w:val="638"/>
          <w:jc w:val="center"/>
        </w:trPr>
        <w:tc>
          <w:tcPr>
            <w:tcW w:w="7406" w:type="dxa"/>
            <w:gridSpan w:val="4"/>
            <w:vAlign w:val="center"/>
          </w:tcPr>
          <w:p w:rsidR="008E6A5A" w:rsidRPr="00416ACD" w:rsidP="008E6A5A" w14:paraId="11FDFE87" w14:textId="77777777">
            <w:pPr>
              <w:contextualSpacing/>
              <w:rPr>
                <w:rFonts w:ascii="Times New Roman" w:hAnsi="Times New Roman"/>
                <w:b/>
                <w:bCs/>
                <w:sz w:val="20"/>
                <w:szCs w:val="20"/>
              </w:rPr>
            </w:pPr>
            <w:r w:rsidRPr="00416ACD">
              <w:rPr>
                <w:rFonts w:ascii="Times New Roman" w:hAnsi="Times New Roman"/>
                <w:b/>
                <w:bCs/>
                <w:sz w:val="20"/>
                <w:szCs w:val="20"/>
              </w:rPr>
              <w:t>Total Annual Hourly Burden</w:t>
            </w:r>
          </w:p>
        </w:tc>
        <w:tc>
          <w:tcPr>
            <w:tcW w:w="2309" w:type="dxa"/>
            <w:vAlign w:val="center"/>
          </w:tcPr>
          <w:p w:rsidR="008E6A5A" w:rsidP="008E6A5A" w14:paraId="3AFF8351" w14:textId="77777777">
            <w:pPr>
              <w:contextualSpacing/>
              <w:jc w:val="center"/>
              <w:rPr>
                <w:rFonts w:ascii="Times New Roman" w:hAnsi="Times New Roman"/>
                <w:sz w:val="20"/>
                <w:szCs w:val="20"/>
                <w:lang w:val="en-GB"/>
              </w:rPr>
            </w:pPr>
            <w:r w:rsidRPr="00416ACD">
              <w:rPr>
                <w:rFonts w:ascii="Times New Roman" w:hAnsi="Times New Roman"/>
                <w:sz w:val="20"/>
                <w:szCs w:val="20"/>
                <w:lang w:val="en-GB"/>
              </w:rPr>
              <w:t>8,743,781 in Year 1; 3,616,964 in Years 2+</w:t>
            </w:r>
          </w:p>
          <w:p w:rsidR="009D5EE8" w:rsidRPr="009D5EE8" w:rsidP="009D5EE8" w14:paraId="581A435A" w14:textId="4ADBD81E">
            <w:pPr>
              <w:contextualSpacing/>
              <w:jc w:val="center"/>
              <w:rPr>
                <w:rFonts w:ascii="Times New Roman" w:hAnsi="Times New Roman"/>
                <w:b/>
                <w:bCs/>
                <w:sz w:val="20"/>
                <w:szCs w:val="20"/>
                <w:lang w:val="en-GB"/>
              </w:rPr>
            </w:pPr>
            <w:r>
              <w:rPr>
                <w:rFonts w:ascii="Times New Roman" w:hAnsi="Times New Roman"/>
                <w:b/>
                <w:bCs/>
                <w:sz w:val="20"/>
                <w:szCs w:val="20"/>
                <w:lang w:val="en-GB"/>
              </w:rPr>
              <w:t>(Annualized average of 5,325,903 hours across first 3 years)</w:t>
            </w:r>
          </w:p>
        </w:tc>
      </w:tr>
      <w:tr w14:paraId="262357C7" w14:textId="77777777" w:rsidTr="003179A3">
        <w:tblPrEx>
          <w:tblW w:w="9715" w:type="dxa"/>
          <w:jc w:val="center"/>
          <w:tblLook w:val="04A0"/>
        </w:tblPrEx>
        <w:trPr>
          <w:trHeight w:val="1086"/>
          <w:jc w:val="center"/>
        </w:trPr>
        <w:tc>
          <w:tcPr>
            <w:tcW w:w="9715" w:type="dxa"/>
            <w:gridSpan w:val="5"/>
            <w:vAlign w:val="center"/>
          </w:tcPr>
          <w:p w:rsidR="008E6A5A" w:rsidRPr="00416ACD" w:rsidP="008E6A5A" w14:paraId="6DDEE0A6" w14:textId="2AF995D9">
            <w:pPr>
              <w:contextualSpacing/>
              <w:rPr>
                <w:rFonts w:ascii="Times New Roman" w:hAnsi="Times New Roman"/>
                <w:sz w:val="20"/>
                <w:szCs w:val="20"/>
                <w:lang w:val="en-GB"/>
              </w:rPr>
            </w:pPr>
            <w:r w:rsidRPr="00416ACD">
              <w:rPr>
                <w:rStyle w:val="FootnoteReference"/>
                <w:rFonts w:ascii="Times New Roman" w:hAnsi="Times New Roman"/>
                <w:sz w:val="20"/>
                <w:szCs w:val="20"/>
              </w:rPr>
              <w:t>1</w:t>
            </w:r>
            <w:r w:rsidRPr="00416ACD">
              <w:rPr>
                <w:rFonts w:ascii="Times New Roman" w:hAnsi="Times New Roman"/>
                <w:sz w:val="20"/>
                <w:szCs w:val="20"/>
              </w:rPr>
              <w:t xml:space="preserve"> </w:t>
            </w:r>
            <w:r w:rsidRPr="00416ACD">
              <w:rPr>
                <w:rFonts w:ascii="Times New Roman" w:hAnsi="Times New Roman"/>
                <w:sz w:val="20"/>
                <w:szCs w:val="20"/>
                <w:lang w:val="en-GB"/>
              </w:rPr>
              <w:t>For all types of entit</w:t>
            </w:r>
            <w:r w:rsidR="00AB5BAA">
              <w:rPr>
                <w:rFonts w:ascii="Times New Roman" w:hAnsi="Times New Roman"/>
                <w:sz w:val="20"/>
                <w:szCs w:val="20"/>
                <w:lang w:val="en-GB"/>
              </w:rPr>
              <w:t>ies</w:t>
            </w:r>
            <w:r w:rsidRPr="00416ACD">
              <w:rPr>
                <w:rFonts w:ascii="Times New Roman" w:hAnsi="Times New Roman"/>
                <w:sz w:val="20"/>
                <w:szCs w:val="20"/>
                <w:lang w:val="en-GB"/>
              </w:rPr>
              <w:t xml:space="preserve">, the hours per entity for Action G is the per entity share of the aggregate burden estimated in the RIA.  </w:t>
            </w:r>
          </w:p>
          <w:p w:rsidR="008E6A5A" w:rsidRPr="00416ACD" w:rsidP="008E6A5A" w14:paraId="1A5D325A" w14:textId="77777777">
            <w:pPr>
              <w:contextualSpacing/>
              <w:rPr>
                <w:rFonts w:ascii="Times New Roman" w:hAnsi="Times New Roman"/>
                <w:b/>
                <w:sz w:val="20"/>
                <w:szCs w:val="20"/>
              </w:rPr>
            </w:pPr>
            <w:r w:rsidRPr="00416ACD">
              <w:rPr>
                <w:rStyle w:val="FootnoteReference"/>
                <w:rFonts w:ascii="Times New Roman" w:hAnsi="Times New Roman"/>
                <w:sz w:val="20"/>
                <w:szCs w:val="20"/>
              </w:rPr>
              <w:t>2</w:t>
            </w:r>
            <w:r w:rsidRPr="00416ACD">
              <w:rPr>
                <w:rFonts w:ascii="Times New Roman" w:hAnsi="Times New Roman"/>
                <w:sz w:val="20"/>
                <w:szCs w:val="20"/>
              </w:rPr>
              <w:t xml:space="preserve"> </w:t>
            </w:r>
            <w:r w:rsidRPr="00416ACD">
              <w:rPr>
                <w:rFonts w:ascii="Times New Roman" w:hAnsi="Times New Roman"/>
                <w:sz w:val="20"/>
                <w:szCs w:val="20"/>
                <w:lang w:val="en-GB"/>
              </w:rPr>
              <w:t xml:space="preserve">For </w:t>
            </w:r>
            <w:r w:rsidRPr="00416ACD">
              <w:rPr>
                <w:rFonts w:ascii="Times New Roman" w:hAnsi="Times New Roman"/>
                <w:sz w:val="20"/>
                <w:szCs w:val="20"/>
              </w:rPr>
              <w:t>financial institutions</w:t>
            </w:r>
            <w:r w:rsidRPr="00416ACD">
              <w:rPr>
                <w:rFonts w:ascii="Times New Roman" w:hAnsi="Times New Roman"/>
                <w:sz w:val="20"/>
                <w:szCs w:val="20"/>
                <w:lang w:val="en-GB"/>
              </w:rPr>
              <w:t xml:space="preserve">, the hours per entity for Action H equals the weighted average of the large and small </w:t>
            </w:r>
            <w:r w:rsidRPr="00416ACD">
              <w:rPr>
                <w:rFonts w:ascii="Times New Roman" w:hAnsi="Times New Roman"/>
                <w:sz w:val="20"/>
                <w:szCs w:val="20"/>
              </w:rPr>
              <w:t>financial institutions’</w:t>
            </w:r>
            <w:r w:rsidRPr="00416ACD">
              <w:rPr>
                <w:rFonts w:ascii="Times New Roman" w:hAnsi="Times New Roman"/>
                <w:sz w:val="20"/>
                <w:szCs w:val="20"/>
                <w:lang w:val="en-GB"/>
              </w:rPr>
              <w:t xml:space="preserve"> maximum b</w:t>
            </w:r>
            <w:r w:rsidRPr="00416ACD">
              <w:rPr>
                <w:rFonts w:ascii="Times New Roman" w:hAnsi="Times New Roman"/>
                <w:sz w:val="20"/>
                <w:szCs w:val="20"/>
                <w:lang w:val="en-GB"/>
              </w:rPr>
              <w:t>urden estimated in the RIA.</w:t>
            </w:r>
          </w:p>
          <w:p w:rsidR="008E6A5A" w:rsidRPr="00416ACD" w:rsidP="008E6A5A" w14:paraId="04615C6C" w14:textId="77777777">
            <w:pPr>
              <w:contextualSpacing/>
              <w:rPr>
                <w:rFonts w:ascii="Times New Roman" w:hAnsi="Times New Roman"/>
                <w:b/>
                <w:bCs/>
                <w:sz w:val="20"/>
                <w:szCs w:val="20"/>
              </w:rPr>
            </w:pPr>
            <w:r w:rsidRPr="00416ACD">
              <w:rPr>
                <w:rStyle w:val="FootnoteReference"/>
                <w:rFonts w:ascii="Times New Roman" w:hAnsi="Times New Roman"/>
                <w:sz w:val="20"/>
                <w:szCs w:val="20"/>
              </w:rPr>
              <w:t>3</w:t>
            </w:r>
            <w:r w:rsidRPr="00416ACD">
              <w:rPr>
                <w:rFonts w:ascii="Times New Roman" w:hAnsi="Times New Roman"/>
                <w:sz w:val="20"/>
                <w:szCs w:val="20"/>
              </w:rPr>
              <w:t xml:space="preserve"> </w:t>
            </w:r>
            <w:r w:rsidRPr="00416ACD">
              <w:rPr>
                <w:rFonts w:ascii="Times New Roman" w:hAnsi="Times New Roman"/>
                <w:sz w:val="20"/>
                <w:szCs w:val="20"/>
                <w:lang w:val="en-GB"/>
              </w:rPr>
              <w:t>For State, local, and Tribal agencies and SROs, the hours per entity for Action H equals the per entity share of the aggregate burden.</w:t>
            </w:r>
          </w:p>
        </w:tc>
      </w:tr>
    </w:tbl>
    <w:p w:rsidR="00140167" w:rsidP="00AD22D9" w14:paraId="4F5C1C73" w14:textId="77777777">
      <w:pPr>
        <w:contextualSpacing/>
      </w:pPr>
    </w:p>
    <w:p w:rsidR="004B2B8F" w:rsidP="006F61FF" w14:paraId="576C0164" w14:textId="3201C93C">
      <w:pPr>
        <w:widowControl w:val="0"/>
        <w:autoSpaceDE w:val="0"/>
        <w:autoSpaceDN w:val="0"/>
        <w:adjustRightInd w:val="0"/>
        <w:spacing w:before="284" w:line="240" w:lineRule="exact"/>
        <w:jc w:val="both"/>
      </w:pPr>
      <w:r>
        <w:t xml:space="preserve">13. </w:t>
      </w:r>
      <w:r>
        <w:rPr>
          <w:u w:val="single"/>
        </w:rPr>
        <w:t xml:space="preserve">Estimated </w:t>
      </w:r>
      <w:r w:rsidR="00902855">
        <w:rPr>
          <w:u w:val="single"/>
        </w:rPr>
        <w:t>annual cost to respondents for h</w:t>
      </w:r>
      <w:r>
        <w:rPr>
          <w:u w:val="single"/>
        </w:rPr>
        <w:t xml:space="preserve">our </w:t>
      </w:r>
      <w:r w:rsidR="00902855">
        <w:rPr>
          <w:u w:val="single"/>
        </w:rPr>
        <w:t>b</w:t>
      </w:r>
      <w:r>
        <w:rPr>
          <w:u w:val="single"/>
        </w:rPr>
        <w:t>urdens.</w:t>
      </w:r>
      <w:r>
        <w:t xml:space="preserve"> </w:t>
      </w:r>
    </w:p>
    <w:p w:rsidR="009A35D6" w:rsidP="006F61FF" w14:paraId="6C3BCC1D" w14:textId="576E73DD">
      <w:pPr>
        <w:spacing w:before="284"/>
        <w:ind w:firstLine="720"/>
        <w:rPr>
          <w:rFonts w:eastAsia="Calibri"/>
        </w:rPr>
      </w:pPr>
      <w:r w:rsidRPr="005B38E7">
        <w:t xml:space="preserve">FinCEN calculated the </w:t>
      </w:r>
      <w:r w:rsidRPr="005B38E7">
        <w:t>fully loaded hourly wage for each type of affected entity type.</w:t>
      </w:r>
      <w:r>
        <w:rPr>
          <w:rStyle w:val="FootnoteReference"/>
        </w:rPr>
        <w:footnoteReference w:id="21"/>
      </w:r>
      <w:r w:rsidRPr="005B38E7">
        <w:t xml:space="preserve">  </w:t>
      </w:r>
      <w:r w:rsidRPr="00B024B7">
        <w:rPr>
          <w:rFonts w:eastAsia="Calibri"/>
        </w:rPr>
        <w:t xml:space="preserve">Using these estimated wages, the total cost of the annual burden in year 1 </w:t>
      </w:r>
      <w:r>
        <w:rPr>
          <w:rFonts w:eastAsia="Calibri"/>
        </w:rPr>
        <w:t>is</w:t>
      </w:r>
      <w:r w:rsidRPr="00B024B7">
        <w:rPr>
          <w:rFonts w:eastAsia="Calibri"/>
        </w:rPr>
        <w:t xml:space="preserve"> $</w:t>
      </w:r>
      <w:r>
        <w:rPr>
          <w:rFonts w:eastAsia="Calibri"/>
        </w:rPr>
        <w:t>868,200,270.</w:t>
      </w:r>
      <w:r w:rsidRPr="00B024B7">
        <w:rPr>
          <w:rFonts w:eastAsia="Calibri"/>
        </w:rPr>
        <w:t xml:space="preserve">  In year 2 and onward, FinCEN estimates that the total cost of the annual burden is $</w:t>
      </w:r>
      <w:bookmarkStart w:id="0" w:name="_Hlk138280113"/>
      <w:r>
        <w:rPr>
          <w:rFonts w:eastAsia="Calibri"/>
        </w:rPr>
        <w:t>339,309,502</w:t>
      </w:r>
      <w:bookmarkEnd w:id="0"/>
      <w:r w:rsidRPr="00B024B7">
        <w:rPr>
          <w:rFonts w:eastAsia="Calibri"/>
        </w:rPr>
        <w:t xml:space="preserve">, </w:t>
      </w:r>
      <w:r w:rsidRPr="00B024B7">
        <w:rPr>
          <w:rFonts w:eastAsia="Calibri"/>
          <w:lang w:val="en-GB"/>
        </w:rPr>
        <w:t>owing to Actions A</w:t>
      </w:r>
      <w:r>
        <w:rPr>
          <w:rFonts w:eastAsia="Calibri"/>
          <w:lang w:val="en-GB"/>
        </w:rPr>
        <w:t xml:space="preserve"> and </w:t>
      </w:r>
      <w:r w:rsidRPr="00B024B7">
        <w:rPr>
          <w:rFonts w:eastAsia="Calibri"/>
          <w:lang w:val="en-GB"/>
        </w:rPr>
        <w:t>B only imposing burdens in year 1</w:t>
      </w:r>
      <w:r>
        <w:rPr>
          <w:rFonts w:eastAsia="Calibri"/>
          <w:lang w:val="en-GB"/>
        </w:rPr>
        <w:t xml:space="preserve">, </w:t>
      </w:r>
      <w:r w:rsidRPr="00B024B7">
        <w:rPr>
          <w:rFonts w:eastAsia="Calibri"/>
          <w:lang w:val="en-GB"/>
        </w:rPr>
        <w:t>Actions D and E having lower annual per entity burdens</w:t>
      </w:r>
      <w:r>
        <w:rPr>
          <w:rFonts w:eastAsia="Calibri"/>
          <w:lang w:val="en-GB"/>
        </w:rPr>
        <w:t>, and Action G having lower burden per reques</w:t>
      </w:r>
      <w:r>
        <w:rPr>
          <w:rFonts w:eastAsia="Calibri"/>
          <w:lang w:val="en-GB"/>
        </w:rPr>
        <w:t>t for State, local, and Tribal law enforcement agencies</w:t>
      </w:r>
      <w:r w:rsidRPr="00B024B7">
        <w:rPr>
          <w:rFonts w:eastAsia="Calibri"/>
        </w:rPr>
        <w:t xml:space="preserve">.  </w:t>
      </w:r>
      <w:r w:rsidRPr="00B024B7">
        <w:rPr>
          <w:rFonts w:eastAsia="Calibri"/>
          <w:lang w:val="en-GB"/>
        </w:rPr>
        <w:t xml:space="preserve">The annual estimated cost for </w:t>
      </w:r>
      <w:r w:rsidRPr="00B024B7">
        <w:rPr>
          <w:rFonts w:eastAsia="Calibri"/>
        </w:rPr>
        <w:t>State, local, and Tribal agencies</w:t>
      </w:r>
      <w:r w:rsidRPr="00B024B7">
        <w:rPr>
          <w:rFonts w:eastAsia="Calibri"/>
          <w:lang w:val="en-GB"/>
        </w:rPr>
        <w:t xml:space="preserve"> and SROs is $</w:t>
      </w:r>
      <w:r>
        <w:rPr>
          <w:rFonts w:eastAsia="Calibri"/>
          <w:lang w:val="en-GB"/>
        </w:rPr>
        <w:t>181,851,118</w:t>
      </w:r>
      <w:r w:rsidRPr="00B024B7">
        <w:rPr>
          <w:rFonts w:eastAsia="Calibri"/>
          <w:lang w:val="en-GB"/>
        </w:rPr>
        <w:t xml:space="preserve"> in the first year and $</w:t>
      </w:r>
      <w:r>
        <w:rPr>
          <w:rFonts w:eastAsia="Calibri"/>
          <w:lang w:val="en-GB"/>
        </w:rPr>
        <w:t>136,070,190</w:t>
      </w:r>
      <w:r w:rsidRPr="00B024B7">
        <w:rPr>
          <w:rFonts w:eastAsia="Calibri"/>
          <w:lang w:val="en-GB"/>
        </w:rPr>
        <w:t xml:space="preserve"> in year 2 and onward.  The annual estimated cost for </w:t>
      </w:r>
      <w:r>
        <w:t>financial institution</w:t>
      </w:r>
      <w:r>
        <w:t>s</w:t>
      </w:r>
      <w:r>
        <w:rPr>
          <w:rFonts w:eastAsia="Calibri"/>
          <w:lang w:val="en-GB"/>
        </w:rPr>
        <w:t xml:space="preserve"> </w:t>
      </w:r>
      <w:r w:rsidRPr="00B024B7">
        <w:rPr>
          <w:rFonts w:eastAsia="Calibri"/>
          <w:lang w:val="en-GB"/>
        </w:rPr>
        <w:t>is $</w:t>
      </w:r>
      <w:r>
        <w:rPr>
          <w:rFonts w:eastAsia="Calibri"/>
          <w:lang w:val="en-GB"/>
        </w:rPr>
        <w:t>686,349,152</w:t>
      </w:r>
      <w:r w:rsidRPr="00B024B7">
        <w:rPr>
          <w:rFonts w:eastAsia="Calibri"/>
          <w:lang w:val="en-GB"/>
        </w:rPr>
        <w:t xml:space="preserve"> in the first year and $</w:t>
      </w:r>
      <w:r>
        <w:rPr>
          <w:rFonts w:eastAsia="Calibri"/>
          <w:lang w:val="en-GB"/>
        </w:rPr>
        <w:t>203,239,312</w:t>
      </w:r>
      <w:r w:rsidRPr="00B024B7">
        <w:rPr>
          <w:rFonts w:eastAsia="Calibri"/>
          <w:lang w:val="en-GB"/>
        </w:rPr>
        <w:t xml:space="preserve"> in year 2 and onward.  </w:t>
      </w:r>
      <w:r w:rsidRPr="00B024B7">
        <w:rPr>
          <w:rFonts w:eastAsia="Calibri"/>
        </w:rPr>
        <w:t>The 5-year average annual cost estimate is $</w:t>
      </w:r>
      <w:r>
        <w:rPr>
          <w:rFonts w:eastAsia="Calibri"/>
        </w:rPr>
        <w:t>445,087,656</w:t>
      </w:r>
      <w:r w:rsidRPr="00B024B7">
        <w:rPr>
          <w:rFonts w:eastAsia="Calibri"/>
        </w:rPr>
        <w:t>.</w:t>
      </w:r>
      <w:r>
        <w:rPr>
          <w:rFonts w:eastAsia="Calibri"/>
          <w:vertAlign w:val="superscript"/>
        </w:rPr>
        <w:footnoteReference w:id="22"/>
      </w:r>
    </w:p>
    <w:p w:rsidR="009A35D6" w:rsidRPr="00F37EB2" w:rsidP="006F61FF" w14:paraId="5623FEDB" w14:textId="7C417DF2">
      <w:pPr>
        <w:spacing w:before="284" w:after="240"/>
        <w:jc w:val="center"/>
        <w:rPr>
          <w:rFonts w:eastAsia="Calibri"/>
          <w:b/>
          <w:bCs/>
        </w:rPr>
      </w:pPr>
      <w:r>
        <w:rPr>
          <w:rFonts w:eastAsia="Calibri"/>
          <w:b/>
          <w:bCs/>
        </w:rPr>
        <w:t>Table</w:t>
      </w:r>
      <w:r w:rsidR="003F3EAC">
        <w:rPr>
          <w:rFonts w:eastAsia="Calibri"/>
          <w:b/>
          <w:bCs/>
        </w:rPr>
        <w:t xml:space="preserve"> 2</w:t>
      </w:r>
      <w:r>
        <w:rPr>
          <w:rFonts w:eastAsia="Calibri"/>
          <w:b/>
          <w:bCs/>
        </w:rPr>
        <w:t xml:space="preserve"> </w:t>
      </w:r>
      <w:r w:rsidR="003312E6">
        <w:rPr>
          <w:rFonts w:eastAsia="Calibri"/>
          <w:b/>
          <w:bCs/>
        </w:rPr>
        <w:t xml:space="preserve">— </w:t>
      </w:r>
      <w:r w:rsidRPr="00F96F57">
        <w:rPr>
          <w:rFonts w:eastAsia="Calibri"/>
          <w:b/>
          <w:bCs/>
        </w:rPr>
        <w:t>Annual Cost Associated with Rule Requirements</w:t>
      </w:r>
    </w:p>
    <w:tbl>
      <w:tblPr>
        <w:tblStyle w:val="TableGrid1"/>
        <w:tblW w:w="9265" w:type="dxa"/>
        <w:jc w:val="center"/>
        <w:tblLayout w:type="fixed"/>
        <w:tblLook w:val="04A0"/>
      </w:tblPr>
      <w:tblGrid>
        <w:gridCol w:w="2880"/>
        <w:gridCol w:w="1615"/>
        <w:gridCol w:w="1175"/>
        <w:gridCol w:w="1885"/>
        <w:gridCol w:w="1710"/>
      </w:tblGrid>
      <w:tr w14:paraId="2C4EF88F" w14:textId="77777777" w:rsidTr="00C9646F">
        <w:tblPrEx>
          <w:tblW w:w="9265" w:type="dxa"/>
          <w:jc w:val="center"/>
          <w:tblLayout w:type="fixed"/>
          <w:tblLook w:val="04A0"/>
        </w:tblPrEx>
        <w:trPr>
          <w:trHeight w:val="782"/>
          <w:tblHeader/>
          <w:jc w:val="center"/>
        </w:trPr>
        <w:tc>
          <w:tcPr>
            <w:tcW w:w="2880" w:type="dxa"/>
            <w:shd w:val="clear" w:color="auto" w:fill="E7E6E6"/>
          </w:tcPr>
          <w:p w:rsidR="00C9646F" w:rsidRPr="003E52C0" w:rsidP="00C9646F" w14:paraId="685E3EAD" w14:textId="77777777">
            <w:pPr>
              <w:spacing w:after="0"/>
              <w:contextualSpacing/>
              <w:jc w:val="center"/>
              <w:rPr>
                <w:rFonts w:eastAsia="Calibri"/>
                <w:b/>
                <w:bCs/>
                <w:sz w:val="20"/>
                <w:szCs w:val="20"/>
              </w:rPr>
            </w:pPr>
            <w:r w:rsidRPr="003E52C0">
              <w:rPr>
                <w:rFonts w:eastAsia="Calibri"/>
                <w:b/>
                <w:bCs/>
                <w:sz w:val="20"/>
                <w:szCs w:val="20"/>
              </w:rPr>
              <w:t>Action</w:t>
            </w:r>
          </w:p>
        </w:tc>
        <w:tc>
          <w:tcPr>
            <w:tcW w:w="1615" w:type="dxa"/>
            <w:shd w:val="clear" w:color="auto" w:fill="E7E6E6"/>
          </w:tcPr>
          <w:p w:rsidR="00C9646F" w:rsidRPr="003E52C0" w:rsidP="00C9646F" w14:paraId="02976711" w14:textId="77777777">
            <w:pPr>
              <w:spacing w:after="0"/>
              <w:contextualSpacing/>
              <w:jc w:val="center"/>
              <w:rPr>
                <w:rFonts w:eastAsia="Calibri"/>
                <w:b/>
                <w:bCs/>
                <w:sz w:val="20"/>
                <w:szCs w:val="20"/>
              </w:rPr>
            </w:pPr>
            <w:r w:rsidRPr="003E52C0">
              <w:rPr>
                <w:rFonts w:eastAsia="Calibri"/>
                <w:b/>
                <w:bCs/>
                <w:sz w:val="20"/>
                <w:szCs w:val="20"/>
              </w:rPr>
              <w:t>Type of Entity</w:t>
            </w:r>
          </w:p>
        </w:tc>
        <w:tc>
          <w:tcPr>
            <w:tcW w:w="1175" w:type="dxa"/>
            <w:shd w:val="clear" w:color="auto" w:fill="E7E6E6"/>
          </w:tcPr>
          <w:p w:rsidR="00C9646F" w:rsidRPr="003E52C0" w:rsidP="00C9646F" w14:paraId="0559A017" w14:textId="77777777">
            <w:pPr>
              <w:spacing w:after="0"/>
              <w:contextualSpacing/>
              <w:jc w:val="center"/>
              <w:rPr>
                <w:rFonts w:eastAsia="Calibri"/>
                <w:b/>
                <w:bCs/>
                <w:sz w:val="20"/>
                <w:szCs w:val="20"/>
              </w:rPr>
            </w:pPr>
            <w:r w:rsidRPr="003E52C0">
              <w:rPr>
                <w:rFonts w:eastAsia="Calibri"/>
                <w:b/>
                <w:bCs/>
                <w:sz w:val="20"/>
                <w:szCs w:val="20"/>
              </w:rPr>
              <w:t>Hourly Wage</w:t>
            </w:r>
          </w:p>
        </w:tc>
        <w:tc>
          <w:tcPr>
            <w:tcW w:w="1885" w:type="dxa"/>
            <w:shd w:val="clear" w:color="auto" w:fill="E7E6E6"/>
          </w:tcPr>
          <w:p w:rsidR="00C9646F" w:rsidRPr="003E52C0" w:rsidP="00C9646F" w14:paraId="5A5F4C93" w14:textId="77777777">
            <w:pPr>
              <w:spacing w:after="0"/>
              <w:contextualSpacing/>
              <w:jc w:val="center"/>
              <w:rPr>
                <w:rFonts w:eastAsia="Calibri"/>
                <w:b/>
                <w:bCs/>
                <w:sz w:val="20"/>
                <w:szCs w:val="20"/>
              </w:rPr>
            </w:pPr>
            <w:r w:rsidRPr="003E52C0">
              <w:rPr>
                <w:rFonts w:eastAsia="Calibri"/>
                <w:b/>
                <w:bCs/>
                <w:sz w:val="20"/>
                <w:szCs w:val="20"/>
              </w:rPr>
              <w:t>Total Annual Hourly Burden</w:t>
            </w:r>
          </w:p>
        </w:tc>
        <w:tc>
          <w:tcPr>
            <w:tcW w:w="1710" w:type="dxa"/>
            <w:shd w:val="clear" w:color="auto" w:fill="E7E6E6"/>
          </w:tcPr>
          <w:p w:rsidR="00C9646F" w:rsidRPr="003E52C0" w:rsidP="00C9646F" w14:paraId="15099968" w14:textId="77777777">
            <w:pPr>
              <w:spacing w:after="0"/>
              <w:contextualSpacing/>
              <w:jc w:val="center"/>
              <w:rPr>
                <w:rFonts w:eastAsia="Calibri"/>
                <w:b/>
                <w:bCs/>
                <w:sz w:val="20"/>
                <w:szCs w:val="20"/>
              </w:rPr>
            </w:pPr>
            <w:r w:rsidRPr="003E52C0">
              <w:rPr>
                <w:rFonts w:eastAsia="Calibri"/>
                <w:b/>
                <w:bCs/>
                <w:sz w:val="20"/>
                <w:szCs w:val="20"/>
              </w:rPr>
              <w:t>Tota</w:t>
            </w:r>
            <w:r w:rsidRPr="003E52C0">
              <w:rPr>
                <w:rFonts w:eastAsia="Calibri"/>
                <w:b/>
                <w:bCs/>
                <w:sz w:val="20"/>
                <w:szCs w:val="20"/>
              </w:rPr>
              <w:t>l Annual Cost</w:t>
            </w:r>
          </w:p>
        </w:tc>
      </w:tr>
      <w:tr w14:paraId="707CDED4" w14:textId="77777777" w:rsidTr="003E52C0">
        <w:tblPrEx>
          <w:tblW w:w="9265" w:type="dxa"/>
          <w:jc w:val="center"/>
          <w:tblLayout w:type="fixed"/>
          <w:tblLook w:val="04A0"/>
        </w:tblPrEx>
        <w:trPr>
          <w:trHeight w:val="809"/>
          <w:jc w:val="center"/>
        </w:trPr>
        <w:tc>
          <w:tcPr>
            <w:tcW w:w="2880" w:type="dxa"/>
          </w:tcPr>
          <w:p w:rsidR="00C9646F" w:rsidRPr="003E52C0" w:rsidP="00C9646F" w14:paraId="6CA24E41" w14:textId="77777777">
            <w:pPr>
              <w:numPr>
                <w:ilvl w:val="0"/>
                <w:numId w:val="15"/>
              </w:numPr>
              <w:spacing w:after="0"/>
              <w:contextualSpacing/>
              <w:rPr>
                <w:rFonts w:eastAsia="Calibri"/>
                <w:sz w:val="20"/>
                <w:szCs w:val="20"/>
              </w:rPr>
            </w:pPr>
            <w:r w:rsidRPr="003E52C0">
              <w:rPr>
                <w:rFonts w:eastAsia="Calibri"/>
                <w:sz w:val="20"/>
                <w:szCs w:val="20"/>
              </w:rPr>
              <w:t>Develop and implement administrative and physical safeguards</w:t>
            </w:r>
          </w:p>
        </w:tc>
        <w:tc>
          <w:tcPr>
            <w:tcW w:w="1615" w:type="dxa"/>
          </w:tcPr>
          <w:p w:rsidR="00C9646F" w:rsidRPr="003E52C0" w:rsidP="00C9646F" w14:paraId="29A0F852" w14:textId="77777777">
            <w:pPr>
              <w:spacing w:after="0"/>
              <w:contextualSpacing/>
              <w:jc w:val="center"/>
              <w:rPr>
                <w:rFonts w:eastAsia="Calibri"/>
                <w:sz w:val="20"/>
                <w:szCs w:val="20"/>
              </w:rPr>
            </w:pPr>
            <w:r w:rsidRPr="003E52C0">
              <w:rPr>
                <w:sz w:val="20"/>
                <w:szCs w:val="20"/>
              </w:rPr>
              <w:t>Financial institutions</w:t>
            </w:r>
          </w:p>
        </w:tc>
        <w:tc>
          <w:tcPr>
            <w:tcW w:w="1175" w:type="dxa"/>
          </w:tcPr>
          <w:p w:rsidR="00C9646F" w:rsidRPr="003E52C0" w:rsidP="00C9646F" w14:paraId="1F631A10" w14:textId="77777777">
            <w:pPr>
              <w:spacing w:after="0"/>
              <w:contextualSpacing/>
              <w:jc w:val="center"/>
              <w:rPr>
                <w:rFonts w:eastAsia="Calibri"/>
                <w:sz w:val="20"/>
                <w:szCs w:val="20"/>
              </w:rPr>
            </w:pPr>
            <w:r w:rsidRPr="003E52C0">
              <w:rPr>
                <w:rFonts w:eastAsia="Calibri"/>
                <w:sz w:val="20"/>
                <w:szCs w:val="20"/>
              </w:rPr>
              <w:t>$106</w:t>
            </w:r>
          </w:p>
        </w:tc>
        <w:tc>
          <w:tcPr>
            <w:tcW w:w="1885" w:type="dxa"/>
          </w:tcPr>
          <w:p w:rsidR="00C9646F" w:rsidRPr="003E52C0" w:rsidP="00C9646F" w14:paraId="37EB9B19" w14:textId="77777777">
            <w:pPr>
              <w:spacing w:after="0"/>
              <w:contextualSpacing/>
              <w:jc w:val="center"/>
              <w:rPr>
                <w:rFonts w:eastAsia="Calibri"/>
                <w:sz w:val="20"/>
                <w:szCs w:val="20"/>
              </w:rPr>
            </w:pPr>
            <w:r w:rsidRPr="003E52C0">
              <w:rPr>
                <w:rFonts w:eastAsia="Calibri"/>
                <w:sz w:val="20"/>
                <w:szCs w:val="20"/>
              </w:rPr>
              <w:t>3,771,840 in Year 1; 0 in Years 2+</w:t>
            </w:r>
          </w:p>
          <w:p w:rsidR="00C9646F" w:rsidRPr="003E52C0" w:rsidP="00C9646F" w14:paraId="64A9EC44" w14:textId="77777777">
            <w:pPr>
              <w:spacing w:after="0"/>
              <w:contextualSpacing/>
              <w:jc w:val="center"/>
              <w:rPr>
                <w:rFonts w:eastAsia="Calibri"/>
                <w:sz w:val="20"/>
                <w:szCs w:val="20"/>
              </w:rPr>
            </w:pPr>
          </w:p>
        </w:tc>
        <w:tc>
          <w:tcPr>
            <w:tcW w:w="1710" w:type="dxa"/>
          </w:tcPr>
          <w:p w:rsidR="00C9646F" w:rsidRPr="003E52C0" w:rsidP="00C9646F" w14:paraId="65D9D2E7" w14:textId="77777777">
            <w:pPr>
              <w:spacing w:after="0"/>
              <w:contextualSpacing/>
              <w:jc w:val="center"/>
              <w:rPr>
                <w:rFonts w:eastAsia="Calibri"/>
                <w:sz w:val="20"/>
                <w:szCs w:val="20"/>
              </w:rPr>
            </w:pPr>
            <w:r w:rsidRPr="003E52C0">
              <w:rPr>
                <w:rFonts w:eastAsia="Calibri"/>
                <w:sz w:val="20"/>
                <w:szCs w:val="20"/>
              </w:rPr>
              <w:t>$399,815,040 in Year 1; $0 in Years 2+</w:t>
            </w:r>
          </w:p>
        </w:tc>
      </w:tr>
      <w:tr w14:paraId="2384D0C2" w14:textId="77777777" w:rsidTr="003E52C0">
        <w:tblPrEx>
          <w:tblW w:w="9265" w:type="dxa"/>
          <w:jc w:val="center"/>
          <w:tblLayout w:type="fixed"/>
          <w:tblLook w:val="04A0"/>
        </w:tblPrEx>
        <w:trPr>
          <w:trHeight w:val="845"/>
          <w:jc w:val="center"/>
        </w:trPr>
        <w:tc>
          <w:tcPr>
            <w:tcW w:w="2880" w:type="dxa"/>
          </w:tcPr>
          <w:p w:rsidR="00C9646F" w:rsidRPr="003E52C0" w:rsidP="00C9646F" w14:paraId="017D4EF9" w14:textId="77777777">
            <w:pPr>
              <w:numPr>
                <w:ilvl w:val="0"/>
                <w:numId w:val="15"/>
              </w:numPr>
              <w:spacing w:after="0"/>
              <w:contextualSpacing/>
              <w:rPr>
                <w:rFonts w:eastAsia="Calibri"/>
                <w:sz w:val="20"/>
                <w:szCs w:val="20"/>
              </w:rPr>
            </w:pPr>
            <w:r w:rsidRPr="003E52C0">
              <w:rPr>
                <w:rFonts w:eastAsia="Calibri"/>
                <w:sz w:val="20"/>
                <w:szCs w:val="20"/>
              </w:rPr>
              <w:t xml:space="preserve">Enter into an agreement with FinCEN and establish standards and </w:t>
            </w:r>
            <w:r w:rsidRPr="003E52C0">
              <w:rPr>
                <w:rFonts w:eastAsia="Calibri"/>
                <w:sz w:val="20"/>
                <w:szCs w:val="20"/>
              </w:rPr>
              <w:t>procedures</w:t>
            </w:r>
          </w:p>
        </w:tc>
        <w:tc>
          <w:tcPr>
            <w:tcW w:w="1615" w:type="dxa"/>
          </w:tcPr>
          <w:p w:rsidR="00C9646F" w:rsidRPr="003E52C0" w:rsidP="00C9646F" w14:paraId="3F4B65EC" w14:textId="77777777">
            <w:pPr>
              <w:spacing w:after="0"/>
              <w:contextualSpacing/>
              <w:jc w:val="center"/>
              <w:rPr>
                <w:rFonts w:eastAsia="Calibri"/>
                <w:sz w:val="20"/>
                <w:szCs w:val="20"/>
              </w:rPr>
            </w:pPr>
            <w:r w:rsidRPr="003E52C0">
              <w:rPr>
                <w:rFonts w:eastAsia="Calibri"/>
                <w:sz w:val="20"/>
                <w:szCs w:val="20"/>
              </w:rPr>
              <w:t>State, local, and Tribal agencies</w:t>
            </w:r>
          </w:p>
        </w:tc>
        <w:tc>
          <w:tcPr>
            <w:tcW w:w="1175" w:type="dxa"/>
          </w:tcPr>
          <w:p w:rsidR="00C9646F" w:rsidRPr="003E52C0" w:rsidP="00C9646F" w14:paraId="4A91E2CE" w14:textId="77777777">
            <w:pPr>
              <w:spacing w:after="0"/>
              <w:contextualSpacing/>
              <w:jc w:val="center"/>
              <w:rPr>
                <w:rFonts w:eastAsia="Calibri"/>
                <w:sz w:val="20"/>
                <w:szCs w:val="20"/>
              </w:rPr>
            </w:pPr>
            <w:r w:rsidRPr="003E52C0">
              <w:rPr>
                <w:rFonts w:eastAsia="Calibri"/>
                <w:sz w:val="20"/>
                <w:szCs w:val="20"/>
              </w:rPr>
              <w:t>$80</w:t>
            </w:r>
          </w:p>
        </w:tc>
        <w:tc>
          <w:tcPr>
            <w:tcW w:w="1885" w:type="dxa"/>
          </w:tcPr>
          <w:p w:rsidR="00C9646F" w:rsidRPr="003E52C0" w:rsidP="00C9646F" w14:paraId="59B6D67F" w14:textId="77777777">
            <w:pPr>
              <w:spacing w:after="0"/>
              <w:contextualSpacing/>
              <w:jc w:val="center"/>
              <w:rPr>
                <w:rFonts w:eastAsia="Calibri"/>
                <w:sz w:val="20"/>
                <w:szCs w:val="20"/>
              </w:rPr>
            </w:pPr>
            <w:r w:rsidRPr="003E52C0">
              <w:rPr>
                <w:rFonts w:eastAsia="Calibri"/>
                <w:sz w:val="20"/>
                <w:szCs w:val="20"/>
              </w:rPr>
              <w:t>65,400 in Year 1; 0 in Years 2+</w:t>
            </w:r>
          </w:p>
          <w:p w:rsidR="00C9646F" w:rsidRPr="003E52C0" w:rsidP="00C9646F" w14:paraId="564FA1EC" w14:textId="77777777">
            <w:pPr>
              <w:spacing w:after="0"/>
              <w:contextualSpacing/>
              <w:jc w:val="center"/>
              <w:rPr>
                <w:rFonts w:eastAsia="Calibri"/>
                <w:sz w:val="20"/>
                <w:szCs w:val="20"/>
              </w:rPr>
            </w:pPr>
          </w:p>
        </w:tc>
        <w:tc>
          <w:tcPr>
            <w:tcW w:w="1710" w:type="dxa"/>
          </w:tcPr>
          <w:p w:rsidR="00C9646F" w:rsidRPr="003E52C0" w:rsidP="00C9646F" w14:paraId="4803C821" w14:textId="77777777">
            <w:pPr>
              <w:spacing w:after="0"/>
              <w:contextualSpacing/>
              <w:jc w:val="center"/>
              <w:rPr>
                <w:rFonts w:eastAsia="Calibri"/>
                <w:sz w:val="20"/>
                <w:szCs w:val="20"/>
              </w:rPr>
            </w:pPr>
            <w:r w:rsidRPr="003E52C0">
              <w:rPr>
                <w:rFonts w:eastAsia="Calibri"/>
                <w:sz w:val="20"/>
                <w:szCs w:val="20"/>
              </w:rPr>
              <w:t>$5,232,000 in Year 1; $0 in Years 2+</w:t>
            </w:r>
          </w:p>
          <w:p w:rsidR="00C9646F" w:rsidRPr="003E52C0" w:rsidP="00C9646F" w14:paraId="54217B52" w14:textId="77777777">
            <w:pPr>
              <w:spacing w:after="0"/>
              <w:contextualSpacing/>
              <w:jc w:val="center"/>
              <w:rPr>
                <w:rFonts w:eastAsia="Calibri"/>
                <w:sz w:val="20"/>
                <w:szCs w:val="20"/>
              </w:rPr>
            </w:pPr>
          </w:p>
        </w:tc>
      </w:tr>
      <w:tr w14:paraId="438CA61B" w14:textId="77777777" w:rsidTr="003E52C0">
        <w:tblPrEx>
          <w:tblW w:w="9265" w:type="dxa"/>
          <w:jc w:val="center"/>
          <w:tblLayout w:type="fixed"/>
          <w:tblLook w:val="04A0"/>
        </w:tblPrEx>
        <w:trPr>
          <w:trHeight w:val="629"/>
          <w:jc w:val="center"/>
        </w:trPr>
        <w:tc>
          <w:tcPr>
            <w:tcW w:w="2880" w:type="dxa"/>
          </w:tcPr>
          <w:p w:rsidR="00C9646F" w:rsidRPr="003E52C0" w:rsidP="00C9646F" w14:paraId="39495F65" w14:textId="77777777">
            <w:pPr>
              <w:numPr>
                <w:ilvl w:val="0"/>
                <w:numId w:val="15"/>
              </w:numPr>
              <w:spacing w:after="0"/>
              <w:contextualSpacing/>
              <w:rPr>
                <w:rFonts w:eastAsia="Calibri"/>
                <w:sz w:val="20"/>
                <w:szCs w:val="20"/>
              </w:rPr>
            </w:pPr>
            <w:r w:rsidRPr="003E52C0">
              <w:rPr>
                <w:rFonts w:eastAsia="Calibri"/>
                <w:sz w:val="20"/>
                <w:szCs w:val="20"/>
              </w:rPr>
              <w:t>Develop and implement technical safeguards</w:t>
            </w:r>
          </w:p>
        </w:tc>
        <w:tc>
          <w:tcPr>
            <w:tcW w:w="1615" w:type="dxa"/>
          </w:tcPr>
          <w:p w:rsidR="00C9646F" w:rsidRPr="003E52C0" w:rsidP="00C9646F" w14:paraId="4EDD7304" w14:textId="77777777">
            <w:pPr>
              <w:spacing w:after="0"/>
              <w:contextualSpacing/>
              <w:jc w:val="center"/>
              <w:rPr>
                <w:rFonts w:eastAsia="Calibri"/>
                <w:sz w:val="20"/>
                <w:szCs w:val="20"/>
              </w:rPr>
            </w:pPr>
            <w:r w:rsidRPr="003E52C0">
              <w:rPr>
                <w:sz w:val="20"/>
                <w:szCs w:val="20"/>
              </w:rPr>
              <w:t>Financial institutions</w:t>
            </w:r>
          </w:p>
        </w:tc>
        <w:tc>
          <w:tcPr>
            <w:tcW w:w="1175" w:type="dxa"/>
          </w:tcPr>
          <w:p w:rsidR="00C9646F" w:rsidRPr="003E52C0" w:rsidP="00C9646F" w14:paraId="20924BAE" w14:textId="77777777">
            <w:pPr>
              <w:spacing w:after="0"/>
              <w:contextualSpacing/>
              <w:jc w:val="center"/>
              <w:rPr>
                <w:rFonts w:eastAsia="Calibri"/>
                <w:sz w:val="20"/>
                <w:szCs w:val="20"/>
              </w:rPr>
            </w:pPr>
            <w:r w:rsidRPr="003E52C0">
              <w:rPr>
                <w:rFonts w:eastAsia="Calibri"/>
                <w:sz w:val="20"/>
                <w:szCs w:val="20"/>
              </w:rPr>
              <w:t>$106</w:t>
            </w:r>
          </w:p>
        </w:tc>
        <w:tc>
          <w:tcPr>
            <w:tcW w:w="1885" w:type="dxa"/>
          </w:tcPr>
          <w:p w:rsidR="00C9646F" w:rsidRPr="003E52C0" w:rsidP="00C9646F" w14:paraId="276E02EB" w14:textId="77777777">
            <w:pPr>
              <w:spacing w:after="0"/>
              <w:contextualSpacing/>
              <w:jc w:val="center"/>
              <w:rPr>
                <w:rFonts w:eastAsia="Calibri"/>
                <w:sz w:val="20"/>
                <w:szCs w:val="20"/>
              </w:rPr>
            </w:pPr>
            <w:r w:rsidRPr="003E52C0">
              <w:rPr>
                <w:rFonts w:eastAsia="Calibri"/>
                <w:sz w:val="20"/>
                <w:szCs w:val="20"/>
              </w:rPr>
              <w:t>0 in Year 1; 0 in Years 2+</w:t>
            </w:r>
          </w:p>
        </w:tc>
        <w:tc>
          <w:tcPr>
            <w:tcW w:w="1710" w:type="dxa"/>
          </w:tcPr>
          <w:p w:rsidR="00C9646F" w:rsidRPr="003E52C0" w:rsidP="00C9646F" w14:paraId="4272A765" w14:textId="77777777">
            <w:pPr>
              <w:spacing w:after="0"/>
              <w:contextualSpacing/>
              <w:jc w:val="center"/>
              <w:rPr>
                <w:rFonts w:eastAsia="Calibri"/>
                <w:sz w:val="20"/>
                <w:szCs w:val="20"/>
              </w:rPr>
            </w:pPr>
            <w:r w:rsidRPr="003E52C0">
              <w:rPr>
                <w:rFonts w:eastAsia="Calibri"/>
                <w:sz w:val="20"/>
                <w:szCs w:val="20"/>
              </w:rPr>
              <w:t>$0 in Year 1; $0 in Years 2+</w:t>
            </w:r>
          </w:p>
        </w:tc>
      </w:tr>
      <w:tr w14:paraId="7E3DD2CB" w14:textId="77777777" w:rsidTr="00C9646F">
        <w:tblPrEx>
          <w:tblW w:w="9265" w:type="dxa"/>
          <w:jc w:val="center"/>
          <w:tblLayout w:type="fixed"/>
          <w:tblLook w:val="04A0"/>
        </w:tblPrEx>
        <w:trPr>
          <w:trHeight w:val="908"/>
          <w:jc w:val="center"/>
        </w:trPr>
        <w:tc>
          <w:tcPr>
            <w:tcW w:w="2880" w:type="dxa"/>
          </w:tcPr>
          <w:p w:rsidR="00C9646F" w:rsidRPr="003E52C0" w:rsidP="00C9646F" w14:paraId="05CD408A" w14:textId="77777777">
            <w:pPr>
              <w:numPr>
                <w:ilvl w:val="0"/>
                <w:numId w:val="15"/>
              </w:numPr>
              <w:spacing w:after="0"/>
              <w:contextualSpacing/>
              <w:rPr>
                <w:rFonts w:eastAsia="Calibri"/>
                <w:sz w:val="20"/>
                <w:szCs w:val="20"/>
              </w:rPr>
            </w:pPr>
            <w:r w:rsidRPr="003E52C0">
              <w:rPr>
                <w:rFonts w:eastAsia="Calibri"/>
                <w:sz w:val="20"/>
                <w:szCs w:val="20"/>
              </w:rPr>
              <w:t>Establish a secure system to store BOI</w:t>
            </w:r>
          </w:p>
        </w:tc>
        <w:tc>
          <w:tcPr>
            <w:tcW w:w="1615" w:type="dxa"/>
          </w:tcPr>
          <w:p w:rsidR="00C9646F" w:rsidRPr="003E52C0" w:rsidP="00C9646F" w14:paraId="2E31A2BC" w14:textId="77777777">
            <w:pPr>
              <w:spacing w:after="0"/>
              <w:contextualSpacing/>
              <w:jc w:val="center"/>
              <w:rPr>
                <w:rFonts w:eastAsia="Calibri"/>
                <w:sz w:val="20"/>
                <w:szCs w:val="20"/>
              </w:rPr>
            </w:pPr>
            <w:r w:rsidRPr="003E52C0">
              <w:rPr>
                <w:rFonts w:eastAsia="Calibri"/>
                <w:sz w:val="20"/>
                <w:szCs w:val="20"/>
              </w:rPr>
              <w:t>State, local, and Tribal agencies</w:t>
            </w:r>
          </w:p>
        </w:tc>
        <w:tc>
          <w:tcPr>
            <w:tcW w:w="1175" w:type="dxa"/>
          </w:tcPr>
          <w:p w:rsidR="00C9646F" w:rsidRPr="003E52C0" w:rsidP="00C9646F" w14:paraId="413CCD67" w14:textId="77777777">
            <w:pPr>
              <w:spacing w:after="0"/>
              <w:contextualSpacing/>
              <w:jc w:val="center"/>
              <w:rPr>
                <w:rFonts w:eastAsia="Calibri"/>
                <w:sz w:val="20"/>
                <w:szCs w:val="20"/>
              </w:rPr>
            </w:pPr>
            <w:r w:rsidRPr="003E52C0">
              <w:rPr>
                <w:rFonts w:eastAsia="Calibri"/>
                <w:sz w:val="20"/>
                <w:szCs w:val="20"/>
              </w:rPr>
              <w:t>$80</w:t>
            </w:r>
          </w:p>
        </w:tc>
        <w:tc>
          <w:tcPr>
            <w:tcW w:w="1885" w:type="dxa"/>
          </w:tcPr>
          <w:p w:rsidR="00C9646F" w:rsidRPr="003E52C0" w:rsidP="00C9646F" w14:paraId="54A0D0B8" w14:textId="77777777">
            <w:pPr>
              <w:spacing w:after="0"/>
              <w:contextualSpacing/>
              <w:jc w:val="center"/>
              <w:rPr>
                <w:rFonts w:eastAsia="Calibri"/>
                <w:sz w:val="20"/>
                <w:szCs w:val="20"/>
              </w:rPr>
            </w:pPr>
            <w:r w:rsidRPr="003E52C0">
              <w:rPr>
                <w:rFonts w:eastAsia="Calibri"/>
                <w:sz w:val="20"/>
                <w:szCs w:val="20"/>
              </w:rPr>
              <w:t>65,400 in Year 1; 872 in Years 2+</w:t>
            </w:r>
          </w:p>
          <w:p w:rsidR="00C9646F" w:rsidRPr="003E52C0" w:rsidP="00C9646F" w14:paraId="3873F6B0" w14:textId="77777777">
            <w:pPr>
              <w:spacing w:after="0"/>
              <w:contextualSpacing/>
              <w:jc w:val="center"/>
              <w:rPr>
                <w:rFonts w:eastAsia="Calibri"/>
                <w:sz w:val="20"/>
                <w:szCs w:val="20"/>
              </w:rPr>
            </w:pPr>
          </w:p>
        </w:tc>
        <w:tc>
          <w:tcPr>
            <w:tcW w:w="1710" w:type="dxa"/>
          </w:tcPr>
          <w:p w:rsidR="00C9646F" w:rsidRPr="003E52C0" w:rsidP="00C9646F" w14:paraId="53CBA197" w14:textId="77777777">
            <w:pPr>
              <w:spacing w:after="0"/>
              <w:contextualSpacing/>
              <w:jc w:val="center"/>
              <w:rPr>
                <w:rFonts w:eastAsia="Calibri"/>
                <w:sz w:val="20"/>
                <w:szCs w:val="20"/>
              </w:rPr>
            </w:pPr>
            <w:r w:rsidRPr="003E52C0">
              <w:rPr>
                <w:rFonts w:eastAsia="Calibri"/>
                <w:sz w:val="20"/>
                <w:szCs w:val="20"/>
              </w:rPr>
              <w:t>$5,232,000 in Year 1; $69,760 in Years 2+</w:t>
            </w:r>
          </w:p>
          <w:p w:rsidR="00C9646F" w:rsidRPr="003E52C0" w:rsidP="00C9646F" w14:paraId="46030E06" w14:textId="77777777">
            <w:pPr>
              <w:spacing w:after="0"/>
              <w:contextualSpacing/>
              <w:jc w:val="center"/>
              <w:rPr>
                <w:rFonts w:eastAsia="Calibri"/>
                <w:sz w:val="20"/>
                <w:szCs w:val="20"/>
              </w:rPr>
            </w:pPr>
          </w:p>
        </w:tc>
      </w:tr>
      <w:tr w14:paraId="65B9BC6A" w14:textId="77777777" w:rsidTr="00C9646F">
        <w:tblPrEx>
          <w:tblW w:w="9265" w:type="dxa"/>
          <w:jc w:val="center"/>
          <w:tblLayout w:type="fixed"/>
          <w:tblLook w:val="04A0"/>
        </w:tblPrEx>
        <w:trPr>
          <w:trHeight w:val="1160"/>
          <w:jc w:val="center"/>
        </w:trPr>
        <w:tc>
          <w:tcPr>
            <w:tcW w:w="2880" w:type="dxa"/>
          </w:tcPr>
          <w:p w:rsidR="00C9646F" w:rsidRPr="003E52C0" w:rsidP="00C9646F" w14:paraId="24CCB50D" w14:textId="77777777">
            <w:pPr>
              <w:numPr>
                <w:ilvl w:val="0"/>
                <w:numId w:val="15"/>
              </w:numPr>
              <w:spacing w:after="0"/>
              <w:contextualSpacing/>
              <w:rPr>
                <w:rFonts w:eastAsia="Calibri"/>
                <w:sz w:val="20"/>
                <w:szCs w:val="20"/>
              </w:rPr>
            </w:pPr>
            <w:r w:rsidRPr="003E52C0">
              <w:rPr>
                <w:rFonts w:eastAsia="Calibri"/>
                <w:sz w:val="20"/>
                <w:szCs w:val="20"/>
              </w:rPr>
              <w:t>Establish and maintain an auditable system of standardized records for requests</w:t>
            </w:r>
          </w:p>
        </w:tc>
        <w:tc>
          <w:tcPr>
            <w:tcW w:w="1615" w:type="dxa"/>
          </w:tcPr>
          <w:p w:rsidR="00C9646F" w:rsidRPr="003E52C0" w:rsidP="00C9646F" w14:paraId="5C4A7E93" w14:textId="77777777">
            <w:pPr>
              <w:spacing w:after="0"/>
              <w:contextualSpacing/>
              <w:jc w:val="center"/>
              <w:rPr>
                <w:rFonts w:eastAsia="Calibri"/>
                <w:sz w:val="20"/>
                <w:szCs w:val="20"/>
              </w:rPr>
            </w:pPr>
            <w:r w:rsidRPr="003E52C0">
              <w:rPr>
                <w:rFonts w:eastAsia="Calibri"/>
                <w:sz w:val="20"/>
                <w:szCs w:val="20"/>
              </w:rPr>
              <w:t xml:space="preserve">State, local, and </w:t>
            </w:r>
            <w:r w:rsidRPr="003E52C0">
              <w:rPr>
                <w:rFonts w:eastAsia="Calibri"/>
                <w:sz w:val="20"/>
                <w:szCs w:val="20"/>
              </w:rPr>
              <w:t>Tribal agencies</w:t>
            </w:r>
          </w:p>
        </w:tc>
        <w:tc>
          <w:tcPr>
            <w:tcW w:w="1175" w:type="dxa"/>
          </w:tcPr>
          <w:p w:rsidR="00C9646F" w:rsidRPr="003E52C0" w:rsidP="00C9646F" w14:paraId="30E6B8DA" w14:textId="77777777">
            <w:pPr>
              <w:spacing w:after="0"/>
              <w:contextualSpacing/>
              <w:jc w:val="center"/>
              <w:rPr>
                <w:rFonts w:eastAsia="Calibri"/>
                <w:sz w:val="20"/>
                <w:szCs w:val="20"/>
              </w:rPr>
            </w:pPr>
            <w:r w:rsidRPr="003E52C0">
              <w:rPr>
                <w:rFonts w:eastAsia="Calibri"/>
                <w:sz w:val="20"/>
                <w:szCs w:val="20"/>
              </w:rPr>
              <w:t>$80</w:t>
            </w:r>
          </w:p>
        </w:tc>
        <w:tc>
          <w:tcPr>
            <w:tcW w:w="1885" w:type="dxa"/>
          </w:tcPr>
          <w:p w:rsidR="00C9646F" w:rsidRPr="003E52C0" w:rsidP="00C9646F" w14:paraId="1E4E48CE" w14:textId="77777777">
            <w:pPr>
              <w:spacing w:after="0"/>
              <w:contextualSpacing/>
              <w:jc w:val="center"/>
              <w:rPr>
                <w:rFonts w:eastAsia="Calibri"/>
                <w:sz w:val="20"/>
                <w:szCs w:val="20"/>
              </w:rPr>
            </w:pPr>
            <w:r w:rsidRPr="003E52C0">
              <w:rPr>
                <w:rFonts w:eastAsia="Calibri"/>
                <w:sz w:val="20"/>
                <w:szCs w:val="20"/>
              </w:rPr>
              <w:t>43,600 in Year 1; 4,360 in Years 2+</w:t>
            </w:r>
          </w:p>
          <w:p w:rsidR="00C9646F" w:rsidRPr="003E52C0" w:rsidP="00C9646F" w14:paraId="3C4BD6DC" w14:textId="77777777">
            <w:pPr>
              <w:spacing w:after="0"/>
              <w:contextualSpacing/>
              <w:jc w:val="center"/>
              <w:rPr>
                <w:rFonts w:eastAsia="Calibri"/>
                <w:sz w:val="20"/>
                <w:szCs w:val="20"/>
              </w:rPr>
            </w:pPr>
          </w:p>
        </w:tc>
        <w:tc>
          <w:tcPr>
            <w:tcW w:w="1710" w:type="dxa"/>
          </w:tcPr>
          <w:p w:rsidR="00C9646F" w:rsidRPr="003E52C0" w:rsidP="00C9646F" w14:paraId="447E8F76" w14:textId="77777777">
            <w:pPr>
              <w:spacing w:after="0"/>
              <w:contextualSpacing/>
              <w:jc w:val="center"/>
              <w:rPr>
                <w:rFonts w:eastAsia="Calibri"/>
                <w:sz w:val="20"/>
                <w:szCs w:val="20"/>
              </w:rPr>
            </w:pPr>
            <w:r w:rsidRPr="003E52C0">
              <w:rPr>
                <w:rFonts w:eastAsia="Calibri"/>
                <w:sz w:val="20"/>
                <w:szCs w:val="20"/>
              </w:rPr>
              <w:t>$3,488,000 in Year 1; $348,800 in Years 2+</w:t>
            </w:r>
          </w:p>
          <w:p w:rsidR="00C9646F" w:rsidRPr="003E52C0" w:rsidP="00C9646F" w14:paraId="46527E07" w14:textId="77777777">
            <w:pPr>
              <w:spacing w:after="0"/>
              <w:contextualSpacing/>
              <w:jc w:val="center"/>
              <w:rPr>
                <w:rFonts w:eastAsia="Calibri"/>
                <w:sz w:val="20"/>
                <w:szCs w:val="20"/>
              </w:rPr>
            </w:pPr>
          </w:p>
        </w:tc>
      </w:tr>
      <w:tr w14:paraId="48418567" w14:textId="77777777" w:rsidTr="00C9646F">
        <w:tblPrEx>
          <w:tblW w:w="9265" w:type="dxa"/>
          <w:jc w:val="center"/>
          <w:tblLayout w:type="fixed"/>
          <w:tblLook w:val="04A0"/>
        </w:tblPrEx>
        <w:trPr>
          <w:trHeight w:val="638"/>
          <w:jc w:val="center"/>
        </w:trPr>
        <w:tc>
          <w:tcPr>
            <w:tcW w:w="2880" w:type="dxa"/>
          </w:tcPr>
          <w:p w:rsidR="00C9646F" w:rsidRPr="003E52C0" w:rsidP="00C9646F" w14:paraId="217E219A" w14:textId="77777777">
            <w:pPr>
              <w:numPr>
                <w:ilvl w:val="0"/>
                <w:numId w:val="15"/>
              </w:numPr>
              <w:spacing w:after="0"/>
              <w:contextualSpacing/>
              <w:rPr>
                <w:sz w:val="20"/>
                <w:szCs w:val="20"/>
              </w:rPr>
            </w:pPr>
            <w:r w:rsidRPr="003E52C0">
              <w:rPr>
                <w:rFonts w:eastAsia="Calibri"/>
                <w:sz w:val="20"/>
                <w:szCs w:val="20"/>
              </w:rPr>
              <w:t>Obtain and document customer consent</w:t>
            </w:r>
          </w:p>
        </w:tc>
        <w:tc>
          <w:tcPr>
            <w:tcW w:w="1615" w:type="dxa"/>
          </w:tcPr>
          <w:p w:rsidR="00C9646F" w:rsidRPr="003E52C0" w:rsidP="00C9646F" w14:paraId="7EDBC46B" w14:textId="77777777">
            <w:pPr>
              <w:spacing w:after="0"/>
              <w:contextualSpacing/>
              <w:jc w:val="center"/>
              <w:rPr>
                <w:rFonts w:eastAsia="Calibri"/>
                <w:sz w:val="20"/>
                <w:szCs w:val="20"/>
              </w:rPr>
            </w:pPr>
            <w:r w:rsidRPr="003E52C0">
              <w:rPr>
                <w:sz w:val="20"/>
                <w:szCs w:val="20"/>
              </w:rPr>
              <w:t>Financial institutions</w:t>
            </w:r>
          </w:p>
        </w:tc>
        <w:tc>
          <w:tcPr>
            <w:tcW w:w="1175" w:type="dxa"/>
          </w:tcPr>
          <w:p w:rsidR="00C9646F" w:rsidRPr="003E52C0" w:rsidP="00C9646F" w14:paraId="500B34E8" w14:textId="77777777">
            <w:pPr>
              <w:spacing w:after="0"/>
              <w:contextualSpacing/>
              <w:jc w:val="center"/>
              <w:rPr>
                <w:rFonts w:eastAsia="Calibri"/>
                <w:sz w:val="20"/>
                <w:szCs w:val="20"/>
              </w:rPr>
            </w:pPr>
            <w:r w:rsidRPr="003E52C0">
              <w:rPr>
                <w:rFonts w:eastAsia="Calibri"/>
                <w:sz w:val="20"/>
                <w:szCs w:val="20"/>
              </w:rPr>
              <w:t>$106</w:t>
            </w:r>
          </w:p>
        </w:tc>
        <w:tc>
          <w:tcPr>
            <w:tcW w:w="1885" w:type="dxa"/>
          </w:tcPr>
          <w:p w:rsidR="00C9646F" w:rsidRPr="003E52C0" w:rsidP="00C9646F" w14:paraId="58F981D2" w14:textId="77777777">
            <w:pPr>
              <w:spacing w:after="0"/>
              <w:contextualSpacing/>
              <w:jc w:val="center"/>
              <w:rPr>
                <w:rFonts w:eastAsia="Calibri"/>
                <w:sz w:val="20"/>
                <w:szCs w:val="20"/>
              </w:rPr>
            </w:pPr>
            <w:r w:rsidRPr="003E52C0">
              <w:rPr>
                <w:rFonts w:eastAsia="Calibri"/>
                <w:sz w:val="20"/>
                <w:szCs w:val="20"/>
              </w:rPr>
              <w:t>1,100,120 in Year 1; 314,320 in Years 2+</w:t>
            </w:r>
          </w:p>
          <w:p w:rsidR="00C9646F" w:rsidRPr="003E52C0" w:rsidP="00C9646F" w14:paraId="76F63173" w14:textId="77777777">
            <w:pPr>
              <w:spacing w:after="0"/>
              <w:contextualSpacing/>
              <w:jc w:val="center"/>
              <w:rPr>
                <w:rFonts w:eastAsia="Calibri"/>
                <w:sz w:val="20"/>
                <w:szCs w:val="20"/>
              </w:rPr>
            </w:pPr>
          </w:p>
        </w:tc>
        <w:tc>
          <w:tcPr>
            <w:tcW w:w="1710" w:type="dxa"/>
          </w:tcPr>
          <w:p w:rsidR="00C9646F" w:rsidRPr="003E52C0" w:rsidP="00C9646F" w14:paraId="5DD3F2A6" w14:textId="77777777">
            <w:pPr>
              <w:spacing w:after="0"/>
              <w:contextualSpacing/>
              <w:jc w:val="center"/>
              <w:rPr>
                <w:rFonts w:eastAsia="Calibri"/>
                <w:sz w:val="20"/>
                <w:szCs w:val="20"/>
              </w:rPr>
            </w:pPr>
            <w:r w:rsidRPr="003E52C0">
              <w:rPr>
                <w:rFonts w:eastAsia="Calibri"/>
                <w:sz w:val="20"/>
                <w:szCs w:val="20"/>
              </w:rPr>
              <w:t xml:space="preserve">$116,612,720 in Year 1; $33,317,920 in </w:t>
            </w:r>
            <w:r w:rsidRPr="003E52C0">
              <w:rPr>
                <w:rFonts w:eastAsia="Calibri"/>
                <w:sz w:val="20"/>
                <w:szCs w:val="20"/>
              </w:rPr>
              <w:t>Years 2+</w:t>
            </w:r>
          </w:p>
          <w:p w:rsidR="00C9646F" w:rsidRPr="003E52C0" w:rsidP="00C9646F" w14:paraId="2710BD79" w14:textId="77777777">
            <w:pPr>
              <w:spacing w:after="0"/>
              <w:contextualSpacing/>
              <w:jc w:val="center"/>
              <w:rPr>
                <w:rFonts w:eastAsia="Calibri"/>
                <w:sz w:val="20"/>
                <w:szCs w:val="20"/>
              </w:rPr>
            </w:pPr>
          </w:p>
        </w:tc>
      </w:tr>
      <w:tr w14:paraId="396DC957" w14:textId="77777777" w:rsidTr="003E52C0">
        <w:tblPrEx>
          <w:tblW w:w="9265" w:type="dxa"/>
          <w:jc w:val="center"/>
          <w:tblLayout w:type="fixed"/>
          <w:tblLook w:val="04A0"/>
        </w:tblPrEx>
        <w:trPr>
          <w:trHeight w:val="1115"/>
          <w:jc w:val="center"/>
        </w:trPr>
        <w:tc>
          <w:tcPr>
            <w:tcW w:w="2880" w:type="dxa"/>
          </w:tcPr>
          <w:p w:rsidR="00C9646F" w:rsidRPr="003E52C0" w:rsidP="00C9646F" w14:paraId="14A78DF9" w14:textId="77777777">
            <w:pPr>
              <w:numPr>
                <w:ilvl w:val="0"/>
                <w:numId w:val="15"/>
              </w:numPr>
              <w:spacing w:after="0"/>
              <w:contextualSpacing/>
              <w:rPr>
                <w:rFonts w:eastAsia="Calibri"/>
                <w:sz w:val="20"/>
                <w:szCs w:val="20"/>
              </w:rPr>
            </w:pPr>
            <w:r w:rsidRPr="003E52C0">
              <w:rPr>
                <w:rFonts w:eastAsia="Calibri"/>
                <w:sz w:val="20"/>
                <w:szCs w:val="20"/>
              </w:rPr>
              <w:t>Submit certification for each request that it meets certain requirements</w:t>
            </w:r>
          </w:p>
        </w:tc>
        <w:tc>
          <w:tcPr>
            <w:tcW w:w="1615" w:type="dxa"/>
          </w:tcPr>
          <w:p w:rsidR="00C9646F" w:rsidRPr="003E52C0" w:rsidP="00C9646F" w14:paraId="7AFE3CDB" w14:textId="77777777">
            <w:pPr>
              <w:spacing w:after="0"/>
              <w:contextualSpacing/>
              <w:jc w:val="center"/>
              <w:rPr>
                <w:rFonts w:eastAsia="Calibri"/>
                <w:sz w:val="20"/>
                <w:szCs w:val="20"/>
              </w:rPr>
            </w:pPr>
            <w:r w:rsidRPr="003E52C0">
              <w:rPr>
                <w:sz w:val="20"/>
                <w:szCs w:val="20"/>
              </w:rPr>
              <w:t>Financial institutions</w:t>
            </w:r>
          </w:p>
        </w:tc>
        <w:tc>
          <w:tcPr>
            <w:tcW w:w="1175" w:type="dxa"/>
          </w:tcPr>
          <w:p w:rsidR="00C9646F" w:rsidRPr="003E52C0" w:rsidP="00C9646F" w14:paraId="06718EA1" w14:textId="77777777">
            <w:pPr>
              <w:spacing w:after="0"/>
              <w:contextualSpacing/>
              <w:jc w:val="center"/>
              <w:rPr>
                <w:rFonts w:eastAsia="Calibri"/>
                <w:sz w:val="20"/>
                <w:szCs w:val="20"/>
              </w:rPr>
            </w:pPr>
            <w:r w:rsidRPr="003E52C0">
              <w:rPr>
                <w:rFonts w:eastAsia="Calibri"/>
                <w:sz w:val="20"/>
                <w:szCs w:val="20"/>
              </w:rPr>
              <w:t>$106</w:t>
            </w:r>
          </w:p>
        </w:tc>
        <w:tc>
          <w:tcPr>
            <w:tcW w:w="1885" w:type="dxa"/>
          </w:tcPr>
          <w:p w:rsidR="00C9646F" w:rsidRPr="003E52C0" w:rsidP="00C9646F" w14:paraId="4D796DB6" w14:textId="77777777">
            <w:pPr>
              <w:spacing w:after="0"/>
              <w:contextualSpacing/>
              <w:jc w:val="center"/>
              <w:rPr>
                <w:rFonts w:eastAsia="Calibri"/>
                <w:sz w:val="20"/>
                <w:szCs w:val="20"/>
              </w:rPr>
            </w:pPr>
            <w:r w:rsidRPr="003E52C0">
              <w:rPr>
                <w:rFonts w:eastAsia="Calibri"/>
                <w:sz w:val="20"/>
                <w:szCs w:val="20"/>
              </w:rPr>
              <w:t>1,474,161 in Year 1; 1,474,161 in Years 2+</w:t>
            </w:r>
          </w:p>
        </w:tc>
        <w:tc>
          <w:tcPr>
            <w:tcW w:w="1710" w:type="dxa"/>
          </w:tcPr>
          <w:p w:rsidR="00C9646F" w:rsidRPr="003E52C0" w:rsidP="00C9646F" w14:paraId="4672B3F0" w14:textId="77777777">
            <w:pPr>
              <w:spacing w:after="0"/>
              <w:contextualSpacing/>
              <w:jc w:val="center"/>
              <w:rPr>
                <w:rFonts w:eastAsia="Calibri"/>
                <w:sz w:val="20"/>
                <w:szCs w:val="20"/>
              </w:rPr>
            </w:pPr>
            <w:r w:rsidRPr="003E52C0">
              <w:rPr>
                <w:rFonts w:eastAsia="Calibri"/>
                <w:sz w:val="20"/>
                <w:szCs w:val="20"/>
              </w:rPr>
              <w:t>$156,261,066 in Year 1; $156,261,066 in Years 2+</w:t>
            </w:r>
          </w:p>
        </w:tc>
      </w:tr>
      <w:tr w14:paraId="06B49875" w14:textId="77777777" w:rsidTr="003E52C0">
        <w:tblPrEx>
          <w:tblW w:w="9265" w:type="dxa"/>
          <w:jc w:val="center"/>
          <w:tblLayout w:type="fixed"/>
          <w:tblLook w:val="04A0"/>
        </w:tblPrEx>
        <w:trPr>
          <w:trHeight w:val="1331"/>
          <w:jc w:val="center"/>
        </w:trPr>
        <w:tc>
          <w:tcPr>
            <w:tcW w:w="2880" w:type="dxa"/>
          </w:tcPr>
          <w:p w:rsidR="00C9646F" w:rsidRPr="003E52C0" w:rsidP="00C9646F" w14:paraId="43D1EF90" w14:textId="77777777">
            <w:pPr>
              <w:numPr>
                <w:ilvl w:val="0"/>
                <w:numId w:val="16"/>
              </w:numPr>
              <w:spacing w:after="0"/>
              <w:contextualSpacing/>
              <w:rPr>
                <w:sz w:val="20"/>
                <w:szCs w:val="20"/>
              </w:rPr>
            </w:pPr>
            <w:r w:rsidRPr="003E52C0">
              <w:rPr>
                <w:rFonts w:eastAsia="Calibri"/>
                <w:sz w:val="20"/>
                <w:szCs w:val="20"/>
              </w:rPr>
              <w:t xml:space="preserve">Submit written certification for each </w:t>
            </w:r>
            <w:r w:rsidRPr="003E52C0">
              <w:rPr>
                <w:rFonts w:eastAsia="Calibri"/>
                <w:sz w:val="20"/>
                <w:szCs w:val="20"/>
              </w:rPr>
              <w:t>request that it meets certain requirements, including court authorization</w:t>
            </w:r>
          </w:p>
        </w:tc>
        <w:tc>
          <w:tcPr>
            <w:tcW w:w="1615" w:type="dxa"/>
          </w:tcPr>
          <w:p w:rsidR="00C9646F" w:rsidRPr="003E52C0" w:rsidP="00C9646F" w14:paraId="67E042CC" w14:textId="77777777">
            <w:pPr>
              <w:spacing w:after="0"/>
              <w:contextualSpacing/>
              <w:jc w:val="center"/>
              <w:rPr>
                <w:rFonts w:eastAsia="Calibri"/>
                <w:sz w:val="20"/>
                <w:szCs w:val="20"/>
              </w:rPr>
            </w:pPr>
            <w:r w:rsidRPr="003E52C0">
              <w:rPr>
                <w:rFonts w:eastAsia="Calibri"/>
                <w:sz w:val="20"/>
                <w:szCs w:val="20"/>
              </w:rPr>
              <w:t>State, local, and Tribal law enforcement</w:t>
            </w:r>
          </w:p>
        </w:tc>
        <w:tc>
          <w:tcPr>
            <w:tcW w:w="1175" w:type="dxa"/>
          </w:tcPr>
          <w:p w:rsidR="00C9646F" w:rsidRPr="003E52C0" w:rsidP="00C9646F" w14:paraId="216F83FF" w14:textId="77777777">
            <w:pPr>
              <w:spacing w:after="0"/>
              <w:contextualSpacing/>
              <w:jc w:val="center"/>
              <w:rPr>
                <w:rFonts w:eastAsia="Calibri"/>
                <w:sz w:val="20"/>
                <w:szCs w:val="20"/>
              </w:rPr>
            </w:pPr>
            <w:r w:rsidRPr="003E52C0">
              <w:rPr>
                <w:rFonts w:eastAsia="Calibri"/>
                <w:sz w:val="20"/>
                <w:szCs w:val="20"/>
              </w:rPr>
              <w:t>$80</w:t>
            </w:r>
          </w:p>
        </w:tc>
        <w:tc>
          <w:tcPr>
            <w:tcW w:w="1885" w:type="dxa"/>
          </w:tcPr>
          <w:p w:rsidR="00C9646F" w:rsidRPr="003E52C0" w:rsidP="00C9646F" w14:paraId="4E279917" w14:textId="77777777">
            <w:pPr>
              <w:spacing w:after="0"/>
              <w:contextualSpacing/>
              <w:jc w:val="center"/>
              <w:rPr>
                <w:rFonts w:eastAsia="Calibri"/>
                <w:sz w:val="20"/>
                <w:szCs w:val="20"/>
              </w:rPr>
            </w:pPr>
            <w:r w:rsidRPr="003E52C0">
              <w:rPr>
                <w:rFonts w:eastAsia="Calibri"/>
                <w:sz w:val="20"/>
                <w:szCs w:val="20"/>
              </w:rPr>
              <w:t>2,050,003 in Year 1; 1,649,994 in Years 2+</w:t>
            </w:r>
          </w:p>
          <w:p w:rsidR="00C9646F" w:rsidRPr="003E52C0" w:rsidP="00C9646F" w14:paraId="6028DDD2" w14:textId="77777777">
            <w:pPr>
              <w:spacing w:after="0"/>
              <w:contextualSpacing/>
              <w:jc w:val="center"/>
              <w:rPr>
                <w:rFonts w:eastAsia="Calibri"/>
                <w:sz w:val="20"/>
                <w:szCs w:val="20"/>
              </w:rPr>
            </w:pPr>
          </w:p>
        </w:tc>
        <w:tc>
          <w:tcPr>
            <w:tcW w:w="1710" w:type="dxa"/>
          </w:tcPr>
          <w:p w:rsidR="00C9646F" w:rsidRPr="003E52C0" w:rsidP="00C9646F" w14:paraId="1AD2B2A8" w14:textId="77777777">
            <w:pPr>
              <w:spacing w:after="0"/>
              <w:contextualSpacing/>
              <w:jc w:val="center"/>
              <w:rPr>
                <w:rFonts w:eastAsia="Calibri"/>
                <w:sz w:val="20"/>
                <w:szCs w:val="20"/>
              </w:rPr>
            </w:pPr>
            <w:r w:rsidRPr="003E52C0">
              <w:rPr>
                <w:rFonts w:eastAsia="Calibri"/>
                <w:sz w:val="20"/>
                <w:szCs w:val="20"/>
              </w:rPr>
              <w:t>$164,000,240 in Year 1; $131,999,520 in Years 2+</w:t>
            </w:r>
          </w:p>
          <w:p w:rsidR="00C9646F" w:rsidRPr="003E52C0" w:rsidP="00C9646F" w14:paraId="201CAA0E" w14:textId="77777777">
            <w:pPr>
              <w:spacing w:after="0"/>
              <w:contextualSpacing/>
              <w:jc w:val="center"/>
              <w:rPr>
                <w:rFonts w:eastAsia="Calibri"/>
                <w:sz w:val="20"/>
                <w:szCs w:val="20"/>
              </w:rPr>
            </w:pPr>
          </w:p>
        </w:tc>
      </w:tr>
      <w:tr w14:paraId="4ECFE891" w14:textId="77777777" w:rsidTr="003E52C0">
        <w:tblPrEx>
          <w:tblW w:w="9265" w:type="dxa"/>
          <w:jc w:val="center"/>
          <w:tblLayout w:type="fixed"/>
          <w:tblLook w:val="04A0"/>
        </w:tblPrEx>
        <w:trPr>
          <w:trHeight w:val="899"/>
          <w:jc w:val="center"/>
        </w:trPr>
        <w:tc>
          <w:tcPr>
            <w:tcW w:w="2880" w:type="dxa"/>
          </w:tcPr>
          <w:p w:rsidR="00C9646F" w:rsidRPr="003E52C0" w:rsidP="00C9646F" w14:paraId="59496AE9" w14:textId="77777777">
            <w:pPr>
              <w:numPr>
                <w:ilvl w:val="0"/>
                <w:numId w:val="17"/>
              </w:numPr>
              <w:spacing w:after="0"/>
              <w:contextualSpacing/>
              <w:rPr>
                <w:sz w:val="20"/>
                <w:szCs w:val="20"/>
              </w:rPr>
            </w:pPr>
            <w:r w:rsidRPr="003E52C0">
              <w:rPr>
                <w:rFonts w:eastAsia="Calibri"/>
                <w:sz w:val="20"/>
                <w:szCs w:val="20"/>
              </w:rPr>
              <w:t xml:space="preserve">Submit written certification for each </w:t>
            </w:r>
            <w:r w:rsidRPr="003E52C0">
              <w:rPr>
                <w:rFonts w:eastAsia="Calibri"/>
                <w:sz w:val="20"/>
                <w:szCs w:val="20"/>
              </w:rPr>
              <w:t>request that it meets certain requirements</w:t>
            </w:r>
          </w:p>
        </w:tc>
        <w:tc>
          <w:tcPr>
            <w:tcW w:w="1615" w:type="dxa"/>
          </w:tcPr>
          <w:p w:rsidR="00C9646F" w:rsidRPr="003E52C0" w:rsidP="00C9646F" w14:paraId="70976580" w14:textId="77777777">
            <w:pPr>
              <w:spacing w:after="0"/>
              <w:contextualSpacing/>
              <w:jc w:val="center"/>
              <w:rPr>
                <w:rFonts w:eastAsia="Calibri"/>
                <w:sz w:val="20"/>
                <w:szCs w:val="20"/>
              </w:rPr>
            </w:pPr>
            <w:r w:rsidRPr="003E52C0">
              <w:rPr>
                <w:rFonts w:eastAsia="Calibri"/>
                <w:sz w:val="20"/>
                <w:szCs w:val="20"/>
              </w:rPr>
              <w:t>State regulatory agencies</w:t>
            </w:r>
          </w:p>
        </w:tc>
        <w:tc>
          <w:tcPr>
            <w:tcW w:w="1175" w:type="dxa"/>
          </w:tcPr>
          <w:p w:rsidR="00C9646F" w:rsidRPr="003E52C0" w:rsidP="00C9646F" w14:paraId="7B1DDF2D" w14:textId="77777777">
            <w:pPr>
              <w:spacing w:after="0"/>
              <w:contextualSpacing/>
              <w:jc w:val="center"/>
              <w:rPr>
                <w:rFonts w:eastAsia="Calibri"/>
                <w:sz w:val="20"/>
                <w:szCs w:val="20"/>
              </w:rPr>
            </w:pPr>
            <w:r w:rsidRPr="003E52C0">
              <w:rPr>
                <w:rFonts w:eastAsia="Calibri"/>
                <w:sz w:val="20"/>
                <w:szCs w:val="20"/>
              </w:rPr>
              <w:t>$80</w:t>
            </w:r>
          </w:p>
        </w:tc>
        <w:tc>
          <w:tcPr>
            <w:tcW w:w="1885" w:type="dxa"/>
          </w:tcPr>
          <w:p w:rsidR="00C9646F" w:rsidRPr="003E52C0" w:rsidP="00C9646F" w14:paraId="4407AEF8" w14:textId="77777777">
            <w:pPr>
              <w:spacing w:after="0"/>
              <w:contextualSpacing/>
              <w:jc w:val="center"/>
              <w:rPr>
                <w:rFonts w:eastAsia="Calibri"/>
                <w:sz w:val="20"/>
                <w:szCs w:val="20"/>
              </w:rPr>
            </w:pPr>
            <w:r w:rsidRPr="003E52C0">
              <w:rPr>
                <w:rFonts w:eastAsia="Calibri"/>
                <w:sz w:val="20"/>
                <w:szCs w:val="20"/>
              </w:rPr>
              <w:t>7,500 in Year 1; 7,500 in Years 2+</w:t>
            </w:r>
          </w:p>
        </w:tc>
        <w:tc>
          <w:tcPr>
            <w:tcW w:w="1710" w:type="dxa"/>
          </w:tcPr>
          <w:p w:rsidR="00C9646F" w:rsidRPr="003E52C0" w:rsidP="00C9646F" w14:paraId="75D0300A" w14:textId="77777777">
            <w:pPr>
              <w:spacing w:after="0"/>
              <w:contextualSpacing/>
              <w:jc w:val="center"/>
              <w:rPr>
                <w:rFonts w:eastAsia="Calibri"/>
                <w:sz w:val="20"/>
                <w:szCs w:val="20"/>
              </w:rPr>
            </w:pPr>
            <w:r w:rsidRPr="003E52C0">
              <w:rPr>
                <w:rFonts w:eastAsia="Calibri"/>
                <w:sz w:val="20"/>
                <w:szCs w:val="20"/>
              </w:rPr>
              <w:t>$600,000 in Year 1; $600,000 in Years 2+</w:t>
            </w:r>
          </w:p>
        </w:tc>
      </w:tr>
      <w:tr w14:paraId="17853136" w14:textId="77777777" w:rsidTr="003E52C0">
        <w:tblPrEx>
          <w:tblW w:w="9265" w:type="dxa"/>
          <w:jc w:val="center"/>
          <w:tblLayout w:type="fixed"/>
          <w:tblLook w:val="04A0"/>
        </w:tblPrEx>
        <w:trPr>
          <w:trHeight w:val="1061"/>
          <w:jc w:val="center"/>
        </w:trPr>
        <w:tc>
          <w:tcPr>
            <w:tcW w:w="2880" w:type="dxa"/>
          </w:tcPr>
          <w:p w:rsidR="00C9646F" w:rsidRPr="003E52C0" w:rsidP="00C9646F" w14:paraId="1919E31C" w14:textId="77777777">
            <w:pPr>
              <w:numPr>
                <w:ilvl w:val="0"/>
                <w:numId w:val="17"/>
              </w:numPr>
              <w:spacing w:after="0"/>
              <w:contextualSpacing/>
              <w:rPr>
                <w:rFonts w:eastAsia="Calibri"/>
                <w:sz w:val="20"/>
                <w:szCs w:val="20"/>
              </w:rPr>
            </w:pPr>
            <w:r w:rsidRPr="003E52C0">
              <w:rPr>
                <w:rFonts w:eastAsia="Calibri"/>
                <w:sz w:val="20"/>
                <w:szCs w:val="20"/>
              </w:rPr>
              <w:t>Undergo training</w:t>
            </w:r>
          </w:p>
        </w:tc>
        <w:tc>
          <w:tcPr>
            <w:tcW w:w="1615" w:type="dxa"/>
          </w:tcPr>
          <w:p w:rsidR="00C9646F" w:rsidRPr="003E52C0" w:rsidP="00C9646F" w14:paraId="112A7A3F" w14:textId="77777777">
            <w:pPr>
              <w:spacing w:after="0"/>
              <w:contextualSpacing/>
              <w:jc w:val="center"/>
              <w:rPr>
                <w:rFonts w:eastAsia="Calibri"/>
                <w:sz w:val="20"/>
                <w:szCs w:val="20"/>
              </w:rPr>
            </w:pPr>
            <w:r w:rsidRPr="003E52C0">
              <w:rPr>
                <w:sz w:val="20"/>
                <w:szCs w:val="20"/>
              </w:rPr>
              <w:t>Financial institutions</w:t>
            </w:r>
          </w:p>
        </w:tc>
        <w:tc>
          <w:tcPr>
            <w:tcW w:w="1175" w:type="dxa"/>
          </w:tcPr>
          <w:p w:rsidR="00C9646F" w:rsidRPr="003E52C0" w:rsidP="00C9646F" w14:paraId="25A08AE5" w14:textId="77777777">
            <w:pPr>
              <w:spacing w:after="0"/>
              <w:contextualSpacing/>
              <w:jc w:val="center"/>
              <w:rPr>
                <w:rFonts w:eastAsia="Calibri"/>
                <w:sz w:val="20"/>
                <w:szCs w:val="20"/>
              </w:rPr>
            </w:pPr>
            <w:r w:rsidRPr="003E52C0">
              <w:rPr>
                <w:rFonts w:eastAsia="Calibri"/>
                <w:sz w:val="20"/>
                <w:szCs w:val="20"/>
              </w:rPr>
              <w:t>$106</w:t>
            </w:r>
          </w:p>
        </w:tc>
        <w:tc>
          <w:tcPr>
            <w:tcW w:w="1885" w:type="dxa"/>
          </w:tcPr>
          <w:p w:rsidR="00C9646F" w:rsidRPr="003E52C0" w:rsidP="00C9646F" w14:paraId="1AFD3C06" w14:textId="77777777">
            <w:pPr>
              <w:spacing w:after="0"/>
              <w:contextualSpacing/>
              <w:jc w:val="center"/>
              <w:rPr>
                <w:rFonts w:eastAsia="Calibri"/>
                <w:sz w:val="20"/>
                <w:szCs w:val="20"/>
              </w:rPr>
            </w:pPr>
            <w:r w:rsidRPr="003E52C0">
              <w:rPr>
                <w:rFonts w:eastAsia="Calibri"/>
                <w:sz w:val="20"/>
                <w:szCs w:val="20"/>
              </w:rPr>
              <w:t>128,871 in Year 1; 128,871 in Years 2+</w:t>
            </w:r>
          </w:p>
          <w:p w:rsidR="00C9646F" w:rsidRPr="003E52C0" w:rsidP="00C9646F" w14:paraId="7FF47AEE" w14:textId="77777777">
            <w:pPr>
              <w:spacing w:after="0"/>
              <w:contextualSpacing/>
              <w:jc w:val="center"/>
              <w:rPr>
                <w:rFonts w:eastAsia="Calibri"/>
                <w:sz w:val="20"/>
                <w:szCs w:val="20"/>
              </w:rPr>
            </w:pPr>
          </w:p>
        </w:tc>
        <w:tc>
          <w:tcPr>
            <w:tcW w:w="1710" w:type="dxa"/>
          </w:tcPr>
          <w:p w:rsidR="00C9646F" w:rsidRPr="003E52C0" w:rsidP="00C9646F" w14:paraId="611D0AF9" w14:textId="77777777">
            <w:pPr>
              <w:spacing w:after="0"/>
              <w:contextualSpacing/>
              <w:jc w:val="center"/>
              <w:rPr>
                <w:rFonts w:eastAsia="Calibri"/>
                <w:sz w:val="20"/>
                <w:szCs w:val="20"/>
              </w:rPr>
            </w:pPr>
            <w:r w:rsidRPr="003E52C0">
              <w:rPr>
                <w:rFonts w:eastAsia="Calibri"/>
                <w:sz w:val="20"/>
                <w:szCs w:val="20"/>
              </w:rPr>
              <w:t>$13,660,326 in Year 1</w:t>
            </w:r>
            <w:r w:rsidRPr="003E52C0">
              <w:rPr>
                <w:rFonts w:eastAsia="Calibri"/>
                <w:sz w:val="20"/>
                <w:szCs w:val="20"/>
              </w:rPr>
              <w:t>; $13,660,326 in Years 2+</w:t>
            </w:r>
          </w:p>
          <w:p w:rsidR="00C9646F" w:rsidRPr="003E52C0" w:rsidP="00C9646F" w14:paraId="323ADEE1" w14:textId="77777777">
            <w:pPr>
              <w:spacing w:after="0"/>
              <w:contextualSpacing/>
              <w:jc w:val="center"/>
              <w:rPr>
                <w:rFonts w:eastAsia="Calibri"/>
                <w:sz w:val="20"/>
                <w:szCs w:val="20"/>
              </w:rPr>
            </w:pPr>
          </w:p>
        </w:tc>
      </w:tr>
      <w:tr w14:paraId="26FDE892" w14:textId="77777777" w:rsidTr="003E52C0">
        <w:tblPrEx>
          <w:tblW w:w="9265" w:type="dxa"/>
          <w:jc w:val="center"/>
          <w:tblLayout w:type="fixed"/>
          <w:tblLook w:val="04A0"/>
        </w:tblPrEx>
        <w:trPr>
          <w:trHeight w:val="1259"/>
          <w:jc w:val="center"/>
        </w:trPr>
        <w:tc>
          <w:tcPr>
            <w:tcW w:w="2880" w:type="dxa"/>
          </w:tcPr>
          <w:p w:rsidR="00C9646F" w:rsidRPr="003E52C0" w:rsidP="00C9646F" w14:paraId="6BBDA56E" w14:textId="77777777">
            <w:pPr>
              <w:numPr>
                <w:ilvl w:val="0"/>
                <w:numId w:val="18"/>
              </w:numPr>
              <w:spacing w:after="0"/>
              <w:contextualSpacing/>
              <w:rPr>
                <w:sz w:val="20"/>
                <w:szCs w:val="20"/>
              </w:rPr>
            </w:pPr>
            <w:r w:rsidRPr="003E52C0">
              <w:rPr>
                <w:rFonts w:eastAsia="Calibri"/>
                <w:sz w:val="20"/>
                <w:szCs w:val="20"/>
              </w:rPr>
              <w:t>Restrict access to appropriate persons within the agency, which specifies that appropriate persons will undergo training</w:t>
            </w:r>
          </w:p>
        </w:tc>
        <w:tc>
          <w:tcPr>
            <w:tcW w:w="1615" w:type="dxa"/>
          </w:tcPr>
          <w:p w:rsidR="00C9646F" w:rsidRPr="003E52C0" w:rsidP="00C9646F" w14:paraId="65804B5E" w14:textId="77777777">
            <w:pPr>
              <w:spacing w:after="0"/>
              <w:contextualSpacing/>
              <w:jc w:val="center"/>
              <w:rPr>
                <w:rFonts w:eastAsia="Calibri"/>
                <w:sz w:val="20"/>
                <w:szCs w:val="20"/>
              </w:rPr>
            </w:pPr>
            <w:r w:rsidRPr="003E52C0">
              <w:rPr>
                <w:rFonts w:eastAsia="Calibri"/>
                <w:sz w:val="20"/>
                <w:szCs w:val="20"/>
              </w:rPr>
              <w:t>State, local, and Tribal agencies</w:t>
            </w:r>
          </w:p>
        </w:tc>
        <w:tc>
          <w:tcPr>
            <w:tcW w:w="1175" w:type="dxa"/>
          </w:tcPr>
          <w:p w:rsidR="00C9646F" w:rsidRPr="003E52C0" w:rsidP="00C9646F" w14:paraId="05D85042" w14:textId="77777777">
            <w:pPr>
              <w:spacing w:after="0"/>
              <w:contextualSpacing/>
              <w:jc w:val="center"/>
              <w:rPr>
                <w:rFonts w:eastAsia="Calibri"/>
                <w:sz w:val="20"/>
                <w:szCs w:val="20"/>
              </w:rPr>
            </w:pPr>
            <w:r w:rsidRPr="003E52C0">
              <w:rPr>
                <w:rFonts w:eastAsia="Calibri"/>
                <w:sz w:val="20"/>
                <w:szCs w:val="20"/>
              </w:rPr>
              <w:t>$80</w:t>
            </w:r>
          </w:p>
        </w:tc>
        <w:tc>
          <w:tcPr>
            <w:tcW w:w="1885" w:type="dxa"/>
          </w:tcPr>
          <w:p w:rsidR="00C9646F" w:rsidRPr="003E52C0" w:rsidP="00C9646F" w14:paraId="568BB829" w14:textId="77777777">
            <w:pPr>
              <w:spacing w:after="0"/>
              <w:contextualSpacing/>
              <w:jc w:val="center"/>
              <w:rPr>
                <w:rFonts w:eastAsia="Calibri"/>
                <w:sz w:val="20"/>
                <w:szCs w:val="20"/>
              </w:rPr>
            </w:pPr>
            <w:r w:rsidRPr="003E52C0">
              <w:rPr>
                <w:rFonts w:eastAsia="Calibri"/>
                <w:sz w:val="20"/>
                <w:szCs w:val="20"/>
              </w:rPr>
              <w:t>2,006 in Year 1; 2,006 in Years 2+</w:t>
            </w:r>
          </w:p>
        </w:tc>
        <w:tc>
          <w:tcPr>
            <w:tcW w:w="1710" w:type="dxa"/>
          </w:tcPr>
          <w:p w:rsidR="00C9646F" w:rsidRPr="003E52C0" w:rsidP="00C9646F" w14:paraId="4924E1F9" w14:textId="77777777">
            <w:pPr>
              <w:spacing w:after="0"/>
              <w:contextualSpacing/>
              <w:jc w:val="center"/>
              <w:rPr>
                <w:rFonts w:eastAsia="Calibri"/>
                <w:sz w:val="20"/>
                <w:szCs w:val="20"/>
              </w:rPr>
            </w:pPr>
            <w:r w:rsidRPr="003E52C0">
              <w:rPr>
                <w:rFonts w:eastAsia="Calibri"/>
                <w:sz w:val="20"/>
                <w:szCs w:val="20"/>
              </w:rPr>
              <w:t xml:space="preserve">$160,480 in Year 1; </w:t>
            </w:r>
            <w:r w:rsidRPr="003E52C0">
              <w:rPr>
                <w:rFonts w:eastAsia="Calibri"/>
                <w:sz w:val="20"/>
                <w:szCs w:val="20"/>
              </w:rPr>
              <w:t>$160,480 in Years 2+</w:t>
            </w:r>
          </w:p>
        </w:tc>
      </w:tr>
      <w:tr w14:paraId="7B452398" w14:textId="77777777" w:rsidTr="00C9646F">
        <w:tblPrEx>
          <w:tblW w:w="9265" w:type="dxa"/>
          <w:jc w:val="center"/>
          <w:tblLayout w:type="fixed"/>
          <w:tblLook w:val="04A0"/>
        </w:tblPrEx>
        <w:trPr>
          <w:trHeight w:val="1052"/>
          <w:jc w:val="center"/>
        </w:trPr>
        <w:tc>
          <w:tcPr>
            <w:tcW w:w="2880" w:type="dxa"/>
          </w:tcPr>
          <w:p w:rsidR="00C9646F" w:rsidRPr="003E52C0" w:rsidP="00C9646F" w14:paraId="75CFFE14" w14:textId="77777777">
            <w:pPr>
              <w:numPr>
                <w:ilvl w:val="0"/>
                <w:numId w:val="18"/>
              </w:numPr>
              <w:spacing w:after="0"/>
              <w:contextualSpacing/>
              <w:rPr>
                <w:rFonts w:eastAsia="Calibri"/>
                <w:sz w:val="20"/>
                <w:szCs w:val="20"/>
              </w:rPr>
            </w:pPr>
            <w:r w:rsidRPr="003E52C0">
              <w:rPr>
                <w:rFonts w:eastAsia="Calibri"/>
                <w:sz w:val="20"/>
                <w:szCs w:val="20"/>
              </w:rPr>
              <w:t>Conduct an annual audit and cooperate with FinCEN’s annual audit</w:t>
            </w:r>
          </w:p>
        </w:tc>
        <w:tc>
          <w:tcPr>
            <w:tcW w:w="1615" w:type="dxa"/>
          </w:tcPr>
          <w:p w:rsidR="00C9646F" w:rsidRPr="003E52C0" w:rsidP="00C9646F" w14:paraId="47534BB0" w14:textId="77777777">
            <w:pPr>
              <w:spacing w:after="0"/>
              <w:contextualSpacing/>
              <w:jc w:val="center"/>
              <w:rPr>
                <w:rFonts w:eastAsia="Calibri"/>
                <w:sz w:val="20"/>
                <w:szCs w:val="20"/>
              </w:rPr>
            </w:pPr>
            <w:r w:rsidRPr="003E52C0">
              <w:rPr>
                <w:rFonts w:eastAsia="Calibri"/>
                <w:sz w:val="20"/>
                <w:szCs w:val="20"/>
              </w:rPr>
              <w:t>State, local, and Tribal agencies</w:t>
            </w:r>
          </w:p>
        </w:tc>
        <w:tc>
          <w:tcPr>
            <w:tcW w:w="1175" w:type="dxa"/>
          </w:tcPr>
          <w:p w:rsidR="00C9646F" w:rsidRPr="003E52C0" w:rsidP="00C9646F" w14:paraId="618B73AE" w14:textId="77777777">
            <w:pPr>
              <w:spacing w:after="0"/>
              <w:contextualSpacing/>
              <w:jc w:val="center"/>
              <w:rPr>
                <w:rFonts w:eastAsia="Calibri"/>
                <w:sz w:val="20"/>
                <w:szCs w:val="20"/>
              </w:rPr>
            </w:pPr>
            <w:r w:rsidRPr="003E52C0">
              <w:rPr>
                <w:rFonts w:eastAsia="Calibri"/>
                <w:sz w:val="20"/>
                <w:szCs w:val="20"/>
              </w:rPr>
              <w:t>$80</w:t>
            </w:r>
          </w:p>
        </w:tc>
        <w:tc>
          <w:tcPr>
            <w:tcW w:w="1885" w:type="dxa"/>
          </w:tcPr>
          <w:p w:rsidR="00C9646F" w:rsidRPr="003E52C0" w:rsidP="00C9646F" w14:paraId="3DE1C4C2" w14:textId="77777777">
            <w:pPr>
              <w:spacing w:after="0"/>
              <w:contextualSpacing/>
              <w:jc w:val="center"/>
              <w:rPr>
                <w:rFonts w:eastAsia="Calibri"/>
                <w:sz w:val="20"/>
                <w:szCs w:val="20"/>
              </w:rPr>
            </w:pPr>
            <w:r w:rsidRPr="003E52C0">
              <w:rPr>
                <w:rFonts w:eastAsia="Calibri"/>
                <w:sz w:val="20"/>
                <w:szCs w:val="20"/>
              </w:rPr>
              <w:t>34,880 in Year 1; 34,880 in Years 2+</w:t>
            </w:r>
          </w:p>
          <w:p w:rsidR="00C9646F" w:rsidRPr="003E52C0" w:rsidP="00C9646F" w14:paraId="19462B8F" w14:textId="77777777">
            <w:pPr>
              <w:spacing w:after="0"/>
              <w:contextualSpacing/>
              <w:jc w:val="center"/>
              <w:rPr>
                <w:rFonts w:eastAsia="Calibri"/>
                <w:sz w:val="20"/>
                <w:szCs w:val="20"/>
              </w:rPr>
            </w:pPr>
          </w:p>
        </w:tc>
        <w:tc>
          <w:tcPr>
            <w:tcW w:w="1710" w:type="dxa"/>
          </w:tcPr>
          <w:p w:rsidR="00C9646F" w:rsidRPr="003E52C0" w:rsidP="00C9646F" w14:paraId="3401C1B3" w14:textId="77777777">
            <w:pPr>
              <w:spacing w:after="0"/>
              <w:contextualSpacing/>
              <w:jc w:val="center"/>
              <w:rPr>
                <w:rFonts w:eastAsia="Calibri"/>
                <w:sz w:val="20"/>
                <w:szCs w:val="20"/>
              </w:rPr>
            </w:pPr>
            <w:r w:rsidRPr="003E52C0">
              <w:rPr>
                <w:rFonts w:eastAsia="Calibri"/>
                <w:sz w:val="20"/>
                <w:szCs w:val="20"/>
              </w:rPr>
              <w:t>$2,790,400 in Year 1; $2,790,400 in Years 2+</w:t>
            </w:r>
          </w:p>
          <w:p w:rsidR="00C9646F" w:rsidRPr="003E52C0" w:rsidP="00C9646F" w14:paraId="4270C512" w14:textId="77777777">
            <w:pPr>
              <w:spacing w:after="0"/>
              <w:contextualSpacing/>
              <w:jc w:val="center"/>
              <w:rPr>
                <w:rFonts w:eastAsia="Calibri"/>
                <w:sz w:val="20"/>
                <w:szCs w:val="20"/>
              </w:rPr>
            </w:pPr>
          </w:p>
        </w:tc>
      </w:tr>
      <w:tr w14:paraId="5B31DAE8" w14:textId="77777777" w:rsidTr="00C9646F">
        <w:tblPrEx>
          <w:tblW w:w="9265" w:type="dxa"/>
          <w:jc w:val="center"/>
          <w:tblLayout w:type="fixed"/>
          <w:tblLook w:val="04A0"/>
        </w:tblPrEx>
        <w:trPr>
          <w:trHeight w:val="1070"/>
          <w:jc w:val="center"/>
        </w:trPr>
        <w:tc>
          <w:tcPr>
            <w:tcW w:w="2880" w:type="dxa"/>
          </w:tcPr>
          <w:p w:rsidR="00C9646F" w:rsidRPr="003E52C0" w:rsidP="00C9646F" w14:paraId="2673792E" w14:textId="77777777">
            <w:pPr>
              <w:numPr>
                <w:ilvl w:val="0"/>
                <w:numId w:val="18"/>
              </w:numPr>
              <w:spacing w:after="0"/>
              <w:contextualSpacing/>
              <w:rPr>
                <w:rFonts w:eastAsia="Calibri"/>
                <w:sz w:val="20"/>
                <w:szCs w:val="20"/>
              </w:rPr>
            </w:pPr>
            <w:r w:rsidRPr="003E52C0">
              <w:rPr>
                <w:rFonts w:eastAsia="Calibri"/>
                <w:sz w:val="20"/>
                <w:szCs w:val="20"/>
              </w:rPr>
              <w:t xml:space="preserve">Obtain certification of standards and </w:t>
            </w:r>
            <w:r w:rsidRPr="003E52C0">
              <w:rPr>
                <w:rFonts w:eastAsia="Calibri"/>
                <w:sz w:val="20"/>
                <w:szCs w:val="20"/>
              </w:rPr>
              <w:t>procedures initially and then semi-annually, by the head of the entity</w:t>
            </w:r>
          </w:p>
        </w:tc>
        <w:tc>
          <w:tcPr>
            <w:tcW w:w="1615" w:type="dxa"/>
          </w:tcPr>
          <w:p w:rsidR="00C9646F" w:rsidRPr="003E52C0" w:rsidP="00C9646F" w14:paraId="36FC9009" w14:textId="77777777">
            <w:pPr>
              <w:spacing w:after="0"/>
              <w:contextualSpacing/>
              <w:jc w:val="center"/>
              <w:rPr>
                <w:rFonts w:eastAsia="Calibri"/>
                <w:sz w:val="20"/>
                <w:szCs w:val="20"/>
              </w:rPr>
            </w:pPr>
            <w:r w:rsidRPr="003E52C0">
              <w:rPr>
                <w:rFonts w:eastAsia="Calibri"/>
                <w:sz w:val="20"/>
                <w:szCs w:val="20"/>
              </w:rPr>
              <w:t>State, local, and Tribal agencies</w:t>
            </w:r>
          </w:p>
        </w:tc>
        <w:tc>
          <w:tcPr>
            <w:tcW w:w="1175" w:type="dxa"/>
          </w:tcPr>
          <w:p w:rsidR="00C9646F" w:rsidRPr="003E52C0" w:rsidP="00C9646F" w14:paraId="122E7733" w14:textId="77777777">
            <w:pPr>
              <w:spacing w:after="0"/>
              <w:contextualSpacing/>
              <w:jc w:val="center"/>
              <w:rPr>
                <w:rFonts w:eastAsia="Calibri"/>
                <w:sz w:val="20"/>
                <w:szCs w:val="20"/>
              </w:rPr>
            </w:pPr>
            <w:r w:rsidRPr="003E52C0">
              <w:rPr>
                <w:rFonts w:eastAsia="Calibri"/>
                <w:sz w:val="20"/>
                <w:szCs w:val="20"/>
              </w:rPr>
              <w:t>$80</w:t>
            </w:r>
          </w:p>
        </w:tc>
        <w:tc>
          <w:tcPr>
            <w:tcW w:w="1885" w:type="dxa"/>
          </w:tcPr>
          <w:p w:rsidR="00C9646F" w:rsidRPr="003E52C0" w:rsidP="00C9646F" w14:paraId="1B9F8F69" w14:textId="77777777">
            <w:pPr>
              <w:spacing w:after="0"/>
              <w:contextualSpacing/>
              <w:jc w:val="center"/>
              <w:rPr>
                <w:rFonts w:eastAsia="Calibri"/>
                <w:sz w:val="20"/>
                <w:szCs w:val="20"/>
              </w:rPr>
            </w:pPr>
            <w:r w:rsidRPr="003E52C0">
              <w:rPr>
                <w:rFonts w:eastAsia="Calibri"/>
                <w:sz w:val="20"/>
                <w:szCs w:val="20"/>
              </w:rPr>
              <w:t>Included in I.</w:t>
            </w:r>
          </w:p>
        </w:tc>
        <w:tc>
          <w:tcPr>
            <w:tcW w:w="1710" w:type="dxa"/>
          </w:tcPr>
          <w:p w:rsidR="00C9646F" w:rsidRPr="003E52C0" w:rsidP="00C9646F" w14:paraId="534D653E" w14:textId="77777777">
            <w:pPr>
              <w:spacing w:after="0"/>
              <w:contextualSpacing/>
              <w:jc w:val="center"/>
              <w:rPr>
                <w:rFonts w:eastAsia="Calibri"/>
                <w:sz w:val="20"/>
                <w:szCs w:val="20"/>
              </w:rPr>
            </w:pPr>
            <w:r w:rsidRPr="003E52C0">
              <w:rPr>
                <w:rFonts w:eastAsia="Calibri"/>
                <w:sz w:val="20"/>
                <w:szCs w:val="20"/>
              </w:rPr>
              <w:t>Included in I.</w:t>
            </w:r>
          </w:p>
        </w:tc>
      </w:tr>
      <w:tr w14:paraId="1A5CF9C3" w14:textId="77777777" w:rsidTr="00C9646F">
        <w:tblPrEx>
          <w:tblW w:w="9265" w:type="dxa"/>
          <w:jc w:val="center"/>
          <w:tblLayout w:type="fixed"/>
          <w:tblLook w:val="04A0"/>
        </w:tblPrEx>
        <w:trPr>
          <w:trHeight w:val="485"/>
          <w:jc w:val="center"/>
        </w:trPr>
        <w:tc>
          <w:tcPr>
            <w:tcW w:w="2880" w:type="dxa"/>
          </w:tcPr>
          <w:p w:rsidR="00C9646F" w:rsidRPr="003E52C0" w:rsidP="00C9646F" w14:paraId="22A7D8E4" w14:textId="77777777">
            <w:pPr>
              <w:numPr>
                <w:ilvl w:val="0"/>
                <w:numId w:val="18"/>
              </w:numPr>
              <w:spacing w:after="0"/>
              <w:contextualSpacing/>
              <w:rPr>
                <w:rFonts w:eastAsia="Calibri"/>
                <w:sz w:val="20"/>
                <w:szCs w:val="20"/>
              </w:rPr>
            </w:pPr>
            <w:r w:rsidRPr="003E52C0">
              <w:rPr>
                <w:rFonts w:eastAsia="Calibri"/>
                <w:sz w:val="20"/>
                <w:szCs w:val="20"/>
              </w:rPr>
              <w:t>Provide initial and then an annual report on procedures</w:t>
            </w:r>
          </w:p>
        </w:tc>
        <w:tc>
          <w:tcPr>
            <w:tcW w:w="1615" w:type="dxa"/>
          </w:tcPr>
          <w:p w:rsidR="00C9646F" w:rsidRPr="003E52C0" w:rsidP="00C9646F" w14:paraId="1C3857CE" w14:textId="77777777">
            <w:pPr>
              <w:spacing w:after="0"/>
              <w:contextualSpacing/>
              <w:jc w:val="center"/>
              <w:rPr>
                <w:rFonts w:eastAsia="Calibri"/>
                <w:sz w:val="20"/>
                <w:szCs w:val="20"/>
              </w:rPr>
            </w:pPr>
            <w:r w:rsidRPr="003E52C0">
              <w:rPr>
                <w:rFonts w:eastAsia="Calibri"/>
                <w:sz w:val="20"/>
                <w:szCs w:val="20"/>
              </w:rPr>
              <w:t>State, local, and Tribal agencies</w:t>
            </w:r>
          </w:p>
        </w:tc>
        <w:tc>
          <w:tcPr>
            <w:tcW w:w="1175" w:type="dxa"/>
          </w:tcPr>
          <w:p w:rsidR="00C9646F" w:rsidRPr="003E52C0" w:rsidP="00C9646F" w14:paraId="388D3D6C" w14:textId="77777777">
            <w:pPr>
              <w:spacing w:after="0"/>
              <w:contextualSpacing/>
              <w:jc w:val="center"/>
              <w:rPr>
                <w:rFonts w:eastAsia="Calibri"/>
                <w:sz w:val="20"/>
                <w:szCs w:val="20"/>
              </w:rPr>
            </w:pPr>
            <w:r w:rsidRPr="003E52C0">
              <w:rPr>
                <w:rFonts w:eastAsia="Calibri"/>
                <w:sz w:val="20"/>
                <w:szCs w:val="20"/>
              </w:rPr>
              <w:t>$80</w:t>
            </w:r>
          </w:p>
        </w:tc>
        <w:tc>
          <w:tcPr>
            <w:tcW w:w="1885" w:type="dxa"/>
          </w:tcPr>
          <w:p w:rsidR="00C9646F" w:rsidRPr="003E52C0" w:rsidP="00C9646F" w14:paraId="1D7A2BEF" w14:textId="77777777">
            <w:pPr>
              <w:spacing w:after="0"/>
              <w:contextualSpacing/>
              <w:jc w:val="center"/>
              <w:rPr>
                <w:rFonts w:eastAsia="Calibri"/>
                <w:sz w:val="20"/>
                <w:szCs w:val="20"/>
              </w:rPr>
            </w:pPr>
            <w:r w:rsidRPr="003E52C0">
              <w:rPr>
                <w:rFonts w:eastAsia="Calibri"/>
                <w:sz w:val="20"/>
                <w:szCs w:val="20"/>
              </w:rPr>
              <w:t>Included in I.</w:t>
            </w:r>
          </w:p>
        </w:tc>
        <w:tc>
          <w:tcPr>
            <w:tcW w:w="1710" w:type="dxa"/>
          </w:tcPr>
          <w:p w:rsidR="00C9646F" w:rsidRPr="003E52C0" w:rsidP="00C9646F" w14:paraId="72F41F2D" w14:textId="77777777">
            <w:pPr>
              <w:spacing w:after="0"/>
              <w:contextualSpacing/>
              <w:jc w:val="center"/>
              <w:rPr>
                <w:rFonts w:eastAsia="Calibri"/>
                <w:sz w:val="20"/>
                <w:szCs w:val="20"/>
              </w:rPr>
            </w:pPr>
            <w:r w:rsidRPr="003E52C0">
              <w:rPr>
                <w:rFonts w:eastAsia="Calibri"/>
                <w:sz w:val="20"/>
                <w:szCs w:val="20"/>
              </w:rPr>
              <w:t>Included in I.</w:t>
            </w:r>
          </w:p>
        </w:tc>
      </w:tr>
      <w:tr w14:paraId="49025201" w14:textId="77777777" w:rsidTr="00C9646F">
        <w:tblPrEx>
          <w:tblW w:w="9265" w:type="dxa"/>
          <w:jc w:val="center"/>
          <w:tblLayout w:type="fixed"/>
          <w:tblLook w:val="04A0"/>
        </w:tblPrEx>
        <w:trPr>
          <w:trHeight w:val="485"/>
          <w:jc w:val="center"/>
        </w:trPr>
        <w:tc>
          <w:tcPr>
            <w:tcW w:w="2880" w:type="dxa"/>
          </w:tcPr>
          <w:p w:rsidR="00C9646F" w:rsidRPr="003E52C0" w:rsidP="00C9646F" w14:paraId="7BE65D6A" w14:textId="77777777">
            <w:pPr>
              <w:numPr>
                <w:ilvl w:val="0"/>
                <w:numId w:val="18"/>
              </w:numPr>
              <w:spacing w:after="0"/>
              <w:contextualSpacing/>
              <w:rPr>
                <w:rFonts w:eastAsia="Calibri"/>
                <w:sz w:val="20"/>
                <w:szCs w:val="20"/>
              </w:rPr>
            </w:pPr>
            <w:r w:rsidRPr="003E52C0">
              <w:rPr>
                <w:rFonts w:eastAsia="Calibri"/>
                <w:sz w:val="20"/>
                <w:szCs w:val="20"/>
              </w:rPr>
              <w:t>Comply with certain geographic restrictions</w:t>
            </w:r>
          </w:p>
        </w:tc>
        <w:tc>
          <w:tcPr>
            <w:tcW w:w="1615" w:type="dxa"/>
          </w:tcPr>
          <w:p w:rsidR="00C9646F" w:rsidRPr="003E52C0" w:rsidP="00C9646F" w14:paraId="4F9AB8D2" w14:textId="77777777">
            <w:pPr>
              <w:spacing w:after="0"/>
              <w:contextualSpacing/>
              <w:jc w:val="center"/>
              <w:rPr>
                <w:rFonts w:eastAsia="Calibri"/>
                <w:sz w:val="20"/>
                <w:szCs w:val="20"/>
              </w:rPr>
            </w:pPr>
            <w:r w:rsidRPr="003E52C0">
              <w:rPr>
                <w:sz w:val="20"/>
                <w:szCs w:val="20"/>
              </w:rPr>
              <w:t>Financial institutions</w:t>
            </w:r>
          </w:p>
        </w:tc>
        <w:tc>
          <w:tcPr>
            <w:tcW w:w="1175" w:type="dxa"/>
          </w:tcPr>
          <w:p w:rsidR="00C9646F" w:rsidRPr="003E52C0" w:rsidP="00C9646F" w14:paraId="7DB1404E" w14:textId="77777777">
            <w:pPr>
              <w:spacing w:after="0"/>
              <w:contextualSpacing/>
              <w:jc w:val="center"/>
              <w:rPr>
                <w:rFonts w:eastAsia="Calibri"/>
                <w:sz w:val="20"/>
                <w:szCs w:val="20"/>
              </w:rPr>
            </w:pPr>
            <w:r w:rsidRPr="003E52C0">
              <w:rPr>
                <w:rFonts w:eastAsia="Calibri"/>
                <w:sz w:val="20"/>
                <w:szCs w:val="20"/>
              </w:rPr>
              <w:t>$106</w:t>
            </w:r>
          </w:p>
        </w:tc>
        <w:tc>
          <w:tcPr>
            <w:tcW w:w="1885" w:type="dxa"/>
          </w:tcPr>
          <w:p w:rsidR="00C9646F" w:rsidRPr="003E52C0" w:rsidP="00C9646F" w14:paraId="13FCDF62" w14:textId="77777777">
            <w:pPr>
              <w:spacing w:after="0"/>
              <w:contextualSpacing/>
              <w:jc w:val="center"/>
              <w:rPr>
                <w:rFonts w:eastAsia="Calibri"/>
                <w:sz w:val="20"/>
                <w:szCs w:val="20"/>
              </w:rPr>
            </w:pPr>
            <w:r w:rsidRPr="003E52C0">
              <w:rPr>
                <w:rFonts w:eastAsia="Calibri"/>
                <w:sz w:val="20"/>
                <w:szCs w:val="20"/>
              </w:rPr>
              <w:t>0 in Year 1; 0 in Years 2+</w:t>
            </w:r>
          </w:p>
        </w:tc>
        <w:tc>
          <w:tcPr>
            <w:tcW w:w="1710" w:type="dxa"/>
          </w:tcPr>
          <w:p w:rsidR="00C9646F" w:rsidRPr="003E52C0" w:rsidP="00C9646F" w14:paraId="67126D91" w14:textId="77777777">
            <w:pPr>
              <w:spacing w:after="0"/>
              <w:contextualSpacing/>
              <w:jc w:val="center"/>
              <w:rPr>
                <w:rFonts w:eastAsia="Calibri"/>
                <w:sz w:val="20"/>
                <w:szCs w:val="20"/>
              </w:rPr>
            </w:pPr>
            <w:r w:rsidRPr="003E52C0">
              <w:rPr>
                <w:rFonts w:eastAsia="Calibri"/>
                <w:sz w:val="20"/>
                <w:szCs w:val="20"/>
              </w:rPr>
              <w:t>$0 in Year 1; $0 in Years 2+</w:t>
            </w:r>
          </w:p>
        </w:tc>
      </w:tr>
      <w:tr w14:paraId="0C18051A" w14:textId="77777777" w:rsidTr="00C9646F">
        <w:tblPrEx>
          <w:tblW w:w="9265" w:type="dxa"/>
          <w:jc w:val="center"/>
          <w:tblLayout w:type="fixed"/>
          <w:tblLook w:val="04A0"/>
        </w:tblPrEx>
        <w:trPr>
          <w:trHeight w:val="485"/>
          <w:jc w:val="center"/>
        </w:trPr>
        <w:tc>
          <w:tcPr>
            <w:tcW w:w="2880" w:type="dxa"/>
          </w:tcPr>
          <w:p w:rsidR="00C9646F" w:rsidRPr="003E52C0" w:rsidP="00C9646F" w14:paraId="7910D3A4" w14:textId="77777777">
            <w:pPr>
              <w:numPr>
                <w:ilvl w:val="0"/>
                <w:numId w:val="18"/>
              </w:numPr>
              <w:spacing w:after="0"/>
              <w:contextualSpacing/>
              <w:rPr>
                <w:rFonts w:eastAsia="Calibri"/>
                <w:sz w:val="20"/>
                <w:szCs w:val="20"/>
              </w:rPr>
            </w:pPr>
            <w:r w:rsidRPr="003E52C0">
              <w:rPr>
                <w:sz w:val="20"/>
                <w:szCs w:val="20"/>
              </w:rPr>
              <w:t>Notify FinCEN of information demand from foreign government</w:t>
            </w:r>
          </w:p>
        </w:tc>
        <w:tc>
          <w:tcPr>
            <w:tcW w:w="1615" w:type="dxa"/>
          </w:tcPr>
          <w:p w:rsidR="00C9646F" w:rsidRPr="003E52C0" w:rsidP="00C9646F" w14:paraId="15942E45" w14:textId="77777777">
            <w:pPr>
              <w:spacing w:after="0"/>
              <w:contextualSpacing/>
              <w:jc w:val="center"/>
              <w:rPr>
                <w:rFonts w:eastAsia="Calibri"/>
                <w:sz w:val="20"/>
                <w:szCs w:val="20"/>
              </w:rPr>
            </w:pPr>
            <w:r w:rsidRPr="003E52C0">
              <w:rPr>
                <w:sz w:val="20"/>
                <w:szCs w:val="20"/>
              </w:rPr>
              <w:t>Financial institutions</w:t>
            </w:r>
          </w:p>
        </w:tc>
        <w:tc>
          <w:tcPr>
            <w:tcW w:w="1175" w:type="dxa"/>
          </w:tcPr>
          <w:p w:rsidR="00C9646F" w:rsidRPr="003E52C0" w:rsidP="00C9646F" w14:paraId="70BFD1EC" w14:textId="77777777">
            <w:pPr>
              <w:spacing w:after="0"/>
              <w:contextualSpacing/>
              <w:jc w:val="center"/>
              <w:rPr>
                <w:rFonts w:eastAsia="Calibri"/>
                <w:sz w:val="20"/>
                <w:szCs w:val="20"/>
              </w:rPr>
            </w:pPr>
            <w:r w:rsidRPr="003E52C0">
              <w:rPr>
                <w:rFonts w:eastAsia="Calibri"/>
                <w:sz w:val="20"/>
                <w:szCs w:val="20"/>
              </w:rPr>
              <w:t>$106</w:t>
            </w:r>
          </w:p>
        </w:tc>
        <w:tc>
          <w:tcPr>
            <w:tcW w:w="1885" w:type="dxa"/>
          </w:tcPr>
          <w:p w:rsidR="00C9646F" w:rsidRPr="003E52C0" w:rsidP="00C9646F" w14:paraId="09E5482B" w14:textId="77777777">
            <w:pPr>
              <w:spacing w:after="0"/>
              <w:contextualSpacing/>
              <w:jc w:val="center"/>
              <w:rPr>
                <w:rFonts w:eastAsia="Calibri"/>
                <w:sz w:val="20"/>
                <w:szCs w:val="20"/>
              </w:rPr>
            </w:pPr>
            <w:r w:rsidRPr="003E52C0">
              <w:rPr>
                <w:rFonts w:eastAsia="Calibri"/>
                <w:sz w:val="20"/>
                <w:szCs w:val="20"/>
              </w:rPr>
              <w:t xml:space="preserve">0 in Year 1; 0 in </w:t>
            </w:r>
            <w:r w:rsidRPr="003E52C0">
              <w:rPr>
                <w:rFonts w:eastAsia="Calibri"/>
                <w:sz w:val="20"/>
                <w:szCs w:val="20"/>
              </w:rPr>
              <w:t>Years 2+</w:t>
            </w:r>
          </w:p>
        </w:tc>
        <w:tc>
          <w:tcPr>
            <w:tcW w:w="1710" w:type="dxa"/>
          </w:tcPr>
          <w:p w:rsidR="00C9646F" w:rsidRPr="003E52C0" w:rsidP="00C9646F" w14:paraId="3C0E4FCB" w14:textId="77777777">
            <w:pPr>
              <w:spacing w:after="0"/>
              <w:contextualSpacing/>
              <w:jc w:val="center"/>
              <w:rPr>
                <w:rFonts w:eastAsia="Calibri"/>
                <w:sz w:val="20"/>
                <w:szCs w:val="20"/>
              </w:rPr>
            </w:pPr>
            <w:r w:rsidRPr="003E52C0">
              <w:rPr>
                <w:rFonts w:eastAsia="Calibri"/>
                <w:sz w:val="20"/>
                <w:szCs w:val="20"/>
              </w:rPr>
              <w:t>$0 in Year 1; $0 in Years 2+</w:t>
            </w:r>
          </w:p>
        </w:tc>
      </w:tr>
      <w:tr w14:paraId="4C9B88B0" w14:textId="77777777" w:rsidTr="00C9646F">
        <w:tblPrEx>
          <w:tblW w:w="9265" w:type="dxa"/>
          <w:jc w:val="center"/>
          <w:tblLayout w:type="fixed"/>
          <w:tblLook w:val="04A0"/>
        </w:tblPrEx>
        <w:trPr>
          <w:trHeight w:val="485"/>
          <w:jc w:val="center"/>
        </w:trPr>
        <w:tc>
          <w:tcPr>
            <w:tcW w:w="2880" w:type="dxa"/>
          </w:tcPr>
          <w:p w:rsidR="00C9646F" w:rsidRPr="003E52C0" w:rsidP="00C9646F" w14:paraId="10886E92" w14:textId="77777777">
            <w:pPr>
              <w:spacing w:after="0"/>
              <w:contextualSpacing/>
              <w:rPr>
                <w:rFonts w:eastAsia="Calibri"/>
                <w:sz w:val="20"/>
                <w:szCs w:val="20"/>
              </w:rPr>
            </w:pPr>
            <w:r w:rsidRPr="003E52C0">
              <w:rPr>
                <w:rFonts w:eastAsia="Calibri"/>
                <w:sz w:val="20"/>
                <w:szCs w:val="20"/>
              </w:rPr>
              <w:t>Actions B, D, E, G, H, I-K</w:t>
            </w:r>
          </w:p>
        </w:tc>
        <w:tc>
          <w:tcPr>
            <w:tcW w:w="1615" w:type="dxa"/>
          </w:tcPr>
          <w:p w:rsidR="00C9646F" w:rsidRPr="003E52C0" w:rsidP="00C9646F" w14:paraId="5D068C63" w14:textId="7D723250">
            <w:pPr>
              <w:spacing w:after="0"/>
              <w:contextualSpacing/>
              <w:jc w:val="center"/>
              <w:rPr>
                <w:rFonts w:eastAsia="Calibri"/>
                <w:sz w:val="20"/>
                <w:szCs w:val="20"/>
              </w:rPr>
            </w:pPr>
            <w:r w:rsidRPr="003E52C0">
              <w:rPr>
                <w:rFonts w:eastAsia="Calibri"/>
                <w:sz w:val="20"/>
                <w:szCs w:val="20"/>
              </w:rPr>
              <w:t>SRO</w:t>
            </w:r>
          </w:p>
        </w:tc>
        <w:tc>
          <w:tcPr>
            <w:tcW w:w="1175" w:type="dxa"/>
          </w:tcPr>
          <w:p w:rsidR="00C9646F" w:rsidRPr="003E52C0" w:rsidP="00C9646F" w14:paraId="5F449864" w14:textId="77777777">
            <w:pPr>
              <w:spacing w:after="0"/>
              <w:contextualSpacing/>
              <w:jc w:val="center"/>
              <w:rPr>
                <w:rFonts w:eastAsia="Calibri"/>
                <w:sz w:val="20"/>
                <w:szCs w:val="20"/>
              </w:rPr>
            </w:pPr>
            <w:r w:rsidRPr="003E52C0">
              <w:rPr>
                <w:rFonts w:eastAsia="Calibri"/>
                <w:sz w:val="20"/>
                <w:szCs w:val="20"/>
              </w:rPr>
              <w:t>$106</w:t>
            </w:r>
          </w:p>
        </w:tc>
        <w:tc>
          <w:tcPr>
            <w:tcW w:w="1885" w:type="dxa"/>
          </w:tcPr>
          <w:p w:rsidR="00C9646F" w:rsidRPr="003E52C0" w:rsidP="00C9646F" w14:paraId="659719C7" w14:textId="77777777">
            <w:pPr>
              <w:spacing w:after="0"/>
              <w:contextualSpacing/>
              <w:jc w:val="center"/>
              <w:rPr>
                <w:rFonts w:eastAsia="Calibri"/>
                <w:sz w:val="20"/>
                <w:szCs w:val="20"/>
              </w:rPr>
            </w:pPr>
            <w:r w:rsidRPr="003E52C0">
              <w:rPr>
                <w:rFonts w:eastAsia="Calibri"/>
                <w:sz w:val="20"/>
                <w:szCs w:val="20"/>
              </w:rPr>
              <w:t>3,283 in Year 1; 955 in Years 2+</w:t>
            </w:r>
          </w:p>
        </w:tc>
        <w:tc>
          <w:tcPr>
            <w:tcW w:w="1710" w:type="dxa"/>
          </w:tcPr>
          <w:p w:rsidR="00C9646F" w:rsidRPr="003E52C0" w:rsidP="00C9646F" w14:paraId="70C4E53F" w14:textId="77777777">
            <w:pPr>
              <w:spacing w:after="0"/>
              <w:contextualSpacing/>
              <w:jc w:val="center"/>
              <w:rPr>
                <w:rFonts w:eastAsia="Calibri"/>
                <w:sz w:val="20"/>
                <w:szCs w:val="20"/>
              </w:rPr>
            </w:pPr>
            <w:r w:rsidRPr="003E52C0">
              <w:rPr>
                <w:rFonts w:eastAsia="Calibri"/>
                <w:sz w:val="20"/>
                <w:szCs w:val="20"/>
              </w:rPr>
              <w:t>$347,998 in Year 1; $101,230 in Years 2+</w:t>
            </w:r>
          </w:p>
        </w:tc>
      </w:tr>
      <w:tr w14:paraId="78FDB262" w14:textId="77777777" w:rsidTr="00C9646F">
        <w:tblPrEx>
          <w:tblW w:w="9265" w:type="dxa"/>
          <w:jc w:val="center"/>
          <w:tblLayout w:type="fixed"/>
          <w:tblLook w:val="04A0"/>
        </w:tblPrEx>
        <w:trPr>
          <w:trHeight w:val="1086"/>
          <w:jc w:val="center"/>
        </w:trPr>
        <w:tc>
          <w:tcPr>
            <w:tcW w:w="7555" w:type="dxa"/>
            <w:gridSpan w:val="4"/>
            <w:vAlign w:val="center"/>
          </w:tcPr>
          <w:p w:rsidR="00C9646F" w:rsidRPr="003E52C0" w:rsidP="00C9646F" w14:paraId="05D7A9DF" w14:textId="63A1E022">
            <w:pPr>
              <w:spacing w:after="0"/>
              <w:contextualSpacing/>
              <w:rPr>
                <w:rFonts w:eastAsia="Calibri"/>
                <w:b/>
                <w:bCs/>
                <w:sz w:val="20"/>
                <w:szCs w:val="20"/>
              </w:rPr>
            </w:pPr>
            <w:r w:rsidRPr="003E52C0">
              <w:rPr>
                <w:rFonts w:eastAsia="Calibri"/>
                <w:b/>
                <w:bCs/>
                <w:sz w:val="20"/>
                <w:szCs w:val="20"/>
              </w:rPr>
              <w:t>Total Annual Cost</w:t>
            </w:r>
          </w:p>
        </w:tc>
        <w:tc>
          <w:tcPr>
            <w:tcW w:w="1710" w:type="dxa"/>
            <w:vAlign w:val="center"/>
          </w:tcPr>
          <w:p w:rsidR="00C9646F" w:rsidRPr="003E52C0" w:rsidP="00C9646F" w14:paraId="3D9C9300" w14:textId="77777777">
            <w:pPr>
              <w:spacing w:after="0"/>
              <w:contextualSpacing/>
              <w:jc w:val="center"/>
              <w:rPr>
                <w:rFonts w:eastAsia="Calibri"/>
                <w:b/>
                <w:bCs/>
                <w:sz w:val="20"/>
                <w:szCs w:val="20"/>
              </w:rPr>
            </w:pPr>
            <w:r w:rsidRPr="003E52C0">
              <w:rPr>
                <w:rFonts w:eastAsia="Calibri"/>
                <w:b/>
                <w:bCs/>
                <w:sz w:val="20"/>
                <w:szCs w:val="20"/>
              </w:rPr>
              <w:t>$</w:t>
            </w:r>
          </w:p>
          <w:p w:rsidR="00C9646F" w:rsidRPr="003E52C0" w:rsidP="00C9646F" w14:paraId="3AC02950" w14:textId="77777777">
            <w:pPr>
              <w:spacing w:after="0"/>
              <w:contextualSpacing/>
              <w:jc w:val="center"/>
              <w:rPr>
                <w:rFonts w:eastAsia="Calibri"/>
                <w:b/>
                <w:bCs/>
                <w:sz w:val="20"/>
                <w:szCs w:val="20"/>
              </w:rPr>
            </w:pPr>
            <w:r w:rsidRPr="003E52C0">
              <w:rPr>
                <w:rFonts w:eastAsia="Calibri"/>
                <w:b/>
                <w:bCs/>
                <w:sz w:val="20"/>
                <w:szCs w:val="20"/>
              </w:rPr>
              <w:t>868,200,270 in Year 1; $339,309,502 in Years 2+</w:t>
            </w:r>
          </w:p>
        </w:tc>
      </w:tr>
    </w:tbl>
    <w:p w:rsidR="00CD7EF4" w:rsidRPr="00AD22D9" w:rsidP="00AD22D9" w14:paraId="7A843D4F" w14:textId="4C4FE013">
      <w:pPr>
        <w:spacing w:before="284"/>
        <w:rPr>
          <w:szCs w:val="22"/>
        </w:rPr>
      </w:pPr>
      <w:r>
        <w:rPr>
          <w:szCs w:val="22"/>
        </w:rPr>
        <w:t xml:space="preserve">14. </w:t>
      </w:r>
      <w:r>
        <w:rPr>
          <w:szCs w:val="22"/>
          <w:u w:val="single"/>
        </w:rPr>
        <w:t>Estima</w:t>
      </w:r>
      <w:r w:rsidR="00902855">
        <w:rPr>
          <w:szCs w:val="22"/>
          <w:u w:val="single"/>
        </w:rPr>
        <w:t>ted annual cost to the Federal g</w:t>
      </w:r>
      <w:r>
        <w:rPr>
          <w:szCs w:val="22"/>
          <w:u w:val="single"/>
        </w:rPr>
        <w:t>overnment.</w:t>
      </w:r>
      <w:r>
        <w:rPr>
          <w:szCs w:val="22"/>
        </w:rPr>
        <w:t xml:space="preserve"> </w:t>
      </w:r>
    </w:p>
    <w:p w:rsidR="00F424DD" w:rsidP="006F61FF" w14:paraId="44A16FED" w14:textId="4E6A6C5E">
      <w:pPr>
        <w:widowControl w:val="0"/>
        <w:spacing w:before="284"/>
        <w:ind w:firstLine="720"/>
      </w:pPr>
      <w:r>
        <w:t xml:space="preserve">The Federal government would have costs under the </w:t>
      </w:r>
      <w:r w:rsidR="00A867D3">
        <w:t xml:space="preserve">final </w:t>
      </w:r>
      <w:r>
        <w:t>rule because Federal government agencies may be authorized recipients of BOI.  Federal government agencies would also incur costs associated with coordinating and submitting reque</w:t>
      </w:r>
      <w:r>
        <w:t>sts for BOI on behalf of foreign requesters.  Additionally, FinCEN itself would have costs associated with administering access to BOI.</w:t>
      </w:r>
      <w:r w:rsidR="00200317">
        <w:t xml:space="preserve">  </w:t>
      </w:r>
      <w:r w:rsidR="00CD7EF4">
        <w:t>FinCEN estimates that the maximum overall cost to the Federal government would be $</w:t>
      </w:r>
      <w:r w:rsidR="00600211">
        <w:t>91,</w:t>
      </w:r>
      <w:r w:rsidR="005439CF">
        <w:t xml:space="preserve">377,200 </w:t>
      </w:r>
      <w:r w:rsidR="00CD7EF4">
        <w:t xml:space="preserve">in year 1.  This is the total of </w:t>
      </w:r>
      <w:r w:rsidR="00596881">
        <w:t>$</w:t>
      </w:r>
      <w:r w:rsidR="005053DF">
        <w:t>78,377,200</w:t>
      </w:r>
      <w:r w:rsidR="00751C41">
        <w:t xml:space="preserve"> </w:t>
      </w:r>
      <w:r w:rsidR="00CD7EF4">
        <w:t xml:space="preserve">the maximum aggregate cost estimate for Federal agencies of meeting the </w:t>
      </w:r>
      <w:r w:rsidR="002B60F8">
        <w:t xml:space="preserve">final </w:t>
      </w:r>
      <w:r w:rsidR="00CD7EF4">
        <w:t>rule’s requirements to access BOI</w:t>
      </w:r>
      <w:r>
        <w:rPr>
          <w:rStyle w:val="FootnoteReference"/>
        </w:rPr>
        <w:footnoteReference w:id="23"/>
      </w:r>
      <w:r w:rsidR="00CD7EF4">
        <w:t xml:space="preserve">and the estimated </w:t>
      </w:r>
      <w:r w:rsidR="005A1DB3">
        <w:t xml:space="preserve">$13 </w:t>
      </w:r>
      <w:r w:rsidR="00CD7EF4">
        <w:t xml:space="preserve">million in FinCEN administration costs.  In year 2 and onward, this estimated cost would be </w:t>
      </w:r>
      <w:r w:rsidR="00470A5F">
        <w:t>$</w:t>
      </w:r>
      <w:r w:rsidR="00842140">
        <w:t>73,707,680</w:t>
      </w:r>
      <w:r w:rsidR="00147897">
        <w:t xml:space="preserve">.  </w:t>
      </w:r>
      <w:r w:rsidR="00CD7EF4">
        <w:t xml:space="preserve">This is the total of </w:t>
      </w:r>
      <w:r w:rsidR="00147897">
        <w:t xml:space="preserve">$60,707,680 </w:t>
      </w:r>
      <w:r w:rsidR="00CD7EF4">
        <w:t xml:space="preserve">the maximum cost estimate for Federal agencies’ meeting the </w:t>
      </w:r>
      <w:r w:rsidR="00FE24CF">
        <w:t xml:space="preserve">final </w:t>
      </w:r>
      <w:r w:rsidR="00CD7EF4">
        <w:t>rule’s requirements to access BOI</w:t>
      </w:r>
      <w:r>
        <w:rPr>
          <w:rStyle w:val="FootnoteReference"/>
        </w:rPr>
        <w:footnoteReference w:id="24"/>
      </w:r>
      <w:r w:rsidR="00CD7EF4">
        <w:t xml:space="preserve"> and the estimated </w:t>
      </w:r>
      <w:r w:rsidR="008F5EAF">
        <w:t xml:space="preserve">$13 </w:t>
      </w:r>
      <w:r w:rsidR="00CD7EF4">
        <w:t xml:space="preserve">million in FinCEN administration </w:t>
      </w:r>
      <w:r w:rsidR="00CD7EF4">
        <w:t xml:space="preserve">costs.  </w:t>
      </w:r>
      <w:r w:rsidRPr="005B38E7" w:rsidR="00CD7EF4">
        <w:t>The</w:t>
      </w:r>
      <w:r w:rsidR="00CD7EF4">
        <w:t xml:space="preserve"> </w:t>
      </w:r>
      <w:r w:rsidRPr="005B38E7" w:rsidR="00CD7EF4">
        <w:t xml:space="preserve">5-year average annual cost estimate is </w:t>
      </w:r>
      <w:r w:rsidR="00781D07">
        <w:t>$</w:t>
      </w:r>
      <w:r w:rsidR="001E33CD">
        <w:t>77,241</w:t>
      </w:r>
      <w:r w:rsidR="00FA64A9">
        <w:t>,584</w:t>
      </w:r>
      <w:r w:rsidR="00370537">
        <w:t xml:space="preserve"> </w:t>
      </w:r>
      <w:r w:rsidRPr="005B38E7" w:rsidR="00CD7EF4">
        <w:t>.</w:t>
      </w:r>
      <w:r>
        <w:rPr>
          <w:rStyle w:val="FootnoteReference"/>
        </w:rPr>
        <w:footnoteReference w:id="25"/>
      </w:r>
    </w:p>
    <w:p w:rsidR="00256E0C" w:rsidRPr="003E52C0" w:rsidP="006F61FF" w14:paraId="4299E8D4" w14:textId="42C2C9C1">
      <w:pPr>
        <w:spacing w:before="284"/>
        <w:rPr>
          <w:szCs w:val="22"/>
        </w:rPr>
      </w:pPr>
      <w:r>
        <w:rPr>
          <w:szCs w:val="22"/>
        </w:rPr>
        <w:t xml:space="preserve">15. </w:t>
      </w:r>
      <w:r w:rsidR="00902855">
        <w:rPr>
          <w:szCs w:val="22"/>
          <w:u w:val="single"/>
        </w:rPr>
        <w:t>Reason for c</w:t>
      </w:r>
      <w:r>
        <w:rPr>
          <w:szCs w:val="22"/>
          <w:u w:val="single"/>
        </w:rPr>
        <w:t>ha</w:t>
      </w:r>
      <w:r w:rsidR="00902855">
        <w:rPr>
          <w:szCs w:val="22"/>
          <w:u w:val="single"/>
        </w:rPr>
        <w:t>nge in b</w:t>
      </w:r>
      <w:r>
        <w:rPr>
          <w:szCs w:val="22"/>
          <w:u w:val="single"/>
        </w:rPr>
        <w:t>urden.</w:t>
      </w:r>
      <w:r>
        <w:rPr>
          <w:szCs w:val="22"/>
        </w:rPr>
        <w:t xml:space="preserve"> </w:t>
      </w:r>
    </w:p>
    <w:p w:rsidR="00F90779" w:rsidP="006F61FF" w14:paraId="368C2EF6" w14:textId="62F6C02D">
      <w:pPr>
        <w:pStyle w:val="FootnoteText"/>
        <w:spacing w:before="284"/>
        <w:ind w:firstLine="720"/>
        <w:rPr>
          <w:sz w:val="24"/>
          <w:szCs w:val="24"/>
        </w:rPr>
      </w:pPr>
      <w:r>
        <w:rPr>
          <w:sz w:val="24"/>
          <w:szCs w:val="24"/>
        </w:rPr>
        <w:t xml:space="preserve">The burden estimate has changed from the </w:t>
      </w:r>
      <w:r w:rsidR="0006449D">
        <w:rPr>
          <w:sz w:val="24"/>
          <w:szCs w:val="24"/>
        </w:rPr>
        <w:t xml:space="preserve">Access </w:t>
      </w:r>
      <w:r>
        <w:rPr>
          <w:sz w:val="24"/>
          <w:szCs w:val="24"/>
        </w:rPr>
        <w:t xml:space="preserve">NPRM in response to comments and due to changes made in the final rule.  Additionally, burden estimates have changed because of ongoing technological development. </w:t>
      </w:r>
    </w:p>
    <w:p w:rsidR="00600940" w:rsidRPr="00467461" w:rsidP="006F61FF" w14:paraId="23E3769B" w14:textId="1301478E">
      <w:pPr>
        <w:spacing w:before="284"/>
        <w:ind w:firstLine="720"/>
      </w:pPr>
      <w:r>
        <w:t>In response to comments, FinCEN has made the following changes to its estimates: increased t</w:t>
      </w:r>
      <w:r>
        <w:t>he number of SROs that may access BOI; i</w:t>
      </w:r>
      <w:r w:rsidRPr="003C52A7">
        <w:t xml:space="preserve">ncreased </w:t>
      </w:r>
      <w:r>
        <w:t>the</w:t>
      </w:r>
      <w:r w:rsidRPr="003C52A7">
        <w:t xml:space="preserve"> hourly burden </w:t>
      </w:r>
      <w:r>
        <w:t xml:space="preserve">for financial institutions </w:t>
      </w:r>
      <w:r w:rsidRPr="003C52A7">
        <w:t xml:space="preserve">to </w:t>
      </w:r>
      <w:r>
        <w:t>e</w:t>
      </w:r>
      <w:r w:rsidRPr="003C52A7">
        <w:t>stablish administrative and physical safeguards by 200</w:t>
      </w:r>
      <w:r>
        <w:t xml:space="preserve"> percent; i</w:t>
      </w:r>
      <w:r w:rsidRPr="003C52A7">
        <w:t xml:space="preserve">ncreased </w:t>
      </w:r>
      <w:r>
        <w:t xml:space="preserve">the hourly burden for financial institutions </w:t>
      </w:r>
      <w:r w:rsidRPr="003C52A7">
        <w:t>to</w:t>
      </w:r>
      <w:r>
        <w:t xml:space="preserve"> o</w:t>
      </w:r>
      <w:r w:rsidRPr="003C52A7">
        <w:t>btain and document customer consent</w:t>
      </w:r>
      <w:r>
        <w:t xml:space="preserve"> </w:t>
      </w:r>
      <w:r w:rsidRPr="003C52A7">
        <w:t>by 400</w:t>
      </w:r>
      <w:r w:rsidR="00743833">
        <w:t>–</w:t>
      </w:r>
      <w:r w:rsidRPr="003C52A7">
        <w:t>600</w:t>
      </w:r>
      <w:r>
        <w:t xml:space="preserve"> percent in year 1 and an additional 10 to 20 hours in subsequent years; and i</w:t>
      </w:r>
      <w:r w:rsidRPr="00A81959">
        <w:t xml:space="preserve">ncreased the expected number of </w:t>
      </w:r>
      <w:r>
        <w:t xml:space="preserve">financial institution </w:t>
      </w:r>
      <w:r w:rsidRPr="00A81959">
        <w:t xml:space="preserve">employees requiring training to 4 to 5 for small </w:t>
      </w:r>
      <w:r>
        <w:t xml:space="preserve">financial institutions </w:t>
      </w:r>
      <w:r w:rsidRPr="00A81959">
        <w:t xml:space="preserve">and 25 to 30 for large </w:t>
      </w:r>
      <w:r>
        <w:t>financial institut</w:t>
      </w:r>
      <w:r>
        <w:t>ions.  FinCEN also decreased the hourly burden estimate for written certification of requests by State, local, and Tribal law enforcement agencies, and described additional requirements for financial institutions, consistent with changes made to this requi</w:t>
      </w:r>
      <w:r>
        <w:t xml:space="preserve">rement in the final rule.  FinCEN also made changes to update data, underlying sources, and estimates with more recent information, if available. </w:t>
      </w:r>
      <w:r w:rsidR="0017077D">
        <w:t xml:space="preserve"> </w:t>
      </w:r>
      <w:r>
        <w:t xml:space="preserve">Please see the NPRM’s PRA section and the final rule’s PRA section for details on the </w:t>
      </w:r>
      <w:r w:rsidR="006318D7">
        <w:t>in</w:t>
      </w:r>
      <w:r w:rsidR="00CF1C28">
        <w:t>i</w:t>
      </w:r>
      <w:r w:rsidR="006318D7">
        <w:t>tial</w:t>
      </w:r>
      <w:r>
        <w:t xml:space="preserve"> and updated est</w:t>
      </w:r>
      <w:r>
        <w:t>imates.</w:t>
      </w:r>
    </w:p>
    <w:p w:rsidR="00F424DD" w:rsidRPr="00164FB9" w:rsidP="006F61FF" w14:paraId="754EEAD5" w14:textId="788E0934">
      <w:pPr>
        <w:spacing w:before="284"/>
        <w:rPr>
          <w:szCs w:val="22"/>
        </w:rPr>
      </w:pPr>
      <w:r>
        <w:rPr>
          <w:szCs w:val="22"/>
        </w:rPr>
        <w:t xml:space="preserve">16. </w:t>
      </w:r>
      <w:r w:rsidR="00902855">
        <w:rPr>
          <w:szCs w:val="22"/>
          <w:u w:val="single"/>
        </w:rPr>
        <w:t>Plans for t</w:t>
      </w:r>
      <w:r>
        <w:rPr>
          <w:szCs w:val="22"/>
          <w:u w:val="single"/>
        </w:rPr>
        <w:t>abulat</w:t>
      </w:r>
      <w:r w:rsidR="00902855">
        <w:rPr>
          <w:szCs w:val="22"/>
          <w:u w:val="single"/>
        </w:rPr>
        <w:t>ion, statistical analysis, and p</w:t>
      </w:r>
      <w:r>
        <w:rPr>
          <w:szCs w:val="22"/>
          <w:u w:val="single"/>
        </w:rPr>
        <w:t>ublication.</w:t>
      </w:r>
      <w:r>
        <w:rPr>
          <w:szCs w:val="22"/>
        </w:rPr>
        <w:t xml:space="preserve"> </w:t>
      </w:r>
    </w:p>
    <w:p w:rsidR="003D413A" w:rsidRPr="00164FB9" w:rsidP="006F61FF" w14:paraId="15738878" w14:textId="64D9752D">
      <w:pPr>
        <w:spacing w:before="284"/>
        <w:ind w:firstLine="720"/>
      </w:pPr>
      <w:r w:rsidRPr="005A7C0B">
        <w:t>The information will not be tabulated or compiled for publication.</w:t>
      </w:r>
    </w:p>
    <w:p w:rsidR="00F424DD" w:rsidRPr="00AB3047" w:rsidP="006F61FF" w14:paraId="1D5B6A14" w14:textId="3A8416BE">
      <w:pPr>
        <w:spacing w:before="284"/>
        <w:rPr>
          <w:szCs w:val="22"/>
        </w:rPr>
      </w:pPr>
      <w:r w:rsidRPr="00AB3047">
        <w:rPr>
          <w:szCs w:val="22"/>
        </w:rPr>
        <w:t xml:space="preserve">17. </w:t>
      </w:r>
      <w:r w:rsidRPr="00AB3047">
        <w:rPr>
          <w:szCs w:val="22"/>
          <w:u w:val="single"/>
        </w:rPr>
        <w:t xml:space="preserve">Request </w:t>
      </w:r>
      <w:r w:rsidRPr="00AB3047" w:rsidR="00902855">
        <w:rPr>
          <w:szCs w:val="22"/>
          <w:u w:val="single"/>
        </w:rPr>
        <w:t>not to d</w:t>
      </w:r>
      <w:r w:rsidRPr="00AB3047">
        <w:rPr>
          <w:szCs w:val="22"/>
          <w:u w:val="single"/>
        </w:rPr>
        <w:t xml:space="preserve">isplay </w:t>
      </w:r>
      <w:r w:rsidRPr="00AB3047" w:rsidR="00902855">
        <w:rPr>
          <w:szCs w:val="22"/>
          <w:u w:val="single"/>
        </w:rPr>
        <w:t>expiration date of OMB control n</w:t>
      </w:r>
      <w:r w:rsidRPr="00AB3047">
        <w:rPr>
          <w:szCs w:val="22"/>
          <w:u w:val="single"/>
        </w:rPr>
        <w:t>umber.</w:t>
      </w:r>
      <w:r w:rsidRPr="00AB3047">
        <w:rPr>
          <w:szCs w:val="22"/>
        </w:rPr>
        <w:t xml:space="preserve"> </w:t>
      </w:r>
    </w:p>
    <w:p w:rsidR="003D413A" w:rsidP="006F61FF" w14:paraId="64626DEB" w14:textId="7A96DBD4">
      <w:pPr>
        <w:spacing w:before="284"/>
        <w:ind w:firstLine="720"/>
        <w:rPr>
          <w:szCs w:val="22"/>
        </w:rPr>
      </w:pPr>
      <w:r w:rsidRPr="00AB3047">
        <w:rPr>
          <w:szCs w:val="22"/>
        </w:rPr>
        <w:t xml:space="preserve">FinCEN requests </w:t>
      </w:r>
      <w:r w:rsidRPr="005A7C0B">
        <w:rPr>
          <w:szCs w:val="22"/>
        </w:rPr>
        <w:t>that it not be required to displ</w:t>
      </w:r>
      <w:r w:rsidRPr="005A7C0B">
        <w:rPr>
          <w:szCs w:val="22"/>
        </w:rPr>
        <w:t>ay the expiration date so that the regulations will not have to be amended for the new expiration date every three years.</w:t>
      </w:r>
      <w:r>
        <w:rPr>
          <w:szCs w:val="22"/>
        </w:rPr>
        <w:t xml:space="preserve">  </w:t>
      </w:r>
    </w:p>
    <w:p w:rsidR="00600940" w:rsidP="006F61FF" w14:paraId="6ECB9486" w14:textId="64B93C2F">
      <w:pPr>
        <w:spacing w:before="284"/>
        <w:rPr>
          <w:szCs w:val="22"/>
        </w:rPr>
      </w:pPr>
      <w:r>
        <w:rPr>
          <w:szCs w:val="22"/>
        </w:rPr>
        <w:t xml:space="preserve">18. </w:t>
      </w:r>
      <w:r>
        <w:rPr>
          <w:szCs w:val="22"/>
          <w:u w:val="single"/>
        </w:rPr>
        <w:t>Exceptions</w:t>
      </w:r>
      <w:r w:rsidR="00A179B1">
        <w:rPr>
          <w:szCs w:val="22"/>
          <w:u w:val="single"/>
        </w:rPr>
        <w:t xml:space="preserve"> </w:t>
      </w:r>
      <w:r w:rsidR="00A179B1">
        <w:rPr>
          <w:u w:val="single"/>
        </w:rPr>
        <w:t>to the certification statement</w:t>
      </w:r>
      <w:r>
        <w:rPr>
          <w:szCs w:val="22"/>
          <w:u w:val="single"/>
        </w:rPr>
        <w:t>.</w:t>
      </w:r>
      <w:r>
        <w:rPr>
          <w:szCs w:val="22"/>
        </w:rPr>
        <w:t xml:space="preserve"> </w:t>
      </w:r>
    </w:p>
    <w:p w:rsidR="00600940" w:rsidP="006F61FF" w14:paraId="59F49A6B" w14:textId="2A42E1E3">
      <w:pPr>
        <w:spacing w:before="284"/>
        <w:ind w:firstLine="720"/>
      </w:pPr>
      <w:r>
        <w:rPr>
          <w:szCs w:val="22"/>
        </w:rPr>
        <w:t>There are no exceptions to the certification statement</w:t>
      </w:r>
      <w:r w:rsidR="007B5A2F">
        <w:rPr>
          <w:szCs w:val="22"/>
        </w:rPr>
        <w:t>.</w:t>
      </w:r>
    </w:p>
    <w:sectPr>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8D7" w14:paraId="0C8353ED" w14:textId="082873CF">
    <w:pPr>
      <w:pStyle w:val="Footer"/>
      <w:jc w:val="center"/>
    </w:pPr>
    <w:r>
      <w:fldChar w:fldCharType="begin"/>
    </w:r>
    <w:r>
      <w:instrText xml:space="preserve"> PAGE   \* MERGEFORMAT </w:instrText>
    </w:r>
    <w:r>
      <w:fldChar w:fldCharType="separate"/>
    </w:r>
    <w:r w:rsidR="00B23B45">
      <w:rPr>
        <w:noProof/>
      </w:rPr>
      <w:t>2</w:t>
    </w:r>
    <w:r>
      <w:rPr>
        <w:noProof/>
      </w:rPr>
      <w:fldChar w:fldCharType="end"/>
    </w:r>
  </w:p>
  <w:p w:rsidR="00CE28D7" w14:paraId="253772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6B0E" w14:paraId="50EDE964" w14:textId="77777777">
      <w:r>
        <w:separator/>
      </w:r>
    </w:p>
  </w:footnote>
  <w:footnote w:type="continuationSeparator" w:id="1">
    <w:p w:rsidR="00846B0E" w14:paraId="1B384424" w14:textId="77777777">
      <w:r>
        <w:continuationSeparator/>
      </w:r>
    </w:p>
  </w:footnote>
  <w:footnote w:type="continuationNotice" w:id="2">
    <w:p w:rsidR="00846B0E" w14:paraId="4A51FF75" w14:textId="77777777"/>
  </w:footnote>
  <w:footnote w:id="3">
    <w:p w:rsidR="009F7795" w:rsidRPr="001751EC" w:rsidP="009F7795" w14:paraId="53536959" w14:textId="59BB3579">
      <w:pPr>
        <w:pStyle w:val="FootnoteText"/>
      </w:pPr>
      <w:r w:rsidRPr="00204BED">
        <w:rPr>
          <w:rStyle w:val="FootnoteReference"/>
        </w:rPr>
        <w:footnoteRef/>
      </w:r>
      <w:r w:rsidRPr="00204BED">
        <w:t xml:space="preserve"> The CTA is Title LXIV of the </w:t>
      </w:r>
      <w:r w:rsidRPr="000E39C2">
        <w:t>William M. (Mac) Thornberry National Defense Authorization Act for Fiscal Year 2021</w:t>
      </w:r>
      <w:r w:rsidRPr="00460369">
        <w:t>,</w:t>
      </w:r>
      <w:r w:rsidRPr="00204BED">
        <w:t xml:space="preserve"> Pub. L. 116-283 (Jan</w:t>
      </w:r>
      <w:r w:rsidR="003A61DE">
        <w:t>.</w:t>
      </w:r>
      <w:r w:rsidRPr="00204BED">
        <w:t xml:space="preserve"> 1, 2021)</w:t>
      </w:r>
      <w:r>
        <w:t xml:space="preserve"> (NDAA)</w:t>
      </w:r>
      <w:r w:rsidRPr="00204BED">
        <w:t xml:space="preserve">.  </w:t>
      </w:r>
      <w:r>
        <w:t xml:space="preserve">Division F of the NDAA is the Anti-Money Laundering Act of 2020 (the AML Act), which includes the CTA.  </w:t>
      </w:r>
      <w:r w:rsidRPr="00204BED">
        <w:t xml:space="preserve">Section 6003(1) of the </w:t>
      </w:r>
      <w:r>
        <w:t>AML Act</w:t>
      </w:r>
      <w:r w:rsidRPr="00204BED">
        <w:t xml:space="preserve"> defines the </w:t>
      </w:r>
      <w:r>
        <w:t>BSA</w:t>
      </w:r>
      <w:r w:rsidRPr="00204BED">
        <w:t xml:space="preserve"> as comprising Section 21 of the Federal Deposit Insurance Act (12 U.S.C. 1829b), Chapter </w:t>
      </w:r>
      <w:r>
        <w:t xml:space="preserve">2 </w:t>
      </w:r>
      <w:r w:rsidRPr="00204BED">
        <w:t xml:space="preserve">of Title I of </w:t>
      </w:r>
      <w:r w:rsidRPr="00204BED">
        <w:t xml:space="preserve">Public Law 91-508 (12 U.S.C. 1951 </w:t>
      </w:r>
      <w:r w:rsidRPr="00204BED">
        <w:rPr>
          <w:i/>
        </w:rPr>
        <w:t>et seq.</w:t>
      </w:r>
      <w:r w:rsidRPr="00204BED">
        <w:t xml:space="preserve">), and Subchapter II of Chapter 53 of Title 31, </w:t>
      </w:r>
      <w:r>
        <w:t>United States Code.</w:t>
      </w:r>
      <w:r w:rsidRPr="00204BED">
        <w:t xml:space="preserve"> </w:t>
      </w:r>
      <w:r>
        <w:t xml:space="preserve"> </w:t>
      </w:r>
      <w:r w:rsidRPr="000F273F">
        <w:t xml:space="preserve">Congress has authorized the Secretary </w:t>
      </w:r>
      <w:r>
        <w:t xml:space="preserve">of the Treasury (Secretary) </w:t>
      </w:r>
      <w:r w:rsidRPr="000F273F">
        <w:t>to administer the BSA.  The Secretary has delegated to the Director of FinCEN th</w:t>
      </w:r>
      <w:r w:rsidRPr="000F273F">
        <w:t xml:space="preserve">e authority to implement, administer, and enforce compliance with the BSA and associated </w:t>
      </w:r>
      <w:r w:rsidRPr="001751EC">
        <w:t>regulations.  Treasury Order 180–01 (Jan. 14, 2020).</w:t>
      </w:r>
    </w:p>
  </w:footnote>
  <w:footnote w:id="4">
    <w:p w:rsidR="009F7795" w:rsidP="009F7795" w14:paraId="41FD6116" w14:textId="77777777">
      <w:pPr>
        <w:pStyle w:val="FootnoteText"/>
      </w:pPr>
      <w:r>
        <w:rPr>
          <w:rStyle w:val="FootnoteReference"/>
        </w:rPr>
        <w:footnoteRef/>
      </w:r>
      <w:r>
        <w:t xml:space="preserve"> </w:t>
      </w:r>
      <w:r w:rsidRPr="005B38E7">
        <w:t xml:space="preserve">The CTA requires </w:t>
      </w:r>
      <w:r>
        <w:t>certain legal entities, referred to as “</w:t>
      </w:r>
      <w:r w:rsidRPr="005B38E7">
        <w:t>reporting companies</w:t>
      </w:r>
      <w:r>
        <w:t>”</w:t>
      </w:r>
      <w:r w:rsidRPr="005B38E7">
        <w:t xml:space="preserve"> to report BOI to FinCEN pursuant t</w:t>
      </w:r>
      <w:r w:rsidRPr="005B38E7">
        <w:t xml:space="preserve">o 31 U.S.C. 5336(b).  </w:t>
      </w:r>
    </w:p>
  </w:footnote>
  <w:footnote w:id="5">
    <w:p w:rsidR="0047478A" w:rsidRPr="00FF3988" w:rsidP="0047478A" w14:paraId="4AB3CA9D" w14:textId="022BF816">
      <w:pPr>
        <w:pStyle w:val="FootnoteText"/>
      </w:pPr>
      <w:r w:rsidRPr="00FF3988">
        <w:rPr>
          <w:rStyle w:val="FootnoteReference"/>
        </w:rPr>
        <w:footnoteRef/>
      </w:r>
      <w:r w:rsidRPr="00FF3988">
        <w:t xml:space="preserve"> </w:t>
      </w:r>
      <w:r w:rsidRPr="00FF3988">
        <w:rPr>
          <w:i/>
        </w:rPr>
        <w:t>See</w:t>
      </w:r>
      <w:r w:rsidRPr="00FF3988">
        <w:t xml:space="preserve"> </w:t>
      </w:r>
      <w:r w:rsidR="0093003E">
        <w:t>87</w:t>
      </w:r>
      <w:r w:rsidRPr="00FF3988">
        <w:t xml:space="preserve"> FR </w:t>
      </w:r>
      <w:r w:rsidR="0093003E">
        <w:t>59498 (Sept. 30, 2022).</w:t>
      </w:r>
    </w:p>
  </w:footnote>
  <w:footnote w:id="6">
    <w:p w:rsidR="0047478A" w:rsidP="0047478A" w14:paraId="6E70BEC0" w14:textId="77777777">
      <w:pPr>
        <w:pStyle w:val="FootnoteText"/>
      </w:pPr>
      <w:r>
        <w:rPr>
          <w:rStyle w:val="FootnoteReference"/>
        </w:rPr>
        <w:footnoteRef/>
      </w:r>
      <w:r>
        <w:t xml:space="preserve"> </w:t>
      </w:r>
      <w:r w:rsidRPr="00895BD1">
        <w:rPr>
          <w:i/>
        </w:rPr>
        <w:t>See</w:t>
      </w:r>
      <w:r>
        <w:t xml:space="preserve"> </w:t>
      </w:r>
      <w:r w:rsidRPr="001F0ABB">
        <w:t xml:space="preserve">31 U.S.C. 5336(c)(2).  </w:t>
      </w:r>
    </w:p>
  </w:footnote>
  <w:footnote w:id="7">
    <w:p w:rsidR="0047478A" w:rsidRPr="00FF3988" w:rsidP="0047478A" w14:paraId="7652C428" w14:textId="77777777">
      <w:pPr>
        <w:pStyle w:val="FootnoteText"/>
      </w:pPr>
      <w:r w:rsidRPr="00FF3988">
        <w:rPr>
          <w:rStyle w:val="FootnoteReference"/>
        </w:rPr>
        <w:footnoteRef/>
      </w:r>
      <w:r w:rsidRPr="00FF3988">
        <w:t xml:space="preserve"> </w:t>
      </w:r>
      <w:r w:rsidRPr="00FF3988">
        <w:rPr>
          <w:i/>
        </w:rPr>
        <w:t>See</w:t>
      </w:r>
      <w:r w:rsidRPr="00FF3988">
        <w:t xml:space="preserve"> </w:t>
      </w:r>
      <w:r w:rsidRPr="00FF3988">
        <w:rPr>
          <w:szCs w:val="24"/>
        </w:rPr>
        <w:t>31 U.S.C. 5336(c)(5).</w:t>
      </w:r>
    </w:p>
  </w:footnote>
  <w:footnote w:id="8">
    <w:p w:rsidR="0047478A" w:rsidP="0047478A" w14:paraId="603C2ED6" w14:textId="77777777">
      <w:pPr>
        <w:pStyle w:val="FootnoteText"/>
      </w:pPr>
      <w:r w:rsidRPr="00FF3988">
        <w:rPr>
          <w:rStyle w:val="FootnoteReference"/>
        </w:rPr>
        <w:footnoteRef/>
      </w:r>
      <w:r w:rsidRPr="00FF3988">
        <w:t xml:space="preserve"> </w:t>
      </w:r>
      <w:r w:rsidRPr="00FF3988">
        <w:rPr>
          <w:i/>
        </w:rPr>
        <w:t xml:space="preserve">See </w:t>
      </w:r>
      <w:r w:rsidRPr="00FF3988">
        <w:rPr>
          <w:szCs w:val="24"/>
        </w:rPr>
        <w:t>31 U.S.C. 5336(c)(3).</w:t>
      </w:r>
    </w:p>
  </w:footnote>
  <w:footnote w:id="9">
    <w:p w:rsidR="0047478A" w:rsidRPr="00750DBD" w:rsidP="0047478A" w14:paraId="7FDDAEC4" w14:textId="77777777">
      <w:pPr>
        <w:pStyle w:val="FootnoteText"/>
      </w:pPr>
      <w:r w:rsidRPr="00750DBD">
        <w:rPr>
          <w:rStyle w:val="FootnoteReference"/>
        </w:rPr>
        <w:footnoteRef/>
      </w:r>
      <w:r w:rsidRPr="00750DBD">
        <w:t xml:space="preserve"> </w:t>
      </w:r>
      <w:r w:rsidRPr="00750DBD">
        <w:rPr>
          <w:i/>
          <w:iCs/>
        </w:rPr>
        <w:t>See</w:t>
      </w:r>
      <w:r w:rsidRPr="00750DBD">
        <w:t xml:space="preserve"> 5 CFR 1320.3(k)</w:t>
      </w:r>
      <w:r>
        <w:t xml:space="preserve">, </w:t>
      </w:r>
      <w:r w:rsidRPr="009961BD">
        <w:t xml:space="preserve">defining </w:t>
      </w:r>
      <w:r w:rsidRPr="00D140BE">
        <w:t>“person” as an individual</w:t>
      </w:r>
      <w:r>
        <w:t>;</w:t>
      </w:r>
      <w:r w:rsidRPr="00D140BE">
        <w:t xml:space="preserve"> partnership</w:t>
      </w:r>
      <w:r>
        <w:t>;</w:t>
      </w:r>
      <w:r w:rsidRPr="00D140BE">
        <w:t xml:space="preserve"> association</w:t>
      </w:r>
      <w:r>
        <w:t>;</w:t>
      </w:r>
      <w:r w:rsidRPr="00D140BE">
        <w:t xml:space="preserve"> corporation (including operations of government-owned contractor-operated facilities)</w:t>
      </w:r>
      <w:r>
        <w:t>;</w:t>
      </w:r>
      <w:r w:rsidRPr="00D140BE">
        <w:t xml:space="preserve"> business trust, or legal representative</w:t>
      </w:r>
      <w:r>
        <w:t>;</w:t>
      </w:r>
      <w:r w:rsidRPr="00D140BE">
        <w:t xml:space="preserve"> an organized group of individuals</w:t>
      </w:r>
      <w:r>
        <w:t>;</w:t>
      </w:r>
      <w:r w:rsidRPr="00D140BE">
        <w:t xml:space="preserve"> a state, territorial, tribal, or local government or branch thereof</w:t>
      </w:r>
      <w:r>
        <w:t>;</w:t>
      </w:r>
      <w:r w:rsidRPr="00D140BE">
        <w:t xml:space="preserve"> or a political subdivis</w:t>
      </w:r>
      <w:r w:rsidRPr="00D140BE">
        <w:t>ion of a state, territory, tribal, or local government or a branch of a political subdivision</w:t>
      </w:r>
      <w:r w:rsidRPr="009961BD">
        <w:t>.</w:t>
      </w:r>
    </w:p>
  </w:footnote>
  <w:footnote w:id="10">
    <w:p w:rsidR="00FA0164" w:rsidRPr="00C71F04" w:rsidP="00FA0164" w14:paraId="4B508B86" w14:textId="77777777">
      <w:pPr>
        <w:pStyle w:val="FootnoteText"/>
      </w:pPr>
      <w:r w:rsidRPr="00C71F04">
        <w:rPr>
          <w:rStyle w:val="FootnoteReference"/>
        </w:rPr>
        <w:footnoteRef/>
      </w:r>
      <w:r w:rsidRPr="00C71F04">
        <w:t xml:space="preserve"> </w:t>
      </w:r>
      <w:r w:rsidRPr="006E2AB6">
        <w:rPr>
          <w:i/>
        </w:rPr>
        <w:t>See</w:t>
      </w:r>
      <w:r w:rsidRPr="00C71F04">
        <w:t xml:space="preserve"> 87 FR 59498</w:t>
      </w:r>
      <w:r>
        <w:t xml:space="preserve"> (Sept. 30, 2022)</w:t>
      </w:r>
      <w:r w:rsidRPr="00C71F04">
        <w:t>.</w:t>
      </w:r>
    </w:p>
  </w:footnote>
  <w:footnote w:id="11">
    <w:p w:rsidR="00CC296D" w:rsidRPr="00353216" w:rsidP="00CC296D" w14:paraId="3D405AB3" w14:textId="77777777">
      <w:pPr>
        <w:pStyle w:val="FootnoteText"/>
      </w:pPr>
      <w:r w:rsidRPr="00353216">
        <w:rPr>
          <w:rStyle w:val="FootnoteReference"/>
        </w:rPr>
        <w:footnoteRef/>
      </w:r>
      <w:r w:rsidRPr="00353216">
        <w:t xml:space="preserve"> FinCEN anticipates considering whether to require financial institutions to access BOI reported to FinCEN in the future, potentially as part of its revisions to the 2016 CDD Rule.</w:t>
      </w:r>
    </w:p>
  </w:footnote>
  <w:footnote w:id="12">
    <w:p w:rsidR="00C556A7" w:rsidP="00C556A7" w14:paraId="379D2AB5" w14:textId="77777777">
      <w:pPr>
        <w:pStyle w:val="FootnoteText"/>
      </w:pPr>
      <w:r>
        <w:rPr>
          <w:rStyle w:val="FootnoteReference"/>
        </w:rPr>
        <w:footnoteRef/>
      </w:r>
      <w:r>
        <w:t xml:space="preserve"> </w:t>
      </w:r>
      <w:r w:rsidRPr="0034799F">
        <w:t>87 FR 77404 (Dec. 16, 2022).</w:t>
      </w:r>
    </w:p>
  </w:footnote>
  <w:footnote w:id="13">
    <w:p w:rsidR="0017188B" w:rsidP="0017188B" w14:paraId="22DEF9F1" w14:textId="77777777">
      <w:pPr>
        <w:pStyle w:val="FootnoteText"/>
      </w:pPr>
      <w:r>
        <w:rPr>
          <w:rStyle w:val="FootnoteReference"/>
        </w:rPr>
        <w:footnoteRef/>
      </w:r>
      <w:r>
        <w:t xml:space="preserve"> 86 FR </w:t>
      </w:r>
      <w:r w:rsidRPr="00BD76B7">
        <w:t>17557-17565</w:t>
      </w:r>
      <w:r>
        <w:t xml:space="preserve"> (April 5, 2021)</w:t>
      </w:r>
      <w:r w:rsidRPr="00BD76B7">
        <w:t>.</w:t>
      </w:r>
    </w:p>
  </w:footnote>
  <w:footnote w:id="14">
    <w:p w:rsidR="00F25B99" w14:paraId="3B3B5338" w14:textId="79ACE355">
      <w:pPr>
        <w:pStyle w:val="FootnoteText"/>
      </w:pPr>
      <w:r>
        <w:rPr>
          <w:rStyle w:val="FootnoteReference"/>
        </w:rPr>
        <w:footnoteRef/>
      </w:r>
      <w:r>
        <w:t xml:space="preserve"> </w:t>
      </w:r>
      <w:r w:rsidRPr="00B521E4">
        <w:t>As di</w:t>
      </w:r>
      <w:r w:rsidRPr="00B521E4">
        <w:t xml:space="preserve">scussed in </w:t>
      </w:r>
      <w:r w:rsidR="004A6777">
        <w:t>the</w:t>
      </w:r>
      <w:r>
        <w:t xml:space="preserve"> final rule</w:t>
      </w:r>
      <w:r w:rsidR="004A6777">
        <w:t>’s RIA</w:t>
      </w:r>
      <w:r>
        <w:t xml:space="preserve">, </w:t>
      </w:r>
      <w:r w:rsidRPr="00B521E4">
        <w:t>Year 1 in th</w:t>
      </w:r>
      <w:r>
        <w:t>e</w:t>
      </w:r>
      <w:r w:rsidRPr="00B521E4">
        <w:t xml:space="preserve"> analysis is the first year in which all potentially affected parties access a database that includes BOI reports from reporting companies that are in existence as of the </w:t>
      </w:r>
      <w:r>
        <w:t>BOI r</w:t>
      </w:r>
      <w:r w:rsidRPr="00B521E4">
        <w:t xml:space="preserve">eporting </w:t>
      </w:r>
      <w:r>
        <w:t>r</w:t>
      </w:r>
      <w:r w:rsidRPr="00B521E4">
        <w:t>ule’s effective date.</w:t>
      </w:r>
    </w:p>
  </w:footnote>
  <w:footnote w:id="15">
    <w:p w:rsidR="005F3EAD" w14:paraId="2D478CB0" w14:textId="0172197C">
      <w:pPr>
        <w:pStyle w:val="FootnoteText"/>
      </w:pPr>
      <w:r>
        <w:rPr>
          <w:rStyle w:val="FootnoteReference"/>
        </w:rPr>
        <w:footnoteRef/>
      </w:r>
      <w:r>
        <w:t xml:space="preserve"> </w:t>
      </w:r>
      <w:r w:rsidRPr="005F3EAD">
        <w:t xml:space="preserve">The full burden and cost associated with the final rule is assessed in the </w:t>
      </w:r>
      <w:r w:rsidR="00C36E69">
        <w:t xml:space="preserve">final </w:t>
      </w:r>
      <w:r w:rsidRPr="005F3EAD">
        <w:t xml:space="preserve">rule’s RIA.  The cost analysis </w:t>
      </w:r>
      <w:r w:rsidR="007B0CAE">
        <w:t xml:space="preserve">in the final rule’s RIA </w:t>
      </w:r>
      <w:r w:rsidRPr="005F3EAD">
        <w:t>estimates a potential range of burden for some activities</w:t>
      </w:r>
      <w:r w:rsidR="000D5B07">
        <w:t>.</w:t>
      </w:r>
      <w:r w:rsidR="00C74A0C">
        <w:t xml:space="preserve"> </w:t>
      </w:r>
      <w:r w:rsidR="000D5B07">
        <w:t>F</w:t>
      </w:r>
      <w:r w:rsidR="000347BB">
        <w:t xml:space="preserve">or </w:t>
      </w:r>
      <w:r w:rsidR="00330494">
        <w:t xml:space="preserve">purposes of this supporting statement, </w:t>
      </w:r>
      <w:r w:rsidR="00A00223">
        <w:t xml:space="preserve">the </w:t>
      </w:r>
      <w:r w:rsidRPr="005F3EAD">
        <w:t>analysis assum</w:t>
      </w:r>
      <w:r w:rsidRPr="005F3EAD">
        <w:t>es the maximum estimate of such ranges.</w:t>
      </w:r>
    </w:p>
  </w:footnote>
  <w:footnote w:id="16">
    <w:p w:rsidR="00C233D4" w14:paraId="69D6AD88" w14:textId="6DFE66C1">
      <w:pPr>
        <w:pStyle w:val="FootnoteText"/>
      </w:pPr>
      <w:r>
        <w:rPr>
          <w:rStyle w:val="FootnoteReference"/>
        </w:rPr>
        <w:footnoteRef/>
      </w:r>
      <w:r>
        <w:t xml:space="preserve"> </w:t>
      </w:r>
      <w:r w:rsidRPr="00B521E4">
        <w:t>Subsequent years (sometimes referred to as “Years 2+</w:t>
      </w:r>
      <w:r>
        <w:t>”</w:t>
      </w:r>
      <w:r w:rsidRPr="00B521E4">
        <w:t>) in this analysis are the years after the first year in which all potentially affected parties access a database that includes BOI reports from reporting compan</w:t>
      </w:r>
      <w:r w:rsidRPr="00B521E4">
        <w:t xml:space="preserve">ies that are in existence as of the </w:t>
      </w:r>
      <w:r>
        <w:t>BOI r</w:t>
      </w:r>
      <w:r w:rsidRPr="00B521E4">
        <w:t xml:space="preserve">eporting </w:t>
      </w:r>
      <w:r>
        <w:t>r</w:t>
      </w:r>
      <w:r w:rsidRPr="00B521E4">
        <w:t>ule’s effective date.</w:t>
      </w:r>
    </w:p>
  </w:footnote>
  <w:footnote w:id="17">
    <w:p w:rsidR="00140167" w:rsidRPr="00353216" w:rsidP="00140167" w14:paraId="61196331" w14:textId="77777777">
      <w:pPr>
        <w:pStyle w:val="FootnoteText"/>
      </w:pPr>
      <w:r w:rsidRPr="00353216">
        <w:rPr>
          <w:rStyle w:val="FootnoteReference"/>
        </w:rPr>
        <w:footnoteRef/>
      </w:r>
      <w:r w:rsidRPr="00353216">
        <w:t xml:space="preserve"> The 5-year average equals the sum of (Year 1 burden hours of 8,</w:t>
      </w:r>
      <w:r>
        <w:t>743</w:t>
      </w:r>
      <w:r w:rsidRPr="00353216">
        <w:t>,7</w:t>
      </w:r>
      <w:r>
        <w:t>8</w:t>
      </w:r>
      <w:r w:rsidRPr="00353216">
        <w:t>1 + Year 2 burden hours of 3,6</w:t>
      </w:r>
      <w:r>
        <w:t>1</w:t>
      </w:r>
      <w:r w:rsidRPr="00353216">
        <w:t>6,</w:t>
      </w:r>
      <w:r>
        <w:t>96</w:t>
      </w:r>
      <w:r w:rsidRPr="00353216">
        <w:t>4 + Year 3 burden hours of 3,6</w:t>
      </w:r>
      <w:r>
        <w:t>1</w:t>
      </w:r>
      <w:r w:rsidRPr="00353216">
        <w:t>6,</w:t>
      </w:r>
      <w:r>
        <w:t>96</w:t>
      </w:r>
      <w:r w:rsidRPr="00353216">
        <w:t>4 + Year 4 burden hours of 3,6</w:t>
      </w:r>
      <w:r>
        <w:t>1</w:t>
      </w:r>
      <w:r w:rsidRPr="00353216">
        <w:t>6,</w:t>
      </w:r>
      <w:r>
        <w:t>96</w:t>
      </w:r>
      <w:r w:rsidRPr="00353216">
        <w:t xml:space="preserve">4 + </w:t>
      </w:r>
      <w:r w:rsidRPr="00353216">
        <w:t>Year 5 burden hours of 3,6</w:t>
      </w:r>
      <w:r>
        <w:t>1</w:t>
      </w:r>
      <w:r w:rsidRPr="00353216">
        <w:t>6,</w:t>
      </w:r>
      <w:r>
        <w:t>96</w:t>
      </w:r>
      <w:r w:rsidRPr="00353216">
        <w:t xml:space="preserve">4) divided by 5.  </w:t>
      </w:r>
    </w:p>
  </w:footnote>
  <w:footnote w:id="18">
    <w:p w:rsidR="008E6A5A" w:rsidRPr="00353216" w:rsidP="008E6A5A" w14:paraId="25FF33BB" w14:textId="77777777">
      <w:pPr>
        <w:pStyle w:val="FootnoteText"/>
      </w:pPr>
    </w:p>
  </w:footnote>
  <w:footnote w:id="19">
    <w:p w:rsidR="008E6A5A" w:rsidRPr="00353216" w:rsidP="008E6A5A" w14:paraId="4A705A1C" w14:textId="77777777">
      <w:pPr>
        <w:contextualSpacing/>
        <w:rPr>
          <w:sz w:val="20"/>
          <w:szCs w:val="20"/>
          <w:lang w:val="en-GB"/>
        </w:rPr>
      </w:pPr>
    </w:p>
  </w:footnote>
  <w:footnote w:id="20">
    <w:p w:rsidR="008E6A5A" w:rsidRPr="00353216" w:rsidP="008E6A5A" w14:paraId="533DC175" w14:textId="77777777">
      <w:pPr>
        <w:pStyle w:val="FootnoteText"/>
      </w:pPr>
    </w:p>
  </w:footnote>
  <w:footnote w:id="21">
    <w:p w:rsidR="00854AA6" w:rsidP="00854AA6" w14:paraId="5789ED77" w14:textId="59757C59">
      <w:pPr>
        <w:pStyle w:val="FootnoteText"/>
      </w:pPr>
      <w:r>
        <w:rPr>
          <w:rStyle w:val="FootnoteReference"/>
        </w:rPr>
        <w:footnoteRef/>
      </w:r>
      <w:r>
        <w:t xml:space="preserve"> See Table 3 in the final rule for details on the fully loaded hourly wages.</w:t>
      </w:r>
    </w:p>
  </w:footnote>
  <w:footnote w:id="22">
    <w:p w:rsidR="009A35D6" w:rsidRPr="00353216" w:rsidP="009A35D6" w14:paraId="3E371FAC" w14:textId="77777777">
      <w:pPr>
        <w:pStyle w:val="FootnoteText"/>
      </w:pPr>
      <w:r w:rsidRPr="00353216">
        <w:rPr>
          <w:rStyle w:val="FootnoteReference"/>
        </w:rPr>
        <w:footnoteRef/>
      </w:r>
      <w:r w:rsidRPr="00353216">
        <w:t xml:space="preserve"> The 5-year average equals the sum of (Year 1 costs of $8</w:t>
      </w:r>
      <w:r>
        <w:t>68</w:t>
      </w:r>
      <w:r w:rsidRPr="00353216">
        <w:t>,</w:t>
      </w:r>
      <w:r>
        <w:t>200</w:t>
      </w:r>
      <w:r w:rsidRPr="00353216">
        <w:t>,</w:t>
      </w:r>
      <w:r>
        <w:t>27</w:t>
      </w:r>
      <w:r w:rsidRPr="00353216">
        <w:t>0 + Year 2 costs of $3</w:t>
      </w:r>
      <w:r>
        <w:t>39</w:t>
      </w:r>
      <w:r w:rsidRPr="00353216">
        <w:t>,3</w:t>
      </w:r>
      <w:r>
        <w:t>09</w:t>
      </w:r>
      <w:r w:rsidRPr="00353216">
        <w:t>,</w:t>
      </w:r>
      <w:r>
        <w:t>50</w:t>
      </w:r>
      <w:r w:rsidRPr="00353216">
        <w:t>2 + Year 3 costs of $3</w:t>
      </w:r>
      <w:r>
        <w:t>39</w:t>
      </w:r>
      <w:r w:rsidRPr="00353216">
        <w:t>,3</w:t>
      </w:r>
      <w:r>
        <w:t>09</w:t>
      </w:r>
      <w:r w:rsidRPr="00353216">
        <w:t>,</w:t>
      </w:r>
      <w:r>
        <w:t>50</w:t>
      </w:r>
      <w:r w:rsidRPr="00353216">
        <w:t>2 + Year 4 costs of $3</w:t>
      </w:r>
      <w:r>
        <w:t>39</w:t>
      </w:r>
      <w:r w:rsidRPr="00353216">
        <w:t>,3</w:t>
      </w:r>
      <w:r>
        <w:t>09</w:t>
      </w:r>
      <w:r w:rsidRPr="00353216">
        <w:t>,</w:t>
      </w:r>
      <w:r>
        <w:t>50</w:t>
      </w:r>
      <w:r w:rsidRPr="00353216">
        <w:t>2 + Year 5 costs of $3</w:t>
      </w:r>
      <w:r>
        <w:t>39</w:t>
      </w:r>
      <w:r w:rsidRPr="00353216">
        <w:t>,3</w:t>
      </w:r>
      <w:r>
        <w:t>09</w:t>
      </w:r>
      <w:r w:rsidRPr="00353216">
        <w:t>,</w:t>
      </w:r>
      <w:r>
        <w:t>50</w:t>
      </w:r>
      <w:r w:rsidRPr="00353216">
        <w:t xml:space="preserve">2) divided by 5.  </w:t>
      </w:r>
    </w:p>
  </w:footnote>
  <w:footnote w:id="23">
    <w:p w:rsidR="00CD7EF4" w:rsidRPr="003A4329" w:rsidP="00CD7EF4" w14:paraId="206B5736" w14:textId="4D7F41A4">
      <w:pPr>
        <w:contextualSpacing/>
        <w:rPr>
          <w:sz w:val="20"/>
          <w:szCs w:val="20"/>
        </w:rPr>
      </w:pPr>
      <w:r w:rsidRPr="00A01DFC">
        <w:rPr>
          <w:rStyle w:val="FootnoteReference"/>
          <w:sz w:val="20"/>
          <w:szCs w:val="20"/>
        </w:rPr>
        <w:footnoteRef/>
      </w:r>
      <w:r w:rsidRPr="00A01DFC">
        <w:rPr>
          <w:sz w:val="20"/>
          <w:szCs w:val="20"/>
        </w:rPr>
        <w:t xml:space="preserve"> The maximum aggregate cost estimate for Federal agencies that access BOI directly to meet the </w:t>
      </w:r>
      <w:r w:rsidR="007400C9">
        <w:rPr>
          <w:sz w:val="20"/>
          <w:szCs w:val="20"/>
        </w:rPr>
        <w:t>final</w:t>
      </w:r>
      <w:r w:rsidRPr="00A01DFC" w:rsidR="007400C9">
        <w:rPr>
          <w:sz w:val="20"/>
          <w:szCs w:val="20"/>
        </w:rPr>
        <w:t xml:space="preserve"> </w:t>
      </w:r>
      <w:r w:rsidRPr="00A01DFC">
        <w:rPr>
          <w:sz w:val="20"/>
          <w:szCs w:val="20"/>
        </w:rPr>
        <w:t>rule’s requirements is $</w:t>
      </w:r>
      <w:r w:rsidR="00753886">
        <w:rPr>
          <w:sz w:val="20"/>
          <w:szCs w:val="20"/>
        </w:rPr>
        <w:t>78,</w:t>
      </w:r>
      <w:r w:rsidR="00025901">
        <w:rPr>
          <w:sz w:val="20"/>
          <w:szCs w:val="20"/>
        </w:rPr>
        <w:t>179,200</w:t>
      </w:r>
      <w:r>
        <w:t xml:space="preserve"> </w:t>
      </w:r>
      <w:r w:rsidRPr="00A01DFC">
        <w:rPr>
          <w:sz w:val="20"/>
          <w:szCs w:val="20"/>
        </w:rPr>
        <w:t xml:space="preserve">in year 1.  Additionally, </w:t>
      </w:r>
      <w:r w:rsidRPr="003A4329">
        <w:rPr>
          <w:sz w:val="20"/>
          <w:szCs w:val="20"/>
        </w:rPr>
        <w:t>Federal agencies may incur costs from</w:t>
      </w:r>
      <w:r w:rsidRPr="00A01DFC">
        <w:rPr>
          <w:sz w:val="20"/>
          <w:szCs w:val="20"/>
        </w:rPr>
        <w:t xml:space="preserve"> submitting and coordinating BOI requests on behalf of foreign partners, with an estimated maximum aggregate cost of $</w:t>
      </w:r>
      <w:r w:rsidR="003D2EF1">
        <w:rPr>
          <w:sz w:val="20"/>
          <w:szCs w:val="20"/>
        </w:rPr>
        <w:t>198,000.</w:t>
      </w:r>
      <w:r>
        <w:t xml:space="preserve"> </w:t>
      </w:r>
      <w:r w:rsidRPr="00A01DFC">
        <w:rPr>
          <w:sz w:val="20"/>
          <w:szCs w:val="20"/>
        </w:rPr>
        <w:t xml:space="preserve">These amounts total </w:t>
      </w:r>
      <w:r w:rsidRPr="00A25303" w:rsidR="00A31A21">
        <w:rPr>
          <w:sz w:val="20"/>
          <w:szCs w:val="20"/>
        </w:rPr>
        <w:t>$78,377,200.</w:t>
      </w:r>
      <w:r w:rsidR="00A31A21">
        <w:t xml:space="preserve"> </w:t>
      </w:r>
    </w:p>
  </w:footnote>
  <w:footnote w:id="24">
    <w:p w:rsidR="00CD7EF4" w:rsidRPr="003A4329" w:rsidP="00CD7EF4" w14:paraId="50FD72FB" w14:textId="506FAA92">
      <w:pPr>
        <w:contextualSpacing/>
        <w:rPr>
          <w:sz w:val="20"/>
          <w:szCs w:val="20"/>
        </w:rPr>
      </w:pPr>
      <w:r w:rsidRPr="00630BCF">
        <w:rPr>
          <w:rStyle w:val="FootnoteReference"/>
          <w:sz w:val="20"/>
          <w:szCs w:val="20"/>
        </w:rPr>
        <w:footnoteRef/>
      </w:r>
      <w:r w:rsidRPr="00630BCF">
        <w:rPr>
          <w:sz w:val="20"/>
          <w:szCs w:val="20"/>
        </w:rPr>
        <w:t xml:space="preserve"> </w:t>
      </w:r>
      <w:r w:rsidRPr="003D25F0">
        <w:rPr>
          <w:sz w:val="20"/>
          <w:szCs w:val="20"/>
        </w:rPr>
        <w:t>The maximum aggregate cost est</w:t>
      </w:r>
      <w:r w:rsidRPr="003D25F0">
        <w:rPr>
          <w:sz w:val="20"/>
          <w:szCs w:val="20"/>
        </w:rPr>
        <w:t xml:space="preserve">imate for Federal agencies that access BOI directly to meet the </w:t>
      </w:r>
      <w:r w:rsidR="007400C9">
        <w:rPr>
          <w:sz w:val="20"/>
          <w:szCs w:val="20"/>
        </w:rPr>
        <w:t>final</w:t>
      </w:r>
      <w:r w:rsidRPr="003D25F0" w:rsidR="007400C9">
        <w:rPr>
          <w:sz w:val="20"/>
          <w:szCs w:val="20"/>
        </w:rPr>
        <w:t xml:space="preserve"> </w:t>
      </w:r>
      <w:r w:rsidRPr="003D25F0">
        <w:rPr>
          <w:sz w:val="20"/>
          <w:szCs w:val="20"/>
        </w:rPr>
        <w:t>rule’</w:t>
      </w:r>
      <w:r>
        <w:rPr>
          <w:sz w:val="20"/>
          <w:szCs w:val="20"/>
        </w:rPr>
        <w:t xml:space="preserve">s requirements is </w:t>
      </w:r>
      <w:r w:rsidR="002F0362">
        <w:rPr>
          <w:sz w:val="20"/>
          <w:szCs w:val="20"/>
        </w:rPr>
        <w:t>$</w:t>
      </w:r>
      <w:r w:rsidR="0016159D">
        <w:rPr>
          <w:sz w:val="20"/>
          <w:szCs w:val="20"/>
        </w:rPr>
        <w:t>60,509,680</w:t>
      </w:r>
      <w:r w:rsidR="005510DE">
        <w:rPr>
          <w:sz w:val="20"/>
          <w:szCs w:val="20"/>
        </w:rPr>
        <w:t xml:space="preserve"> </w:t>
      </w:r>
      <w:r>
        <w:rPr>
          <w:sz w:val="20"/>
          <w:szCs w:val="20"/>
        </w:rPr>
        <w:t>in year 2 and onward</w:t>
      </w:r>
      <w:r w:rsidRPr="003D25F0">
        <w:rPr>
          <w:sz w:val="20"/>
          <w:szCs w:val="20"/>
        </w:rPr>
        <w:t xml:space="preserve">.  Additionally, </w:t>
      </w:r>
      <w:r w:rsidRPr="003A4329">
        <w:rPr>
          <w:sz w:val="20"/>
          <w:szCs w:val="20"/>
        </w:rPr>
        <w:t>F</w:t>
      </w:r>
      <w:r w:rsidRPr="003D25F0">
        <w:rPr>
          <w:sz w:val="20"/>
          <w:szCs w:val="20"/>
        </w:rPr>
        <w:t>ederal agencies may incur costs from submitting and coordinating BOI requests on behalf of foreign partners, with</w:t>
      </w:r>
      <w:r w:rsidRPr="003D25F0">
        <w:rPr>
          <w:sz w:val="20"/>
          <w:szCs w:val="20"/>
        </w:rPr>
        <w:t xml:space="preserve"> an estimated maximum aggregate cost of </w:t>
      </w:r>
      <w:r w:rsidR="004D2923">
        <w:rPr>
          <w:sz w:val="20"/>
          <w:szCs w:val="20"/>
        </w:rPr>
        <w:t>$198,000.</w:t>
      </w:r>
      <w:r w:rsidRPr="003D25F0">
        <w:rPr>
          <w:sz w:val="20"/>
          <w:szCs w:val="20"/>
        </w:rPr>
        <w:t xml:space="preserve">  These amounts total </w:t>
      </w:r>
      <w:r>
        <w:rPr>
          <w:sz w:val="20"/>
          <w:szCs w:val="20"/>
        </w:rPr>
        <w:t>$</w:t>
      </w:r>
      <w:r w:rsidR="00C1464D">
        <w:rPr>
          <w:sz w:val="20"/>
          <w:szCs w:val="20"/>
        </w:rPr>
        <w:t>60,707,680.</w:t>
      </w:r>
    </w:p>
  </w:footnote>
  <w:footnote w:id="25">
    <w:p w:rsidR="00DF1AEF" w14:paraId="2AFF558F" w14:textId="59B2C4A3">
      <w:r w:rsidRPr="00BA0DF7">
        <w:rPr>
          <w:rStyle w:val="FootnoteReference"/>
        </w:rPr>
        <w:footnoteRef/>
      </w:r>
      <w:r w:rsidRPr="00BA0DF7">
        <w:t xml:space="preserve"> </w:t>
      </w:r>
      <w:r w:rsidRPr="00B87779">
        <w:rPr>
          <w:sz w:val="20"/>
          <w:szCs w:val="20"/>
        </w:rPr>
        <w:t>The 5-year average equals the sum of (Year 1 costs of $</w:t>
      </w:r>
      <w:r w:rsidRPr="00B87779" w:rsidR="00DA659A">
        <w:rPr>
          <w:sz w:val="20"/>
          <w:szCs w:val="20"/>
        </w:rPr>
        <w:t xml:space="preserve">91,377,200 </w:t>
      </w:r>
      <w:r w:rsidRPr="00B87779">
        <w:rPr>
          <w:sz w:val="20"/>
          <w:szCs w:val="20"/>
        </w:rPr>
        <w:t xml:space="preserve">+ Year 2 costs of </w:t>
      </w:r>
      <w:r w:rsidRPr="00B87779" w:rsidR="003300AF">
        <w:rPr>
          <w:sz w:val="20"/>
          <w:szCs w:val="20"/>
        </w:rPr>
        <w:t>$73,707,680</w:t>
      </w:r>
      <w:r w:rsidRPr="00B87779" w:rsidR="00F40A22">
        <w:rPr>
          <w:sz w:val="20"/>
          <w:szCs w:val="20"/>
        </w:rPr>
        <w:t xml:space="preserve"> </w:t>
      </w:r>
      <w:r w:rsidRPr="00B87779">
        <w:rPr>
          <w:sz w:val="20"/>
          <w:szCs w:val="20"/>
        </w:rPr>
        <w:t>+ Year 3 costs of $</w:t>
      </w:r>
      <w:r w:rsidRPr="00B87779" w:rsidR="003300AF">
        <w:rPr>
          <w:sz w:val="20"/>
          <w:szCs w:val="20"/>
        </w:rPr>
        <w:t>73,707,680</w:t>
      </w:r>
      <w:r w:rsidRPr="00B87779" w:rsidR="00F40A22">
        <w:rPr>
          <w:sz w:val="20"/>
          <w:szCs w:val="20"/>
        </w:rPr>
        <w:t xml:space="preserve"> </w:t>
      </w:r>
      <w:r w:rsidRPr="00B87779">
        <w:rPr>
          <w:sz w:val="20"/>
          <w:szCs w:val="20"/>
        </w:rPr>
        <w:t>+ Year 4 costs of $</w:t>
      </w:r>
      <w:r w:rsidRPr="00B87779" w:rsidR="003300AF">
        <w:rPr>
          <w:sz w:val="20"/>
          <w:szCs w:val="20"/>
        </w:rPr>
        <w:t>73,707,680</w:t>
      </w:r>
      <w:r w:rsidRPr="00B87779" w:rsidR="00F40A22">
        <w:rPr>
          <w:sz w:val="20"/>
          <w:szCs w:val="20"/>
        </w:rPr>
        <w:t xml:space="preserve"> </w:t>
      </w:r>
      <w:r w:rsidRPr="00B87779">
        <w:rPr>
          <w:sz w:val="20"/>
          <w:szCs w:val="20"/>
        </w:rPr>
        <w:t xml:space="preserve">+ Year 5 </w:t>
      </w:r>
      <w:r w:rsidRPr="00B87779">
        <w:rPr>
          <w:sz w:val="20"/>
          <w:szCs w:val="20"/>
        </w:rPr>
        <w:t>costs of $</w:t>
      </w:r>
      <w:r w:rsidRPr="00B87779" w:rsidR="003300AF">
        <w:rPr>
          <w:sz w:val="20"/>
          <w:szCs w:val="20"/>
        </w:rPr>
        <w:t>73,707,680</w:t>
      </w:r>
      <w:r w:rsidRPr="00B87779">
        <w:rPr>
          <w:sz w:val="20"/>
          <w:szCs w:val="20"/>
        </w:rPr>
        <w:t xml:space="preserve">) divided by 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17800"/>
    <w:multiLevelType w:val="hybridMultilevel"/>
    <w:tmpl w:val="CB8C3E50"/>
    <w:lvl w:ilvl="0">
      <w:start w:val="7"/>
      <w:numFmt w:val="upperLetter"/>
      <w:lvlText w:val="%1."/>
      <w:lvlJc w:val="left"/>
      <w:pPr>
        <w:ind w:left="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16094C"/>
    <w:multiLevelType w:val="hybridMultilevel"/>
    <w:tmpl w:val="9202D7C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E24474"/>
    <w:multiLevelType w:val="hybridMultilevel"/>
    <w:tmpl w:val="92C878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BFC7386"/>
    <w:multiLevelType w:val="hybridMultilevel"/>
    <w:tmpl w:val="5D446FF0"/>
    <w:lvl w:ilvl="0">
      <w:start w:val="8"/>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087DC9"/>
    <w:multiLevelType w:val="hybridMultilevel"/>
    <w:tmpl w:val="C54EFB78"/>
    <w:lvl w:ilvl="0">
      <w:start w:val="7"/>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9D6251"/>
    <w:multiLevelType w:val="hybridMultilevel"/>
    <w:tmpl w:val="48208B1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9DD582A"/>
    <w:multiLevelType w:val="hybridMultilevel"/>
    <w:tmpl w:val="96ACEA6C"/>
    <w:lvl w:ilvl="0">
      <w:start w:val="1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9D79A5"/>
    <w:multiLevelType w:val="hybridMultilevel"/>
    <w:tmpl w:val="80663B26"/>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DC123AB"/>
    <w:multiLevelType w:val="hybridMultilevel"/>
    <w:tmpl w:val="446AE9C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0231F35"/>
    <w:multiLevelType w:val="hybridMultilevel"/>
    <w:tmpl w:val="E7B48418"/>
    <w:lvl w:ilvl="0">
      <w:start w:val="8"/>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594610"/>
    <w:multiLevelType w:val="hybridMultilevel"/>
    <w:tmpl w:val="066A61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54B85E76"/>
    <w:multiLevelType w:val="hybridMultilevel"/>
    <w:tmpl w:val="530EC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EB50CF"/>
    <w:multiLevelType w:val="hybridMultilevel"/>
    <w:tmpl w:val="0ED2F3BE"/>
    <w:lvl w:ilvl="0">
      <w:start w:val="1"/>
      <w:numFmt w:val="decimal"/>
      <w:lvlText w:val="%1."/>
      <w:lvlJc w:val="left"/>
      <w:pPr>
        <w:ind w:left="720" w:hanging="360"/>
      </w:pPr>
      <w:rPr>
        <w:rFonts w:eastAsia="MS Mincho"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A777CA"/>
    <w:multiLevelType w:val="hybridMultilevel"/>
    <w:tmpl w:val="9F5AE490"/>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5C7447C"/>
    <w:multiLevelType w:val="hybridMultilevel"/>
    <w:tmpl w:val="06EA7B86"/>
    <w:lvl w:ilvl="0">
      <w:start w:val="7"/>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5BB4FB3"/>
    <w:multiLevelType w:val="hybridMultilevel"/>
    <w:tmpl w:val="99C0F7EA"/>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71F4025"/>
    <w:multiLevelType w:val="hybridMultilevel"/>
    <w:tmpl w:val="FCC25CBE"/>
    <w:lvl w:ilvl="0">
      <w:start w:val="7"/>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925596D"/>
    <w:multiLevelType w:val="multilevel"/>
    <w:tmpl w:val="0218B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654194">
    <w:abstractNumId w:val="11"/>
  </w:num>
  <w:num w:numId="2" w16cid:durableId="2002275447">
    <w:abstractNumId w:val="13"/>
  </w:num>
  <w:num w:numId="3" w16cid:durableId="1933126504">
    <w:abstractNumId w:val="10"/>
  </w:num>
  <w:num w:numId="4" w16cid:durableId="25107427">
    <w:abstractNumId w:val="8"/>
  </w:num>
  <w:num w:numId="5" w16cid:durableId="253367346">
    <w:abstractNumId w:val="1"/>
  </w:num>
  <w:num w:numId="6" w16cid:durableId="1124736998">
    <w:abstractNumId w:val="6"/>
  </w:num>
  <w:num w:numId="7" w16cid:durableId="1668553564">
    <w:abstractNumId w:val="2"/>
  </w:num>
  <w:num w:numId="8" w16cid:durableId="279338824">
    <w:abstractNumId w:val="15"/>
  </w:num>
  <w:num w:numId="9" w16cid:durableId="2122259429">
    <w:abstractNumId w:val="17"/>
  </w:num>
  <w:num w:numId="10" w16cid:durableId="335310243">
    <w:abstractNumId w:val="12"/>
  </w:num>
  <w:num w:numId="11" w16cid:durableId="1549606331">
    <w:abstractNumId w:val="5"/>
  </w:num>
  <w:num w:numId="12" w16cid:durableId="861279952">
    <w:abstractNumId w:val="16"/>
  </w:num>
  <w:num w:numId="13" w16cid:durableId="1419331651">
    <w:abstractNumId w:val="0"/>
  </w:num>
  <w:num w:numId="14" w16cid:durableId="136991760">
    <w:abstractNumId w:val="3"/>
  </w:num>
  <w:num w:numId="15" w16cid:durableId="823854673">
    <w:abstractNumId w:val="7"/>
  </w:num>
  <w:num w:numId="16" w16cid:durableId="338194623">
    <w:abstractNumId w:val="14"/>
  </w:num>
  <w:num w:numId="17" w16cid:durableId="742023632">
    <w:abstractNumId w:val="4"/>
  </w:num>
  <w:num w:numId="18" w16cid:durableId="11023423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03"/>
    <w:rsid w:val="000002D2"/>
    <w:rsid w:val="0000162D"/>
    <w:rsid w:val="0000169E"/>
    <w:rsid w:val="00001943"/>
    <w:rsid w:val="0000198C"/>
    <w:rsid w:val="00002A53"/>
    <w:rsid w:val="0000466D"/>
    <w:rsid w:val="0000500E"/>
    <w:rsid w:val="00005662"/>
    <w:rsid w:val="00005F0C"/>
    <w:rsid w:val="00007937"/>
    <w:rsid w:val="00010A7F"/>
    <w:rsid w:val="00010D5E"/>
    <w:rsid w:val="000119C3"/>
    <w:rsid w:val="0001228E"/>
    <w:rsid w:val="000145ED"/>
    <w:rsid w:val="000163FB"/>
    <w:rsid w:val="000164CB"/>
    <w:rsid w:val="00016614"/>
    <w:rsid w:val="00020039"/>
    <w:rsid w:val="00020217"/>
    <w:rsid w:val="00020704"/>
    <w:rsid w:val="000212CB"/>
    <w:rsid w:val="000222D4"/>
    <w:rsid w:val="000225D7"/>
    <w:rsid w:val="0002275A"/>
    <w:rsid w:val="000230BA"/>
    <w:rsid w:val="00023100"/>
    <w:rsid w:val="00023164"/>
    <w:rsid w:val="00023768"/>
    <w:rsid w:val="00023DD2"/>
    <w:rsid w:val="00024ADB"/>
    <w:rsid w:val="00025901"/>
    <w:rsid w:val="000272F8"/>
    <w:rsid w:val="00027525"/>
    <w:rsid w:val="00027F8C"/>
    <w:rsid w:val="000302BE"/>
    <w:rsid w:val="00031124"/>
    <w:rsid w:val="00031596"/>
    <w:rsid w:val="00032C15"/>
    <w:rsid w:val="00033248"/>
    <w:rsid w:val="0003340D"/>
    <w:rsid w:val="00033F9E"/>
    <w:rsid w:val="000345F2"/>
    <w:rsid w:val="000347BB"/>
    <w:rsid w:val="000349F7"/>
    <w:rsid w:val="000352BD"/>
    <w:rsid w:val="00035CD2"/>
    <w:rsid w:val="00036505"/>
    <w:rsid w:val="00036540"/>
    <w:rsid w:val="00037877"/>
    <w:rsid w:val="000379AE"/>
    <w:rsid w:val="00037CFC"/>
    <w:rsid w:val="00037E01"/>
    <w:rsid w:val="00040D7F"/>
    <w:rsid w:val="000414BC"/>
    <w:rsid w:val="00045BC8"/>
    <w:rsid w:val="00045D10"/>
    <w:rsid w:val="000468C8"/>
    <w:rsid w:val="000470BF"/>
    <w:rsid w:val="000473DE"/>
    <w:rsid w:val="0004798B"/>
    <w:rsid w:val="00050C29"/>
    <w:rsid w:val="000517CF"/>
    <w:rsid w:val="000545DE"/>
    <w:rsid w:val="00054D6B"/>
    <w:rsid w:val="00054F2A"/>
    <w:rsid w:val="00055C7A"/>
    <w:rsid w:val="00055FE3"/>
    <w:rsid w:val="000567EA"/>
    <w:rsid w:val="0006011C"/>
    <w:rsid w:val="000602CC"/>
    <w:rsid w:val="00060B0B"/>
    <w:rsid w:val="00060ED4"/>
    <w:rsid w:val="0006449D"/>
    <w:rsid w:val="000645C6"/>
    <w:rsid w:val="00064630"/>
    <w:rsid w:val="0006487C"/>
    <w:rsid w:val="0006513B"/>
    <w:rsid w:val="00065D87"/>
    <w:rsid w:val="00065E54"/>
    <w:rsid w:val="000662DF"/>
    <w:rsid w:val="00066A22"/>
    <w:rsid w:val="00067044"/>
    <w:rsid w:val="00070134"/>
    <w:rsid w:val="000705AF"/>
    <w:rsid w:val="00070641"/>
    <w:rsid w:val="00070E19"/>
    <w:rsid w:val="0007123E"/>
    <w:rsid w:val="000713ED"/>
    <w:rsid w:val="00071474"/>
    <w:rsid w:val="00072689"/>
    <w:rsid w:val="000729DE"/>
    <w:rsid w:val="0007432F"/>
    <w:rsid w:val="000744A9"/>
    <w:rsid w:val="000746FA"/>
    <w:rsid w:val="00075236"/>
    <w:rsid w:val="000762F3"/>
    <w:rsid w:val="00076A5D"/>
    <w:rsid w:val="00076D8B"/>
    <w:rsid w:val="00076EBE"/>
    <w:rsid w:val="00077713"/>
    <w:rsid w:val="00080545"/>
    <w:rsid w:val="00080F03"/>
    <w:rsid w:val="00081543"/>
    <w:rsid w:val="0008195F"/>
    <w:rsid w:val="0008365C"/>
    <w:rsid w:val="00083C49"/>
    <w:rsid w:val="00083F36"/>
    <w:rsid w:val="00084841"/>
    <w:rsid w:val="00085044"/>
    <w:rsid w:val="000851E0"/>
    <w:rsid w:val="000853EF"/>
    <w:rsid w:val="00085539"/>
    <w:rsid w:val="00085718"/>
    <w:rsid w:val="0008606F"/>
    <w:rsid w:val="000860E8"/>
    <w:rsid w:val="000867B0"/>
    <w:rsid w:val="00086C22"/>
    <w:rsid w:val="00086E00"/>
    <w:rsid w:val="00086FA4"/>
    <w:rsid w:val="0009096D"/>
    <w:rsid w:val="000912F2"/>
    <w:rsid w:val="0009208D"/>
    <w:rsid w:val="000923B9"/>
    <w:rsid w:val="000928E8"/>
    <w:rsid w:val="00092CC9"/>
    <w:rsid w:val="0009305B"/>
    <w:rsid w:val="000937D0"/>
    <w:rsid w:val="0009448C"/>
    <w:rsid w:val="000944AF"/>
    <w:rsid w:val="00094AF7"/>
    <w:rsid w:val="0009536C"/>
    <w:rsid w:val="0009580D"/>
    <w:rsid w:val="00095EC6"/>
    <w:rsid w:val="000968B0"/>
    <w:rsid w:val="00096E9C"/>
    <w:rsid w:val="00096FEE"/>
    <w:rsid w:val="000975C2"/>
    <w:rsid w:val="000976E8"/>
    <w:rsid w:val="00097FF6"/>
    <w:rsid w:val="000A02AE"/>
    <w:rsid w:val="000A07D0"/>
    <w:rsid w:val="000A0CA2"/>
    <w:rsid w:val="000A10E6"/>
    <w:rsid w:val="000A1E6E"/>
    <w:rsid w:val="000A3925"/>
    <w:rsid w:val="000A3D3B"/>
    <w:rsid w:val="000A471B"/>
    <w:rsid w:val="000A56F6"/>
    <w:rsid w:val="000A5882"/>
    <w:rsid w:val="000A6094"/>
    <w:rsid w:val="000B0F3D"/>
    <w:rsid w:val="000B187D"/>
    <w:rsid w:val="000B1B05"/>
    <w:rsid w:val="000B1E83"/>
    <w:rsid w:val="000B2BC7"/>
    <w:rsid w:val="000B2E1E"/>
    <w:rsid w:val="000B30EC"/>
    <w:rsid w:val="000B33E6"/>
    <w:rsid w:val="000B52AC"/>
    <w:rsid w:val="000B5A19"/>
    <w:rsid w:val="000B6BE2"/>
    <w:rsid w:val="000B6EFD"/>
    <w:rsid w:val="000B799B"/>
    <w:rsid w:val="000C0227"/>
    <w:rsid w:val="000C0E2D"/>
    <w:rsid w:val="000C59A8"/>
    <w:rsid w:val="000C61DC"/>
    <w:rsid w:val="000C6983"/>
    <w:rsid w:val="000C77C7"/>
    <w:rsid w:val="000D15B3"/>
    <w:rsid w:val="000D1638"/>
    <w:rsid w:val="000D2F79"/>
    <w:rsid w:val="000D3C74"/>
    <w:rsid w:val="000D3FF6"/>
    <w:rsid w:val="000D3FFC"/>
    <w:rsid w:val="000D41CB"/>
    <w:rsid w:val="000D4337"/>
    <w:rsid w:val="000D5A05"/>
    <w:rsid w:val="000D5B07"/>
    <w:rsid w:val="000D77B7"/>
    <w:rsid w:val="000D79AB"/>
    <w:rsid w:val="000E2C73"/>
    <w:rsid w:val="000E37CE"/>
    <w:rsid w:val="000E39C2"/>
    <w:rsid w:val="000E3AB4"/>
    <w:rsid w:val="000E3F5C"/>
    <w:rsid w:val="000E45B5"/>
    <w:rsid w:val="000E4693"/>
    <w:rsid w:val="000E47A9"/>
    <w:rsid w:val="000E4FDA"/>
    <w:rsid w:val="000E5078"/>
    <w:rsid w:val="000E5170"/>
    <w:rsid w:val="000E620B"/>
    <w:rsid w:val="000E7DA5"/>
    <w:rsid w:val="000F0CD4"/>
    <w:rsid w:val="000F1C5B"/>
    <w:rsid w:val="000F1E2B"/>
    <w:rsid w:val="000F273F"/>
    <w:rsid w:val="000F2B23"/>
    <w:rsid w:val="000F2F5B"/>
    <w:rsid w:val="000F31E5"/>
    <w:rsid w:val="000F3524"/>
    <w:rsid w:val="000F3ED7"/>
    <w:rsid w:val="000F430D"/>
    <w:rsid w:val="000F45E6"/>
    <w:rsid w:val="000F53D1"/>
    <w:rsid w:val="000F5788"/>
    <w:rsid w:val="000F7014"/>
    <w:rsid w:val="000F79EC"/>
    <w:rsid w:val="000F7A56"/>
    <w:rsid w:val="000F7BA8"/>
    <w:rsid w:val="000F7C28"/>
    <w:rsid w:val="00100DBD"/>
    <w:rsid w:val="001011E2"/>
    <w:rsid w:val="00102AC5"/>
    <w:rsid w:val="00102B87"/>
    <w:rsid w:val="00102CD1"/>
    <w:rsid w:val="00105446"/>
    <w:rsid w:val="0010579A"/>
    <w:rsid w:val="00105A4A"/>
    <w:rsid w:val="00105FAC"/>
    <w:rsid w:val="00106204"/>
    <w:rsid w:val="001062A4"/>
    <w:rsid w:val="001072FA"/>
    <w:rsid w:val="00110A69"/>
    <w:rsid w:val="00112710"/>
    <w:rsid w:val="001131F7"/>
    <w:rsid w:val="00114999"/>
    <w:rsid w:val="00115031"/>
    <w:rsid w:val="001204E8"/>
    <w:rsid w:val="00121359"/>
    <w:rsid w:val="001218BA"/>
    <w:rsid w:val="00121F3C"/>
    <w:rsid w:val="001229D6"/>
    <w:rsid w:val="00123456"/>
    <w:rsid w:val="00123DA7"/>
    <w:rsid w:val="001240E8"/>
    <w:rsid w:val="00124B61"/>
    <w:rsid w:val="0012527F"/>
    <w:rsid w:val="00125AF6"/>
    <w:rsid w:val="0012676F"/>
    <w:rsid w:val="0012768D"/>
    <w:rsid w:val="00127E6A"/>
    <w:rsid w:val="00127EE1"/>
    <w:rsid w:val="00130B21"/>
    <w:rsid w:val="00130C5D"/>
    <w:rsid w:val="001313C4"/>
    <w:rsid w:val="00131935"/>
    <w:rsid w:val="00132287"/>
    <w:rsid w:val="00132387"/>
    <w:rsid w:val="00132997"/>
    <w:rsid w:val="00132E30"/>
    <w:rsid w:val="0013338B"/>
    <w:rsid w:val="00133AB4"/>
    <w:rsid w:val="001345DF"/>
    <w:rsid w:val="0013617E"/>
    <w:rsid w:val="00137BCC"/>
    <w:rsid w:val="00137F2A"/>
    <w:rsid w:val="00140167"/>
    <w:rsid w:val="001421AF"/>
    <w:rsid w:val="00143396"/>
    <w:rsid w:val="00143405"/>
    <w:rsid w:val="00144AB2"/>
    <w:rsid w:val="001453EE"/>
    <w:rsid w:val="00145E06"/>
    <w:rsid w:val="001476A6"/>
    <w:rsid w:val="00147897"/>
    <w:rsid w:val="00147BDB"/>
    <w:rsid w:val="00150728"/>
    <w:rsid w:val="00153219"/>
    <w:rsid w:val="00153FA2"/>
    <w:rsid w:val="00154F61"/>
    <w:rsid w:val="00155B76"/>
    <w:rsid w:val="00155B85"/>
    <w:rsid w:val="0015656D"/>
    <w:rsid w:val="001569D5"/>
    <w:rsid w:val="001575AA"/>
    <w:rsid w:val="001600F8"/>
    <w:rsid w:val="00160A41"/>
    <w:rsid w:val="00160DA1"/>
    <w:rsid w:val="0016110D"/>
    <w:rsid w:val="0016159D"/>
    <w:rsid w:val="001615EA"/>
    <w:rsid w:val="0016236B"/>
    <w:rsid w:val="001623BD"/>
    <w:rsid w:val="00162845"/>
    <w:rsid w:val="0016287F"/>
    <w:rsid w:val="001642F3"/>
    <w:rsid w:val="00164C40"/>
    <w:rsid w:val="00164FB9"/>
    <w:rsid w:val="001652EF"/>
    <w:rsid w:val="0016564C"/>
    <w:rsid w:val="00166271"/>
    <w:rsid w:val="001666E8"/>
    <w:rsid w:val="001670A6"/>
    <w:rsid w:val="0017077D"/>
    <w:rsid w:val="00170EC9"/>
    <w:rsid w:val="00171165"/>
    <w:rsid w:val="00171291"/>
    <w:rsid w:val="0017188B"/>
    <w:rsid w:val="00172FD6"/>
    <w:rsid w:val="00173F30"/>
    <w:rsid w:val="00175076"/>
    <w:rsid w:val="001751EC"/>
    <w:rsid w:val="001755B5"/>
    <w:rsid w:val="001758A6"/>
    <w:rsid w:val="00175E84"/>
    <w:rsid w:val="00176600"/>
    <w:rsid w:val="00176B1D"/>
    <w:rsid w:val="00176E62"/>
    <w:rsid w:val="00177A78"/>
    <w:rsid w:val="00177ABF"/>
    <w:rsid w:val="00180607"/>
    <w:rsid w:val="00180AFC"/>
    <w:rsid w:val="001813C6"/>
    <w:rsid w:val="0018264C"/>
    <w:rsid w:val="00182C11"/>
    <w:rsid w:val="00183043"/>
    <w:rsid w:val="001835BD"/>
    <w:rsid w:val="001836AB"/>
    <w:rsid w:val="001845F6"/>
    <w:rsid w:val="0018490B"/>
    <w:rsid w:val="00184D24"/>
    <w:rsid w:val="0018514E"/>
    <w:rsid w:val="00186AE9"/>
    <w:rsid w:val="00187515"/>
    <w:rsid w:val="00187853"/>
    <w:rsid w:val="001911FF"/>
    <w:rsid w:val="0019120E"/>
    <w:rsid w:val="00193447"/>
    <w:rsid w:val="00193531"/>
    <w:rsid w:val="0019433C"/>
    <w:rsid w:val="00194F42"/>
    <w:rsid w:val="00195B09"/>
    <w:rsid w:val="00196595"/>
    <w:rsid w:val="0019726C"/>
    <w:rsid w:val="001973D7"/>
    <w:rsid w:val="001A0A10"/>
    <w:rsid w:val="001A101B"/>
    <w:rsid w:val="001A13F9"/>
    <w:rsid w:val="001A1747"/>
    <w:rsid w:val="001A1790"/>
    <w:rsid w:val="001A1BD9"/>
    <w:rsid w:val="001A2E3C"/>
    <w:rsid w:val="001A40BD"/>
    <w:rsid w:val="001A496E"/>
    <w:rsid w:val="001A59B9"/>
    <w:rsid w:val="001A6090"/>
    <w:rsid w:val="001A6A88"/>
    <w:rsid w:val="001A6D55"/>
    <w:rsid w:val="001A731C"/>
    <w:rsid w:val="001A75CE"/>
    <w:rsid w:val="001B0436"/>
    <w:rsid w:val="001B312C"/>
    <w:rsid w:val="001B4968"/>
    <w:rsid w:val="001B55E1"/>
    <w:rsid w:val="001B6A9A"/>
    <w:rsid w:val="001B6C1E"/>
    <w:rsid w:val="001B71A1"/>
    <w:rsid w:val="001B72A3"/>
    <w:rsid w:val="001B76BF"/>
    <w:rsid w:val="001C1D5F"/>
    <w:rsid w:val="001C1E67"/>
    <w:rsid w:val="001C33BF"/>
    <w:rsid w:val="001C377F"/>
    <w:rsid w:val="001C3B46"/>
    <w:rsid w:val="001C3D4A"/>
    <w:rsid w:val="001C600B"/>
    <w:rsid w:val="001C6388"/>
    <w:rsid w:val="001D37F5"/>
    <w:rsid w:val="001D4FC2"/>
    <w:rsid w:val="001D552E"/>
    <w:rsid w:val="001D5FE7"/>
    <w:rsid w:val="001D69BD"/>
    <w:rsid w:val="001D6FAF"/>
    <w:rsid w:val="001D7283"/>
    <w:rsid w:val="001E1C0C"/>
    <w:rsid w:val="001E33CD"/>
    <w:rsid w:val="001E376E"/>
    <w:rsid w:val="001E44B3"/>
    <w:rsid w:val="001E6157"/>
    <w:rsid w:val="001E69A2"/>
    <w:rsid w:val="001E7989"/>
    <w:rsid w:val="001E7B5F"/>
    <w:rsid w:val="001F0A4E"/>
    <w:rsid w:val="001F0ABB"/>
    <w:rsid w:val="001F1207"/>
    <w:rsid w:val="001F4F98"/>
    <w:rsid w:val="001F6CAA"/>
    <w:rsid w:val="001F7DBA"/>
    <w:rsid w:val="001F7E43"/>
    <w:rsid w:val="002000FE"/>
    <w:rsid w:val="00200317"/>
    <w:rsid w:val="00200A6B"/>
    <w:rsid w:val="00200ABF"/>
    <w:rsid w:val="0020276B"/>
    <w:rsid w:val="00204BED"/>
    <w:rsid w:val="002054FB"/>
    <w:rsid w:val="00205795"/>
    <w:rsid w:val="002079B1"/>
    <w:rsid w:val="00207D6E"/>
    <w:rsid w:val="00210034"/>
    <w:rsid w:val="002111D0"/>
    <w:rsid w:val="00211E9A"/>
    <w:rsid w:val="0021416E"/>
    <w:rsid w:val="00215C9D"/>
    <w:rsid w:val="00216E60"/>
    <w:rsid w:val="00216F7E"/>
    <w:rsid w:val="002213DE"/>
    <w:rsid w:val="0022187D"/>
    <w:rsid w:val="002221F1"/>
    <w:rsid w:val="0022268B"/>
    <w:rsid w:val="00222832"/>
    <w:rsid w:val="0022488E"/>
    <w:rsid w:val="00224B4B"/>
    <w:rsid w:val="00224C80"/>
    <w:rsid w:val="00224F6D"/>
    <w:rsid w:val="002251A0"/>
    <w:rsid w:val="0022536D"/>
    <w:rsid w:val="00225A45"/>
    <w:rsid w:val="00225D61"/>
    <w:rsid w:val="00227FDC"/>
    <w:rsid w:val="00231B64"/>
    <w:rsid w:val="00231E03"/>
    <w:rsid w:val="00232EED"/>
    <w:rsid w:val="002340E7"/>
    <w:rsid w:val="00234F60"/>
    <w:rsid w:val="0023553A"/>
    <w:rsid w:val="002364EF"/>
    <w:rsid w:val="00236CC2"/>
    <w:rsid w:val="002402E3"/>
    <w:rsid w:val="00240363"/>
    <w:rsid w:val="00240429"/>
    <w:rsid w:val="002443C7"/>
    <w:rsid w:val="00244C85"/>
    <w:rsid w:val="0024531F"/>
    <w:rsid w:val="002470DE"/>
    <w:rsid w:val="00247185"/>
    <w:rsid w:val="002478CA"/>
    <w:rsid w:val="00250785"/>
    <w:rsid w:val="00250935"/>
    <w:rsid w:val="002510BC"/>
    <w:rsid w:val="00253761"/>
    <w:rsid w:val="00254B1B"/>
    <w:rsid w:val="00255617"/>
    <w:rsid w:val="0025606D"/>
    <w:rsid w:val="00256A8A"/>
    <w:rsid w:val="00256E0C"/>
    <w:rsid w:val="002578C4"/>
    <w:rsid w:val="002579A0"/>
    <w:rsid w:val="002603D2"/>
    <w:rsid w:val="00260452"/>
    <w:rsid w:val="00261503"/>
    <w:rsid w:val="0026186C"/>
    <w:rsid w:val="002621C0"/>
    <w:rsid w:val="00262324"/>
    <w:rsid w:val="002626F5"/>
    <w:rsid w:val="00262C0B"/>
    <w:rsid w:val="0026300D"/>
    <w:rsid w:val="00263F67"/>
    <w:rsid w:val="00264BE8"/>
    <w:rsid w:val="0026551A"/>
    <w:rsid w:val="00266A1E"/>
    <w:rsid w:val="0026718A"/>
    <w:rsid w:val="002678F2"/>
    <w:rsid w:val="00270297"/>
    <w:rsid w:val="00270327"/>
    <w:rsid w:val="002707EA"/>
    <w:rsid w:val="0027086D"/>
    <w:rsid w:val="00270CE9"/>
    <w:rsid w:val="002710A8"/>
    <w:rsid w:val="002715FE"/>
    <w:rsid w:val="00272491"/>
    <w:rsid w:val="002735E8"/>
    <w:rsid w:val="00273654"/>
    <w:rsid w:val="002737B5"/>
    <w:rsid w:val="002738A0"/>
    <w:rsid w:val="00274528"/>
    <w:rsid w:val="00275647"/>
    <w:rsid w:val="0027650B"/>
    <w:rsid w:val="00276522"/>
    <w:rsid w:val="002777E6"/>
    <w:rsid w:val="002827FA"/>
    <w:rsid w:val="00282E42"/>
    <w:rsid w:val="0028359E"/>
    <w:rsid w:val="0028395F"/>
    <w:rsid w:val="00283D2E"/>
    <w:rsid w:val="00283D92"/>
    <w:rsid w:val="002847B6"/>
    <w:rsid w:val="00286455"/>
    <w:rsid w:val="00286558"/>
    <w:rsid w:val="0028673C"/>
    <w:rsid w:val="00287A9C"/>
    <w:rsid w:val="00287C8D"/>
    <w:rsid w:val="00290125"/>
    <w:rsid w:val="00290C78"/>
    <w:rsid w:val="0029143B"/>
    <w:rsid w:val="00291EFE"/>
    <w:rsid w:val="00293331"/>
    <w:rsid w:val="00293436"/>
    <w:rsid w:val="00294416"/>
    <w:rsid w:val="00294A1A"/>
    <w:rsid w:val="00294E57"/>
    <w:rsid w:val="00294FEF"/>
    <w:rsid w:val="00296591"/>
    <w:rsid w:val="00296824"/>
    <w:rsid w:val="00297134"/>
    <w:rsid w:val="00297C10"/>
    <w:rsid w:val="002A0D91"/>
    <w:rsid w:val="002A1105"/>
    <w:rsid w:val="002A3F69"/>
    <w:rsid w:val="002A44BD"/>
    <w:rsid w:val="002A492E"/>
    <w:rsid w:val="002A5276"/>
    <w:rsid w:val="002A5905"/>
    <w:rsid w:val="002A74D0"/>
    <w:rsid w:val="002A7857"/>
    <w:rsid w:val="002A7D37"/>
    <w:rsid w:val="002B1254"/>
    <w:rsid w:val="002B2D43"/>
    <w:rsid w:val="002B2F1F"/>
    <w:rsid w:val="002B400F"/>
    <w:rsid w:val="002B4C30"/>
    <w:rsid w:val="002B4CAD"/>
    <w:rsid w:val="002B57EF"/>
    <w:rsid w:val="002B5E94"/>
    <w:rsid w:val="002B60F8"/>
    <w:rsid w:val="002B674D"/>
    <w:rsid w:val="002B7E9A"/>
    <w:rsid w:val="002C02D4"/>
    <w:rsid w:val="002C066F"/>
    <w:rsid w:val="002C1B99"/>
    <w:rsid w:val="002C29EE"/>
    <w:rsid w:val="002C316F"/>
    <w:rsid w:val="002C3B10"/>
    <w:rsid w:val="002C6D44"/>
    <w:rsid w:val="002C7C5F"/>
    <w:rsid w:val="002C7EF4"/>
    <w:rsid w:val="002D0371"/>
    <w:rsid w:val="002D07F2"/>
    <w:rsid w:val="002D0CF4"/>
    <w:rsid w:val="002D1EDE"/>
    <w:rsid w:val="002D21D9"/>
    <w:rsid w:val="002D22AC"/>
    <w:rsid w:val="002D30A3"/>
    <w:rsid w:val="002D36A9"/>
    <w:rsid w:val="002D40A6"/>
    <w:rsid w:val="002D416E"/>
    <w:rsid w:val="002D5D72"/>
    <w:rsid w:val="002D7576"/>
    <w:rsid w:val="002D7C5D"/>
    <w:rsid w:val="002D7F38"/>
    <w:rsid w:val="002E03EE"/>
    <w:rsid w:val="002E04DB"/>
    <w:rsid w:val="002E0BB2"/>
    <w:rsid w:val="002E1493"/>
    <w:rsid w:val="002E1547"/>
    <w:rsid w:val="002E32E7"/>
    <w:rsid w:val="002E3B95"/>
    <w:rsid w:val="002E4170"/>
    <w:rsid w:val="002E5039"/>
    <w:rsid w:val="002E5188"/>
    <w:rsid w:val="002E5B4F"/>
    <w:rsid w:val="002E6A64"/>
    <w:rsid w:val="002E7E61"/>
    <w:rsid w:val="002F0362"/>
    <w:rsid w:val="002F0844"/>
    <w:rsid w:val="002F1B58"/>
    <w:rsid w:val="002F1F0B"/>
    <w:rsid w:val="002F2A36"/>
    <w:rsid w:val="002F2EB0"/>
    <w:rsid w:val="002F2ED2"/>
    <w:rsid w:val="002F3818"/>
    <w:rsid w:val="002F458C"/>
    <w:rsid w:val="002F46F6"/>
    <w:rsid w:val="00300435"/>
    <w:rsid w:val="0030079A"/>
    <w:rsid w:val="00301006"/>
    <w:rsid w:val="00301743"/>
    <w:rsid w:val="00301C2B"/>
    <w:rsid w:val="00301EC6"/>
    <w:rsid w:val="003028E6"/>
    <w:rsid w:val="003030E0"/>
    <w:rsid w:val="00303B40"/>
    <w:rsid w:val="00304696"/>
    <w:rsid w:val="00304850"/>
    <w:rsid w:val="00304942"/>
    <w:rsid w:val="0030597F"/>
    <w:rsid w:val="00306A33"/>
    <w:rsid w:val="00307AA5"/>
    <w:rsid w:val="00311A4E"/>
    <w:rsid w:val="00312EF1"/>
    <w:rsid w:val="00312F59"/>
    <w:rsid w:val="003130A4"/>
    <w:rsid w:val="003131A0"/>
    <w:rsid w:val="0031383E"/>
    <w:rsid w:val="00313CCE"/>
    <w:rsid w:val="00315604"/>
    <w:rsid w:val="00316BBC"/>
    <w:rsid w:val="00316F4E"/>
    <w:rsid w:val="003171E8"/>
    <w:rsid w:val="00317594"/>
    <w:rsid w:val="003175FD"/>
    <w:rsid w:val="003179A3"/>
    <w:rsid w:val="003206C0"/>
    <w:rsid w:val="00320899"/>
    <w:rsid w:val="00320E35"/>
    <w:rsid w:val="00321315"/>
    <w:rsid w:val="00321F7C"/>
    <w:rsid w:val="003220D5"/>
    <w:rsid w:val="003224C5"/>
    <w:rsid w:val="00323908"/>
    <w:rsid w:val="003249D6"/>
    <w:rsid w:val="00325845"/>
    <w:rsid w:val="003259D5"/>
    <w:rsid w:val="003264BB"/>
    <w:rsid w:val="00327E41"/>
    <w:rsid w:val="003300AF"/>
    <w:rsid w:val="00330494"/>
    <w:rsid w:val="00330B79"/>
    <w:rsid w:val="003312E6"/>
    <w:rsid w:val="003324BD"/>
    <w:rsid w:val="00332EB9"/>
    <w:rsid w:val="00335007"/>
    <w:rsid w:val="003350FC"/>
    <w:rsid w:val="0033789E"/>
    <w:rsid w:val="003378A8"/>
    <w:rsid w:val="00337959"/>
    <w:rsid w:val="00337F71"/>
    <w:rsid w:val="003412F9"/>
    <w:rsid w:val="003416BA"/>
    <w:rsid w:val="00341C2C"/>
    <w:rsid w:val="00342399"/>
    <w:rsid w:val="0034320B"/>
    <w:rsid w:val="00343D22"/>
    <w:rsid w:val="00344923"/>
    <w:rsid w:val="003468F7"/>
    <w:rsid w:val="00346C66"/>
    <w:rsid w:val="00347606"/>
    <w:rsid w:val="0034799F"/>
    <w:rsid w:val="00350197"/>
    <w:rsid w:val="00350855"/>
    <w:rsid w:val="00350D9C"/>
    <w:rsid w:val="00352A9D"/>
    <w:rsid w:val="00353216"/>
    <w:rsid w:val="00353556"/>
    <w:rsid w:val="00353E3E"/>
    <w:rsid w:val="0035416D"/>
    <w:rsid w:val="00354FC3"/>
    <w:rsid w:val="003558A8"/>
    <w:rsid w:val="00360488"/>
    <w:rsid w:val="00360634"/>
    <w:rsid w:val="00360CA9"/>
    <w:rsid w:val="0036226D"/>
    <w:rsid w:val="00363161"/>
    <w:rsid w:val="0036350A"/>
    <w:rsid w:val="00364447"/>
    <w:rsid w:val="00365087"/>
    <w:rsid w:val="00365170"/>
    <w:rsid w:val="003655E0"/>
    <w:rsid w:val="00365B13"/>
    <w:rsid w:val="00366B2E"/>
    <w:rsid w:val="00370537"/>
    <w:rsid w:val="003708CA"/>
    <w:rsid w:val="00371228"/>
    <w:rsid w:val="00373904"/>
    <w:rsid w:val="00373B76"/>
    <w:rsid w:val="00373DE0"/>
    <w:rsid w:val="00375CDC"/>
    <w:rsid w:val="00376AF9"/>
    <w:rsid w:val="00377052"/>
    <w:rsid w:val="00377ECC"/>
    <w:rsid w:val="0038071D"/>
    <w:rsid w:val="00382046"/>
    <w:rsid w:val="0038213E"/>
    <w:rsid w:val="00382B67"/>
    <w:rsid w:val="00382BB8"/>
    <w:rsid w:val="00382F60"/>
    <w:rsid w:val="00383584"/>
    <w:rsid w:val="00384018"/>
    <w:rsid w:val="00384B9B"/>
    <w:rsid w:val="00386FA0"/>
    <w:rsid w:val="0038702D"/>
    <w:rsid w:val="00387701"/>
    <w:rsid w:val="003911DA"/>
    <w:rsid w:val="00391617"/>
    <w:rsid w:val="003925FB"/>
    <w:rsid w:val="003927A9"/>
    <w:rsid w:val="0039447D"/>
    <w:rsid w:val="00394BAE"/>
    <w:rsid w:val="00395926"/>
    <w:rsid w:val="0039656C"/>
    <w:rsid w:val="00396AB2"/>
    <w:rsid w:val="00397EF2"/>
    <w:rsid w:val="003A19A2"/>
    <w:rsid w:val="003A1A4A"/>
    <w:rsid w:val="003A2F81"/>
    <w:rsid w:val="003A3944"/>
    <w:rsid w:val="003A423D"/>
    <w:rsid w:val="003A4329"/>
    <w:rsid w:val="003A61DE"/>
    <w:rsid w:val="003A62DA"/>
    <w:rsid w:val="003A63AD"/>
    <w:rsid w:val="003A7326"/>
    <w:rsid w:val="003B0560"/>
    <w:rsid w:val="003B1235"/>
    <w:rsid w:val="003B200D"/>
    <w:rsid w:val="003B2774"/>
    <w:rsid w:val="003B38ED"/>
    <w:rsid w:val="003B42A9"/>
    <w:rsid w:val="003B4F93"/>
    <w:rsid w:val="003B5776"/>
    <w:rsid w:val="003B6B2C"/>
    <w:rsid w:val="003B7FAB"/>
    <w:rsid w:val="003C06E4"/>
    <w:rsid w:val="003C0C44"/>
    <w:rsid w:val="003C16FD"/>
    <w:rsid w:val="003C2344"/>
    <w:rsid w:val="003C303D"/>
    <w:rsid w:val="003C52A7"/>
    <w:rsid w:val="003C5CB9"/>
    <w:rsid w:val="003C61A1"/>
    <w:rsid w:val="003C6A26"/>
    <w:rsid w:val="003C76B8"/>
    <w:rsid w:val="003D1093"/>
    <w:rsid w:val="003D1399"/>
    <w:rsid w:val="003D1703"/>
    <w:rsid w:val="003D25F0"/>
    <w:rsid w:val="003D2DB7"/>
    <w:rsid w:val="003D2EF1"/>
    <w:rsid w:val="003D336F"/>
    <w:rsid w:val="003D368A"/>
    <w:rsid w:val="003D3A78"/>
    <w:rsid w:val="003D413A"/>
    <w:rsid w:val="003D4611"/>
    <w:rsid w:val="003D53E0"/>
    <w:rsid w:val="003D5E7D"/>
    <w:rsid w:val="003D7610"/>
    <w:rsid w:val="003D7796"/>
    <w:rsid w:val="003D79F9"/>
    <w:rsid w:val="003E06DB"/>
    <w:rsid w:val="003E07E6"/>
    <w:rsid w:val="003E0BB5"/>
    <w:rsid w:val="003E0E51"/>
    <w:rsid w:val="003E2DAA"/>
    <w:rsid w:val="003E3F16"/>
    <w:rsid w:val="003E52C0"/>
    <w:rsid w:val="003E55E6"/>
    <w:rsid w:val="003E5C8A"/>
    <w:rsid w:val="003E6628"/>
    <w:rsid w:val="003E6B86"/>
    <w:rsid w:val="003E79DC"/>
    <w:rsid w:val="003E7BCC"/>
    <w:rsid w:val="003F06C8"/>
    <w:rsid w:val="003F11FF"/>
    <w:rsid w:val="003F1B12"/>
    <w:rsid w:val="003F1F07"/>
    <w:rsid w:val="003F2795"/>
    <w:rsid w:val="003F3EAC"/>
    <w:rsid w:val="003F3FD9"/>
    <w:rsid w:val="003F4B84"/>
    <w:rsid w:val="003F5C07"/>
    <w:rsid w:val="003F7CF5"/>
    <w:rsid w:val="003F7D0E"/>
    <w:rsid w:val="00401B39"/>
    <w:rsid w:val="00401FD6"/>
    <w:rsid w:val="004029D8"/>
    <w:rsid w:val="00404391"/>
    <w:rsid w:val="004045E3"/>
    <w:rsid w:val="00405698"/>
    <w:rsid w:val="00406060"/>
    <w:rsid w:val="00406859"/>
    <w:rsid w:val="00406E71"/>
    <w:rsid w:val="0040749A"/>
    <w:rsid w:val="00407B4B"/>
    <w:rsid w:val="00410F1D"/>
    <w:rsid w:val="00411140"/>
    <w:rsid w:val="00412488"/>
    <w:rsid w:val="00413720"/>
    <w:rsid w:val="00414503"/>
    <w:rsid w:val="00414D2F"/>
    <w:rsid w:val="004158F5"/>
    <w:rsid w:val="00415B39"/>
    <w:rsid w:val="0041629E"/>
    <w:rsid w:val="00416346"/>
    <w:rsid w:val="00416ACD"/>
    <w:rsid w:val="00416E86"/>
    <w:rsid w:val="004179F2"/>
    <w:rsid w:val="00424347"/>
    <w:rsid w:val="00424A01"/>
    <w:rsid w:val="00425137"/>
    <w:rsid w:val="0042540A"/>
    <w:rsid w:val="00426484"/>
    <w:rsid w:val="004302B0"/>
    <w:rsid w:val="00430606"/>
    <w:rsid w:val="0043094B"/>
    <w:rsid w:val="00430ABC"/>
    <w:rsid w:val="00430D7B"/>
    <w:rsid w:val="0043151A"/>
    <w:rsid w:val="00431E55"/>
    <w:rsid w:val="004326D7"/>
    <w:rsid w:val="00433F5E"/>
    <w:rsid w:val="00434E35"/>
    <w:rsid w:val="00435262"/>
    <w:rsid w:val="004366D7"/>
    <w:rsid w:val="00436D68"/>
    <w:rsid w:val="00440812"/>
    <w:rsid w:val="004419DA"/>
    <w:rsid w:val="00442F09"/>
    <w:rsid w:val="004438EE"/>
    <w:rsid w:val="00444E23"/>
    <w:rsid w:val="004465D7"/>
    <w:rsid w:val="004468C4"/>
    <w:rsid w:val="00447DA1"/>
    <w:rsid w:val="00447EDA"/>
    <w:rsid w:val="004503E5"/>
    <w:rsid w:val="004503EB"/>
    <w:rsid w:val="004505F7"/>
    <w:rsid w:val="0045091E"/>
    <w:rsid w:val="004512E7"/>
    <w:rsid w:val="00451B45"/>
    <w:rsid w:val="00451E27"/>
    <w:rsid w:val="00452C81"/>
    <w:rsid w:val="00452D80"/>
    <w:rsid w:val="004549B3"/>
    <w:rsid w:val="004556F0"/>
    <w:rsid w:val="004568F8"/>
    <w:rsid w:val="00456D91"/>
    <w:rsid w:val="00457242"/>
    <w:rsid w:val="00457ADD"/>
    <w:rsid w:val="00457B8E"/>
    <w:rsid w:val="00460369"/>
    <w:rsid w:val="004603BB"/>
    <w:rsid w:val="004606CE"/>
    <w:rsid w:val="00460A94"/>
    <w:rsid w:val="00460B10"/>
    <w:rsid w:val="00462995"/>
    <w:rsid w:val="004629A7"/>
    <w:rsid w:val="00462B80"/>
    <w:rsid w:val="00462E9A"/>
    <w:rsid w:val="00463001"/>
    <w:rsid w:val="0046435A"/>
    <w:rsid w:val="0046488F"/>
    <w:rsid w:val="00467461"/>
    <w:rsid w:val="00470181"/>
    <w:rsid w:val="00470189"/>
    <w:rsid w:val="00470330"/>
    <w:rsid w:val="0047082D"/>
    <w:rsid w:val="00470A5F"/>
    <w:rsid w:val="00471763"/>
    <w:rsid w:val="0047212B"/>
    <w:rsid w:val="00473CD4"/>
    <w:rsid w:val="0047478A"/>
    <w:rsid w:val="0047515F"/>
    <w:rsid w:val="00475413"/>
    <w:rsid w:val="00476067"/>
    <w:rsid w:val="00476B87"/>
    <w:rsid w:val="004776A4"/>
    <w:rsid w:val="00481EF6"/>
    <w:rsid w:val="00481F7A"/>
    <w:rsid w:val="004824F5"/>
    <w:rsid w:val="004826E3"/>
    <w:rsid w:val="004838B3"/>
    <w:rsid w:val="004843EF"/>
    <w:rsid w:val="00484DB6"/>
    <w:rsid w:val="00485285"/>
    <w:rsid w:val="00485A83"/>
    <w:rsid w:val="0049005F"/>
    <w:rsid w:val="004908CE"/>
    <w:rsid w:val="0049127E"/>
    <w:rsid w:val="0049190B"/>
    <w:rsid w:val="004923E2"/>
    <w:rsid w:val="00495F7B"/>
    <w:rsid w:val="004976AE"/>
    <w:rsid w:val="004978EC"/>
    <w:rsid w:val="00497E8F"/>
    <w:rsid w:val="004A1903"/>
    <w:rsid w:val="004A2F37"/>
    <w:rsid w:val="004A3D30"/>
    <w:rsid w:val="004A40FC"/>
    <w:rsid w:val="004A4E77"/>
    <w:rsid w:val="004A4F3A"/>
    <w:rsid w:val="004A537E"/>
    <w:rsid w:val="004A5968"/>
    <w:rsid w:val="004A5D4F"/>
    <w:rsid w:val="004A64B8"/>
    <w:rsid w:val="004A669F"/>
    <w:rsid w:val="004A6777"/>
    <w:rsid w:val="004A68E7"/>
    <w:rsid w:val="004B0306"/>
    <w:rsid w:val="004B1330"/>
    <w:rsid w:val="004B18A8"/>
    <w:rsid w:val="004B2B8F"/>
    <w:rsid w:val="004B3410"/>
    <w:rsid w:val="004B3645"/>
    <w:rsid w:val="004B3844"/>
    <w:rsid w:val="004B4FAB"/>
    <w:rsid w:val="004B5724"/>
    <w:rsid w:val="004B5DB8"/>
    <w:rsid w:val="004B6157"/>
    <w:rsid w:val="004C04DA"/>
    <w:rsid w:val="004C1FA7"/>
    <w:rsid w:val="004C2F53"/>
    <w:rsid w:val="004C3A10"/>
    <w:rsid w:val="004C47A1"/>
    <w:rsid w:val="004C519E"/>
    <w:rsid w:val="004C583F"/>
    <w:rsid w:val="004C5BC3"/>
    <w:rsid w:val="004C5C51"/>
    <w:rsid w:val="004C5E51"/>
    <w:rsid w:val="004C6242"/>
    <w:rsid w:val="004C6B1A"/>
    <w:rsid w:val="004C6E84"/>
    <w:rsid w:val="004C73EB"/>
    <w:rsid w:val="004D02C2"/>
    <w:rsid w:val="004D03EF"/>
    <w:rsid w:val="004D17BB"/>
    <w:rsid w:val="004D18E2"/>
    <w:rsid w:val="004D18F3"/>
    <w:rsid w:val="004D24FA"/>
    <w:rsid w:val="004D2923"/>
    <w:rsid w:val="004D4542"/>
    <w:rsid w:val="004D555B"/>
    <w:rsid w:val="004D5D02"/>
    <w:rsid w:val="004D6391"/>
    <w:rsid w:val="004D6634"/>
    <w:rsid w:val="004D7963"/>
    <w:rsid w:val="004E02A2"/>
    <w:rsid w:val="004E056F"/>
    <w:rsid w:val="004E095A"/>
    <w:rsid w:val="004E19CC"/>
    <w:rsid w:val="004E223B"/>
    <w:rsid w:val="004E2A52"/>
    <w:rsid w:val="004E2DCA"/>
    <w:rsid w:val="004E3D4B"/>
    <w:rsid w:val="004E4D79"/>
    <w:rsid w:val="004E7D00"/>
    <w:rsid w:val="004F003F"/>
    <w:rsid w:val="004F07E7"/>
    <w:rsid w:val="004F0D1E"/>
    <w:rsid w:val="004F0F4B"/>
    <w:rsid w:val="004F0F4D"/>
    <w:rsid w:val="004F2448"/>
    <w:rsid w:val="004F24F2"/>
    <w:rsid w:val="004F2D70"/>
    <w:rsid w:val="004F377D"/>
    <w:rsid w:val="004F4047"/>
    <w:rsid w:val="004F5C46"/>
    <w:rsid w:val="004F5F67"/>
    <w:rsid w:val="004F631E"/>
    <w:rsid w:val="004F7588"/>
    <w:rsid w:val="004F7992"/>
    <w:rsid w:val="004F7CCC"/>
    <w:rsid w:val="00501942"/>
    <w:rsid w:val="00501BE0"/>
    <w:rsid w:val="00501D07"/>
    <w:rsid w:val="005026BB"/>
    <w:rsid w:val="00503425"/>
    <w:rsid w:val="00503DA0"/>
    <w:rsid w:val="005042D1"/>
    <w:rsid w:val="005044FC"/>
    <w:rsid w:val="00505331"/>
    <w:rsid w:val="005053DF"/>
    <w:rsid w:val="00505992"/>
    <w:rsid w:val="00506519"/>
    <w:rsid w:val="00511C85"/>
    <w:rsid w:val="00512281"/>
    <w:rsid w:val="005124E6"/>
    <w:rsid w:val="00512ABA"/>
    <w:rsid w:val="00512B34"/>
    <w:rsid w:val="00512FF9"/>
    <w:rsid w:val="00513252"/>
    <w:rsid w:val="005132D2"/>
    <w:rsid w:val="0051379E"/>
    <w:rsid w:val="005154E7"/>
    <w:rsid w:val="0051630C"/>
    <w:rsid w:val="00516432"/>
    <w:rsid w:val="00517844"/>
    <w:rsid w:val="005208AA"/>
    <w:rsid w:val="005210BE"/>
    <w:rsid w:val="00521363"/>
    <w:rsid w:val="005214D3"/>
    <w:rsid w:val="00521B8F"/>
    <w:rsid w:val="00522671"/>
    <w:rsid w:val="00523B95"/>
    <w:rsid w:val="00523C5A"/>
    <w:rsid w:val="00524381"/>
    <w:rsid w:val="005245CD"/>
    <w:rsid w:val="005246C4"/>
    <w:rsid w:val="00525815"/>
    <w:rsid w:val="00530A6B"/>
    <w:rsid w:val="00531573"/>
    <w:rsid w:val="0053292D"/>
    <w:rsid w:val="005331FA"/>
    <w:rsid w:val="00534009"/>
    <w:rsid w:val="00534051"/>
    <w:rsid w:val="005344F9"/>
    <w:rsid w:val="00534B17"/>
    <w:rsid w:val="00534EA2"/>
    <w:rsid w:val="00535444"/>
    <w:rsid w:val="0053553B"/>
    <w:rsid w:val="00535FAC"/>
    <w:rsid w:val="0053670D"/>
    <w:rsid w:val="00536820"/>
    <w:rsid w:val="00537924"/>
    <w:rsid w:val="00537F92"/>
    <w:rsid w:val="0054236E"/>
    <w:rsid w:val="005425DC"/>
    <w:rsid w:val="00542A2F"/>
    <w:rsid w:val="00543525"/>
    <w:rsid w:val="00543700"/>
    <w:rsid w:val="005439CF"/>
    <w:rsid w:val="00543FC3"/>
    <w:rsid w:val="005443CE"/>
    <w:rsid w:val="00547814"/>
    <w:rsid w:val="005510DE"/>
    <w:rsid w:val="005511EC"/>
    <w:rsid w:val="00551B53"/>
    <w:rsid w:val="005538A3"/>
    <w:rsid w:val="005551BF"/>
    <w:rsid w:val="00555288"/>
    <w:rsid w:val="0055678D"/>
    <w:rsid w:val="00560443"/>
    <w:rsid w:val="00562418"/>
    <w:rsid w:val="00562646"/>
    <w:rsid w:val="00563B17"/>
    <w:rsid w:val="00563C99"/>
    <w:rsid w:val="00563E30"/>
    <w:rsid w:val="00565060"/>
    <w:rsid w:val="005650FD"/>
    <w:rsid w:val="005651F1"/>
    <w:rsid w:val="005667D0"/>
    <w:rsid w:val="00567801"/>
    <w:rsid w:val="00567C3F"/>
    <w:rsid w:val="00570677"/>
    <w:rsid w:val="005713B0"/>
    <w:rsid w:val="00572631"/>
    <w:rsid w:val="00573BB8"/>
    <w:rsid w:val="0057484D"/>
    <w:rsid w:val="00575483"/>
    <w:rsid w:val="005754D1"/>
    <w:rsid w:val="005759FB"/>
    <w:rsid w:val="00575C2E"/>
    <w:rsid w:val="00576AF0"/>
    <w:rsid w:val="00576D0F"/>
    <w:rsid w:val="00576FCA"/>
    <w:rsid w:val="00577AF6"/>
    <w:rsid w:val="0058182D"/>
    <w:rsid w:val="00581B10"/>
    <w:rsid w:val="00581BC4"/>
    <w:rsid w:val="00582283"/>
    <w:rsid w:val="005823CA"/>
    <w:rsid w:val="005837A4"/>
    <w:rsid w:val="00585306"/>
    <w:rsid w:val="00585336"/>
    <w:rsid w:val="00585AEA"/>
    <w:rsid w:val="00585F47"/>
    <w:rsid w:val="00585FD3"/>
    <w:rsid w:val="0059077D"/>
    <w:rsid w:val="005919F7"/>
    <w:rsid w:val="00593665"/>
    <w:rsid w:val="00594A52"/>
    <w:rsid w:val="00594C56"/>
    <w:rsid w:val="00595018"/>
    <w:rsid w:val="005954D1"/>
    <w:rsid w:val="005956E5"/>
    <w:rsid w:val="00596881"/>
    <w:rsid w:val="00597590"/>
    <w:rsid w:val="005A02F8"/>
    <w:rsid w:val="005A0868"/>
    <w:rsid w:val="005A0B4B"/>
    <w:rsid w:val="005A0E0D"/>
    <w:rsid w:val="005A1DB3"/>
    <w:rsid w:val="005A1EE4"/>
    <w:rsid w:val="005A24EC"/>
    <w:rsid w:val="005A34CF"/>
    <w:rsid w:val="005A45B1"/>
    <w:rsid w:val="005A4A51"/>
    <w:rsid w:val="005A5404"/>
    <w:rsid w:val="005A7C0B"/>
    <w:rsid w:val="005B00D5"/>
    <w:rsid w:val="005B084C"/>
    <w:rsid w:val="005B1258"/>
    <w:rsid w:val="005B30F3"/>
    <w:rsid w:val="005B38E7"/>
    <w:rsid w:val="005B5D4E"/>
    <w:rsid w:val="005B6356"/>
    <w:rsid w:val="005B6403"/>
    <w:rsid w:val="005B6D4F"/>
    <w:rsid w:val="005B70DA"/>
    <w:rsid w:val="005B7460"/>
    <w:rsid w:val="005B7F30"/>
    <w:rsid w:val="005C0EC8"/>
    <w:rsid w:val="005C1019"/>
    <w:rsid w:val="005C112E"/>
    <w:rsid w:val="005C27A7"/>
    <w:rsid w:val="005C32C5"/>
    <w:rsid w:val="005C34AA"/>
    <w:rsid w:val="005C3970"/>
    <w:rsid w:val="005C399A"/>
    <w:rsid w:val="005C3C8B"/>
    <w:rsid w:val="005C5376"/>
    <w:rsid w:val="005C5C58"/>
    <w:rsid w:val="005C6E1D"/>
    <w:rsid w:val="005C7B11"/>
    <w:rsid w:val="005D0A9A"/>
    <w:rsid w:val="005D0DBE"/>
    <w:rsid w:val="005D129D"/>
    <w:rsid w:val="005D2BA9"/>
    <w:rsid w:val="005D37D0"/>
    <w:rsid w:val="005D4CB2"/>
    <w:rsid w:val="005D55D6"/>
    <w:rsid w:val="005D6199"/>
    <w:rsid w:val="005D65DF"/>
    <w:rsid w:val="005D6B84"/>
    <w:rsid w:val="005D7930"/>
    <w:rsid w:val="005E023A"/>
    <w:rsid w:val="005E05B5"/>
    <w:rsid w:val="005E0F8D"/>
    <w:rsid w:val="005E228A"/>
    <w:rsid w:val="005E2C01"/>
    <w:rsid w:val="005E2E89"/>
    <w:rsid w:val="005E3288"/>
    <w:rsid w:val="005E414F"/>
    <w:rsid w:val="005E45A1"/>
    <w:rsid w:val="005E4B4A"/>
    <w:rsid w:val="005E4CEB"/>
    <w:rsid w:val="005E6401"/>
    <w:rsid w:val="005F0F9D"/>
    <w:rsid w:val="005F13D8"/>
    <w:rsid w:val="005F1650"/>
    <w:rsid w:val="005F1A0D"/>
    <w:rsid w:val="005F2396"/>
    <w:rsid w:val="005F3EAD"/>
    <w:rsid w:val="005F477E"/>
    <w:rsid w:val="005F5F18"/>
    <w:rsid w:val="005F600D"/>
    <w:rsid w:val="005F695D"/>
    <w:rsid w:val="005F6BB0"/>
    <w:rsid w:val="005F7359"/>
    <w:rsid w:val="005F7582"/>
    <w:rsid w:val="00600211"/>
    <w:rsid w:val="0060078F"/>
    <w:rsid w:val="00600940"/>
    <w:rsid w:val="006016F4"/>
    <w:rsid w:val="00601C37"/>
    <w:rsid w:val="00601EE9"/>
    <w:rsid w:val="00602086"/>
    <w:rsid w:val="006029A4"/>
    <w:rsid w:val="00602D0A"/>
    <w:rsid w:val="00603CCA"/>
    <w:rsid w:val="00603D05"/>
    <w:rsid w:val="00603D8E"/>
    <w:rsid w:val="00604575"/>
    <w:rsid w:val="006061FC"/>
    <w:rsid w:val="00606C5D"/>
    <w:rsid w:val="00606E29"/>
    <w:rsid w:val="00607AF7"/>
    <w:rsid w:val="00607FDD"/>
    <w:rsid w:val="00610332"/>
    <w:rsid w:val="006104D6"/>
    <w:rsid w:val="006105BD"/>
    <w:rsid w:val="006107A3"/>
    <w:rsid w:val="00611688"/>
    <w:rsid w:val="00614201"/>
    <w:rsid w:val="0061449E"/>
    <w:rsid w:val="006145E0"/>
    <w:rsid w:val="00614D8E"/>
    <w:rsid w:val="00615D7C"/>
    <w:rsid w:val="00616B47"/>
    <w:rsid w:val="006179D0"/>
    <w:rsid w:val="00620241"/>
    <w:rsid w:val="00622F2B"/>
    <w:rsid w:val="00624B28"/>
    <w:rsid w:val="00626382"/>
    <w:rsid w:val="00627C2D"/>
    <w:rsid w:val="006308F9"/>
    <w:rsid w:val="00630A7F"/>
    <w:rsid w:val="00630BCF"/>
    <w:rsid w:val="006318D7"/>
    <w:rsid w:val="00632C2C"/>
    <w:rsid w:val="00634552"/>
    <w:rsid w:val="006347E6"/>
    <w:rsid w:val="00634EB1"/>
    <w:rsid w:val="006359B1"/>
    <w:rsid w:val="00635BE7"/>
    <w:rsid w:val="00636CED"/>
    <w:rsid w:val="0063768A"/>
    <w:rsid w:val="00637AF2"/>
    <w:rsid w:val="00637E11"/>
    <w:rsid w:val="006405D0"/>
    <w:rsid w:val="006428AF"/>
    <w:rsid w:val="0064388C"/>
    <w:rsid w:val="00644C13"/>
    <w:rsid w:val="006452F9"/>
    <w:rsid w:val="00645B6C"/>
    <w:rsid w:val="00645C10"/>
    <w:rsid w:val="00646A84"/>
    <w:rsid w:val="00647045"/>
    <w:rsid w:val="0064726A"/>
    <w:rsid w:val="0064777A"/>
    <w:rsid w:val="00647D8A"/>
    <w:rsid w:val="00651586"/>
    <w:rsid w:val="00652B72"/>
    <w:rsid w:val="00652EBC"/>
    <w:rsid w:val="00653D5D"/>
    <w:rsid w:val="00654425"/>
    <w:rsid w:val="00654FDC"/>
    <w:rsid w:val="00655FDA"/>
    <w:rsid w:val="006562A1"/>
    <w:rsid w:val="006567F6"/>
    <w:rsid w:val="00656C50"/>
    <w:rsid w:val="00657340"/>
    <w:rsid w:val="00661221"/>
    <w:rsid w:val="00662A05"/>
    <w:rsid w:val="00662E75"/>
    <w:rsid w:val="00663BD0"/>
    <w:rsid w:val="00664C85"/>
    <w:rsid w:val="00665C28"/>
    <w:rsid w:val="00665E00"/>
    <w:rsid w:val="006663F2"/>
    <w:rsid w:val="006675AD"/>
    <w:rsid w:val="006675EB"/>
    <w:rsid w:val="006705DD"/>
    <w:rsid w:val="0067076C"/>
    <w:rsid w:val="00672642"/>
    <w:rsid w:val="0067270A"/>
    <w:rsid w:val="006727E0"/>
    <w:rsid w:val="00673ABA"/>
    <w:rsid w:val="00673BD3"/>
    <w:rsid w:val="00673E0A"/>
    <w:rsid w:val="00674BFB"/>
    <w:rsid w:val="00677630"/>
    <w:rsid w:val="00677717"/>
    <w:rsid w:val="006811D1"/>
    <w:rsid w:val="0068223A"/>
    <w:rsid w:val="00683F2F"/>
    <w:rsid w:val="0068449B"/>
    <w:rsid w:val="00684722"/>
    <w:rsid w:val="00684E11"/>
    <w:rsid w:val="00686AD2"/>
    <w:rsid w:val="00686F5A"/>
    <w:rsid w:val="006902E1"/>
    <w:rsid w:val="00690505"/>
    <w:rsid w:val="006911DA"/>
    <w:rsid w:val="0069251B"/>
    <w:rsid w:val="00693578"/>
    <w:rsid w:val="00694ADC"/>
    <w:rsid w:val="00695407"/>
    <w:rsid w:val="006959BF"/>
    <w:rsid w:val="006960D2"/>
    <w:rsid w:val="00696106"/>
    <w:rsid w:val="006970D1"/>
    <w:rsid w:val="00697857"/>
    <w:rsid w:val="00697944"/>
    <w:rsid w:val="00697955"/>
    <w:rsid w:val="006A0140"/>
    <w:rsid w:val="006A0599"/>
    <w:rsid w:val="006A0744"/>
    <w:rsid w:val="006A1864"/>
    <w:rsid w:val="006A1C6E"/>
    <w:rsid w:val="006A253A"/>
    <w:rsid w:val="006A3098"/>
    <w:rsid w:val="006A3913"/>
    <w:rsid w:val="006A3EF3"/>
    <w:rsid w:val="006A3F7B"/>
    <w:rsid w:val="006A5742"/>
    <w:rsid w:val="006A5CD8"/>
    <w:rsid w:val="006A67B6"/>
    <w:rsid w:val="006B0AE2"/>
    <w:rsid w:val="006B1302"/>
    <w:rsid w:val="006B1BF2"/>
    <w:rsid w:val="006B1E0D"/>
    <w:rsid w:val="006B2077"/>
    <w:rsid w:val="006B2635"/>
    <w:rsid w:val="006B4040"/>
    <w:rsid w:val="006B4160"/>
    <w:rsid w:val="006B45A6"/>
    <w:rsid w:val="006B594B"/>
    <w:rsid w:val="006B5A1E"/>
    <w:rsid w:val="006B5A4F"/>
    <w:rsid w:val="006B693E"/>
    <w:rsid w:val="006B79B3"/>
    <w:rsid w:val="006C07D0"/>
    <w:rsid w:val="006C17A7"/>
    <w:rsid w:val="006C2783"/>
    <w:rsid w:val="006C35AA"/>
    <w:rsid w:val="006C49C2"/>
    <w:rsid w:val="006C5040"/>
    <w:rsid w:val="006C53AF"/>
    <w:rsid w:val="006C5558"/>
    <w:rsid w:val="006D06F2"/>
    <w:rsid w:val="006D0D49"/>
    <w:rsid w:val="006D2329"/>
    <w:rsid w:val="006D2E90"/>
    <w:rsid w:val="006D307A"/>
    <w:rsid w:val="006D499D"/>
    <w:rsid w:val="006D5ECC"/>
    <w:rsid w:val="006D5F46"/>
    <w:rsid w:val="006D65A3"/>
    <w:rsid w:val="006D6F5D"/>
    <w:rsid w:val="006D7B57"/>
    <w:rsid w:val="006E0FC4"/>
    <w:rsid w:val="006E10F3"/>
    <w:rsid w:val="006E1DDC"/>
    <w:rsid w:val="006E2AB6"/>
    <w:rsid w:val="006E2B1C"/>
    <w:rsid w:val="006E31BD"/>
    <w:rsid w:val="006E33B9"/>
    <w:rsid w:val="006E3B2A"/>
    <w:rsid w:val="006E4717"/>
    <w:rsid w:val="006E505F"/>
    <w:rsid w:val="006E5E4B"/>
    <w:rsid w:val="006E5E7E"/>
    <w:rsid w:val="006E765C"/>
    <w:rsid w:val="006E7B6C"/>
    <w:rsid w:val="006F0173"/>
    <w:rsid w:val="006F0B02"/>
    <w:rsid w:val="006F2F64"/>
    <w:rsid w:val="006F30BF"/>
    <w:rsid w:val="006F3131"/>
    <w:rsid w:val="006F3B8E"/>
    <w:rsid w:val="006F422C"/>
    <w:rsid w:val="006F430A"/>
    <w:rsid w:val="006F4560"/>
    <w:rsid w:val="006F5A11"/>
    <w:rsid w:val="006F5EC0"/>
    <w:rsid w:val="006F617A"/>
    <w:rsid w:val="006F61FF"/>
    <w:rsid w:val="006F71D6"/>
    <w:rsid w:val="006F7697"/>
    <w:rsid w:val="006F7B0F"/>
    <w:rsid w:val="006F7EA9"/>
    <w:rsid w:val="00700284"/>
    <w:rsid w:val="007002DF"/>
    <w:rsid w:val="007002E5"/>
    <w:rsid w:val="00701DBF"/>
    <w:rsid w:val="0070208C"/>
    <w:rsid w:val="00703CF5"/>
    <w:rsid w:val="00704092"/>
    <w:rsid w:val="007059DF"/>
    <w:rsid w:val="0070602C"/>
    <w:rsid w:val="007070A2"/>
    <w:rsid w:val="00707446"/>
    <w:rsid w:val="0071061F"/>
    <w:rsid w:val="0071294F"/>
    <w:rsid w:val="00712A2D"/>
    <w:rsid w:val="00713557"/>
    <w:rsid w:val="00713EF6"/>
    <w:rsid w:val="007146AB"/>
    <w:rsid w:val="00714BC2"/>
    <w:rsid w:val="007154AD"/>
    <w:rsid w:val="007159CB"/>
    <w:rsid w:val="00716714"/>
    <w:rsid w:val="00716B1F"/>
    <w:rsid w:val="00716B95"/>
    <w:rsid w:val="007171D9"/>
    <w:rsid w:val="00720BAB"/>
    <w:rsid w:val="00720EF8"/>
    <w:rsid w:val="00721692"/>
    <w:rsid w:val="007235CE"/>
    <w:rsid w:val="00723BB2"/>
    <w:rsid w:val="007246A3"/>
    <w:rsid w:val="0072601B"/>
    <w:rsid w:val="00726069"/>
    <w:rsid w:val="007275B5"/>
    <w:rsid w:val="00727AFA"/>
    <w:rsid w:val="00730187"/>
    <w:rsid w:val="007314EE"/>
    <w:rsid w:val="007349EF"/>
    <w:rsid w:val="007367A0"/>
    <w:rsid w:val="007400C9"/>
    <w:rsid w:val="0074029C"/>
    <w:rsid w:val="007405A3"/>
    <w:rsid w:val="0074166D"/>
    <w:rsid w:val="00741C21"/>
    <w:rsid w:val="0074287D"/>
    <w:rsid w:val="007428B2"/>
    <w:rsid w:val="00743037"/>
    <w:rsid w:val="00743833"/>
    <w:rsid w:val="00743E38"/>
    <w:rsid w:val="00743F79"/>
    <w:rsid w:val="0074431E"/>
    <w:rsid w:val="007456BD"/>
    <w:rsid w:val="00745C92"/>
    <w:rsid w:val="00746523"/>
    <w:rsid w:val="007472CB"/>
    <w:rsid w:val="00747C2C"/>
    <w:rsid w:val="00750A27"/>
    <w:rsid w:val="00750DBD"/>
    <w:rsid w:val="00750E3B"/>
    <w:rsid w:val="00751342"/>
    <w:rsid w:val="00751A20"/>
    <w:rsid w:val="00751C41"/>
    <w:rsid w:val="00751E58"/>
    <w:rsid w:val="00752C3B"/>
    <w:rsid w:val="00753809"/>
    <w:rsid w:val="00753886"/>
    <w:rsid w:val="00753CBD"/>
    <w:rsid w:val="007543BD"/>
    <w:rsid w:val="00756E77"/>
    <w:rsid w:val="00757B15"/>
    <w:rsid w:val="00760754"/>
    <w:rsid w:val="00761EC2"/>
    <w:rsid w:val="007629C5"/>
    <w:rsid w:val="00762A41"/>
    <w:rsid w:val="007630C7"/>
    <w:rsid w:val="007636F3"/>
    <w:rsid w:val="00764F55"/>
    <w:rsid w:val="0076644B"/>
    <w:rsid w:val="0076719B"/>
    <w:rsid w:val="00767997"/>
    <w:rsid w:val="00767B9D"/>
    <w:rsid w:val="00770B90"/>
    <w:rsid w:val="00771D14"/>
    <w:rsid w:val="00773A08"/>
    <w:rsid w:val="007742D1"/>
    <w:rsid w:val="007742FB"/>
    <w:rsid w:val="00774A2C"/>
    <w:rsid w:val="0077500B"/>
    <w:rsid w:val="00775120"/>
    <w:rsid w:val="00775B35"/>
    <w:rsid w:val="007761EA"/>
    <w:rsid w:val="007766FF"/>
    <w:rsid w:val="00780305"/>
    <w:rsid w:val="00781031"/>
    <w:rsid w:val="00781CDF"/>
    <w:rsid w:val="00781D07"/>
    <w:rsid w:val="00781ED2"/>
    <w:rsid w:val="00782261"/>
    <w:rsid w:val="007824B7"/>
    <w:rsid w:val="007843A7"/>
    <w:rsid w:val="00784476"/>
    <w:rsid w:val="007858F8"/>
    <w:rsid w:val="00785E96"/>
    <w:rsid w:val="00786A44"/>
    <w:rsid w:val="007903A1"/>
    <w:rsid w:val="00790599"/>
    <w:rsid w:val="007908D6"/>
    <w:rsid w:val="007915E2"/>
    <w:rsid w:val="007919AE"/>
    <w:rsid w:val="007923BE"/>
    <w:rsid w:val="00792F95"/>
    <w:rsid w:val="00793DC6"/>
    <w:rsid w:val="007946E6"/>
    <w:rsid w:val="00794FCD"/>
    <w:rsid w:val="007954E2"/>
    <w:rsid w:val="0079570D"/>
    <w:rsid w:val="00795C20"/>
    <w:rsid w:val="00795D92"/>
    <w:rsid w:val="0079730B"/>
    <w:rsid w:val="00797B33"/>
    <w:rsid w:val="007A00B2"/>
    <w:rsid w:val="007A01FE"/>
    <w:rsid w:val="007A0DF8"/>
    <w:rsid w:val="007A15CD"/>
    <w:rsid w:val="007A1AF8"/>
    <w:rsid w:val="007A21C5"/>
    <w:rsid w:val="007A29B0"/>
    <w:rsid w:val="007A2BF2"/>
    <w:rsid w:val="007A3CDC"/>
    <w:rsid w:val="007A3D25"/>
    <w:rsid w:val="007A42DF"/>
    <w:rsid w:val="007A4BCD"/>
    <w:rsid w:val="007A553E"/>
    <w:rsid w:val="007A5B2A"/>
    <w:rsid w:val="007A6B66"/>
    <w:rsid w:val="007A705D"/>
    <w:rsid w:val="007A70BD"/>
    <w:rsid w:val="007B04C6"/>
    <w:rsid w:val="007B0CAE"/>
    <w:rsid w:val="007B157C"/>
    <w:rsid w:val="007B1A11"/>
    <w:rsid w:val="007B2588"/>
    <w:rsid w:val="007B2E5F"/>
    <w:rsid w:val="007B30EC"/>
    <w:rsid w:val="007B3A25"/>
    <w:rsid w:val="007B3A35"/>
    <w:rsid w:val="007B42EF"/>
    <w:rsid w:val="007B45A4"/>
    <w:rsid w:val="007B48C3"/>
    <w:rsid w:val="007B4F2A"/>
    <w:rsid w:val="007B5A2F"/>
    <w:rsid w:val="007B6349"/>
    <w:rsid w:val="007B68D1"/>
    <w:rsid w:val="007B702B"/>
    <w:rsid w:val="007B721E"/>
    <w:rsid w:val="007B7B9C"/>
    <w:rsid w:val="007B7C94"/>
    <w:rsid w:val="007C0250"/>
    <w:rsid w:val="007C1F77"/>
    <w:rsid w:val="007C22EE"/>
    <w:rsid w:val="007C22F4"/>
    <w:rsid w:val="007C2342"/>
    <w:rsid w:val="007C328B"/>
    <w:rsid w:val="007C42FB"/>
    <w:rsid w:val="007C4669"/>
    <w:rsid w:val="007C46B2"/>
    <w:rsid w:val="007C491D"/>
    <w:rsid w:val="007C49DE"/>
    <w:rsid w:val="007C4CED"/>
    <w:rsid w:val="007C545D"/>
    <w:rsid w:val="007C5864"/>
    <w:rsid w:val="007C59D8"/>
    <w:rsid w:val="007D01DF"/>
    <w:rsid w:val="007D20D3"/>
    <w:rsid w:val="007D2FA1"/>
    <w:rsid w:val="007D4255"/>
    <w:rsid w:val="007D79E4"/>
    <w:rsid w:val="007E0F91"/>
    <w:rsid w:val="007E129F"/>
    <w:rsid w:val="007E23AE"/>
    <w:rsid w:val="007E26DC"/>
    <w:rsid w:val="007E2DFE"/>
    <w:rsid w:val="007E38B6"/>
    <w:rsid w:val="007E3EFD"/>
    <w:rsid w:val="007E494D"/>
    <w:rsid w:val="007E495B"/>
    <w:rsid w:val="007E53AA"/>
    <w:rsid w:val="007E5995"/>
    <w:rsid w:val="007E5CBC"/>
    <w:rsid w:val="007E6924"/>
    <w:rsid w:val="007E75C8"/>
    <w:rsid w:val="007E7EE6"/>
    <w:rsid w:val="007F013C"/>
    <w:rsid w:val="007F0613"/>
    <w:rsid w:val="007F0E2D"/>
    <w:rsid w:val="007F1663"/>
    <w:rsid w:val="007F3296"/>
    <w:rsid w:val="007F3318"/>
    <w:rsid w:val="007F3323"/>
    <w:rsid w:val="007F4BE1"/>
    <w:rsid w:val="007F5CE1"/>
    <w:rsid w:val="007F5F88"/>
    <w:rsid w:val="007F65E2"/>
    <w:rsid w:val="007F7326"/>
    <w:rsid w:val="0080021E"/>
    <w:rsid w:val="00800C0D"/>
    <w:rsid w:val="00800D4F"/>
    <w:rsid w:val="00801FA6"/>
    <w:rsid w:val="008020B9"/>
    <w:rsid w:val="008028A7"/>
    <w:rsid w:val="00804DD9"/>
    <w:rsid w:val="00805F14"/>
    <w:rsid w:val="00806A3B"/>
    <w:rsid w:val="00810D78"/>
    <w:rsid w:val="0081112C"/>
    <w:rsid w:val="00811567"/>
    <w:rsid w:val="00811E64"/>
    <w:rsid w:val="00812EA5"/>
    <w:rsid w:val="00813090"/>
    <w:rsid w:val="00813549"/>
    <w:rsid w:val="00815070"/>
    <w:rsid w:val="0081587E"/>
    <w:rsid w:val="00816587"/>
    <w:rsid w:val="008165BE"/>
    <w:rsid w:val="0081661D"/>
    <w:rsid w:val="008166A8"/>
    <w:rsid w:val="00817A2B"/>
    <w:rsid w:val="0082099A"/>
    <w:rsid w:val="00821DE2"/>
    <w:rsid w:val="00822D81"/>
    <w:rsid w:val="00823FF6"/>
    <w:rsid w:val="00824317"/>
    <w:rsid w:val="00824CF7"/>
    <w:rsid w:val="00826122"/>
    <w:rsid w:val="00827327"/>
    <w:rsid w:val="00827333"/>
    <w:rsid w:val="00827B88"/>
    <w:rsid w:val="008310C6"/>
    <w:rsid w:val="00831CF2"/>
    <w:rsid w:val="00832A90"/>
    <w:rsid w:val="00834406"/>
    <w:rsid w:val="008350A7"/>
    <w:rsid w:val="0083628A"/>
    <w:rsid w:val="00836AD7"/>
    <w:rsid w:val="008377CC"/>
    <w:rsid w:val="00841B20"/>
    <w:rsid w:val="00842140"/>
    <w:rsid w:val="00842DAD"/>
    <w:rsid w:val="00843AFE"/>
    <w:rsid w:val="00843EB5"/>
    <w:rsid w:val="00844158"/>
    <w:rsid w:val="00844F66"/>
    <w:rsid w:val="008450DF"/>
    <w:rsid w:val="00845278"/>
    <w:rsid w:val="00845557"/>
    <w:rsid w:val="00845575"/>
    <w:rsid w:val="00846B0E"/>
    <w:rsid w:val="00847A78"/>
    <w:rsid w:val="00850E20"/>
    <w:rsid w:val="00850EE0"/>
    <w:rsid w:val="00851409"/>
    <w:rsid w:val="0085161A"/>
    <w:rsid w:val="008517DA"/>
    <w:rsid w:val="00852734"/>
    <w:rsid w:val="008527CA"/>
    <w:rsid w:val="00852AA7"/>
    <w:rsid w:val="0085357F"/>
    <w:rsid w:val="00853D1B"/>
    <w:rsid w:val="00854968"/>
    <w:rsid w:val="00854AA6"/>
    <w:rsid w:val="008551F7"/>
    <w:rsid w:val="0085545F"/>
    <w:rsid w:val="008566AF"/>
    <w:rsid w:val="008567ED"/>
    <w:rsid w:val="00856E72"/>
    <w:rsid w:val="00856E9E"/>
    <w:rsid w:val="00856EDF"/>
    <w:rsid w:val="00857D1C"/>
    <w:rsid w:val="00857F34"/>
    <w:rsid w:val="00860063"/>
    <w:rsid w:val="0086053B"/>
    <w:rsid w:val="00860553"/>
    <w:rsid w:val="00862EA0"/>
    <w:rsid w:val="00863A2A"/>
    <w:rsid w:val="008644A5"/>
    <w:rsid w:val="00864C4D"/>
    <w:rsid w:val="00865164"/>
    <w:rsid w:val="00866B03"/>
    <w:rsid w:val="0086778C"/>
    <w:rsid w:val="00867B5A"/>
    <w:rsid w:val="008704CA"/>
    <w:rsid w:val="008715ED"/>
    <w:rsid w:val="0087232F"/>
    <w:rsid w:val="008734CE"/>
    <w:rsid w:val="0087393F"/>
    <w:rsid w:val="00874838"/>
    <w:rsid w:val="00875992"/>
    <w:rsid w:val="0087624E"/>
    <w:rsid w:val="00876CA4"/>
    <w:rsid w:val="0088110A"/>
    <w:rsid w:val="0088135A"/>
    <w:rsid w:val="00881C22"/>
    <w:rsid w:val="00883A6C"/>
    <w:rsid w:val="008844D9"/>
    <w:rsid w:val="00884C8A"/>
    <w:rsid w:val="00884EC8"/>
    <w:rsid w:val="008850CB"/>
    <w:rsid w:val="00885404"/>
    <w:rsid w:val="008864C7"/>
    <w:rsid w:val="00886A7F"/>
    <w:rsid w:val="00886F30"/>
    <w:rsid w:val="008878AD"/>
    <w:rsid w:val="0089028F"/>
    <w:rsid w:val="0089041E"/>
    <w:rsid w:val="008906AD"/>
    <w:rsid w:val="008920FC"/>
    <w:rsid w:val="008921AE"/>
    <w:rsid w:val="008949DA"/>
    <w:rsid w:val="00894B17"/>
    <w:rsid w:val="00894C03"/>
    <w:rsid w:val="00895A02"/>
    <w:rsid w:val="00895BD1"/>
    <w:rsid w:val="008A059E"/>
    <w:rsid w:val="008A0B7C"/>
    <w:rsid w:val="008A1172"/>
    <w:rsid w:val="008A167A"/>
    <w:rsid w:val="008A192C"/>
    <w:rsid w:val="008A1DB6"/>
    <w:rsid w:val="008A2162"/>
    <w:rsid w:val="008A26CB"/>
    <w:rsid w:val="008A336E"/>
    <w:rsid w:val="008A3A48"/>
    <w:rsid w:val="008A3E6A"/>
    <w:rsid w:val="008A42E2"/>
    <w:rsid w:val="008A4FD1"/>
    <w:rsid w:val="008A51EE"/>
    <w:rsid w:val="008A6008"/>
    <w:rsid w:val="008A6952"/>
    <w:rsid w:val="008A6AF4"/>
    <w:rsid w:val="008A6ED4"/>
    <w:rsid w:val="008A76A4"/>
    <w:rsid w:val="008B0117"/>
    <w:rsid w:val="008B104A"/>
    <w:rsid w:val="008B1C2A"/>
    <w:rsid w:val="008B2220"/>
    <w:rsid w:val="008B308A"/>
    <w:rsid w:val="008B329F"/>
    <w:rsid w:val="008B338C"/>
    <w:rsid w:val="008B4AFD"/>
    <w:rsid w:val="008B51CF"/>
    <w:rsid w:val="008B645A"/>
    <w:rsid w:val="008B6659"/>
    <w:rsid w:val="008B6D29"/>
    <w:rsid w:val="008B79B9"/>
    <w:rsid w:val="008C07F8"/>
    <w:rsid w:val="008C0A1E"/>
    <w:rsid w:val="008C1CAA"/>
    <w:rsid w:val="008C2461"/>
    <w:rsid w:val="008C26B5"/>
    <w:rsid w:val="008C2B24"/>
    <w:rsid w:val="008C49AC"/>
    <w:rsid w:val="008C5666"/>
    <w:rsid w:val="008C6461"/>
    <w:rsid w:val="008C6501"/>
    <w:rsid w:val="008C68F6"/>
    <w:rsid w:val="008C7509"/>
    <w:rsid w:val="008C7964"/>
    <w:rsid w:val="008D10F3"/>
    <w:rsid w:val="008D1A63"/>
    <w:rsid w:val="008D28B3"/>
    <w:rsid w:val="008D3CE0"/>
    <w:rsid w:val="008D450F"/>
    <w:rsid w:val="008D575B"/>
    <w:rsid w:val="008D5FC9"/>
    <w:rsid w:val="008D71E8"/>
    <w:rsid w:val="008D7670"/>
    <w:rsid w:val="008D7CB9"/>
    <w:rsid w:val="008E1BAB"/>
    <w:rsid w:val="008E3403"/>
    <w:rsid w:val="008E3772"/>
    <w:rsid w:val="008E3F8B"/>
    <w:rsid w:val="008E5335"/>
    <w:rsid w:val="008E5C77"/>
    <w:rsid w:val="008E6612"/>
    <w:rsid w:val="008E6A5A"/>
    <w:rsid w:val="008E7107"/>
    <w:rsid w:val="008F0648"/>
    <w:rsid w:val="008F0A1D"/>
    <w:rsid w:val="008F15D1"/>
    <w:rsid w:val="008F19BA"/>
    <w:rsid w:val="008F200D"/>
    <w:rsid w:val="008F25BC"/>
    <w:rsid w:val="008F5EAF"/>
    <w:rsid w:val="008F6FAB"/>
    <w:rsid w:val="008F705A"/>
    <w:rsid w:val="008F71A0"/>
    <w:rsid w:val="008F722D"/>
    <w:rsid w:val="009013A4"/>
    <w:rsid w:val="00901B22"/>
    <w:rsid w:val="00902855"/>
    <w:rsid w:val="00902A6B"/>
    <w:rsid w:val="009036C5"/>
    <w:rsid w:val="00904224"/>
    <w:rsid w:val="009044DF"/>
    <w:rsid w:val="00904647"/>
    <w:rsid w:val="00905702"/>
    <w:rsid w:val="00905862"/>
    <w:rsid w:val="0090634E"/>
    <w:rsid w:val="009064C0"/>
    <w:rsid w:val="00906AEE"/>
    <w:rsid w:val="00907397"/>
    <w:rsid w:val="009113EC"/>
    <w:rsid w:val="009130E6"/>
    <w:rsid w:val="009131CB"/>
    <w:rsid w:val="009133F2"/>
    <w:rsid w:val="009139E7"/>
    <w:rsid w:val="00913E94"/>
    <w:rsid w:val="00914271"/>
    <w:rsid w:val="0091479E"/>
    <w:rsid w:val="00915D42"/>
    <w:rsid w:val="00916898"/>
    <w:rsid w:val="00916B2E"/>
    <w:rsid w:val="0091705A"/>
    <w:rsid w:val="0091730C"/>
    <w:rsid w:val="009178E8"/>
    <w:rsid w:val="00920F46"/>
    <w:rsid w:val="0092157A"/>
    <w:rsid w:val="00921954"/>
    <w:rsid w:val="00922E4E"/>
    <w:rsid w:val="00922E9C"/>
    <w:rsid w:val="00923746"/>
    <w:rsid w:val="00923784"/>
    <w:rsid w:val="00923905"/>
    <w:rsid w:val="00923953"/>
    <w:rsid w:val="0092436C"/>
    <w:rsid w:val="00924B44"/>
    <w:rsid w:val="00925C57"/>
    <w:rsid w:val="00925F24"/>
    <w:rsid w:val="00926E77"/>
    <w:rsid w:val="00927D3B"/>
    <w:rsid w:val="0093003E"/>
    <w:rsid w:val="0093033E"/>
    <w:rsid w:val="009309E8"/>
    <w:rsid w:val="0093160B"/>
    <w:rsid w:val="00932A64"/>
    <w:rsid w:val="00932FB9"/>
    <w:rsid w:val="009332EE"/>
    <w:rsid w:val="00933FEB"/>
    <w:rsid w:val="00934123"/>
    <w:rsid w:val="00934164"/>
    <w:rsid w:val="009352E1"/>
    <w:rsid w:val="009363C2"/>
    <w:rsid w:val="0093749A"/>
    <w:rsid w:val="0094178B"/>
    <w:rsid w:val="00942F34"/>
    <w:rsid w:val="009441F4"/>
    <w:rsid w:val="00944639"/>
    <w:rsid w:val="00945117"/>
    <w:rsid w:val="00946E2E"/>
    <w:rsid w:val="00946EFD"/>
    <w:rsid w:val="00947048"/>
    <w:rsid w:val="00950757"/>
    <w:rsid w:val="00951D7A"/>
    <w:rsid w:val="0095245A"/>
    <w:rsid w:val="00952627"/>
    <w:rsid w:val="00953552"/>
    <w:rsid w:val="009546AD"/>
    <w:rsid w:val="009558DB"/>
    <w:rsid w:val="00955F56"/>
    <w:rsid w:val="00957CF4"/>
    <w:rsid w:val="00960241"/>
    <w:rsid w:val="009613FC"/>
    <w:rsid w:val="00961820"/>
    <w:rsid w:val="00961DC4"/>
    <w:rsid w:val="00963097"/>
    <w:rsid w:val="00963D27"/>
    <w:rsid w:val="009654BC"/>
    <w:rsid w:val="00965548"/>
    <w:rsid w:val="00965A01"/>
    <w:rsid w:val="00966079"/>
    <w:rsid w:val="00966F96"/>
    <w:rsid w:val="00967085"/>
    <w:rsid w:val="00970275"/>
    <w:rsid w:val="0097051B"/>
    <w:rsid w:val="00970840"/>
    <w:rsid w:val="009709CB"/>
    <w:rsid w:val="00970EF9"/>
    <w:rsid w:val="009714D5"/>
    <w:rsid w:val="009714F5"/>
    <w:rsid w:val="00971711"/>
    <w:rsid w:val="009722A7"/>
    <w:rsid w:val="00973133"/>
    <w:rsid w:val="00973F8C"/>
    <w:rsid w:val="00974234"/>
    <w:rsid w:val="00974A44"/>
    <w:rsid w:val="00975151"/>
    <w:rsid w:val="00976A82"/>
    <w:rsid w:val="00977371"/>
    <w:rsid w:val="00977CEE"/>
    <w:rsid w:val="00977E65"/>
    <w:rsid w:val="009806A7"/>
    <w:rsid w:val="009806FA"/>
    <w:rsid w:val="0098212B"/>
    <w:rsid w:val="009825CC"/>
    <w:rsid w:val="0098267C"/>
    <w:rsid w:val="0098279A"/>
    <w:rsid w:val="00982FE7"/>
    <w:rsid w:val="00983198"/>
    <w:rsid w:val="009842CC"/>
    <w:rsid w:val="00985B8A"/>
    <w:rsid w:val="00986480"/>
    <w:rsid w:val="0098688A"/>
    <w:rsid w:val="009868BE"/>
    <w:rsid w:val="00987037"/>
    <w:rsid w:val="009870C5"/>
    <w:rsid w:val="009875E7"/>
    <w:rsid w:val="009906D0"/>
    <w:rsid w:val="00992455"/>
    <w:rsid w:val="009931B0"/>
    <w:rsid w:val="00995673"/>
    <w:rsid w:val="009958AC"/>
    <w:rsid w:val="00995A66"/>
    <w:rsid w:val="00995D5E"/>
    <w:rsid w:val="009961BD"/>
    <w:rsid w:val="00996289"/>
    <w:rsid w:val="00997E05"/>
    <w:rsid w:val="009A0C1B"/>
    <w:rsid w:val="009A1836"/>
    <w:rsid w:val="009A1B89"/>
    <w:rsid w:val="009A1EA9"/>
    <w:rsid w:val="009A35D6"/>
    <w:rsid w:val="009A3A44"/>
    <w:rsid w:val="009A3F9B"/>
    <w:rsid w:val="009A410F"/>
    <w:rsid w:val="009A585B"/>
    <w:rsid w:val="009A5DB0"/>
    <w:rsid w:val="009A6BB4"/>
    <w:rsid w:val="009A6FEE"/>
    <w:rsid w:val="009A7B08"/>
    <w:rsid w:val="009A7D20"/>
    <w:rsid w:val="009B04F7"/>
    <w:rsid w:val="009B05BF"/>
    <w:rsid w:val="009B1194"/>
    <w:rsid w:val="009B1571"/>
    <w:rsid w:val="009B1B3A"/>
    <w:rsid w:val="009B24BB"/>
    <w:rsid w:val="009B32DE"/>
    <w:rsid w:val="009B33BC"/>
    <w:rsid w:val="009B3557"/>
    <w:rsid w:val="009B618F"/>
    <w:rsid w:val="009B7EA2"/>
    <w:rsid w:val="009C0237"/>
    <w:rsid w:val="009C0E11"/>
    <w:rsid w:val="009C13F3"/>
    <w:rsid w:val="009C2566"/>
    <w:rsid w:val="009C44B3"/>
    <w:rsid w:val="009C5D55"/>
    <w:rsid w:val="009C728A"/>
    <w:rsid w:val="009C79E1"/>
    <w:rsid w:val="009D05B5"/>
    <w:rsid w:val="009D2559"/>
    <w:rsid w:val="009D322E"/>
    <w:rsid w:val="009D37DD"/>
    <w:rsid w:val="009D3D1E"/>
    <w:rsid w:val="009D4665"/>
    <w:rsid w:val="009D4C47"/>
    <w:rsid w:val="009D542F"/>
    <w:rsid w:val="009D5ECF"/>
    <w:rsid w:val="009D5EE8"/>
    <w:rsid w:val="009D71F5"/>
    <w:rsid w:val="009D7C37"/>
    <w:rsid w:val="009D7D44"/>
    <w:rsid w:val="009D7F36"/>
    <w:rsid w:val="009E1A54"/>
    <w:rsid w:val="009E2181"/>
    <w:rsid w:val="009E3350"/>
    <w:rsid w:val="009E48A5"/>
    <w:rsid w:val="009E4F28"/>
    <w:rsid w:val="009E530A"/>
    <w:rsid w:val="009E7B9D"/>
    <w:rsid w:val="009F0C6D"/>
    <w:rsid w:val="009F29BB"/>
    <w:rsid w:val="009F2B95"/>
    <w:rsid w:val="009F3FA7"/>
    <w:rsid w:val="009F42DF"/>
    <w:rsid w:val="009F5740"/>
    <w:rsid w:val="009F6B27"/>
    <w:rsid w:val="009F7795"/>
    <w:rsid w:val="00A00223"/>
    <w:rsid w:val="00A011B4"/>
    <w:rsid w:val="00A012DC"/>
    <w:rsid w:val="00A0186F"/>
    <w:rsid w:val="00A01B88"/>
    <w:rsid w:val="00A01DFC"/>
    <w:rsid w:val="00A0233A"/>
    <w:rsid w:val="00A0562C"/>
    <w:rsid w:val="00A07E44"/>
    <w:rsid w:val="00A10BB0"/>
    <w:rsid w:val="00A10F93"/>
    <w:rsid w:val="00A119B6"/>
    <w:rsid w:val="00A123B8"/>
    <w:rsid w:val="00A13103"/>
    <w:rsid w:val="00A13F12"/>
    <w:rsid w:val="00A14095"/>
    <w:rsid w:val="00A14494"/>
    <w:rsid w:val="00A14826"/>
    <w:rsid w:val="00A15CF7"/>
    <w:rsid w:val="00A16B69"/>
    <w:rsid w:val="00A179B1"/>
    <w:rsid w:val="00A2173E"/>
    <w:rsid w:val="00A22FD2"/>
    <w:rsid w:val="00A234CB"/>
    <w:rsid w:val="00A234E8"/>
    <w:rsid w:val="00A23969"/>
    <w:rsid w:val="00A23D62"/>
    <w:rsid w:val="00A2405D"/>
    <w:rsid w:val="00A25303"/>
    <w:rsid w:val="00A259F9"/>
    <w:rsid w:val="00A25A11"/>
    <w:rsid w:val="00A26285"/>
    <w:rsid w:val="00A308EB"/>
    <w:rsid w:val="00A309FC"/>
    <w:rsid w:val="00A30E9A"/>
    <w:rsid w:val="00A3151B"/>
    <w:rsid w:val="00A31572"/>
    <w:rsid w:val="00A316B0"/>
    <w:rsid w:val="00A317E8"/>
    <w:rsid w:val="00A31A21"/>
    <w:rsid w:val="00A32B3F"/>
    <w:rsid w:val="00A33053"/>
    <w:rsid w:val="00A33550"/>
    <w:rsid w:val="00A3414B"/>
    <w:rsid w:val="00A34947"/>
    <w:rsid w:val="00A4089F"/>
    <w:rsid w:val="00A409B8"/>
    <w:rsid w:val="00A40E1E"/>
    <w:rsid w:val="00A41AFB"/>
    <w:rsid w:val="00A4424A"/>
    <w:rsid w:val="00A4488F"/>
    <w:rsid w:val="00A46595"/>
    <w:rsid w:val="00A475A3"/>
    <w:rsid w:val="00A475A7"/>
    <w:rsid w:val="00A505C5"/>
    <w:rsid w:val="00A50969"/>
    <w:rsid w:val="00A53D92"/>
    <w:rsid w:val="00A550C5"/>
    <w:rsid w:val="00A56443"/>
    <w:rsid w:val="00A566DC"/>
    <w:rsid w:val="00A57107"/>
    <w:rsid w:val="00A6048D"/>
    <w:rsid w:val="00A60872"/>
    <w:rsid w:val="00A609C5"/>
    <w:rsid w:val="00A61F1A"/>
    <w:rsid w:val="00A62D88"/>
    <w:rsid w:val="00A644B5"/>
    <w:rsid w:val="00A64893"/>
    <w:rsid w:val="00A64CA9"/>
    <w:rsid w:val="00A64E0C"/>
    <w:rsid w:val="00A654F1"/>
    <w:rsid w:val="00A65936"/>
    <w:rsid w:val="00A65B99"/>
    <w:rsid w:val="00A65FB3"/>
    <w:rsid w:val="00A660B1"/>
    <w:rsid w:val="00A663DB"/>
    <w:rsid w:val="00A66DC7"/>
    <w:rsid w:val="00A67D8C"/>
    <w:rsid w:val="00A70172"/>
    <w:rsid w:val="00A732A8"/>
    <w:rsid w:val="00A7364A"/>
    <w:rsid w:val="00A75BD1"/>
    <w:rsid w:val="00A75BDB"/>
    <w:rsid w:val="00A75C2E"/>
    <w:rsid w:val="00A76766"/>
    <w:rsid w:val="00A76F01"/>
    <w:rsid w:val="00A771CE"/>
    <w:rsid w:val="00A7734A"/>
    <w:rsid w:val="00A81959"/>
    <w:rsid w:val="00A824B2"/>
    <w:rsid w:val="00A82AF9"/>
    <w:rsid w:val="00A82CAA"/>
    <w:rsid w:val="00A8352E"/>
    <w:rsid w:val="00A847CD"/>
    <w:rsid w:val="00A85E27"/>
    <w:rsid w:val="00A866DC"/>
    <w:rsid w:val="00A867D3"/>
    <w:rsid w:val="00A87AC2"/>
    <w:rsid w:val="00A904E5"/>
    <w:rsid w:val="00A90707"/>
    <w:rsid w:val="00A90AC2"/>
    <w:rsid w:val="00A90B17"/>
    <w:rsid w:val="00A90CA2"/>
    <w:rsid w:val="00A93D3A"/>
    <w:rsid w:val="00A93F8A"/>
    <w:rsid w:val="00A93FF8"/>
    <w:rsid w:val="00A961E7"/>
    <w:rsid w:val="00A9658F"/>
    <w:rsid w:val="00A966B8"/>
    <w:rsid w:val="00A96C66"/>
    <w:rsid w:val="00A97CA0"/>
    <w:rsid w:val="00AA0203"/>
    <w:rsid w:val="00AA275C"/>
    <w:rsid w:val="00AA306F"/>
    <w:rsid w:val="00AA4533"/>
    <w:rsid w:val="00AA5834"/>
    <w:rsid w:val="00AA6201"/>
    <w:rsid w:val="00AA6838"/>
    <w:rsid w:val="00AA7B74"/>
    <w:rsid w:val="00AB03CF"/>
    <w:rsid w:val="00AB0E07"/>
    <w:rsid w:val="00AB1164"/>
    <w:rsid w:val="00AB15C6"/>
    <w:rsid w:val="00AB1D1F"/>
    <w:rsid w:val="00AB205F"/>
    <w:rsid w:val="00AB3047"/>
    <w:rsid w:val="00AB3A19"/>
    <w:rsid w:val="00AB3F52"/>
    <w:rsid w:val="00AB44B1"/>
    <w:rsid w:val="00AB5175"/>
    <w:rsid w:val="00AB5849"/>
    <w:rsid w:val="00AB5BAA"/>
    <w:rsid w:val="00AB64F5"/>
    <w:rsid w:val="00AB6753"/>
    <w:rsid w:val="00AB79A0"/>
    <w:rsid w:val="00AC1115"/>
    <w:rsid w:val="00AC11DC"/>
    <w:rsid w:val="00AC137C"/>
    <w:rsid w:val="00AC2E79"/>
    <w:rsid w:val="00AC3CCA"/>
    <w:rsid w:val="00AC3D19"/>
    <w:rsid w:val="00AC5D6B"/>
    <w:rsid w:val="00AC6A84"/>
    <w:rsid w:val="00AC6E9B"/>
    <w:rsid w:val="00AC76BF"/>
    <w:rsid w:val="00AD0B03"/>
    <w:rsid w:val="00AD0F6E"/>
    <w:rsid w:val="00AD1B94"/>
    <w:rsid w:val="00AD22D9"/>
    <w:rsid w:val="00AD3620"/>
    <w:rsid w:val="00AD39AB"/>
    <w:rsid w:val="00AD3DEB"/>
    <w:rsid w:val="00AD41DB"/>
    <w:rsid w:val="00AD45F9"/>
    <w:rsid w:val="00AD54A8"/>
    <w:rsid w:val="00AD58BC"/>
    <w:rsid w:val="00AD5989"/>
    <w:rsid w:val="00AD66ED"/>
    <w:rsid w:val="00AD7240"/>
    <w:rsid w:val="00AE049F"/>
    <w:rsid w:val="00AE33F4"/>
    <w:rsid w:val="00AE3505"/>
    <w:rsid w:val="00AE366D"/>
    <w:rsid w:val="00AE36B1"/>
    <w:rsid w:val="00AE4639"/>
    <w:rsid w:val="00AE4EBF"/>
    <w:rsid w:val="00AE55BE"/>
    <w:rsid w:val="00AE562D"/>
    <w:rsid w:val="00AE5ACD"/>
    <w:rsid w:val="00AE6147"/>
    <w:rsid w:val="00AE6169"/>
    <w:rsid w:val="00AF098F"/>
    <w:rsid w:val="00AF1B4C"/>
    <w:rsid w:val="00AF3F31"/>
    <w:rsid w:val="00AF4625"/>
    <w:rsid w:val="00AF539F"/>
    <w:rsid w:val="00B00212"/>
    <w:rsid w:val="00B00283"/>
    <w:rsid w:val="00B003C8"/>
    <w:rsid w:val="00B008DF"/>
    <w:rsid w:val="00B010BF"/>
    <w:rsid w:val="00B01526"/>
    <w:rsid w:val="00B024B7"/>
    <w:rsid w:val="00B02A18"/>
    <w:rsid w:val="00B02D40"/>
    <w:rsid w:val="00B03BB1"/>
    <w:rsid w:val="00B043AC"/>
    <w:rsid w:val="00B054FC"/>
    <w:rsid w:val="00B05819"/>
    <w:rsid w:val="00B063B9"/>
    <w:rsid w:val="00B06427"/>
    <w:rsid w:val="00B07C2C"/>
    <w:rsid w:val="00B10C10"/>
    <w:rsid w:val="00B10FFD"/>
    <w:rsid w:val="00B11EDC"/>
    <w:rsid w:val="00B12726"/>
    <w:rsid w:val="00B12E12"/>
    <w:rsid w:val="00B13305"/>
    <w:rsid w:val="00B1349F"/>
    <w:rsid w:val="00B139D7"/>
    <w:rsid w:val="00B13E38"/>
    <w:rsid w:val="00B13F8A"/>
    <w:rsid w:val="00B14C36"/>
    <w:rsid w:val="00B17083"/>
    <w:rsid w:val="00B202AA"/>
    <w:rsid w:val="00B20A64"/>
    <w:rsid w:val="00B20D6A"/>
    <w:rsid w:val="00B21AFA"/>
    <w:rsid w:val="00B23238"/>
    <w:rsid w:val="00B235AD"/>
    <w:rsid w:val="00B235C7"/>
    <w:rsid w:val="00B2364B"/>
    <w:rsid w:val="00B23B45"/>
    <w:rsid w:val="00B23B8D"/>
    <w:rsid w:val="00B24841"/>
    <w:rsid w:val="00B2494B"/>
    <w:rsid w:val="00B254CC"/>
    <w:rsid w:val="00B30025"/>
    <w:rsid w:val="00B30B08"/>
    <w:rsid w:val="00B319D3"/>
    <w:rsid w:val="00B320F3"/>
    <w:rsid w:val="00B32C27"/>
    <w:rsid w:val="00B332E7"/>
    <w:rsid w:val="00B34759"/>
    <w:rsid w:val="00B35017"/>
    <w:rsid w:val="00B3638D"/>
    <w:rsid w:val="00B363C2"/>
    <w:rsid w:val="00B3725B"/>
    <w:rsid w:val="00B37DC3"/>
    <w:rsid w:val="00B402B4"/>
    <w:rsid w:val="00B40828"/>
    <w:rsid w:val="00B419E9"/>
    <w:rsid w:val="00B42628"/>
    <w:rsid w:val="00B42FEF"/>
    <w:rsid w:val="00B43C0A"/>
    <w:rsid w:val="00B43C1E"/>
    <w:rsid w:val="00B43F72"/>
    <w:rsid w:val="00B4421D"/>
    <w:rsid w:val="00B44F21"/>
    <w:rsid w:val="00B465CF"/>
    <w:rsid w:val="00B46C47"/>
    <w:rsid w:val="00B473EC"/>
    <w:rsid w:val="00B50959"/>
    <w:rsid w:val="00B50BCA"/>
    <w:rsid w:val="00B521E4"/>
    <w:rsid w:val="00B52869"/>
    <w:rsid w:val="00B52FDF"/>
    <w:rsid w:val="00B536FF"/>
    <w:rsid w:val="00B544DE"/>
    <w:rsid w:val="00B55BD8"/>
    <w:rsid w:val="00B60A0F"/>
    <w:rsid w:val="00B60B20"/>
    <w:rsid w:val="00B61020"/>
    <w:rsid w:val="00B61421"/>
    <w:rsid w:val="00B61A3F"/>
    <w:rsid w:val="00B629EE"/>
    <w:rsid w:val="00B62CE6"/>
    <w:rsid w:val="00B630CC"/>
    <w:rsid w:val="00B652E0"/>
    <w:rsid w:val="00B65548"/>
    <w:rsid w:val="00B65990"/>
    <w:rsid w:val="00B66A52"/>
    <w:rsid w:val="00B66D8D"/>
    <w:rsid w:val="00B6757D"/>
    <w:rsid w:val="00B70C04"/>
    <w:rsid w:val="00B70E10"/>
    <w:rsid w:val="00B717ED"/>
    <w:rsid w:val="00B72174"/>
    <w:rsid w:val="00B722E1"/>
    <w:rsid w:val="00B740CF"/>
    <w:rsid w:val="00B74BEC"/>
    <w:rsid w:val="00B74F76"/>
    <w:rsid w:val="00B7663D"/>
    <w:rsid w:val="00B76E63"/>
    <w:rsid w:val="00B7707B"/>
    <w:rsid w:val="00B778B8"/>
    <w:rsid w:val="00B778C6"/>
    <w:rsid w:val="00B77C88"/>
    <w:rsid w:val="00B800E2"/>
    <w:rsid w:val="00B80C72"/>
    <w:rsid w:val="00B811E9"/>
    <w:rsid w:val="00B81ED5"/>
    <w:rsid w:val="00B82184"/>
    <w:rsid w:val="00B83A03"/>
    <w:rsid w:val="00B840C9"/>
    <w:rsid w:val="00B84D4A"/>
    <w:rsid w:val="00B84DAA"/>
    <w:rsid w:val="00B8669C"/>
    <w:rsid w:val="00B868C5"/>
    <w:rsid w:val="00B86944"/>
    <w:rsid w:val="00B86987"/>
    <w:rsid w:val="00B870CE"/>
    <w:rsid w:val="00B8771E"/>
    <w:rsid w:val="00B87779"/>
    <w:rsid w:val="00B90934"/>
    <w:rsid w:val="00B90F5E"/>
    <w:rsid w:val="00B9169E"/>
    <w:rsid w:val="00B91716"/>
    <w:rsid w:val="00B91FF3"/>
    <w:rsid w:val="00B92321"/>
    <w:rsid w:val="00B923C0"/>
    <w:rsid w:val="00B935A8"/>
    <w:rsid w:val="00B948D8"/>
    <w:rsid w:val="00B954D0"/>
    <w:rsid w:val="00B955FE"/>
    <w:rsid w:val="00B95656"/>
    <w:rsid w:val="00B95753"/>
    <w:rsid w:val="00B95AFB"/>
    <w:rsid w:val="00B968EF"/>
    <w:rsid w:val="00B96C28"/>
    <w:rsid w:val="00B970CA"/>
    <w:rsid w:val="00BA0DF7"/>
    <w:rsid w:val="00BA1895"/>
    <w:rsid w:val="00BA4AD0"/>
    <w:rsid w:val="00BA4C19"/>
    <w:rsid w:val="00BA561B"/>
    <w:rsid w:val="00BA5853"/>
    <w:rsid w:val="00BA66D8"/>
    <w:rsid w:val="00BA681B"/>
    <w:rsid w:val="00BA6AA3"/>
    <w:rsid w:val="00BA7072"/>
    <w:rsid w:val="00BA7AB4"/>
    <w:rsid w:val="00BA7F85"/>
    <w:rsid w:val="00BB1870"/>
    <w:rsid w:val="00BB220B"/>
    <w:rsid w:val="00BB27E5"/>
    <w:rsid w:val="00BB292D"/>
    <w:rsid w:val="00BB3FC8"/>
    <w:rsid w:val="00BB4693"/>
    <w:rsid w:val="00BB4EE3"/>
    <w:rsid w:val="00BB54E2"/>
    <w:rsid w:val="00BB64BA"/>
    <w:rsid w:val="00BB6D38"/>
    <w:rsid w:val="00BB73A6"/>
    <w:rsid w:val="00BB740F"/>
    <w:rsid w:val="00BB7613"/>
    <w:rsid w:val="00BB7949"/>
    <w:rsid w:val="00BB7B38"/>
    <w:rsid w:val="00BB7C55"/>
    <w:rsid w:val="00BB7D72"/>
    <w:rsid w:val="00BC0AC4"/>
    <w:rsid w:val="00BC2C95"/>
    <w:rsid w:val="00BC34B9"/>
    <w:rsid w:val="00BC4961"/>
    <w:rsid w:val="00BC4D6D"/>
    <w:rsid w:val="00BC4E26"/>
    <w:rsid w:val="00BC5873"/>
    <w:rsid w:val="00BC5BC5"/>
    <w:rsid w:val="00BD07AF"/>
    <w:rsid w:val="00BD118E"/>
    <w:rsid w:val="00BD14B4"/>
    <w:rsid w:val="00BD24B1"/>
    <w:rsid w:val="00BD2F37"/>
    <w:rsid w:val="00BD3159"/>
    <w:rsid w:val="00BD46A1"/>
    <w:rsid w:val="00BD5148"/>
    <w:rsid w:val="00BD584B"/>
    <w:rsid w:val="00BD63BC"/>
    <w:rsid w:val="00BD76B7"/>
    <w:rsid w:val="00BE16FB"/>
    <w:rsid w:val="00BE1CC1"/>
    <w:rsid w:val="00BE21A2"/>
    <w:rsid w:val="00BE364A"/>
    <w:rsid w:val="00BE43CE"/>
    <w:rsid w:val="00BE4C82"/>
    <w:rsid w:val="00BE5F04"/>
    <w:rsid w:val="00BE615D"/>
    <w:rsid w:val="00BE73DD"/>
    <w:rsid w:val="00BE75B4"/>
    <w:rsid w:val="00BF0D19"/>
    <w:rsid w:val="00BF105C"/>
    <w:rsid w:val="00BF1886"/>
    <w:rsid w:val="00BF3CE5"/>
    <w:rsid w:val="00BF458F"/>
    <w:rsid w:val="00BF45C0"/>
    <w:rsid w:val="00BF536F"/>
    <w:rsid w:val="00BF5574"/>
    <w:rsid w:val="00BF5C1C"/>
    <w:rsid w:val="00BF62FB"/>
    <w:rsid w:val="00C00256"/>
    <w:rsid w:val="00C00D79"/>
    <w:rsid w:val="00C0240C"/>
    <w:rsid w:val="00C0514B"/>
    <w:rsid w:val="00C05AFD"/>
    <w:rsid w:val="00C05B7E"/>
    <w:rsid w:val="00C067A9"/>
    <w:rsid w:val="00C067FD"/>
    <w:rsid w:val="00C06EDF"/>
    <w:rsid w:val="00C0759E"/>
    <w:rsid w:val="00C102FB"/>
    <w:rsid w:val="00C11928"/>
    <w:rsid w:val="00C12563"/>
    <w:rsid w:val="00C12618"/>
    <w:rsid w:val="00C14091"/>
    <w:rsid w:val="00C1464D"/>
    <w:rsid w:val="00C14876"/>
    <w:rsid w:val="00C1554C"/>
    <w:rsid w:val="00C157C6"/>
    <w:rsid w:val="00C16A02"/>
    <w:rsid w:val="00C16CFB"/>
    <w:rsid w:val="00C1759B"/>
    <w:rsid w:val="00C201AE"/>
    <w:rsid w:val="00C2023E"/>
    <w:rsid w:val="00C20B6C"/>
    <w:rsid w:val="00C20C85"/>
    <w:rsid w:val="00C20C8F"/>
    <w:rsid w:val="00C210DF"/>
    <w:rsid w:val="00C223D0"/>
    <w:rsid w:val="00C233D4"/>
    <w:rsid w:val="00C23538"/>
    <w:rsid w:val="00C23946"/>
    <w:rsid w:val="00C23BAD"/>
    <w:rsid w:val="00C24EA3"/>
    <w:rsid w:val="00C25A34"/>
    <w:rsid w:val="00C26BDF"/>
    <w:rsid w:val="00C27AD4"/>
    <w:rsid w:val="00C27FBD"/>
    <w:rsid w:val="00C31177"/>
    <w:rsid w:val="00C316E0"/>
    <w:rsid w:val="00C31C4E"/>
    <w:rsid w:val="00C32336"/>
    <w:rsid w:val="00C323BE"/>
    <w:rsid w:val="00C329DC"/>
    <w:rsid w:val="00C3381E"/>
    <w:rsid w:val="00C34532"/>
    <w:rsid w:val="00C357DE"/>
    <w:rsid w:val="00C3624D"/>
    <w:rsid w:val="00C36E69"/>
    <w:rsid w:val="00C37105"/>
    <w:rsid w:val="00C3747F"/>
    <w:rsid w:val="00C3776B"/>
    <w:rsid w:val="00C378D5"/>
    <w:rsid w:val="00C4061B"/>
    <w:rsid w:val="00C4099D"/>
    <w:rsid w:val="00C41DF1"/>
    <w:rsid w:val="00C42CA6"/>
    <w:rsid w:val="00C43430"/>
    <w:rsid w:val="00C455D9"/>
    <w:rsid w:val="00C45F7D"/>
    <w:rsid w:val="00C462CF"/>
    <w:rsid w:val="00C4765B"/>
    <w:rsid w:val="00C54E0D"/>
    <w:rsid w:val="00C55190"/>
    <w:rsid w:val="00C556A7"/>
    <w:rsid w:val="00C5670A"/>
    <w:rsid w:val="00C57645"/>
    <w:rsid w:val="00C57A54"/>
    <w:rsid w:val="00C6362C"/>
    <w:rsid w:val="00C63945"/>
    <w:rsid w:val="00C6737D"/>
    <w:rsid w:val="00C67454"/>
    <w:rsid w:val="00C70920"/>
    <w:rsid w:val="00C70BDC"/>
    <w:rsid w:val="00C7142F"/>
    <w:rsid w:val="00C7198D"/>
    <w:rsid w:val="00C71EC6"/>
    <w:rsid w:val="00C71F04"/>
    <w:rsid w:val="00C72781"/>
    <w:rsid w:val="00C7281D"/>
    <w:rsid w:val="00C72A4E"/>
    <w:rsid w:val="00C72B2A"/>
    <w:rsid w:val="00C72EAB"/>
    <w:rsid w:val="00C73565"/>
    <w:rsid w:val="00C74A0C"/>
    <w:rsid w:val="00C74A8B"/>
    <w:rsid w:val="00C77DD6"/>
    <w:rsid w:val="00C804FA"/>
    <w:rsid w:val="00C820AA"/>
    <w:rsid w:val="00C82B45"/>
    <w:rsid w:val="00C8322F"/>
    <w:rsid w:val="00C84E0F"/>
    <w:rsid w:val="00C84E2C"/>
    <w:rsid w:val="00C8620C"/>
    <w:rsid w:val="00C90018"/>
    <w:rsid w:val="00C9080D"/>
    <w:rsid w:val="00C911F3"/>
    <w:rsid w:val="00C91567"/>
    <w:rsid w:val="00C92150"/>
    <w:rsid w:val="00C922EF"/>
    <w:rsid w:val="00C9238A"/>
    <w:rsid w:val="00C925C4"/>
    <w:rsid w:val="00C92A8B"/>
    <w:rsid w:val="00C949E0"/>
    <w:rsid w:val="00C95055"/>
    <w:rsid w:val="00C95E00"/>
    <w:rsid w:val="00C9646F"/>
    <w:rsid w:val="00C96521"/>
    <w:rsid w:val="00C96728"/>
    <w:rsid w:val="00C96BEF"/>
    <w:rsid w:val="00C96EEA"/>
    <w:rsid w:val="00C97C88"/>
    <w:rsid w:val="00C97D26"/>
    <w:rsid w:val="00CA3835"/>
    <w:rsid w:val="00CA3AF2"/>
    <w:rsid w:val="00CA3D0E"/>
    <w:rsid w:val="00CA491B"/>
    <w:rsid w:val="00CA49D7"/>
    <w:rsid w:val="00CA576E"/>
    <w:rsid w:val="00CA5914"/>
    <w:rsid w:val="00CA5C44"/>
    <w:rsid w:val="00CA5FFB"/>
    <w:rsid w:val="00CA6059"/>
    <w:rsid w:val="00CA6AA9"/>
    <w:rsid w:val="00CA6EF3"/>
    <w:rsid w:val="00CA7168"/>
    <w:rsid w:val="00CA71E4"/>
    <w:rsid w:val="00CA7598"/>
    <w:rsid w:val="00CB015D"/>
    <w:rsid w:val="00CB025C"/>
    <w:rsid w:val="00CB04EC"/>
    <w:rsid w:val="00CB067C"/>
    <w:rsid w:val="00CB2CE4"/>
    <w:rsid w:val="00CB3362"/>
    <w:rsid w:val="00CB3DF4"/>
    <w:rsid w:val="00CB6666"/>
    <w:rsid w:val="00CB72DB"/>
    <w:rsid w:val="00CB7CFB"/>
    <w:rsid w:val="00CC0D18"/>
    <w:rsid w:val="00CC144B"/>
    <w:rsid w:val="00CC296D"/>
    <w:rsid w:val="00CC325B"/>
    <w:rsid w:val="00CC3710"/>
    <w:rsid w:val="00CC3DD2"/>
    <w:rsid w:val="00CC432C"/>
    <w:rsid w:val="00CC56D3"/>
    <w:rsid w:val="00CC5BB1"/>
    <w:rsid w:val="00CC5DCC"/>
    <w:rsid w:val="00CC5EAF"/>
    <w:rsid w:val="00CC622B"/>
    <w:rsid w:val="00CC7ABA"/>
    <w:rsid w:val="00CD07D7"/>
    <w:rsid w:val="00CD2A8F"/>
    <w:rsid w:val="00CD30E5"/>
    <w:rsid w:val="00CD3434"/>
    <w:rsid w:val="00CD3D7D"/>
    <w:rsid w:val="00CD4911"/>
    <w:rsid w:val="00CD5287"/>
    <w:rsid w:val="00CD7321"/>
    <w:rsid w:val="00CD7EF4"/>
    <w:rsid w:val="00CE2179"/>
    <w:rsid w:val="00CE21E8"/>
    <w:rsid w:val="00CE28D7"/>
    <w:rsid w:val="00CE4097"/>
    <w:rsid w:val="00CE6928"/>
    <w:rsid w:val="00CE6A2B"/>
    <w:rsid w:val="00CE7584"/>
    <w:rsid w:val="00CE7617"/>
    <w:rsid w:val="00CE790F"/>
    <w:rsid w:val="00CE7F69"/>
    <w:rsid w:val="00CF0552"/>
    <w:rsid w:val="00CF0972"/>
    <w:rsid w:val="00CF19B0"/>
    <w:rsid w:val="00CF1C28"/>
    <w:rsid w:val="00CF3470"/>
    <w:rsid w:val="00CF3AB3"/>
    <w:rsid w:val="00CF3B3E"/>
    <w:rsid w:val="00CF3EE4"/>
    <w:rsid w:val="00CF3FFC"/>
    <w:rsid w:val="00D00497"/>
    <w:rsid w:val="00D00FFC"/>
    <w:rsid w:val="00D017A9"/>
    <w:rsid w:val="00D02209"/>
    <w:rsid w:val="00D04BA7"/>
    <w:rsid w:val="00D053DD"/>
    <w:rsid w:val="00D05CA3"/>
    <w:rsid w:val="00D05DD8"/>
    <w:rsid w:val="00D06067"/>
    <w:rsid w:val="00D0641A"/>
    <w:rsid w:val="00D064E1"/>
    <w:rsid w:val="00D06D5D"/>
    <w:rsid w:val="00D072F2"/>
    <w:rsid w:val="00D07730"/>
    <w:rsid w:val="00D07F01"/>
    <w:rsid w:val="00D106D7"/>
    <w:rsid w:val="00D10ACE"/>
    <w:rsid w:val="00D12100"/>
    <w:rsid w:val="00D12FE6"/>
    <w:rsid w:val="00D13D98"/>
    <w:rsid w:val="00D140BE"/>
    <w:rsid w:val="00D1518E"/>
    <w:rsid w:val="00D15598"/>
    <w:rsid w:val="00D15D47"/>
    <w:rsid w:val="00D15E83"/>
    <w:rsid w:val="00D15FEC"/>
    <w:rsid w:val="00D16A62"/>
    <w:rsid w:val="00D16C26"/>
    <w:rsid w:val="00D173FB"/>
    <w:rsid w:val="00D1789E"/>
    <w:rsid w:val="00D17D89"/>
    <w:rsid w:val="00D20C93"/>
    <w:rsid w:val="00D223AD"/>
    <w:rsid w:val="00D2245C"/>
    <w:rsid w:val="00D25578"/>
    <w:rsid w:val="00D258AA"/>
    <w:rsid w:val="00D266F3"/>
    <w:rsid w:val="00D2689E"/>
    <w:rsid w:val="00D27E36"/>
    <w:rsid w:val="00D30E5F"/>
    <w:rsid w:val="00D30FF4"/>
    <w:rsid w:val="00D31D4E"/>
    <w:rsid w:val="00D347F8"/>
    <w:rsid w:val="00D34AC8"/>
    <w:rsid w:val="00D3590F"/>
    <w:rsid w:val="00D35B53"/>
    <w:rsid w:val="00D35D47"/>
    <w:rsid w:val="00D3798F"/>
    <w:rsid w:val="00D401AE"/>
    <w:rsid w:val="00D40827"/>
    <w:rsid w:val="00D41D5C"/>
    <w:rsid w:val="00D41EF0"/>
    <w:rsid w:val="00D42C1F"/>
    <w:rsid w:val="00D437F3"/>
    <w:rsid w:val="00D43829"/>
    <w:rsid w:val="00D44137"/>
    <w:rsid w:val="00D44F90"/>
    <w:rsid w:val="00D457AC"/>
    <w:rsid w:val="00D45F32"/>
    <w:rsid w:val="00D46797"/>
    <w:rsid w:val="00D475B0"/>
    <w:rsid w:val="00D50131"/>
    <w:rsid w:val="00D50329"/>
    <w:rsid w:val="00D519DF"/>
    <w:rsid w:val="00D52A5D"/>
    <w:rsid w:val="00D52EDF"/>
    <w:rsid w:val="00D52F5C"/>
    <w:rsid w:val="00D53AEC"/>
    <w:rsid w:val="00D54179"/>
    <w:rsid w:val="00D54C50"/>
    <w:rsid w:val="00D55475"/>
    <w:rsid w:val="00D56088"/>
    <w:rsid w:val="00D56C57"/>
    <w:rsid w:val="00D60706"/>
    <w:rsid w:val="00D60D9A"/>
    <w:rsid w:val="00D61A48"/>
    <w:rsid w:val="00D61DAA"/>
    <w:rsid w:val="00D62084"/>
    <w:rsid w:val="00D624D0"/>
    <w:rsid w:val="00D66ADE"/>
    <w:rsid w:val="00D66B4E"/>
    <w:rsid w:val="00D67187"/>
    <w:rsid w:val="00D679BB"/>
    <w:rsid w:val="00D67B0A"/>
    <w:rsid w:val="00D67D8F"/>
    <w:rsid w:val="00D70ECE"/>
    <w:rsid w:val="00D7137A"/>
    <w:rsid w:val="00D71AF7"/>
    <w:rsid w:val="00D71B1A"/>
    <w:rsid w:val="00D72346"/>
    <w:rsid w:val="00D72CB1"/>
    <w:rsid w:val="00D72FDA"/>
    <w:rsid w:val="00D737FA"/>
    <w:rsid w:val="00D75054"/>
    <w:rsid w:val="00D76A7E"/>
    <w:rsid w:val="00D770B8"/>
    <w:rsid w:val="00D77CEC"/>
    <w:rsid w:val="00D77D23"/>
    <w:rsid w:val="00D80E33"/>
    <w:rsid w:val="00D811E1"/>
    <w:rsid w:val="00D818E7"/>
    <w:rsid w:val="00D82624"/>
    <w:rsid w:val="00D85D8F"/>
    <w:rsid w:val="00D86196"/>
    <w:rsid w:val="00D8663A"/>
    <w:rsid w:val="00D86A03"/>
    <w:rsid w:val="00D86B60"/>
    <w:rsid w:val="00D870D1"/>
    <w:rsid w:val="00D911B2"/>
    <w:rsid w:val="00D918FD"/>
    <w:rsid w:val="00D91A3E"/>
    <w:rsid w:val="00D92343"/>
    <w:rsid w:val="00D928DC"/>
    <w:rsid w:val="00D93E54"/>
    <w:rsid w:val="00D94DC1"/>
    <w:rsid w:val="00D966ED"/>
    <w:rsid w:val="00D979F7"/>
    <w:rsid w:val="00DA01E2"/>
    <w:rsid w:val="00DA1924"/>
    <w:rsid w:val="00DA1D3F"/>
    <w:rsid w:val="00DA1FEA"/>
    <w:rsid w:val="00DA3A03"/>
    <w:rsid w:val="00DA3A15"/>
    <w:rsid w:val="00DA3D7D"/>
    <w:rsid w:val="00DA4057"/>
    <w:rsid w:val="00DA4220"/>
    <w:rsid w:val="00DA4CE0"/>
    <w:rsid w:val="00DA4D97"/>
    <w:rsid w:val="00DA595B"/>
    <w:rsid w:val="00DA6303"/>
    <w:rsid w:val="00DA6488"/>
    <w:rsid w:val="00DA659A"/>
    <w:rsid w:val="00DA7B7C"/>
    <w:rsid w:val="00DB037C"/>
    <w:rsid w:val="00DB1328"/>
    <w:rsid w:val="00DB13EF"/>
    <w:rsid w:val="00DB1CBC"/>
    <w:rsid w:val="00DB1D89"/>
    <w:rsid w:val="00DB2593"/>
    <w:rsid w:val="00DB3672"/>
    <w:rsid w:val="00DB3AD2"/>
    <w:rsid w:val="00DB5818"/>
    <w:rsid w:val="00DB60B7"/>
    <w:rsid w:val="00DB63CE"/>
    <w:rsid w:val="00DB658E"/>
    <w:rsid w:val="00DB74AB"/>
    <w:rsid w:val="00DB7BD0"/>
    <w:rsid w:val="00DC03EA"/>
    <w:rsid w:val="00DC102F"/>
    <w:rsid w:val="00DC145F"/>
    <w:rsid w:val="00DC15AA"/>
    <w:rsid w:val="00DC1AC5"/>
    <w:rsid w:val="00DC4D69"/>
    <w:rsid w:val="00DC4DB4"/>
    <w:rsid w:val="00DC4DEC"/>
    <w:rsid w:val="00DC6DEA"/>
    <w:rsid w:val="00DC7A01"/>
    <w:rsid w:val="00DD2D87"/>
    <w:rsid w:val="00DD377D"/>
    <w:rsid w:val="00DD3D15"/>
    <w:rsid w:val="00DD4300"/>
    <w:rsid w:val="00DD4629"/>
    <w:rsid w:val="00DD4818"/>
    <w:rsid w:val="00DD519E"/>
    <w:rsid w:val="00DD5264"/>
    <w:rsid w:val="00DD579B"/>
    <w:rsid w:val="00DD58E0"/>
    <w:rsid w:val="00DD5B9A"/>
    <w:rsid w:val="00DD5D5A"/>
    <w:rsid w:val="00DD6B34"/>
    <w:rsid w:val="00DE0C53"/>
    <w:rsid w:val="00DE0DED"/>
    <w:rsid w:val="00DE1C75"/>
    <w:rsid w:val="00DE22C9"/>
    <w:rsid w:val="00DE2BCA"/>
    <w:rsid w:val="00DE2BD0"/>
    <w:rsid w:val="00DE32D9"/>
    <w:rsid w:val="00DE3A73"/>
    <w:rsid w:val="00DE413A"/>
    <w:rsid w:val="00DE42BB"/>
    <w:rsid w:val="00DE43CF"/>
    <w:rsid w:val="00DE4D67"/>
    <w:rsid w:val="00DE5669"/>
    <w:rsid w:val="00DE5B19"/>
    <w:rsid w:val="00DE5BA9"/>
    <w:rsid w:val="00DE67BF"/>
    <w:rsid w:val="00DE6F42"/>
    <w:rsid w:val="00DF012D"/>
    <w:rsid w:val="00DF1146"/>
    <w:rsid w:val="00DF1231"/>
    <w:rsid w:val="00DF1A8A"/>
    <w:rsid w:val="00DF1AEF"/>
    <w:rsid w:val="00DF2A1F"/>
    <w:rsid w:val="00DF2EA9"/>
    <w:rsid w:val="00DF326E"/>
    <w:rsid w:val="00DF3706"/>
    <w:rsid w:val="00DF390C"/>
    <w:rsid w:val="00DF3AA2"/>
    <w:rsid w:val="00DF4316"/>
    <w:rsid w:val="00DF48BC"/>
    <w:rsid w:val="00DF71CC"/>
    <w:rsid w:val="00DF7B8F"/>
    <w:rsid w:val="00DF7BAA"/>
    <w:rsid w:val="00E00879"/>
    <w:rsid w:val="00E0262A"/>
    <w:rsid w:val="00E0283F"/>
    <w:rsid w:val="00E03148"/>
    <w:rsid w:val="00E03582"/>
    <w:rsid w:val="00E03D45"/>
    <w:rsid w:val="00E05432"/>
    <w:rsid w:val="00E0603A"/>
    <w:rsid w:val="00E06D7B"/>
    <w:rsid w:val="00E1017F"/>
    <w:rsid w:val="00E1026B"/>
    <w:rsid w:val="00E104EB"/>
    <w:rsid w:val="00E1086A"/>
    <w:rsid w:val="00E1186A"/>
    <w:rsid w:val="00E11888"/>
    <w:rsid w:val="00E12724"/>
    <w:rsid w:val="00E12CE4"/>
    <w:rsid w:val="00E1309B"/>
    <w:rsid w:val="00E140B4"/>
    <w:rsid w:val="00E14C5F"/>
    <w:rsid w:val="00E1565A"/>
    <w:rsid w:val="00E1580C"/>
    <w:rsid w:val="00E15B8C"/>
    <w:rsid w:val="00E16E08"/>
    <w:rsid w:val="00E17D6C"/>
    <w:rsid w:val="00E17E43"/>
    <w:rsid w:val="00E200DD"/>
    <w:rsid w:val="00E21901"/>
    <w:rsid w:val="00E233C2"/>
    <w:rsid w:val="00E23985"/>
    <w:rsid w:val="00E24B83"/>
    <w:rsid w:val="00E25A5A"/>
    <w:rsid w:val="00E25CC7"/>
    <w:rsid w:val="00E30F1E"/>
    <w:rsid w:val="00E313D3"/>
    <w:rsid w:val="00E3175C"/>
    <w:rsid w:val="00E31CB2"/>
    <w:rsid w:val="00E3239D"/>
    <w:rsid w:val="00E3297B"/>
    <w:rsid w:val="00E342AE"/>
    <w:rsid w:val="00E34D72"/>
    <w:rsid w:val="00E359D5"/>
    <w:rsid w:val="00E36EE6"/>
    <w:rsid w:val="00E403CD"/>
    <w:rsid w:val="00E404A0"/>
    <w:rsid w:val="00E40705"/>
    <w:rsid w:val="00E40DB6"/>
    <w:rsid w:val="00E40F39"/>
    <w:rsid w:val="00E4174F"/>
    <w:rsid w:val="00E41A71"/>
    <w:rsid w:val="00E43DFB"/>
    <w:rsid w:val="00E4402B"/>
    <w:rsid w:val="00E447CE"/>
    <w:rsid w:val="00E44877"/>
    <w:rsid w:val="00E4568F"/>
    <w:rsid w:val="00E45731"/>
    <w:rsid w:val="00E4581F"/>
    <w:rsid w:val="00E45B48"/>
    <w:rsid w:val="00E46129"/>
    <w:rsid w:val="00E4631A"/>
    <w:rsid w:val="00E52857"/>
    <w:rsid w:val="00E55C1F"/>
    <w:rsid w:val="00E56F42"/>
    <w:rsid w:val="00E57276"/>
    <w:rsid w:val="00E57B0A"/>
    <w:rsid w:val="00E60890"/>
    <w:rsid w:val="00E60B30"/>
    <w:rsid w:val="00E6187F"/>
    <w:rsid w:val="00E625C1"/>
    <w:rsid w:val="00E627BA"/>
    <w:rsid w:val="00E62AAA"/>
    <w:rsid w:val="00E62B54"/>
    <w:rsid w:val="00E62EBD"/>
    <w:rsid w:val="00E6311C"/>
    <w:rsid w:val="00E63937"/>
    <w:rsid w:val="00E639C2"/>
    <w:rsid w:val="00E63C4C"/>
    <w:rsid w:val="00E64F82"/>
    <w:rsid w:val="00E64FE5"/>
    <w:rsid w:val="00E66065"/>
    <w:rsid w:val="00E661D7"/>
    <w:rsid w:val="00E66228"/>
    <w:rsid w:val="00E66564"/>
    <w:rsid w:val="00E6706D"/>
    <w:rsid w:val="00E703EC"/>
    <w:rsid w:val="00E70AFF"/>
    <w:rsid w:val="00E70D47"/>
    <w:rsid w:val="00E712EA"/>
    <w:rsid w:val="00E71A2A"/>
    <w:rsid w:val="00E72155"/>
    <w:rsid w:val="00E74E65"/>
    <w:rsid w:val="00E757A3"/>
    <w:rsid w:val="00E77095"/>
    <w:rsid w:val="00E8116B"/>
    <w:rsid w:val="00E82026"/>
    <w:rsid w:val="00E820C8"/>
    <w:rsid w:val="00E83139"/>
    <w:rsid w:val="00E838AF"/>
    <w:rsid w:val="00E83AC3"/>
    <w:rsid w:val="00E85020"/>
    <w:rsid w:val="00E85E5A"/>
    <w:rsid w:val="00E876EC"/>
    <w:rsid w:val="00E90127"/>
    <w:rsid w:val="00E90276"/>
    <w:rsid w:val="00E906C9"/>
    <w:rsid w:val="00E906E1"/>
    <w:rsid w:val="00E90A4C"/>
    <w:rsid w:val="00E90C2F"/>
    <w:rsid w:val="00E90C4F"/>
    <w:rsid w:val="00E912F3"/>
    <w:rsid w:val="00E918F7"/>
    <w:rsid w:val="00E9228D"/>
    <w:rsid w:val="00E92C74"/>
    <w:rsid w:val="00E92DCC"/>
    <w:rsid w:val="00E92DD3"/>
    <w:rsid w:val="00E93F6E"/>
    <w:rsid w:val="00E952AC"/>
    <w:rsid w:val="00E9628D"/>
    <w:rsid w:val="00E96B87"/>
    <w:rsid w:val="00E97267"/>
    <w:rsid w:val="00EA03F3"/>
    <w:rsid w:val="00EA0403"/>
    <w:rsid w:val="00EA09FC"/>
    <w:rsid w:val="00EA1E54"/>
    <w:rsid w:val="00EA2172"/>
    <w:rsid w:val="00EA3103"/>
    <w:rsid w:val="00EA342D"/>
    <w:rsid w:val="00EA56DC"/>
    <w:rsid w:val="00EA5F72"/>
    <w:rsid w:val="00EA6DF1"/>
    <w:rsid w:val="00EA76C5"/>
    <w:rsid w:val="00EA7B21"/>
    <w:rsid w:val="00EA7ED2"/>
    <w:rsid w:val="00EA7FC9"/>
    <w:rsid w:val="00EB198A"/>
    <w:rsid w:val="00EB437F"/>
    <w:rsid w:val="00EB48C5"/>
    <w:rsid w:val="00EB52E1"/>
    <w:rsid w:val="00EB543F"/>
    <w:rsid w:val="00EB5833"/>
    <w:rsid w:val="00EB58CC"/>
    <w:rsid w:val="00EB5978"/>
    <w:rsid w:val="00EB5C41"/>
    <w:rsid w:val="00EB5CEA"/>
    <w:rsid w:val="00EB5E0F"/>
    <w:rsid w:val="00EB7248"/>
    <w:rsid w:val="00EB7BB6"/>
    <w:rsid w:val="00EB7C67"/>
    <w:rsid w:val="00EC19BE"/>
    <w:rsid w:val="00EC1AD0"/>
    <w:rsid w:val="00EC233D"/>
    <w:rsid w:val="00EC31C3"/>
    <w:rsid w:val="00EC33D9"/>
    <w:rsid w:val="00EC35C6"/>
    <w:rsid w:val="00EC4F94"/>
    <w:rsid w:val="00EC522E"/>
    <w:rsid w:val="00EC62BA"/>
    <w:rsid w:val="00EC64C9"/>
    <w:rsid w:val="00ED083B"/>
    <w:rsid w:val="00ED1DD9"/>
    <w:rsid w:val="00ED25C9"/>
    <w:rsid w:val="00ED2D07"/>
    <w:rsid w:val="00ED32CE"/>
    <w:rsid w:val="00ED33AA"/>
    <w:rsid w:val="00ED42CB"/>
    <w:rsid w:val="00ED554B"/>
    <w:rsid w:val="00ED5E87"/>
    <w:rsid w:val="00ED643D"/>
    <w:rsid w:val="00ED7A03"/>
    <w:rsid w:val="00EE106E"/>
    <w:rsid w:val="00EE1BC4"/>
    <w:rsid w:val="00EE2947"/>
    <w:rsid w:val="00EE3432"/>
    <w:rsid w:val="00EE373C"/>
    <w:rsid w:val="00EE391A"/>
    <w:rsid w:val="00EE3F0B"/>
    <w:rsid w:val="00EE543F"/>
    <w:rsid w:val="00EE5A25"/>
    <w:rsid w:val="00EE61CD"/>
    <w:rsid w:val="00EE69D7"/>
    <w:rsid w:val="00EE7779"/>
    <w:rsid w:val="00EE7EFE"/>
    <w:rsid w:val="00EF08C8"/>
    <w:rsid w:val="00EF1D57"/>
    <w:rsid w:val="00EF2313"/>
    <w:rsid w:val="00EF2720"/>
    <w:rsid w:val="00EF2830"/>
    <w:rsid w:val="00EF3A5D"/>
    <w:rsid w:val="00EF410D"/>
    <w:rsid w:val="00EF4720"/>
    <w:rsid w:val="00EF549C"/>
    <w:rsid w:val="00EF6EC7"/>
    <w:rsid w:val="00EF7756"/>
    <w:rsid w:val="00EF775A"/>
    <w:rsid w:val="00EF7E3D"/>
    <w:rsid w:val="00F00634"/>
    <w:rsid w:val="00F00CA6"/>
    <w:rsid w:val="00F01B36"/>
    <w:rsid w:val="00F040DA"/>
    <w:rsid w:val="00F04D94"/>
    <w:rsid w:val="00F05793"/>
    <w:rsid w:val="00F05DDC"/>
    <w:rsid w:val="00F06551"/>
    <w:rsid w:val="00F06E2B"/>
    <w:rsid w:val="00F074CE"/>
    <w:rsid w:val="00F07633"/>
    <w:rsid w:val="00F101AF"/>
    <w:rsid w:val="00F12096"/>
    <w:rsid w:val="00F120D6"/>
    <w:rsid w:val="00F128B9"/>
    <w:rsid w:val="00F15108"/>
    <w:rsid w:val="00F15B27"/>
    <w:rsid w:val="00F15EBC"/>
    <w:rsid w:val="00F1666A"/>
    <w:rsid w:val="00F16A73"/>
    <w:rsid w:val="00F16CB3"/>
    <w:rsid w:val="00F17653"/>
    <w:rsid w:val="00F21CF5"/>
    <w:rsid w:val="00F22F70"/>
    <w:rsid w:val="00F2361A"/>
    <w:rsid w:val="00F23B41"/>
    <w:rsid w:val="00F23F8D"/>
    <w:rsid w:val="00F240DB"/>
    <w:rsid w:val="00F246A2"/>
    <w:rsid w:val="00F24810"/>
    <w:rsid w:val="00F24A10"/>
    <w:rsid w:val="00F24B50"/>
    <w:rsid w:val="00F24FB1"/>
    <w:rsid w:val="00F25221"/>
    <w:rsid w:val="00F25B99"/>
    <w:rsid w:val="00F25C47"/>
    <w:rsid w:val="00F2675E"/>
    <w:rsid w:val="00F27567"/>
    <w:rsid w:val="00F3034F"/>
    <w:rsid w:val="00F30A13"/>
    <w:rsid w:val="00F328C0"/>
    <w:rsid w:val="00F33644"/>
    <w:rsid w:val="00F33F6B"/>
    <w:rsid w:val="00F34A02"/>
    <w:rsid w:val="00F34C91"/>
    <w:rsid w:val="00F352EC"/>
    <w:rsid w:val="00F35304"/>
    <w:rsid w:val="00F3661E"/>
    <w:rsid w:val="00F36919"/>
    <w:rsid w:val="00F377DB"/>
    <w:rsid w:val="00F37A3B"/>
    <w:rsid w:val="00F37B98"/>
    <w:rsid w:val="00F37E2A"/>
    <w:rsid w:val="00F37E46"/>
    <w:rsid w:val="00F37EB2"/>
    <w:rsid w:val="00F37EED"/>
    <w:rsid w:val="00F40A22"/>
    <w:rsid w:val="00F40D9F"/>
    <w:rsid w:val="00F4196F"/>
    <w:rsid w:val="00F422B1"/>
    <w:rsid w:val="00F424DD"/>
    <w:rsid w:val="00F425A7"/>
    <w:rsid w:val="00F42808"/>
    <w:rsid w:val="00F42840"/>
    <w:rsid w:val="00F431F0"/>
    <w:rsid w:val="00F43A3A"/>
    <w:rsid w:val="00F4498C"/>
    <w:rsid w:val="00F46145"/>
    <w:rsid w:val="00F469E7"/>
    <w:rsid w:val="00F470A0"/>
    <w:rsid w:val="00F47D88"/>
    <w:rsid w:val="00F501E7"/>
    <w:rsid w:val="00F53716"/>
    <w:rsid w:val="00F547E5"/>
    <w:rsid w:val="00F559D4"/>
    <w:rsid w:val="00F562A1"/>
    <w:rsid w:val="00F56308"/>
    <w:rsid w:val="00F564BD"/>
    <w:rsid w:val="00F574C0"/>
    <w:rsid w:val="00F60462"/>
    <w:rsid w:val="00F60C27"/>
    <w:rsid w:val="00F60F0D"/>
    <w:rsid w:val="00F614DF"/>
    <w:rsid w:val="00F62EFC"/>
    <w:rsid w:val="00F63010"/>
    <w:rsid w:val="00F6312D"/>
    <w:rsid w:val="00F63AA3"/>
    <w:rsid w:val="00F64FDC"/>
    <w:rsid w:val="00F6674C"/>
    <w:rsid w:val="00F6706A"/>
    <w:rsid w:val="00F700A2"/>
    <w:rsid w:val="00F70B8A"/>
    <w:rsid w:val="00F71530"/>
    <w:rsid w:val="00F71D5F"/>
    <w:rsid w:val="00F72E53"/>
    <w:rsid w:val="00F72FEE"/>
    <w:rsid w:val="00F7393B"/>
    <w:rsid w:val="00F73E27"/>
    <w:rsid w:val="00F76518"/>
    <w:rsid w:val="00F776B4"/>
    <w:rsid w:val="00F777F9"/>
    <w:rsid w:val="00F802F7"/>
    <w:rsid w:val="00F8044D"/>
    <w:rsid w:val="00F81C1C"/>
    <w:rsid w:val="00F81E6A"/>
    <w:rsid w:val="00F82300"/>
    <w:rsid w:val="00F82E97"/>
    <w:rsid w:val="00F83579"/>
    <w:rsid w:val="00F84D3C"/>
    <w:rsid w:val="00F8502D"/>
    <w:rsid w:val="00F85623"/>
    <w:rsid w:val="00F8572E"/>
    <w:rsid w:val="00F870E1"/>
    <w:rsid w:val="00F87B02"/>
    <w:rsid w:val="00F90779"/>
    <w:rsid w:val="00F93B22"/>
    <w:rsid w:val="00F9444D"/>
    <w:rsid w:val="00F94B89"/>
    <w:rsid w:val="00F967C8"/>
    <w:rsid w:val="00F9680C"/>
    <w:rsid w:val="00F96B2B"/>
    <w:rsid w:val="00F96F57"/>
    <w:rsid w:val="00F974A2"/>
    <w:rsid w:val="00F9759C"/>
    <w:rsid w:val="00F97DD0"/>
    <w:rsid w:val="00FA0164"/>
    <w:rsid w:val="00FA1822"/>
    <w:rsid w:val="00FA191D"/>
    <w:rsid w:val="00FA2A41"/>
    <w:rsid w:val="00FA36FE"/>
    <w:rsid w:val="00FA414C"/>
    <w:rsid w:val="00FA4B83"/>
    <w:rsid w:val="00FA57B1"/>
    <w:rsid w:val="00FA5890"/>
    <w:rsid w:val="00FA5BE8"/>
    <w:rsid w:val="00FA5C89"/>
    <w:rsid w:val="00FA6098"/>
    <w:rsid w:val="00FA64A9"/>
    <w:rsid w:val="00FA691F"/>
    <w:rsid w:val="00FA792B"/>
    <w:rsid w:val="00FA7F09"/>
    <w:rsid w:val="00FB2EF5"/>
    <w:rsid w:val="00FB483B"/>
    <w:rsid w:val="00FB6084"/>
    <w:rsid w:val="00FB6B41"/>
    <w:rsid w:val="00FB71EF"/>
    <w:rsid w:val="00FB776B"/>
    <w:rsid w:val="00FC0CE7"/>
    <w:rsid w:val="00FC0CEF"/>
    <w:rsid w:val="00FC1404"/>
    <w:rsid w:val="00FC1882"/>
    <w:rsid w:val="00FC249D"/>
    <w:rsid w:val="00FC2830"/>
    <w:rsid w:val="00FC34CA"/>
    <w:rsid w:val="00FC3A86"/>
    <w:rsid w:val="00FC5134"/>
    <w:rsid w:val="00FC7BD0"/>
    <w:rsid w:val="00FD0359"/>
    <w:rsid w:val="00FD197E"/>
    <w:rsid w:val="00FD1E7F"/>
    <w:rsid w:val="00FD3847"/>
    <w:rsid w:val="00FD39EA"/>
    <w:rsid w:val="00FD4229"/>
    <w:rsid w:val="00FD48E5"/>
    <w:rsid w:val="00FD53EE"/>
    <w:rsid w:val="00FD6309"/>
    <w:rsid w:val="00FD79C2"/>
    <w:rsid w:val="00FD7C8B"/>
    <w:rsid w:val="00FE05BA"/>
    <w:rsid w:val="00FE1079"/>
    <w:rsid w:val="00FE12CE"/>
    <w:rsid w:val="00FE18BE"/>
    <w:rsid w:val="00FE24CF"/>
    <w:rsid w:val="00FE36E4"/>
    <w:rsid w:val="00FE42B7"/>
    <w:rsid w:val="00FE4436"/>
    <w:rsid w:val="00FE482F"/>
    <w:rsid w:val="00FE5348"/>
    <w:rsid w:val="00FE545F"/>
    <w:rsid w:val="00FE5ABD"/>
    <w:rsid w:val="00FE5B32"/>
    <w:rsid w:val="00FE624E"/>
    <w:rsid w:val="00FE70EC"/>
    <w:rsid w:val="00FE734E"/>
    <w:rsid w:val="00FE78B4"/>
    <w:rsid w:val="00FE7D16"/>
    <w:rsid w:val="00FF106E"/>
    <w:rsid w:val="00FF14AD"/>
    <w:rsid w:val="00FF1A96"/>
    <w:rsid w:val="00FF1D46"/>
    <w:rsid w:val="00FF332B"/>
    <w:rsid w:val="00FF33AF"/>
    <w:rsid w:val="00FF3988"/>
    <w:rsid w:val="00FF3E2F"/>
    <w:rsid w:val="00FF52EF"/>
    <w:rsid w:val="00FF5315"/>
    <w:rsid w:val="00FF616C"/>
    <w:rsid w:val="00FF69BA"/>
    <w:rsid w:val="00FF781F"/>
    <w:rsid w:val="421EEA93"/>
    <w:rsid w:val="5B9807E1"/>
    <w:rsid w:val="693386E5"/>
    <w:rsid w:val="74B43A8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42C0C8"/>
  <w15:docId w15:val="{BFC1533B-72E9-4336-9D22-CD90210B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D5D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1420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ootnote Reference),12,BVI fnr,Footnote Reference-BSA-AML,Footnote symbol,Ref. de nota al pie,Rimando notaOreste,Rimando notaOreste1,Rimando notaOreste2,SUPERS,Style 16,Style 19,callout,fr,ftref,nota a piè di pagina,Знак сноски-FN"/>
    <w:uiPriority w:val="99"/>
    <w:qFormat/>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FootnoteText">
    <w:name w:val="footnote text"/>
    <w:aliases w:val="Footnote Text Char Char Char,Footnote Text Char Char Char Char Char,Footnote Text Char1,Footnote Text Char1 Char,Footnote Text Char1 Char Char,Footnote Text Char1 Char Char Char,Footnote Text Char1 Char Char Char Char Char,Style 15,fn,ft"/>
    <w:basedOn w:val="Normal"/>
    <w:link w:val="FootnoteTextChar"/>
    <w:qFormat/>
    <w:rsid w:val="003925FB"/>
    <w:rPr>
      <w:sz w:val="20"/>
      <w:szCs w:val="20"/>
    </w:rPr>
  </w:style>
  <w:style w:type="character" w:customStyle="1" w:styleId="FootnoteTextChar">
    <w:name w:val="Footnote Text Char"/>
    <w:aliases w:val="Footnote Text Char Char Char Char,Footnote Text Char Char Char Char Char Char,Footnote Text Char1 Char Char Char Char,Footnote Text Char1 Char Char Char1,Footnote Text Char1 Char Char1,Footnote Text Char1 Char1,Style 15 Char,fn Char"/>
    <w:basedOn w:val="DefaultParagraphFont"/>
    <w:link w:val="FootnoteText"/>
    <w:rsid w:val="003925FB"/>
  </w:style>
  <w:style w:type="character" w:customStyle="1" w:styleId="PlainTextChar">
    <w:name w:val="Plain Text Char"/>
    <w:link w:val="PlainText"/>
    <w:rsid w:val="003925FB"/>
    <w:rPr>
      <w:rFonts w:ascii="Courier New" w:hAnsi="Courier New" w:cs="Courier New"/>
    </w:rPr>
  </w:style>
  <w:style w:type="character" w:styleId="CommentReference">
    <w:name w:val="annotation reference"/>
    <w:uiPriority w:val="99"/>
    <w:rsid w:val="003925FB"/>
    <w:rPr>
      <w:sz w:val="16"/>
      <w:szCs w:val="16"/>
    </w:rPr>
  </w:style>
  <w:style w:type="paragraph" w:styleId="CommentText">
    <w:name w:val="annotation text"/>
    <w:basedOn w:val="Normal"/>
    <w:link w:val="CommentTextChar"/>
    <w:uiPriority w:val="99"/>
    <w:rsid w:val="003925FB"/>
    <w:rPr>
      <w:sz w:val="20"/>
      <w:szCs w:val="20"/>
    </w:rPr>
  </w:style>
  <w:style w:type="character" w:customStyle="1" w:styleId="CommentTextChar">
    <w:name w:val="Comment Text Char"/>
    <w:basedOn w:val="DefaultParagraphFont"/>
    <w:link w:val="CommentText"/>
    <w:uiPriority w:val="99"/>
    <w:rsid w:val="003925FB"/>
  </w:style>
  <w:style w:type="paragraph" w:styleId="CommentSubject">
    <w:name w:val="annotation subject"/>
    <w:basedOn w:val="CommentText"/>
    <w:next w:val="CommentText"/>
    <w:link w:val="CommentSubjectChar"/>
    <w:rsid w:val="006179D0"/>
    <w:rPr>
      <w:b/>
      <w:bCs/>
    </w:rPr>
  </w:style>
  <w:style w:type="character" w:customStyle="1" w:styleId="CommentSubjectChar">
    <w:name w:val="Comment Subject Char"/>
    <w:link w:val="CommentSubject"/>
    <w:rsid w:val="006179D0"/>
    <w:rPr>
      <w:b/>
      <w:bCs/>
    </w:rPr>
  </w:style>
  <w:style w:type="character" w:styleId="Hyperlink">
    <w:name w:val="Hyperlink"/>
    <w:rsid w:val="00130C5D"/>
    <w:rPr>
      <w:color w:val="0563C1"/>
      <w:u w:val="single"/>
    </w:rPr>
  </w:style>
  <w:style w:type="character" w:styleId="FollowedHyperlink">
    <w:name w:val="FollowedHyperlink"/>
    <w:rsid w:val="0098688A"/>
    <w:rPr>
      <w:color w:val="954F72"/>
      <w:u w:val="single"/>
    </w:rPr>
  </w:style>
  <w:style w:type="paragraph" w:styleId="Header">
    <w:name w:val="header"/>
    <w:basedOn w:val="Normal"/>
    <w:link w:val="HeaderChar"/>
    <w:uiPriority w:val="99"/>
    <w:rsid w:val="00473CD4"/>
    <w:pPr>
      <w:tabs>
        <w:tab w:val="center" w:pos="4680"/>
        <w:tab w:val="right" w:pos="9360"/>
      </w:tabs>
    </w:pPr>
  </w:style>
  <w:style w:type="character" w:customStyle="1" w:styleId="HeaderChar">
    <w:name w:val="Header Char"/>
    <w:link w:val="Header"/>
    <w:uiPriority w:val="99"/>
    <w:rsid w:val="00473CD4"/>
    <w:rPr>
      <w:sz w:val="24"/>
      <w:szCs w:val="24"/>
    </w:rPr>
  </w:style>
  <w:style w:type="paragraph" w:styleId="Footer">
    <w:name w:val="footer"/>
    <w:basedOn w:val="Normal"/>
    <w:link w:val="FooterChar"/>
    <w:uiPriority w:val="99"/>
    <w:rsid w:val="00473CD4"/>
    <w:pPr>
      <w:tabs>
        <w:tab w:val="center" w:pos="4680"/>
        <w:tab w:val="right" w:pos="9360"/>
      </w:tabs>
    </w:pPr>
  </w:style>
  <w:style w:type="character" w:customStyle="1" w:styleId="FooterChar">
    <w:name w:val="Footer Char"/>
    <w:link w:val="Footer"/>
    <w:uiPriority w:val="99"/>
    <w:rsid w:val="00473CD4"/>
    <w:rPr>
      <w:sz w:val="24"/>
      <w:szCs w:val="24"/>
    </w:rPr>
  </w:style>
  <w:style w:type="paragraph" w:styleId="Revision">
    <w:name w:val="Revision"/>
    <w:hidden/>
    <w:uiPriority w:val="99"/>
    <w:semiHidden/>
    <w:rsid w:val="00F352EC"/>
    <w:rPr>
      <w:sz w:val="24"/>
      <w:szCs w:val="24"/>
    </w:rPr>
  </w:style>
  <w:style w:type="paragraph" w:styleId="NormalWeb">
    <w:name w:val="Normal (Web)"/>
    <w:basedOn w:val="Normal"/>
    <w:uiPriority w:val="99"/>
    <w:unhideWhenUsed/>
    <w:rsid w:val="00E359D5"/>
    <w:pPr>
      <w:spacing w:before="100" w:beforeAutospacing="1" w:after="100" w:afterAutospacing="1"/>
      <w:ind w:firstLine="480"/>
    </w:pPr>
  </w:style>
  <w:style w:type="paragraph" w:styleId="ListParagraph">
    <w:name w:val="List Paragraph"/>
    <w:aliases w:val="3,Bullet,Bullet 1,Bullet List,Bullet Points,Dot pt,F5 List Paragraph,Indicator Text,Issue Action POC,List Paragraph Char Char Char,List Paragraph1,List Paragraph2,MAIN CONTENT,No Spacing1,Normal numbered,Numbered Para 1,POCG Table Text"/>
    <w:basedOn w:val="Normal"/>
    <w:link w:val="ListParagraphChar"/>
    <w:uiPriority w:val="34"/>
    <w:qFormat/>
    <w:rsid w:val="00D17D89"/>
    <w:pPr>
      <w:ind w:left="720"/>
      <w:contextualSpacing/>
    </w:pPr>
  </w:style>
  <w:style w:type="character" w:customStyle="1" w:styleId="ListParagraphChar">
    <w:name w:val="List Paragraph Char"/>
    <w:aliases w:val="3 Char,Bullet 1 Char,Bullet Char,Bullet List Char,Bullet Points Char,Dot pt Char,F5 List Paragraph Char,Indicator Text Char,Issue Action POC Char,List Paragraph Char Char Char Char,List Paragraph1 Char,List Paragraph2 Char"/>
    <w:link w:val="ListParagraph"/>
    <w:uiPriority w:val="34"/>
    <w:qFormat/>
    <w:locked/>
    <w:rsid w:val="00D17D89"/>
    <w:rPr>
      <w:sz w:val="24"/>
      <w:szCs w:val="24"/>
    </w:rPr>
  </w:style>
  <w:style w:type="character" w:customStyle="1" w:styleId="Heading3Char">
    <w:name w:val="Heading 3 Char"/>
    <w:basedOn w:val="DefaultParagraphFont"/>
    <w:link w:val="Heading3"/>
    <w:uiPriority w:val="9"/>
    <w:rsid w:val="00614201"/>
    <w:rPr>
      <w:b/>
      <w:bCs/>
      <w:sz w:val="27"/>
      <w:szCs w:val="27"/>
    </w:rPr>
  </w:style>
  <w:style w:type="table" w:styleId="TableGrid">
    <w:name w:val="Table Grid"/>
    <w:basedOn w:val="TableNormal"/>
    <w:rsid w:val="00244C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A8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82AF9"/>
    <w:rPr>
      <w:rFonts w:ascii="Courier New" w:hAnsi="Courier New" w:cs="Courier New"/>
    </w:rPr>
  </w:style>
  <w:style w:type="paragraph" w:customStyle="1" w:styleId="Bulletlistmultiple">
    <w:name w:val="Bullet list multiple"/>
    <w:rsid w:val="00E4174F"/>
    <w:pPr>
      <w:tabs>
        <w:tab w:val="num" w:pos="720"/>
      </w:tabs>
      <w:spacing w:before="80" w:after="80"/>
      <w:ind w:left="720" w:hanging="360"/>
    </w:pPr>
    <w:rPr>
      <w:rFonts w:eastAsia="Calibri"/>
      <w:sz w:val="24"/>
      <w:szCs w:val="24"/>
    </w:rPr>
  </w:style>
  <w:style w:type="character" w:customStyle="1" w:styleId="Heading1Char">
    <w:name w:val="Heading 1 Char"/>
    <w:basedOn w:val="DefaultParagraphFont"/>
    <w:link w:val="Heading1"/>
    <w:rsid w:val="002D5D72"/>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072689"/>
    <w:rPr>
      <w:i/>
      <w:iCs/>
    </w:rPr>
  </w:style>
  <w:style w:type="paragraph" w:customStyle="1" w:styleId="Style2">
    <w:name w:val="Style2"/>
    <w:basedOn w:val="Normal"/>
    <w:link w:val="Style2Char"/>
    <w:qFormat/>
    <w:rsid w:val="00D16C26"/>
    <w:pPr>
      <w:spacing w:line="480" w:lineRule="auto"/>
      <w:contextualSpacing/>
    </w:pPr>
    <w:rPr>
      <w:rFonts w:eastAsiaTheme="minorHAnsi" w:cstheme="minorBidi"/>
    </w:rPr>
  </w:style>
  <w:style w:type="character" w:customStyle="1" w:styleId="Style2Char">
    <w:name w:val="Style2 Char"/>
    <w:basedOn w:val="DefaultParagraphFont"/>
    <w:link w:val="Style2"/>
    <w:rsid w:val="00D16C26"/>
    <w:rPr>
      <w:rFonts w:eastAsiaTheme="minorHAnsi" w:cstheme="minorBidi"/>
      <w:sz w:val="24"/>
      <w:szCs w:val="24"/>
    </w:rPr>
  </w:style>
  <w:style w:type="paragraph" w:customStyle="1" w:styleId="pf0">
    <w:name w:val="pf0"/>
    <w:basedOn w:val="Normal"/>
    <w:rsid w:val="00F71530"/>
    <w:pPr>
      <w:spacing w:before="100" w:beforeAutospacing="1" w:after="100" w:afterAutospacing="1"/>
    </w:pPr>
  </w:style>
  <w:style w:type="character" w:customStyle="1" w:styleId="cf01">
    <w:name w:val="cf01"/>
    <w:basedOn w:val="DefaultParagraphFont"/>
    <w:rsid w:val="00F71530"/>
    <w:rPr>
      <w:rFonts w:ascii="Segoe UI" w:hAnsi="Segoe UI" w:cs="Segoe UI" w:hint="default"/>
      <w:sz w:val="18"/>
      <w:szCs w:val="18"/>
    </w:rPr>
  </w:style>
  <w:style w:type="character" w:customStyle="1" w:styleId="normaltextrun">
    <w:name w:val="normaltextrun"/>
    <w:basedOn w:val="DefaultParagraphFont"/>
    <w:rsid w:val="0023553A"/>
  </w:style>
  <w:style w:type="table" w:customStyle="1" w:styleId="TableGrid1">
    <w:name w:val="Table Grid1"/>
    <w:basedOn w:val="TableNormal"/>
    <w:next w:val="TableGrid"/>
    <w:rsid w:val="00416ACD"/>
    <w:pPr>
      <w:spacing w:after="12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D2FA1"/>
    <w:rPr>
      <w:color w:val="2B579A"/>
      <w:shd w:val="clear" w:color="auto" w:fill="E1DFDD"/>
    </w:rPr>
  </w:style>
  <w:style w:type="character" w:styleId="UnresolvedMention">
    <w:name w:val="Unresolved Mention"/>
    <w:basedOn w:val="DefaultParagraphFont"/>
    <w:uiPriority w:val="99"/>
    <w:semiHidden/>
    <w:unhideWhenUsed/>
    <w:rsid w:val="00B82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A44529B10098459F0056A3B6D9DC92" ma:contentTypeVersion="4" ma:contentTypeDescription="Create a new document." ma:contentTypeScope="" ma:versionID="b0a95cae8216a4b1c683dfc8789e76d9">
  <xsd:schema xmlns:xsd="http://www.w3.org/2001/XMLSchema" xmlns:xs="http://www.w3.org/2001/XMLSchema" xmlns:p="http://schemas.microsoft.com/office/2006/metadata/properties" xmlns:ns2="ef53f6e3-b386-4c0e-96c0-11aac544bc27" xmlns:ns3="91882c98-ad7c-457b-bb99-16138be0c2aa" targetNamespace="http://schemas.microsoft.com/office/2006/metadata/properties" ma:root="true" ma:fieldsID="ca904ed19b5f52396a30b5b3c713af3c" ns2:_="" ns3:_="">
    <xsd:import namespace="ef53f6e3-b386-4c0e-96c0-11aac544bc27"/>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3f6e3-b386-4c0e-96c0-11aac544bc2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ategory xmlns="ef53f6e3-b386-4c0e-96c0-11aac544bc27">Final</Category>
    <DocID xmlns="ef53f6e3-b386-4c0e-96c0-11aac544bc27">b246d49a-e09a-45a9-b2d2-b7340dbfe19e</DocID>
    <CaseID xmlns="ef53f6e3-b386-4c0e-96c0-11aac544bc27">202312-TFI-12632</CaseID>
  </documentManagement>
</p:properties>
</file>

<file path=customXml/itemProps1.xml><?xml version="1.0" encoding="utf-8"?>
<ds:datastoreItem xmlns:ds="http://schemas.openxmlformats.org/officeDocument/2006/customXml" ds:itemID="{552C1CBB-613C-4F12-AC1A-FCF48E0F0017}">
  <ds:schemaRefs>
    <ds:schemaRef ds:uri="http://schemas.microsoft.com/sharepoint/v3/contenttype/forms"/>
  </ds:schemaRefs>
</ds:datastoreItem>
</file>

<file path=customXml/itemProps2.xml><?xml version="1.0" encoding="utf-8"?>
<ds:datastoreItem xmlns:ds="http://schemas.openxmlformats.org/officeDocument/2006/customXml" ds:itemID="{212E5534-667D-4C54-AFB7-C3581B131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3f6e3-b386-4c0e-96c0-11aac544bc27"/>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CCF34-653A-46E9-B518-A81B72447383}">
  <ds:schemaRefs>
    <ds:schemaRef ds:uri="http://schemas.openxmlformats.org/officeDocument/2006/bibliography"/>
  </ds:schemaRefs>
</ds:datastoreItem>
</file>

<file path=customXml/itemProps4.xml><?xml version="1.0" encoding="utf-8"?>
<ds:datastoreItem xmlns:ds="http://schemas.openxmlformats.org/officeDocument/2006/customXml" ds:itemID="{A00BCD2F-FAAA-4899-835D-9C38C6EFC537}">
  <ds:schemaRefs>
    <ds:schemaRef ds:uri="http://purl.org/dc/dcmitype/"/>
    <ds:schemaRef ds:uri="ef53f6e3-b386-4c0e-96c0-11aac544bc27"/>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91882c98-ad7c-457b-bb99-16138be0c2a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4904</Words>
  <Characters>27956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Molly</dc:creator>
  <cp:lastModifiedBy>Clark, Spencer</cp:lastModifiedBy>
  <cp:revision>2</cp:revision>
  <dcterms:created xsi:type="dcterms:W3CDTF">2023-12-22T18:07:00Z</dcterms:created>
  <dcterms:modified xsi:type="dcterms:W3CDTF">2023-12-22T18:07:00Z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0x01010031A44529B10098459F0056A3B6D9DC92</vt:lpwstr>
  </property>
</Properties>
</file>