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7061" w:rsidRPr="00A05B27" w14:paraId="11CBBCBB" w14:textId="77777777">
      <w:pPr>
        <w:jc w:val="center"/>
        <w:rPr>
          <w:rFonts w:ascii="Times New Roman" w:hAnsi="Times New Roman"/>
          <w:b/>
          <w:bCs/>
        </w:rPr>
      </w:pPr>
      <w:r w:rsidRPr="00A05B27">
        <w:rPr>
          <w:rFonts w:ascii="Times New Roman" w:hAnsi="Times New Roman"/>
          <w:b/>
          <w:bCs/>
        </w:rPr>
        <w:t xml:space="preserve">SUPPORTING STATEMENT FOR </w:t>
      </w:r>
    </w:p>
    <w:p w:rsidR="00524E9E" w:rsidP="00524E9E" w14:paraId="7D674FAC" w14:textId="77777777">
      <w:pPr>
        <w:jc w:val="center"/>
        <w:rPr>
          <w:rFonts w:ascii="Times New Roman" w:hAnsi="Times New Roman"/>
          <w:b/>
        </w:rPr>
      </w:pPr>
      <w:r>
        <w:rPr>
          <w:rFonts w:ascii="Times New Roman" w:hAnsi="Times New Roman"/>
          <w:b/>
        </w:rPr>
        <w:t xml:space="preserve">Application for Premium Processing Service </w:t>
      </w:r>
    </w:p>
    <w:p w:rsidR="00524E9E" w:rsidP="00524E9E" w14:paraId="7F686A8C" w14:textId="77777777">
      <w:pPr>
        <w:jc w:val="center"/>
        <w:rPr>
          <w:rFonts w:ascii="Times New Roman" w:hAnsi="Times New Roman"/>
          <w:b/>
          <w:bCs/>
        </w:rPr>
      </w:pPr>
      <w:r>
        <w:rPr>
          <w:rFonts w:ascii="Times New Roman" w:hAnsi="Times New Roman"/>
          <w:b/>
          <w:bCs/>
        </w:rPr>
        <w:t>OMB Control No.: 1615-0048</w:t>
      </w:r>
    </w:p>
    <w:p w:rsidR="00524E9E" w:rsidP="00524E9E" w14:paraId="63CC80CE" w14:textId="77777777">
      <w:pPr>
        <w:jc w:val="center"/>
        <w:rPr>
          <w:rFonts w:ascii="Times New Roman" w:hAnsi="Times New Roman"/>
          <w:b/>
          <w:bCs/>
        </w:rPr>
      </w:pPr>
      <w:r>
        <w:rPr>
          <w:rFonts w:ascii="Times New Roman" w:hAnsi="Times New Roman"/>
          <w:b/>
          <w:bCs/>
        </w:rPr>
        <w:t>COLLECTION INSTRUMENT(S): Form I-907</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524E9E" w:rsidP="00524E9E" w14:paraId="74687AFE" w14:textId="5CF554A9">
      <w:pPr>
        <w:tabs>
          <w:tab w:val="left" w:pos="-1440"/>
        </w:tabs>
        <w:ind w:left="720"/>
        <w:rPr>
          <w:rFonts w:ascii="Times New Roman" w:hAnsi="Times New Roman"/>
        </w:rPr>
      </w:pPr>
      <w:r>
        <w:rPr>
          <w:rFonts w:ascii="Times New Roman" w:hAnsi="Times New Roman"/>
        </w:rPr>
        <w:t xml:space="preserve">Section 286(u) of the Immigration and Nationality Act (Act) allows USCIS to collect a “premium processing” fee to process certain employment-based requests within an expedited timeframe. USCIS collects the premium processing fee in addition to the regular filing fee it collects to process those immigration benefit requests designated for premium processing by law and regulation.  This information collection is necessary to ensure that requestors of premium processing for those immigration benefit requests designated for premium processing can request premium processing in accordance with the Act.  </w:t>
      </w:r>
    </w:p>
    <w:p w:rsidR="00A3466A" w:rsidRPr="00D80E94" w:rsidP="00914A5D" w14:paraId="33457D57"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524E9E" w:rsidP="00524E9E" w14:paraId="6A41FD1C" w14:textId="7EEEA0C8">
      <w:pPr>
        <w:ind w:left="720"/>
        <w:rPr>
          <w:rFonts w:ascii="Times New Roman" w:hAnsi="Times New Roman"/>
        </w:rPr>
      </w:pPr>
      <w:r>
        <w:rPr>
          <w:rFonts w:ascii="Times New Roman" w:hAnsi="Times New Roman"/>
        </w:rPr>
        <w:t>USCIS uses the data collected through this form to process a request for premium processing. The form serves the purpose of standardizing requests for premium processing and will ensure that basic information required to assess eligibility</w:t>
      </w:r>
      <w:r w:rsidR="00065B31">
        <w:rPr>
          <w:rFonts w:ascii="Times New Roman" w:hAnsi="Times New Roman"/>
        </w:rPr>
        <w:t xml:space="preserve"> for premium processing</w:t>
      </w:r>
      <w:r>
        <w:rPr>
          <w:rFonts w:ascii="Times New Roman" w:hAnsi="Times New Roman"/>
        </w:rPr>
        <w:t xml:space="preserve"> is provided by the </w:t>
      </w:r>
      <w:r w:rsidR="00065B31">
        <w:rPr>
          <w:rFonts w:ascii="Times New Roman" w:hAnsi="Times New Roman"/>
        </w:rPr>
        <w:t>requestor</w:t>
      </w:r>
      <w:r>
        <w:rPr>
          <w:rFonts w:ascii="Times New Roman" w:hAnsi="Times New Roman"/>
        </w:rPr>
        <w:t>.</w:t>
      </w:r>
    </w:p>
    <w:p w:rsidR="00590B61" w:rsidRPr="00914A5D" w:rsidP="00914A5D" w14:paraId="1A48B71F"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5219CF" w:rsidP="005219CF" w14:paraId="6C3CB84E" w14:textId="30C493FF">
      <w:pPr>
        <w:tabs>
          <w:tab w:val="left" w:pos="-1440"/>
        </w:tabs>
        <w:ind w:left="720"/>
        <w:rPr>
          <w:rFonts w:ascii="Times New Roman" w:hAnsi="Times New Roman"/>
        </w:rPr>
      </w:pPr>
      <w:r>
        <w:rPr>
          <w:rFonts w:ascii="Times New Roman" w:hAnsi="Times New Roman"/>
        </w:rPr>
        <w:t>Form I-907 is available for filing via paper and online. The burden for setting up a USCIS online account is covered under the USCIS Identity, Credential, and Access Management (ICAM) information collection (OMB control number 1615-0122).</w:t>
      </w: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524E9E" w:rsidP="00524E9E" w14:paraId="4B541955" w14:textId="77777777">
      <w:pPr>
        <w:tabs>
          <w:tab w:val="left" w:pos="1065"/>
        </w:tabs>
        <w:autoSpaceDE/>
        <w:adjustRightInd/>
        <w:ind w:left="720"/>
        <w:rPr>
          <w:rFonts w:ascii="Times New Roman" w:hAnsi="Times New Roman"/>
          <w:color w:val="FF0000"/>
        </w:rPr>
      </w:pPr>
      <w:r>
        <w:rPr>
          <w:rFonts w:ascii="Times New Roman" w:hAnsi="Times New Roman"/>
          <w:szCs w:val="22"/>
        </w:rPr>
        <w:t>A review of the USCIS Forms Inventory Report revealed no duplication of effort, and there is no other similar information currently available that can be used for this purpose. This collection of information is unique to USCIS and is not conducted elsewhere.  Any information that is shared with other agencies, or any information collected by other agencies that is used by USCIS to adjudicate the benefit sought in this collection, is notated in Question 2 above.</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524E9E" w:rsidP="00524E9E" w14:paraId="73D95F1A" w14:textId="77777777">
      <w:pPr>
        <w:tabs>
          <w:tab w:val="left" w:pos="-1440"/>
        </w:tabs>
        <w:ind w:left="720"/>
        <w:rPr>
          <w:rFonts w:ascii="Times New Roman" w:hAnsi="Times New Roman"/>
        </w:rPr>
      </w:pPr>
      <w:r>
        <w:rPr>
          <w:rFonts w:ascii="Times New Roman" w:hAnsi="Times New Roman"/>
        </w:rPr>
        <w:t>This collection of information does not have an impact on small businesses or other small entities.</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524E9E" w:rsidP="00524E9E" w14:paraId="7A241D3C" w14:textId="77777777">
      <w:pPr>
        <w:tabs>
          <w:tab w:val="left" w:pos="-1440"/>
        </w:tabs>
        <w:ind w:left="720"/>
        <w:rPr>
          <w:rFonts w:ascii="Times New Roman" w:hAnsi="Times New Roman"/>
        </w:rPr>
      </w:pPr>
      <w:r>
        <w:rPr>
          <w:rFonts w:ascii="Times New Roman" w:hAnsi="Times New Roman"/>
        </w:rPr>
        <w:t>If the information is not collected, USCIS will not be able to effectively process requests for premium processing.</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w:t>
      </w:r>
      <w:r w:rsidRPr="00B1471A">
        <w:rPr>
          <w:rFonts w:ascii="Times New Roman" w:hAnsi="Times New Roman"/>
          <w:b/>
        </w:rPr>
        <w:t>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prepare a written response to a collection of information in fewer than 30 days after receipt of </w:t>
      </w:r>
      <w:r w:rsidRPr="00B1471A">
        <w:rPr>
          <w:rFonts w:ascii="Times New Roman" w:hAnsi="Times New Roman"/>
          <w:b/>
        </w:rPr>
        <w:t>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submit more than an original and two copies of any </w:t>
      </w:r>
      <w:r w:rsidRPr="00B1471A">
        <w:rPr>
          <w:rFonts w:ascii="Times New Roman" w:hAnsi="Times New Roman"/>
          <w:b/>
        </w:rPr>
        <w:t>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retain records, other than health, medical, government contract, grant-in-aid, or tax records for more than three </w:t>
      </w:r>
      <w:r w:rsidRPr="00B1471A">
        <w:rPr>
          <w:rFonts w:ascii="Times New Roman" w:hAnsi="Times New Roman"/>
          <w:b/>
        </w:rPr>
        <w:t>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w:t>
      </w:r>
      <w:r w:rsidRPr="00AF45F2">
        <w:rPr>
          <w:rFonts w:ascii="Times New Roman" w:hAnsi="Times New Roman"/>
          <w:b/>
        </w:rPr>
        <w:t>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the use of a statistical data classification that has not been reviewed and approved by </w:t>
      </w:r>
      <w:r w:rsidRPr="00B1471A">
        <w:rPr>
          <w:rFonts w:ascii="Times New Roman" w:hAnsi="Times New Roman"/>
          <w:b/>
        </w:rPr>
        <w:t>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r w:rsidRPr="00AF45F2">
        <w:rPr>
          <w:rFonts w:ascii="Times New Roman" w:hAnsi="Times New Roman"/>
          <w:b/>
        </w:rPr>
        <w:t>publication</w:t>
      </w:r>
      <w:r w:rsidRPr="00AF45F2">
        <w:rPr>
          <w:rFonts w:ascii="Times New Roman" w:hAnsi="Times New Roman"/>
          <w:b/>
        </w:rPr>
        <w:t xml:space="preserve">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P="008F233F" w14:paraId="2FFF659D" w14:textId="711799E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5219CF" w:rsidP="008F233F" w14:paraId="31783239" w14:textId="658081C5">
      <w:pPr>
        <w:widowControl/>
        <w:ind w:left="720"/>
        <w:rPr>
          <w:rFonts w:ascii="Times New Roman" w:eastAsia="Calibri" w:hAnsi="Times New Roman"/>
          <w:b/>
        </w:rPr>
      </w:pPr>
    </w:p>
    <w:p w:rsidR="005219CF" w:rsidP="005219CF" w14:paraId="4F8F4D06" w14:textId="6D2A10DA">
      <w:pPr>
        <w:tabs>
          <w:tab w:val="left" w:pos="-1440"/>
        </w:tabs>
        <w:ind w:left="720"/>
        <w:rPr>
          <w:rFonts w:ascii="Times New Roman" w:hAnsi="Times New Roman"/>
        </w:rPr>
      </w:pPr>
      <w:r>
        <w:rPr>
          <w:rFonts w:ascii="Times New Roman" w:hAnsi="Times New Roman"/>
        </w:rPr>
        <w:t xml:space="preserve">USCIS is submitting this action as an 83C Nonsubstantive Change Request, which does not require a notice and public comment period. </w:t>
      </w:r>
      <w:r w:rsidR="00732851">
        <w:rPr>
          <w:rFonts w:ascii="Times New Roman" w:hAnsi="Times New Roman"/>
        </w:rPr>
        <w:t xml:space="preserve">This Nonsubstantive Change Request is being submitted in connection with the </w:t>
      </w:r>
      <w:r>
        <w:rPr>
          <w:rFonts w:ascii="Times New Roman" w:hAnsi="Times New Roman"/>
        </w:rPr>
        <w:t>Adjustment to Premium Processing Fees</w:t>
      </w:r>
      <w:r w:rsidR="002945A8">
        <w:rPr>
          <w:rFonts w:ascii="Times New Roman" w:hAnsi="Times New Roman"/>
        </w:rPr>
        <w:t xml:space="preserve"> </w:t>
      </w:r>
      <w:r w:rsidR="002945A8">
        <w:rPr>
          <w:rFonts w:ascii="Times New Roman" w:hAnsi="Times New Roman"/>
        </w:rPr>
        <w:t>(RIN 1615-ZC05)</w:t>
      </w:r>
      <w:r w:rsidR="00732851">
        <w:rPr>
          <w:rFonts w:ascii="Times New Roman" w:hAnsi="Times New Roman"/>
        </w:rPr>
        <w:t xml:space="preserve"> Final</w:t>
      </w:r>
      <w:r>
        <w:rPr>
          <w:rFonts w:ascii="Times New Roman" w:hAnsi="Times New Roman"/>
        </w:rPr>
        <w:t xml:space="preserve"> </w:t>
      </w:r>
      <w:r w:rsidR="00732851">
        <w:rPr>
          <w:rFonts w:ascii="Times New Roman" w:hAnsi="Times New Roman"/>
        </w:rPr>
        <w:t>Rule</w:t>
      </w:r>
      <w:r w:rsidR="002945A8">
        <w:rPr>
          <w:rFonts w:ascii="Times New Roman" w:hAnsi="Times New Roman"/>
        </w:rPr>
        <w:t xml:space="preserve">, </w:t>
      </w:r>
      <w:r w:rsidR="002945A8">
        <w:rPr>
          <w:rFonts w:ascii="Times New Roman" w:hAnsi="Times New Roman"/>
        </w:rPr>
        <w:t xml:space="preserve">which published in the Federal Register on </w:t>
      </w:r>
      <w:r w:rsidR="002945A8">
        <w:rPr>
          <w:rFonts w:ascii="Times New Roman" w:hAnsi="Times New Roman"/>
        </w:rPr>
        <w:t>December 28</w:t>
      </w:r>
      <w:r w:rsidR="002945A8">
        <w:rPr>
          <w:rFonts w:ascii="Times New Roman" w:hAnsi="Times New Roman"/>
        </w:rPr>
        <w:t>, 202</w:t>
      </w:r>
      <w:r w:rsidR="002945A8">
        <w:rPr>
          <w:rFonts w:ascii="Times New Roman" w:hAnsi="Times New Roman"/>
        </w:rPr>
        <w:t>3.</w:t>
      </w:r>
    </w:p>
    <w:p w:rsidR="006049A7" w:rsidRPr="008A4764" w:rsidP="00EE4DC8" w14:paraId="73E9FA32" w14:textId="77777777">
      <w:pPr>
        <w:tabs>
          <w:tab w:val="left" w:pos="-1440"/>
        </w:tabs>
        <w:rPr>
          <w:rFonts w:ascii="Times New Roman" w:hAnsi="Times New Roman"/>
          <w:b/>
        </w:rPr>
      </w:pP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 xml:space="preserve">Describe any assurance of confidentiality provided to respondents and the basis for the assurance in statute, </w:t>
      </w:r>
      <w:r w:rsidRPr="00914A5D">
        <w:rPr>
          <w:rFonts w:ascii="Times New Roman" w:hAnsi="Times New Roman"/>
          <w:b/>
        </w:rPr>
        <w:t>regulation</w:t>
      </w:r>
      <w:r w:rsidRPr="00914A5D">
        <w:rPr>
          <w:rFonts w:ascii="Times New Roman" w:hAnsi="Times New Roman"/>
          <w:b/>
        </w:rPr>
        <w:t xml:space="preserve"> or agency policy.</w:t>
      </w:r>
    </w:p>
    <w:p w:rsidR="001A595D" w:rsidRPr="00914A5D" w:rsidP="00914A5D" w14:paraId="56191D66" w14:textId="77777777">
      <w:pPr>
        <w:tabs>
          <w:tab w:val="left" w:pos="-1440"/>
        </w:tabs>
        <w:ind w:left="720"/>
        <w:rPr>
          <w:rFonts w:ascii="Times New Roman" w:hAnsi="Times New Roman"/>
        </w:rPr>
      </w:pPr>
    </w:p>
    <w:p w:rsidR="00524E9E" w:rsidP="00524E9E" w14:paraId="43E91A80"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524E9E" w:rsidP="00524E9E" w14:paraId="60AA89D9" w14:textId="77777777">
      <w:pPr>
        <w:tabs>
          <w:tab w:val="left" w:pos="-1440"/>
        </w:tabs>
        <w:ind w:left="720"/>
        <w:rPr>
          <w:rFonts w:ascii="Times New Roman" w:hAnsi="Times New Roman"/>
        </w:rPr>
      </w:pPr>
    </w:p>
    <w:p w:rsidR="00524E9E" w:rsidP="00524E9E" w14:paraId="09773283" w14:textId="77777777">
      <w:pPr>
        <w:tabs>
          <w:tab w:val="left" w:pos="-1440"/>
        </w:tabs>
        <w:ind w:left="720"/>
        <w:rPr>
          <w:rFonts w:ascii="Times New Roman" w:hAnsi="Times New Roman"/>
        </w:rPr>
      </w:pPr>
      <w:r>
        <w:rPr>
          <w:rFonts w:ascii="Times New Roman" w:hAnsi="Times New Roman"/>
        </w:rPr>
        <w:t>This collection is covered under the following Privacy Impact Assessment:</w:t>
      </w:r>
    </w:p>
    <w:p w:rsidR="00524E9E" w:rsidP="00524E9E" w14:paraId="3CD9758D" w14:textId="77777777">
      <w:pPr>
        <w:pStyle w:val="ListParagraph"/>
        <w:numPr>
          <w:ilvl w:val="0"/>
          <w:numId w:val="9"/>
        </w:numPr>
        <w:tabs>
          <w:tab w:val="left" w:pos="-1440"/>
        </w:tabs>
        <w:rPr>
          <w:rFonts w:ascii="Times New Roman" w:hAnsi="Times New Roman"/>
        </w:rPr>
      </w:pPr>
      <w:r>
        <w:rPr>
          <w:rFonts w:ascii="Times New Roman" w:hAnsi="Times New Roman"/>
        </w:rPr>
        <w:t>DHS/USCIS/PIA-016(a) Computer linked application Information Management System (CLAIMS3) and Associated Systems; and,</w:t>
      </w:r>
    </w:p>
    <w:p w:rsidR="00524E9E" w:rsidP="00524E9E" w14:paraId="7D7F7145" w14:textId="77777777">
      <w:pPr>
        <w:pStyle w:val="ListParagraph"/>
        <w:numPr>
          <w:ilvl w:val="0"/>
          <w:numId w:val="9"/>
        </w:numPr>
        <w:tabs>
          <w:tab w:val="left" w:pos="-1440"/>
        </w:tabs>
        <w:rPr>
          <w:rFonts w:ascii="Times New Roman" w:hAnsi="Times New Roman"/>
        </w:rPr>
      </w:pPr>
      <w:r>
        <w:rPr>
          <w:rFonts w:ascii="Times New Roman" w:hAnsi="Times New Roman"/>
        </w:rPr>
        <w:t>DHS/USCIS/PIA-003(b) Integrated Digitization Document Management Program.</w:t>
      </w:r>
    </w:p>
    <w:p w:rsidR="00524E9E" w:rsidP="00524E9E" w14:paraId="1D29561C" w14:textId="77777777">
      <w:pPr>
        <w:tabs>
          <w:tab w:val="left" w:pos="-1440"/>
        </w:tabs>
        <w:ind w:left="720"/>
        <w:rPr>
          <w:rFonts w:ascii="Times New Roman" w:hAnsi="Times New Roman"/>
        </w:rPr>
      </w:pPr>
    </w:p>
    <w:p w:rsidR="00524E9E" w:rsidP="00524E9E" w14:paraId="55D93554"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00524E9E" w:rsidP="00524E9E" w14:paraId="08DFCA76" w14:textId="77777777">
      <w:pPr>
        <w:pStyle w:val="ListParagraph"/>
        <w:numPr>
          <w:ilvl w:val="0"/>
          <w:numId w:val="9"/>
        </w:numPr>
        <w:tabs>
          <w:tab w:val="left" w:pos="-1440"/>
        </w:tabs>
        <w:rPr>
          <w:rFonts w:ascii="Times New Roman" w:hAnsi="Times New Roman"/>
        </w:rPr>
      </w:pPr>
      <w:r>
        <w:rPr>
          <w:rFonts w:ascii="Times New Roman" w:hAnsi="Times New Roman"/>
        </w:rPr>
        <w:t xml:space="preserve">DHS/USCIS/ICE/CBP-001 Alien File, Index, and National File Tracking System of Records, September 18, 2017, 82 FR </w:t>
      </w:r>
      <w:r>
        <w:rPr>
          <w:rFonts w:ascii="Times New Roman" w:hAnsi="Times New Roman"/>
        </w:rPr>
        <w:t>43556;</w:t>
      </w:r>
      <w:r>
        <w:rPr>
          <w:rFonts w:ascii="Times New Roman" w:hAnsi="Times New Roman"/>
        </w:rPr>
        <w:t xml:space="preserve">  </w:t>
      </w:r>
    </w:p>
    <w:p w:rsidR="00524E9E" w:rsidP="00524E9E" w14:paraId="0C66B669" w14:textId="77777777">
      <w:pPr>
        <w:pStyle w:val="ListParagraph"/>
        <w:numPr>
          <w:ilvl w:val="0"/>
          <w:numId w:val="9"/>
        </w:numPr>
        <w:tabs>
          <w:tab w:val="left" w:pos="-1440"/>
        </w:tabs>
        <w:rPr>
          <w:rFonts w:ascii="Times New Roman" w:hAnsi="Times New Roman"/>
        </w:rPr>
      </w:pPr>
      <w:r>
        <w:rPr>
          <w:rFonts w:ascii="Times New Roman" w:hAnsi="Times New Roman"/>
        </w:rPr>
        <w:t xml:space="preserve">DHS/USCIS-007 Benefits Information Systems, October 19, </w:t>
      </w:r>
      <w:r>
        <w:rPr>
          <w:rFonts w:ascii="Times New Roman" w:hAnsi="Times New Roman"/>
        </w:rPr>
        <w:t>2016</w:t>
      </w:r>
      <w:r>
        <w:rPr>
          <w:rFonts w:ascii="Times New Roman" w:hAnsi="Times New Roman"/>
        </w:rPr>
        <w:t xml:space="preserve"> 81 FR 72069; and, </w:t>
      </w:r>
    </w:p>
    <w:p w:rsidR="00EC5F60" w:rsidRPr="00524E9E" w:rsidP="00524E9E" w14:paraId="5E3A935B" w14:textId="7BCF7714">
      <w:pPr>
        <w:pStyle w:val="ListParagraph"/>
        <w:numPr>
          <w:ilvl w:val="0"/>
          <w:numId w:val="9"/>
        </w:numPr>
        <w:tabs>
          <w:tab w:val="left" w:pos="-1440"/>
        </w:tabs>
        <w:rPr>
          <w:rFonts w:ascii="Times New Roman" w:hAnsi="Times New Roman"/>
        </w:rPr>
      </w:pPr>
      <w:r>
        <w:rPr>
          <w:rFonts w:ascii="Times New Roman" w:hAnsi="Times New Roman"/>
        </w:rPr>
        <w:t>DHS/USCIS-018 Immigration Biometric and Background Check (IBBC) System of Records, July 31, 2018, 83 FR 36950.</w:t>
      </w:r>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524E9E" w:rsidP="00524E9E" w14:paraId="21F07712" w14:textId="77777777">
      <w:pPr>
        <w:tabs>
          <w:tab w:val="left" w:pos="-1440"/>
        </w:tabs>
        <w:ind w:left="720"/>
        <w:rPr>
          <w:rFonts w:ascii="Times New Roman" w:hAnsi="Times New Roman"/>
        </w:rPr>
      </w:pPr>
      <w:r>
        <w:rPr>
          <w:rFonts w:ascii="Times New Roman" w:hAnsi="Times New Roman"/>
        </w:rPr>
        <w:t>There are no questions of a sensitive nature asked.</w:t>
      </w:r>
    </w:p>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 xml:space="preserve">If this request for approval covers more than one form, provide separate hour burden estimates for each </w:t>
      </w:r>
      <w:r w:rsidRPr="00914A5D">
        <w:rPr>
          <w:rFonts w:ascii="Times New Roman" w:hAnsi="Times New Roman"/>
          <w:b/>
        </w:rPr>
        <w:t>form</w:t>
      </w:r>
      <w:r w:rsidRPr="00914A5D">
        <w:rPr>
          <w:rFonts w:ascii="Times New Roman" w:hAnsi="Times New Roman"/>
          <w:b/>
        </w:rPr>
        <w:t xml:space="preserve">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E77B24" w:rsidP="00914A5D" w14:paraId="6FA1D802" w14:textId="77777777">
      <w:pPr>
        <w:tabs>
          <w:tab w:val="left" w:pos="-1440"/>
          <w:tab w:val="left" w:pos="1080"/>
        </w:tabs>
        <w:ind w:left="1080" w:hanging="360"/>
        <w:rPr>
          <w:rFonts w:ascii="Times New Roman" w:hAnsi="Times New Roman"/>
          <w:b/>
        </w:rPr>
      </w:pPr>
    </w:p>
    <w:tbl>
      <w:tblPr>
        <w:tblW w:w="10197" w:type="dxa"/>
        <w:tblInd w:w="93" w:type="dxa"/>
        <w:tblLook w:val="04A0"/>
      </w:tblPr>
      <w:tblGrid>
        <w:gridCol w:w="1272"/>
        <w:gridCol w:w="1161"/>
        <w:gridCol w:w="1239"/>
        <w:gridCol w:w="1180"/>
        <w:gridCol w:w="1061"/>
        <w:gridCol w:w="1143"/>
        <w:gridCol w:w="960"/>
        <w:gridCol w:w="960"/>
        <w:gridCol w:w="1221"/>
      </w:tblGrid>
      <w:tr w14:paraId="652BBD83" w14:textId="77777777" w:rsidTr="001815EE">
        <w:tblPrEx>
          <w:tblW w:w="10197" w:type="dxa"/>
          <w:tblInd w:w="93" w:type="dxa"/>
          <w:tblLook w:val="04A0"/>
        </w:tblPrEx>
        <w:trPr>
          <w:trHeight w:val="315"/>
        </w:trPr>
        <w:tc>
          <w:tcPr>
            <w:tcW w:w="12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77B24" w:rsidRPr="00E77B24" w:rsidP="00E77B24" w14:paraId="2EE8C920"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w:t>
            </w:r>
          </w:p>
        </w:tc>
        <w:tc>
          <w:tcPr>
            <w:tcW w:w="1161" w:type="dxa"/>
            <w:tcBorders>
              <w:top w:val="single" w:sz="8" w:space="0" w:color="auto"/>
              <w:left w:val="nil"/>
              <w:bottom w:val="single" w:sz="8" w:space="0" w:color="auto"/>
              <w:right w:val="single" w:sz="8" w:space="0" w:color="auto"/>
            </w:tcBorders>
            <w:shd w:val="clear" w:color="auto" w:fill="auto"/>
            <w:noWrap/>
            <w:vAlign w:val="center"/>
            <w:hideMark/>
          </w:tcPr>
          <w:p w:rsidR="00E77B24" w:rsidRPr="00E77B24" w:rsidP="00E77B24" w14:paraId="3378A8F7"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 </w:t>
            </w:r>
          </w:p>
        </w:tc>
        <w:tc>
          <w:tcPr>
            <w:tcW w:w="1239" w:type="dxa"/>
            <w:tcBorders>
              <w:top w:val="single" w:sz="8" w:space="0" w:color="auto"/>
              <w:left w:val="nil"/>
              <w:bottom w:val="single" w:sz="8" w:space="0" w:color="auto"/>
              <w:right w:val="single" w:sz="8" w:space="0" w:color="auto"/>
            </w:tcBorders>
            <w:shd w:val="clear" w:color="auto" w:fill="auto"/>
            <w:noWrap/>
            <w:vAlign w:val="center"/>
            <w:hideMark/>
          </w:tcPr>
          <w:p w:rsidR="00E77B24" w:rsidRPr="00E77B24" w:rsidP="00E77B24" w14:paraId="36F6EB7D"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A</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rsidR="00E77B24" w:rsidRPr="00E77B24" w:rsidP="00E77B24" w14:paraId="39B4F97F"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B</w:t>
            </w:r>
          </w:p>
        </w:tc>
        <w:tc>
          <w:tcPr>
            <w:tcW w:w="1061" w:type="dxa"/>
            <w:tcBorders>
              <w:top w:val="single" w:sz="8" w:space="0" w:color="auto"/>
              <w:left w:val="nil"/>
              <w:bottom w:val="single" w:sz="8" w:space="0" w:color="auto"/>
              <w:right w:val="single" w:sz="8" w:space="0" w:color="auto"/>
            </w:tcBorders>
            <w:shd w:val="clear" w:color="auto" w:fill="auto"/>
            <w:noWrap/>
            <w:vAlign w:val="center"/>
            <w:hideMark/>
          </w:tcPr>
          <w:p w:rsidR="00E77B24" w:rsidRPr="00E77B24" w:rsidP="00E77B24" w14:paraId="6ED443DE"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C (=</w:t>
            </w:r>
            <w:r w:rsidRPr="00E77B24">
              <w:rPr>
                <w:rFonts w:ascii="Times New Roman" w:hAnsi="Times New Roman"/>
                <w:color w:val="000000"/>
                <w:sz w:val="20"/>
                <w:szCs w:val="22"/>
              </w:rPr>
              <w:t>AxB</w:t>
            </w:r>
            <w:r w:rsidRPr="00E77B24">
              <w:rPr>
                <w:rFonts w:ascii="Times New Roman" w:hAnsi="Times New Roman"/>
                <w:color w:val="000000"/>
                <w:sz w:val="20"/>
                <w:szCs w:val="22"/>
              </w:rPr>
              <w:t>)</w:t>
            </w:r>
          </w:p>
        </w:tc>
        <w:tc>
          <w:tcPr>
            <w:tcW w:w="1143" w:type="dxa"/>
            <w:tcBorders>
              <w:top w:val="single" w:sz="8" w:space="0" w:color="auto"/>
              <w:left w:val="nil"/>
              <w:bottom w:val="single" w:sz="8" w:space="0" w:color="auto"/>
              <w:right w:val="single" w:sz="8" w:space="0" w:color="auto"/>
            </w:tcBorders>
            <w:shd w:val="clear" w:color="auto" w:fill="auto"/>
            <w:noWrap/>
            <w:vAlign w:val="center"/>
            <w:hideMark/>
          </w:tcPr>
          <w:p w:rsidR="00E77B24" w:rsidRPr="00E77B24" w:rsidP="00E77B24" w14:paraId="603C8778"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D</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E77B24" w:rsidRPr="00E77B24" w:rsidP="00E77B24" w14:paraId="0D25EF1F"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E (=</w:t>
            </w:r>
            <w:r w:rsidRPr="00E77B24">
              <w:rPr>
                <w:rFonts w:ascii="Times New Roman" w:hAnsi="Times New Roman"/>
                <w:color w:val="000000"/>
                <w:sz w:val="20"/>
                <w:szCs w:val="22"/>
              </w:rPr>
              <w:t>CxD</w:t>
            </w:r>
            <w:r w:rsidRPr="00E77B24">
              <w:rPr>
                <w:rFonts w:ascii="Times New Roman" w:hAnsi="Times New Roman"/>
                <w:color w:val="000000"/>
                <w:sz w:val="20"/>
                <w:szCs w:val="22"/>
              </w:rPr>
              <w:t>)</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E77B24" w:rsidRPr="00E77B24" w:rsidP="00E77B24" w14:paraId="03533AA7"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F</w:t>
            </w:r>
          </w:p>
        </w:tc>
        <w:tc>
          <w:tcPr>
            <w:tcW w:w="1221" w:type="dxa"/>
            <w:tcBorders>
              <w:top w:val="single" w:sz="8" w:space="0" w:color="auto"/>
              <w:left w:val="nil"/>
              <w:bottom w:val="single" w:sz="8" w:space="0" w:color="auto"/>
              <w:right w:val="single" w:sz="8" w:space="0" w:color="auto"/>
            </w:tcBorders>
            <w:shd w:val="clear" w:color="auto" w:fill="auto"/>
            <w:noWrap/>
            <w:vAlign w:val="center"/>
            <w:hideMark/>
          </w:tcPr>
          <w:p w:rsidR="00E77B24" w:rsidRPr="00E77B24" w:rsidP="00E77B24" w14:paraId="2AFDC999"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w:t>
            </w:r>
            <w:r w:rsidRPr="00E77B24">
              <w:rPr>
                <w:rFonts w:ascii="Times New Roman" w:hAnsi="Times New Roman"/>
                <w:color w:val="000000"/>
                <w:sz w:val="20"/>
                <w:szCs w:val="22"/>
              </w:rPr>
              <w:t>ExF</w:t>
            </w:r>
            <w:r w:rsidRPr="00E77B24">
              <w:rPr>
                <w:rFonts w:ascii="Times New Roman" w:hAnsi="Times New Roman"/>
                <w:color w:val="000000"/>
                <w:sz w:val="20"/>
                <w:szCs w:val="22"/>
              </w:rPr>
              <w:t>)</w:t>
            </w:r>
          </w:p>
        </w:tc>
      </w:tr>
      <w:tr w14:paraId="0A738CBD" w14:textId="77777777" w:rsidTr="001815EE">
        <w:tblPrEx>
          <w:tblW w:w="10197" w:type="dxa"/>
          <w:tblInd w:w="93" w:type="dxa"/>
          <w:tblLook w:val="04A0"/>
        </w:tblPrEx>
        <w:trPr>
          <w:trHeight w:val="1290"/>
        </w:trPr>
        <w:tc>
          <w:tcPr>
            <w:tcW w:w="1272" w:type="dxa"/>
            <w:tcBorders>
              <w:top w:val="nil"/>
              <w:left w:val="single" w:sz="8" w:space="0" w:color="auto"/>
              <w:bottom w:val="single" w:sz="8" w:space="0" w:color="auto"/>
              <w:right w:val="single" w:sz="8" w:space="0" w:color="auto"/>
            </w:tcBorders>
            <w:shd w:val="clear" w:color="auto" w:fill="auto"/>
            <w:vAlign w:val="center"/>
            <w:hideMark/>
          </w:tcPr>
          <w:p w:rsidR="00E77B24" w:rsidRPr="00E77B24" w:rsidP="00E77B24" w14:paraId="5A122DA5"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Type of Respondent</w:t>
            </w:r>
          </w:p>
        </w:tc>
        <w:tc>
          <w:tcPr>
            <w:tcW w:w="1161" w:type="dxa"/>
            <w:tcBorders>
              <w:top w:val="nil"/>
              <w:left w:val="nil"/>
              <w:bottom w:val="single" w:sz="8" w:space="0" w:color="auto"/>
              <w:right w:val="single" w:sz="8" w:space="0" w:color="auto"/>
            </w:tcBorders>
            <w:shd w:val="clear" w:color="auto" w:fill="auto"/>
            <w:vAlign w:val="center"/>
            <w:hideMark/>
          </w:tcPr>
          <w:p w:rsidR="00E77B24" w:rsidRPr="00E77B24" w:rsidP="00E77B24" w14:paraId="066DF1BB"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Form Name / Form Number</w:t>
            </w:r>
          </w:p>
        </w:tc>
        <w:tc>
          <w:tcPr>
            <w:tcW w:w="1239" w:type="dxa"/>
            <w:tcBorders>
              <w:top w:val="nil"/>
              <w:left w:val="nil"/>
              <w:bottom w:val="single" w:sz="8" w:space="0" w:color="auto"/>
              <w:right w:val="single" w:sz="8" w:space="0" w:color="auto"/>
            </w:tcBorders>
            <w:shd w:val="clear" w:color="auto" w:fill="auto"/>
            <w:vAlign w:val="center"/>
            <w:hideMark/>
          </w:tcPr>
          <w:p w:rsidR="00E77B24" w:rsidRPr="00E77B24" w:rsidP="00E77B24" w14:paraId="42DF3DCB"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of Respondents</w:t>
            </w:r>
          </w:p>
        </w:tc>
        <w:tc>
          <w:tcPr>
            <w:tcW w:w="1180" w:type="dxa"/>
            <w:tcBorders>
              <w:top w:val="nil"/>
              <w:left w:val="nil"/>
              <w:bottom w:val="single" w:sz="8" w:space="0" w:color="auto"/>
              <w:right w:val="single" w:sz="8" w:space="0" w:color="auto"/>
            </w:tcBorders>
            <w:shd w:val="clear" w:color="auto" w:fill="auto"/>
            <w:vAlign w:val="center"/>
            <w:hideMark/>
          </w:tcPr>
          <w:p w:rsidR="00E77B24" w:rsidRPr="00E77B24" w:rsidP="00E77B24" w14:paraId="09526AB1"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of Responses per Respondent</w:t>
            </w:r>
          </w:p>
        </w:tc>
        <w:tc>
          <w:tcPr>
            <w:tcW w:w="1061" w:type="dxa"/>
            <w:tcBorders>
              <w:top w:val="nil"/>
              <w:left w:val="nil"/>
              <w:bottom w:val="single" w:sz="8" w:space="0" w:color="auto"/>
              <w:right w:val="single" w:sz="8" w:space="0" w:color="auto"/>
            </w:tcBorders>
            <w:shd w:val="clear" w:color="auto" w:fill="auto"/>
            <w:vAlign w:val="center"/>
            <w:hideMark/>
          </w:tcPr>
          <w:p w:rsidR="00E77B24" w:rsidRPr="00E77B24" w:rsidP="00E77B24" w14:paraId="39D3C8E4"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of Responses</w:t>
            </w:r>
          </w:p>
        </w:tc>
        <w:tc>
          <w:tcPr>
            <w:tcW w:w="1143" w:type="dxa"/>
            <w:tcBorders>
              <w:top w:val="nil"/>
              <w:left w:val="nil"/>
              <w:bottom w:val="single" w:sz="8" w:space="0" w:color="auto"/>
              <w:right w:val="single" w:sz="8" w:space="0" w:color="auto"/>
            </w:tcBorders>
            <w:shd w:val="clear" w:color="auto" w:fill="auto"/>
            <w:vAlign w:val="center"/>
            <w:hideMark/>
          </w:tcPr>
          <w:p w:rsidR="00E77B24" w:rsidRPr="00E77B24" w:rsidP="00E77B24" w14:paraId="0CCE9C56"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Avg. Burden per Response (in hours)</w:t>
            </w:r>
          </w:p>
        </w:tc>
        <w:tc>
          <w:tcPr>
            <w:tcW w:w="960" w:type="dxa"/>
            <w:tcBorders>
              <w:top w:val="nil"/>
              <w:left w:val="nil"/>
              <w:bottom w:val="single" w:sz="8" w:space="0" w:color="auto"/>
              <w:right w:val="single" w:sz="8" w:space="0" w:color="auto"/>
            </w:tcBorders>
            <w:shd w:val="clear" w:color="auto" w:fill="auto"/>
            <w:vAlign w:val="center"/>
            <w:hideMark/>
          </w:tcPr>
          <w:p w:rsidR="00E77B24" w:rsidRPr="00E77B24" w:rsidP="00E77B24" w14:paraId="6D5049FC"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 Annual Burden (in hours)</w:t>
            </w:r>
          </w:p>
        </w:tc>
        <w:tc>
          <w:tcPr>
            <w:tcW w:w="960" w:type="dxa"/>
            <w:tcBorders>
              <w:top w:val="nil"/>
              <w:left w:val="nil"/>
              <w:bottom w:val="single" w:sz="8" w:space="0" w:color="auto"/>
              <w:right w:val="single" w:sz="8" w:space="0" w:color="auto"/>
            </w:tcBorders>
            <w:shd w:val="clear" w:color="auto" w:fill="auto"/>
            <w:vAlign w:val="center"/>
            <w:hideMark/>
          </w:tcPr>
          <w:p w:rsidR="00E77B24" w:rsidRPr="00E77B24" w:rsidP="00E77B24" w14:paraId="3C3331F9"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Avg. Hourly Wage Rate*</w:t>
            </w:r>
          </w:p>
        </w:tc>
        <w:tc>
          <w:tcPr>
            <w:tcW w:w="1221" w:type="dxa"/>
            <w:tcBorders>
              <w:top w:val="nil"/>
              <w:left w:val="nil"/>
              <w:bottom w:val="single" w:sz="8" w:space="0" w:color="auto"/>
              <w:right w:val="single" w:sz="8" w:space="0" w:color="auto"/>
            </w:tcBorders>
            <w:shd w:val="clear" w:color="auto" w:fill="auto"/>
            <w:vAlign w:val="center"/>
            <w:hideMark/>
          </w:tcPr>
          <w:p w:rsidR="00E77B24" w:rsidRPr="00E77B24" w:rsidP="00E77B24" w14:paraId="1310E6D1"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 Annual Respondent Cost</w:t>
            </w:r>
          </w:p>
        </w:tc>
      </w:tr>
      <w:tr w14:paraId="2FB58D79" w14:textId="77777777" w:rsidTr="001815EE">
        <w:tblPrEx>
          <w:tblW w:w="10197" w:type="dxa"/>
          <w:tblInd w:w="93" w:type="dxa"/>
          <w:tblLook w:val="04A0"/>
        </w:tblPrEx>
        <w:trPr>
          <w:trHeight w:val="315"/>
        </w:trPr>
        <w:tc>
          <w:tcPr>
            <w:tcW w:w="1272" w:type="dxa"/>
            <w:tcBorders>
              <w:top w:val="nil"/>
              <w:left w:val="single" w:sz="8" w:space="0" w:color="auto"/>
              <w:bottom w:val="single" w:sz="8" w:space="0" w:color="auto"/>
              <w:right w:val="single" w:sz="8" w:space="0" w:color="auto"/>
            </w:tcBorders>
            <w:shd w:val="clear" w:color="auto" w:fill="auto"/>
            <w:vAlign w:val="center"/>
            <w:hideMark/>
          </w:tcPr>
          <w:p w:rsidR="004360BC" w:rsidRPr="00E77B24" w:rsidP="004360BC" w14:paraId="0DEAD39A" w14:textId="31FA91E9">
            <w:pPr>
              <w:widowControl/>
              <w:autoSpaceDE/>
              <w:autoSpaceDN/>
              <w:adjustRightInd/>
              <w:jc w:val="center"/>
              <w:rPr>
                <w:rFonts w:ascii="Times New Roman" w:hAnsi="Times New Roman"/>
                <w:color w:val="000000"/>
                <w:sz w:val="20"/>
                <w:szCs w:val="20"/>
              </w:rPr>
            </w:pPr>
            <w:r>
              <w:rPr>
                <w:rFonts w:ascii="Times New Roman" w:hAnsi="Times New Roman"/>
                <w:sz w:val="20"/>
                <w:szCs w:val="20"/>
              </w:rPr>
              <w:t>Individuals or Households</w:t>
            </w:r>
          </w:p>
        </w:tc>
        <w:tc>
          <w:tcPr>
            <w:tcW w:w="1161" w:type="dxa"/>
            <w:tcBorders>
              <w:top w:val="nil"/>
              <w:left w:val="nil"/>
              <w:bottom w:val="single" w:sz="8" w:space="0" w:color="auto"/>
              <w:right w:val="single" w:sz="8" w:space="0" w:color="auto"/>
            </w:tcBorders>
            <w:shd w:val="clear" w:color="auto" w:fill="auto"/>
            <w:vAlign w:val="center"/>
            <w:hideMark/>
          </w:tcPr>
          <w:p w:rsidR="004360BC" w:rsidRPr="00E77B24" w:rsidP="004360BC" w14:paraId="04C4837B" w14:textId="44512813">
            <w:pPr>
              <w:widowControl/>
              <w:autoSpaceDE/>
              <w:autoSpaceDN/>
              <w:adjustRightInd/>
              <w:jc w:val="center"/>
              <w:rPr>
                <w:rFonts w:ascii="Times New Roman" w:hAnsi="Times New Roman"/>
                <w:color w:val="000000"/>
                <w:sz w:val="20"/>
                <w:szCs w:val="20"/>
              </w:rPr>
            </w:pPr>
            <w:r>
              <w:rPr>
                <w:rFonts w:ascii="Times New Roman" w:hAnsi="Times New Roman"/>
                <w:sz w:val="20"/>
                <w:szCs w:val="20"/>
              </w:rPr>
              <w:t>Application for Premium Processing Service</w:t>
            </w:r>
            <w:r w:rsidR="005219CF">
              <w:rPr>
                <w:rFonts w:ascii="Times New Roman" w:hAnsi="Times New Roman"/>
                <w:sz w:val="20"/>
                <w:szCs w:val="20"/>
              </w:rPr>
              <w:t xml:space="preserve"> (Paper filing)</w:t>
            </w:r>
          </w:p>
        </w:tc>
        <w:tc>
          <w:tcPr>
            <w:tcW w:w="1239" w:type="dxa"/>
            <w:tcBorders>
              <w:top w:val="nil"/>
              <w:left w:val="nil"/>
              <w:bottom w:val="single" w:sz="8" w:space="0" w:color="auto"/>
              <w:right w:val="single" w:sz="8" w:space="0" w:color="auto"/>
            </w:tcBorders>
            <w:shd w:val="clear" w:color="auto" w:fill="auto"/>
            <w:vAlign w:val="center"/>
            <w:hideMark/>
          </w:tcPr>
          <w:p w:rsidR="004360BC" w:rsidRPr="006F4F45" w:rsidP="004360BC" w14:paraId="01F4B292" w14:textId="35B9052D">
            <w:pPr>
              <w:widowControl/>
              <w:autoSpaceDE/>
              <w:autoSpaceDN/>
              <w:adjustRightInd/>
              <w:jc w:val="center"/>
              <w:rPr>
                <w:rFonts w:ascii="Times New Roman" w:hAnsi="Times New Roman"/>
                <w:sz w:val="20"/>
                <w:szCs w:val="20"/>
              </w:rPr>
            </w:pPr>
            <w:r>
              <w:rPr>
                <w:rFonts w:ascii="Times New Roman" w:hAnsi="Times New Roman"/>
                <w:sz w:val="20"/>
                <w:szCs w:val="20"/>
              </w:rPr>
              <w:t>609,566</w:t>
            </w:r>
          </w:p>
        </w:tc>
        <w:tc>
          <w:tcPr>
            <w:tcW w:w="1180" w:type="dxa"/>
            <w:tcBorders>
              <w:top w:val="nil"/>
              <w:left w:val="nil"/>
              <w:bottom w:val="single" w:sz="8" w:space="0" w:color="auto"/>
              <w:right w:val="single" w:sz="8" w:space="0" w:color="auto"/>
            </w:tcBorders>
            <w:shd w:val="clear" w:color="auto" w:fill="auto"/>
            <w:vAlign w:val="center"/>
            <w:hideMark/>
          </w:tcPr>
          <w:p w:rsidR="004360BC" w:rsidRPr="006F4F45" w:rsidP="004360BC" w14:paraId="237336F3" w14:textId="0A6C5CD5">
            <w:pPr>
              <w:widowControl/>
              <w:autoSpaceDE/>
              <w:autoSpaceDN/>
              <w:adjustRightInd/>
              <w:jc w:val="center"/>
              <w:rPr>
                <w:rFonts w:ascii="Times New Roman" w:hAnsi="Times New Roman"/>
                <w:sz w:val="20"/>
                <w:szCs w:val="20"/>
              </w:rPr>
            </w:pPr>
            <w:r w:rsidRPr="006F4F45">
              <w:rPr>
                <w:rFonts w:ascii="Times New Roman" w:hAnsi="Times New Roman"/>
                <w:sz w:val="20"/>
                <w:szCs w:val="20"/>
              </w:rPr>
              <w:t>1</w:t>
            </w:r>
          </w:p>
        </w:tc>
        <w:tc>
          <w:tcPr>
            <w:tcW w:w="1061" w:type="dxa"/>
            <w:tcBorders>
              <w:top w:val="nil"/>
              <w:left w:val="nil"/>
              <w:bottom w:val="single" w:sz="8" w:space="0" w:color="auto"/>
              <w:right w:val="single" w:sz="8" w:space="0" w:color="auto"/>
            </w:tcBorders>
            <w:shd w:val="clear" w:color="auto" w:fill="auto"/>
            <w:vAlign w:val="center"/>
            <w:hideMark/>
          </w:tcPr>
          <w:p w:rsidR="004360BC" w:rsidRPr="006F4F45" w:rsidP="004360BC" w14:paraId="160FCCB1" w14:textId="1207DFF9">
            <w:pPr>
              <w:widowControl/>
              <w:autoSpaceDE/>
              <w:autoSpaceDN/>
              <w:adjustRightInd/>
              <w:jc w:val="center"/>
              <w:rPr>
                <w:rFonts w:ascii="Times New Roman" w:hAnsi="Times New Roman"/>
                <w:sz w:val="20"/>
                <w:szCs w:val="20"/>
              </w:rPr>
            </w:pPr>
            <w:r>
              <w:rPr>
                <w:rFonts w:ascii="Times New Roman" w:hAnsi="Times New Roman"/>
                <w:sz w:val="20"/>
                <w:szCs w:val="20"/>
              </w:rPr>
              <w:t>609,566</w:t>
            </w:r>
          </w:p>
        </w:tc>
        <w:tc>
          <w:tcPr>
            <w:tcW w:w="1143" w:type="dxa"/>
            <w:tcBorders>
              <w:top w:val="nil"/>
              <w:left w:val="nil"/>
              <w:bottom w:val="single" w:sz="8" w:space="0" w:color="auto"/>
              <w:right w:val="single" w:sz="8" w:space="0" w:color="auto"/>
            </w:tcBorders>
            <w:shd w:val="clear" w:color="auto" w:fill="auto"/>
            <w:vAlign w:val="center"/>
            <w:hideMark/>
          </w:tcPr>
          <w:p w:rsidR="004360BC" w:rsidRPr="006F4F45" w:rsidP="004360BC" w14:paraId="772C668F" w14:textId="44C75D29">
            <w:pPr>
              <w:widowControl/>
              <w:autoSpaceDE/>
              <w:autoSpaceDN/>
              <w:adjustRightInd/>
              <w:jc w:val="center"/>
              <w:rPr>
                <w:rFonts w:ascii="Times New Roman" w:hAnsi="Times New Roman"/>
                <w:sz w:val="20"/>
                <w:szCs w:val="20"/>
              </w:rPr>
            </w:pPr>
            <w:r w:rsidRPr="006F4F45">
              <w:rPr>
                <w:rFonts w:ascii="Times New Roman" w:hAnsi="Times New Roman"/>
                <w:sz w:val="20"/>
                <w:szCs w:val="20"/>
              </w:rPr>
              <w:t>0.58</w:t>
            </w:r>
          </w:p>
        </w:tc>
        <w:tc>
          <w:tcPr>
            <w:tcW w:w="960" w:type="dxa"/>
            <w:tcBorders>
              <w:top w:val="nil"/>
              <w:left w:val="nil"/>
              <w:bottom w:val="single" w:sz="8" w:space="0" w:color="auto"/>
              <w:right w:val="single" w:sz="8" w:space="0" w:color="auto"/>
            </w:tcBorders>
            <w:shd w:val="clear" w:color="auto" w:fill="auto"/>
            <w:vAlign w:val="center"/>
            <w:hideMark/>
          </w:tcPr>
          <w:p w:rsidR="004360BC" w:rsidRPr="006F4F45" w:rsidP="004360BC" w14:paraId="7D6767FE" w14:textId="28728719">
            <w:pPr>
              <w:widowControl/>
              <w:autoSpaceDE/>
              <w:autoSpaceDN/>
              <w:adjustRightInd/>
              <w:jc w:val="center"/>
              <w:rPr>
                <w:rFonts w:ascii="Times New Roman" w:hAnsi="Times New Roman"/>
                <w:sz w:val="20"/>
                <w:szCs w:val="20"/>
              </w:rPr>
            </w:pPr>
            <w:r>
              <w:rPr>
                <w:rFonts w:ascii="Times New Roman" w:hAnsi="Times New Roman"/>
                <w:sz w:val="20"/>
                <w:szCs w:val="20"/>
              </w:rPr>
              <w:t>353,548</w:t>
            </w:r>
          </w:p>
        </w:tc>
        <w:tc>
          <w:tcPr>
            <w:tcW w:w="960" w:type="dxa"/>
            <w:tcBorders>
              <w:top w:val="nil"/>
              <w:left w:val="nil"/>
              <w:bottom w:val="single" w:sz="8" w:space="0" w:color="auto"/>
              <w:right w:val="single" w:sz="8" w:space="0" w:color="auto"/>
            </w:tcBorders>
            <w:shd w:val="clear" w:color="auto" w:fill="auto"/>
            <w:vAlign w:val="center"/>
            <w:hideMark/>
          </w:tcPr>
          <w:p w:rsidR="004360BC" w:rsidRPr="006F4F45" w:rsidP="004360BC" w14:paraId="030D78C8" w14:textId="127F2C60">
            <w:pPr>
              <w:widowControl/>
              <w:autoSpaceDE/>
              <w:autoSpaceDN/>
              <w:adjustRightInd/>
              <w:jc w:val="center"/>
              <w:rPr>
                <w:rFonts w:ascii="Times New Roman" w:hAnsi="Times New Roman"/>
                <w:sz w:val="20"/>
                <w:szCs w:val="20"/>
              </w:rPr>
            </w:pPr>
            <w:r w:rsidRPr="006F4F45">
              <w:rPr>
                <w:rFonts w:ascii="Times New Roman" w:hAnsi="Times New Roman"/>
                <w:sz w:val="20"/>
                <w:szCs w:val="20"/>
              </w:rPr>
              <w:t>$39.52</w:t>
            </w:r>
          </w:p>
        </w:tc>
        <w:tc>
          <w:tcPr>
            <w:tcW w:w="1221" w:type="dxa"/>
            <w:tcBorders>
              <w:top w:val="nil"/>
              <w:left w:val="nil"/>
              <w:bottom w:val="single" w:sz="8" w:space="0" w:color="auto"/>
              <w:right w:val="single" w:sz="8" w:space="0" w:color="auto"/>
            </w:tcBorders>
            <w:shd w:val="clear" w:color="auto" w:fill="auto"/>
            <w:vAlign w:val="center"/>
            <w:hideMark/>
          </w:tcPr>
          <w:p w:rsidR="004360BC" w:rsidRPr="006F4F45" w:rsidP="004360BC" w14:paraId="36DF4DB9" w14:textId="1F4EE5A5">
            <w:pPr>
              <w:widowControl/>
              <w:autoSpaceDE/>
              <w:autoSpaceDN/>
              <w:adjustRightInd/>
              <w:jc w:val="center"/>
              <w:rPr>
                <w:rFonts w:ascii="Times New Roman" w:hAnsi="Times New Roman"/>
                <w:sz w:val="20"/>
                <w:szCs w:val="20"/>
              </w:rPr>
            </w:pPr>
            <w:r w:rsidRPr="006F4F45">
              <w:rPr>
                <w:rFonts w:ascii="Times New Roman" w:hAnsi="Times New Roman"/>
                <w:sz w:val="20"/>
                <w:szCs w:val="20"/>
              </w:rPr>
              <w:t>$</w:t>
            </w:r>
            <w:r w:rsidR="001815EE">
              <w:rPr>
                <w:rFonts w:ascii="Times New Roman" w:hAnsi="Times New Roman"/>
                <w:sz w:val="20"/>
                <w:szCs w:val="20"/>
              </w:rPr>
              <w:t>13,972,217</w:t>
            </w:r>
          </w:p>
        </w:tc>
      </w:tr>
      <w:tr w14:paraId="794971B6" w14:textId="77777777" w:rsidTr="001815EE">
        <w:tblPrEx>
          <w:tblW w:w="10197" w:type="dxa"/>
          <w:tblInd w:w="93" w:type="dxa"/>
          <w:tblLook w:val="04A0"/>
        </w:tblPrEx>
        <w:trPr>
          <w:trHeight w:val="315"/>
        </w:trPr>
        <w:tc>
          <w:tcPr>
            <w:tcW w:w="1272" w:type="dxa"/>
            <w:tcBorders>
              <w:top w:val="nil"/>
              <w:left w:val="single" w:sz="8" w:space="0" w:color="auto"/>
              <w:bottom w:val="single" w:sz="8" w:space="0" w:color="auto"/>
              <w:right w:val="single" w:sz="8" w:space="0" w:color="auto"/>
            </w:tcBorders>
            <w:shd w:val="clear" w:color="auto" w:fill="auto"/>
            <w:vAlign w:val="center"/>
          </w:tcPr>
          <w:p w:rsidR="005219CF" w:rsidP="005219CF" w14:paraId="60E170B4" w14:textId="5B442A2C">
            <w:pPr>
              <w:widowControl/>
              <w:autoSpaceDE/>
              <w:autoSpaceDN/>
              <w:adjustRightInd/>
              <w:jc w:val="center"/>
              <w:rPr>
                <w:rFonts w:ascii="Times New Roman" w:hAnsi="Times New Roman"/>
                <w:sz w:val="20"/>
                <w:szCs w:val="20"/>
              </w:rPr>
            </w:pPr>
            <w:r>
              <w:rPr>
                <w:rFonts w:ascii="Times New Roman" w:hAnsi="Times New Roman"/>
                <w:sz w:val="20"/>
                <w:szCs w:val="20"/>
              </w:rPr>
              <w:t>Individuals or Households</w:t>
            </w:r>
          </w:p>
        </w:tc>
        <w:tc>
          <w:tcPr>
            <w:tcW w:w="1161" w:type="dxa"/>
            <w:tcBorders>
              <w:top w:val="nil"/>
              <w:left w:val="nil"/>
              <w:bottom w:val="single" w:sz="8" w:space="0" w:color="auto"/>
              <w:right w:val="single" w:sz="8" w:space="0" w:color="auto"/>
            </w:tcBorders>
            <w:shd w:val="clear" w:color="auto" w:fill="auto"/>
            <w:vAlign w:val="center"/>
          </w:tcPr>
          <w:p w:rsidR="005219CF" w:rsidP="005219CF" w14:paraId="43ADA5FF" w14:textId="39662891">
            <w:pPr>
              <w:widowControl/>
              <w:autoSpaceDE/>
              <w:autoSpaceDN/>
              <w:adjustRightInd/>
              <w:jc w:val="center"/>
              <w:rPr>
                <w:rFonts w:ascii="Times New Roman" w:hAnsi="Times New Roman"/>
                <w:sz w:val="20"/>
                <w:szCs w:val="20"/>
              </w:rPr>
            </w:pPr>
            <w:r>
              <w:rPr>
                <w:rFonts w:ascii="Times New Roman" w:hAnsi="Times New Roman"/>
                <w:sz w:val="20"/>
                <w:szCs w:val="20"/>
              </w:rPr>
              <w:t>Application for Premium Processing Service (online filing)</w:t>
            </w:r>
          </w:p>
        </w:tc>
        <w:tc>
          <w:tcPr>
            <w:tcW w:w="1239" w:type="dxa"/>
            <w:tcBorders>
              <w:top w:val="nil"/>
              <w:left w:val="nil"/>
              <w:bottom w:val="single" w:sz="8" w:space="0" w:color="auto"/>
              <w:right w:val="single" w:sz="8" w:space="0" w:color="auto"/>
            </w:tcBorders>
            <w:shd w:val="clear" w:color="auto" w:fill="auto"/>
            <w:vAlign w:val="center"/>
          </w:tcPr>
          <w:p w:rsidR="005219CF" w:rsidP="005219CF" w14:paraId="4DCE0AF0" w14:textId="2C82E6CD">
            <w:pPr>
              <w:widowControl/>
              <w:autoSpaceDE/>
              <w:autoSpaceDN/>
              <w:adjustRightInd/>
              <w:jc w:val="center"/>
              <w:rPr>
                <w:rFonts w:ascii="Times New Roman" w:hAnsi="Times New Roman"/>
                <w:sz w:val="20"/>
                <w:szCs w:val="20"/>
              </w:rPr>
            </w:pPr>
          </w:p>
          <w:p w:rsidR="00D441AC" w:rsidRPr="006F4F45" w:rsidP="005219CF" w14:paraId="77C60418" w14:textId="596EA8B3">
            <w:pPr>
              <w:widowControl/>
              <w:autoSpaceDE/>
              <w:autoSpaceDN/>
              <w:adjustRightInd/>
              <w:jc w:val="center"/>
              <w:rPr>
                <w:rFonts w:ascii="Times New Roman" w:hAnsi="Times New Roman"/>
                <w:sz w:val="20"/>
                <w:szCs w:val="20"/>
              </w:rPr>
            </w:pPr>
            <w:r>
              <w:rPr>
                <w:rFonts w:ascii="Times New Roman" w:hAnsi="Times New Roman"/>
                <w:sz w:val="20"/>
                <w:szCs w:val="20"/>
              </w:rPr>
              <w:t>206,207</w:t>
            </w:r>
          </w:p>
        </w:tc>
        <w:tc>
          <w:tcPr>
            <w:tcW w:w="1180" w:type="dxa"/>
            <w:tcBorders>
              <w:top w:val="nil"/>
              <w:left w:val="nil"/>
              <w:bottom w:val="single" w:sz="8" w:space="0" w:color="auto"/>
              <w:right w:val="single" w:sz="8" w:space="0" w:color="auto"/>
            </w:tcBorders>
            <w:shd w:val="clear" w:color="auto" w:fill="auto"/>
            <w:vAlign w:val="center"/>
          </w:tcPr>
          <w:p w:rsidR="005219CF" w:rsidRPr="006F4F45" w:rsidP="005219CF" w14:paraId="02981278" w14:textId="00467141">
            <w:pPr>
              <w:widowControl/>
              <w:autoSpaceDE/>
              <w:autoSpaceDN/>
              <w:adjustRightInd/>
              <w:jc w:val="center"/>
              <w:rPr>
                <w:rFonts w:ascii="Times New Roman" w:hAnsi="Times New Roman"/>
                <w:sz w:val="20"/>
                <w:szCs w:val="20"/>
              </w:rPr>
            </w:pPr>
            <w:r>
              <w:rPr>
                <w:rFonts w:ascii="Times New Roman" w:hAnsi="Times New Roman"/>
                <w:sz w:val="20"/>
                <w:szCs w:val="20"/>
              </w:rPr>
              <w:t>1</w:t>
            </w:r>
          </w:p>
        </w:tc>
        <w:tc>
          <w:tcPr>
            <w:tcW w:w="1061" w:type="dxa"/>
            <w:tcBorders>
              <w:top w:val="nil"/>
              <w:left w:val="nil"/>
              <w:bottom w:val="single" w:sz="8" w:space="0" w:color="auto"/>
              <w:right w:val="single" w:sz="8" w:space="0" w:color="auto"/>
            </w:tcBorders>
            <w:shd w:val="clear" w:color="auto" w:fill="auto"/>
            <w:vAlign w:val="center"/>
          </w:tcPr>
          <w:p w:rsidR="005219CF" w:rsidRPr="006F4F45" w:rsidP="005219CF" w14:paraId="1F0941EA" w14:textId="27D50C15">
            <w:pPr>
              <w:widowControl/>
              <w:autoSpaceDE/>
              <w:autoSpaceDN/>
              <w:adjustRightInd/>
              <w:jc w:val="center"/>
              <w:rPr>
                <w:rFonts w:ascii="Times New Roman" w:hAnsi="Times New Roman"/>
                <w:sz w:val="20"/>
                <w:szCs w:val="20"/>
              </w:rPr>
            </w:pPr>
            <w:r>
              <w:rPr>
                <w:rFonts w:ascii="Times New Roman" w:hAnsi="Times New Roman"/>
                <w:sz w:val="20"/>
                <w:szCs w:val="20"/>
              </w:rPr>
              <w:t>206,207</w:t>
            </w:r>
          </w:p>
        </w:tc>
        <w:tc>
          <w:tcPr>
            <w:tcW w:w="1143" w:type="dxa"/>
            <w:tcBorders>
              <w:top w:val="nil"/>
              <w:left w:val="nil"/>
              <w:bottom w:val="single" w:sz="8" w:space="0" w:color="auto"/>
              <w:right w:val="single" w:sz="8" w:space="0" w:color="auto"/>
            </w:tcBorders>
            <w:shd w:val="clear" w:color="auto" w:fill="auto"/>
            <w:vAlign w:val="center"/>
          </w:tcPr>
          <w:p w:rsidR="005219CF" w:rsidRPr="006F4F45" w:rsidP="005219CF" w14:paraId="413269F4" w14:textId="771C26B0">
            <w:pPr>
              <w:widowControl/>
              <w:autoSpaceDE/>
              <w:autoSpaceDN/>
              <w:adjustRightInd/>
              <w:jc w:val="center"/>
              <w:rPr>
                <w:rFonts w:ascii="Times New Roman" w:hAnsi="Times New Roman"/>
                <w:sz w:val="20"/>
                <w:szCs w:val="20"/>
              </w:rPr>
            </w:pPr>
            <w:r>
              <w:rPr>
                <w:rFonts w:ascii="Times New Roman" w:hAnsi="Times New Roman"/>
                <w:sz w:val="20"/>
                <w:szCs w:val="20"/>
              </w:rPr>
              <w:t>0.47</w:t>
            </w:r>
          </w:p>
        </w:tc>
        <w:tc>
          <w:tcPr>
            <w:tcW w:w="960" w:type="dxa"/>
            <w:tcBorders>
              <w:top w:val="nil"/>
              <w:left w:val="nil"/>
              <w:bottom w:val="single" w:sz="8" w:space="0" w:color="auto"/>
              <w:right w:val="single" w:sz="8" w:space="0" w:color="auto"/>
            </w:tcBorders>
            <w:shd w:val="clear" w:color="auto" w:fill="auto"/>
            <w:vAlign w:val="center"/>
          </w:tcPr>
          <w:p w:rsidR="005219CF" w:rsidRPr="006F4F45" w:rsidP="005219CF" w14:paraId="46178C1C" w14:textId="2A2BB4E8">
            <w:pPr>
              <w:widowControl/>
              <w:autoSpaceDE/>
              <w:autoSpaceDN/>
              <w:adjustRightInd/>
              <w:jc w:val="center"/>
              <w:rPr>
                <w:rFonts w:ascii="Times New Roman" w:hAnsi="Times New Roman"/>
                <w:sz w:val="20"/>
                <w:szCs w:val="20"/>
              </w:rPr>
            </w:pPr>
            <w:r>
              <w:rPr>
                <w:rFonts w:ascii="Times New Roman" w:hAnsi="Times New Roman"/>
                <w:sz w:val="20"/>
                <w:szCs w:val="20"/>
              </w:rPr>
              <w:t>96,917</w:t>
            </w:r>
          </w:p>
        </w:tc>
        <w:tc>
          <w:tcPr>
            <w:tcW w:w="960" w:type="dxa"/>
            <w:tcBorders>
              <w:top w:val="nil"/>
              <w:left w:val="nil"/>
              <w:bottom w:val="single" w:sz="8" w:space="0" w:color="auto"/>
              <w:right w:val="single" w:sz="8" w:space="0" w:color="auto"/>
            </w:tcBorders>
            <w:shd w:val="clear" w:color="auto" w:fill="auto"/>
            <w:vAlign w:val="center"/>
          </w:tcPr>
          <w:p w:rsidR="005219CF" w:rsidRPr="006F4F45" w:rsidP="005219CF" w14:paraId="1066D92E" w14:textId="6564F308">
            <w:pPr>
              <w:widowControl/>
              <w:autoSpaceDE/>
              <w:autoSpaceDN/>
              <w:adjustRightInd/>
              <w:jc w:val="center"/>
              <w:rPr>
                <w:rFonts w:ascii="Times New Roman" w:hAnsi="Times New Roman"/>
                <w:sz w:val="20"/>
                <w:szCs w:val="20"/>
              </w:rPr>
            </w:pPr>
            <w:r w:rsidRPr="006F4F45">
              <w:rPr>
                <w:rFonts w:ascii="Times New Roman" w:hAnsi="Times New Roman"/>
                <w:sz w:val="20"/>
                <w:szCs w:val="20"/>
              </w:rPr>
              <w:t>$39.52</w:t>
            </w:r>
          </w:p>
        </w:tc>
        <w:tc>
          <w:tcPr>
            <w:tcW w:w="1221" w:type="dxa"/>
            <w:tcBorders>
              <w:top w:val="nil"/>
              <w:left w:val="nil"/>
              <w:bottom w:val="single" w:sz="8" w:space="0" w:color="auto"/>
              <w:right w:val="single" w:sz="8" w:space="0" w:color="auto"/>
            </w:tcBorders>
            <w:shd w:val="clear" w:color="auto" w:fill="auto"/>
            <w:vAlign w:val="center"/>
          </w:tcPr>
          <w:p w:rsidR="005219CF" w:rsidRPr="006F4F45" w:rsidP="005219CF" w14:paraId="54A6665E" w14:textId="16E2CE6B">
            <w:pPr>
              <w:widowControl/>
              <w:autoSpaceDE/>
              <w:autoSpaceDN/>
              <w:adjustRightInd/>
              <w:jc w:val="center"/>
              <w:rPr>
                <w:rFonts w:ascii="Times New Roman" w:hAnsi="Times New Roman"/>
                <w:sz w:val="20"/>
                <w:szCs w:val="20"/>
              </w:rPr>
            </w:pPr>
            <w:r>
              <w:rPr>
                <w:rFonts w:ascii="Times New Roman" w:hAnsi="Times New Roman"/>
                <w:sz w:val="20"/>
                <w:szCs w:val="20"/>
              </w:rPr>
              <w:t>$3,830,160</w:t>
            </w:r>
          </w:p>
        </w:tc>
      </w:tr>
      <w:tr w14:paraId="668EF0D3" w14:textId="77777777" w:rsidTr="001815EE">
        <w:tblPrEx>
          <w:tblW w:w="10197" w:type="dxa"/>
          <w:tblInd w:w="93" w:type="dxa"/>
          <w:tblLook w:val="04A0"/>
        </w:tblPrEx>
        <w:trPr>
          <w:trHeight w:val="315"/>
        </w:trPr>
        <w:tc>
          <w:tcPr>
            <w:tcW w:w="1272" w:type="dxa"/>
            <w:tcBorders>
              <w:top w:val="nil"/>
              <w:left w:val="single" w:sz="8" w:space="0" w:color="auto"/>
              <w:bottom w:val="single" w:sz="8" w:space="0" w:color="auto"/>
              <w:right w:val="single" w:sz="8" w:space="0" w:color="auto"/>
            </w:tcBorders>
            <w:shd w:val="clear" w:color="auto" w:fill="auto"/>
            <w:vAlign w:val="center"/>
            <w:hideMark/>
          </w:tcPr>
          <w:p w:rsidR="005219CF" w:rsidRPr="00E77B24" w:rsidP="005219CF" w14:paraId="63012E93" w14:textId="6ABCA6B2">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Total</w:t>
            </w:r>
          </w:p>
        </w:tc>
        <w:tc>
          <w:tcPr>
            <w:tcW w:w="1161" w:type="dxa"/>
            <w:tcBorders>
              <w:top w:val="nil"/>
              <w:left w:val="nil"/>
              <w:bottom w:val="single" w:sz="8" w:space="0" w:color="auto"/>
              <w:right w:val="single" w:sz="8" w:space="0" w:color="auto"/>
            </w:tcBorders>
            <w:shd w:val="clear" w:color="000000" w:fill="000000"/>
            <w:vAlign w:val="center"/>
            <w:hideMark/>
          </w:tcPr>
          <w:p w:rsidR="005219CF" w:rsidRPr="00E77B24" w:rsidP="005219CF" w14:paraId="3F64B284" w14:textId="6253ED61">
            <w:pPr>
              <w:widowControl/>
              <w:autoSpaceDE/>
              <w:autoSpaceDN/>
              <w:adjustRightInd/>
              <w:jc w:val="center"/>
              <w:rPr>
                <w:rFonts w:ascii="Times New Roman" w:hAnsi="Times New Roman"/>
                <w:color w:val="000000"/>
                <w:sz w:val="20"/>
                <w:szCs w:val="20"/>
              </w:rPr>
            </w:pPr>
          </w:p>
        </w:tc>
        <w:tc>
          <w:tcPr>
            <w:tcW w:w="1239" w:type="dxa"/>
            <w:tcBorders>
              <w:top w:val="nil"/>
              <w:left w:val="nil"/>
              <w:bottom w:val="single" w:sz="8" w:space="0" w:color="auto"/>
              <w:right w:val="single" w:sz="8" w:space="0" w:color="auto"/>
            </w:tcBorders>
            <w:shd w:val="clear" w:color="000000" w:fill="000000"/>
            <w:vAlign w:val="center"/>
            <w:hideMark/>
          </w:tcPr>
          <w:p w:rsidR="005219CF" w:rsidRPr="006F4F45" w:rsidP="005219CF" w14:paraId="15214820" w14:textId="5B329A40">
            <w:pPr>
              <w:widowControl/>
              <w:autoSpaceDE/>
              <w:autoSpaceDN/>
              <w:adjustRightInd/>
              <w:jc w:val="center"/>
              <w:rPr>
                <w:rFonts w:ascii="Times New Roman" w:hAnsi="Times New Roman"/>
                <w:sz w:val="20"/>
                <w:szCs w:val="20"/>
              </w:rPr>
            </w:pPr>
          </w:p>
        </w:tc>
        <w:tc>
          <w:tcPr>
            <w:tcW w:w="1180" w:type="dxa"/>
            <w:tcBorders>
              <w:top w:val="nil"/>
              <w:left w:val="nil"/>
              <w:bottom w:val="single" w:sz="8" w:space="0" w:color="auto"/>
              <w:right w:val="single" w:sz="8" w:space="0" w:color="auto"/>
            </w:tcBorders>
            <w:shd w:val="clear" w:color="000000" w:fill="000000"/>
            <w:vAlign w:val="center"/>
            <w:hideMark/>
          </w:tcPr>
          <w:p w:rsidR="005219CF" w:rsidRPr="006F4F45" w:rsidP="005219CF" w14:paraId="38D8A2C1" w14:textId="3F546C9B">
            <w:pPr>
              <w:widowControl/>
              <w:autoSpaceDE/>
              <w:autoSpaceDN/>
              <w:adjustRightInd/>
              <w:jc w:val="center"/>
              <w:rPr>
                <w:rFonts w:ascii="Times New Roman" w:hAnsi="Times New Roman"/>
                <w:sz w:val="20"/>
                <w:szCs w:val="20"/>
              </w:rPr>
            </w:pPr>
          </w:p>
        </w:tc>
        <w:tc>
          <w:tcPr>
            <w:tcW w:w="1061" w:type="dxa"/>
            <w:tcBorders>
              <w:top w:val="nil"/>
              <w:left w:val="nil"/>
              <w:bottom w:val="single" w:sz="8" w:space="0" w:color="auto"/>
              <w:right w:val="single" w:sz="8" w:space="0" w:color="auto"/>
            </w:tcBorders>
            <w:shd w:val="clear" w:color="auto" w:fill="auto"/>
            <w:vAlign w:val="center"/>
            <w:hideMark/>
          </w:tcPr>
          <w:p w:rsidR="005219CF" w:rsidRPr="006F4F45" w:rsidP="005219CF" w14:paraId="69E8A99E" w14:textId="130A3822">
            <w:pPr>
              <w:widowControl/>
              <w:autoSpaceDE/>
              <w:autoSpaceDN/>
              <w:adjustRightInd/>
              <w:jc w:val="center"/>
              <w:rPr>
                <w:rFonts w:ascii="Times New Roman" w:hAnsi="Times New Roman"/>
                <w:sz w:val="20"/>
                <w:szCs w:val="20"/>
              </w:rPr>
            </w:pPr>
            <w:r w:rsidRPr="006F4F45">
              <w:rPr>
                <w:rFonts w:ascii="Times New Roman" w:hAnsi="Times New Roman"/>
                <w:sz w:val="20"/>
                <w:szCs w:val="20"/>
              </w:rPr>
              <w:t>815,773</w:t>
            </w:r>
          </w:p>
        </w:tc>
        <w:tc>
          <w:tcPr>
            <w:tcW w:w="1143" w:type="dxa"/>
            <w:tcBorders>
              <w:top w:val="nil"/>
              <w:left w:val="nil"/>
              <w:bottom w:val="single" w:sz="8" w:space="0" w:color="auto"/>
              <w:right w:val="single" w:sz="8" w:space="0" w:color="auto"/>
            </w:tcBorders>
            <w:shd w:val="clear" w:color="000000" w:fill="000000"/>
            <w:vAlign w:val="center"/>
            <w:hideMark/>
          </w:tcPr>
          <w:p w:rsidR="005219CF" w:rsidRPr="006F4F45" w:rsidP="005219CF" w14:paraId="1DBFF4A2" w14:textId="24D74A9B">
            <w:pPr>
              <w:widowControl/>
              <w:autoSpaceDE/>
              <w:autoSpaceDN/>
              <w:adjustRightInd/>
              <w:jc w:val="center"/>
              <w:rPr>
                <w:rFonts w:ascii="Times New Roman" w:hAnsi="Times New Roman"/>
                <w:sz w:val="20"/>
                <w:szCs w:val="20"/>
              </w:rPr>
            </w:pPr>
          </w:p>
        </w:tc>
        <w:tc>
          <w:tcPr>
            <w:tcW w:w="960" w:type="dxa"/>
            <w:tcBorders>
              <w:top w:val="nil"/>
              <w:left w:val="nil"/>
              <w:bottom w:val="single" w:sz="8" w:space="0" w:color="auto"/>
              <w:right w:val="single" w:sz="8" w:space="0" w:color="auto"/>
            </w:tcBorders>
            <w:shd w:val="clear" w:color="auto" w:fill="auto"/>
            <w:vAlign w:val="center"/>
            <w:hideMark/>
          </w:tcPr>
          <w:p w:rsidR="005219CF" w:rsidRPr="006F4F45" w:rsidP="005219CF" w14:paraId="6818A358" w14:textId="7F452013">
            <w:pPr>
              <w:widowControl/>
              <w:autoSpaceDE/>
              <w:autoSpaceDN/>
              <w:adjustRightInd/>
              <w:jc w:val="center"/>
              <w:rPr>
                <w:rFonts w:ascii="Times New Roman" w:hAnsi="Times New Roman"/>
                <w:sz w:val="20"/>
                <w:szCs w:val="20"/>
              </w:rPr>
            </w:pPr>
            <w:r>
              <w:rPr>
                <w:rFonts w:ascii="Times New Roman" w:hAnsi="Times New Roman"/>
                <w:sz w:val="20"/>
                <w:szCs w:val="20"/>
              </w:rPr>
              <w:t>450,465</w:t>
            </w:r>
          </w:p>
        </w:tc>
        <w:tc>
          <w:tcPr>
            <w:tcW w:w="960" w:type="dxa"/>
            <w:tcBorders>
              <w:top w:val="nil"/>
              <w:left w:val="nil"/>
              <w:bottom w:val="single" w:sz="8" w:space="0" w:color="auto"/>
              <w:right w:val="single" w:sz="8" w:space="0" w:color="auto"/>
            </w:tcBorders>
            <w:shd w:val="clear" w:color="000000" w:fill="000000"/>
            <w:vAlign w:val="center"/>
            <w:hideMark/>
          </w:tcPr>
          <w:p w:rsidR="005219CF" w:rsidRPr="006F4F45" w:rsidP="005219CF" w14:paraId="143F6587" w14:textId="7255DD0B">
            <w:pPr>
              <w:widowControl/>
              <w:autoSpaceDE/>
              <w:autoSpaceDN/>
              <w:adjustRightInd/>
              <w:jc w:val="center"/>
              <w:rPr>
                <w:rFonts w:ascii="Times New Roman" w:hAnsi="Times New Roman"/>
                <w:sz w:val="20"/>
                <w:szCs w:val="20"/>
              </w:rPr>
            </w:pPr>
          </w:p>
        </w:tc>
        <w:tc>
          <w:tcPr>
            <w:tcW w:w="1221" w:type="dxa"/>
            <w:tcBorders>
              <w:top w:val="nil"/>
              <w:left w:val="nil"/>
              <w:bottom w:val="single" w:sz="8" w:space="0" w:color="auto"/>
              <w:right w:val="single" w:sz="8" w:space="0" w:color="auto"/>
            </w:tcBorders>
            <w:shd w:val="clear" w:color="auto" w:fill="auto"/>
            <w:vAlign w:val="center"/>
            <w:hideMark/>
          </w:tcPr>
          <w:p w:rsidR="005219CF" w:rsidRPr="006F4F45" w:rsidP="005219CF" w14:paraId="5F269780" w14:textId="6BD43451">
            <w:pPr>
              <w:widowControl/>
              <w:autoSpaceDE/>
              <w:autoSpaceDN/>
              <w:adjustRightInd/>
              <w:jc w:val="center"/>
              <w:rPr>
                <w:rFonts w:ascii="Times New Roman" w:hAnsi="Times New Roman"/>
                <w:sz w:val="20"/>
                <w:szCs w:val="20"/>
              </w:rPr>
            </w:pPr>
            <w:r w:rsidRPr="006F4F45">
              <w:rPr>
                <w:rFonts w:ascii="Times New Roman" w:hAnsi="Times New Roman"/>
                <w:sz w:val="20"/>
                <w:szCs w:val="20"/>
              </w:rPr>
              <w:t>$</w:t>
            </w:r>
            <w:r w:rsidR="001815EE">
              <w:rPr>
                <w:rFonts w:ascii="Times New Roman" w:hAnsi="Times New Roman"/>
                <w:sz w:val="20"/>
                <w:szCs w:val="20"/>
              </w:rPr>
              <w:t>17,802,377</w:t>
            </w:r>
          </w:p>
        </w:tc>
      </w:tr>
    </w:tbl>
    <w:p w:rsidR="009556EE" w:rsidP="00B635A9" w14:paraId="3447BB81" w14:textId="77777777">
      <w:pPr>
        <w:ind w:left="720"/>
        <w:jc w:val="both"/>
        <w:rPr>
          <w:i/>
          <w:iCs/>
          <w:sz w:val="20"/>
          <w:szCs w:val="20"/>
        </w:rPr>
      </w:pPr>
    </w:p>
    <w:p w:rsidR="00B635A9" w:rsidRPr="00524E9E" w:rsidP="00B635A9" w14:paraId="3EF108CC" w14:textId="7C93A6E7">
      <w:pPr>
        <w:ind w:left="720"/>
        <w:jc w:val="both"/>
        <w:rPr>
          <w:sz w:val="20"/>
          <w:szCs w:val="20"/>
          <w:u w:val="single"/>
        </w:rPr>
      </w:pPr>
      <w:bookmarkStart w:id="0" w:name="_Hlk39049463"/>
      <w:r w:rsidRPr="00215244">
        <w:rPr>
          <w:i/>
          <w:iCs/>
          <w:sz w:val="20"/>
          <w:szCs w:val="20"/>
        </w:rPr>
        <w:t xml:space="preserve">*  </w:t>
      </w:r>
      <w:r w:rsidRPr="00215244">
        <w:rPr>
          <w:rFonts w:ascii="Times New Roman" w:hAnsi="Times New Roman"/>
          <w:i/>
          <w:iCs/>
          <w:sz w:val="20"/>
          <w:szCs w:val="20"/>
        </w:rPr>
        <w:t xml:space="preserve">The above Average Hourly Wage Rate is the </w:t>
      </w:r>
      <w:hyperlink r:id="rId7" w:history="1">
        <w:r w:rsidR="00C425CE">
          <w:rPr>
            <w:rStyle w:val="Hyperlink"/>
            <w:rFonts w:ascii="Times New Roman" w:hAnsi="Times New Roman"/>
            <w:i/>
            <w:iCs/>
            <w:sz w:val="20"/>
            <w:szCs w:val="20"/>
          </w:rPr>
          <w:t>May 2020 Bureau of Labor Statistics</w:t>
        </w:r>
      </w:hyperlink>
      <w:r w:rsidRPr="00215244">
        <w:rPr>
          <w:rFonts w:ascii="Times New Roman" w:hAnsi="Times New Roman"/>
          <w:i/>
          <w:iCs/>
          <w:sz w:val="20"/>
          <w:szCs w:val="20"/>
        </w:rPr>
        <w:t xml:space="preserve"> average wage for </w:t>
      </w:r>
      <w:r w:rsidRPr="00524E9E" w:rsidR="00847763">
        <w:rPr>
          <w:rFonts w:ascii="Times New Roman" w:hAnsi="Times New Roman"/>
          <w:i/>
          <w:iCs/>
          <w:sz w:val="20"/>
          <w:szCs w:val="20"/>
        </w:rPr>
        <w:t>All Occupation</w:t>
      </w:r>
      <w:r w:rsidR="00524E9E">
        <w:rPr>
          <w:rFonts w:ascii="Times New Roman" w:hAnsi="Times New Roman"/>
          <w:i/>
          <w:iCs/>
          <w:sz w:val="20"/>
          <w:szCs w:val="20"/>
        </w:rPr>
        <w:t>s</w:t>
      </w:r>
      <w:r w:rsidRPr="00524E9E">
        <w:rPr>
          <w:rFonts w:ascii="Times New Roman" w:hAnsi="Times New Roman"/>
          <w:i/>
          <w:iCs/>
          <w:sz w:val="20"/>
          <w:szCs w:val="20"/>
        </w:rPr>
        <w:t xml:space="preserve"> of $</w:t>
      </w:r>
      <w:r w:rsidRPr="00524E9E" w:rsidR="00F424E7">
        <w:rPr>
          <w:rFonts w:ascii="Times New Roman" w:hAnsi="Times New Roman"/>
          <w:i/>
          <w:iCs/>
          <w:sz w:val="20"/>
          <w:szCs w:val="20"/>
        </w:rPr>
        <w:t>2</w:t>
      </w:r>
      <w:r w:rsidRPr="00524E9E" w:rsidR="00C425CE">
        <w:rPr>
          <w:rFonts w:ascii="Times New Roman" w:hAnsi="Times New Roman"/>
          <w:i/>
          <w:iCs/>
          <w:sz w:val="20"/>
          <w:szCs w:val="20"/>
        </w:rPr>
        <w:t>7.07</w:t>
      </w:r>
      <w:r w:rsidRPr="00524E9E" w:rsidR="00847763">
        <w:rPr>
          <w:rFonts w:ascii="Times New Roman" w:hAnsi="Times New Roman"/>
          <w:i/>
          <w:iCs/>
          <w:sz w:val="20"/>
          <w:szCs w:val="20"/>
        </w:rPr>
        <w:t xml:space="preserve"> </w:t>
      </w:r>
      <w:r w:rsidRPr="00524E9E">
        <w:rPr>
          <w:rFonts w:ascii="Times New Roman" w:hAnsi="Times New Roman"/>
          <w:i/>
          <w:iCs/>
          <w:sz w:val="20"/>
          <w:szCs w:val="20"/>
        </w:rPr>
        <w:t>times the wage rate benefit multiplier of 1.4</w:t>
      </w:r>
      <w:r w:rsidRPr="00524E9E" w:rsidR="00F424E7">
        <w:rPr>
          <w:rFonts w:ascii="Times New Roman" w:hAnsi="Times New Roman"/>
          <w:i/>
          <w:iCs/>
          <w:sz w:val="20"/>
          <w:szCs w:val="20"/>
        </w:rPr>
        <w:t>6</w:t>
      </w:r>
      <w:r w:rsidRPr="00524E9E">
        <w:rPr>
          <w:rFonts w:ascii="Times New Roman" w:hAnsi="Times New Roman"/>
          <w:i/>
          <w:iCs/>
          <w:sz w:val="20"/>
          <w:szCs w:val="20"/>
        </w:rPr>
        <w:t xml:space="preserve"> (to account for benefits</w:t>
      </w:r>
      <w:r w:rsidRPr="00524E9E" w:rsidR="00B31EBB">
        <w:rPr>
          <w:rFonts w:ascii="Times New Roman" w:hAnsi="Times New Roman"/>
          <w:i/>
          <w:iCs/>
          <w:sz w:val="20"/>
          <w:szCs w:val="20"/>
        </w:rPr>
        <w:t xml:space="preserve"> provided</w:t>
      </w:r>
      <w:r w:rsidRPr="00524E9E">
        <w:rPr>
          <w:rFonts w:ascii="Times New Roman" w:hAnsi="Times New Roman"/>
          <w:i/>
          <w:iCs/>
          <w:sz w:val="20"/>
          <w:szCs w:val="20"/>
        </w:rPr>
        <w:t>) equaling $</w:t>
      </w:r>
      <w:r w:rsidRPr="00524E9E" w:rsidR="00F424E7">
        <w:rPr>
          <w:rFonts w:ascii="Times New Roman" w:hAnsi="Times New Roman"/>
          <w:i/>
          <w:iCs/>
          <w:sz w:val="20"/>
          <w:szCs w:val="20"/>
        </w:rPr>
        <w:t>3</w:t>
      </w:r>
      <w:r w:rsidRPr="00524E9E" w:rsidR="00C425CE">
        <w:rPr>
          <w:rFonts w:ascii="Times New Roman" w:hAnsi="Times New Roman"/>
          <w:i/>
          <w:iCs/>
          <w:sz w:val="20"/>
          <w:szCs w:val="20"/>
        </w:rPr>
        <w:t>9.52</w:t>
      </w:r>
      <w:r w:rsidRPr="00524E9E" w:rsidR="008A42B6">
        <w:rPr>
          <w:rFonts w:ascii="Times New Roman" w:hAnsi="Times New Roman"/>
          <w:i/>
          <w:iCs/>
          <w:sz w:val="20"/>
          <w:szCs w:val="20"/>
        </w:rPr>
        <w:t xml:space="preserve">. </w:t>
      </w:r>
      <w:r w:rsidRPr="00524E9E">
        <w:rPr>
          <w:rFonts w:ascii="Times New Roman" w:hAnsi="Times New Roman"/>
          <w:i/>
          <w:iCs/>
          <w:sz w:val="20"/>
          <w:szCs w:val="20"/>
        </w:rPr>
        <w:t xml:space="preserve">The selection of “All Occupations” was chosen </w:t>
      </w:r>
      <w:r w:rsidRPr="00524E9E" w:rsidR="00ED4E0C">
        <w:rPr>
          <w:rFonts w:ascii="Times New Roman" w:hAnsi="Times New Roman"/>
          <w:i/>
          <w:iCs/>
          <w:sz w:val="20"/>
          <w:szCs w:val="20"/>
        </w:rPr>
        <w:t>because</w:t>
      </w:r>
      <w:r w:rsidRPr="00524E9E">
        <w:rPr>
          <w:rFonts w:ascii="Times New Roman" w:hAnsi="Times New Roman"/>
          <w:i/>
          <w:iCs/>
          <w:sz w:val="20"/>
          <w:szCs w:val="20"/>
        </w:rPr>
        <w:t xml:space="preserve"> respondents </w:t>
      </w:r>
      <w:r w:rsidRPr="00524E9E" w:rsidR="00ED4E0C">
        <w:rPr>
          <w:rFonts w:ascii="Times New Roman" w:hAnsi="Times New Roman"/>
          <w:i/>
          <w:iCs/>
          <w:sz w:val="20"/>
          <w:szCs w:val="20"/>
        </w:rPr>
        <w:t>to</w:t>
      </w:r>
      <w:r w:rsidRPr="00524E9E">
        <w:rPr>
          <w:rFonts w:ascii="Times New Roman" w:hAnsi="Times New Roman"/>
          <w:i/>
          <w:iCs/>
          <w:sz w:val="20"/>
          <w:szCs w:val="20"/>
        </w:rPr>
        <w:t xml:space="preserve"> this collection could be exp</w:t>
      </w:r>
      <w:r w:rsidRPr="00524E9E" w:rsidR="00E15619">
        <w:rPr>
          <w:rFonts w:ascii="Times New Roman" w:hAnsi="Times New Roman"/>
          <w:i/>
          <w:iCs/>
          <w:sz w:val="20"/>
          <w:szCs w:val="20"/>
        </w:rPr>
        <w:t>ected from any occupation.</w:t>
      </w:r>
    </w:p>
    <w:bookmarkEnd w:id="0"/>
    <w:p w:rsidR="00080CE0" w:rsidRPr="00524E9E" w:rsidP="006049A7" w14:paraId="3FEB5825" w14:textId="77777777">
      <w:pPr>
        <w:tabs>
          <w:tab w:val="left" w:pos="-1440"/>
        </w:tabs>
        <w:ind w:left="720" w:hanging="720"/>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 xml:space="preserve">The estimates should </w:t>
      </w:r>
      <w:r w:rsidRPr="008A4764">
        <w:rPr>
          <w:rFonts w:ascii="Times New Roman" w:hAnsi="Times New Roman"/>
          <w:b/>
        </w:rPr>
        <w:t>take into account</w:t>
      </w:r>
      <w:r w:rsidRPr="008A4764">
        <w:rPr>
          <w:rFonts w:ascii="Times New Roman" w:hAnsi="Times New Roman"/>
          <w:b/>
        </w:rPr>
        <w:t xml:space="preserve">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xml:space="preserve">, expected useful life of capital equipment, the discount rate(s), and the </w:t>
      </w:r>
      <w:r w:rsidRPr="0029577A">
        <w:rPr>
          <w:rFonts w:ascii="Times New Roman" w:hAnsi="Times New Roman"/>
          <w:b/>
        </w:rPr>
        <w:t>time peri</w:t>
      </w:r>
      <w:r w:rsidRPr="005B6129">
        <w:rPr>
          <w:rFonts w:ascii="Times New Roman" w:hAnsi="Times New Roman"/>
          <w:b/>
        </w:rPr>
        <w:t>od</w:t>
      </w:r>
      <w:r w:rsidRPr="005B6129">
        <w:rPr>
          <w:rFonts w:ascii="Times New Roman" w:hAnsi="Times New Roman"/>
          <w:b/>
        </w:rPr>
        <w:t xml:space="preserve">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 xml:space="preserve">are; monitoring, sampling, </w:t>
      </w:r>
      <w:r w:rsidRPr="00D80E94">
        <w:rPr>
          <w:rFonts w:ascii="Times New Roman" w:hAnsi="Times New Roman"/>
          <w:b/>
        </w:rPr>
        <w:t>drilling</w:t>
      </w:r>
      <w:r w:rsidRPr="00D80E94">
        <w:rPr>
          <w:rFonts w:ascii="Times New Roman" w:hAnsi="Times New Roman"/>
          <w:b/>
        </w:rPr>
        <w:t xml:space="preserve">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 xml:space="preserve">In developing cost burden estimates, agencies may consult with a sample of respondents (fewer than 10), utilize the 60-day pre-OMB submission public comment </w:t>
      </w:r>
      <w:r w:rsidRPr="00914A5D">
        <w:rPr>
          <w:rFonts w:ascii="Times New Roman" w:hAnsi="Times New Roman"/>
          <w:b/>
        </w:rPr>
        <w:t>process</w:t>
      </w:r>
      <w:r w:rsidRPr="00914A5D">
        <w:rPr>
          <w:rFonts w:ascii="Times New Roman" w:hAnsi="Times New Roman"/>
          <w:b/>
        </w:rPr>
        <w:t xml:space="preserve"> and use existing economic or regulatory impact analysis </w:t>
      </w:r>
      <w:r w:rsidRPr="00914A5D">
        <w:rPr>
          <w:rFonts w:ascii="Times New Roman" w:hAnsi="Times New Roman"/>
          <w:b/>
        </w:rPr>
        <w:t>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w:t>
      </w:r>
      <w:r w:rsidRPr="00B1471A">
        <w:rPr>
          <w:rFonts w:ascii="Times New Roman" w:hAnsi="Times New Roman"/>
          <w:b/>
        </w:rPr>
        <w:t>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524E9E" w:rsidP="00524E9E" w14:paraId="7537EF26" w14:textId="26D3032A">
      <w:pPr>
        <w:tabs>
          <w:tab w:val="left" w:pos="-1440"/>
        </w:tabs>
        <w:ind w:left="720"/>
        <w:rPr>
          <w:rFonts w:ascii="Times New Roman" w:hAnsi="Times New Roman"/>
        </w:rPr>
      </w:pPr>
      <w:r>
        <w:rPr>
          <w:rFonts w:ascii="Times New Roman" w:hAnsi="Times New Roman"/>
        </w:rPr>
        <w:t xml:space="preserve">There </w:t>
      </w:r>
      <w:r>
        <w:rPr>
          <w:rFonts w:ascii="Times New Roman" w:hAnsi="Times New Roman"/>
        </w:rPr>
        <w:t>are</w:t>
      </w:r>
      <w:r>
        <w:rPr>
          <w:rFonts w:ascii="Times New Roman" w:hAnsi="Times New Roman"/>
        </w:rPr>
        <w:t xml:space="preserve"> no capital, start-up, operational or maintenance costs associated with this collection of information. For informational purposes only, the filing fee for Form I-907 </w:t>
      </w:r>
      <w:r w:rsidR="004360BC">
        <w:rPr>
          <w:rFonts w:ascii="Times New Roman" w:hAnsi="Times New Roman"/>
        </w:rPr>
        <w:t>depends on the Form type and eligibility category for which premium processing service is being requested.</w:t>
      </w:r>
    </w:p>
    <w:p w:rsidR="004360BC" w:rsidP="00524E9E" w14:paraId="082D343C" w14:textId="77777777">
      <w:pPr>
        <w:tabs>
          <w:tab w:val="left" w:pos="-1440"/>
        </w:tabs>
        <w:ind w:left="720"/>
        <w:rPr>
          <w:rFonts w:ascii="Times New Roman" w:hAnsi="Times New Roman"/>
        </w:rPr>
      </w:pPr>
    </w:p>
    <w:p w:rsidR="00524E9E" w:rsidRPr="004360BC" w:rsidP="00524E9E" w14:paraId="7DDE8228" w14:textId="0B690EE0">
      <w:pPr>
        <w:tabs>
          <w:tab w:val="left" w:pos="-1440"/>
        </w:tabs>
        <w:ind w:left="720"/>
        <w:rPr>
          <w:rFonts w:ascii="Times New Roman" w:hAnsi="Times New Roman"/>
        </w:rPr>
      </w:pPr>
      <w:r>
        <w:rPr>
          <w:rFonts w:ascii="Times New Roman" w:hAnsi="Times New Roman"/>
        </w:rPr>
        <w:t xml:space="preserve">USCIS estimates that respondents will incur an estimated cost of $3.75 average postage cost to each respondent to submit the completed package to USCIS. The postage cost to mail a completed package </w:t>
      </w:r>
      <w:r w:rsidR="004360BC">
        <w:rPr>
          <w:rFonts w:ascii="Times New Roman" w:hAnsi="Times New Roman"/>
        </w:rPr>
        <w:t xml:space="preserve">is calculated as: </w:t>
      </w:r>
      <w:r>
        <w:rPr>
          <w:rFonts w:ascii="Times New Roman" w:hAnsi="Times New Roman"/>
        </w:rPr>
        <w:t>(</w:t>
      </w:r>
      <w:r w:rsidR="004360BC">
        <w:rPr>
          <w:rFonts w:ascii="Times New Roman" w:hAnsi="Times New Roman"/>
        </w:rPr>
        <w:t>815,773</w:t>
      </w:r>
      <w:r>
        <w:rPr>
          <w:rFonts w:ascii="Times New Roman" w:hAnsi="Times New Roman"/>
        </w:rPr>
        <w:t xml:space="preserve"> x $3.75 average postag</w:t>
      </w:r>
      <w:r w:rsidRPr="004360BC">
        <w:rPr>
          <w:rFonts w:ascii="Times New Roman" w:hAnsi="Times New Roman"/>
        </w:rPr>
        <w:t xml:space="preserve">e) = </w:t>
      </w:r>
      <w:r w:rsidRPr="004360BC" w:rsidR="004360BC">
        <w:rPr>
          <w:rFonts w:ascii="Times New Roman" w:hAnsi="Times New Roman"/>
        </w:rPr>
        <w:t>$3,059,149.</w:t>
      </w:r>
      <w:r w:rsidRPr="004360BC">
        <w:rPr>
          <w:rFonts w:ascii="Times New Roman" w:hAnsi="Times New Roman"/>
        </w:rPr>
        <w:t xml:space="preserve">   </w:t>
      </w:r>
    </w:p>
    <w:p w:rsidR="00524E9E" w:rsidP="00524E9E" w14:paraId="5C343463" w14:textId="77777777">
      <w:pPr>
        <w:tabs>
          <w:tab w:val="left" w:pos="-1440"/>
        </w:tabs>
        <w:ind w:left="720"/>
        <w:rPr>
          <w:rFonts w:ascii="Times New Roman" w:hAnsi="Times New Roman"/>
        </w:rPr>
      </w:pPr>
      <w:r>
        <w:rPr>
          <w:rFonts w:ascii="Times New Roman" w:hAnsi="Times New Roman"/>
        </w:rPr>
        <w:tab/>
        <w:t xml:space="preserve"> </w:t>
      </w:r>
    </w:p>
    <w:p w:rsidR="00524E9E" w:rsidP="00524E9E" w14:paraId="59CA9D8B" w14:textId="7A252115">
      <w:pPr>
        <w:tabs>
          <w:tab w:val="left" w:pos="-1440"/>
        </w:tabs>
        <w:ind w:left="720"/>
        <w:rPr>
          <w:rFonts w:ascii="Times New Roman" w:hAnsi="Times New Roman"/>
        </w:rPr>
      </w:pPr>
      <w:r>
        <w:rPr>
          <w:rFonts w:ascii="Times New Roman" w:hAnsi="Times New Roman"/>
        </w:rPr>
        <w:t xml:space="preserve">This information collection may impose some out-of-pocket costs on respondents in addition to the time burden for the form’s preparation. Costs may include payments for document translation and preparation services, attorney and legal fees, postage, and costs associated with gathering documentation. USCIS estimates the average cost of this information collection may vary widely, from as little as $20 to $1,000 per respondent.  USCIS estimates that the average cost for these activities is $490 and that approximately 50 percent of the total respondent population may incur this cost. The estimated out of pocket cost to respondents is </w:t>
      </w:r>
      <w:r w:rsidR="004360BC">
        <w:rPr>
          <w:rFonts w:ascii="Times New Roman" w:hAnsi="Times New Roman"/>
        </w:rPr>
        <w:t>815,773</w:t>
      </w:r>
      <w:r>
        <w:rPr>
          <w:rFonts w:ascii="Times New Roman" w:hAnsi="Times New Roman"/>
        </w:rPr>
        <w:t xml:space="preserve"> respondents multiplied by 50 percent of the </w:t>
      </w:r>
      <w:r w:rsidR="004360BC">
        <w:rPr>
          <w:rFonts w:ascii="Times New Roman" w:hAnsi="Times New Roman"/>
        </w:rPr>
        <w:t xml:space="preserve">respondent </w:t>
      </w:r>
      <w:r>
        <w:rPr>
          <w:rFonts w:ascii="Times New Roman" w:hAnsi="Times New Roman"/>
        </w:rPr>
        <w:t xml:space="preserve">population multiplied by the average cost per response of $490, which equals </w:t>
      </w:r>
      <w:r w:rsidRPr="004360BC" w:rsidR="004360BC">
        <w:rPr>
          <w:rFonts w:ascii="Times New Roman" w:hAnsi="Times New Roman"/>
        </w:rPr>
        <w:t>$199,864,385</w:t>
      </w:r>
      <w:r>
        <w:rPr>
          <w:rFonts w:ascii="Times New Roman" w:hAnsi="Times New Roman"/>
        </w:rPr>
        <w:t>.</w:t>
      </w:r>
    </w:p>
    <w:p w:rsidR="00524E9E" w:rsidP="00524E9E" w14:paraId="4D0AC6B2" w14:textId="77777777">
      <w:pPr>
        <w:tabs>
          <w:tab w:val="left" w:pos="-1440"/>
        </w:tabs>
        <w:ind w:left="720"/>
        <w:rPr>
          <w:rFonts w:ascii="Times New Roman" w:hAnsi="Times New Roman"/>
        </w:rPr>
      </w:pPr>
    </w:p>
    <w:p w:rsidR="00524E9E" w:rsidRPr="004360BC" w:rsidP="00524E9E" w14:paraId="31757567" w14:textId="78656B15">
      <w:pPr>
        <w:tabs>
          <w:tab w:val="left" w:pos="-1440"/>
        </w:tabs>
        <w:ind w:left="720"/>
        <w:rPr>
          <w:rFonts w:ascii="Times New Roman" w:hAnsi="Times New Roman"/>
        </w:rPr>
      </w:pPr>
      <w:r>
        <w:rPr>
          <w:rFonts w:ascii="Times New Roman" w:hAnsi="Times New Roman"/>
        </w:rPr>
        <w:t>The total cost to the respondent</w:t>
      </w:r>
      <w:r w:rsidR="004360BC">
        <w:rPr>
          <w:rFonts w:ascii="Times New Roman" w:hAnsi="Times New Roman"/>
        </w:rPr>
        <w:t xml:space="preserve"> population</w:t>
      </w:r>
      <w:r>
        <w:rPr>
          <w:rFonts w:ascii="Times New Roman" w:hAnsi="Times New Roman"/>
        </w:rPr>
        <w:t xml:space="preserve"> is the postage cost (</w:t>
      </w:r>
      <w:r w:rsidRPr="004360BC" w:rsidR="004360BC">
        <w:rPr>
          <w:rFonts w:ascii="Times New Roman" w:hAnsi="Times New Roman"/>
        </w:rPr>
        <w:t>$3,059,149</w:t>
      </w:r>
      <w:r>
        <w:rPr>
          <w:rFonts w:ascii="Times New Roman" w:hAnsi="Times New Roman"/>
        </w:rPr>
        <w:t xml:space="preserve">) </w:t>
      </w:r>
      <w:r w:rsidR="004360BC">
        <w:rPr>
          <w:rFonts w:ascii="Times New Roman" w:hAnsi="Times New Roman"/>
        </w:rPr>
        <w:t xml:space="preserve">added to </w:t>
      </w:r>
      <w:r>
        <w:rPr>
          <w:rFonts w:ascii="Times New Roman" w:hAnsi="Times New Roman"/>
        </w:rPr>
        <w:t>the other out-of-pocket costs (</w:t>
      </w:r>
      <w:r w:rsidRPr="004360BC" w:rsidR="004360BC">
        <w:rPr>
          <w:rFonts w:ascii="Times New Roman" w:hAnsi="Times New Roman"/>
        </w:rPr>
        <w:t>$199,864,385</w:t>
      </w:r>
      <w:r>
        <w:rPr>
          <w:rFonts w:ascii="Times New Roman" w:hAnsi="Times New Roman"/>
        </w:rPr>
        <w:t>)</w:t>
      </w:r>
      <w:r w:rsidR="004360BC">
        <w:rPr>
          <w:rFonts w:ascii="Times New Roman" w:hAnsi="Times New Roman"/>
        </w:rPr>
        <w:t>, which equals</w:t>
      </w:r>
      <w:r>
        <w:rPr>
          <w:rFonts w:ascii="Times New Roman" w:hAnsi="Times New Roman"/>
        </w:rPr>
        <w:t xml:space="preserve"> </w:t>
      </w:r>
      <w:r w:rsidRPr="004360BC" w:rsidR="004360BC">
        <w:rPr>
          <w:rFonts w:ascii="Times New Roman" w:hAnsi="Times New Roman"/>
          <w:b/>
        </w:rPr>
        <w:t>$202,923,534</w:t>
      </w:r>
      <w:r>
        <w:rPr>
          <w:rFonts w:ascii="Times New Roman" w:hAnsi="Times New Roman"/>
        </w:rPr>
        <w:t>.</w:t>
      </w:r>
      <w:r w:rsidR="004360BC">
        <w:rPr>
          <w:rFonts w:ascii="Times New Roman" w:hAnsi="Times New Roman"/>
        </w:rPr>
        <w:t xml:space="preserve"> The average cost per respondent is $249.</w:t>
      </w:r>
    </w:p>
    <w:p w:rsidR="00B27061" w:rsidRPr="00AF45F2" w:rsidP="00914A5D" w14:paraId="183BDF63" w14:textId="77777777">
      <w:pPr>
        <w:ind w:left="1440" w:hanging="720"/>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524E9E" w:rsidP="00524E9E" w14:paraId="7535C93B" w14:textId="77777777">
      <w:pPr>
        <w:tabs>
          <w:tab w:val="left" w:pos="-1440"/>
        </w:tabs>
        <w:ind w:left="720"/>
        <w:rPr>
          <w:rFonts w:ascii="Times New Roman" w:hAnsi="Times New Roman"/>
        </w:rPr>
      </w:pPr>
      <w:r>
        <w:rPr>
          <w:rFonts w:ascii="Times New Roman" w:hAnsi="Times New Roman"/>
        </w:rPr>
        <w:t xml:space="preserve">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suggested average hourly </w:t>
      </w:r>
      <w:r>
        <w:rPr>
          <w:rFonts w:ascii="Times New Roman" w:hAnsi="Times New Roman"/>
        </w:rPr>
        <w:t xml:space="preserve">rate for clerical, officer, and managerial time with benefits) and immigration benefits provided for free. USCIS uses the fee associated with an information collection as a reasonable measure of the collection’s costs to USCIS, since these fees are based on resource expenditures related to the benefit in question. In addition, this figure includes the estimated overhead cost for printing, stocking, </w:t>
      </w:r>
      <w:r>
        <w:rPr>
          <w:rFonts w:ascii="Times New Roman" w:hAnsi="Times New Roman"/>
        </w:rPr>
        <w:t>distributing</w:t>
      </w:r>
      <w:r>
        <w:rPr>
          <w:rFonts w:ascii="Times New Roman" w:hAnsi="Times New Roman"/>
        </w:rPr>
        <w:t xml:space="preserve"> and processing of this form.</w:t>
      </w:r>
    </w:p>
    <w:p w:rsidR="00524E9E" w:rsidP="00524E9E" w14:paraId="2B75CEC7" w14:textId="77777777">
      <w:pPr>
        <w:tabs>
          <w:tab w:val="left" w:pos="-1440"/>
        </w:tabs>
        <w:ind w:left="720"/>
        <w:rPr>
          <w:rFonts w:ascii="Times New Roman" w:hAnsi="Times New Roman"/>
        </w:rPr>
      </w:pPr>
    </w:p>
    <w:p w:rsidR="001E6948" w:rsidP="00524E9E" w14:paraId="77CE3579" w14:textId="7F67DF21">
      <w:pPr>
        <w:tabs>
          <w:tab w:val="left" w:pos="-1440"/>
        </w:tabs>
        <w:ind w:left="720"/>
        <w:rPr>
          <w:rFonts w:ascii="Times New Roman" w:hAnsi="Times New Roman"/>
        </w:rPr>
      </w:pPr>
      <w:r>
        <w:rPr>
          <w:rFonts w:ascii="Times New Roman" w:hAnsi="Times New Roman"/>
        </w:rPr>
        <w:t xml:space="preserve">The estimated cost of the program to the Government is calculated by multiplying the estimated number of respondents by the filing fee. The filing fee for Form I-907 varies depending on the Form type and, in some cases, on the eligibility category for which premium processing is being requested. The total cost to the Federal government is </w:t>
      </w:r>
      <w:r w:rsidRPr="00BB1D8D" w:rsidR="000A4783">
        <w:rPr>
          <w:rFonts w:ascii="Times New Roman" w:hAnsi="Times New Roman"/>
          <w:b/>
          <w:bCs/>
          <w:color w:val="000000"/>
        </w:rPr>
        <w:t>$1,836,219,945</w:t>
      </w:r>
      <w:r>
        <w:rPr>
          <w:rFonts w:ascii="Times New Roman" w:hAnsi="Times New Roman"/>
          <w:color w:val="000000"/>
        </w:rPr>
        <w:t>, as detailed in the following table:</w:t>
      </w:r>
    </w:p>
    <w:p w:rsidR="001E6948" w:rsidP="00524E9E" w14:paraId="58EF507B" w14:textId="77777777">
      <w:pPr>
        <w:tabs>
          <w:tab w:val="left" w:pos="-1440"/>
        </w:tabs>
        <w:ind w:left="720"/>
        <w:rPr>
          <w:rFonts w:ascii="Times New Roman" w:hAnsi="Times New Roman"/>
        </w:rPr>
      </w:pPr>
    </w:p>
    <w:tbl>
      <w:tblPr>
        <w:tblW w:w="7980" w:type="dxa"/>
        <w:tblInd w:w="692" w:type="dxa"/>
        <w:tblLook w:val="04A0"/>
      </w:tblPr>
      <w:tblGrid>
        <w:gridCol w:w="2220"/>
        <w:gridCol w:w="1680"/>
        <w:gridCol w:w="1960"/>
        <w:gridCol w:w="2120"/>
      </w:tblGrid>
      <w:tr w14:paraId="0812809C" w14:textId="77777777" w:rsidTr="001E6948">
        <w:tblPrEx>
          <w:tblW w:w="7980" w:type="dxa"/>
          <w:tblInd w:w="692" w:type="dxa"/>
          <w:tblLook w:val="04A0"/>
        </w:tblPrEx>
        <w:trPr>
          <w:trHeight w:val="563"/>
        </w:trPr>
        <w:tc>
          <w:tcPr>
            <w:tcW w:w="2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6948" w:rsidP="001E6948" w14:paraId="0D18DE3B"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Form Type/</w:t>
            </w:r>
          </w:p>
          <w:p w:rsidR="001E6948" w:rsidRPr="001E6948" w:rsidP="001E6948" w14:paraId="7335CA1E" w14:textId="767F4F79">
            <w:pPr>
              <w:widowControl/>
              <w:autoSpaceDE/>
              <w:autoSpaceDN/>
              <w:adjustRightInd/>
              <w:jc w:val="center"/>
              <w:rPr>
                <w:rFonts w:ascii="Times New Roman" w:hAnsi="Times New Roman"/>
                <w:b/>
                <w:bCs/>
                <w:color w:val="000000"/>
              </w:rPr>
            </w:pPr>
            <w:r>
              <w:rPr>
                <w:rFonts w:ascii="Times New Roman" w:hAnsi="Times New Roman"/>
                <w:b/>
                <w:bCs/>
                <w:color w:val="000000"/>
              </w:rPr>
              <w:t>Eligibility Category</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6948" w:rsidRPr="001E6948" w:rsidP="001E6948" w14:paraId="7197C706" w14:textId="77777777">
            <w:pPr>
              <w:widowControl/>
              <w:autoSpaceDE/>
              <w:autoSpaceDN/>
              <w:adjustRightInd/>
              <w:jc w:val="center"/>
              <w:rPr>
                <w:rFonts w:ascii="Times New Roman" w:hAnsi="Times New Roman"/>
                <w:b/>
                <w:bCs/>
                <w:color w:val="000000"/>
              </w:rPr>
            </w:pPr>
            <w:r w:rsidRPr="001E6948">
              <w:rPr>
                <w:rFonts w:ascii="Times New Roman" w:hAnsi="Times New Roman"/>
                <w:b/>
                <w:bCs/>
                <w:color w:val="000000"/>
              </w:rPr>
              <w:t>Respondents</w:t>
            </w:r>
          </w:p>
        </w:tc>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6948" w:rsidRPr="001E6948" w:rsidP="001E6948" w14:paraId="66BB2132" w14:textId="2BF17E79">
            <w:pPr>
              <w:widowControl/>
              <w:autoSpaceDE/>
              <w:autoSpaceDN/>
              <w:adjustRightInd/>
              <w:jc w:val="center"/>
              <w:rPr>
                <w:rFonts w:ascii="Times New Roman" w:hAnsi="Times New Roman"/>
                <w:b/>
                <w:bCs/>
                <w:color w:val="000000"/>
              </w:rPr>
            </w:pPr>
            <w:r>
              <w:rPr>
                <w:rFonts w:ascii="Times New Roman" w:hAnsi="Times New Roman"/>
                <w:b/>
                <w:bCs/>
                <w:color w:val="000000"/>
              </w:rPr>
              <w:t>Filing Fee</w:t>
            </w:r>
          </w:p>
        </w:tc>
        <w:tc>
          <w:tcPr>
            <w:tcW w:w="2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6948" w:rsidRPr="001E6948" w:rsidP="001E6948" w14:paraId="68FB344E" w14:textId="1A8BC45B">
            <w:pPr>
              <w:widowControl/>
              <w:autoSpaceDE/>
              <w:autoSpaceDN/>
              <w:adjustRightInd/>
              <w:jc w:val="center"/>
              <w:rPr>
                <w:rFonts w:ascii="Times New Roman" w:hAnsi="Times New Roman"/>
                <w:b/>
                <w:bCs/>
                <w:color w:val="000000"/>
              </w:rPr>
            </w:pPr>
            <w:r w:rsidRPr="001E6948">
              <w:rPr>
                <w:rFonts w:ascii="Times New Roman" w:hAnsi="Times New Roman"/>
                <w:b/>
                <w:bCs/>
                <w:color w:val="000000"/>
              </w:rPr>
              <w:t>Total</w:t>
            </w:r>
          </w:p>
        </w:tc>
      </w:tr>
      <w:tr w14:paraId="4E78E082" w14:textId="77777777" w:rsidTr="00684894">
        <w:tblPrEx>
          <w:tblW w:w="7980" w:type="dxa"/>
          <w:tblInd w:w="692" w:type="dxa"/>
          <w:tblLook w:val="04A0"/>
        </w:tblPrEx>
        <w:trPr>
          <w:trHeight w:val="310"/>
        </w:trPr>
        <w:tc>
          <w:tcPr>
            <w:tcW w:w="2220" w:type="dxa"/>
            <w:tcBorders>
              <w:top w:val="nil"/>
              <w:left w:val="single" w:sz="4" w:space="0" w:color="auto"/>
              <w:bottom w:val="single" w:sz="4" w:space="0" w:color="auto"/>
              <w:right w:val="single" w:sz="4" w:space="0" w:color="auto"/>
            </w:tcBorders>
            <w:shd w:val="clear" w:color="auto" w:fill="auto"/>
            <w:noWrap/>
            <w:vAlign w:val="bottom"/>
          </w:tcPr>
          <w:p w:rsidR="00BB1D8D" w:rsidRPr="001E6948" w:rsidP="00BB1D8D" w14:paraId="48DCA635" w14:textId="488B126F">
            <w:pPr>
              <w:widowControl/>
              <w:autoSpaceDE/>
              <w:autoSpaceDN/>
              <w:adjustRightInd/>
              <w:rPr>
                <w:rFonts w:ascii="Times New Roman" w:hAnsi="Times New Roman"/>
                <w:color w:val="000000"/>
              </w:rPr>
            </w:pPr>
            <w:r w:rsidRPr="001E6948">
              <w:rPr>
                <w:rFonts w:ascii="Times New Roman" w:hAnsi="Times New Roman"/>
                <w:color w:val="000000"/>
              </w:rPr>
              <w:t>I-129</w:t>
            </w:r>
            <w:r>
              <w:rPr>
                <w:rFonts w:ascii="Times New Roman" w:hAnsi="Times New Roman"/>
                <w:color w:val="000000"/>
              </w:rPr>
              <w:t>/</w:t>
            </w:r>
            <w:r w:rsidRPr="001E6948">
              <w:rPr>
                <w:rFonts w:ascii="Times New Roman" w:hAnsi="Times New Roman"/>
                <w:color w:val="000000"/>
              </w:rPr>
              <w:t>H-2B or R</w:t>
            </w:r>
            <w:r>
              <w:rPr>
                <w:rFonts w:ascii="Times New Roman" w:hAnsi="Times New Roman"/>
                <w:color w:val="000000"/>
              </w:rPr>
              <w:t>-1</w:t>
            </w:r>
          </w:p>
        </w:tc>
        <w:tc>
          <w:tcPr>
            <w:tcW w:w="1680" w:type="dxa"/>
            <w:tcBorders>
              <w:top w:val="nil"/>
              <w:left w:val="nil"/>
              <w:bottom w:val="single" w:sz="4" w:space="0" w:color="auto"/>
              <w:right w:val="single" w:sz="4" w:space="0" w:color="auto"/>
            </w:tcBorders>
            <w:shd w:val="clear" w:color="auto" w:fill="auto"/>
            <w:noWrap/>
            <w:vAlign w:val="bottom"/>
          </w:tcPr>
          <w:p w:rsidR="00BB1D8D" w:rsidRPr="001E6948" w:rsidP="00BB1D8D" w14:paraId="53E1084F" w14:textId="1A4F026B">
            <w:pPr>
              <w:widowControl/>
              <w:autoSpaceDE/>
              <w:autoSpaceDN/>
              <w:adjustRightInd/>
              <w:jc w:val="right"/>
              <w:rPr>
                <w:rFonts w:ascii="Times New Roman" w:hAnsi="Times New Roman"/>
                <w:color w:val="000000"/>
              </w:rPr>
            </w:pPr>
            <w:r w:rsidRPr="001E6948">
              <w:rPr>
                <w:rFonts w:ascii="Times New Roman" w:hAnsi="Times New Roman"/>
                <w:color w:val="000000"/>
              </w:rPr>
              <w:t>9,535</w:t>
            </w:r>
          </w:p>
        </w:tc>
        <w:tc>
          <w:tcPr>
            <w:tcW w:w="1960" w:type="dxa"/>
            <w:tcBorders>
              <w:top w:val="nil"/>
              <w:left w:val="nil"/>
              <w:bottom w:val="single" w:sz="4" w:space="0" w:color="auto"/>
              <w:right w:val="single" w:sz="4" w:space="0" w:color="auto"/>
            </w:tcBorders>
            <w:shd w:val="clear" w:color="auto" w:fill="auto"/>
            <w:noWrap/>
            <w:vAlign w:val="bottom"/>
          </w:tcPr>
          <w:p w:rsidR="00BB1D8D" w:rsidRPr="001E6948" w:rsidP="00BB1D8D" w14:paraId="7B089C5B" w14:textId="30CC12D0">
            <w:pPr>
              <w:widowControl/>
              <w:autoSpaceDE/>
              <w:autoSpaceDN/>
              <w:adjustRightInd/>
              <w:jc w:val="right"/>
              <w:rPr>
                <w:rFonts w:ascii="Times New Roman" w:hAnsi="Times New Roman"/>
                <w:color w:val="000000"/>
              </w:rPr>
            </w:pPr>
            <w:r w:rsidRPr="001E6948">
              <w:rPr>
                <w:rFonts w:ascii="Times New Roman" w:hAnsi="Times New Roman"/>
                <w:color w:val="000000"/>
              </w:rPr>
              <w:t>$1,</w:t>
            </w:r>
            <w:r>
              <w:rPr>
                <w:rFonts w:ascii="Times New Roman" w:hAnsi="Times New Roman"/>
                <w:color w:val="000000"/>
              </w:rPr>
              <w:t>685</w:t>
            </w:r>
          </w:p>
        </w:tc>
        <w:tc>
          <w:tcPr>
            <w:tcW w:w="2120" w:type="dxa"/>
            <w:tcBorders>
              <w:top w:val="nil"/>
              <w:left w:val="nil"/>
              <w:bottom w:val="single" w:sz="4" w:space="0" w:color="auto"/>
              <w:right w:val="single" w:sz="4" w:space="0" w:color="auto"/>
            </w:tcBorders>
            <w:shd w:val="clear" w:color="auto" w:fill="auto"/>
            <w:noWrap/>
            <w:vAlign w:val="center"/>
          </w:tcPr>
          <w:p w:rsidR="00BB1D8D" w:rsidRPr="00BB1D8D" w:rsidP="00BB1D8D" w14:paraId="412F4BB9" w14:textId="2906AECE">
            <w:pPr>
              <w:widowControl/>
              <w:autoSpaceDE/>
              <w:autoSpaceDN/>
              <w:adjustRightInd/>
              <w:jc w:val="right"/>
              <w:rPr>
                <w:rFonts w:ascii="Times New Roman" w:hAnsi="Times New Roman"/>
                <w:color w:val="000000"/>
              </w:rPr>
            </w:pPr>
            <w:r w:rsidRPr="00BB1D8D">
              <w:rPr>
                <w:rFonts w:ascii="Times New Roman" w:hAnsi="Times New Roman"/>
                <w:color w:val="000000"/>
              </w:rPr>
              <w:t xml:space="preserve">$16,066,475 </w:t>
            </w:r>
          </w:p>
        </w:tc>
      </w:tr>
      <w:tr w14:paraId="35305968" w14:textId="77777777" w:rsidTr="00684894">
        <w:tblPrEx>
          <w:tblW w:w="7980" w:type="dxa"/>
          <w:tblInd w:w="692" w:type="dxa"/>
          <w:tblLook w:val="04A0"/>
        </w:tblPrEx>
        <w:trPr>
          <w:trHeight w:val="310"/>
        </w:trPr>
        <w:tc>
          <w:tcPr>
            <w:tcW w:w="2220" w:type="dxa"/>
            <w:tcBorders>
              <w:top w:val="nil"/>
              <w:left w:val="single" w:sz="4" w:space="0" w:color="auto"/>
              <w:bottom w:val="single" w:sz="4" w:space="0" w:color="auto"/>
              <w:right w:val="single" w:sz="4" w:space="0" w:color="auto"/>
            </w:tcBorders>
            <w:shd w:val="clear" w:color="auto" w:fill="auto"/>
            <w:noWrap/>
            <w:vAlign w:val="bottom"/>
          </w:tcPr>
          <w:p w:rsidR="00BB1D8D" w:rsidRPr="001E6948" w:rsidP="00BB1D8D" w14:paraId="4961BD8B" w14:textId="7E3F8047">
            <w:pPr>
              <w:widowControl/>
              <w:autoSpaceDE/>
              <w:autoSpaceDN/>
              <w:adjustRightInd/>
              <w:rPr>
                <w:rFonts w:ascii="Times New Roman" w:hAnsi="Times New Roman"/>
                <w:color w:val="000000"/>
              </w:rPr>
            </w:pPr>
            <w:r w:rsidRPr="001E6948">
              <w:rPr>
                <w:rFonts w:ascii="Times New Roman" w:hAnsi="Times New Roman"/>
                <w:color w:val="000000"/>
              </w:rPr>
              <w:t>I-129</w:t>
            </w:r>
            <w:r>
              <w:rPr>
                <w:rFonts w:ascii="Times New Roman" w:hAnsi="Times New Roman"/>
                <w:color w:val="000000"/>
              </w:rPr>
              <w:t>/</w:t>
            </w:r>
            <w:r w:rsidRPr="001E6948">
              <w:rPr>
                <w:rFonts w:ascii="Times New Roman" w:hAnsi="Times New Roman"/>
                <w:color w:val="000000"/>
              </w:rPr>
              <w:t>All Other</w:t>
            </w:r>
          </w:p>
        </w:tc>
        <w:tc>
          <w:tcPr>
            <w:tcW w:w="1680" w:type="dxa"/>
            <w:tcBorders>
              <w:top w:val="nil"/>
              <w:left w:val="nil"/>
              <w:bottom w:val="single" w:sz="4" w:space="0" w:color="auto"/>
              <w:right w:val="single" w:sz="4" w:space="0" w:color="auto"/>
            </w:tcBorders>
            <w:shd w:val="clear" w:color="auto" w:fill="auto"/>
            <w:noWrap/>
            <w:vAlign w:val="bottom"/>
          </w:tcPr>
          <w:p w:rsidR="00BB1D8D" w:rsidRPr="001E6948" w:rsidP="00BB1D8D" w14:paraId="45B16905" w14:textId="65292C89">
            <w:pPr>
              <w:widowControl/>
              <w:autoSpaceDE/>
              <w:autoSpaceDN/>
              <w:adjustRightInd/>
              <w:jc w:val="right"/>
              <w:rPr>
                <w:rFonts w:ascii="Times New Roman" w:hAnsi="Times New Roman"/>
                <w:color w:val="000000"/>
              </w:rPr>
            </w:pPr>
            <w:r w:rsidRPr="001E6948">
              <w:rPr>
                <w:rFonts w:ascii="Times New Roman" w:hAnsi="Times New Roman"/>
                <w:color w:val="000000"/>
              </w:rPr>
              <w:t>277,869</w:t>
            </w:r>
          </w:p>
        </w:tc>
        <w:tc>
          <w:tcPr>
            <w:tcW w:w="1960" w:type="dxa"/>
            <w:tcBorders>
              <w:top w:val="nil"/>
              <w:left w:val="nil"/>
              <w:bottom w:val="single" w:sz="4" w:space="0" w:color="auto"/>
              <w:right w:val="single" w:sz="4" w:space="0" w:color="auto"/>
            </w:tcBorders>
            <w:shd w:val="clear" w:color="auto" w:fill="auto"/>
            <w:noWrap/>
            <w:vAlign w:val="bottom"/>
          </w:tcPr>
          <w:p w:rsidR="00BB1D8D" w:rsidRPr="001E6948" w:rsidP="00BB1D8D" w14:paraId="4216BCDB" w14:textId="40764012">
            <w:pPr>
              <w:widowControl/>
              <w:autoSpaceDE/>
              <w:autoSpaceDN/>
              <w:adjustRightInd/>
              <w:jc w:val="right"/>
              <w:rPr>
                <w:rFonts w:ascii="Times New Roman" w:hAnsi="Times New Roman"/>
                <w:color w:val="000000"/>
              </w:rPr>
            </w:pPr>
            <w:r w:rsidRPr="001E6948">
              <w:rPr>
                <w:rFonts w:ascii="Times New Roman" w:hAnsi="Times New Roman"/>
                <w:color w:val="000000"/>
              </w:rPr>
              <w:t>$2,</w:t>
            </w:r>
            <w:r>
              <w:rPr>
                <w:rFonts w:ascii="Times New Roman" w:hAnsi="Times New Roman"/>
                <w:color w:val="000000"/>
              </w:rPr>
              <w:t>805</w:t>
            </w:r>
          </w:p>
        </w:tc>
        <w:tc>
          <w:tcPr>
            <w:tcW w:w="2120" w:type="dxa"/>
            <w:tcBorders>
              <w:top w:val="nil"/>
              <w:left w:val="nil"/>
              <w:bottom w:val="single" w:sz="4" w:space="0" w:color="auto"/>
              <w:right w:val="single" w:sz="4" w:space="0" w:color="auto"/>
            </w:tcBorders>
            <w:shd w:val="clear" w:color="auto" w:fill="auto"/>
            <w:noWrap/>
            <w:vAlign w:val="center"/>
          </w:tcPr>
          <w:p w:rsidR="00BB1D8D" w:rsidRPr="00BB1D8D" w:rsidP="00BB1D8D" w14:paraId="7D5807CE" w14:textId="6B35F53D">
            <w:pPr>
              <w:widowControl/>
              <w:autoSpaceDE/>
              <w:autoSpaceDN/>
              <w:adjustRightInd/>
              <w:jc w:val="right"/>
              <w:rPr>
                <w:rFonts w:ascii="Times New Roman" w:hAnsi="Times New Roman"/>
                <w:color w:val="000000"/>
              </w:rPr>
            </w:pPr>
            <w:r w:rsidRPr="00BB1D8D">
              <w:rPr>
                <w:rFonts w:ascii="Times New Roman" w:hAnsi="Times New Roman"/>
                <w:color w:val="000000"/>
              </w:rPr>
              <w:t xml:space="preserve">$779,422,545 </w:t>
            </w:r>
          </w:p>
        </w:tc>
      </w:tr>
      <w:tr w14:paraId="0550485A" w14:textId="77777777" w:rsidTr="00684894">
        <w:tblPrEx>
          <w:tblW w:w="7980" w:type="dxa"/>
          <w:tblInd w:w="692" w:type="dxa"/>
          <w:tblLook w:val="04A0"/>
        </w:tblPrEx>
        <w:trPr>
          <w:trHeight w:val="310"/>
        </w:trPr>
        <w:tc>
          <w:tcPr>
            <w:tcW w:w="2220" w:type="dxa"/>
            <w:tcBorders>
              <w:top w:val="nil"/>
              <w:left w:val="single" w:sz="4" w:space="0" w:color="auto"/>
              <w:bottom w:val="single" w:sz="4" w:space="0" w:color="auto"/>
              <w:right w:val="single" w:sz="4" w:space="0" w:color="auto"/>
            </w:tcBorders>
            <w:shd w:val="clear" w:color="auto" w:fill="auto"/>
            <w:noWrap/>
            <w:vAlign w:val="bottom"/>
          </w:tcPr>
          <w:p w:rsidR="00BB1D8D" w:rsidRPr="001E6948" w:rsidP="00BB1D8D" w14:paraId="373062AD" w14:textId="277F967F">
            <w:pPr>
              <w:widowControl/>
              <w:autoSpaceDE/>
              <w:autoSpaceDN/>
              <w:adjustRightInd/>
              <w:rPr>
                <w:rFonts w:ascii="Times New Roman" w:hAnsi="Times New Roman"/>
                <w:color w:val="000000"/>
              </w:rPr>
            </w:pPr>
            <w:r w:rsidRPr="001E6948">
              <w:rPr>
                <w:rFonts w:ascii="Times New Roman" w:hAnsi="Times New Roman"/>
                <w:color w:val="000000"/>
              </w:rPr>
              <w:t>I-140</w:t>
            </w:r>
          </w:p>
        </w:tc>
        <w:tc>
          <w:tcPr>
            <w:tcW w:w="1680" w:type="dxa"/>
            <w:tcBorders>
              <w:top w:val="nil"/>
              <w:left w:val="nil"/>
              <w:bottom w:val="single" w:sz="4" w:space="0" w:color="auto"/>
              <w:right w:val="single" w:sz="4" w:space="0" w:color="auto"/>
            </w:tcBorders>
            <w:shd w:val="clear" w:color="auto" w:fill="auto"/>
            <w:noWrap/>
            <w:vAlign w:val="bottom"/>
          </w:tcPr>
          <w:p w:rsidR="00BB1D8D" w:rsidRPr="001E6948" w:rsidP="00BB1D8D" w14:paraId="56465E37" w14:textId="64BD5110">
            <w:pPr>
              <w:widowControl/>
              <w:autoSpaceDE/>
              <w:autoSpaceDN/>
              <w:adjustRightInd/>
              <w:jc w:val="right"/>
              <w:rPr>
                <w:rFonts w:ascii="Times New Roman" w:hAnsi="Times New Roman"/>
                <w:color w:val="000000"/>
              </w:rPr>
            </w:pPr>
            <w:r w:rsidRPr="001E6948">
              <w:rPr>
                <w:rFonts w:ascii="Times New Roman" w:hAnsi="Times New Roman"/>
                <w:color w:val="000000"/>
              </w:rPr>
              <w:t>115,953</w:t>
            </w:r>
          </w:p>
        </w:tc>
        <w:tc>
          <w:tcPr>
            <w:tcW w:w="1960" w:type="dxa"/>
            <w:tcBorders>
              <w:top w:val="nil"/>
              <w:left w:val="nil"/>
              <w:bottom w:val="single" w:sz="4" w:space="0" w:color="auto"/>
              <w:right w:val="single" w:sz="4" w:space="0" w:color="auto"/>
            </w:tcBorders>
            <w:shd w:val="clear" w:color="auto" w:fill="auto"/>
            <w:noWrap/>
            <w:vAlign w:val="bottom"/>
          </w:tcPr>
          <w:p w:rsidR="00BB1D8D" w:rsidRPr="001E6948" w:rsidP="00BB1D8D" w14:paraId="649935E0" w14:textId="35359945">
            <w:pPr>
              <w:widowControl/>
              <w:autoSpaceDE/>
              <w:autoSpaceDN/>
              <w:adjustRightInd/>
              <w:jc w:val="right"/>
              <w:rPr>
                <w:rFonts w:ascii="Times New Roman" w:hAnsi="Times New Roman"/>
                <w:color w:val="000000"/>
              </w:rPr>
            </w:pPr>
            <w:r w:rsidRPr="001E6948">
              <w:rPr>
                <w:rFonts w:ascii="Times New Roman" w:hAnsi="Times New Roman"/>
                <w:color w:val="000000"/>
              </w:rPr>
              <w:t>$2,</w:t>
            </w:r>
            <w:r>
              <w:rPr>
                <w:rFonts w:ascii="Times New Roman" w:hAnsi="Times New Roman"/>
                <w:color w:val="000000"/>
              </w:rPr>
              <w:t>805</w:t>
            </w:r>
          </w:p>
        </w:tc>
        <w:tc>
          <w:tcPr>
            <w:tcW w:w="2120" w:type="dxa"/>
            <w:tcBorders>
              <w:top w:val="nil"/>
              <w:left w:val="nil"/>
              <w:bottom w:val="single" w:sz="4" w:space="0" w:color="auto"/>
              <w:right w:val="single" w:sz="4" w:space="0" w:color="auto"/>
            </w:tcBorders>
            <w:shd w:val="clear" w:color="auto" w:fill="auto"/>
            <w:noWrap/>
            <w:vAlign w:val="center"/>
          </w:tcPr>
          <w:p w:rsidR="00BB1D8D" w:rsidRPr="00BB1D8D" w:rsidP="00BB1D8D" w14:paraId="64B4C0AB" w14:textId="04F0D539">
            <w:pPr>
              <w:widowControl/>
              <w:autoSpaceDE/>
              <w:autoSpaceDN/>
              <w:adjustRightInd/>
              <w:jc w:val="right"/>
              <w:rPr>
                <w:rFonts w:ascii="Times New Roman" w:hAnsi="Times New Roman"/>
                <w:color w:val="000000"/>
              </w:rPr>
            </w:pPr>
            <w:r w:rsidRPr="00BB1D8D">
              <w:rPr>
                <w:rFonts w:ascii="Times New Roman" w:hAnsi="Times New Roman"/>
                <w:color w:val="000000"/>
              </w:rPr>
              <w:t xml:space="preserve">$325,248,165 </w:t>
            </w:r>
          </w:p>
        </w:tc>
      </w:tr>
      <w:tr w14:paraId="7B2A2939" w14:textId="77777777" w:rsidTr="00684894">
        <w:tblPrEx>
          <w:tblW w:w="7980" w:type="dxa"/>
          <w:tblInd w:w="692" w:type="dxa"/>
          <w:tblLook w:val="04A0"/>
        </w:tblPrEx>
        <w:trPr>
          <w:trHeight w:val="310"/>
        </w:trPr>
        <w:tc>
          <w:tcPr>
            <w:tcW w:w="2220" w:type="dxa"/>
            <w:tcBorders>
              <w:top w:val="nil"/>
              <w:left w:val="single" w:sz="4" w:space="0" w:color="auto"/>
              <w:bottom w:val="single" w:sz="4" w:space="0" w:color="auto"/>
              <w:right w:val="single" w:sz="4" w:space="0" w:color="auto"/>
            </w:tcBorders>
            <w:shd w:val="clear" w:color="auto" w:fill="auto"/>
            <w:noWrap/>
            <w:vAlign w:val="bottom"/>
          </w:tcPr>
          <w:p w:rsidR="00BB1D8D" w:rsidRPr="001E6948" w:rsidP="00BB1D8D" w14:paraId="0E49AF13" w14:textId="1A50E341">
            <w:pPr>
              <w:widowControl/>
              <w:autoSpaceDE/>
              <w:autoSpaceDN/>
              <w:adjustRightInd/>
              <w:rPr>
                <w:rFonts w:ascii="Times New Roman" w:hAnsi="Times New Roman"/>
                <w:color w:val="000000"/>
              </w:rPr>
            </w:pPr>
            <w:r w:rsidRPr="001E6948">
              <w:rPr>
                <w:rFonts w:ascii="Times New Roman" w:hAnsi="Times New Roman"/>
                <w:color w:val="000000"/>
              </w:rPr>
              <w:t>I-539</w:t>
            </w:r>
          </w:p>
        </w:tc>
        <w:tc>
          <w:tcPr>
            <w:tcW w:w="1680" w:type="dxa"/>
            <w:tcBorders>
              <w:top w:val="nil"/>
              <w:left w:val="nil"/>
              <w:bottom w:val="single" w:sz="4" w:space="0" w:color="auto"/>
              <w:right w:val="single" w:sz="4" w:space="0" w:color="auto"/>
            </w:tcBorders>
            <w:shd w:val="clear" w:color="auto" w:fill="auto"/>
            <w:noWrap/>
            <w:vAlign w:val="bottom"/>
          </w:tcPr>
          <w:p w:rsidR="00BB1D8D" w:rsidRPr="001E6948" w:rsidP="00BB1D8D" w14:paraId="3BCE2932" w14:textId="2C2AF38E">
            <w:pPr>
              <w:widowControl/>
              <w:autoSpaceDE/>
              <w:autoSpaceDN/>
              <w:adjustRightInd/>
              <w:jc w:val="right"/>
              <w:rPr>
                <w:rFonts w:ascii="Times New Roman" w:hAnsi="Times New Roman"/>
                <w:color w:val="000000"/>
              </w:rPr>
            </w:pPr>
            <w:r w:rsidRPr="001E6948">
              <w:rPr>
                <w:rFonts w:ascii="Times New Roman" w:hAnsi="Times New Roman"/>
                <w:color w:val="000000"/>
              </w:rPr>
              <w:t>73,435</w:t>
            </w:r>
          </w:p>
        </w:tc>
        <w:tc>
          <w:tcPr>
            <w:tcW w:w="1960" w:type="dxa"/>
            <w:tcBorders>
              <w:top w:val="nil"/>
              <w:left w:val="nil"/>
              <w:bottom w:val="single" w:sz="4" w:space="0" w:color="auto"/>
              <w:right w:val="single" w:sz="4" w:space="0" w:color="auto"/>
            </w:tcBorders>
            <w:shd w:val="clear" w:color="auto" w:fill="auto"/>
            <w:noWrap/>
            <w:vAlign w:val="bottom"/>
          </w:tcPr>
          <w:p w:rsidR="00BB1D8D" w:rsidRPr="001E6948" w:rsidP="00BB1D8D" w14:paraId="6F0F2CF7" w14:textId="368D5B34">
            <w:pPr>
              <w:widowControl/>
              <w:autoSpaceDE/>
              <w:autoSpaceDN/>
              <w:adjustRightInd/>
              <w:jc w:val="right"/>
              <w:rPr>
                <w:rFonts w:ascii="Times New Roman" w:hAnsi="Times New Roman"/>
                <w:color w:val="000000"/>
              </w:rPr>
            </w:pPr>
            <w:r w:rsidRPr="001E6948">
              <w:rPr>
                <w:rFonts w:ascii="Times New Roman" w:hAnsi="Times New Roman"/>
                <w:color w:val="000000"/>
              </w:rPr>
              <w:t>$1,</w:t>
            </w:r>
            <w:r>
              <w:rPr>
                <w:rFonts w:ascii="Times New Roman" w:hAnsi="Times New Roman"/>
                <w:color w:val="000000"/>
              </w:rPr>
              <w:t>965</w:t>
            </w:r>
          </w:p>
        </w:tc>
        <w:tc>
          <w:tcPr>
            <w:tcW w:w="2120" w:type="dxa"/>
            <w:tcBorders>
              <w:top w:val="nil"/>
              <w:left w:val="nil"/>
              <w:bottom w:val="single" w:sz="4" w:space="0" w:color="auto"/>
              <w:right w:val="single" w:sz="4" w:space="0" w:color="auto"/>
            </w:tcBorders>
            <w:shd w:val="clear" w:color="auto" w:fill="auto"/>
            <w:noWrap/>
            <w:vAlign w:val="center"/>
          </w:tcPr>
          <w:p w:rsidR="00BB1D8D" w:rsidRPr="00BB1D8D" w:rsidP="00BB1D8D" w14:paraId="22B7AB0F" w14:textId="315D8B00">
            <w:pPr>
              <w:widowControl/>
              <w:autoSpaceDE/>
              <w:autoSpaceDN/>
              <w:adjustRightInd/>
              <w:jc w:val="right"/>
              <w:rPr>
                <w:rFonts w:ascii="Times New Roman" w:hAnsi="Times New Roman"/>
                <w:color w:val="000000"/>
              </w:rPr>
            </w:pPr>
            <w:r w:rsidRPr="00BB1D8D">
              <w:rPr>
                <w:rFonts w:ascii="Times New Roman" w:hAnsi="Times New Roman"/>
                <w:color w:val="000000"/>
              </w:rPr>
              <w:t xml:space="preserve">$144,299,775 </w:t>
            </w:r>
          </w:p>
        </w:tc>
      </w:tr>
      <w:tr w14:paraId="1A76AD74" w14:textId="77777777" w:rsidTr="00684894">
        <w:tblPrEx>
          <w:tblW w:w="7980" w:type="dxa"/>
          <w:tblInd w:w="692" w:type="dxa"/>
          <w:tblLook w:val="04A0"/>
        </w:tblPrEx>
        <w:trPr>
          <w:trHeight w:val="310"/>
        </w:trPr>
        <w:tc>
          <w:tcPr>
            <w:tcW w:w="2220" w:type="dxa"/>
            <w:tcBorders>
              <w:top w:val="nil"/>
              <w:left w:val="single" w:sz="4" w:space="0" w:color="auto"/>
              <w:bottom w:val="single" w:sz="4" w:space="0" w:color="auto"/>
              <w:right w:val="single" w:sz="4" w:space="0" w:color="auto"/>
            </w:tcBorders>
            <w:shd w:val="clear" w:color="auto" w:fill="auto"/>
            <w:noWrap/>
            <w:vAlign w:val="bottom"/>
          </w:tcPr>
          <w:p w:rsidR="00BB1D8D" w:rsidRPr="001E6948" w:rsidP="00BB1D8D" w14:paraId="1B7C7A8D" w14:textId="0FE6AB13">
            <w:pPr>
              <w:widowControl/>
              <w:autoSpaceDE/>
              <w:autoSpaceDN/>
              <w:adjustRightInd/>
              <w:rPr>
                <w:rFonts w:ascii="Times New Roman" w:hAnsi="Times New Roman"/>
                <w:color w:val="000000"/>
              </w:rPr>
            </w:pPr>
            <w:r w:rsidRPr="001E6948">
              <w:rPr>
                <w:rFonts w:ascii="Times New Roman" w:hAnsi="Times New Roman"/>
                <w:color w:val="000000"/>
              </w:rPr>
              <w:t>I-765</w:t>
            </w:r>
          </w:p>
        </w:tc>
        <w:tc>
          <w:tcPr>
            <w:tcW w:w="1680" w:type="dxa"/>
            <w:tcBorders>
              <w:top w:val="nil"/>
              <w:left w:val="nil"/>
              <w:bottom w:val="single" w:sz="4" w:space="0" w:color="auto"/>
              <w:right w:val="single" w:sz="4" w:space="0" w:color="auto"/>
            </w:tcBorders>
            <w:shd w:val="clear" w:color="auto" w:fill="auto"/>
            <w:noWrap/>
            <w:vAlign w:val="bottom"/>
          </w:tcPr>
          <w:p w:rsidR="00BB1D8D" w:rsidRPr="001E6948" w:rsidP="00BB1D8D" w14:paraId="11763D08" w14:textId="1F3DC1EF">
            <w:pPr>
              <w:widowControl/>
              <w:autoSpaceDE/>
              <w:autoSpaceDN/>
              <w:adjustRightInd/>
              <w:jc w:val="right"/>
              <w:rPr>
                <w:rFonts w:ascii="Times New Roman" w:hAnsi="Times New Roman"/>
                <w:color w:val="000000"/>
              </w:rPr>
            </w:pPr>
            <w:r w:rsidRPr="001E6948">
              <w:rPr>
                <w:rFonts w:ascii="Times New Roman" w:hAnsi="Times New Roman"/>
                <w:color w:val="000000"/>
              </w:rPr>
              <w:t>338,981</w:t>
            </w:r>
          </w:p>
        </w:tc>
        <w:tc>
          <w:tcPr>
            <w:tcW w:w="1960" w:type="dxa"/>
            <w:tcBorders>
              <w:top w:val="nil"/>
              <w:left w:val="nil"/>
              <w:bottom w:val="single" w:sz="4" w:space="0" w:color="auto"/>
              <w:right w:val="single" w:sz="4" w:space="0" w:color="auto"/>
            </w:tcBorders>
            <w:shd w:val="clear" w:color="auto" w:fill="auto"/>
            <w:noWrap/>
            <w:vAlign w:val="bottom"/>
          </w:tcPr>
          <w:p w:rsidR="00BB1D8D" w:rsidRPr="001E6948" w:rsidP="00BB1D8D" w14:paraId="00100C2A" w14:textId="209DD64D">
            <w:pPr>
              <w:widowControl/>
              <w:autoSpaceDE/>
              <w:autoSpaceDN/>
              <w:adjustRightInd/>
              <w:jc w:val="right"/>
              <w:rPr>
                <w:rFonts w:ascii="Times New Roman" w:hAnsi="Times New Roman"/>
                <w:color w:val="000000"/>
              </w:rPr>
            </w:pPr>
            <w:r w:rsidRPr="001E6948">
              <w:rPr>
                <w:rFonts w:ascii="Times New Roman" w:hAnsi="Times New Roman"/>
                <w:color w:val="000000"/>
              </w:rPr>
              <w:t>$1,</w:t>
            </w:r>
            <w:r>
              <w:rPr>
                <w:rFonts w:ascii="Times New Roman" w:hAnsi="Times New Roman"/>
                <w:color w:val="000000"/>
              </w:rPr>
              <w:t>685</w:t>
            </w:r>
          </w:p>
        </w:tc>
        <w:tc>
          <w:tcPr>
            <w:tcW w:w="2120" w:type="dxa"/>
            <w:tcBorders>
              <w:top w:val="nil"/>
              <w:left w:val="nil"/>
              <w:bottom w:val="single" w:sz="4" w:space="0" w:color="auto"/>
              <w:right w:val="single" w:sz="4" w:space="0" w:color="auto"/>
            </w:tcBorders>
            <w:shd w:val="clear" w:color="auto" w:fill="auto"/>
            <w:noWrap/>
            <w:vAlign w:val="center"/>
          </w:tcPr>
          <w:p w:rsidR="00BB1D8D" w:rsidRPr="00BB1D8D" w:rsidP="00BB1D8D" w14:paraId="1C163186" w14:textId="5A4ACDE0">
            <w:pPr>
              <w:widowControl/>
              <w:autoSpaceDE/>
              <w:autoSpaceDN/>
              <w:adjustRightInd/>
              <w:jc w:val="right"/>
              <w:rPr>
                <w:rFonts w:ascii="Times New Roman" w:hAnsi="Times New Roman"/>
                <w:color w:val="000000"/>
              </w:rPr>
            </w:pPr>
            <w:r w:rsidRPr="00BB1D8D">
              <w:rPr>
                <w:rFonts w:ascii="Times New Roman" w:hAnsi="Times New Roman"/>
                <w:color w:val="000000"/>
              </w:rPr>
              <w:t xml:space="preserve">$571,182,985 </w:t>
            </w:r>
          </w:p>
        </w:tc>
      </w:tr>
      <w:tr w14:paraId="0B4EF620" w14:textId="77777777" w:rsidTr="00684894">
        <w:tblPrEx>
          <w:tblW w:w="7980" w:type="dxa"/>
          <w:tblInd w:w="692" w:type="dxa"/>
          <w:tblLook w:val="04A0"/>
        </w:tblPrEx>
        <w:trPr>
          <w:trHeight w:val="310"/>
        </w:trPr>
        <w:tc>
          <w:tcPr>
            <w:tcW w:w="222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B1D8D" w:rsidRPr="001E6948" w:rsidP="00BB1D8D" w14:paraId="55E8FF40" w14:textId="715E79F4">
            <w:pPr>
              <w:widowControl/>
              <w:autoSpaceDE/>
              <w:autoSpaceDN/>
              <w:adjustRightInd/>
              <w:rPr>
                <w:rFonts w:ascii="Times New Roman" w:hAnsi="Times New Roman"/>
                <w:color w:val="000000"/>
              </w:rPr>
            </w:pPr>
            <w:r w:rsidRPr="001E6948">
              <w:rPr>
                <w:rFonts w:ascii="Times New Roman" w:hAnsi="Times New Roman"/>
                <w:b/>
                <w:bCs/>
                <w:color w:val="000000"/>
              </w:rPr>
              <w:t xml:space="preserve">Total </w:t>
            </w:r>
            <w:r>
              <w:rPr>
                <w:rFonts w:ascii="Times New Roman" w:hAnsi="Times New Roman"/>
                <w:b/>
                <w:bCs/>
                <w:color w:val="000000"/>
              </w:rPr>
              <w:t>Gov.</w:t>
            </w:r>
            <w:r w:rsidRPr="001E6948">
              <w:rPr>
                <w:rFonts w:ascii="Times New Roman" w:hAnsi="Times New Roman"/>
                <w:b/>
                <w:bCs/>
                <w:color w:val="000000"/>
              </w:rPr>
              <w:t xml:space="preserve"> Cost</w:t>
            </w:r>
          </w:p>
        </w:tc>
        <w:tc>
          <w:tcPr>
            <w:tcW w:w="1680" w:type="dxa"/>
            <w:tcBorders>
              <w:top w:val="single" w:sz="12" w:space="0" w:color="auto"/>
              <w:left w:val="nil"/>
              <w:bottom w:val="single" w:sz="4" w:space="0" w:color="auto"/>
              <w:right w:val="single" w:sz="4" w:space="0" w:color="auto"/>
            </w:tcBorders>
            <w:shd w:val="clear" w:color="auto" w:fill="auto"/>
            <w:noWrap/>
            <w:vAlign w:val="bottom"/>
            <w:hideMark/>
          </w:tcPr>
          <w:p w:rsidR="00BB1D8D" w:rsidRPr="001E6948" w:rsidP="00BB1D8D" w14:paraId="6695185C" w14:textId="507984A5">
            <w:pPr>
              <w:widowControl/>
              <w:autoSpaceDE/>
              <w:autoSpaceDN/>
              <w:adjustRightInd/>
              <w:jc w:val="right"/>
              <w:rPr>
                <w:rFonts w:ascii="Times New Roman" w:hAnsi="Times New Roman"/>
                <w:color w:val="000000"/>
              </w:rPr>
            </w:pPr>
          </w:p>
        </w:tc>
        <w:tc>
          <w:tcPr>
            <w:tcW w:w="1960" w:type="dxa"/>
            <w:tcBorders>
              <w:top w:val="single" w:sz="12" w:space="0" w:color="auto"/>
              <w:left w:val="nil"/>
              <w:bottom w:val="single" w:sz="4" w:space="0" w:color="auto"/>
              <w:right w:val="single" w:sz="4" w:space="0" w:color="auto"/>
            </w:tcBorders>
            <w:shd w:val="clear" w:color="auto" w:fill="auto"/>
            <w:noWrap/>
            <w:vAlign w:val="bottom"/>
            <w:hideMark/>
          </w:tcPr>
          <w:p w:rsidR="00BB1D8D" w:rsidRPr="001E6948" w:rsidP="00BB1D8D" w14:paraId="00D460A9" w14:textId="60E28348">
            <w:pPr>
              <w:widowControl/>
              <w:autoSpaceDE/>
              <w:autoSpaceDN/>
              <w:adjustRightInd/>
              <w:jc w:val="right"/>
              <w:rPr>
                <w:rFonts w:ascii="Times New Roman" w:hAnsi="Times New Roman"/>
                <w:color w:val="000000"/>
              </w:rPr>
            </w:pPr>
          </w:p>
        </w:tc>
        <w:tc>
          <w:tcPr>
            <w:tcW w:w="2120" w:type="dxa"/>
            <w:tcBorders>
              <w:top w:val="single" w:sz="12" w:space="0" w:color="auto"/>
              <w:left w:val="nil"/>
              <w:bottom w:val="single" w:sz="4" w:space="0" w:color="auto"/>
              <w:right w:val="single" w:sz="4" w:space="0" w:color="auto"/>
            </w:tcBorders>
            <w:shd w:val="clear" w:color="auto" w:fill="auto"/>
            <w:noWrap/>
            <w:vAlign w:val="center"/>
            <w:hideMark/>
          </w:tcPr>
          <w:p w:rsidR="00BB1D8D" w:rsidRPr="00BB1D8D" w:rsidP="00BB1D8D" w14:paraId="2DBB739C" w14:textId="7379FA86">
            <w:pPr>
              <w:widowControl/>
              <w:autoSpaceDE/>
              <w:autoSpaceDN/>
              <w:adjustRightInd/>
              <w:jc w:val="right"/>
              <w:rPr>
                <w:rFonts w:ascii="Times New Roman" w:hAnsi="Times New Roman"/>
                <w:b/>
                <w:bCs/>
                <w:color w:val="000000"/>
              </w:rPr>
            </w:pPr>
            <w:r w:rsidRPr="00BB1D8D">
              <w:rPr>
                <w:rFonts w:ascii="Times New Roman" w:hAnsi="Times New Roman"/>
                <w:b/>
                <w:bCs/>
                <w:color w:val="000000"/>
              </w:rPr>
              <w:t xml:space="preserve">$1,836,219,945 </w:t>
            </w:r>
          </w:p>
        </w:tc>
      </w:tr>
    </w:tbl>
    <w:p w:rsidR="00663D52" w:rsidRPr="00663D52" w:rsidP="00663D52" w14:paraId="1CE1EB25" w14:textId="77777777">
      <w:pPr>
        <w:tabs>
          <w:tab w:val="left" w:pos="-1440"/>
        </w:tabs>
        <w:ind w:left="720"/>
        <w:rPr>
          <w:rFonts w:ascii="Times New Roman" w:hAnsi="Times New Roman"/>
        </w:rPr>
      </w:pPr>
    </w:p>
    <w:p w:rsidR="00B27061" w:rsidRPr="00914A5D" w:rsidP="00914A5D" w14:paraId="0A96F28A"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DC6F0F" w:rsidP="00EA0A73" w14:paraId="1CF6C466" w14:textId="77777777">
      <w:pPr>
        <w:tabs>
          <w:tab w:val="left" w:pos="-1440"/>
        </w:tabs>
        <w:rPr>
          <w:rFonts w:ascii="Times New Roman" w:hAnsi="Times New Roman"/>
        </w:rPr>
      </w:pPr>
      <w:bookmarkStart w:id="1" w:name="_Hlk89956302"/>
    </w:p>
    <w:bookmarkEnd w:id="1"/>
    <w:p w:rsidR="00A21E30" w:rsidRPr="00C07EBC" w:rsidP="00A21E30" w14:paraId="0259C000" w14:textId="77777777">
      <w:pPr>
        <w:ind w:left="720"/>
        <w:rPr>
          <w:rFonts w:ascii="Times New Roman" w:hAnsi="Times New Roman"/>
        </w:rPr>
      </w:pPr>
      <w:r w:rsidRPr="00A02F3D">
        <w:rPr>
          <w:rFonts w:ascii="Times New Roman" w:hAnsi="Times New Roman"/>
        </w:rPr>
        <w:t>There is no change to the hour or cost burden estimates associated with this collection of information</w:t>
      </w:r>
      <w:r>
        <w:rPr>
          <w:rFonts w:ascii="Times New Roman" w:hAnsi="Times New Roman"/>
        </w:rPr>
        <w:t xml:space="preserve">. </w:t>
      </w:r>
    </w:p>
    <w:p w:rsidR="005B6129" w:rsidRPr="0029577A" w:rsidP="00914A5D" w14:paraId="53CADA21" w14:textId="77777777">
      <w:pPr>
        <w:ind w:left="720"/>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6049A7">
      <w:footerReference w:type="even" r:id="rId8"/>
      <w:footerReference w:type="default" r:id="rId9"/>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2945A8">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921937665">
    <w:abstractNumId w:val="6"/>
  </w:num>
  <w:num w:numId="2" w16cid:durableId="1397707239">
    <w:abstractNumId w:val="0"/>
  </w:num>
  <w:num w:numId="3" w16cid:durableId="1520201178">
    <w:abstractNumId w:val="5"/>
  </w:num>
  <w:num w:numId="4" w16cid:durableId="1187674454">
    <w:abstractNumId w:val="7"/>
  </w:num>
  <w:num w:numId="5" w16cid:durableId="864251053">
    <w:abstractNumId w:val="1"/>
  </w:num>
  <w:num w:numId="6" w16cid:durableId="597833625">
    <w:abstractNumId w:val="4"/>
  </w:num>
  <w:num w:numId="7" w16cid:durableId="253057750">
    <w:abstractNumId w:val="3"/>
  </w:num>
  <w:num w:numId="8" w16cid:durableId="1289164153">
    <w:abstractNumId w:val="2"/>
  </w:num>
  <w:num w:numId="9" w16cid:durableId="408843169">
    <w:abstractNumId w:val="8"/>
  </w:num>
  <w:num w:numId="10" w16cid:durableId="10949417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5359F"/>
    <w:rsid w:val="00065B31"/>
    <w:rsid w:val="000712DA"/>
    <w:rsid w:val="00080CE0"/>
    <w:rsid w:val="00093DB1"/>
    <w:rsid w:val="00096B94"/>
    <w:rsid w:val="00096F1D"/>
    <w:rsid w:val="000A42FA"/>
    <w:rsid w:val="000A4783"/>
    <w:rsid w:val="000B00D2"/>
    <w:rsid w:val="000B6DCD"/>
    <w:rsid w:val="000C3216"/>
    <w:rsid w:val="000D6A0C"/>
    <w:rsid w:val="000F1A9A"/>
    <w:rsid w:val="00101DB2"/>
    <w:rsid w:val="0010769F"/>
    <w:rsid w:val="001415B0"/>
    <w:rsid w:val="001815EE"/>
    <w:rsid w:val="0019320E"/>
    <w:rsid w:val="001A595D"/>
    <w:rsid w:val="001A6D21"/>
    <w:rsid w:val="001D6CE7"/>
    <w:rsid w:val="001E6948"/>
    <w:rsid w:val="001F67BB"/>
    <w:rsid w:val="0020110E"/>
    <w:rsid w:val="00215244"/>
    <w:rsid w:val="002523B9"/>
    <w:rsid w:val="002945A8"/>
    <w:rsid w:val="0029577A"/>
    <w:rsid w:val="002A4A73"/>
    <w:rsid w:val="002B6812"/>
    <w:rsid w:val="002C3934"/>
    <w:rsid w:val="002E199D"/>
    <w:rsid w:val="002E7594"/>
    <w:rsid w:val="003037D3"/>
    <w:rsid w:val="00326131"/>
    <w:rsid w:val="00330469"/>
    <w:rsid w:val="003338D4"/>
    <w:rsid w:val="003821FB"/>
    <w:rsid w:val="0039427E"/>
    <w:rsid w:val="003A0F52"/>
    <w:rsid w:val="004360BC"/>
    <w:rsid w:val="00494557"/>
    <w:rsid w:val="004F08DD"/>
    <w:rsid w:val="004F3779"/>
    <w:rsid w:val="005219CF"/>
    <w:rsid w:val="00524E9E"/>
    <w:rsid w:val="00525E40"/>
    <w:rsid w:val="005260A7"/>
    <w:rsid w:val="005423DD"/>
    <w:rsid w:val="0054585A"/>
    <w:rsid w:val="005543AD"/>
    <w:rsid w:val="00590B61"/>
    <w:rsid w:val="005B6129"/>
    <w:rsid w:val="005C3DD7"/>
    <w:rsid w:val="00603702"/>
    <w:rsid w:val="006049A7"/>
    <w:rsid w:val="00630F62"/>
    <w:rsid w:val="0063778A"/>
    <w:rsid w:val="00662686"/>
    <w:rsid w:val="00662D05"/>
    <w:rsid w:val="00663D52"/>
    <w:rsid w:val="006A0405"/>
    <w:rsid w:val="006A0CC6"/>
    <w:rsid w:val="006B0B31"/>
    <w:rsid w:val="006B38F6"/>
    <w:rsid w:val="006C79B6"/>
    <w:rsid w:val="006D39AE"/>
    <w:rsid w:val="006E606E"/>
    <w:rsid w:val="006F083F"/>
    <w:rsid w:val="006F091A"/>
    <w:rsid w:val="006F4F45"/>
    <w:rsid w:val="006F537C"/>
    <w:rsid w:val="00701FE9"/>
    <w:rsid w:val="00703B09"/>
    <w:rsid w:val="0071391D"/>
    <w:rsid w:val="007312F9"/>
    <w:rsid w:val="00732851"/>
    <w:rsid w:val="00765E88"/>
    <w:rsid w:val="00792B9D"/>
    <w:rsid w:val="007B32A5"/>
    <w:rsid w:val="007B43C9"/>
    <w:rsid w:val="007C03A1"/>
    <w:rsid w:val="007E6F17"/>
    <w:rsid w:val="007F5988"/>
    <w:rsid w:val="007F70DB"/>
    <w:rsid w:val="00807BA2"/>
    <w:rsid w:val="0081460B"/>
    <w:rsid w:val="008255EE"/>
    <w:rsid w:val="00833B6C"/>
    <w:rsid w:val="00847763"/>
    <w:rsid w:val="0085398F"/>
    <w:rsid w:val="00863610"/>
    <w:rsid w:val="008A42B6"/>
    <w:rsid w:val="008A4764"/>
    <w:rsid w:val="008D0F4C"/>
    <w:rsid w:val="008D7291"/>
    <w:rsid w:val="008E391C"/>
    <w:rsid w:val="008F233F"/>
    <w:rsid w:val="008F74F4"/>
    <w:rsid w:val="009147A2"/>
    <w:rsid w:val="00914A5D"/>
    <w:rsid w:val="00920D27"/>
    <w:rsid w:val="00921351"/>
    <w:rsid w:val="00944A8A"/>
    <w:rsid w:val="009556EE"/>
    <w:rsid w:val="009660C1"/>
    <w:rsid w:val="00974223"/>
    <w:rsid w:val="009813C2"/>
    <w:rsid w:val="009D1DF6"/>
    <w:rsid w:val="009D3B71"/>
    <w:rsid w:val="009D5D2B"/>
    <w:rsid w:val="009F15D0"/>
    <w:rsid w:val="00A02F3D"/>
    <w:rsid w:val="00A05B27"/>
    <w:rsid w:val="00A21E30"/>
    <w:rsid w:val="00A3466A"/>
    <w:rsid w:val="00A447D7"/>
    <w:rsid w:val="00A5237F"/>
    <w:rsid w:val="00A56B2D"/>
    <w:rsid w:val="00A765B0"/>
    <w:rsid w:val="00A847D1"/>
    <w:rsid w:val="00AC1755"/>
    <w:rsid w:val="00AF45F2"/>
    <w:rsid w:val="00B0571D"/>
    <w:rsid w:val="00B0616B"/>
    <w:rsid w:val="00B1471A"/>
    <w:rsid w:val="00B27061"/>
    <w:rsid w:val="00B31EBB"/>
    <w:rsid w:val="00B43782"/>
    <w:rsid w:val="00B635A9"/>
    <w:rsid w:val="00B7349D"/>
    <w:rsid w:val="00B75A2C"/>
    <w:rsid w:val="00B84471"/>
    <w:rsid w:val="00B94E6F"/>
    <w:rsid w:val="00BB1D8D"/>
    <w:rsid w:val="00BD3260"/>
    <w:rsid w:val="00BE3C63"/>
    <w:rsid w:val="00BE4823"/>
    <w:rsid w:val="00C04531"/>
    <w:rsid w:val="00C07EBC"/>
    <w:rsid w:val="00C3345E"/>
    <w:rsid w:val="00C425CE"/>
    <w:rsid w:val="00C62A1F"/>
    <w:rsid w:val="00C9224C"/>
    <w:rsid w:val="00C97339"/>
    <w:rsid w:val="00CD6D53"/>
    <w:rsid w:val="00D049AD"/>
    <w:rsid w:val="00D118B8"/>
    <w:rsid w:val="00D15779"/>
    <w:rsid w:val="00D22B13"/>
    <w:rsid w:val="00D3403B"/>
    <w:rsid w:val="00D441AC"/>
    <w:rsid w:val="00D75BA2"/>
    <w:rsid w:val="00D75CCA"/>
    <w:rsid w:val="00D80E94"/>
    <w:rsid w:val="00DA2D6B"/>
    <w:rsid w:val="00DB3C83"/>
    <w:rsid w:val="00DC6F0F"/>
    <w:rsid w:val="00DE08FF"/>
    <w:rsid w:val="00E15619"/>
    <w:rsid w:val="00E61E1B"/>
    <w:rsid w:val="00E77B24"/>
    <w:rsid w:val="00E85D6D"/>
    <w:rsid w:val="00E91139"/>
    <w:rsid w:val="00EA0A73"/>
    <w:rsid w:val="00EA1FB2"/>
    <w:rsid w:val="00EC3504"/>
    <w:rsid w:val="00EC5F60"/>
    <w:rsid w:val="00ED065A"/>
    <w:rsid w:val="00ED4E0C"/>
    <w:rsid w:val="00ED7F08"/>
    <w:rsid w:val="00EE4DC8"/>
    <w:rsid w:val="00F424E7"/>
    <w:rsid w:val="00F53396"/>
    <w:rsid w:val="00F616FE"/>
    <w:rsid w:val="00FD21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paragraph" w:styleId="Revision">
    <w:name w:val="Revision"/>
    <w:hidden/>
    <w:uiPriority w:val="99"/>
    <w:semiHidden/>
    <w:rsid w:val="005219CF"/>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bls.gov/oes/current/oes_nat.htm"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82" ma:contentTypeDescription="Create a new document." ma:contentTypeScope="" ma:versionID="65d972d2d65282568b2f3b89e749ed30">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c2693e0a71b737414c830e2462818c44"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element ref="ns1:Current_x0020_Phase_x0020_End_x0020_Date" minOccurs="0"/>
                <xsd:element ref="ns1:Current_x0020_Phase_x0020_Start_x0020_Date" minOccurs="0"/>
                <xsd:element ref="ns1:Next_x0020_Phase" minOccurs="0"/>
                <xsd:element ref="ns1:Next_x0020_Phase_x0020_Start_x0020_Date" minOccurs="0"/>
                <xsd:element ref="ns1:Next_x0020_Phase_x0020_End_x0020_Date" minOccurs="0"/>
                <xsd:element ref="ns1:Filing_x0020_Mechanism_x0020_Impa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xsd:simpleType>
        <xsd:restriction base="dms:Text">
          <xsd:maxLength value="10"/>
        </xsd:restriction>
      </xsd:simpleType>
    </xsd:element>
    <xsd:element name="Priority" ma:index="11" nillable="true" ma:displayName="Burden Reduction Effort" ma:default="0" ma:indexed="true"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element name="Instruments_x0020_Updated_x0020_For_x0020_Phase" ma:index="35" nillable="true" ma:displayName="Instruments Updated For Phase" ma:default="0" ma:internalName="Instruments_x0020_Updated_x0020_For_x0020_Phase">
      <xsd:simpleType>
        <xsd:restriction base="dms:Boolean"/>
      </xsd:simpleType>
    </xsd:element>
    <xsd:element name="PRA_x0020_Section_x0020_Updated" ma:index="36" nillable="true" ma:displayName="PRA Section Updated" ma:default="0" ma:internalName="PRA_x0020_Section_x0020_Updated">
      <xsd:simpleType>
        <xsd:restriction base="dms:Boolean"/>
      </xsd:simpleType>
    </xsd:element>
    <xsd:element name="Time_x0020_Burden_x0020_Provided" ma:index="37" nillable="true" ma:displayName="Time Burden Provided" ma:default="0" ma:internalName="Time_x0020_Burden_x0020_Provided">
      <xsd:simpleType>
        <xsd:restriction base="dms:Boolean"/>
      </xsd:simpleType>
    </xsd:element>
    <xsd:element name="Current_x0020_Phase_x0020_End_x0020_Date" ma:index="38" nillable="true" ma:displayName="Current Phase End Date" ma:description="Draft - do not use" ma:format="DateOnly" ma:internalName="Current_x0020_Phase_x0020_End_x0020_Date">
      <xsd:simpleType>
        <xsd:restriction base="dms:DateTime"/>
      </xsd:simpleType>
    </xsd:element>
    <xsd:element name="Current_x0020_Phase_x0020_Start_x0020_Date" ma:index="39" nillable="true" ma:displayName="Current Phase Start Date" ma:description="Draft - do not use" ma:format="DateOnly" ma:internalName="Current_x0020_Phase_x0020_Start_x0020_Date">
      <xsd:simpleType>
        <xsd:restriction base="dms:DateTime"/>
      </xsd:simpleType>
    </xsd:element>
    <xsd:element name="Next_x0020_Phase" ma:index="40" nillable="true" ma:displayName="Next Phase" ma:default="PRA Package Development" ma:description="Draft - do not use" ma:format="Dropdown" ma:internalName="Next_x0020_Phase">
      <xsd:simpleType>
        <xsd:restriction base="dms:Choice">
          <xsd:enumeration value="PRA Package Development"/>
          <xsd:enumeration value="G-1056"/>
          <xsd:enumeration value="Director's Office Review"/>
          <xsd:enumeration value="60-Day FRN Development"/>
          <xsd:enumeration value="60-day FRN Comment Period"/>
          <xsd:enumeration value="60-day Comment Review"/>
          <xsd:enumeration value="30-Day FRN Development"/>
          <xsd:enumeration value="30-day FRN Comment Period"/>
          <xsd:enumeration value="30-day Comment Review"/>
          <xsd:enumeration value="Notified DHS PRA"/>
          <xsd:enumeration value="Submitted to OMB"/>
          <xsd:enumeration value="OMB Approved"/>
          <xsd:enumeration value="OGC Rule Review"/>
          <xsd:enumeration value="OMB Initial Rule Review"/>
          <xsd:enumeration value="Project Closed"/>
          <xsd:enumeration value="Project Suspended"/>
          <xsd:enumeration value="No Process"/>
          <xsd:enumeration value="Placeholder"/>
        </xsd:restriction>
      </xsd:simpleType>
    </xsd:element>
    <xsd:element name="Next_x0020_Phase_x0020_Start_x0020_Date" ma:index="41" nillable="true" ma:displayName="Next Phase Start Date" ma:description="Draft - do not use" ma:format="DateOnly" ma:internalName="Next_x0020_Phase_x0020_Start_x0020_Date">
      <xsd:simpleType>
        <xsd:restriction base="dms:DateTime"/>
      </xsd:simpleType>
    </xsd:element>
    <xsd:element name="Next_x0020_Phase_x0020_End_x0020_Date" ma:index="42" nillable="true" ma:displayName="Next Phase End Date" ma:description="Draft - do not use" ma:format="DateOnly" ma:internalName="Next_x0020_Phase_x0020_End_x0020_Date">
      <xsd:simpleType>
        <xsd:restriction base="dms:DateTime"/>
      </xsd:simpleType>
    </xsd:element>
    <xsd:element name="Filing_x0020_Mechanism_x0020_Impacted" ma:index="43" nillable="true" ma:displayName="Filing Mechanism Impacted" ma:description="Identify the filing mechanisms impacted by this project" ma:internalName="Filing_x0020_Mechanism_x0020_Impacted">
      <xsd:complexType>
        <xsd:complexContent>
          <xsd:extension base="dms:MultiChoice">
            <xsd:sequence>
              <xsd:element name="Value" maxOccurs="unbounded" minOccurs="0" nillable="true">
                <xsd:simpleType>
                  <xsd:restriction base="dms:Choice">
                    <xsd:enumeration value="Paper - Lockbox/C3"/>
                    <xsd:enumeration value="Paper - Lockbox/ELIS"/>
                    <xsd:enumeration value="Paper - No Data Ingestion/Supporting Document/ELIS Data Entry"/>
                    <xsd:enumeration value="Paper - Lockbox/Global"/>
                    <xsd:enumeration value="Paper - Lockbox/Other"/>
                    <xsd:enumeration value="Online - MyUSCIS/ELIS"/>
                    <xsd:enumeration value="Online - Other"/>
                    <xsd:enumeration value="Paper - No Data Ingestion/Supporting Document/C3 Data Entry"/>
                    <xsd:enumeration value="Paper - No Data Ingestion/Supporting Document/Global Data Entry"/>
                    <xsd:enumeration value="Paper - No Data Ingestion/Supporting Document/No Data Entry"/>
                    <xsd:enumeration value="Online - MyUSCIS/Supporting Documentation"/>
                    <xsd:enumeration value="Online - Other/Supporting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OMB_x0020_Conclusion_x0020_Date xmlns="2589310c-5316-40b3-b68d-4735ac72f265" xsi:nil="true"/>
    <Date_x0020_Completed xmlns="2589310c-5316-40b3-b68d-4735ac72f265" xsi:nil="tru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Estimated_x0020_Project_x0020_End_x0020_Date xmlns="2589310c-5316-40b3-b68d-4735ac72f265" xsi:nil="true"/>
    <ROCIS_x0020_ICR_x0023_ xmlns="2589310c-5316-40b3-b68d-4735ac72f265" xsi:nil="true"/>
    <Rule_x0020_Short_x0020_Name xmlns="2589310c-5316-40b3-b68d-4735ac72f265" xsi:nil="true"/>
    <Rule xmlns="2589310c-5316-40b3-b68d-4735ac72f265">false</Rule>
    <Priority_x0020_Type xmlns="2589310c-5316-40b3-b68d-4735ac72f265" xsi:nil="true"/>
    <Next_x0020_Phase_x0020_Start_x0020_Date xmlns="2589310c-5316-40b3-b68d-4735ac72f265" xsi:nil="true"/>
    <Next_x0020_Phase xmlns="2589310c-5316-40b3-b68d-4735ac72f265">PRA Package Development</Next_x0020_Phase>
    <Biweekly_x0020_Update xmlns="2589310c-5316-40b3-b68d-4735ac72f265">false</Biweekly_x0020_Update>
    <Current_x0020_Phase_x0020_Start_x0020_Date xmlns="2589310c-5316-40b3-b68d-4735ac72f265" xsi:nil="true"/>
    <Time_x0020_Burden_x0020_Provided xmlns="2589310c-5316-40b3-b68d-4735ac72f265">false</Time_x0020_Burden_x0020_Provided>
    <Instruments_x0020_Updated_x0020_For_x0020_Phase xmlns="2589310c-5316-40b3-b68d-4735ac72f265">false</Instruments_x0020_Updated_x0020_For_x0020_Phase>
    <Current_x0020_Phase_x0020_End_x0020_Date xmlns="2589310c-5316-40b3-b68d-4735ac72f265" xsi:nil="true"/>
    <PRA_x0020_Section_x0020_Updated xmlns="2589310c-5316-40b3-b68d-4735ac72f265">false</PRA_x0020_Section_x0020_Updated>
    <Next_x0020_Phase_x0020_End_x0020_Date xmlns="2589310c-5316-40b3-b68d-4735ac72f265" xsi:nil="true"/>
    <Filing_x0020_Mechanism_x0020_Impacted xmlns="2589310c-5316-40b3-b68d-4735ac72f265"/>
  </documentManagement>
</p:properties>
</file>

<file path=customXml/itemProps1.xml><?xml version="1.0" encoding="utf-8"?>
<ds:datastoreItem xmlns:ds="http://schemas.openxmlformats.org/officeDocument/2006/customXml" ds:itemID="{A117666B-E894-409D-8A19-3B9D75237CD9}">
  <ds:schemaRefs>
    <ds:schemaRef ds:uri="http://schemas.microsoft.com/sharepoint/v3/contenttype/forms"/>
  </ds:schemaRefs>
</ds:datastoreItem>
</file>

<file path=customXml/itemProps2.xml><?xml version="1.0" encoding="utf-8"?>
<ds:datastoreItem xmlns:ds="http://schemas.openxmlformats.org/officeDocument/2006/customXml" ds:itemID="{A58DE4C1-D627-46E8-B34C-AB06598A5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E2F230-6EE9-43F5-93AA-9A1959617DB7}">
  <ds:schemaRefs>
    <ds:schemaRef ds:uri="http://schemas.microsoft.com/office/2006/metadata/properties"/>
    <ds:schemaRef ds:uri="http://www.w3.org/XML/1998/namespace"/>
    <ds:schemaRef ds:uri="http://purl.org/dc/terms/"/>
    <ds:schemaRef ds:uri="2589310c-5316-40b3-b68d-4735ac72f265"/>
    <ds:schemaRef ds:uri="http://schemas.microsoft.com/office/2006/documentManagement/types"/>
    <ds:schemaRef ds:uri="http://schemas.microsoft.com/office/infopath/2007/PartnerControls"/>
    <ds:schemaRef ds:uri="bf094c2b-8036-49e0-a2b2-a973ea273ca5"/>
    <ds:schemaRef ds:uri="http://purl.org/dc/dcmitype/"/>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2031</TotalTime>
  <Pages>8</Pages>
  <Words>2505</Words>
  <Characters>14389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Supporting Statement A Template 2021-04-15.docx</vt:lpstr>
    </vt:vector>
  </TitlesOfParts>
  <Company>Transportation Security Administration</Company>
  <LinksUpToDate>false</LinksUpToDate>
  <CharactersWithSpaces>16861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2021-04-15.docx</dc:title>
  <dc:creator>TSA Standard PC User</dc:creator>
  <cp:lastModifiedBy>Avendano, Manuel A</cp:lastModifiedBy>
  <cp:revision>45</cp:revision>
  <cp:lastPrinted>2010-05-14T16:20:00Z</cp:lastPrinted>
  <dcterms:created xsi:type="dcterms:W3CDTF">2021-04-15T20:09:00Z</dcterms:created>
  <dcterms:modified xsi:type="dcterms:W3CDTF">2023-12-21T14:08:00Z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FRN Website">
    <vt:lpwstr>, </vt:lpwstr>
  </property>
  <property fmtid="{D5CDD505-2E9C-101B-9397-08002B2CF9AE}" pid="3" name="60-Day FRN Website">
    <vt:lpwstr>, </vt:lpwstr>
  </property>
  <property fmtid="{D5CDD505-2E9C-101B-9397-08002B2CF9AE}" pid="4" name="ContentTypeId">
    <vt:lpwstr>0x010100C6D5EFC364C7304DA469BF4FFD5EE557</vt:lpwstr>
  </property>
  <property fmtid="{D5CDD505-2E9C-101B-9397-08002B2CF9AE}" pid="5" name="RegInfo IC Website">
    <vt:lpwstr>, </vt:lpwstr>
  </property>
  <property fmtid="{D5CDD505-2E9C-101B-9397-08002B2CF9AE}" pid="6" name="_docset_NoMedatataSyncRequired">
    <vt:lpwstr>False</vt:lpwstr>
  </property>
</Properties>
</file>