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07C4" w:rsidRPr="001963C6" w:rsidP="006D745A" w14:paraId="50F577F9" w14:textId="77777777">
      <w:pPr>
        <w:keepNext/>
        <w:widowControl w:val="0"/>
        <w:overflowPunct/>
        <w:autoSpaceDE/>
        <w:autoSpaceDN/>
        <w:adjustRightInd/>
        <w:snapToGrid w:val="0"/>
        <w:jc w:val="center"/>
        <w:textAlignment w:val="auto"/>
        <w:outlineLvl w:val="4"/>
        <w:rPr>
          <w:b/>
          <w:bCs/>
          <w:sz w:val="24"/>
        </w:rPr>
      </w:pPr>
      <w:r w:rsidRPr="001963C6">
        <w:rPr>
          <w:b/>
          <w:bCs/>
          <w:sz w:val="24"/>
        </w:rPr>
        <w:t>Supporting Statement</w:t>
      </w:r>
    </w:p>
    <w:p w:rsidR="00F407C4" w:rsidRPr="001963C6" w:rsidP="006D745A" w14:paraId="50F577FA" w14:textId="77777777">
      <w:pPr>
        <w:keepNext/>
        <w:widowControl w:val="0"/>
        <w:overflowPunct/>
        <w:autoSpaceDE/>
        <w:autoSpaceDN/>
        <w:adjustRightInd/>
        <w:snapToGrid w:val="0"/>
        <w:jc w:val="center"/>
        <w:textAlignment w:val="auto"/>
        <w:outlineLvl w:val="4"/>
        <w:rPr>
          <w:b/>
          <w:bCs/>
          <w:sz w:val="24"/>
        </w:rPr>
      </w:pPr>
      <w:r w:rsidRPr="001963C6">
        <w:rPr>
          <w:b/>
          <w:bCs/>
          <w:sz w:val="24"/>
        </w:rPr>
        <w:t>for</w:t>
      </w:r>
    </w:p>
    <w:p w:rsidR="00F407C4" w:rsidRPr="001963C6" w:rsidP="006D745A" w14:paraId="50F577FB" w14:textId="77777777">
      <w:pPr>
        <w:keepNext/>
        <w:widowControl w:val="0"/>
        <w:overflowPunct/>
        <w:autoSpaceDE/>
        <w:autoSpaceDN/>
        <w:adjustRightInd/>
        <w:snapToGrid w:val="0"/>
        <w:jc w:val="center"/>
        <w:textAlignment w:val="auto"/>
        <w:outlineLvl w:val="4"/>
        <w:rPr>
          <w:b/>
          <w:bCs/>
          <w:sz w:val="24"/>
        </w:rPr>
      </w:pPr>
      <w:r w:rsidRPr="001963C6">
        <w:rPr>
          <w:b/>
          <w:bCs/>
          <w:sz w:val="24"/>
        </w:rPr>
        <w:t>Official Logbook</w:t>
      </w:r>
    </w:p>
    <w:p w:rsidR="00F407C4" w:rsidP="006D745A" w14:paraId="50F577FC" w14:textId="77777777">
      <w:pPr>
        <w:keepNext/>
        <w:widowControl w:val="0"/>
        <w:overflowPunct/>
        <w:autoSpaceDE/>
        <w:autoSpaceDN/>
        <w:adjustRightInd/>
        <w:snapToGrid w:val="0"/>
        <w:jc w:val="center"/>
        <w:textAlignment w:val="auto"/>
        <w:outlineLvl w:val="4"/>
        <w:rPr>
          <w:bCs/>
          <w:sz w:val="24"/>
        </w:rPr>
      </w:pPr>
      <w:r>
        <w:rPr>
          <w:bCs/>
          <w:sz w:val="24"/>
        </w:rPr>
        <w:t xml:space="preserve"> </w:t>
      </w:r>
    </w:p>
    <w:p w:rsidR="00F407C4" w:rsidP="006D745A" w14:paraId="50F577FD" w14:textId="77777777">
      <w:pPr>
        <w:keepNext/>
        <w:widowControl w:val="0"/>
        <w:overflowPunct/>
        <w:autoSpaceDE/>
        <w:autoSpaceDN/>
        <w:adjustRightInd/>
        <w:snapToGrid w:val="0"/>
        <w:jc w:val="center"/>
        <w:textAlignment w:val="auto"/>
        <w:outlineLvl w:val="4"/>
        <w:rPr>
          <w:bCs/>
          <w:sz w:val="24"/>
        </w:rPr>
      </w:pPr>
      <w:r>
        <w:rPr>
          <w:bCs/>
          <w:sz w:val="24"/>
        </w:rPr>
        <w:t>OMB No.:  1625-0018</w:t>
      </w:r>
    </w:p>
    <w:p w:rsidR="00F407C4" w:rsidP="006D745A" w14:paraId="50F577FE" w14:textId="77777777">
      <w:pPr>
        <w:keepNext/>
        <w:widowControl w:val="0"/>
        <w:overflowPunct/>
        <w:autoSpaceDE/>
        <w:autoSpaceDN/>
        <w:adjustRightInd/>
        <w:snapToGrid w:val="0"/>
        <w:jc w:val="center"/>
        <w:textAlignment w:val="auto"/>
        <w:outlineLvl w:val="4"/>
        <w:rPr>
          <w:bCs/>
          <w:sz w:val="24"/>
        </w:rPr>
      </w:pPr>
      <w:r>
        <w:rPr>
          <w:bCs/>
          <w:sz w:val="24"/>
        </w:rPr>
        <w:t>COLLECTION INSTRUMENTS:  Instruction and CG-706B</w:t>
      </w:r>
    </w:p>
    <w:p w:rsidR="006D745A" w:rsidRPr="00105C5C" w:rsidP="006D745A" w14:paraId="50F577FF" w14:textId="77777777">
      <w:pPr>
        <w:widowControl w:val="0"/>
        <w:overflowPunct/>
        <w:autoSpaceDE/>
        <w:autoSpaceDN/>
        <w:adjustRightInd/>
        <w:snapToGrid w:val="0"/>
        <w:textAlignment w:val="auto"/>
        <w:rPr>
          <w:sz w:val="24"/>
        </w:rPr>
      </w:pPr>
    </w:p>
    <w:p w:rsidR="006D745A" w:rsidRPr="00105C5C" w:rsidP="004D6AA2" w14:paraId="50F57800" w14:textId="77777777">
      <w:pPr>
        <w:keepNext/>
        <w:widowControl w:val="0"/>
        <w:numPr>
          <w:ilvl w:val="0"/>
          <w:numId w:val="1"/>
        </w:numPr>
        <w:tabs>
          <w:tab w:val="num" w:pos="450"/>
          <w:tab w:val="clear" w:pos="810"/>
        </w:tabs>
        <w:overflowPunct/>
        <w:autoSpaceDE/>
        <w:autoSpaceDN/>
        <w:adjustRightInd/>
        <w:snapToGrid w:val="0"/>
        <w:ind w:hanging="810"/>
        <w:textAlignment w:val="auto"/>
        <w:outlineLvl w:val="3"/>
        <w:rPr>
          <w:bCs/>
          <w:sz w:val="24"/>
        </w:rPr>
      </w:pPr>
      <w:r w:rsidRPr="00105C5C">
        <w:rPr>
          <w:bCs/>
          <w:sz w:val="24"/>
        </w:rPr>
        <w:t xml:space="preserve"> Justification</w:t>
      </w:r>
    </w:p>
    <w:p w:rsidR="006D745A" w:rsidRPr="00105C5C" w:rsidP="006D745A" w14:paraId="50F57801" w14:textId="77777777">
      <w:pPr>
        <w:widowControl w:val="0"/>
        <w:overflowPunct/>
        <w:autoSpaceDE/>
        <w:autoSpaceDN/>
        <w:adjustRightInd/>
        <w:snapToGrid w:val="0"/>
        <w:textAlignment w:val="auto"/>
      </w:pPr>
    </w:p>
    <w:p w:rsidR="006D745A" w:rsidRPr="00105C5C" w:rsidP="004D6AA2" w14:paraId="50F57802" w14:textId="77777777">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Circumstances that make the collection of information necessary:</w:t>
      </w:r>
      <w:r w:rsidRPr="00105C5C">
        <w:rPr>
          <w:sz w:val="24"/>
        </w:rPr>
        <w:t xml:space="preserve">  The Coast Guard is tasked with the commercial vessel safety program.  As part of this tasking, Title 46, United States Code (USC) 11301, </w:t>
      </w:r>
      <w:r w:rsidRPr="00105C5C" w:rsidR="00CB6E20">
        <w:rPr>
          <w:sz w:val="24"/>
        </w:rPr>
        <w:t>113</w:t>
      </w:r>
      <w:r w:rsidRPr="00105C5C">
        <w:rPr>
          <w:sz w:val="24"/>
        </w:rPr>
        <w:t xml:space="preserve">02, </w:t>
      </w:r>
      <w:r w:rsidRPr="00105C5C" w:rsidR="00CB6E20">
        <w:rPr>
          <w:sz w:val="24"/>
        </w:rPr>
        <w:t>113</w:t>
      </w:r>
      <w:r w:rsidRPr="00105C5C">
        <w:rPr>
          <w:sz w:val="24"/>
        </w:rPr>
        <w:t>03</w:t>
      </w:r>
      <w:r w:rsidRPr="00105C5C" w:rsidR="00F1753C">
        <w:rPr>
          <w:sz w:val="24"/>
        </w:rPr>
        <w:t xml:space="preserve">, and 11304 </w:t>
      </w:r>
      <w:r w:rsidRPr="00105C5C">
        <w:rPr>
          <w:sz w:val="24"/>
        </w:rPr>
        <w:t xml:space="preserve">require </w:t>
      </w:r>
      <w:r w:rsidRPr="00105C5C" w:rsidR="00AC7B04">
        <w:rPr>
          <w:sz w:val="24"/>
        </w:rPr>
        <w:t>applicable</w:t>
      </w:r>
      <w:r w:rsidRPr="00105C5C">
        <w:rPr>
          <w:sz w:val="24"/>
        </w:rPr>
        <w:t xml:space="preserve"> merchant vessels to maintain an Official Logbook.  The Official Logbook pr</w:t>
      </w:r>
      <w:r w:rsidRPr="00105C5C">
        <w:rPr>
          <w:sz w:val="24"/>
        </w:rPr>
        <w:t xml:space="preserve">ovides </w:t>
      </w:r>
      <w:r w:rsidRPr="00105C5C" w:rsidR="00AC7B04">
        <w:rPr>
          <w:sz w:val="24"/>
        </w:rPr>
        <w:t>a</w:t>
      </w:r>
      <w:r w:rsidRPr="00105C5C">
        <w:rPr>
          <w:sz w:val="24"/>
        </w:rPr>
        <w:t xml:space="preserve"> vehicle through which many statutory and regulatory record keeping requirements are maintained.  </w:t>
      </w:r>
    </w:p>
    <w:p w:rsidR="006D745A" w:rsidRPr="00105C5C" w:rsidP="006D745A" w14:paraId="50F57803" w14:textId="77777777">
      <w:pPr>
        <w:widowControl w:val="0"/>
        <w:overflowPunct/>
        <w:autoSpaceDE/>
        <w:autoSpaceDN/>
        <w:adjustRightInd/>
        <w:snapToGrid w:val="0"/>
        <w:textAlignment w:val="auto"/>
        <w:rPr>
          <w:sz w:val="24"/>
        </w:rPr>
      </w:pPr>
    </w:p>
    <w:p w:rsidR="006D745A" w:rsidRPr="00105C5C" w:rsidP="004D6AA2" w14:paraId="50F57804" w14:textId="243E4099">
      <w:pPr>
        <w:widowControl w:val="0"/>
        <w:numPr>
          <w:ilvl w:val="0"/>
          <w:numId w:val="2"/>
        </w:numPr>
        <w:tabs>
          <w:tab w:val="clear" w:pos="432"/>
          <w:tab w:val="num" w:pos="864"/>
        </w:tabs>
        <w:overflowPunct/>
        <w:autoSpaceDE/>
        <w:autoSpaceDN/>
        <w:adjustRightInd/>
        <w:snapToGrid w:val="0"/>
        <w:ind w:left="864"/>
        <w:textAlignment w:val="auto"/>
        <w:rPr>
          <w:sz w:val="24"/>
        </w:rPr>
      </w:pPr>
      <w:r w:rsidRPr="00105C5C">
        <w:rPr>
          <w:bCs/>
          <w:sz w:val="24"/>
          <w:u w:val="single"/>
        </w:rPr>
        <w:t>What purpose is the information to be used:</w:t>
      </w:r>
      <w:r w:rsidRPr="00105C5C">
        <w:rPr>
          <w:sz w:val="24"/>
        </w:rPr>
        <w:t xml:space="preserve">  Information is used by federal and/or civil courts in instances of injury or litigation between a seama</w:t>
      </w:r>
      <w:r w:rsidRPr="00105C5C">
        <w:rPr>
          <w:sz w:val="24"/>
        </w:rPr>
        <w:t xml:space="preserve">n and </w:t>
      </w:r>
      <w:r w:rsidRPr="00105C5C" w:rsidR="00AC7B04">
        <w:rPr>
          <w:sz w:val="24"/>
        </w:rPr>
        <w:t>a</w:t>
      </w:r>
      <w:r w:rsidRPr="00105C5C">
        <w:rPr>
          <w:sz w:val="24"/>
        </w:rPr>
        <w:t xml:space="preserve"> shipping company (employer).  Coast Guard inspectors use the information to determine compliance with various laws and to examine incidents of shipboard misconduct.  The Official Logbook may also be used by casualty investigators to </w:t>
      </w:r>
      <w:r w:rsidR="00F8745C">
        <w:rPr>
          <w:sz w:val="24"/>
        </w:rPr>
        <w:t>determine timelines, locations, and other factors related to a marine casualty</w:t>
      </w:r>
      <w:r w:rsidRPr="00105C5C">
        <w:rPr>
          <w:sz w:val="24"/>
        </w:rPr>
        <w:t xml:space="preserve">.  If the information were not collected, the commercial vessel safety program would </w:t>
      </w:r>
      <w:r w:rsidRPr="00105C5C" w:rsidR="00AC7B04">
        <w:rPr>
          <w:sz w:val="24"/>
        </w:rPr>
        <w:t>be negatively impacted</w:t>
      </w:r>
      <w:r w:rsidRPr="00105C5C">
        <w:rPr>
          <w:sz w:val="24"/>
        </w:rPr>
        <w:t xml:space="preserve">, as there would be no official record of U. S. merchant vessel voyages.  </w:t>
      </w:r>
    </w:p>
    <w:p w:rsidR="006D745A" w:rsidRPr="00105C5C" w:rsidP="006D745A" w14:paraId="50F57805" w14:textId="77777777">
      <w:pPr>
        <w:widowControl w:val="0"/>
        <w:overflowPunct/>
        <w:autoSpaceDE/>
        <w:autoSpaceDN/>
        <w:adjustRightInd/>
        <w:snapToGrid w:val="0"/>
        <w:textAlignment w:val="auto"/>
        <w:rPr>
          <w:sz w:val="24"/>
        </w:rPr>
      </w:pPr>
    </w:p>
    <w:p w:rsidR="006D745A" w:rsidRPr="00105C5C" w:rsidP="004D6AA2" w14:paraId="50F57806" w14:textId="77777777">
      <w:pPr>
        <w:widowControl w:val="0"/>
        <w:overflowPunct/>
        <w:autoSpaceDE/>
        <w:autoSpaceDN/>
        <w:adjustRightInd/>
        <w:snapToGrid w:val="0"/>
        <w:spacing w:after="240"/>
        <w:ind w:left="864"/>
        <w:textAlignment w:val="auto"/>
        <w:rPr>
          <w:sz w:val="24"/>
        </w:rPr>
      </w:pPr>
      <w:r w:rsidRPr="00105C5C">
        <w:rPr>
          <w:sz w:val="24"/>
        </w:rPr>
        <w:t>The logboo</w:t>
      </w:r>
      <w:r w:rsidRPr="00105C5C">
        <w:rPr>
          <w:sz w:val="24"/>
        </w:rPr>
        <w:t>k entries are made by the master of the vessel and signed and witnessed by the chief mate or another seaman.  The book contains information about the voyage, the vessel’s crew and drills, and operations conducted during the voyage.  Official Logbook entrie</w:t>
      </w:r>
      <w:r w:rsidRPr="00105C5C">
        <w:rPr>
          <w:sz w:val="24"/>
        </w:rPr>
        <w:t xml:space="preserve">s identify particulars of the voyage, including the name of the ship, official number, port of registry, tonnage, names and merchant mariner </w:t>
      </w:r>
      <w:r w:rsidRPr="00105C5C" w:rsidR="003F3BE1">
        <w:rPr>
          <w:sz w:val="24"/>
        </w:rPr>
        <w:t>credential</w:t>
      </w:r>
      <w:r w:rsidRPr="00105C5C">
        <w:rPr>
          <w:sz w:val="24"/>
        </w:rPr>
        <w:t xml:space="preserve"> numbers of the master and crew, the nature of the voyage, and class of ship.  The book also contains ent</w:t>
      </w:r>
      <w:r w:rsidRPr="00105C5C">
        <w:rPr>
          <w:sz w:val="24"/>
        </w:rPr>
        <w:t>ries for the vessel’s drafts, maintenance of watertight integrity of the ship, drills and inspections, crew list and report of character, a summary of laws applicable to logbooks, and miscellaneous entries.</w:t>
      </w:r>
    </w:p>
    <w:p w:rsidR="006D745A" w:rsidRPr="00105C5C" w:rsidP="004D6AA2" w14:paraId="50F57807" w14:textId="080E2107">
      <w:pPr>
        <w:widowControl w:val="0"/>
        <w:overflowPunct/>
        <w:autoSpaceDE/>
        <w:autoSpaceDN/>
        <w:adjustRightInd/>
        <w:snapToGrid w:val="0"/>
        <w:spacing w:after="240"/>
        <w:ind w:left="864"/>
        <w:textAlignment w:val="auto"/>
        <w:rPr>
          <w:sz w:val="24"/>
        </w:rPr>
      </w:pPr>
      <w:r w:rsidRPr="00105C5C">
        <w:rPr>
          <w:sz w:val="24"/>
        </w:rPr>
        <w:t>Lack of these particulars would make it difficult</w:t>
      </w:r>
      <w:r w:rsidRPr="00105C5C">
        <w:rPr>
          <w:sz w:val="24"/>
        </w:rPr>
        <w:t xml:space="preserve"> for a seaman to verify vessel employment and wages, and for the Coast Guard to verify compliance with laws and regulations concerning vessel operations and safety procedures.  The Official Log</w:t>
      </w:r>
      <w:r w:rsidRPr="00105C5C" w:rsidR="00CB6E20">
        <w:rPr>
          <w:sz w:val="24"/>
        </w:rPr>
        <w:t>book</w:t>
      </w:r>
      <w:r w:rsidRPr="00105C5C">
        <w:rPr>
          <w:sz w:val="24"/>
        </w:rPr>
        <w:t xml:space="preserve"> serves as an official record of events required to </w:t>
      </w:r>
      <w:r w:rsidRPr="00105C5C" w:rsidR="00CB6E20">
        <w:rPr>
          <w:sz w:val="24"/>
        </w:rPr>
        <w:t xml:space="preserve">be </w:t>
      </w:r>
      <w:r w:rsidRPr="00105C5C">
        <w:rPr>
          <w:sz w:val="24"/>
        </w:rPr>
        <w:t>ente</w:t>
      </w:r>
      <w:r w:rsidRPr="00105C5C">
        <w:rPr>
          <w:sz w:val="24"/>
        </w:rPr>
        <w:t>red by law and a record of miscellaneous recordable events transpiring at sea such as births, deaths, marriages, disciplinary actions, illnesses, injuries</w:t>
      </w:r>
      <w:r w:rsidR="00887A85">
        <w:rPr>
          <w:sz w:val="24"/>
        </w:rPr>
        <w:t>,</w:t>
      </w:r>
      <w:r w:rsidRPr="00105C5C">
        <w:rPr>
          <w:sz w:val="24"/>
        </w:rPr>
        <w:t xml:space="preserve"> and treatment</w:t>
      </w:r>
      <w:r w:rsidRPr="00105C5C" w:rsidR="003F3BE1">
        <w:rPr>
          <w:sz w:val="24"/>
        </w:rPr>
        <w:t>,</w:t>
      </w:r>
      <w:r w:rsidRPr="00105C5C">
        <w:rPr>
          <w:sz w:val="24"/>
        </w:rPr>
        <w:t xml:space="preserve"> etc.  Absent the Official Log</w:t>
      </w:r>
      <w:r w:rsidRPr="00105C5C" w:rsidR="00CB6E20">
        <w:rPr>
          <w:sz w:val="24"/>
        </w:rPr>
        <w:t>book</w:t>
      </w:r>
      <w:r w:rsidRPr="00105C5C">
        <w:rPr>
          <w:sz w:val="24"/>
        </w:rPr>
        <w:t xml:space="preserve">, there would </w:t>
      </w:r>
      <w:r w:rsidRPr="00105C5C" w:rsidR="00CB6E20">
        <w:rPr>
          <w:sz w:val="24"/>
        </w:rPr>
        <w:t xml:space="preserve">be </w:t>
      </w:r>
      <w:r w:rsidRPr="00105C5C">
        <w:rPr>
          <w:sz w:val="24"/>
        </w:rPr>
        <w:t xml:space="preserve">no official civil record of </w:t>
      </w:r>
      <w:r w:rsidRPr="00105C5C">
        <w:rPr>
          <w:sz w:val="24"/>
        </w:rPr>
        <w:t>these events.  The courts accept log entries as proof that the logged event occurred.  In addition, those seeking to prove that a</w:t>
      </w:r>
      <w:r w:rsidRPr="00105C5C" w:rsidR="00CB6E20">
        <w:rPr>
          <w:sz w:val="24"/>
        </w:rPr>
        <w:t xml:space="preserve">n event required to be logged </w:t>
      </w:r>
      <w:r w:rsidRPr="00105C5C">
        <w:rPr>
          <w:sz w:val="24"/>
        </w:rPr>
        <w:t>occurred would not have an</w:t>
      </w:r>
      <w:r w:rsidRPr="00105C5C" w:rsidR="00CB6E20">
        <w:rPr>
          <w:sz w:val="24"/>
        </w:rPr>
        <w:t xml:space="preserve"> official </w:t>
      </w:r>
      <w:r w:rsidRPr="00105C5C">
        <w:rPr>
          <w:sz w:val="24"/>
        </w:rPr>
        <w:t xml:space="preserve">record available.  </w:t>
      </w:r>
    </w:p>
    <w:p w:rsidR="006D745A" w:rsidRPr="00105C5C" w:rsidP="004D6AA2" w14:paraId="50F57808" w14:textId="77777777">
      <w:pPr>
        <w:widowControl w:val="0"/>
        <w:overflowPunct/>
        <w:autoSpaceDE/>
        <w:autoSpaceDN/>
        <w:adjustRightInd/>
        <w:snapToGrid w:val="0"/>
        <w:spacing w:after="240"/>
        <w:ind w:left="864"/>
        <w:textAlignment w:val="auto"/>
        <w:rPr>
          <w:sz w:val="24"/>
        </w:rPr>
      </w:pPr>
      <w:r w:rsidRPr="00105C5C">
        <w:rPr>
          <w:sz w:val="24"/>
        </w:rPr>
        <w:t xml:space="preserve">To make certain that a vessel has </w:t>
      </w:r>
      <w:r w:rsidRPr="00105C5C">
        <w:rPr>
          <w:sz w:val="24"/>
        </w:rPr>
        <w:t>been loaded safely, a vessel's sailing drafts and load line are recorded before departing from the loading port or place for a voyage to sea.  This information is required to ensure that there have been no abnormal stresses and/or strain placed upon the st</w:t>
      </w:r>
      <w:r w:rsidRPr="00105C5C">
        <w:rPr>
          <w:sz w:val="24"/>
        </w:rPr>
        <w:t>ructural members of the ship.  Draft records have often played a major role in the marine casualty investigation involving vessel groundings.  Load line records are required because it prevents vessels from overloading beyond their stability and structural</w:t>
      </w:r>
      <w:r w:rsidRPr="00105C5C">
        <w:rPr>
          <w:sz w:val="24"/>
        </w:rPr>
        <w:t xml:space="preserve"> capacity as required by the International Convention of Load Lines, 1966, promulgated into law by 46 USC Chapter 51.  Absence of a draft record could cause many load line requirements to be ignored, thereby causing loss of li</w:t>
      </w:r>
      <w:r w:rsidRPr="00105C5C" w:rsidR="00431848">
        <w:rPr>
          <w:sz w:val="24"/>
        </w:rPr>
        <w:t>fe</w:t>
      </w:r>
      <w:r w:rsidRPr="00105C5C">
        <w:rPr>
          <w:sz w:val="24"/>
        </w:rPr>
        <w:t xml:space="preserve"> and where the vessel is car</w:t>
      </w:r>
      <w:r w:rsidRPr="00105C5C">
        <w:rPr>
          <w:sz w:val="24"/>
        </w:rPr>
        <w:t>rying oil, d</w:t>
      </w:r>
      <w:r w:rsidRPr="00105C5C" w:rsidR="00431848">
        <w:rPr>
          <w:sz w:val="24"/>
        </w:rPr>
        <w:t xml:space="preserve">amage to the </w:t>
      </w:r>
      <w:r w:rsidRPr="00105C5C">
        <w:rPr>
          <w:sz w:val="24"/>
        </w:rPr>
        <w:t>environment.</w:t>
      </w:r>
    </w:p>
    <w:p w:rsidR="006D745A" w:rsidRPr="00105C5C" w:rsidP="004D6AA2" w14:paraId="50F57809" w14:textId="77777777">
      <w:pPr>
        <w:widowControl w:val="0"/>
        <w:overflowPunct/>
        <w:autoSpaceDE/>
        <w:autoSpaceDN/>
        <w:adjustRightInd/>
        <w:snapToGrid w:val="0"/>
        <w:spacing w:after="240"/>
        <w:ind w:left="864"/>
        <w:textAlignment w:val="auto"/>
        <w:rPr>
          <w:sz w:val="24"/>
        </w:rPr>
      </w:pPr>
      <w:r w:rsidRPr="00105C5C">
        <w:rPr>
          <w:sz w:val="24"/>
        </w:rPr>
        <w:t>For certain classes of ships, it is necessary to record the time of opening and closing of watertight doors, hinged doors, gangway, cargo ports, and other openings required by regulation to be kept closed while at sea.</w:t>
      </w:r>
      <w:r w:rsidRPr="00105C5C">
        <w:rPr>
          <w:sz w:val="24"/>
        </w:rPr>
        <w:t xml:space="preserve">  Failure to record the opening and closing of watertight doors would hinder efforts to limit legal liability of the vessel.  The master would be unable to contain legal damages if the opening and closing of watertight doors which affect the seaworthiness </w:t>
      </w:r>
      <w:r w:rsidRPr="00105C5C">
        <w:rPr>
          <w:sz w:val="24"/>
        </w:rPr>
        <w:t xml:space="preserve">of the vessel, </w:t>
      </w:r>
      <w:r w:rsidRPr="00105C5C" w:rsidR="0060129E">
        <w:rPr>
          <w:sz w:val="24"/>
        </w:rPr>
        <w:t>were</w:t>
      </w:r>
      <w:r w:rsidRPr="00105C5C">
        <w:rPr>
          <w:sz w:val="24"/>
        </w:rPr>
        <w:t xml:space="preserve"> not recorded.</w:t>
      </w:r>
    </w:p>
    <w:p w:rsidR="006D745A" w:rsidRPr="00105C5C" w:rsidP="004D6AA2" w14:paraId="50F5780A" w14:textId="77777777">
      <w:pPr>
        <w:widowControl w:val="0"/>
        <w:overflowPunct/>
        <w:autoSpaceDE/>
        <w:autoSpaceDN/>
        <w:adjustRightInd/>
        <w:snapToGrid w:val="0"/>
        <w:spacing w:after="240"/>
        <w:ind w:left="864"/>
        <w:textAlignment w:val="auto"/>
        <w:rPr>
          <w:sz w:val="24"/>
        </w:rPr>
      </w:pPr>
      <w:r w:rsidRPr="00105C5C">
        <w:rPr>
          <w:sz w:val="24"/>
        </w:rPr>
        <w:t>Of particular interest to the Coast Guard are the records of all safety-related drills and inspections.  This information allows the Coast Guard to monitor a vessel’s compliance with safety regulations.  Vessels that stric</w:t>
      </w:r>
      <w:r w:rsidRPr="00105C5C">
        <w:rPr>
          <w:sz w:val="24"/>
        </w:rPr>
        <w:t>tly adhere to the requirements for timely fire and boat drills (including a variety of other safety drills and inspections) will also provide a safe work environment for the crew.  Failure to record drills and inspections contributes to ignorance of safety</w:t>
      </w:r>
      <w:r w:rsidRPr="00105C5C">
        <w:rPr>
          <w:sz w:val="24"/>
        </w:rPr>
        <w:t xml:space="preserve"> requirements and availability of equipment, thereby causing poor operation of the vessel and possible loss of life at sea.  </w:t>
      </w:r>
    </w:p>
    <w:p w:rsidR="006D745A" w:rsidRPr="00105C5C" w:rsidP="004D6AA2" w14:paraId="50F5780B" w14:textId="77777777">
      <w:pPr>
        <w:widowControl w:val="0"/>
        <w:overflowPunct/>
        <w:autoSpaceDE/>
        <w:autoSpaceDN/>
        <w:adjustRightInd/>
        <w:snapToGrid w:val="0"/>
        <w:spacing w:after="240"/>
        <w:ind w:left="864"/>
        <w:textAlignment w:val="auto"/>
        <w:rPr>
          <w:sz w:val="24"/>
        </w:rPr>
      </w:pPr>
      <w:r w:rsidRPr="00105C5C">
        <w:rPr>
          <w:sz w:val="24"/>
        </w:rPr>
        <w:t xml:space="preserve">The Official Logbook maintains a record of the name, </w:t>
      </w:r>
      <w:r w:rsidRPr="00105C5C" w:rsidR="00026616">
        <w:rPr>
          <w:sz w:val="24"/>
        </w:rPr>
        <w:t>merchant mariner credential number</w:t>
      </w:r>
      <w:r w:rsidRPr="00105C5C">
        <w:rPr>
          <w:sz w:val="24"/>
        </w:rPr>
        <w:t xml:space="preserve">, </w:t>
      </w:r>
      <w:r w:rsidRPr="00105C5C" w:rsidR="00026616">
        <w:rPr>
          <w:sz w:val="24"/>
        </w:rPr>
        <w:t xml:space="preserve">capacity engaged, </w:t>
      </w:r>
      <w:r w:rsidRPr="00105C5C">
        <w:rPr>
          <w:sz w:val="24"/>
        </w:rPr>
        <w:t>and character evaluatio</w:t>
      </w:r>
      <w:r w:rsidRPr="00105C5C">
        <w:rPr>
          <w:sz w:val="24"/>
        </w:rPr>
        <w:t>ns of each crewmember employed aboard the vessel</w:t>
      </w:r>
      <w:r w:rsidRPr="00105C5C" w:rsidR="00026616">
        <w:rPr>
          <w:sz w:val="24"/>
        </w:rPr>
        <w:t>.</w:t>
      </w:r>
      <w:r w:rsidRPr="00105C5C">
        <w:rPr>
          <w:sz w:val="24"/>
        </w:rPr>
        <w:t xml:space="preserve"> </w:t>
      </w:r>
      <w:r w:rsidRPr="00105C5C" w:rsidR="00026616">
        <w:rPr>
          <w:sz w:val="24"/>
        </w:rPr>
        <w:t xml:space="preserve"> </w:t>
      </w:r>
      <w:r w:rsidRPr="00105C5C" w:rsidR="007D32D9">
        <w:rPr>
          <w:sz w:val="24"/>
        </w:rPr>
        <w:t xml:space="preserve">Additionally, the Official Logbook maintains a record of the time a watch </w:t>
      </w:r>
      <w:r w:rsidRPr="00105C5C" w:rsidR="0051595A">
        <w:rPr>
          <w:sz w:val="24"/>
        </w:rPr>
        <w:t>was</w:t>
      </w:r>
      <w:r w:rsidRPr="00105C5C" w:rsidR="007D32D9">
        <w:rPr>
          <w:sz w:val="24"/>
        </w:rPr>
        <w:t xml:space="preserve"> relieved or assumed, the number of hours each seaman and officer is in service to the vessel, and an account of each accident, illness, and injury that occurred during the watch.  </w:t>
      </w:r>
      <w:r w:rsidRPr="00105C5C">
        <w:rPr>
          <w:sz w:val="24"/>
        </w:rPr>
        <w:t xml:space="preserve">These records provide a service to the merchant mariner as well as the U.S. Coast Guard.  </w:t>
      </w:r>
      <w:r w:rsidRPr="00105C5C" w:rsidR="00026616">
        <w:rPr>
          <w:sz w:val="24"/>
        </w:rPr>
        <w:t>F</w:t>
      </w:r>
      <w:r w:rsidRPr="00105C5C">
        <w:rPr>
          <w:sz w:val="24"/>
        </w:rPr>
        <w:t xml:space="preserve">or example, </w:t>
      </w:r>
      <w:r w:rsidRPr="00105C5C" w:rsidR="00026616">
        <w:rPr>
          <w:sz w:val="24"/>
        </w:rPr>
        <w:t>r</w:t>
      </w:r>
      <w:r w:rsidRPr="00105C5C">
        <w:rPr>
          <w:sz w:val="24"/>
        </w:rPr>
        <w:t>eport of character entries are used to evaluate the performance of individuals holding a merchant m</w:t>
      </w:r>
      <w:r w:rsidRPr="00105C5C">
        <w:rPr>
          <w:sz w:val="24"/>
        </w:rPr>
        <w:t>ariner</w:t>
      </w:r>
      <w:r w:rsidRPr="00105C5C" w:rsidR="00026616">
        <w:rPr>
          <w:sz w:val="24"/>
        </w:rPr>
        <w:t xml:space="preserve"> credential </w:t>
      </w:r>
      <w:r w:rsidRPr="00105C5C">
        <w:rPr>
          <w:sz w:val="24"/>
        </w:rPr>
        <w:t xml:space="preserve">issued by the Coast Guard.  Failure to list this entry would deny the seaman his or her rights as set forth in the Merchant Seamen Protection and Relief Act.  </w:t>
      </w:r>
    </w:p>
    <w:p w:rsidR="00492725" w:rsidP="004D6AA2" w14:paraId="53E5D22E" w14:textId="537E4A95">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Electronic submission:</w:t>
      </w:r>
      <w:r w:rsidRPr="00105C5C">
        <w:rPr>
          <w:sz w:val="24"/>
        </w:rPr>
        <w:t xml:space="preserve">  </w:t>
      </w:r>
      <w:r>
        <w:rPr>
          <w:sz w:val="24"/>
        </w:rPr>
        <w:t xml:space="preserve">  </w:t>
      </w:r>
      <w:r w:rsidRPr="00105C5C">
        <w:rPr>
          <w:sz w:val="24"/>
        </w:rPr>
        <w:t>There are no electronic submission plans for the Off</w:t>
      </w:r>
      <w:r w:rsidRPr="00105C5C">
        <w:rPr>
          <w:sz w:val="24"/>
        </w:rPr>
        <w:t xml:space="preserve">icial Logbook.  In many instances, the Official Logbook requires the signature of mariners and merchant vessels may not have the capability for this requirement. </w:t>
      </w:r>
      <w:r w:rsidR="005C528B">
        <w:rPr>
          <w:sz w:val="24"/>
        </w:rPr>
        <w:t>The C</w:t>
      </w:r>
      <w:r w:rsidR="0011618D">
        <w:rPr>
          <w:sz w:val="24"/>
        </w:rPr>
        <w:t xml:space="preserve">oast </w:t>
      </w:r>
      <w:r w:rsidR="005C528B">
        <w:rPr>
          <w:sz w:val="24"/>
        </w:rPr>
        <w:t>G</w:t>
      </w:r>
      <w:r w:rsidR="0011618D">
        <w:rPr>
          <w:sz w:val="24"/>
        </w:rPr>
        <w:t>uard</w:t>
      </w:r>
      <w:r w:rsidR="005C528B">
        <w:rPr>
          <w:sz w:val="24"/>
        </w:rPr>
        <w:t xml:space="preserve"> Flag State Control Division (CG-</w:t>
      </w:r>
      <w:r w:rsidR="0011618D">
        <w:rPr>
          <w:sz w:val="24"/>
        </w:rPr>
        <w:t>CVC-4)</w:t>
      </w:r>
      <w:r w:rsidR="00376606">
        <w:rPr>
          <w:sz w:val="24"/>
        </w:rPr>
        <w:t xml:space="preserve"> completed usability testing to determine if the Official Logbook instructi</w:t>
      </w:r>
      <w:r w:rsidR="00816B8B">
        <w:rPr>
          <w:sz w:val="24"/>
        </w:rPr>
        <w:t>ons used plain language. All participa</w:t>
      </w:r>
      <w:r>
        <w:rPr>
          <w:sz w:val="24"/>
        </w:rPr>
        <w:t>nt</w:t>
      </w:r>
      <w:r w:rsidR="00816B8B">
        <w:rPr>
          <w:sz w:val="24"/>
        </w:rPr>
        <w:t xml:space="preserve">s were members of the United States Coast </w:t>
      </w:r>
      <w:r w:rsidR="00816B8B">
        <w:rPr>
          <w:sz w:val="24"/>
        </w:rPr>
        <w:t>Guard bu</w:t>
      </w:r>
      <w:r w:rsidR="009D3481">
        <w:rPr>
          <w:sz w:val="24"/>
        </w:rPr>
        <w:t xml:space="preserve">t were not affiliated with the program office. CVC-4 </w:t>
      </w:r>
      <w:r w:rsidR="00814ACE">
        <w:rPr>
          <w:sz w:val="24"/>
        </w:rPr>
        <w:t>found that respondents understood the instructions and had no questions on the collection. As such, no changes were made to the collection.</w:t>
      </w:r>
    </w:p>
    <w:p w:rsidR="006D745A" w:rsidRPr="00105C5C" w:rsidP="00F6501F" w14:paraId="50F5780C" w14:textId="7C7EF84E">
      <w:pPr>
        <w:widowControl w:val="0"/>
        <w:overflowPunct/>
        <w:autoSpaceDE/>
        <w:autoSpaceDN/>
        <w:adjustRightInd/>
        <w:snapToGrid w:val="0"/>
        <w:spacing w:after="240"/>
        <w:ind w:left="864"/>
        <w:textAlignment w:val="auto"/>
        <w:rPr>
          <w:sz w:val="24"/>
        </w:rPr>
      </w:pPr>
      <w:r w:rsidRPr="00105C5C">
        <w:rPr>
          <w:sz w:val="24"/>
        </w:rPr>
        <w:t xml:space="preserve"> </w:t>
      </w:r>
    </w:p>
    <w:p w:rsidR="006D745A" w:rsidRPr="00105C5C" w:rsidP="004D6AA2" w14:paraId="50F5780D"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Efforts to identify duplication:</w:t>
      </w:r>
      <w:r w:rsidRPr="00105C5C">
        <w:rPr>
          <w:sz w:val="24"/>
        </w:rPr>
        <w:t xml:space="preserve">  Although some shipping companies often provide their own company logbooks, they are not mandated to do so by law, and as such, there is no gua</w:t>
      </w:r>
      <w:r w:rsidRPr="00105C5C">
        <w:rPr>
          <w:sz w:val="24"/>
        </w:rPr>
        <w:t xml:space="preserve">rantee that these logbooks would be available for inspection or even maintained should there be </w:t>
      </w:r>
      <w:r w:rsidRPr="00105C5C" w:rsidR="0060129E">
        <w:rPr>
          <w:sz w:val="24"/>
        </w:rPr>
        <w:t xml:space="preserve">a </w:t>
      </w:r>
      <w:r w:rsidRPr="00105C5C">
        <w:rPr>
          <w:sz w:val="24"/>
        </w:rPr>
        <w:t>subsequent marine casualty investigation or civil litigation years later.  No state, local or federal agencies have similar programs.</w:t>
      </w:r>
    </w:p>
    <w:p w:rsidR="006D745A" w:rsidRPr="00105C5C" w:rsidP="004D6AA2" w14:paraId="50F5780E"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Small business impacts:</w:t>
      </w:r>
      <w:r w:rsidRPr="00105C5C">
        <w:rPr>
          <w:sz w:val="24"/>
        </w:rPr>
        <w:t xml:space="preserve"> </w:t>
      </w:r>
      <w:r w:rsidRPr="00105C5C">
        <w:rPr>
          <w:sz w:val="24"/>
        </w:rPr>
        <w:t xml:space="preserve"> Not applicable as the collection of information involves large shipping companies.</w:t>
      </w:r>
    </w:p>
    <w:p w:rsidR="006D745A" w:rsidRPr="00105C5C" w:rsidP="004D6AA2" w14:paraId="50F5780F"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Consequences to federal programs if collection is not conducted:</w:t>
      </w:r>
      <w:r w:rsidRPr="00105C5C">
        <w:rPr>
          <w:sz w:val="24"/>
        </w:rPr>
        <w:t xml:space="preserve">  The Coast Guard would not be able to ensure the safety of the vessels commissioned for voyages, which coul</w:t>
      </w:r>
      <w:r w:rsidRPr="00105C5C">
        <w:rPr>
          <w:sz w:val="24"/>
        </w:rPr>
        <w:t>d result in a loss of life and property.  There would be no means for the Coast Guard to investigate complaints received from seamen against vessel owners or operators or take appropriate action in instances of negligence, misconduct, or violation of a law</w:t>
      </w:r>
      <w:r w:rsidRPr="00105C5C">
        <w:rPr>
          <w:sz w:val="24"/>
        </w:rPr>
        <w:t>/regulation by a seaman.</w:t>
      </w:r>
    </w:p>
    <w:p w:rsidR="006D745A" w:rsidRPr="00105C5C" w:rsidP="004D6AA2" w14:paraId="50F57810"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Special circumstances:</w:t>
      </w:r>
      <w:r w:rsidRPr="00105C5C">
        <w:rPr>
          <w:sz w:val="24"/>
        </w:rPr>
        <w:t xml:space="preserve">  Special circumstances that require the collection to be conducted in a manner:</w:t>
      </w:r>
    </w:p>
    <w:p w:rsidR="006D745A" w:rsidRPr="00105C5C" w:rsidP="004D6AA2" w14:paraId="50F57811" w14:textId="77777777">
      <w:pPr>
        <w:widowControl w:val="0"/>
        <w:numPr>
          <w:ilvl w:val="0"/>
          <w:numId w:val="3"/>
        </w:numPr>
        <w:tabs>
          <w:tab w:val="clear" w:pos="360"/>
          <w:tab w:val="num" w:pos="1170"/>
        </w:tabs>
        <w:overflowPunct/>
        <w:autoSpaceDE/>
        <w:autoSpaceDN/>
        <w:adjustRightInd/>
        <w:snapToGrid w:val="0"/>
        <w:spacing w:after="240"/>
        <w:ind w:left="1170"/>
        <w:textAlignment w:val="auto"/>
        <w:rPr>
          <w:sz w:val="24"/>
        </w:rPr>
      </w:pPr>
      <w:r w:rsidRPr="00105C5C">
        <w:rPr>
          <w:sz w:val="24"/>
        </w:rPr>
        <w:t>requiring respondents to report information to the agency more often then quarterly;</w:t>
      </w:r>
    </w:p>
    <w:p w:rsidR="006D745A" w:rsidRPr="00105C5C" w:rsidP="004D6AA2" w14:paraId="50F57812" w14:textId="77777777">
      <w:pPr>
        <w:widowControl w:val="0"/>
        <w:overflowPunct/>
        <w:autoSpaceDE/>
        <w:autoSpaceDN/>
        <w:adjustRightInd/>
        <w:snapToGrid w:val="0"/>
        <w:spacing w:after="240"/>
        <w:ind w:left="1170"/>
        <w:textAlignment w:val="auto"/>
        <w:rPr>
          <w:sz w:val="24"/>
        </w:rPr>
      </w:pPr>
      <w:r w:rsidRPr="00105C5C">
        <w:rPr>
          <w:sz w:val="24"/>
        </w:rPr>
        <w:t>The Official Logbooks are used in litigatio</w:t>
      </w:r>
      <w:r w:rsidRPr="00105C5C">
        <w:rPr>
          <w:sz w:val="24"/>
        </w:rPr>
        <w:t>n involving injury or disciplinary action, and in evaluation of performance.  The information is provided at the end of each voyage.  The period of each voyage differs depending on the type of voyage, cargo, and destination(s).</w:t>
      </w:r>
    </w:p>
    <w:p w:rsidR="006D745A" w:rsidRPr="00105C5C" w:rsidP="004D6AA2" w14:paraId="50F57813" w14:textId="77777777">
      <w:pPr>
        <w:widowControl w:val="0"/>
        <w:numPr>
          <w:ilvl w:val="0"/>
          <w:numId w:val="4"/>
        </w:numPr>
        <w:tabs>
          <w:tab w:val="clear" w:pos="360"/>
          <w:tab w:val="num" w:pos="1170"/>
        </w:tabs>
        <w:overflowPunct/>
        <w:autoSpaceDE/>
        <w:autoSpaceDN/>
        <w:adjustRightInd/>
        <w:snapToGrid w:val="0"/>
        <w:spacing w:after="240"/>
        <w:ind w:left="1170"/>
        <w:textAlignment w:val="auto"/>
        <w:rPr>
          <w:sz w:val="24"/>
        </w:rPr>
      </w:pPr>
      <w:r w:rsidRPr="00105C5C">
        <w:rPr>
          <w:sz w:val="24"/>
        </w:rPr>
        <w:t xml:space="preserve">requiring </w:t>
      </w:r>
      <w:r w:rsidRPr="00105C5C">
        <w:rPr>
          <w:sz w:val="24"/>
        </w:rPr>
        <w:t>respondents to prepare a written response to a collection of information in fewer than 30 days after receipt of it;</w:t>
      </w:r>
    </w:p>
    <w:p w:rsidR="006D745A" w:rsidRPr="00105C5C" w:rsidP="004D6AA2" w14:paraId="50F57814" w14:textId="77777777">
      <w:pPr>
        <w:widowControl w:val="0"/>
        <w:overflowPunct/>
        <w:autoSpaceDE/>
        <w:autoSpaceDN/>
        <w:adjustRightInd/>
        <w:snapToGrid w:val="0"/>
        <w:spacing w:after="240"/>
        <w:ind w:left="1170"/>
        <w:textAlignment w:val="auto"/>
        <w:rPr>
          <w:sz w:val="24"/>
        </w:rPr>
      </w:pPr>
      <w:r w:rsidRPr="00105C5C">
        <w:rPr>
          <w:sz w:val="24"/>
        </w:rPr>
        <w:t>The only written response necessary is the completion of the form.  No further reports are required.</w:t>
      </w:r>
    </w:p>
    <w:p w:rsidR="006D745A" w:rsidRPr="00105C5C" w:rsidP="004D6AA2" w14:paraId="50F57815" w14:textId="5858CC1D">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Consultation:</w:t>
      </w:r>
      <w:r w:rsidRPr="00105C5C">
        <w:rPr>
          <w:sz w:val="24"/>
        </w:rPr>
        <w:t xml:space="preserve">  </w:t>
      </w:r>
      <w:r w:rsidRPr="00105C5C" w:rsidR="009E6F94">
        <w:rPr>
          <w:sz w:val="24"/>
        </w:rPr>
        <w:t xml:space="preserve">A 60-day Notice </w:t>
      </w:r>
      <w:r w:rsidR="00342248">
        <w:rPr>
          <w:sz w:val="24"/>
        </w:rPr>
        <w:t>(See [USCG-20</w:t>
      </w:r>
      <w:r w:rsidR="00215160">
        <w:rPr>
          <w:sz w:val="24"/>
        </w:rPr>
        <w:t>23</w:t>
      </w:r>
      <w:r w:rsidR="00604DF5">
        <w:rPr>
          <w:sz w:val="24"/>
        </w:rPr>
        <w:t>-0</w:t>
      </w:r>
      <w:r w:rsidR="00C27BF0">
        <w:rPr>
          <w:sz w:val="24"/>
        </w:rPr>
        <w:t>587</w:t>
      </w:r>
      <w:r w:rsidR="00342248">
        <w:rPr>
          <w:sz w:val="24"/>
        </w:rPr>
        <w:t xml:space="preserve">], </w:t>
      </w:r>
      <w:r w:rsidR="00604DF5">
        <w:rPr>
          <w:sz w:val="24"/>
        </w:rPr>
        <w:t xml:space="preserve">September </w:t>
      </w:r>
      <w:r w:rsidR="00C27BF0">
        <w:rPr>
          <w:sz w:val="24"/>
        </w:rPr>
        <w:t>21</w:t>
      </w:r>
      <w:r w:rsidR="00604DF5">
        <w:rPr>
          <w:sz w:val="24"/>
        </w:rPr>
        <w:t>, 20</w:t>
      </w:r>
      <w:r w:rsidR="00C27BF0">
        <w:rPr>
          <w:sz w:val="24"/>
        </w:rPr>
        <w:t>23</w:t>
      </w:r>
      <w:r w:rsidR="00342248">
        <w:rPr>
          <w:sz w:val="24"/>
        </w:rPr>
        <w:t>, 8</w:t>
      </w:r>
      <w:r w:rsidR="00C27BF0">
        <w:rPr>
          <w:sz w:val="24"/>
        </w:rPr>
        <w:t>8</w:t>
      </w:r>
      <w:r w:rsidR="00342248">
        <w:rPr>
          <w:sz w:val="24"/>
        </w:rPr>
        <w:t xml:space="preserve"> FR </w:t>
      </w:r>
      <w:r w:rsidR="00EA4070">
        <w:rPr>
          <w:sz w:val="24"/>
        </w:rPr>
        <w:t>65186</w:t>
      </w:r>
      <w:r w:rsidR="00342248">
        <w:rPr>
          <w:sz w:val="24"/>
        </w:rPr>
        <w:t>) and 30-Day Notice (</w:t>
      </w:r>
      <w:r w:rsidR="000E2F31">
        <w:rPr>
          <w:sz w:val="24"/>
        </w:rPr>
        <w:t>January</w:t>
      </w:r>
      <w:r w:rsidRPr="000E2F31" w:rsidR="00604DF5">
        <w:rPr>
          <w:sz w:val="24"/>
        </w:rPr>
        <w:t xml:space="preserve"> </w:t>
      </w:r>
      <w:r w:rsidR="000E2F31">
        <w:rPr>
          <w:sz w:val="24"/>
        </w:rPr>
        <w:t>4</w:t>
      </w:r>
      <w:r w:rsidRPr="000E2F31" w:rsidR="00604DF5">
        <w:rPr>
          <w:sz w:val="24"/>
        </w:rPr>
        <w:t>, 20</w:t>
      </w:r>
      <w:r w:rsidRPr="000E2F31" w:rsidR="00EA4070">
        <w:rPr>
          <w:sz w:val="24"/>
        </w:rPr>
        <w:t>2</w:t>
      </w:r>
      <w:r w:rsidR="00F27B18">
        <w:rPr>
          <w:sz w:val="24"/>
        </w:rPr>
        <w:t>4</w:t>
      </w:r>
      <w:r w:rsidRPr="000E2F31" w:rsidR="00342248">
        <w:rPr>
          <w:sz w:val="24"/>
        </w:rPr>
        <w:t>, 8</w:t>
      </w:r>
      <w:r w:rsidR="00F27B18">
        <w:rPr>
          <w:sz w:val="24"/>
        </w:rPr>
        <w:t>9</w:t>
      </w:r>
      <w:r w:rsidRPr="000E2F31" w:rsidR="00342248">
        <w:rPr>
          <w:sz w:val="24"/>
        </w:rPr>
        <w:t xml:space="preserve"> FR </w:t>
      </w:r>
      <w:r w:rsidR="00F27B18">
        <w:rPr>
          <w:sz w:val="24"/>
        </w:rPr>
        <w:t>476</w:t>
      </w:r>
      <w:r w:rsidR="00342248">
        <w:rPr>
          <w:sz w:val="24"/>
        </w:rPr>
        <w:t xml:space="preserve">) were published in the Federal Register to obtain public comment on this collection,  The Coast Guard has not received any </w:t>
      </w:r>
      <w:r w:rsidR="000865FE">
        <w:rPr>
          <w:sz w:val="24"/>
        </w:rPr>
        <w:t>comments on this information collection</w:t>
      </w:r>
      <w:r w:rsidRPr="00105C5C" w:rsidR="009E6F94">
        <w:rPr>
          <w:sz w:val="24"/>
        </w:rPr>
        <w:t>.</w:t>
      </w:r>
      <w:r w:rsidRPr="00105C5C">
        <w:rPr>
          <w:sz w:val="24"/>
        </w:rPr>
        <w:t xml:space="preserve"> </w:t>
      </w:r>
    </w:p>
    <w:p w:rsidR="006D745A" w:rsidRPr="00105C5C" w:rsidP="004D6AA2" w14:paraId="50F57816"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Respondent payment/gifts:</w:t>
      </w:r>
      <w:r w:rsidRPr="00105C5C">
        <w:rPr>
          <w:sz w:val="24"/>
        </w:rPr>
        <w:t xml:space="preserve">  There are no payments or gifts to respondents.</w:t>
      </w:r>
    </w:p>
    <w:p w:rsidR="006D745A" w:rsidRPr="00105C5C" w:rsidP="004D6AA2" w14:paraId="50F57817"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 xml:space="preserve">Confidentiality </w:t>
      </w:r>
      <w:r w:rsidRPr="00105C5C">
        <w:rPr>
          <w:bCs/>
          <w:sz w:val="24"/>
          <w:u w:val="single"/>
        </w:rPr>
        <w:t>assurances:</w:t>
      </w:r>
      <w:r w:rsidRPr="00105C5C">
        <w:rPr>
          <w:sz w:val="24"/>
        </w:rPr>
        <w:t xml:space="preserve">  </w:t>
      </w:r>
      <w:r w:rsidRPr="00105C5C" w:rsidR="009E6F94">
        <w:rPr>
          <w:sz w:val="24"/>
        </w:rPr>
        <w:t xml:space="preserve">No assurance of confidentiality is provided to </w:t>
      </w:r>
      <w:r w:rsidRPr="00105C5C" w:rsidR="009E6F94">
        <w:rPr>
          <w:sz w:val="24"/>
        </w:rPr>
        <w:t>respondents.</w:t>
      </w:r>
    </w:p>
    <w:p w:rsidR="006D745A" w:rsidRPr="00105C5C" w:rsidP="004D6AA2" w14:paraId="50F57818"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Sensitivity nature justification:</w:t>
      </w:r>
      <w:r w:rsidRPr="00105C5C">
        <w:rPr>
          <w:sz w:val="24"/>
        </w:rPr>
        <w:t xml:space="preserve">  There are no questions of a sensitive nature on these documents.</w:t>
      </w:r>
    </w:p>
    <w:p w:rsidR="005A6D74" w:rsidRPr="00105C5C" w:rsidP="004D6AA2" w14:paraId="50F57819"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Hour burden estimate of the collection of information:</w:t>
      </w:r>
      <w:r w:rsidRPr="00105C5C">
        <w:rPr>
          <w:sz w:val="24"/>
        </w:rPr>
        <w:t xml:space="preserve">  There are approximately 350</w:t>
      </w:r>
      <w:r w:rsidRPr="00105C5C">
        <w:rPr>
          <w:sz w:val="24"/>
        </w:rPr>
        <w:t xml:space="preserve"> annual respondents.  Each respondent submits approximately 5 Official Logbooks annually. Maintenance of an Official Logbook does not add a significant burden to the maritime industry.  It is likely that the Official Logbook might very well save a shipping</w:t>
      </w:r>
      <w:r w:rsidRPr="00105C5C">
        <w:rPr>
          <w:sz w:val="24"/>
        </w:rPr>
        <w:t xml:space="preserve"> company a great deal of money should they ever become embroiled in civil litigation.  The information reported in the Official Logbook is required to be recorded by law.  As a result, there is no significant burden being placed upon the maritime industry </w:t>
      </w:r>
      <w:r w:rsidRPr="00105C5C">
        <w:rPr>
          <w:sz w:val="24"/>
        </w:rPr>
        <w:t>concerning entries in the Official Logbook.  It is estimated that the transcription of data into the Official Logbook will generally consume one hour’s time during the course of each voyage.  This estimate is based on agency and shipping company experience</w:t>
      </w:r>
      <w:r w:rsidRPr="00105C5C">
        <w:rPr>
          <w:sz w:val="24"/>
        </w:rPr>
        <w:t xml:space="preserve">. </w:t>
      </w:r>
    </w:p>
    <w:p w:rsidR="00BD605E" w:rsidRPr="00105C5C" w:rsidP="00BD605E" w14:paraId="50F5781A" w14:textId="77777777">
      <w:pPr>
        <w:widowControl w:val="0"/>
        <w:overflowPunct/>
        <w:autoSpaceDE/>
        <w:autoSpaceDN/>
        <w:adjustRightInd/>
        <w:snapToGrid w:val="0"/>
        <w:spacing w:after="240"/>
        <w:textAlignment w:val="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92"/>
        <w:gridCol w:w="2738"/>
      </w:tblGrid>
      <w:tr w14:paraId="50F5781D" w14:textId="77777777" w:rsidTr="00915F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0"/>
        </w:trPr>
        <w:tc>
          <w:tcPr>
            <w:tcW w:w="6048" w:type="dxa"/>
          </w:tcPr>
          <w:p w:rsidR="005A6D74" w:rsidRPr="00105C5C" w:rsidP="00915FD5" w14:paraId="50F5781B" w14:textId="77777777">
            <w:pPr>
              <w:widowControl w:val="0"/>
              <w:overflowPunct/>
              <w:autoSpaceDE/>
              <w:autoSpaceDN/>
              <w:adjustRightInd/>
              <w:snapToGrid w:val="0"/>
              <w:spacing w:after="240"/>
              <w:textAlignment w:val="auto"/>
              <w:rPr>
                <w:sz w:val="24"/>
              </w:rPr>
            </w:pPr>
            <w:r w:rsidRPr="00105C5C">
              <w:rPr>
                <w:sz w:val="24"/>
              </w:rPr>
              <w:t>Annual number of respondents:</w:t>
            </w:r>
          </w:p>
        </w:tc>
        <w:tc>
          <w:tcPr>
            <w:tcW w:w="2808" w:type="dxa"/>
          </w:tcPr>
          <w:p w:rsidR="005A6D74" w:rsidRPr="00105C5C" w:rsidP="00915FD5" w14:paraId="50F5781C" w14:textId="77777777">
            <w:pPr>
              <w:widowControl w:val="0"/>
              <w:overflowPunct/>
              <w:autoSpaceDE/>
              <w:autoSpaceDN/>
              <w:adjustRightInd/>
              <w:snapToGrid w:val="0"/>
              <w:spacing w:after="240"/>
              <w:textAlignment w:val="auto"/>
              <w:rPr>
                <w:sz w:val="24"/>
              </w:rPr>
            </w:pPr>
            <w:r w:rsidRPr="00105C5C">
              <w:rPr>
                <w:sz w:val="24"/>
              </w:rPr>
              <w:t>350</w:t>
            </w:r>
          </w:p>
        </w:tc>
      </w:tr>
      <w:tr w14:paraId="50F57820" w14:textId="77777777" w:rsidTr="00915FD5">
        <w:tblPrEx>
          <w:tblW w:w="0" w:type="auto"/>
          <w:tblLook w:val="01E0"/>
        </w:tblPrEx>
        <w:tc>
          <w:tcPr>
            <w:tcW w:w="6048" w:type="dxa"/>
          </w:tcPr>
          <w:p w:rsidR="005A6D74" w:rsidRPr="00105C5C" w:rsidP="00915FD5" w14:paraId="50F5781E" w14:textId="77777777">
            <w:pPr>
              <w:widowControl w:val="0"/>
              <w:overflowPunct/>
              <w:autoSpaceDE/>
              <w:autoSpaceDN/>
              <w:adjustRightInd/>
              <w:snapToGrid w:val="0"/>
              <w:spacing w:after="240"/>
              <w:textAlignment w:val="auto"/>
              <w:rPr>
                <w:sz w:val="24"/>
              </w:rPr>
            </w:pPr>
            <w:r w:rsidRPr="00105C5C">
              <w:rPr>
                <w:sz w:val="24"/>
              </w:rPr>
              <w:t>Annual number of responses per respondent:</w:t>
            </w:r>
          </w:p>
        </w:tc>
        <w:tc>
          <w:tcPr>
            <w:tcW w:w="2808" w:type="dxa"/>
          </w:tcPr>
          <w:p w:rsidR="005A6D74" w:rsidRPr="00105C5C" w:rsidP="00915FD5" w14:paraId="50F5781F" w14:textId="77777777">
            <w:pPr>
              <w:widowControl w:val="0"/>
              <w:overflowPunct/>
              <w:autoSpaceDE/>
              <w:autoSpaceDN/>
              <w:adjustRightInd/>
              <w:snapToGrid w:val="0"/>
              <w:spacing w:after="240"/>
              <w:textAlignment w:val="auto"/>
              <w:rPr>
                <w:sz w:val="24"/>
              </w:rPr>
            </w:pPr>
            <w:r w:rsidRPr="00105C5C">
              <w:rPr>
                <w:sz w:val="24"/>
              </w:rPr>
              <w:t>5</w:t>
            </w:r>
          </w:p>
        </w:tc>
      </w:tr>
      <w:tr w14:paraId="50F57823" w14:textId="77777777" w:rsidTr="00915FD5">
        <w:tblPrEx>
          <w:tblW w:w="0" w:type="auto"/>
          <w:tblLook w:val="01E0"/>
        </w:tblPrEx>
        <w:tc>
          <w:tcPr>
            <w:tcW w:w="6048" w:type="dxa"/>
          </w:tcPr>
          <w:p w:rsidR="005A6D74" w:rsidRPr="00105C5C" w:rsidP="00915FD5" w14:paraId="50F57821" w14:textId="77777777">
            <w:pPr>
              <w:widowControl w:val="0"/>
              <w:overflowPunct/>
              <w:autoSpaceDE/>
              <w:autoSpaceDN/>
              <w:adjustRightInd/>
              <w:snapToGrid w:val="0"/>
              <w:spacing w:after="240"/>
              <w:textAlignment w:val="auto"/>
              <w:rPr>
                <w:sz w:val="24"/>
              </w:rPr>
            </w:pPr>
            <w:r w:rsidRPr="00105C5C">
              <w:rPr>
                <w:sz w:val="24"/>
              </w:rPr>
              <w:t>Annual number of responses:</w:t>
            </w:r>
          </w:p>
        </w:tc>
        <w:tc>
          <w:tcPr>
            <w:tcW w:w="2808" w:type="dxa"/>
          </w:tcPr>
          <w:p w:rsidR="005A6D74" w:rsidRPr="00105C5C" w:rsidP="00915FD5" w14:paraId="50F57822" w14:textId="77777777">
            <w:pPr>
              <w:widowControl w:val="0"/>
              <w:overflowPunct/>
              <w:autoSpaceDE/>
              <w:autoSpaceDN/>
              <w:adjustRightInd/>
              <w:snapToGrid w:val="0"/>
              <w:spacing w:after="240"/>
              <w:textAlignment w:val="auto"/>
              <w:rPr>
                <w:sz w:val="24"/>
              </w:rPr>
            </w:pPr>
            <w:r w:rsidRPr="00105C5C">
              <w:rPr>
                <w:sz w:val="24"/>
              </w:rPr>
              <w:t>350 X 5 = 1,750</w:t>
            </w:r>
          </w:p>
        </w:tc>
      </w:tr>
      <w:tr w14:paraId="50F57826" w14:textId="77777777" w:rsidTr="00915FD5">
        <w:tblPrEx>
          <w:tblW w:w="0" w:type="auto"/>
          <w:tblLook w:val="01E0"/>
        </w:tblPrEx>
        <w:tc>
          <w:tcPr>
            <w:tcW w:w="6048" w:type="dxa"/>
          </w:tcPr>
          <w:p w:rsidR="005A6D74" w:rsidRPr="00105C5C" w:rsidP="00915FD5" w14:paraId="50F57824" w14:textId="77777777">
            <w:pPr>
              <w:widowControl w:val="0"/>
              <w:overflowPunct/>
              <w:autoSpaceDE/>
              <w:autoSpaceDN/>
              <w:adjustRightInd/>
              <w:snapToGrid w:val="0"/>
              <w:spacing w:after="240"/>
              <w:textAlignment w:val="auto"/>
              <w:rPr>
                <w:sz w:val="24"/>
              </w:rPr>
            </w:pPr>
            <w:r w:rsidRPr="00105C5C">
              <w:rPr>
                <w:sz w:val="24"/>
              </w:rPr>
              <w:t>Annual burden per response:</w:t>
            </w:r>
          </w:p>
        </w:tc>
        <w:tc>
          <w:tcPr>
            <w:tcW w:w="2808" w:type="dxa"/>
          </w:tcPr>
          <w:p w:rsidR="005A6D74" w:rsidRPr="00105C5C" w:rsidP="00915FD5" w14:paraId="50F57825" w14:textId="77777777">
            <w:pPr>
              <w:widowControl w:val="0"/>
              <w:overflowPunct/>
              <w:autoSpaceDE/>
              <w:autoSpaceDN/>
              <w:adjustRightInd/>
              <w:snapToGrid w:val="0"/>
              <w:spacing w:after="240"/>
              <w:textAlignment w:val="auto"/>
              <w:rPr>
                <w:sz w:val="24"/>
              </w:rPr>
            </w:pPr>
            <w:r w:rsidRPr="00105C5C">
              <w:rPr>
                <w:sz w:val="24"/>
              </w:rPr>
              <w:t>1 hour</w:t>
            </w:r>
          </w:p>
        </w:tc>
      </w:tr>
      <w:tr w14:paraId="50F57829" w14:textId="77777777" w:rsidTr="00915FD5">
        <w:tblPrEx>
          <w:tblW w:w="0" w:type="auto"/>
          <w:tblLook w:val="01E0"/>
        </w:tblPrEx>
        <w:tc>
          <w:tcPr>
            <w:tcW w:w="6048" w:type="dxa"/>
          </w:tcPr>
          <w:p w:rsidR="005A6D74" w:rsidRPr="00105C5C" w:rsidP="00915FD5" w14:paraId="50F57827" w14:textId="77777777">
            <w:pPr>
              <w:widowControl w:val="0"/>
              <w:overflowPunct/>
              <w:autoSpaceDE/>
              <w:autoSpaceDN/>
              <w:adjustRightInd/>
              <w:snapToGrid w:val="0"/>
              <w:spacing w:after="240"/>
              <w:textAlignment w:val="auto"/>
              <w:rPr>
                <w:sz w:val="24"/>
              </w:rPr>
            </w:pPr>
            <w:r w:rsidRPr="00105C5C">
              <w:rPr>
                <w:sz w:val="24"/>
              </w:rPr>
              <w:t>Annual burden hours per response:</w:t>
            </w:r>
          </w:p>
        </w:tc>
        <w:tc>
          <w:tcPr>
            <w:tcW w:w="2808" w:type="dxa"/>
          </w:tcPr>
          <w:p w:rsidR="005A6D74" w:rsidRPr="00105C5C" w:rsidP="00915FD5" w14:paraId="50F57828" w14:textId="77777777">
            <w:pPr>
              <w:widowControl w:val="0"/>
              <w:overflowPunct/>
              <w:autoSpaceDE/>
              <w:autoSpaceDN/>
              <w:adjustRightInd/>
              <w:snapToGrid w:val="0"/>
              <w:spacing w:after="240"/>
              <w:textAlignment w:val="auto"/>
              <w:rPr>
                <w:sz w:val="24"/>
              </w:rPr>
            </w:pPr>
            <w:r w:rsidRPr="00105C5C">
              <w:rPr>
                <w:sz w:val="24"/>
              </w:rPr>
              <w:t>1,750 hours</w:t>
            </w:r>
          </w:p>
        </w:tc>
      </w:tr>
    </w:tbl>
    <w:p w:rsidR="00630A69" w:rsidRPr="00105C5C" w:rsidP="00630A69" w14:paraId="50F5782A" w14:textId="77777777">
      <w:pPr>
        <w:widowControl w:val="0"/>
        <w:overflowPunct/>
        <w:autoSpaceDE/>
        <w:autoSpaceDN/>
        <w:adjustRightInd/>
        <w:snapToGrid w:val="0"/>
        <w:spacing w:after="240"/>
        <w:ind w:left="450"/>
        <w:textAlignment w:val="auto"/>
        <w:rPr>
          <w:sz w:val="24"/>
          <w:highlight w:val="yellow"/>
        </w:rPr>
      </w:pPr>
    </w:p>
    <w:p w:rsidR="00630A69" w:rsidRPr="00105C5C" w:rsidP="004D6AA2" w14:paraId="50F5782B" w14:textId="77777777">
      <w:pPr>
        <w:widowControl w:val="0"/>
        <w:overflowPunct/>
        <w:autoSpaceDE/>
        <w:autoSpaceDN/>
        <w:adjustRightInd/>
        <w:snapToGrid w:val="0"/>
        <w:spacing w:after="240"/>
        <w:ind w:left="720"/>
        <w:textAlignment w:val="auto"/>
        <w:rPr>
          <w:sz w:val="24"/>
        </w:rPr>
      </w:pPr>
      <w:r w:rsidRPr="00105C5C">
        <w:rPr>
          <w:sz w:val="24"/>
        </w:rPr>
        <w:t xml:space="preserve">There are approximately 350 </w:t>
      </w:r>
      <w:r w:rsidRPr="00105C5C">
        <w:rPr>
          <w:sz w:val="24"/>
        </w:rPr>
        <w:t>deep-sea merchant vessels engaged in the foreign commerce of the United States. The average length of voyage is 70 days.  Each vessel consumes, on the average, five logbooks per year.  Assuming a labor charge of $22.00 per hour, the estimated cost to the m</w:t>
      </w:r>
      <w:r w:rsidRPr="00105C5C">
        <w:rPr>
          <w:sz w:val="24"/>
        </w:rPr>
        <w:t>aritime industry is approximately $38,500 or $110 per ship</w:t>
      </w:r>
      <w:r w:rsidRPr="00105C5C" w:rsidR="0060129E">
        <w:rPr>
          <w:sz w:val="24"/>
        </w:rPr>
        <w:t>/</w:t>
      </w:r>
      <w:r w:rsidRPr="00105C5C">
        <w:rPr>
          <w:sz w:val="24"/>
        </w:rPr>
        <w:t>year (5 x $22/hr. = $110 per ship; 350 vessels x $110 = $38,500 estimated cost for the respondents).</w:t>
      </w:r>
    </w:p>
    <w:p w:rsidR="006D745A" w:rsidRPr="00105C5C" w:rsidP="004D6AA2" w14:paraId="50F5782C"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sz w:val="24"/>
          <w:szCs w:val="24"/>
          <w:u w:val="single"/>
        </w:rPr>
        <w:t>Estimates of annualized capital and start-up costs</w:t>
      </w:r>
      <w:r w:rsidRPr="00105C5C">
        <w:rPr>
          <w:bCs/>
          <w:sz w:val="24"/>
          <w:szCs w:val="24"/>
          <w:u w:val="single"/>
        </w:rPr>
        <w:t>:</w:t>
      </w:r>
      <w:r w:rsidRPr="00105C5C">
        <w:rPr>
          <w:sz w:val="24"/>
        </w:rPr>
        <w:t xml:space="preserve">  There are no annualized capital start up costs. </w:t>
      </w:r>
      <w:r w:rsidRPr="00105C5C" w:rsidR="005A6D74">
        <w:rPr>
          <w:sz w:val="24"/>
        </w:rPr>
        <w:t xml:space="preserve">           </w:t>
      </w:r>
    </w:p>
    <w:p w:rsidR="006D745A" w:rsidRPr="00105C5C" w:rsidP="004D6AA2" w14:paraId="50F5782D" w14:textId="77777777">
      <w:pPr>
        <w:widowControl w:val="0"/>
        <w:numPr>
          <w:ilvl w:val="0"/>
          <w:numId w:val="2"/>
        </w:numPr>
        <w:tabs>
          <w:tab w:val="clear" w:pos="432"/>
          <w:tab w:val="num" w:pos="864"/>
        </w:tabs>
        <w:overflowPunct/>
        <w:autoSpaceDE/>
        <w:autoSpaceDN/>
        <w:adjustRightInd/>
        <w:snapToGrid w:val="0"/>
        <w:spacing w:after="240"/>
        <w:ind w:left="864"/>
        <w:textAlignment w:val="auto"/>
        <w:rPr>
          <w:sz w:val="24"/>
        </w:rPr>
      </w:pPr>
      <w:r w:rsidRPr="00105C5C">
        <w:rPr>
          <w:bCs/>
          <w:sz w:val="24"/>
          <w:u w:val="single"/>
        </w:rPr>
        <w:t>Annual cost to Federal government:</w:t>
      </w:r>
      <w:r w:rsidRPr="00105C5C">
        <w:rPr>
          <w:sz w:val="24"/>
        </w:rPr>
        <w:t xml:space="preserve">  </w:t>
      </w:r>
    </w:p>
    <w:p w:rsidR="006D745A" w:rsidRPr="00105C5C" w:rsidP="004D6AA2" w14:paraId="50F5782E" w14:textId="77777777">
      <w:pPr>
        <w:widowControl w:val="0"/>
        <w:overflowPunct/>
        <w:autoSpaceDE/>
        <w:autoSpaceDN/>
        <w:adjustRightInd/>
        <w:snapToGrid w:val="0"/>
        <w:spacing w:after="120"/>
        <w:ind w:left="864"/>
        <w:textAlignment w:val="auto"/>
        <w:rPr>
          <w:sz w:val="24"/>
        </w:rPr>
      </w:pPr>
      <w:r w:rsidRPr="00105C5C">
        <w:rPr>
          <w:sz w:val="24"/>
        </w:rPr>
        <w:t>The estimated Federal Government cost is $7,000. This figure is based on the following:</w:t>
      </w:r>
    </w:p>
    <w:p w:rsidR="006D745A" w:rsidRPr="00105C5C" w:rsidP="006D745A" w14:paraId="50F5782F" w14:textId="77777777">
      <w:pPr>
        <w:keepNext/>
        <w:widowControl w:val="0"/>
        <w:tabs>
          <w:tab w:val="left" w:pos="5760"/>
        </w:tabs>
        <w:overflowPunct/>
        <w:autoSpaceDE/>
        <w:autoSpaceDN/>
        <w:adjustRightInd/>
        <w:snapToGrid w:val="0"/>
        <w:ind w:left="1440"/>
        <w:textAlignment w:val="auto"/>
        <w:outlineLvl w:val="1"/>
        <w:rPr>
          <w:sz w:val="24"/>
        </w:rPr>
      </w:pPr>
      <w:r w:rsidRPr="00105C5C">
        <w:rPr>
          <w:sz w:val="24"/>
        </w:rPr>
        <w:t>Printing Cost</w:t>
      </w:r>
      <w:r w:rsidRPr="00105C5C">
        <w:rPr>
          <w:sz w:val="24"/>
        </w:rPr>
        <w:tab/>
        <w:t>$3,000</w:t>
      </w:r>
    </w:p>
    <w:p w:rsidR="006D745A" w:rsidRPr="00105C5C" w:rsidP="006D745A" w14:paraId="50F57830" w14:textId="77777777">
      <w:pPr>
        <w:widowControl w:val="0"/>
        <w:tabs>
          <w:tab w:val="left" w:pos="5760"/>
        </w:tabs>
        <w:overflowPunct/>
        <w:autoSpaceDE/>
        <w:autoSpaceDN/>
        <w:adjustRightInd/>
        <w:snapToGrid w:val="0"/>
        <w:ind w:left="1440"/>
        <w:textAlignment w:val="auto"/>
        <w:rPr>
          <w:sz w:val="24"/>
        </w:rPr>
      </w:pPr>
      <w:r w:rsidRPr="00105C5C">
        <w:rPr>
          <w:sz w:val="24"/>
        </w:rPr>
        <w:t>Distribution Cost</w:t>
      </w:r>
      <w:r w:rsidRPr="00105C5C">
        <w:rPr>
          <w:sz w:val="24"/>
        </w:rPr>
        <w:tab/>
        <w:t>$2,000</w:t>
      </w:r>
    </w:p>
    <w:p w:rsidR="006D745A" w:rsidRPr="00105C5C" w:rsidP="006D745A" w14:paraId="50F57831" w14:textId="77777777">
      <w:pPr>
        <w:widowControl w:val="0"/>
        <w:tabs>
          <w:tab w:val="left" w:pos="5760"/>
        </w:tabs>
        <w:overflowPunct/>
        <w:autoSpaceDE/>
        <w:autoSpaceDN/>
        <w:adjustRightInd/>
        <w:snapToGrid w:val="0"/>
        <w:ind w:left="1440"/>
        <w:textAlignment w:val="auto"/>
        <w:rPr>
          <w:sz w:val="24"/>
        </w:rPr>
      </w:pPr>
      <w:r w:rsidRPr="00105C5C">
        <w:rPr>
          <w:sz w:val="24"/>
        </w:rPr>
        <w:t xml:space="preserve">General </w:t>
      </w:r>
      <w:r w:rsidRPr="00105C5C">
        <w:rPr>
          <w:sz w:val="24"/>
        </w:rPr>
        <w:t>overhead (warehouse storage,</w:t>
      </w:r>
    </w:p>
    <w:p w:rsidR="006D745A" w:rsidRPr="00105C5C" w:rsidP="006D745A" w14:paraId="50F57832" w14:textId="77777777">
      <w:pPr>
        <w:widowControl w:val="0"/>
        <w:tabs>
          <w:tab w:val="left" w:pos="5760"/>
        </w:tabs>
        <w:overflowPunct/>
        <w:autoSpaceDE/>
        <w:autoSpaceDN/>
        <w:adjustRightInd/>
        <w:snapToGrid w:val="0"/>
        <w:ind w:left="1440"/>
        <w:textAlignment w:val="auto"/>
        <w:rPr>
          <w:sz w:val="24"/>
          <w:u w:val="single"/>
        </w:rPr>
      </w:pPr>
      <w:r w:rsidRPr="00105C5C">
        <w:rPr>
          <w:sz w:val="24"/>
        </w:rPr>
        <w:t>Shipping &amp; handling costs)</w:t>
      </w:r>
      <w:r w:rsidRPr="00105C5C">
        <w:rPr>
          <w:sz w:val="24"/>
        </w:rPr>
        <w:tab/>
      </w:r>
      <w:r w:rsidRPr="00105C5C">
        <w:rPr>
          <w:sz w:val="24"/>
          <w:u w:val="single"/>
        </w:rPr>
        <w:t>$2,000</w:t>
      </w:r>
    </w:p>
    <w:p w:rsidR="006D745A" w:rsidRPr="00105C5C" w:rsidP="006D745A" w14:paraId="50F57833" w14:textId="77777777">
      <w:pPr>
        <w:keepNext/>
        <w:widowControl w:val="0"/>
        <w:tabs>
          <w:tab w:val="left" w:pos="5760"/>
        </w:tabs>
        <w:overflowPunct/>
        <w:autoSpaceDE/>
        <w:autoSpaceDN/>
        <w:adjustRightInd/>
        <w:snapToGrid w:val="0"/>
        <w:spacing w:after="240"/>
        <w:ind w:left="1440"/>
        <w:textAlignment w:val="auto"/>
        <w:outlineLvl w:val="1"/>
        <w:rPr>
          <w:sz w:val="24"/>
        </w:rPr>
      </w:pPr>
      <w:r w:rsidRPr="00105C5C">
        <w:rPr>
          <w:sz w:val="24"/>
        </w:rPr>
        <w:t>TOTAL</w:t>
      </w:r>
      <w:r w:rsidRPr="00105C5C">
        <w:rPr>
          <w:sz w:val="24"/>
        </w:rPr>
        <w:tab/>
        <w:t>$7,000</w:t>
      </w:r>
    </w:p>
    <w:p w:rsidR="006D745A" w:rsidRPr="00105C5C" w:rsidP="004D6AA2" w14:paraId="50F57834" w14:textId="77777777">
      <w:pPr>
        <w:widowControl w:val="0"/>
        <w:numPr>
          <w:ilvl w:val="0"/>
          <w:numId w:val="2"/>
        </w:numPr>
        <w:tabs>
          <w:tab w:val="num" w:pos="-6768"/>
          <w:tab w:val="clear" w:pos="432"/>
        </w:tabs>
        <w:overflowPunct/>
        <w:autoSpaceDE/>
        <w:autoSpaceDN/>
        <w:adjustRightInd/>
        <w:snapToGrid w:val="0"/>
        <w:spacing w:after="240"/>
        <w:ind w:left="882" w:hanging="450"/>
        <w:textAlignment w:val="auto"/>
        <w:rPr>
          <w:sz w:val="24"/>
        </w:rPr>
      </w:pPr>
      <w:r w:rsidRPr="00105C5C">
        <w:rPr>
          <w:bCs/>
          <w:sz w:val="24"/>
          <w:u w:val="single"/>
        </w:rPr>
        <w:t>Reason</w:t>
      </w:r>
      <w:r w:rsidR="006F5616">
        <w:rPr>
          <w:bCs/>
          <w:sz w:val="24"/>
          <w:u w:val="single"/>
        </w:rPr>
        <w:t>s</w:t>
      </w:r>
      <w:r w:rsidRPr="00105C5C">
        <w:rPr>
          <w:bCs/>
          <w:sz w:val="24"/>
          <w:u w:val="single"/>
        </w:rPr>
        <w:t xml:space="preserve"> for </w:t>
      </w:r>
      <w:r w:rsidR="006F5616">
        <w:rPr>
          <w:bCs/>
          <w:sz w:val="24"/>
          <w:u w:val="single"/>
        </w:rPr>
        <w:t>changes in burden</w:t>
      </w:r>
      <w:r w:rsidRPr="00105C5C">
        <w:rPr>
          <w:bCs/>
          <w:sz w:val="24"/>
          <w:u w:val="single"/>
        </w:rPr>
        <w:t>:</w:t>
      </w:r>
      <w:r w:rsidRPr="00105C5C">
        <w:rPr>
          <w:sz w:val="24"/>
        </w:rPr>
        <w:t xml:space="preserve">  </w:t>
      </w:r>
      <w:r w:rsidRPr="00105C5C" w:rsidR="008E4B42">
        <w:rPr>
          <w:sz w:val="24"/>
        </w:rPr>
        <w:t>The</w:t>
      </w:r>
      <w:r w:rsidR="006F5616">
        <w:rPr>
          <w:sz w:val="24"/>
        </w:rPr>
        <w:t xml:space="preserve"> estimated annual burden remains unchanged.  There is no proposed change to the reporting requirements of this collection.  The recordkeeping and reporting requirements</w:t>
      </w:r>
      <w:r w:rsidR="00BD1043">
        <w:rPr>
          <w:sz w:val="24"/>
        </w:rPr>
        <w:t xml:space="preserve">, and the methodology for calculating burden, </w:t>
      </w:r>
      <w:r w:rsidR="006F5616">
        <w:rPr>
          <w:sz w:val="24"/>
        </w:rPr>
        <w:t>remain unchanged.</w:t>
      </w:r>
      <w:r w:rsidRPr="00105C5C" w:rsidR="006F1B93">
        <w:rPr>
          <w:sz w:val="24"/>
        </w:rPr>
        <w:t xml:space="preserve">  </w:t>
      </w:r>
    </w:p>
    <w:p w:rsidR="006D745A" w:rsidRPr="00105C5C" w:rsidP="004D6AA2" w14:paraId="50F57835" w14:textId="77777777">
      <w:pPr>
        <w:widowControl w:val="0"/>
        <w:numPr>
          <w:ilvl w:val="0"/>
          <w:numId w:val="2"/>
        </w:numPr>
        <w:tabs>
          <w:tab w:val="clear" w:pos="432"/>
          <w:tab w:val="num" w:pos="900"/>
        </w:tabs>
        <w:overflowPunct/>
        <w:autoSpaceDE/>
        <w:autoSpaceDN/>
        <w:adjustRightInd/>
        <w:snapToGrid w:val="0"/>
        <w:spacing w:after="240"/>
        <w:ind w:left="900" w:hanging="450"/>
        <w:textAlignment w:val="auto"/>
        <w:rPr>
          <w:sz w:val="24"/>
        </w:rPr>
      </w:pPr>
      <w:r w:rsidRPr="00105C5C">
        <w:rPr>
          <w:bCs/>
          <w:sz w:val="24"/>
          <w:u w:val="single"/>
        </w:rPr>
        <w:t>Publication of information collected:</w:t>
      </w:r>
      <w:r w:rsidRPr="00105C5C">
        <w:rPr>
          <w:sz w:val="24"/>
        </w:rPr>
        <w:t xml:space="preserve">  Not applicable; this information will not be used for statistical purpose.</w:t>
      </w:r>
    </w:p>
    <w:p w:rsidR="00105C5C" w:rsidRPr="00105C5C" w:rsidP="00105C5C" w14:paraId="50F57836" w14:textId="77777777">
      <w:pPr>
        <w:ind w:left="432"/>
        <w:rPr>
          <w:sz w:val="24"/>
          <w:szCs w:val="24"/>
        </w:rPr>
      </w:pPr>
      <w:r w:rsidRPr="00105C5C">
        <w:rPr>
          <w:sz w:val="24"/>
          <w:szCs w:val="24"/>
        </w:rPr>
        <w:t xml:space="preserve">17.  </w:t>
      </w:r>
      <w:r w:rsidRPr="00105C5C">
        <w:rPr>
          <w:sz w:val="24"/>
          <w:szCs w:val="24"/>
          <w:u w:val="single"/>
        </w:rPr>
        <w:t xml:space="preserve">If seeking approval to not display the expiration date for OMB approval of the </w:t>
      </w:r>
      <w:r w:rsidRPr="00105C5C">
        <w:rPr>
          <w:sz w:val="24"/>
          <w:szCs w:val="24"/>
        </w:rPr>
        <w:tab/>
        <w:t xml:space="preserve"> </w:t>
      </w:r>
      <w:r w:rsidRPr="00105C5C">
        <w:rPr>
          <w:sz w:val="24"/>
          <w:szCs w:val="24"/>
        </w:rPr>
        <w:tab/>
        <w:t xml:space="preserve">  </w:t>
      </w:r>
      <w:r w:rsidRPr="00105C5C">
        <w:rPr>
          <w:sz w:val="24"/>
          <w:szCs w:val="24"/>
          <w:u w:val="single"/>
        </w:rPr>
        <w:t>information collection, explain the reasons that display would be inappropriate</w:t>
      </w:r>
      <w:r w:rsidRPr="00105C5C">
        <w:rPr>
          <w:sz w:val="24"/>
          <w:szCs w:val="24"/>
        </w:rPr>
        <w:t>.</w:t>
      </w:r>
    </w:p>
    <w:p w:rsidR="00105C5C" w:rsidRPr="00105C5C" w:rsidP="00105C5C" w14:paraId="50F57837" w14:textId="77777777">
      <w:pPr>
        <w:ind w:left="432"/>
        <w:rPr>
          <w:sz w:val="24"/>
          <w:szCs w:val="24"/>
        </w:rPr>
      </w:pPr>
      <w:r w:rsidRPr="00105C5C">
        <w:rPr>
          <w:sz w:val="24"/>
          <w:szCs w:val="24"/>
        </w:rPr>
        <w:t xml:space="preserve">       USCG will display the expiration date for OMB approval of this information </w:t>
      </w:r>
      <w:r w:rsidRPr="00105C5C">
        <w:rPr>
          <w:sz w:val="24"/>
          <w:szCs w:val="24"/>
        </w:rPr>
        <w:tab/>
        <w:t xml:space="preserve"> </w:t>
      </w:r>
      <w:r w:rsidRPr="00105C5C">
        <w:rPr>
          <w:sz w:val="24"/>
          <w:szCs w:val="24"/>
        </w:rPr>
        <w:tab/>
        <w:t xml:space="preserve">  coll</w:t>
      </w:r>
      <w:r w:rsidRPr="00105C5C">
        <w:rPr>
          <w:sz w:val="24"/>
          <w:szCs w:val="24"/>
        </w:rPr>
        <w:t>ection.</w:t>
      </w:r>
    </w:p>
    <w:p w:rsidR="005A0FB2" w:rsidRPr="00105C5C" w:rsidP="005A0FB2" w14:paraId="50F57838" w14:textId="77777777">
      <w:pPr>
        <w:ind w:left="360"/>
        <w:rPr>
          <w:sz w:val="24"/>
          <w:szCs w:val="24"/>
        </w:rPr>
      </w:pPr>
    </w:p>
    <w:p w:rsidR="00105C5C" w:rsidRPr="00906369" w:rsidP="00105C5C" w14:paraId="50F57839" w14:textId="77777777">
      <w:pPr>
        <w:widowControl w:val="0"/>
        <w:numPr>
          <w:ilvl w:val="0"/>
          <w:numId w:val="6"/>
        </w:numPr>
        <w:tabs>
          <w:tab w:val="num" w:pos="0"/>
          <w:tab w:val="clear" w:pos="600"/>
        </w:tabs>
        <w:overflowPunct/>
        <w:autoSpaceDE/>
        <w:autoSpaceDN/>
        <w:adjustRightInd/>
        <w:ind w:left="360" w:firstLine="0"/>
        <w:textAlignment w:val="auto"/>
        <w:rPr>
          <w:sz w:val="24"/>
          <w:szCs w:val="24"/>
        </w:rPr>
      </w:pPr>
      <w:r w:rsidRPr="00906369">
        <w:rPr>
          <w:sz w:val="24"/>
          <w:szCs w:val="24"/>
          <w:u w:val="single"/>
        </w:rPr>
        <w:t xml:space="preserve">Explain each exception to the certification statement identified in ”Certification </w:t>
      </w:r>
      <w:r w:rsidRPr="00105C5C">
        <w:rPr>
          <w:sz w:val="24"/>
          <w:szCs w:val="24"/>
        </w:rPr>
        <w:tab/>
      </w:r>
      <w:r w:rsidRPr="00906369">
        <w:rPr>
          <w:sz w:val="24"/>
          <w:szCs w:val="24"/>
          <w:u w:val="single"/>
        </w:rPr>
        <w:t>for Paperwork Reduction Act Submission"</w:t>
      </w:r>
      <w:r w:rsidRPr="00906369">
        <w:rPr>
          <w:sz w:val="24"/>
          <w:szCs w:val="24"/>
        </w:rPr>
        <w:t>.</w:t>
      </w:r>
    </w:p>
    <w:p w:rsidR="00105C5C" w:rsidP="00105C5C" w14:paraId="50F5783A" w14:textId="77777777">
      <w:pPr>
        <w:ind w:left="360" w:right="1440"/>
        <w:rPr>
          <w:sz w:val="24"/>
          <w:szCs w:val="24"/>
        </w:rPr>
      </w:pPr>
      <w:r>
        <w:rPr>
          <w:sz w:val="24"/>
          <w:szCs w:val="24"/>
        </w:rPr>
        <w:tab/>
      </w:r>
      <w:r w:rsidRPr="00906369">
        <w:rPr>
          <w:sz w:val="24"/>
          <w:szCs w:val="24"/>
        </w:rPr>
        <w:t>There are no exceptions.</w:t>
      </w:r>
    </w:p>
    <w:p w:rsidR="00105C5C" w:rsidRPr="00906369" w:rsidP="00105C5C" w14:paraId="50F5783B" w14:textId="77777777">
      <w:pPr>
        <w:ind w:left="360" w:right="1440"/>
        <w:rPr>
          <w:sz w:val="24"/>
          <w:szCs w:val="24"/>
        </w:rPr>
      </w:pPr>
    </w:p>
    <w:p w:rsidR="00255427" w:rsidRPr="00105C5C" w:rsidP="00732359" w14:paraId="50F5783C" w14:textId="77777777">
      <w:pPr>
        <w:widowControl w:val="0"/>
        <w:numPr>
          <w:ilvl w:val="0"/>
          <w:numId w:val="5"/>
        </w:numPr>
        <w:overflowPunct/>
        <w:autoSpaceDE/>
        <w:autoSpaceDN/>
        <w:adjustRightInd/>
        <w:snapToGrid w:val="0"/>
        <w:spacing w:after="240"/>
        <w:textAlignment w:val="auto"/>
        <w:rPr>
          <w:sz w:val="24"/>
        </w:rPr>
      </w:pPr>
      <w:r w:rsidRPr="00105C5C">
        <w:rPr>
          <w:bCs/>
          <w:sz w:val="24"/>
          <w:u w:val="single"/>
        </w:rPr>
        <w:t>Collection of Information Employing Statistical Methods:</w:t>
      </w:r>
      <w:r w:rsidRPr="00105C5C">
        <w:t xml:space="preserve">  </w:t>
      </w:r>
      <w:r w:rsidRPr="00105C5C" w:rsidR="00245FC7">
        <w:rPr>
          <w:sz w:val="24"/>
        </w:rPr>
        <w:t>T</w:t>
      </w:r>
      <w:r w:rsidRPr="00105C5C">
        <w:rPr>
          <w:sz w:val="24"/>
        </w:rPr>
        <w:t xml:space="preserve">his information is not </w:t>
      </w:r>
      <w:r w:rsidRPr="00105C5C">
        <w:rPr>
          <w:sz w:val="24"/>
        </w:rPr>
        <w:t>collected through</w:t>
      </w:r>
      <w:r w:rsidRPr="00105C5C" w:rsidR="00732359">
        <w:rPr>
          <w:sz w:val="24"/>
        </w:rPr>
        <w:t xml:space="preserve"> the use of statistical methods.</w:t>
      </w:r>
    </w:p>
    <w:sectPr w:rsidSect="00E3199E">
      <w:headerReference w:type="default" r:id="rId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616" w14:paraId="50F57841" w14:textId="77777777">
    <w:pPr>
      <w:pStyle w:val="Header"/>
    </w:pPr>
    <w:r>
      <w:t>1625-0018</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2673F4"/>
    <w:multiLevelType w:val="singleLevel"/>
    <w:tmpl w:val="B36EF0E4"/>
    <w:lvl w:ilvl="0">
      <w:start w:val="1"/>
      <w:numFmt w:val="decimal"/>
      <w:lvlText w:val="%1."/>
      <w:lvlJc w:val="left"/>
      <w:pPr>
        <w:tabs>
          <w:tab w:val="num" w:pos="432"/>
        </w:tabs>
        <w:ind w:left="432" w:hanging="432"/>
      </w:pPr>
    </w:lvl>
  </w:abstractNum>
  <w:abstractNum w:abstractNumId="1">
    <w:nsid w:val="4CA2241A"/>
    <w:multiLevelType w:val="singleLevel"/>
    <w:tmpl w:val="85B4EB6E"/>
    <w:lvl w:ilvl="0">
      <w:start w:val="18"/>
      <w:numFmt w:val="decimal"/>
      <w:lvlText w:val="%1."/>
      <w:lvlJc w:val="left"/>
      <w:pPr>
        <w:tabs>
          <w:tab w:val="num" w:pos="600"/>
        </w:tabs>
        <w:ind w:left="600" w:hanging="600"/>
      </w:pPr>
      <w:rPr>
        <w:rFonts w:hint="default"/>
      </w:rPr>
    </w:lvl>
  </w:abstractNum>
  <w:abstractNum w:abstractNumId="2">
    <w:nsid w:val="5ECE6150"/>
    <w:multiLevelType w:val="hybridMultilevel"/>
    <w:tmpl w:val="61F0C3DE"/>
    <w:lvl w:ilvl="0">
      <w:start w:val="1"/>
      <w:numFmt w:val="upperLetter"/>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3">
    <w:nsid w:val="630B7881"/>
    <w:multiLevelType w:val="singleLevel"/>
    <w:tmpl w:val="511E4BD6"/>
    <w:lvl w:ilvl="0">
      <w:start w:val="2"/>
      <w:numFmt w:val="upperLetter"/>
      <w:lvlText w:val="%1."/>
      <w:lvlJc w:val="left"/>
      <w:pPr>
        <w:tabs>
          <w:tab w:val="num" w:pos="432"/>
        </w:tabs>
        <w:ind w:left="432" w:hanging="432"/>
      </w:pPr>
    </w:lvl>
  </w:abstractNum>
  <w:abstractNum w:abstractNumId="4">
    <w:nsid w:val="701700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abstractNum w:abstractNumId="5">
    <w:nsid w:val="7D3A7E0E"/>
    <w:multiLevelType w:val="singleLevel"/>
    <w:tmpl w:val="29D8B90C"/>
    <w:lvl w:ilvl="0">
      <w:start w:val="1"/>
      <w:numFmt w:val="bullet"/>
      <w:lvlText w:val=""/>
      <w:lvlJc w:val="left"/>
      <w:pPr>
        <w:tabs>
          <w:tab w:val="num" w:pos="360"/>
        </w:tabs>
        <w:ind w:left="360" w:hanging="360"/>
      </w:pPr>
      <w:rPr>
        <w:rFonts w:ascii="Symbol" w:hAnsi="Symbol" w:hint="default"/>
        <w:sz w:val="16"/>
      </w:rPr>
    </w:lvl>
  </w:abstractNum>
  <w:num w:numId="1" w16cid:durableId="1317032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914063">
    <w:abstractNumId w:val="0"/>
    <w:lvlOverride w:ilvl="0">
      <w:startOverride w:val="1"/>
    </w:lvlOverride>
  </w:num>
  <w:num w:numId="3" w16cid:durableId="260069332">
    <w:abstractNumId w:val="5"/>
  </w:num>
  <w:num w:numId="4" w16cid:durableId="2055544457">
    <w:abstractNumId w:val="4"/>
  </w:num>
  <w:num w:numId="5" w16cid:durableId="1742093445">
    <w:abstractNumId w:val="3"/>
    <w:lvlOverride w:ilvl="0">
      <w:startOverride w:val="2"/>
    </w:lvlOverride>
  </w:num>
  <w:num w:numId="6" w16cid:durableId="185742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5A"/>
    <w:rsid w:val="0000136E"/>
    <w:rsid w:val="00001C13"/>
    <w:rsid w:val="00005FF6"/>
    <w:rsid w:val="00006D15"/>
    <w:rsid w:val="0001261C"/>
    <w:rsid w:val="0001335F"/>
    <w:rsid w:val="00013472"/>
    <w:rsid w:val="00013FF3"/>
    <w:rsid w:val="000155B1"/>
    <w:rsid w:val="00015C47"/>
    <w:rsid w:val="00015DB7"/>
    <w:rsid w:val="0001776C"/>
    <w:rsid w:val="000245D0"/>
    <w:rsid w:val="000255CF"/>
    <w:rsid w:val="00026616"/>
    <w:rsid w:val="0003005C"/>
    <w:rsid w:val="00031B04"/>
    <w:rsid w:val="0003227A"/>
    <w:rsid w:val="0003228A"/>
    <w:rsid w:val="00033614"/>
    <w:rsid w:val="00041E42"/>
    <w:rsid w:val="000434CC"/>
    <w:rsid w:val="00046007"/>
    <w:rsid w:val="00046246"/>
    <w:rsid w:val="000505B3"/>
    <w:rsid w:val="000511C3"/>
    <w:rsid w:val="00053639"/>
    <w:rsid w:val="000555AF"/>
    <w:rsid w:val="00057259"/>
    <w:rsid w:val="00061FED"/>
    <w:rsid w:val="00064F93"/>
    <w:rsid w:val="0006732F"/>
    <w:rsid w:val="000724E3"/>
    <w:rsid w:val="00075717"/>
    <w:rsid w:val="000805CE"/>
    <w:rsid w:val="000842FE"/>
    <w:rsid w:val="00084FC2"/>
    <w:rsid w:val="000865FE"/>
    <w:rsid w:val="00086D71"/>
    <w:rsid w:val="000876F7"/>
    <w:rsid w:val="000908DD"/>
    <w:rsid w:val="00097D01"/>
    <w:rsid w:val="000A01FF"/>
    <w:rsid w:val="000A092E"/>
    <w:rsid w:val="000A0C9A"/>
    <w:rsid w:val="000A2025"/>
    <w:rsid w:val="000A49FC"/>
    <w:rsid w:val="000B0BD1"/>
    <w:rsid w:val="000B1B2A"/>
    <w:rsid w:val="000B4969"/>
    <w:rsid w:val="000B76E6"/>
    <w:rsid w:val="000C2E66"/>
    <w:rsid w:val="000C71D7"/>
    <w:rsid w:val="000C73AD"/>
    <w:rsid w:val="000D057E"/>
    <w:rsid w:val="000D6686"/>
    <w:rsid w:val="000E0B37"/>
    <w:rsid w:val="000E2F31"/>
    <w:rsid w:val="000E557C"/>
    <w:rsid w:val="000E560B"/>
    <w:rsid w:val="000E5BF4"/>
    <w:rsid w:val="000E5EF9"/>
    <w:rsid w:val="000E6A4F"/>
    <w:rsid w:val="000E7132"/>
    <w:rsid w:val="000E74D2"/>
    <w:rsid w:val="000F07DA"/>
    <w:rsid w:val="000F09CE"/>
    <w:rsid w:val="000F0BC1"/>
    <w:rsid w:val="000F0CD0"/>
    <w:rsid w:val="000F19CE"/>
    <w:rsid w:val="000F3942"/>
    <w:rsid w:val="000F3E67"/>
    <w:rsid w:val="000F72BC"/>
    <w:rsid w:val="001021C9"/>
    <w:rsid w:val="00103550"/>
    <w:rsid w:val="00103966"/>
    <w:rsid w:val="0010524A"/>
    <w:rsid w:val="001056FE"/>
    <w:rsid w:val="00105C5C"/>
    <w:rsid w:val="001073A7"/>
    <w:rsid w:val="00107DE6"/>
    <w:rsid w:val="00111A68"/>
    <w:rsid w:val="001122C7"/>
    <w:rsid w:val="00112DC8"/>
    <w:rsid w:val="0011524A"/>
    <w:rsid w:val="00115478"/>
    <w:rsid w:val="0011618D"/>
    <w:rsid w:val="001162CD"/>
    <w:rsid w:val="0011637E"/>
    <w:rsid w:val="0011680E"/>
    <w:rsid w:val="00120BC2"/>
    <w:rsid w:val="0012276B"/>
    <w:rsid w:val="00125763"/>
    <w:rsid w:val="00130F95"/>
    <w:rsid w:val="00132F01"/>
    <w:rsid w:val="00133B3A"/>
    <w:rsid w:val="0013420D"/>
    <w:rsid w:val="0014099E"/>
    <w:rsid w:val="00141698"/>
    <w:rsid w:val="001463FA"/>
    <w:rsid w:val="001467F8"/>
    <w:rsid w:val="00147CE3"/>
    <w:rsid w:val="00154CE1"/>
    <w:rsid w:val="00156E42"/>
    <w:rsid w:val="001570EA"/>
    <w:rsid w:val="00157762"/>
    <w:rsid w:val="00162B80"/>
    <w:rsid w:val="00167B67"/>
    <w:rsid w:val="00171257"/>
    <w:rsid w:val="0017338A"/>
    <w:rsid w:val="00174839"/>
    <w:rsid w:val="00174FDC"/>
    <w:rsid w:val="00177958"/>
    <w:rsid w:val="0018207D"/>
    <w:rsid w:val="00190E8F"/>
    <w:rsid w:val="00192D8A"/>
    <w:rsid w:val="00195300"/>
    <w:rsid w:val="00195DA3"/>
    <w:rsid w:val="001963C6"/>
    <w:rsid w:val="00197EF9"/>
    <w:rsid w:val="001A15D4"/>
    <w:rsid w:val="001A1C20"/>
    <w:rsid w:val="001A2617"/>
    <w:rsid w:val="001A5575"/>
    <w:rsid w:val="001A57E7"/>
    <w:rsid w:val="001A5DFD"/>
    <w:rsid w:val="001A7488"/>
    <w:rsid w:val="001B6B0A"/>
    <w:rsid w:val="001B6FA5"/>
    <w:rsid w:val="001C069B"/>
    <w:rsid w:val="001C1125"/>
    <w:rsid w:val="001C1671"/>
    <w:rsid w:val="001C17C7"/>
    <w:rsid w:val="001C5C63"/>
    <w:rsid w:val="001C73B7"/>
    <w:rsid w:val="001D01F4"/>
    <w:rsid w:val="001D48C6"/>
    <w:rsid w:val="001D6DFE"/>
    <w:rsid w:val="001D70F0"/>
    <w:rsid w:val="001D7233"/>
    <w:rsid w:val="001D7910"/>
    <w:rsid w:val="001E7337"/>
    <w:rsid w:val="001F0375"/>
    <w:rsid w:val="001F18BF"/>
    <w:rsid w:val="001F1BC8"/>
    <w:rsid w:val="001F1DE1"/>
    <w:rsid w:val="001F5206"/>
    <w:rsid w:val="001F5563"/>
    <w:rsid w:val="001F5B65"/>
    <w:rsid w:val="001F755F"/>
    <w:rsid w:val="00201B6E"/>
    <w:rsid w:val="00203DDC"/>
    <w:rsid w:val="00204487"/>
    <w:rsid w:val="002054D2"/>
    <w:rsid w:val="00210697"/>
    <w:rsid w:val="00210FB9"/>
    <w:rsid w:val="00211791"/>
    <w:rsid w:val="00213CDF"/>
    <w:rsid w:val="00213D25"/>
    <w:rsid w:val="00215160"/>
    <w:rsid w:val="00220ED4"/>
    <w:rsid w:val="0022117C"/>
    <w:rsid w:val="00221DCE"/>
    <w:rsid w:val="00222DDF"/>
    <w:rsid w:val="00222E34"/>
    <w:rsid w:val="0022566C"/>
    <w:rsid w:val="0023182D"/>
    <w:rsid w:val="00232432"/>
    <w:rsid w:val="00237225"/>
    <w:rsid w:val="00237922"/>
    <w:rsid w:val="0024100E"/>
    <w:rsid w:val="002431FA"/>
    <w:rsid w:val="00243EA1"/>
    <w:rsid w:val="00244486"/>
    <w:rsid w:val="00245FC7"/>
    <w:rsid w:val="002526AE"/>
    <w:rsid w:val="00253162"/>
    <w:rsid w:val="0025383C"/>
    <w:rsid w:val="002542CA"/>
    <w:rsid w:val="00254352"/>
    <w:rsid w:val="00254643"/>
    <w:rsid w:val="00255427"/>
    <w:rsid w:val="00257B95"/>
    <w:rsid w:val="00257EAC"/>
    <w:rsid w:val="00263FA8"/>
    <w:rsid w:val="0026407E"/>
    <w:rsid w:val="00272D7E"/>
    <w:rsid w:val="00275AF5"/>
    <w:rsid w:val="002764F3"/>
    <w:rsid w:val="00281230"/>
    <w:rsid w:val="00281568"/>
    <w:rsid w:val="0028520A"/>
    <w:rsid w:val="0028624C"/>
    <w:rsid w:val="00286C3D"/>
    <w:rsid w:val="0029400C"/>
    <w:rsid w:val="00294085"/>
    <w:rsid w:val="002959E6"/>
    <w:rsid w:val="00297C03"/>
    <w:rsid w:val="002A0DC2"/>
    <w:rsid w:val="002A1A87"/>
    <w:rsid w:val="002A7D9A"/>
    <w:rsid w:val="002B450A"/>
    <w:rsid w:val="002B483D"/>
    <w:rsid w:val="002C3AE6"/>
    <w:rsid w:val="002C6777"/>
    <w:rsid w:val="002C6793"/>
    <w:rsid w:val="002C7326"/>
    <w:rsid w:val="002C76B5"/>
    <w:rsid w:val="002C783C"/>
    <w:rsid w:val="002D052A"/>
    <w:rsid w:val="002D13BE"/>
    <w:rsid w:val="002D388F"/>
    <w:rsid w:val="002D65F3"/>
    <w:rsid w:val="002E39A0"/>
    <w:rsid w:val="002E70B7"/>
    <w:rsid w:val="002F003B"/>
    <w:rsid w:val="002F1C59"/>
    <w:rsid w:val="002F28AB"/>
    <w:rsid w:val="002F405A"/>
    <w:rsid w:val="002F40B0"/>
    <w:rsid w:val="002F64BF"/>
    <w:rsid w:val="002F7AA1"/>
    <w:rsid w:val="00300AF4"/>
    <w:rsid w:val="0030491C"/>
    <w:rsid w:val="00304949"/>
    <w:rsid w:val="00304C46"/>
    <w:rsid w:val="003062E6"/>
    <w:rsid w:val="00310F9D"/>
    <w:rsid w:val="003127D5"/>
    <w:rsid w:val="0031374B"/>
    <w:rsid w:val="00314313"/>
    <w:rsid w:val="0031753F"/>
    <w:rsid w:val="00321586"/>
    <w:rsid w:val="00321A7F"/>
    <w:rsid w:val="00324999"/>
    <w:rsid w:val="003252E1"/>
    <w:rsid w:val="00326A44"/>
    <w:rsid w:val="0033090D"/>
    <w:rsid w:val="00330E99"/>
    <w:rsid w:val="00333DC0"/>
    <w:rsid w:val="00335AD6"/>
    <w:rsid w:val="003364E9"/>
    <w:rsid w:val="0033763E"/>
    <w:rsid w:val="00337A5F"/>
    <w:rsid w:val="003407C7"/>
    <w:rsid w:val="00342248"/>
    <w:rsid w:val="00342391"/>
    <w:rsid w:val="00344882"/>
    <w:rsid w:val="00346BB2"/>
    <w:rsid w:val="00347720"/>
    <w:rsid w:val="00350B98"/>
    <w:rsid w:val="00351FE3"/>
    <w:rsid w:val="0035383A"/>
    <w:rsid w:val="00353BCF"/>
    <w:rsid w:val="00354E7D"/>
    <w:rsid w:val="003566F9"/>
    <w:rsid w:val="003569DD"/>
    <w:rsid w:val="003579EF"/>
    <w:rsid w:val="00360857"/>
    <w:rsid w:val="0036235F"/>
    <w:rsid w:val="00363613"/>
    <w:rsid w:val="003711EE"/>
    <w:rsid w:val="00376606"/>
    <w:rsid w:val="00380DA7"/>
    <w:rsid w:val="003842B4"/>
    <w:rsid w:val="00384546"/>
    <w:rsid w:val="00386C3C"/>
    <w:rsid w:val="00390631"/>
    <w:rsid w:val="003967DC"/>
    <w:rsid w:val="00397483"/>
    <w:rsid w:val="003A1AD5"/>
    <w:rsid w:val="003A1EDE"/>
    <w:rsid w:val="003A3D64"/>
    <w:rsid w:val="003A6618"/>
    <w:rsid w:val="003B0AA2"/>
    <w:rsid w:val="003B1538"/>
    <w:rsid w:val="003B29A3"/>
    <w:rsid w:val="003B52FB"/>
    <w:rsid w:val="003B6222"/>
    <w:rsid w:val="003B663A"/>
    <w:rsid w:val="003C0479"/>
    <w:rsid w:val="003C3143"/>
    <w:rsid w:val="003C587A"/>
    <w:rsid w:val="003D1E9E"/>
    <w:rsid w:val="003D2085"/>
    <w:rsid w:val="003D27CB"/>
    <w:rsid w:val="003D296C"/>
    <w:rsid w:val="003D3D0F"/>
    <w:rsid w:val="003D3F00"/>
    <w:rsid w:val="003D5932"/>
    <w:rsid w:val="003E57F7"/>
    <w:rsid w:val="003E6033"/>
    <w:rsid w:val="003F011A"/>
    <w:rsid w:val="003F0D5B"/>
    <w:rsid w:val="003F3254"/>
    <w:rsid w:val="003F3BE1"/>
    <w:rsid w:val="003F4245"/>
    <w:rsid w:val="003F4FFC"/>
    <w:rsid w:val="003F57C2"/>
    <w:rsid w:val="003F6267"/>
    <w:rsid w:val="003F796B"/>
    <w:rsid w:val="00401CA8"/>
    <w:rsid w:val="00402442"/>
    <w:rsid w:val="00403903"/>
    <w:rsid w:val="004079D7"/>
    <w:rsid w:val="00414A90"/>
    <w:rsid w:val="0041614E"/>
    <w:rsid w:val="0042140A"/>
    <w:rsid w:val="00425854"/>
    <w:rsid w:val="00425DC6"/>
    <w:rsid w:val="00431848"/>
    <w:rsid w:val="00437DEF"/>
    <w:rsid w:val="00440176"/>
    <w:rsid w:val="00440CA1"/>
    <w:rsid w:val="004410C9"/>
    <w:rsid w:val="00443E18"/>
    <w:rsid w:val="00447048"/>
    <w:rsid w:val="004476AD"/>
    <w:rsid w:val="00450A8A"/>
    <w:rsid w:val="00451F70"/>
    <w:rsid w:val="00454BE9"/>
    <w:rsid w:val="00464AA5"/>
    <w:rsid w:val="00464BC9"/>
    <w:rsid w:val="00465FF2"/>
    <w:rsid w:val="00466DEC"/>
    <w:rsid w:val="00467127"/>
    <w:rsid w:val="004737C7"/>
    <w:rsid w:val="004746E4"/>
    <w:rsid w:val="004763C9"/>
    <w:rsid w:val="00476FA1"/>
    <w:rsid w:val="00477AB7"/>
    <w:rsid w:val="00486890"/>
    <w:rsid w:val="0049112E"/>
    <w:rsid w:val="0049161C"/>
    <w:rsid w:val="00492725"/>
    <w:rsid w:val="0049597A"/>
    <w:rsid w:val="004967CD"/>
    <w:rsid w:val="004A1159"/>
    <w:rsid w:val="004A2213"/>
    <w:rsid w:val="004A2D34"/>
    <w:rsid w:val="004A4CE1"/>
    <w:rsid w:val="004A7AD3"/>
    <w:rsid w:val="004B48E7"/>
    <w:rsid w:val="004B6DFC"/>
    <w:rsid w:val="004B7D4C"/>
    <w:rsid w:val="004C05D9"/>
    <w:rsid w:val="004C2872"/>
    <w:rsid w:val="004C39A0"/>
    <w:rsid w:val="004C63DD"/>
    <w:rsid w:val="004C662E"/>
    <w:rsid w:val="004C700D"/>
    <w:rsid w:val="004D0B87"/>
    <w:rsid w:val="004D190A"/>
    <w:rsid w:val="004D2C4B"/>
    <w:rsid w:val="004D3540"/>
    <w:rsid w:val="004D4752"/>
    <w:rsid w:val="004D685C"/>
    <w:rsid w:val="004D6AA2"/>
    <w:rsid w:val="004E0393"/>
    <w:rsid w:val="004E0A66"/>
    <w:rsid w:val="004E1228"/>
    <w:rsid w:val="004E22B3"/>
    <w:rsid w:val="004E44C9"/>
    <w:rsid w:val="004E475C"/>
    <w:rsid w:val="004E4B87"/>
    <w:rsid w:val="004E6FF3"/>
    <w:rsid w:val="004E722A"/>
    <w:rsid w:val="004E76F5"/>
    <w:rsid w:val="004F026F"/>
    <w:rsid w:val="004F1D93"/>
    <w:rsid w:val="004F1F37"/>
    <w:rsid w:val="004F3210"/>
    <w:rsid w:val="004F5CBD"/>
    <w:rsid w:val="004F7F87"/>
    <w:rsid w:val="00500E22"/>
    <w:rsid w:val="0050173B"/>
    <w:rsid w:val="00507E44"/>
    <w:rsid w:val="00510A3D"/>
    <w:rsid w:val="00511636"/>
    <w:rsid w:val="00512260"/>
    <w:rsid w:val="00514F29"/>
    <w:rsid w:val="0051595A"/>
    <w:rsid w:val="005177ED"/>
    <w:rsid w:val="00520358"/>
    <w:rsid w:val="00523937"/>
    <w:rsid w:val="00524F3D"/>
    <w:rsid w:val="00527BD2"/>
    <w:rsid w:val="0053259D"/>
    <w:rsid w:val="005353AB"/>
    <w:rsid w:val="005364FE"/>
    <w:rsid w:val="005366EB"/>
    <w:rsid w:val="005407D3"/>
    <w:rsid w:val="005416C3"/>
    <w:rsid w:val="00542F5C"/>
    <w:rsid w:val="005437AD"/>
    <w:rsid w:val="00544873"/>
    <w:rsid w:val="00545560"/>
    <w:rsid w:val="00550484"/>
    <w:rsid w:val="005520E1"/>
    <w:rsid w:val="00552171"/>
    <w:rsid w:val="00554F64"/>
    <w:rsid w:val="00555672"/>
    <w:rsid w:val="005567E3"/>
    <w:rsid w:val="00556832"/>
    <w:rsid w:val="00561B17"/>
    <w:rsid w:val="00562A12"/>
    <w:rsid w:val="005664A2"/>
    <w:rsid w:val="005676E4"/>
    <w:rsid w:val="0057099B"/>
    <w:rsid w:val="00570FAF"/>
    <w:rsid w:val="00572EA1"/>
    <w:rsid w:val="0057702A"/>
    <w:rsid w:val="00581689"/>
    <w:rsid w:val="00581D97"/>
    <w:rsid w:val="005832E8"/>
    <w:rsid w:val="00583AF5"/>
    <w:rsid w:val="005853CB"/>
    <w:rsid w:val="00585844"/>
    <w:rsid w:val="00585BD4"/>
    <w:rsid w:val="00587B00"/>
    <w:rsid w:val="005946F6"/>
    <w:rsid w:val="00596D2A"/>
    <w:rsid w:val="005A04B0"/>
    <w:rsid w:val="005A0FB2"/>
    <w:rsid w:val="005A38B4"/>
    <w:rsid w:val="005A6D74"/>
    <w:rsid w:val="005A730B"/>
    <w:rsid w:val="005B256D"/>
    <w:rsid w:val="005B4027"/>
    <w:rsid w:val="005C01CC"/>
    <w:rsid w:val="005C1814"/>
    <w:rsid w:val="005C22C2"/>
    <w:rsid w:val="005C27DF"/>
    <w:rsid w:val="005C28D4"/>
    <w:rsid w:val="005C31BF"/>
    <w:rsid w:val="005C528B"/>
    <w:rsid w:val="005D006F"/>
    <w:rsid w:val="005D0DA9"/>
    <w:rsid w:val="005D30C4"/>
    <w:rsid w:val="005D3350"/>
    <w:rsid w:val="005D35C6"/>
    <w:rsid w:val="005D6DB1"/>
    <w:rsid w:val="005D7718"/>
    <w:rsid w:val="005E2541"/>
    <w:rsid w:val="005E4D1A"/>
    <w:rsid w:val="005E55AF"/>
    <w:rsid w:val="005E75B3"/>
    <w:rsid w:val="005F5A4A"/>
    <w:rsid w:val="005F7B78"/>
    <w:rsid w:val="0060129E"/>
    <w:rsid w:val="00604445"/>
    <w:rsid w:val="00604DF5"/>
    <w:rsid w:val="00605A5B"/>
    <w:rsid w:val="00605E24"/>
    <w:rsid w:val="00605E40"/>
    <w:rsid w:val="00613024"/>
    <w:rsid w:val="0061395D"/>
    <w:rsid w:val="00614424"/>
    <w:rsid w:val="006146D5"/>
    <w:rsid w:val="00616B3A"/>
    <w:rsid w:val="00616EC2"/>
    <w:rsid w:val="00620B3A"/>
    <w:rsid w:val="0062367A"/>
    <w:rsid w:val="00630A69"/>
    <w:rsid w:val="00631114"/>
    <w:rsid w:val="00631564"/>
    <w:rsid w:val="006318E6"/>
    <w:rsid w:val="0063191D"/>
    <w:rsid w:val="00632173"/>
    <w:rsid w:val="00632B78"/>
    <w:rsid w:val="006335CE"/>
    <w:rsid w:val="00640FC6"/>
    <w:rsid w:val="00644144"/>
    <w:rsid w:val="00652358"/>
    <w:rsid w:val="00652574"/>
    <w:rsid w:val="00653FF8"/>
    <w:rsid w:val="00655542"/>
    <w:rsid w:val="00656DB8"/>
    <w:rsid w:val="0066272E"/>
    <w:rsid w:val="00663FA9"/>
    <w:rsid w:val="006642FD"/>
    <w:rsid w:val="00664BEC"/>
    <w:rsid w:val="0066531A"/>
    <w:rsid w:val="006678B4"/>
    <w:rsid w:val="0067116A"/>
    <w:rsid w:val="006716DF"/>
    <w:rsid w:val="00672E31"/>
    <w:rsid w:val="0068074C"/>
    <w:rsid w:val="00681DBE"/>
    <w:rsid w:val="0068478A"/>
    <w:rsid w:val="00684A01"/>
    <w:rsid w:val="00690020"/>
    <w:rsid w:val="00691C32"/>
    <w:rsid w:val="006921C0"/>
    <w:rsid w:val="0069371A"/>
    <w:rsid w:val="00693C63"/>
    <w:rsid w:val="006972E7"/>
    <w:rsid w:val="006973E3"/>
    <w:rsid w:val="00697EAF"/>
    <w:rsid w:val="00697FA8"/>
    <w:rsid w:val="006B08AF"/>
    <w:rsid w:val="006B0FB9"/>
    <w:rsid w:val="006B239C"/>
    <w:rsid w:val="006C012F"/>
    <w:rsid w:val="006C1C2A"/>
    <w:rsid w:val="006C3D1C"/>
    <w:rsid w:val="006C5521"/>
    <w:rsid w:val="006C6600"/>
    <w:rsid w:val="006C777F"/>
    <w:rsid w:val="006D00C7"/>
    <w:rsid w:val="006D2A12"/>
    <w:rsid w:val="006D6C22"/>
    <w:rsid w:val="006D7052"/>
    <w:rsid w:val="006D745A"/>
    <w:rsid w:val="006E0656"/>
    <w:rsid w:val="006E173E"/>
    <w:rsid w:val="006E238E"/>
    <w:rsid w:val="006F0A41"/>
    <w:rsid w:val="006F1B93"/>
    <w:rsid w:val="006F2057"/>
    <w:rsid w:val="006F2906"/>
    <w:rsid w:val="006F4B13"/>
    <w:rsid w:val="006F5616"/>
    <w:rsid w:val="006F5C54"/>
    <w:rsid w:val="006F75DD"/>
    <w:rsid w:val="006F7A4B"/>
    <w:rsid w:val="0070080E"/>
    <w:rsid w:val="00702950"/>
    <w:rsid w:val="00703BF3"/>
    <w:rsid w:val="00704837"/>
    <w:rsid w:val="0070524A"/>
    <w:rsid w:val="00706020"/>
    <w:rsid w:val="0071154A"/>
    <w:rsid w:val="00711A49"/>
    <w:rsid w:val="007121C4"/>
    <w:rsid w:val="007121FB"/>
    <w:rsid w:val="007140B1"/>
    <w:rsid w:val="00714288"/>
    <w:rsid w:val="007144B1"/>
    <w:rsid w:val="0071491A"/>
    <w:rsid w:val="0071590B"/>
    <w:rsid w:val="0072032E"/>
    <w:rsid w:val="00720A2E"/>
    <w:rsid w:val="00721517"/>
    <w:rsid w:val="00721986"/>
    <w:rsid w:val="007253FC"/>
    <w:rsid w:val="00725F07"/>
    <w:rsid w:val="00730D4D"/>
    <w:rsid w:val="0073193F"/>
    <w:rsid w:val="00731F13"/>
    <w:rsid w:val="00732359"/>
    <w:rsid w:val="00732D9B"/>
    <w:rsid w:val="00733345"/>
    <w:rsid w:val="00733697"/>
    <w:rsid w:val="00736413"/>
    <w:rsid w:val="0074039B"/>
    <w:rsid w:val="00743D64"/>
    <w:rsid w:val="00744936"/>
    <w:rsid w:val="00746545"/>
    <w:rsid w:val="00747EFE"/>
    <w:rsid w:val="0075081A"/>
    <w:rsid w:val="007508E1"/>
    <w:rsid w:val="00753DB9"/>
    <w:rsid w:val="00753F69"/>
    <w:rsid w:val="0075593E"/>
    <w:rsid w:val="007608F9"/>
    <w:rsid w:val="007643A9"/>
    <w:rsid w:val="00766576"/>
    <w:rsid w:val="00766E98"/>
    <w:rsid w:val="0076722C"/>
    <w:rsid w:val="007672A9"/>
    <w:rsid w:val="007730F1"/>
    <w:rsid w:val="007744CA"/>
    <w:rsid w:val="00776D62"/>
    <w:rsid w:val="00780F37"/>
    <w:rsid w:val="00781145"/>
    <w:rsid w:val="007865D5"/>
    <w:rsid w:val="00787078"/>
    <w:rsid w:val="0078724B"/>
    <w:rsid w:val="00791BC2"/>
    <w:rsid w:val="00793674"/>
    <w:rsid w:val="00793BBC"/>
    <w:rsid w:val="00793FFB"/>
    <w:rsid w:val="00796E3D"/>
    <w:rsid w:val="007A186B"/>
    <w:rsid w:val="007A1ADB"/>
    <w:rsid w:val="007A2626"/>
    <w:rsid w:val="007A318A"/>
    <w:rsid w:val="007A5414"/>
    <w:rsid w:val="007A5EC9"/>
    <w:rsid w:val="007A5FF3"/>
    <w:rsid w:val="007A6FF6"/>
    <w:rsid w:val="007B0FFA"/>
    <w:rsid w:val="007B344E"/>
    <w:rsid w:val="007C0A92"/>
    <w:rsid w:val="007C20DF"/>
    <w:rsid w:val="007C2166"/>
    <w:rsid w:val="007C30D8"/>
    <w:rsid w:val="007C486F"/>
    <w:rsid w:val="007D32D9"/>
    <w:rsid w:val="007D5A75"/>
    <w:rsid w:val="007D6C16"/>
    <w:rsid w:val="007E32F5"/>
    <w:rsid w:val="007E53A3"/>
    <w:rsid w:val="007E61D8"/>
    <w:rsid w:val="007E7169"/>
    <w:rsid w:val="007E7501"/>
    <w:rsid w:val="007F57C2"/>
    <w:rsid w:val="008003A9"/>
    <w:rsid w:val="00803EB1"/>
    <w:rsid w:val="00805898"/>
    <w:rsid w:val="008110AF"/>
    <w:rsid w:val="00812736"/>
    <w:rsid w:val="00814ACE"/>
    <w:rsid w:val="0081632E"/>
    <w:rsid w:val="00816B8B"/>
    <w:rsid w:val="008170B6"/>
    <w:rsid w:val="00820473"/>
    <w:rsid w:val="008213C7"/>
    <w:rsid w:val="00824F19"/>
    <w:rsid w:val="00841E52"/>
    <w:rsid w:val="0084226D"/>
    <w:rsid w:val="00842CB2"/>
    <w:rsid w:val="00844648"/>
    <w:rsid w:val="00844FB4"/>
    <w:rsid w:val="0084687C"/>
    <w:rsid w:val="008511D6"/>
    <w:rsid w:val="00853693"/>
    <w:rsid w:val="00857EDB"/>
    <w:rsid w:val="00860406"/>
    <w:rsid w:val="0086130B"/>
    <w:rsid w:val="008613FD"/>
    <w:rsid w:val="00863E30"/>
    <w:rsid w:val="0086454C"/>
    <w:rsid w:val="0086633E"/>
    <w:rsid w:val="0087313B"/>
    <w:rsid w:val="00875059"/>
    <w:rsid w:val="00875915"/>
    <w:rsid w:val="00880A73"/>
    <w:rsid w:val="00882C3F"/>
    <w:rsid w:val="00883AD4"/>
    <w:rsid w:val="00885406"/>
    <w:rsid w:val="00886359"/>
    <w:rsid w:val="00887A85"/>
    <w:rsid w:val="00891EFA"/>
    <w:rsid w:val="00893A94"/>
    <w:rsid w:val="00893B23"/>
    <w:rsid w:val="00894F44"/>
    <w:rsid w:val="00896C9D"/>
    <w:rsid w:val="008970F1"/>
    <w:rsid w:val="0089714E"/>
    <w:rsid w:val="008A1B5D"/>
    <w:rsid w:val="008A2F53"/>
    <w:rsid w:val="008A3AA2"/>
    <w:rsid w:val="008A5725"/>
    <w:rsid w:val="008A5A37"/>
    <w:rsid w:val="008B5CB7"/>
    <w:rsid w:val="008B64B5"/>
    <w:rsid w:val="008C0782"/>
    <w:rsid w:val="008D0909"/>
    <w:rsid w:val="008D169B"/>
    <w:rsid w:val="008D2CC3"/>
    <w:rsid w:val="008D3A0A"/>
    <w:rsid w:val="008D7E9C"/>
    <w:rsid w:val="008E0BF4"/>
    <w:rsid w:val="008E4B42"/>
    <w:rsid w:val="008E73D9"/>
    <w:rsid w:val="008E7EA5"/>
    <w:rsid w:val="008F0D6C"/>
    <w:rsid w:val="008F2834"/>
    <w:rsid w:val="008F296E"/>
    <w:rsid w:val="008F373F"/>
    <w:rsid w:val="008F54F6"/>
    <w:rsid w:val="008F6079"/>
    <w:rsid w:val="008F6261"/>
    <w:rsid w:val="008F7A8E"/>
    <w:rsid w:val="00902246"/>
    <w:rsid w:val="00904254"/>
    <w:rsid w:val="00906369"/>
    <w:rsid w:val="00906AAD"/>
    <w:rsid w:val="00910A64"/>
    <w:rsid w:val="0091177E"/>
    <w:rsid w:val="0091331E"/>
    <w:rsid w:val="00914C7E"/>
    <w:rsid w:val="00914D16"/>
    <w:rsid w:val="00915E66"/>
    <w:rsid w:val="00915FD5"/>
    <w:rsid w:val="0092164C"/>
    <w:rsid w:val="00921B85"/>
    <w:rsid w:val="0092547B"/>
    <w:rsid w:val="00926B98"/>
    <w:rsid w:val="0092740A"/>
    <w:rsid w:val="0093042F"/>
    <w:rsid w:val="009332E8"/>
    <w:rsid w:val="00943A5C"/>
    <w:rsid w:val="00951C02"/>
    <w:rsid w:val="00956E6E"/>
    <w:rsid w:val="009575A2"/>
    <w:rsid w:val="00963C1F"/>
    <w:rsid w:val="00963E7F"/>
    <w:rsid w:val="00964449"/>
    <w:rsid w:val="00964C49"/>
    <w:rsid w:val="009659A3"/>
    <w:rsid w:val="009670AE"/>
    <w:rsid w:val="00975269"/>
    <w:rsid w:val="009758B6"/>
    <w:rsid w:val="00976920"/>
    <w:rsid w:val="00980B89"/>
    <w:rsid w:val="00982F5E"/>
    <w:rsid w:val="00984EE1"/>
    <w:rsid w:val="00985158"/>
    <w:rsid w:val="00990186"/>
    <w:rsid w:val="009916D6"/>
    <w:rsid w:val="009951AF"/>
    <w:rsid w:val="0099772B"/>
    <w:rsid w:val="00997F9E"/>
    <w:rsid w:val="009A16BC"/>
    <w:rsid w:val="009A1D33"/>
    <w:rsid w:val="009A1FA0"/>
    <w:rsid w:val="009B0219"/>
    <w:rsid w:val="009B123B"/>
    <w:rsid w:val="009B6FF4"/>
    <w:rsid w:val="009B71CB"/>
    <w:rsid w:val="009C5E08"/>
    <w:rsid w:val="009C6586"/>
    <w:rsid w:val="009D1731"/>
    <w:rsid w:val="009D1E4A"/>
    <w:rsid w:val="009D3481"/>
    <w:rsid w:val="009D50C7"/>
    <w:rsid w:val="009D67EF"/>
    <w:rsid w:val="009E5073"/>
    <w:rsid w:val="009E61A2"/>
    <w:rsid w:val="009E677A"/>
    <w:rsid w:val="009E6F94"/>
    <w:rsid w:val="009E7276"/>
    <w:rsid w:val="009E7503"/>
    <w:rsid w:val="009E7C43"/>
    <w:rsid w:val="009F11EB"/>
    <w:rsid w:val="009F1D47"/>
    <w:rsid w:val="009F4E51"/>
    <w:rsid w:val="00A0349A"/>
    <w:rsid w:val="00A036E1"/>
    <w:rsid w:val="00A03BEA"/>
    <w:rsid w:val="00A10386"/>
    <w:rsid w:val="00A10E3A"/>
    <w:rsid w:val="00A1147F"/>
    <w:rsid w:val="00A1245C"/>
    <w:rsid w:val="00A131DC"/>
    <w:rsid w:val="00A14557"/>
    <w:rsid w:val="00A15236"/>
    <w:rsid w:val="00A1631E"/>
    <w:rsid w:val="00A21BCE"/>
    <w:rsid w:val="00A23848"/>
    <w:rsid w:val="00A23D1D"/>
    <w:rsid w:val="00A245DC"/>
    <w:rsid w:val="00A2630A"/>
    <w:rsid w:val="00A273DC"/>
    <w:rsid w:val="00A27FF2"/>
    <w:rsid w:val="00A30093"/>
    <w:rsid w:val="00A30410"/>
    <w:rsid w:val="00A323F9"/>
    <w:rsid w:val="00A32BE2"/>
    <w:rsid w:val="00A33934"/>
    <w:rsid w:val="00A33CE9"/>
    <w:rsid w:val="00A3431E"/>
    <w:rsid w:val="00A376B8"/>
    <w:rsid w:val="00A40706"/>
    <w:rsid w:val="00A40918"/>
    <w:rsid w:val="00A41BE6"/>
    <w:rsid w:val="00A423D8"/>
    <w:rsid w:val="00A4243C"/>
    <w:rsid w:val="00A477FF"/>
    <w:rsid w:val="00A47949"/>
    <w:rsid w:val="00A53F63"/>
    <w:rsid w:val="00A55570"/>
    <w:rsid w:val="00A56B33"/>
    <w:rsid w:val="00A570EB"/>
    <w:rsid w:val="00A62B31"/>
    <w:rsid w:val="00A637DA"/>
    <w:rsid w:val="00A660D5"/>
    <w:rsid w:val="00A6770E"/>
    <w:rsid w:val="00A701C2"/>
    <w:rsid w:val="00A72604"/>
    <w:rsid w:val="00A827D3"/>
    <w:rsid w:val="00A8621D"/>
    <w:rsid w:val="00A86CEF"/>
    <w:rsid w:val="00A8786B"/>
    <w:rsid w:val="00A87DB5"/>
    <w:rsid w:val="00A9118F"/>
    <w:rsid w:val="00A91A42"/>
    <w:rsid w:val="00A96A1E"/>
    <w:rsid w:val="00A976FB"/>
    <w:rsid w:val="00AA18B9"/>
    <w:rsid w:val="00AA1F12"/>
    <w:rsid w:val="00AA3175"/>
    <w:rsid w:val="00AA7F4A"/>
    <w:rsid w:val="00AC0DD0"/>
    <w:rsid w:val="00AC160A"/>
    <w:rsid w:val="00AC3978"/>
    <w:rsid w:val="00AC5C35"/>
    <w:rsid w:val="00AC7070"/>
    <w:rsid w:val="00AC7B04"/>
    <w:rsid w:val="00AD7E8A"/>
    <w:rsid w:val="00AE1978"/>
    <w:rsid w:val="00AE3052"/>
    <w:rsid w:val="00AE59AD"/>
    <w:rsid w:val="00AE7258"/>
    <w:rsid w:val="00AE78C3"/>
    <w:rsid w:val="00AF093F"/>
    <w:rsid w:val="00AF2020"/>
    <w:rsid w:val="00AF516D"/>
    <w:rsid w:val="00AF6928"/>
    <w:rsid w:val="00AF7B92"/>
    <w:rsid w:val="00B00023"/>
    <w:rsid w:val="00B00D17"/>
    <w:rsid w:val="00B01037"/>
    <w:rsid w:val="00B01196"/>
    <w:rsid w:val="00B011B1"/>
    <w:rsid w:val="00B03FBE"/>
    <w:rsid w:val="00B06520"/>
    <w:rsid w:val="00B07870"/>
    <w:rsid w:val="00B12309"/>
    <w:rsid w:val="00B128A3"/>
    <w:rsid w:val="00B20284"/>
    <w:rsid w:val="00B216BA"/>
    <w:rsid w:val="00B21DA4"/>
    <w:rsid w:val="00B2277E"/>
    <w:rsid w:val="00B22AB8"/>
    <w:rsid w:val="00B238DE"/>
    <w:rsid w:val="00B321B2"/>
    <w:rsid w:val="00B33495"/>
    <w:rsid w:val="00B409F6"/>
    <w:rsid w:val="00B40B84"/>
    <w:rsid w:val="00B417DA"/>
    <w:rsid w:val="00B42188"/>
    <w:rsid w:val="00B42E2A"/>
    <w:rsid w:val="00B43CEA"/>
    <w:rsid w:val="00B43E10"/>
    <w:rsid w:val="00B47D6B"/>
    <w:rsid w:val="00B51747"/>
    <w:rsid w:val="00B52309"/>
    <w:rsid w:val="00B577ED"/>
    <w:rsid w:val="00B605E8"/>
    <w:rsid w:val="00B61BA9"/>
    <w:rsid w:val="00B62FBC"/>
    <w:rsid w:val="00B64963"/>
    <w:rsid w:val="00B65226"/>
    <w:rsid w:val="00B652C1"/>
    <w:rsid w:val="00B6531C"/>
    <w:rsid w:val="00B70D12"/>
    <w:rsid w:val="00B71E5B"/>
    <w:rsid w:val="00B72076"/>
    <w:rsid w:val="00B77CF5"/>
    <w:rsid w:val="00B81796"/>
    <w:rsid w:val="00B82BE8"/>
    <w:rsid w:val="00B9087F"/>
    <w:rsid w:val="00B91244"/>
    <w:rsid w:val="00B912A7"/>
    <w:rsid w:val="00B91BA5"/>
    <w:rsid w:val="00B920E1"/>
    <w:rsid w:val="00B935AC"/>
    <w:rsid w:val="00B94408"/>
    <w:rsid w:val="00B94C0E"/>
    <w:rsid w:val="00B95D72"/>
    <w:rsid w:val="00BA2EAC"/>
    <w:rsid w:val="00BA7D1C"/>
    <w:rsid w:val="00BB0057"/>
    <w:rsid w:val="00BB00AF"/>
    <w:rsid w:val="00BB066D"/>
    <w:rsid w:val="00BB2250"/>
    <w:rsid w:val="00BB4B7C"/>
    <w:rsid w:val="00BB4C4A"/>
    <w:rsid w:val="00BB5CD4"/>
    <w:rsid w:val="00BC05F8"/>
    <w:rsid w:val="00BC145D"/>
    <w:rsid w:val="00BC19AC"/>
    <w:rsid w:val="00BC1C21"/>
    <w:rsid w:val="00BC5738"/>
    <w:rsid w:val="00BD00D6"/>
    <w:rsid w:val="00BD1043"/>
    <w:rsid w:val="00BD1E8F"/>
    <w:rsid w:val="00BD3CC5"/>
    <w:rsid w:val="00BD442C"/>
    <w:rsid w:val="00BD605E"/>
    <w:rsid w:val="00BD6695"/>
    <w:rsid w:val="00BD6768"/>
    <w:rsid w:val="00BE2049"/>
    <w:rsid w:val="00BE20DD"/>
    <w:rsid w:val="00BE2690"/>
    <w:rsid w:val="00BE526C"/>
    <w:rsid w:val="00BE6389"/>
    <w:rsid w:val="00BE6AA7"/>
    <w:rsid w:val="00BE7744"/>
    <w:rsid w:val="00BF45A8"/>
    <w:rsid w:val="00BF5262"/>
    <w:rsid w:val="00BF7E59"/>
    <w:rsid w:val="00C018B2"/>
    <w:rsid w:val="00C01FBF"/>
    <w:rsid w:val="00C02966"/>
    <w:rsid w:val="00C0397A"/>
    <w:rsid w:val="00C043EC"/>
    <w:rsid w:val="00C07202"/>
    <w:rsid w:val="00C14686"/>
    <w:rsid w:val="00C1491D"/>
    <w:rsid w:val="00C14E52"/>
    <w:rsid w:val="00C205A8"/>
    <w:rsid w:val="00C21CAA"/>
    <w:rsid w:val="00C24353"/>
    <w:rsid w:val="00C24865"/>
    <w:rsid w:val="00C24B8A"/>
    <w:rsid w:val="00C27BF0"/>
    <w:rsid w:val="00C348CF"/>
    <w:rsid w:val="00C354A2"/>
    <w:rsid w:val="00C40339"/>
    <w:rsid w:val="00C432BA"/>
    <w:rsid w:val="00C446AB"/>
    <w:rsid w:val="00C476D7"/>
    <w:rsid w:val="00C51857"/>
    <w:rsid w:val="00C524D7"/>
    <w:rsid w:val="00C530E1"/>
    <w:rsid w:val="00C54254"/>
    <w:rsid w:val="00C54427"/>
    <w:rsid w:val="00C57CCC"/>
    <w:rsid w:val="00C608CA"/>
    <w:rsid w:val="00C62C66"/>
    <w:rsid w:val="00C636A2"/>
    <w:rsid w:val="00C65CC3"/>
    <w:rsid w:val="00C702DF"/>
    <w:rsid w:val="00C71469"/>
    <w:rsid w:val="00C76C72"/>
    <w:rsid w:val="00C80820"/>
    <w:rsid w:val="00C828EE"/>
    <w:rsid w:val="00C856CD"/>
    <w:rsid w:val="00C908A5"/>
    <w:rsid w:val="00C956D7"/>
    <w:rsid w:val="00CA25BF"/>
    <w:rsid w:val="00CA2802"/>
    <w:rsid w:val="00CA7456"/>
    <w:rsid w:val="00CB1BA4"/>
    <w:rsid w:val="00CB6E20"/>
    <w:rsid w:val="00CC0400"/>
    <w:rsid w:val="00CC0B16"/>
    <w:rsid w:val="00CC238E"/>
    <w:rsid w:val="00CC38A6"/>
    <w:rsid w:val="00CC45A8"/>
    <w:rsid w:val="00CC4A15"/>
    <w:rsid w:val="00CC5781"/>
    <w:rsid w:val="00CD2FC8"/>
    <w:rsid w:val="00CD37D5"/>
    <w:rsid w:val="00CD4BF1"/>
    <w:rsid w:val="00CD51B5"/>
    <w:rsid w:val="00CD5674"/>
    <w:rsid w:val="00CD57ED"/>
    <w:rsid w:val="00CD6B83"/>
    <w:rsid w:val="00CE4571"/>
    <w:rsid w:val="00CE4A34"/>
    <w:rsid w:val="00CE6949"/>
    <w:rsid w:val="00CE79AB"/>
    <w:rsid w:val="00CE7CAA"/>
    <w:rsid w:val="00CF0582"/>
    <w:rsid w:val="00CF7830"/>
    <w:rsid w:val="00D00DDD"/>
    <w:rsid w:val="00D01DDF"/>
    <w:rsid w:val="00D01FAA"/>
    <w:rsid w:val="00D05218"/>
    <w:rsid w:val="00D110C2"/>
    <w:rsid w:val="00D11B97"/>
    <w:rsid w:val="00D13BFE"/>
    <w:rsid w:val="00D13E68"/>
    <w:rsid w:val="00D20F19"/>
    <w:rsid w:val="00D24AB7"/>
    <w:rsid w:val="00D2607C"/>
    <w:rsid w:val="00D2670F"/>
    <w:rsid w:val="00D27C60"/>
    <w:rsid w:val="00D32B0C"/>
    <w:rsid w:val="00D3551C"/>
    <w:rsid w:val="00D35F11"/>
    <w:rsid w:val="00D40159"/>
    <w:rsid w:val="00D40D95"/>
    <w:rsid w:val="00D432F1"/>
    <w:rsid w:val="00D446E0"/>
    <w:rsid w:val="00D44BFD"/>
    <w:rsid w:val="00D4633E"/>
    <w:rsid w:val="00D47063"/>
    <w:rsid w:val="00D4778D"/>
    <w:rsid w:val="00D5113C"/>
    <w:rsid w:val="00D53720"/>
    <w:rsid w:val="00D54B26"/>
    <w:rsid w:val="00D55532"/>
    <w:rsid w:val="00D60836"/>
    <w:rsid w:val="00D6492A"/>
    <w:rsid w:val="00D67EE7"/>
    <w:rsid w:val="00D72BCF"/>
    <w:rsid w:val="00D74366"/>
    <w:rsid w:val="00D74C98"/>
    <w:rsid w:val="00D76E14"/>
    <w:rsid w:val="00D8567D"/>
    <w:rsid w:val="00D86274"/>
    <w:rsid w:val="00D92FBE"/>
    <w:rsid w:val="00D93D33"/>
    <w:rsid w:val="00D94553"/>
    <w:rsid w:val="00D9458A"/>
    <w:rsid w:val="00D9558B"/>
    <w:rsid w:val="00D96E71"/>
    <w:rsid w:val="00DA1C26"/>
    <w:rsid w:val="00DA1DDB"/>
    <w:rsid w:val="00DA33EF"/>
    <w:rsid w:val="00DA41B4"/>
    <w:rsid w:val="00DA6CA1"/>
    <w:rsid w:val="00DB00EF"/>
    <w:rsid w:val="00DC0EA3"/>
    <w:rsid w:val="00DC2B07"/>
    <w:rsid w:val="00DC3FF1"/>
    <w:rsid w:val="00DC617A"/>
    <w:rsid w:val="00DC70C1"/>
    <w:rsid w:val="00DC77EB"/>
    <w:rsid w:val="00DD15E3"/>
    <w:rsid w:val="00DD246D"/>
    <w:rsid w:val="00DE1492"/>
    <w:rsid w:val="00DE1B14"/>
    <w:rsid w:val="00DE2381"/>
    <w:rsid w:val="00DE6E13"/>
    <w:rsid w:val="00DF0E5B"/>
    <w:rsid w:val="00DF1234"/>
    <w:rsid w:val="00DF16CB"/>
    <w:rsid w:val="00DF45B5"/>
    <w:rsid w:val="00DF6B09"/>
    <w:rsid w:val="00DF76E8"/>
    <w:rsid w:val="00DF7F46"/>
    <w:rsid w:val="00E00682"/>
    <w:rsid w:val="00E01211"/>
    <w:rsid w:val="00E05303"/>
    <w:rsid w:val="00E055D6"/>
    <w:rsid w:val="00E057C2"/>
    <w:rsid w:val="00E10F91"/>
    <w:rsid w:val="00E13C62"/>
    <w:rsid w:val="00E13D7B"/>
    <w:rsid w:val="00E14526"/>
    <w:rsid w:val="00E157B1"/>
    <w:rsid w:val="00E17C06"/>
    <w:rsid w:val="00E24DFF"/>
    <w:rsid w:val="00E250E7"/>
    <w:rsid w:val="00E265AA"/>
    <w:rsid w:val="00E26774"/>
    <w:rsid w:val="00E30B05"/>
    <w:rsid w:val="00E30E84"/>
    <w:rsid w:val="00E3199E"/>
    <w:rsid w:val="00E31B7A"/>
    <w:rsid w:val="00E369F9"/>
    <w:rsid w:val="00E376DE"/>
    <w:rsid w:val="00E37B05"/>
    <w:rsid w:val="00E4029A"/>
    <w:rsid w:val="00E41DE5"/>
    <w:rsid w:val="00E519CB"/>
    <w:rsid w:val="00E523D8"/>
    <w:rsid w:val="00E53197"/>
    <w:rsid w:val="00E53A8E"/>
    <w:rsid w:val="00E55C00"/>
    <w:rsid w:val="00E56952"/>
    <w:rsid w:val="00E60F97"/>
    <w:rsid w:val="00E61AEA"/>
    <w:rsid w:val="00E670D8"/>
    <w:rsid w:val="00E672F1"/>
    <w:rsid w:val="00E70DCE"/>
    <w:rsid w:val="00E73EB6"/>
    <w:rsid w:val="00E76BF5"/>
    <w:rsid w:val="00E817AA"/>
    <w:rsid w:val="00E854C0"/>
    <w:rsid w:val="00E8629A"/>
    <w:rsid w:val="00E91C32"/>
    <w:rsid w:val="00E9267E"/>
    <w:rsid w:val="00E929B1"/>
    <w:rsid w:val="00E9574A"/>
    <w:rsid w:val="00E96D41"/>
    <w:rsid w:val="00EA008B"/>
    <w:rsid w:val="00EA1268"/>
    <w:rsid w:val="00EA4070"/>
    <w:rsid w:val="00EA6DFF"/>
    <w:rsid w:val="00EA7381"/>
    <w:rsid w:val="00EA7FAC"/>
    <w:rsid w:val="00EB06ED"/>
    <w:rsid w:val="00EB49A6"/>
    <w:rsid w:val="00EC25F5"/>
    <w:rsid w:val="00EC2898"/>
    <w:rsid w:val="00EC36D1"/>
    <w:rsid w:val="00ED13A3"/>
    <w:rsid w:val="00ED3AC0"/>
    <w:rsid w:val="00ED429D"/>
    <w:rsid w:val="00ED4669"/>
    <w:rsid w:val="00ED49FC"/>
    <w:rsid w:val="00ED5EBA"/>
    <w:rsid w:val="00EE2F2F"/>
    <w:rsid w:val="00EE4FD1"/>
    <w:rsid w:val="00EE53E4"/>
    <w:rsid w:val="00EE594E"/>
    <w:rsid w:val="00EE5999"/>
    <w:rsid w:val="00EE6A0B"/>
    <w:rsid w:val="00EF090B"/>
    <w:rsid w:val="00EF2DFE"/>
    <w:rsid w:val="00EF3A48"/>
    <w:rsid w:val="00F0012D"/>
    <w:rsid w:val="00F02B91"/>
    <w:rsid w:val="00F0593A"/>
    <w:rsid w:val="00F063E3"/>
    <w:rsid w:val="00F10F5D"/>
    <w:rsid w:val="00F10FDB"/>
    <w:rsid w:val="00F14FA1"/>
    <w:rsid w:val="00F15402"/>
    <w:rsid w:val="00F1753C"/>
    <w:rsid w:val="00F27B18"/>
    <w:rsid w:val="00F31068"/>
    <w:rsid w:val="00F31FE1"/>
    <w:rsid w:val="00F32261"/>
    <w:rsid w:val="00F32CC8"/>
    <w:rsid w:val="00F3475E"/>
    <w:rsid w:val="00F35AC8"/>
    <w:rsid w:val="00F37D75"/>
    <w:rsid w:val="00F407C4"/>
    <w:rsid w:val="00F4136D"/>
    <w:rsid w:val="00F415F5"/>
    <w:rsid w:val="00F4227F"/>
    <w:rsid w:val="00F42D8A"/>
    <w:rsid w:val="00F43C7E"/>
    <w:rsid w:val="00F449C2"/>
    <w:rsid w:val="00F45A89"/>
    <w:rsid w:val="00F46BE4"/>
    <w:rsid w:val="00F46FC0"/>
    <w:rsid w:val="00F532E5"/>
    <w:rsid w:val="00F53D15"/>
    <w:rsid w:val="00F61C4D"/>
    <w:rsid w:val="00F62020"/>
    <w:rsid w:val="00F64824"/>
    <w:rsid w:val="00F6501F"/>
    <w:rsid w:val="00F65CED"/>
    <w:rsid w:val="00F67669"/>
    <w:rsid w:val="00F728C5"/>
    <w:rsid w:val="00F767BA"/>
    <w:rsid w:val="00F81A35"/>
    <w:rsid w:val="00F83A51"/>
    <w:rsid w:val="00F86FA6"/>
    <w:rsid w:val="00F8745C"/>
    <w:rsid w:val="00F91BF5"/>
    <w:rsid w:val="00F91D6F"/>
    <w:rsid w:val="00F93774"/>
    <w:rsid w:val="00F9517B"/>
    <w:rsid w:val="00FA2F56"/>
    <w:rsid w:val="00FA4D2C"/>
    <w:rsid w:val="00FA5727"/>
    <w:rsid w:val="00FA68BE"/>
    <w:rsid w:val="00FB17B1"/>
    <w:rsid w:val="00FB4DEE"/>
    <w:rsid w:val="00FB5C11"/>
    <w:rsid w:val="00FB5CD8"/>
    <w:rsid w:val="00FC0DBD"/>
    <w:rsid w:val="00FC0DEA"/>
    <w:rsid w:val="00FC709E"/>
    <w:rsid w:val="00FC7239"/>
    <w:rsid w:val="00FD221B"/>
    <w:rsid w:val="00FD3C59"/>
    <w:rsid w:val="00FD6DB2"/>
    <w:rsid w:val="00FD76D3"/>
    <w:rsid w:val="00FE25E1"/>
    <w:rsid w:val="00FE4F36"/>
    <w:rsid w:val="00FE5445"/>
    <w:rsid w:val="00FE5AE2"/>
    <w:rsid w:val="00FF3232"/>
    <w:rsid w:val="00FF40D1"/>
    <w:rsid w:val="00FF52E5"/>
    <w:rsid w:val="00FF6F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F577F9"/>
  <w15:docId w15:val="{4033B8CA-3267-4CFC-A3D5-33D97DDA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199E"/>
    <w:pPr>
      <w:overflowPunct w:val="0"/>
      <w:autoSpaceDE w:val="0"/>
      <w:autoSpaceDN w:val="0"/>
      <w:adjustRightInd w:val="0"/>
      <w:textAlignment w:val="baseline"/>
    </w:pPr>
  </w:style>
  <w:style w:type="paragraph" w:styleId="Heading2">
    <w:name w:val="heading 2"/>
    <w:basedOn w:val="Normal"/>
    <w:next w:val="Normal"/>
    <w:qFormat/>
    <w:rsid w:val="006D745A"/>
    <w:pPr>
      <w:keepNext/>
      <w:widowControl w:val="0"/>
      <w:tabs>
        <w:tab w:val="left" w:pos="5040"/>
      </w:tabs>
      <w:overflowPunct/>
      <w:autoSpaceDE/>
      <w:autoSpaceDN/>
      <w:adjustRightInd/>
      <w:snapToGrid w:val="0"/>
      <w:spacing w:after="240"/>
      <w:ind w:left="1440"/>
      <w:textAlignment w:val="auto"/>
      <w:outlineLvl w:val="1"/>
    </w:pPr>
    <w:rPr>
      <w:sz w:val="24"/>
    </w:rPr>
  </w:style>
  <w:style w:type="paragraph" w:styleId="Heading3">
    <w:name w:val="heading 3"/>
    <w:basedOn w:val="Normal"/>
    <w:next w:val="Normal"/>
    <w:qFormat/>
    <w:rsid w:val="006D745A"/>
    <w:pPr>
      <w:keepNext/>
      <w:widowControl w:val="0"/>
      <w:overflowPunct/>
      <w:autoSpaceDE/>
      <w:autoSpaceDN/>
      <w:adjustRightInd/>
      <w:snapToGrid w:val="0"/>
      <w:ind w:left="3384"/>
      <w:textAlignment w:val="auto"/>
      <w:outlineLvl w:val="2"/>
    </w:pPr>
    <w:rPr>
      <w:sz w:val="24"/>
    </w:rPr>
  </w:style>
  <w:style w:type="paragraph" w:styleId="Heading4">
    <w:name w:val="heading 4"/>
    <w:basedOn w:val="Normal"/>
    <w:next w:val="Normal"/>
    <w:qFormat/>
    <w:rsid w:val="006D745A"/>
    <w:pPr>
      <w:keepNext/>
      <w:widowControl w:val="0"/>
      <w:overflowPunct/>
      <w:autoSpaceDE/>
      <w:autoSpaceDN/>
      <w:adjustRightInd/>
      <w:snapToGrid w:val="0"/>
      <w:textAlignment w:val="auto"/>
      <w:outlineLvl w:val="3"/>
    </w:pPr>
    <w:rPr>
      <w:b/>
      <w:bCs/>
      <w:sz w:val="24"/>
    </w:rPr>
  </w:style>
  <w:style w:type="paragraph" w:styleId="Heading5">
    <w:name w:val="heading 5"/>
    <w:basedOn w:val="Normal"/>
    <w:next w:val="Normal"/>
    <w:qFormat/>
    <w:rsid w:val="006D745A"/>
    <w:pPr>
      <w:keepNext/>
      <w:widowControl w:val="0"/>
      <w:overflowPunct/>
      <w:autoSpaceDE/>
      <w:autoSpaceDN/>
      <w:adjustRightInd/>
      <w:snapToGrid w:val="0"/>
      <w:textAlignment w:val="auto"/>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5A"/>
    <w:pPr>
      <w:widowControl w:val="0"/>
      <w:overflowPunct/>
      <w:autoSpaceDE/>
      <w:autoSpaceDN/>
      <w:adjustRightInd/>
      <w:snapToGrid w:val="0"/>
      <w:spacing w:after="240"/>
      <w:ind w:right="2088"/>
      <w:jc w:val="center"/>
      <w:textAlignment w:val="auto"/>
    </w:pPr>
    <w:rPr>
      <w:sz w:val="24"/>
    </w:rPr>
  </w:style>
  <w:style w:type="paragraph" w:styleId="BodyText2">
    <w:name w:val="Body Text 2"/>
    <w:basedOn w:val="Normal"/>
    <w:rsid w:val="006D745A"/>
    <w:pPr>
      <w:widowControl w:val="0"/>
      <w:overflowPunct/>
      <w:autoSpaceDE/>
      <w:autoSpaceDN/>
      <w:adjustRightInd/>
      <w:snapToGrid w:val="0"/>
      <w:spacing w:after="240"/>
      <w:ind w:right="2160"/>
      <w:textAlignment w:val="auto"/>
    </w:pPr>
    <w:rPr>
      <w:sz w:val="24"/>
    </w:rPr>
  </w:style>
  <w:style w:type="paragraph" w:styleId="BodyTextIndent2">
    <w:name w:val="Body Text Indent 2"/>
    <w:basedOn w:val="Normal"/>
    <w:rsid w:val="006D745A"/>
    <w:pPr>
      <w:widowControl w:val="0"/>
      <w:overflowPunct/>
      <w:autoSpaceDE/>
      <w:autoSpaceDN/>
      <w:adjustRightInd/>
      <w:snapToGrid w:val="0"/>
      <w:spacing w:after="240"/>
      <w:ind w:left="270"/>
      <w:textAlignment w:val="auto"/>
    </w:pPr>
    <w:rPr>
      <w:sz w:val="24"/>
    </w:rPr>
  </w:style>
  <w:style w:type="paragraph" w:styleId="BodyTextIndent3">
    <w:name w:val="Body Text Indent 3"/>
    <w:basedOn w:val="Normal"/>
    <w:rsid w:val="006D745A"/>
    <w:pPr>
      <w:widowControl w:val="0"/>
      <w:overflowPunct/>
      <w:autoSpaceDE/>
      <w:autoSpaceDN/>
      <w:adjustRightInd/>
      <w:snapToGrid w:val="0"/>
      <w:spacing w:after="240"/>
      <w:ind w:left="270" w:hanging="270"/>
      <w:textAlignment w:val="auto"/>
    </w:pPr>
    <w:rPr>
      <w:sz w:val="24"/>
    </w:rPr>
  </w:style>
  <w:style w:type="table" w:styleId="TableGrid">
    <w:name w:val="Table Grid"/>
    <w:basedOn w:val="TableNormal"/>
    <w:rsid w:val="005A6D7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636"/>
    <w:pPr>
      <w:tabs>
        <w:tab w:val="center" w:pos="4680"/>
        <w:tab w:val="right" w:pos="9360"/>
      </w:tabs>
    </w:pPr>
  </w:style>
  <w:style w:type="character" w:customStyle="1" w:styleId="HeaderChar">
    <w:name w:val="Header Char"/>
    <w:basedOn w:val="DefaultParagraphFont"/>
    <w:link w:val="Header"/>
    <w:rsid w:val="00511636"/>
  </w:style>
  <w:style w:type="paragraph" w:styleId="Footer">
    <w:name w:val="footer"/>
    <w:basedOn w:val="Normal"/>
    <w:link w:val="FooterChar"/>
    <w:rsid w:val="00511636"/>
    <w:pPr>
      <w:tabs>
        <w:tab w:val="center" w:pos="4680"/>
        <w:tab w:val="right" w:pos="9360"/>
      </w:tabs>
    </w:pPr>
  </w:style>
  <w:style w:type="character" w:customStyle="1" w:styleId="FooterChar">
    <w:name w:val="Footer Char"/>
    <w:basedOn w:val="DefaultParagraphFont"/>
    <w:link w:val="Footer"/>
    <w:rsid w:val="00511636"/>
  </w:style>
  <w:style w:type="character" w:styleId="CommentReference">
    <w:name w:val="annotation reference"/>
    <w:basedOn w:val="DefaultParagraphFont"/>
    <w:semiHidden/>
    <w:unhideWhenUsed/>
    <w:rsid w:val="00B00023"/>
    <w:rPr>
      <w:sz w:val="16"/>
      <w:szCs w:val="16"/>
    </w:rPr>
  </w:style>
  <w:style w:type="paragraph" w:styleId="CommentText">
    <w:name w:val="annotation text"/>
    <w:basedOn w:val="Normal"/>
    <w:link w:val="CommentTextChar"/>
    <w:semiHidden/>
    <w:unhideWhenUsed/>
    <w:rsid w:val="00B00023"/>
  </w:style>
  <w:style w:type="character" w:customStyle="1" w:styleId="CommentTextChar">
    <w:name w:val="Comment Text Char"/>
    <w:basedOn w:val="DefaultParagraphFont"/>
    <w:link w:val="CommentText"/>
    <w:semiHidden/>
    <w:rsid w:val="00B00023"/>
  </w:style>
  <w:style w:type="paragraph" w:styleId="CommentSubject">
    <w:name w:val="annotation subject"/>
    <w:basedOn w:val="CommentText"/>
    <w:next w:val="CommentText"/>
    <w:link w:val="CommentSubjectChar"/>
    <w:semiHidden/>
    <w:unhideWhenUsed/>
    <w:rsid w:val="00B00023"/>
    <w:rPr>
      <w:b/>
      <w:bCs/>
    </w:rPr>
  </w:style>
  <w:style w:type="character" w:customStyle="1" w:styleId="CommentSubjectChar">
    <w:name w:val="Comment Subject Char"/>
    <w:basedOn w:val="CommentTextChar"/>
    <w:link w:val="CommentSubject"/>
    <w:semiHidden/>
    <w:rsid w:val="00B00023"/>
    <w:rPr>
      <w:b/>
      <w:bCs/>
    </w:rPr>
  </w:style>
  <w:style w:type="paragraph" w:styleId="BalloonText">
    <w:name w:val="Balloon Text"/>
    <w:basedOn w:val="Normal"/>
    <w:link w:val="BalloonTextChar"/>
    <w:semiHidden/>
    <w:unhideWhenUsed/>
    <w:rsid w:val="00B00023"/>
    <w:rPr>
      <w:rFonts w:ascii="Segoe UI" w:hAnsi="Segoe UI" w:cs="Segoe UI"/>
      <w:sz w:val="18"/>
      <w:szCs w:val="18"/>
    </w:rPr>
  </w:style>
  <w:style w:type="character" w:customStyle="1" w:styleId="BalloonTextChar">
    <w:name w:val="Balloon Text Char"/>
    <w:basedOn w:val="DefaultParagraphFont"/>
    <w:link w:val="BalloonText"/>
    <w:semiHidden/>
    <w:rsid w:val="00B00023"/>
    <w:rPr>
      <w:rFonts w:ascii="Segoe UI" w:hAnsi="Segoe UI" w:cs="Segoe UI"/>
      <w:sz w:val="18"/>
      <w:szCs w:val="18"/>
    </w:rPr>
  </w:style>
  <w:style w:type="paragraph" w:styleId="Revision">
    <w:name w:val="Revision"/>
    <w:hidden/>
    <w:uiPriority w:val="99"/>
    <w:semiHidden/>
    <w:rsid w:val="00A2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B87B-69CB-430A-8BD5-4DA57E8A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United States Coast Guard</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Kenlinishia Ann Tyler</dc:creator>
  <cp:lastModifiedBy>WALSH, CHRISTINA</cp:lastModifiedBy>
  <cp:revision>2</cp:revision>
  <cp:lastPrinted>2015-02-05T13:41:00Z</cp:lastPrinted>
  <dcterms:created xsi:type="dcterms:W3CDTF">2024-01-16T21:36:00Z</dcterms:created>
  <dcterms:modified xsi:type="dcterms:W3CDTF">2024-01-16T21:36:00Z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cc2c4fbf-c41b-4baf-8147-7d1eef8b3c26</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2024-01-16T21:36:48Z</vt:lpwstr>
  </property>
  <property fmtid="{D5CDD505-2E9C-101B-9397-08002B2CF9AE}" pid="8" name="MSIP_Label_a2eef23d-2e95-4428-9a3c-2526d95b164a_SiteId">
    <vt:lpwstr>3ccde76c-946d-4a12-bb7a-fc9d0842354a</vt:lpwstr>
  </property>
</Properties>
</file>