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5C29CE" w:rsidP="002A4142" w14:paraId="60ACE081" w14:textId="77777777">
      <w:pPr>
        <w:tabs>
          <w:tab w:val="left" w:pos="3320"/>
        </w:tabs>
        <w:spacing w:after="0" w:line="240" w:lineRule="auto"/>
        <w:jc w:val="center"/>
        <w:rPr>
          <w:rFonts w:ascii="Times New Roman" w:hAnsi="Times New Roman" w:cs="Times New Roman"/>
          <w:sz w:val="26"/>
          <w:szCs w:val="24"/>
        </w:rPr>
      </w:pPr>
      <w:r w:rsidRPr="005C29CE">
        <w:rPr>
          <w:rFonts w:ascii="Times New Roman" w:hAnsi="Times New Roman" w:cs="Times New Roman"/>
          <w:sz w:val="26"/>
          <w:szCs w:val="24"/>
        </w:rPr>
        <w:t>Supporting Statement for</w:t>
      </w:r>
    </w:p>
    <w:p w:rsidR="00797852" w:rsidRPr="005C29CE" w:rsidP="002A4142" w14:paraId="632D9B37" w14:textId="679D9D00">
      <w:pPr>
        <w:spacing w:after="0" w:line="240" w:lineRule="auto"/>
        <w:ind w:right="-180"/>
        <w:jc w:val="center"/>
        <w:rPr>
          <w:rFonts w:ascii="Times New Roman" w:hAnsi="Times New Roman" w:cs="Times New Roman"/>
          <w:b/>
          <w:sz w:val="26"/>
          <w:szCs w:val="24"/>
        </w:rPr>
      </w:pPr>
      <w:r w:rsidRPr="005C29CE">
        <w:rPr>
          <w:rFonts w:ascii="Times New Roman" w:hAnsi="Times New Roman" w:cs="Times New Roman"/>
          <w:b/>
          <w:sz w:val="26"/>
          <w:szCs w:val="24"/>
        </w:rPr>
        <w:t>FERC-725B</w:t>
      </w:r>
      <w:r w:rsidR="00C65588">
        <w:rPr>
          <w:rFonts w:ascii="Times New Roman" w:hAnsi="Times New Roman" w:cs="Times New Roman"/>
          <w:b/>
          <w:sz w:val="26"/>
          <w:szCs w:val="24"/>
        </w:rPr>
        <w:t xml:space="preserve">, </w:t>
      </w:r>
      <w:r w:rsidRPr="005C29CE" w:rsidR="00194C5C">
        <w:rPr>
          <w:rFonts w:ascii="Times New Roman" w:hAnsi="Times New Roman" w:cs="Times New Roman"/>
          <w:b/>
          <w:iCs/>
          <w:sz w:val="26"/>
          <w:szCs w:val="24"/>
        </w:rPr>
        <w:t xml:space="preserve">Mandatory Reliability Standards:  Critical Infrastructure Protection Reliability Standards </w:t>
      </w:r>
      <w:r w:rsidR="00C65588">
        <w:rPr>
          <w:rFonts w:ascii="Times New Roman" w:hAnsi="Times New Roman" w:cs="Times New Roman"/>
          <w:b/>
          <w:iCs/>
          <w:sz w:val="26"/>
          <w:szCs w:val="24"/>
        </w:rPr>
        <w:t>(</w:t>
      </w:r>
      <w:r w:rsidR="00267559">
        <w:rPr>
          <w:rFonts w:ascii="Times New Roman" w:hAnsi="Times New Roman" w:cs="Times New Roman"/>
          <w:b/>
          <w:iCs/>
          <w:sz w:val="26"/>
          <w:szCs w:val="24"/>
        </w:rPr>
        <w:t>Revisions Approved in Docket No. RD21-6-000)</w:t>
      </w:r>
    </w:p>
    <w:p w:rsidR="002A4142" w:rsidRPr="005C29CE" w:rsidP="002A4142" w14:paraId="432F8FF1" w14:textId="77777777">
      <w:pPr>
        <w:spacing w:after="0" w:line="240" w:lineRule="auto"/>
        <w:ind w:right="-180"/>
        <w:jc w:val="center"/>
        <w:rPr>
          <w:rFonts w:ascii="Times New Roman" w:hAnsi="Times New Roman" w:cs="Times New Roman"/>
          <w:b/>
          <w:sz w:val="26"/>
          <w:szCs w:val="24"/>
        </w:rPr>
      </w:pPr>
    </w:p>
    <w:p w:rsidR="00C4205B" w:rsidP="002A4142" w14:paraId="12B1F6FB" w14:textId="4F8CFE58">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 Federal Energy Regulatory Commission (Commission or FERC) requests that the Office of Management and</w:t>
      </w:r>
      <w:r w:rsidRPr="005C29CE" w:rsidR="007502F1">
        <w:rPr>
          <w:rFonts w:ascii="Times New Roman" w:hAnsi="Times New Roman" w:cs="Times New Roman"/>
          <w:sz w:val="26"/>
          <w:szCs w:val="24"/>
        </w:rPr>
        <w:t xml:space="preserve"> Budget (OMB) review the </w:t>
      </w:r>
      <w:r w:rsidR="00C37A69">
        <w:rPr>
          <w:rFonts w:ascii="Times New Roman" w:hAnsi="Times New Roman" w:cs="Times New Roman"/>
          <w:sz w:val="26"/>
          <w:szCs w:val="24"/>
        </w:rPr>
        <w:t xml:space="preserve">revised </w:t>
      </w:r>
      <w:r w:rsidRPr="005C29CE" w:rsidR="001D2DB9">
        <w:rPr>
          <w:rFonts w:ascii="Times New Roman" w:hAnsi="Times New Roman" w:cs="Times New Roman"/>
          <w:sz w:val="26"/>
          <w:szCs w:val="24"/>
        </w:rPr>
        <w:t xml:space="preserve">collection of information </w:t>
      </w:r>
      <w:r w:rsidRPr="005C29CE" w:rsidR="002D55DC">
        <w:rPr>
          <w:rFonts w:ascii="Times New Roman" w:hAnsi="Times New Roman" w:cs="Times New Roman"/>
          <w:sz w:val="26"/>
          <w:szCs w:val="24"/>
        </w:rPr>
        <w:t xml:space="preserve">designated as </w:t>
      </w:r>
      <w:r w:rsidRPr="005C29CE" w:rsidR="00675A46">
        <w:rPr>
          <w:rFonts w:ascii="Times New Roman" w:hAnsi="Times New Roman" w:cs="Times New Roman"/>
          <w:sz w:val="26"/>
          <w:szCs w:val="24"/>
        </w:rPr>
        <w:t>FERC-725B</w:t>
      </w:r>
      <w:r w:rsidRPr="005C29CE" w:rsidR="002D55DC">
        <w:rPr>
          <w:rFonts w:ascii="Times New Roman" w:hAnsi="Times New Roman" w:cs="Times New Roman"/>
          <w:sz w:val="26"/>
          <w:szCs w:val="24"/>
        </w:rPr>
        <w:t xml:space="preserve"> </w:t>
      </w:r>
      <w:r w:rsidRPr="005C29CE" w:rsidR="00612E67">
        <w:rPr>
          <w:rFonts w:ascii="Times New Roman" w:hAnsi="Times New Roman" w:cs="Times New Roman"/>
          <w:sz w:val="26"/>
          <w:szCs w:val="24"/>
        </w:rPr>
        <w:t>(</w:t>
      </w:r>
      <w:r w:rsidRPr="005C29CE" w:rsidR="00B50C45">
        <w:rPr>
          <w:rFonts w:ascii="Times New Roman" w:hAnsi="Times New Roman" w:cs="Times New Roman"/>
          <w:sz w:val="26"/>
          <w:szCs w:val="24"/>
        </w:rPr>
        <w:t>Mandatory Reliability Standard</w:t>
      </w:r>
      <w:r w:rsidRPr="005C29CE" w:rsidR="002D55DC">
        <w:rPr>
          <w:rFonts w:ascii="Times New Roman" w:hAnsi="Times New Roman" w:cs="Times New Roman"/>
          <w:sz w:val="26"/>
          <w:szCs w:val="24"/>
        </w:rPr>
        <w:t xml:space="preserve">s:  </w:t>
      </w:r>
      <w:r w:rsidRPr="005C29CE" w:rsidR="00B50C45">
        <w:rPr>
          <w:rFonts w:ascii="Times New Roman" w:hAnsi="Times New Roman" w:cs="Times New Roman"/>
          <w:sz w:val="26"/>
          <w:szCs w:val="24"/>
        </w:rPr>
        <w:t>Critical Infrastructure Protection</w:t>
      </w:r>
      <w:r w:rsidRPr="005C29CE" w:rsidR="005333E6">
        <w:rPr>
          <w:rFonts w:ascii="Times New Roman" w:hAnsi="Times New Roman" w:cs="Times New Roman"/>
          <w:sz w:val="26"/>
          <w:szCs w:val="24"/>
        </w:rPr>
        <w:t xml:space="preserve"> </w:t>
      </w:r>
      <w:r w:rsidRPr="005C29CE" w:rsidR="004059BB">
        <w:rPr>
          <w:rFonts w:ascii="Times New Roman" w:hAnsi="Times New Roman" w:cs="Times New Roman"/>
          <w:sz w:val="26"/>
          <w:szCs w:val="24"/>
        </w:rPr>
        <w:t xml:space="preserve">Reliability </w:t>
      </w:r>
      <w:r w:rsidRPr="005C29CE" w:rsidR="00E90938">
        <w:rPr>
          <w:rFonts w:ascii="Times New Roman" w:hAnsi="Times New Roman" w:cs="Times New Roman"/>
          <w:sz w:val="26"/>
          <w:szCs w:val="24"/>
        </w:rPr>
        <w:t>Standards</w:t>
      </w:r>
      <w:r w:rsidR="002360DA">
        <w:rPr>
          <w:rFonts w:ascii="Times New Roman" w:hAnsi="Times New Roman" w:cs="Times New Roman"/>
          <w:sz w:val="26"/>
          <w:szCs w:val="24"/>
        </w:rPr>
        <w:t>)</w:t>
      </w:r>
      <w:r w:rsidRPr="005C29CE" w:rsidR="0089226A">
        <w:rPr>
          <w:rFonts w:ascii="Times New Roman" w:hAnsi="Times New Roman" w:cs="Times New Roman"/>
          <w:sz w:val="26"/>
          <w:szCs w:val="24"/>
        </w:rPr>
        <w:t>.</w:t>
      </w:r>
    </w:p>
    <w:p w:rsidR="00D87720" w:rsidP="002A4142" w14:paraId="47522D23" w14:textId="515E0BDA">
      <w:pPr>
        <w:spacing w:after="0" w:line="240" w:lineRule="auto"/>
        <w:rPr>
          <w:rFonts w:ascii="Times New Roman" w:hAnsi="Times New Roman" w:cs="Times New Roman"/>
          <w:sz w:val="26"/>
          <w:szCs w:val="24"/>
        </w:rPr>
      </w:pPr>
    </w:p>
    <w:p w:rsidR="00C55703" w:rsidP="00C37A69" w14:paraId="3422A75A" w14:textId="09BCD1C4">
      <w:pPr>
        <w:spacing w:after="0" w:line="240" w:lineRule="auto"/>
        <w:rPr>
          <w:rFonts w:ascii="Times New Roman" w:hAnsi="Times New Roman" w:cs="Times New Roman"/>
          <w:sz w:val="26"/>
          <w:szCs w:val="24"/>
        </w:rPr>
      </w:pPr>
      <w:r w:rsidRPr="00C37A69">
        <w:rPr>
          <w:rFonts w:ascii="Times New Roman" w:hAnsi="Times New Roman" w:cs="Times New Roman"/>
          <w:sz w:val="26"/>
          <w:szCs w:val="24"/>
        </w:rPr>
        <w:t xml:space="preserve">As previously approved, the information collection (IC) </w:t>
      </w:r>
      <w:r w:rsidR="00015E47">
        <w:rPr>
          <w:rFonts w:ascii="Times New Roman" w:hAnsi="Times New Roman" w:cs="Times New Roman"/>
          <w:sz w:val="26"/>
          <w:szCs w:val="24"/>
        </w:rPr>
        <w:t xml:space="preserve">listed </w:t>
      </w:r>
      <w:r w:rsidR="00211B84">
        <w:rPr>
          <w:rFonts w:ascii="Times New Roman" w:hAnsi="Times New Roman" w:cs="Times New Roman"/>
          <w:sz w:val="26"/>
          <w:szCs w:val="24"/>
        </w:rPr>
        <w:t>in</w:t>
      </w:r>
      <w:r w:rsidRPr="00C37A69" w:rsidR="00211B84">
        <w:rPr>
          <w:rFonts w:ascii="Times New Roman" w:hAnsi="Times New Roman" w:cs="Times New Roman"/>
          <w:sz w:val="26"/>
          <w:szCs w:val="24"/>
        </w:rPr>
        <w:t xml:space="preserve"> </w:t>
      </w:r>
      <w:r w:rsidRPr="00C37A69">
        <w:rPr>
          <w:rFonts w:ascii="Times New Roman" w:hAnsi="Times New Roman" w:cs="Times New Roman"/>
          <w:sz w:val="26"/>
          <w:szCs w:val="24"/>
        </w:rPr>
        <w:t xml:space="preserve">FERC-725B implements Critical Infrastructure Protection (CIP) Reliability Standards that require electric entities to comply with specific requirements to safeguard critical cyber assets.  On September 15, 2021, NERC filed a petition requesting approval of two modified Reliability Standards:  CIP-004-7 (Cyber Security, Personnel and Training) and CIP-011-3 (Cyber Security, Information Protection).  </w:t>
      </w:r>
      <w:r w:rsidRPr="007513D3" w:rsidR="007513D3">
        <w:rPr>
          <w:rFonts w:ascii="Times New Roman" w:hAnsi="Times New Roman" w:cs="Times New Roman"/>
          <w:sz w:val="26"/>
          <w:szCs w:val="24"/>
        </w:rPr>
        <w:t xml:space="preserve">This IC request applies only to the effects of those two revised Reliability Standards </w:t>
      </w:r>
      <w:r w:rsidR="00D971EA">
        <w:rPr>
          <w:rFonts w:ascii="Times New Roman" w:hAnsi="Times New Roman" w:cs="Times New Roman"/>
          <w:sz w:val="26"/>
          <w:szCs w:val="24"/>
        </w:rPr>
        <w:t>within</w:t>
      </w:r>
      <w:r w:rsidRPr="007513D3" w:rsidR="007513D3">
        <w:rPr>
          <w:rFonts w:ascii="Times New Roman" w:hAnsi="Times New Roman" w:cs="Times New Roman"/>
          <w:sz w:val="26"/>
          <w:szCs w:val="24"/>
        </w:rPr>
        <w:t xml:space="preserve"> FERC-725B.</w:t>
      </w:r>
    </w:p>
    <w:p w:rsidR="00C55703" w:rsidP="00C37A69" w14:paraId="79F3D691" w14:textId="77777777">
      <w:pPr>
        <w:spacing w:after="0" w:line="240" w:lineRule="auto"/>
        <w:rPr>
          <w:rFonts w:ascii="Times New Roman" w:hAnsi="Times New Roman" w:cs="Times New Roman"/>
          <w:sz w:val="26"/>
          <w:szCs w:val="24"/>
        </w:rPr>
      </w:pPr>
    </w:p>
    <w:p w:rsidR="00C37A69" w:rsidRPr="00C37A69" w:rsidP="00C37A69" w14:paraId="3966CAE9" w14:textId="562DBE8B">
      <w:pPr>
        <w:spacing w:after="0" w:line="240" w:lineRule="auto"/>
        <w:rPr>
          <w:rFonts w:ascii="Times New Roman" w:hAnsi="Times New Roman" w:cs="Times New Roman"/>
          <w:sz w:val="26"/>
          <w:szCs w:val="24"/>
        </w:rPr>
      </w:pPr>
      <w:r w:rsidRPr="00C37A69">
        <w:rPr>
          <w:rFonts w:ascii="Times New Roman" w:hAnsi="Times New Roman" w:cs="Times New Roman"/>
          <w:sz w:val="26"/>
          <w:szCs w:val="24"/>
        </w:rPr>
        <w:t xml:space="preserve">The Commission issued a notice of the </w:t>
      </w:r>
      <w:r w:rsidR="00C55703">
        <w:rPr>
          <w:rFonts w:ascii="Times New Roman" w:hAnsi="Times New Roman" w:cs="Times New Roman"/>
          <w:sz w:val="26"/>
          <w:szCs w:val="24"/>
        </w:rPr>
        <w:t xml:space="preserve">NERC </w:t>
      </w:r>
      <w:r w:rsidRPr="00C37A69">
        <w:rPr>
          <w:rFonts w:ascii="Times New Roman" w:hAnsi="Times New Roman" w:cs="Times New Roman"/>
          <w:sz w:val="26"/>
          <w:szCs w:val="24"/>
        </w:rPr>
        <w:t>petition on September 22, 2021, with interventions and comments due by October 6, 2021.   The Commission did not receive any interventions or comments.</w:t>
      </w:r>
    </w:p>
    <w:p w:rsidR="00C37A69" w:rsidRPr="00C37A69" w:rsidP="00C37A69" w14:paraId="37832104" w14:textId="77777777">
      <w:pPr>
        <w:spacing w:after="0" w:line="240" w:lineRule="auto"/>
        <w:rPr>
          <w:rFonts w:ascii="Times New Roman" w:hAnsi="Times New Roman" w:cs="Times New Roman"/>
          <w:sz w:val="26"/>
          <w:szCs w:val="24"/>
        </w:rPr>
      </w:pPr>
    </w:p>
    <w:p w:rsidR="00C37A69" w:rsidRPr="00C37A69" w:rsidP="00C37A69" w14:paraId="3C965E29" w14:textId="7340DFA7">
      <w:pPr>
        <w:spacing w:after="0" w:line="240" w:lineRule="auto"/>
        <w:rPr>
          <w:rFonts w:ascii="Times New Roman" w:hAnsi="Times New Roman" w:cs="Times New Roman"/>
          <w:sz w:val="26"/>
          <w:szCs w:val="24"/>
        </w:rPr>
      </w:pPr>
      <w:r w:rsidRPr="00C37A69">
        <w:rPr>
          <w:rFonts w:ascii="Times New Roman" w:hAnsi="Times New Roman" w:cs="Times New Roman"/>
          <w:sz w:val="26"/>
          <w:szCs w:val="24"/>
        </w:rPr>
        <w:t>On December 7, 2021, the Commission issued a Designated Letter Order (DLO) in Docket No. RD21-6-000 approving the two proposed Reliability Standards because they will enhance security.</w:t>
      </w:r>
    </w:p>
    <w:p w:rsidR="00C37A69" w:rsidRPr="00C37A69" w:rsidP="00C37A69" w14:paraId="6FA71E36" w14:textId="77777777">
      <w:pPr>
        <w:spacing w:after="0" w:line="240" w:lineRule="auto"/>
        <w:rPr>
          <w:rFonts w:ascii="Times New Roman" w:hAnsi="Times New Roman" w:cs="Times New Roman"/>
          <w:sz w:val="26"/>
          <w:szCs w:val="24"/>
        </w:rPr>
      </w:pPr>
    </w:p>
    <w:p w:rsidR="00C37A69" w:rsidRPr="00C37A69" w:rsidP="00C37A69" w14:paraId="793EFD38" w14:textId="499876E6">
      <w:pPr>
        <w:spacing w:after="0" w:line="240" w:lineRule="auto"/>
        <w:rPr>
          <w:rFonts w:ascii="Times New Roman" w:hAnsi="Times New Roman" w:cs="Times New Roman"/>
          <w:sz w:val="26"/>
          <w:szCs w:val="26"/>
        </w:rPr>
      </w:pPr>
      <w:r w:rsidRPr="1F235407">
        <w:rPr>
          <w:rFonts w:ascii="Times New Roman" w:hAnsi="Times New Roman" w:cs="Times New Roman"/>
          <w:sz w:val="26"/>
          <w:szCs w:val="26"/>
        </w:rPr>
        <w:t xml:space="preserve">The Commission issued a 60-day notice in Docket No. RD21-6-000 on December 21, 2021.  That notice was published on December 28, 2021 (86 FR 73752).  In that notice, the Commission characterized this </w:t>
      </w:r>
      <w:r w:rsidRPr="1F235407" w:rsidR="00B119A0">
        <w:rPr>
          <w:rFonts w:ascii="Times New Roman" w:hAnsi="Times New Roman" w:cs="Times New Roman"/>
          <w:sz w:val="26"/>
          <w:szCs w:val="26"/>
        </w:rPr>
        <w:t>IC</w:t>
      </w:r>
      <w:r w:rsidRPr="1F235407">
        <w:rPr>
          <w:rFonts w:ascii="Times New Roman" w:hAnsi="Times New Roman" w:cs="Times New Roman"/>
          <w:sz w:val="26"/>
          <w:szCs w:val="26"/>
        </w:rPr>
        <w:t xml:space="preserve"> as FERC-725B4 -- an interim information collection number that, as of December 2021 (when the 60-day notice was issued for this information collection request), accommodated the need to seek timely approval during the pendency of an unrelated IC request pertaining to FERC-725B (OMB Control No. 1902-0248).</w:t>
      </w:r>
    </w:p>
    <w:p w:rsidR="00C37A69" w:rsidRPr="00C37A69" w:rsidP="00C37A69" w14:paraId="00853413" w14:textId="77777777">
      <w:pPr>
        <w:spacing w:after="0" w:line="240" w:lineRule="auto"/>
        <w:rPr>
          <w:rFonts w:ascii="Times New Roman" w:hAnsi="Times New Roman" w:cs="Times New Roman"/>
          <w:sz w:val="26"/>
          <w:szCs w:val="24"/>
        </w:rPr>
      </w:pPr>
    </w:p>
    <w:p w:rsidR="00C3629D" w:rsidP="00C37A69" w14:paraId="6CDDB41B" w14:textId="3565E854">
      <w:pPr>
        <w:spacing w:after="0" w:line="240" w:lineRule="auto"/>
        <w:rPr>
          <w:rFonts w:ascii="Times New Roman" w:hAnsi="Times New Roman" w:cs="Times New Roman"/>
          <w:sz w:val="26"/>
          <w:szCs w:val="26"/>
        </w:rPr>
      </w:pPr>
      <w:r w:rsidRPr="03FF78E8">
        <w:rPr>
          <w:rFonts w:ascii="Times New Roman" w:hAnsi="Times New Roman" w:cs="Times New Roman"/>
          <w:sz w:val="26"/>
          <w:szCs w:val="26"/>
        </w:rPr>
        <w:t xml:space="preserve">After the publication of the 60-day notice for this information collection request, the Office of Management and Budget (OMB) </w:t>
      </w:r>
      <w:r w:rsidRPr="03FF78E8" w:rsidR="004B30C3">
        <w:rPr>
          <w:rFonts w:ascii="Times New Roman" w:hAnsi="Times New Roman" w:cs="Times New Roman"/>
          <w:sz w:val="26"/>
          <w:szCs w:val="26"/>
        </w:rPr>
        <w:t>acted</w:t>
      </w:r>
      <w:r w:rsidRPr="03FF78E8">
        <w:rPr>
          <w:rFonts w:ascii="Times New Roman" w:hAnsi="Times New Roman" w:cs="Times New Roman"/>
          <w:sz w:val="26"/>
          <w:szCs w:val="26"/>
        </w:rPr>
        <w:t xml:space="preserve"> twice on IC FERC-725B.  The resulting expiration date is June 30, 2026.  OMB has approved the IC request for FERC</w:t>
      </w:r>
      <w:r w:rsidRPr="03FF78E8" w:rsidR="002071D3">
        <w:rPr>
          <w:rFonts w:ascii="Times New Roman" w:hAnsi="Times New Roman" w:cs="Times New Roman"/>
          <w:sz w:val="26"/>
          <w:szCs w:val="26"/>
        </w:rPr>
        <w:t>-</w:t>
      </w:r>
      <w:r w:rsidRPr="03FF78E8">
        <w:rPr>
          <w:rFonts w:ascii="Times New Roman" w:hAnsi="Times New Roman" w:cs="Times New Roman"/>
          <w:sz w:val="26"/>
          <w:szCs w:val="26"/>
        </w:rPr>
        <w:t xml:space="preserve">725B4 and has assigned it OMB Control No. 1902-0330.  The Commission </w:t>
      </w:r>
      <w:r w:rsidRPr="03FF78E8" w:rsidR="000426F7">
        <w:rPr>
          <w:rFonts w:ascii="Times New Roman" w:hAnsi="Times New Roman" w:cs="Times New Roman"/>
          <w:sz w:val="26"/>
          <w:szCs w:val="26"/>
        </w:rPr>
        <w:t xml:space="preserve">now </w:t>
      </w:r>
      <w:r w:rsidRPr="03FF78E8">
        <w:rPr>
          <w:rFonts w:ascii="Times New Roman" w:hAnsi="Times New Roman" w:cs="Times New Roman"/>
          <w:sz w:val="26"/>
          <w:szCs w:val="26"/>
        </w:rPr>
        <w:t>seeks OMB’s approval to add the IC associated with Docket No. RD21-6</w:t>
      </w:r>
      <w:r w:rsidRPr="03FF78E8" w:rsidR="00E0566B">
        <w:rPr>
          <w:rFonts w:ascii="Times New Roman" w:hAnsi="Times New Roman" w:cs="Times New Roman"/>
          <w:sz w:val="26"/>
          <w:szCs w:val="26"/>
        </w:rPr>
        <w:t>-000</w:t>
      </w:r>
      <w:r w:rsidRPr="03FF78E8">
        <w:rPr>
          <w:rFonts w:ascii="Times New Roman" w:hAnsi="Times New Roman" w:cs="Times New Roman"/>
          <w:sz w:val="26"/>
          <w:szCs w:val="26"/>
        </w:rPr>
        <w:t xml:space="preserve"> </w:t>
      </w:r>
      <w:r w:rsidRPr="03FF78E8" w:rsidR="002B2AEF">
        <w:rPr>
          <w:rFonts w:ascii="Times New Roman" w:hAnsi="Times New Roman" w:cs="Times New Roman"/>
          <w:sz w:val="26"/>
          <w:szCs w:val="26"/>
        </w:rPr>
        <w:t xml:space="preserve">(and </w:t>
      </w:r>
      <w:r w:rsidRPr="03FF78E8" w:rsidR="002071D3">
        <w:rPr>
          <w:rFonts w:ascii="Times New Roman" w:hAnsi="Times New Roman" w:cs="Times New Roman"/>
          <w:sz w:val="26"/>
          <w:szCs w:val="26"/>
        </w:rPr>
        <w:t xml:space="preserve">OMB Control No. 1902-0330) </w:t>
      </w:r>
      <w:r w:rsidRPr="03FF78E8">
        <w:rPr>
          <w:rFonts w:ascii="Times New Roman" w:hAnsi="Times New Roman" w:cs="Times New Roman"/>
          <w:sz w:val="26"/>
          <w:szCs w:val="26"/>
        </w:rPr>
        <w:t xml:space="preserve">to FERC-725B </w:t>
      </w:r>
      <w:r w:rsidRPr="03FF78E8" w:rsidR="000426F7">
        <w:rPr>
          <w:rFonts w:ascii="Times New Roman" w:hAnsi="Times New Roman" w:cs="Times New Roman"/>
          <w:sz w:val="26"/>
          <w:szCs w:val="26"/>
        </w:rPr>
        <w:t>(an OMB Control No. 1902-0</w:t>
      </w:r>
      <w:r w:rsidRPr="03FF78E8">
        <w:rPr>
          <w:rFonts w:ascii="Times New Roman" w:hAnsi="Times New Roman" w:cs="Times New Roman"/>
          <w:sz w:val="26"/>
          <w:szCs w:val="26"/>
        </w:rPr>
        <w:t xml:space="preserve">248) </w:t>
      </w:r>
      <w:r w:rsidRPr="03FF78E8">
        <w:rPr>
          <w:rFonts w:ascii="Times New Roman" w:hAnsi="Times New Roman" w:cs="Times New Roman"/>
          <w:sz w:val="26"/>
          <w:szCs w:val="26"/>
        </w:rPr>
        <w:t>without changing the current expiration date.</w:t>
      </w:r>
    </w:p>
    <w:p w:rsidR="00C3629D" w14:paraId="68457F91" w14:textId="77777777">
      <w:pPr>
        <w:rPr>
          <w:rFonts w:ascii="Times New Roman" w:hAnsi="Times New Roman" w:cs="Times New Roman"/>
          <w:sz w:val="26"/>
          <w:szCs w:val="24"/>
        </w:rPr>
      </w:pPr>
      <w:r>
        <w:rPr>
          <w:rFonts w:ascii="Times New Roman" w:hAnsi="Times New Roman" w:cs="Times New Roman"/>
          <w:sz w:val="26"/>
          <w:szCs w:val="24"/>
        </w:rPr>
        <w:br w:type="page"/>
      </w:r>
    </w:p>
    <w:p w:rsidR="00C4205B" w:rsidRPr="005C29CE" w:rsidP="007C39D3" w14:paraId="1062E706"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C29CE">
        <w:rPr>
          <w:rFonts w:ascii="Times New Roman" w:hAnsi="Times New Roman" w:cs="Times New Roman"/>
          <w:b/>
          <w:bCs/>
          <w:sz w:val="26"/>
          <w:szCs w:val="24"/>
        </w:rPr>
        <w:t>CIRCUMSTANCES THAT MAKE THE COLLECTION OF INFORMATION NECESSARY</w:t>
      </w:r>
    </w:p>
    <w:p w:rsidR="00C4205B" w:rsidRPr="005C29CE" w:rsidP="005E2448" w14:paraId="3D45919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8E7365" w:rsidRPr="005C29CE" w:rsidP="0089226A" w14:paraId="7644E339" w14:textId="77777777">
      <w:pPr>
        <w:tabs>
          <w:tab w:val="num" w:pos="720"/>
        </w:tabs>
        <w:spacing w:after="0" w:line="240" w:lineRule="auto"/>
        <w:rPr>
          <w:rFonts w:ascii="Times New Roman" w:eastAsia="Calibri" w:hAnsi="Times New Roman" w:cs="Times New Roman"/>
          <w:sz w:val="26"/>
        </w:rPr>
      </w:pPr>
      <w:r w:rsidRPr="005C29CE">
        <w:rPr>
          <w:rFonts w:ascii="Times New Roman" w:eastAsia="Calibri" w:hAnsi="Times New Roman" w:cs="Times New Roman"/>
          <w:sz w:val="26"/>
        </w:rPr>
        <w:t>On August 8, 2005, Congress enacted the Energy Policy Act of 2005.</w:t>
      </w:r>
      <w:r>
        <w:rPr>
          <w:rFonts w:ascii="Times New Roman" w:eastAsia="Calibri" w:hAnsi="Times New Roman" w:cs="Times New Roman"/>
          <w:bCs/>
          <w:sz w:val="26"/>
          <w:vertAlign w:val="superscript"/>
        </w:rPr>
        <w:footnoteReference w:id="3"/>
      </w:r>
      <w:r w:rsidRPr="005C29CE">
        <w:rPr>
          <w:rFonts w:ascii="Times New Roman" w:eastAsia="Calibri" w:hAnsi="Times New Roman" w:cs="Times New Roman"/>
          <w:sz w:val="26"/>
        </w:rPr>
        <w:t xml:space="preserve">  The Energy Policy Act of 2005 added a new section 215 to the </w:t>
      </w:r>
      <w:r w:rsidRPr="005C29CE" w:rsidR="00257678">
        <w:rPr>
          <w:rFonts w:ascii="Times New Roman" w:eastAsia="Calibri" w:hAnsi="Times New Roman" w:cs="Times New Roman"/>
          <w:sz w:val="26"/>
        </w:rPr>
        <w:t>Federal Power Act (</w:t>
      </w:r>
      <w:r w:rsidRPr="005C29CE">
        <w:rPr>
          <w:rFonts w:ascii="Times New Roman" w:eastAsia="Calibri" w:hAnsi="Times New Roman" w:cs="Times New Roman"/>
          <w:sz w:val="26"/>
        </w:rPr>
        <w:t>FPA</w:t>
      </w:r>
      <w:r w:rsidRPr="005C29CE" w:rsidR="00257678">
        <w:rPr>
          <w:rFonts w:ascii="Times New Roman" w:eastAsia="Calibri" w:hAnsi="Times New Roman" w:cs="Times New Roman"/>
          <w:sz w:val="26"/>
        </w:rPr>
        <w:t>)</w:t>
      </w:r>
      <w:r w:rsidRPr="005C29CE">
        <w:rPr>
          <w:rFonts w:ascii="Times New Roman" w:eastAsia="Calibri" w:hAnsi="Times New Roman" w:cs="Times New Roman"/>
          <w:sz w:val="26"/>
        </w:rPr>
        <w:t>,</w:t>
      </w:r>
      <w:r>
        <w:rPr>
          <w:rFonts w:ascii="Times New Roman" w:eastAsia="Calibri" w:hAnsi="Times New Roman" w:cs="Times New Roman"/>
          <w:bCs/>
          <w:sz w:val="26"/>
          <w:vertAlign w:val="superscript"/>
        </w:rPr>
        <w:footnoteReference w:id="4"/>
      </w:r>
      <w:r w:rsidRPr="005C29CE">
        <w:rPr>
          <w:rFonts w:ascii="Times New Roman" w:eastAsia="Calibri" w:hAnsi="Times New Roman" w:cs="Times New Roman"/>
          <w:sz w:val="26"/>
        </w:rPr>
        <w:t xml:space="preserve"> which requires a Commission-certified Electric Reliability Organization to develop mandatory and enforceable Reliability Standards,</w:t>
      </w:r>
      <w:r>
        <w:rPr>
          <w:rFonts w:ascii="Times New Roman" w:eastAsia="Calibri" w:hAnsi="Times New Roman" w:cs="Times New Roman"/>
          <w:bCs/>
          <w:sz w:val="26"/>
          <w:vertAlign w:val="superscript"/>
        </w:rPr>
        <w:footnoteReference w:id="5"/>
      </w:r>
      <w:r w:rsidRPr="005C29CE">
        <w:rPr>
          <w:rFonts w:ascii="Times New Roman" w:eastAsia="Calibri" w:hAnsi="Times New Roman" w:cs="Times New Roman"/>
          <w:sz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89226A" w:rsidRPr="005C29CE" w:rsidP="0089226A" w14:paraId="4AF43B2D" w14:textId="4D55F92C">
      <w:pPr>
        <w:tabs>
          <w:tab w:val="num" w:pos="720"/>
        </w:tabs>
        <w:spacing w:after="0" w:line="240" w:lineRule="auto"/>
        <w:rPr>
          <w:rFonts w:ascii="Times New Roman" w:eastAsia="Calibri" w:hAnsi="Times New Roman" w:cs="Times New Roman"/>
          <w:sz w:val="26"/>
        </w:rPr>
      </w:pPr>
      <w:r w:rsidRPr="005C29CE">
        <w:rPr>
          <w:rFonts w:ascii="Times New Roman" w:eastAsia="Calibri" w:hAnsi="Times New Roman" w:cs="Times New Roman"/>
          <w:sz w:val="26"/>
        </w:rPr>
        <w:t xml:space="preserve">  </w:t>
      </w:r>
    </w:p>
    <w:p w:rsidR="0048200B" w:rsidP="0089226A" w14:paraId="46229CFE" w14:textId="77777777">
      <w:pPr>
        <w:tabs>
          <w:tab w:val="num" w:pos="720"/>
        </w:tabs>
        <w:spacing w:after="0" w:line="240" w:lineRule="auto"/>
        <w:rPr>
          <w:rFonts w:ascii="Times New Roman" w:eastAsia="Calibri" w:hAnsi="Times New Roman" w:cs="Times New Roman"/>
          <w:sz w:val="26"/>
        </w:rPr>
      </w:pPr>
      <w:r w:rsidRPr="005C29CE">
        <w:rPr>
          <w:rFonts w:ascii="Times New Roman" w:eastAsia="Calibri" w:hAnsi="Times New Roman" w:cs="Times New Roman"/>
          <w:sz w:val="26"/>
        </w:rPr>
        <w:t>On February 3, 2006, the Commission issued Order No. 672,</w:t>
      </w:r>
      <w:r>
        <w:rPr>
          <w:rFonts w:ascii="Times New Roman" w:eastAsia="Calibri" w:hAnsi="Times New Roman" w:cs="Times New Roman"/>
          <w:b/>
          <w:sz w:val="26"/>
          <w:vertAlign w:val="superscript"/>
        </w:rPr>
        <w:footnoteReference w:id="6"/>
      </w:r>
      <w:r w:rsidRPr="005C29CE">
        <w:rPr>
          <w:rFonts w:ascii="Times New Roman" w:eastAsia="Calibri" w:hAnsi="Times New Roman" w:cs="Times New Roman"/>
          <w:sz w:val="26"/>
        </w:rPr>
        <w:t xml:space="preserve"> implementing FPA section 215.  The Commission subsequently certified </w:t>
      </w:r>
      <w:r w:rsidRPr="005C29CE" w:rsidR="00487A8A">
        <w:rPr>
          <w:rFonts w:ascii="Times New Roman" w:eastAsia="Calibri" w:hAnsi="Times New Roman" w:cs="Times New Roman"/>
          <w:iCs/>
          <w:sz w:val="26"/>
        </w:rPr>
        <w:t>North American Electric Reliability Corporation (NERC)</w:t>
      </w:r>
      <w:r w:rsidRPr="005C29CE">
        <w:rPr>
          <w:rFonts w:ascii="Times New Roman" w:eastAsia="Calibri" w:hAnsi="Times New Roman" w:cs="Times New Roman"/>
          <w:sz w:val="26"/>
        </w:rPr>
        <w:t xml:space="preserve"> as the Electric Reliability Organization.  The Reliability Standards developed by NERC become mandatory and enforceable after Commission approval and apply to users, owners, and operators of the Bulk-Power System, as set forth in each Reliability Standard.</w:t>
      </w:r>
      <w:r>
        <w:rPr>
          <w:rFonts w:ascii="Times New Roman" w:eastAsia="Calibri" w:hAnsi="Times New Roman" w:cs="Times New Roman"/>
          <w:b/>
          <w:sz w:val="26"/>
          <w:vertAlign w:val="superscript"/>
        </w:rPr>
        <w:footnoteReference w:id="7"/>
      </w:r>
    </w:p>
    <w:p w:rsidR="0048200B" w:rsidP="0089226A" w14:paraId="0C9F13FB" w14:textId="77777777">
      <w:pPr>
        <w:tabs>
          <w:tab w:val="num" w:pos="720"/>
        </w:tabs>
        <w:spacing w:after="0" w:line="240" w:lineRule="auto"/>
        <w:rPr>
          <w:rFonts w:ascii="Times New Roman" w:eastAsia="Calibri" w:hAnsi="Times New Roman" w:cs="Times New Roman"/>
          <w:sz w:val="26"/>
        </w:rPr>
      </w:pPr>
    </w:p>
    <w:p w:rsidR="0089226A" w:rsidP="0089226A" w14:paraId="0A7AB270" w14:textId="7B33796C">
      <w:pPr>
        <w:tabs>
          <w:tab w:val="num" w:pos="720"/>
        </w:tabs>
        <w:spacing w:after="0" w:line="240" w:lineRule="auto"/>
        <w:rPr>
          <w:rFonts w:ascii="Times New Roman" w:eastAsia="Calibri" w:hAnsi="Times New Roman" w:cs="Times New Roman"/>
          <w:sz w:val="26"/>
        </w:rPr>
      </w:pPr>
      <w:r w:rsidRPr="005C29CE">
        <w:rPr>
          <w:rFonts w:ascii="Times New Roman" w:eastAsia="Calibri" w:hAnsi="Times New Roman" w:cs="Times New Roman"/>
          <w:sz w:val="26"/>
        </w:rPr>
        <w:t xml:space="preserve">The </w:t>
      </w:r>
      <w:r w:rsidRPr="005C29CE" w:rsidR="005C29CE">
        <w:rPr>
          <w:rFonts w:ascii="Times New Roman" w:hAnsi="Times New Roman" w:cs="Times New Roman"/>
          <w:sz w:val="26"/>
          <w:szCs w:val="24"/>
        </w:rPr>
        <w:t xml:space="preserve">CIP </w:t>
      </w:r>
      <w:r w:rsidRPr="005C29CE">
        <w:rPr>
          <w:rFonts w:ascii="Times New Roman" w:eastAsia="Calibri" w:hAnsi="Times New Roman" w:cs="Times New Roman"/>
          <w:sz w:val="26"/>
        </w:rPr>
        <w:t xml:space="preserve">Reliability Standards require entities to comply with specific requirements to safeguard critical cyber assets.  These standards are results-based and do not specify a </w:t>
      </w:r>
      <w:r w:rsidRPr="005C29CE">
        <w:rPr>
          <w:rFonts w:ascii="Times New Roman" w:eastAsia="Calibri" w:hAnsi="Times New Roman" w:cs="Times New Roman"/>
          <w:sz w:val="26"/>
        </w:rPr>
        <w:t>technology or method to achieve compliance, instead leaving it up to the entity to decide how best to comply.</w:t>
      </w:r>
      <w:r w:rsidR="004B24DC">
        <w:rPr>
          <w:rFonts w:ascii="Times New Roman" w:eastAsia="Calibri" w:hAnsi="Times New Roman" w:cs="Times New Roman"/>
          <w:sz w:val="26"/>
        </w:rPr>
        <w:t xml:space="preserve">  </w:t>
      </w:r>
      <w:r w:rsidRPr="005C29CE">
        <w:rPr>
          <w:rFonts w:ascii="Times New Roman" w:eastAsia="Calibri" w:hAnsi="Times New Roman" w:cs="Times New Roman"/>
          <w:sz w:val="26"/>
        </w:rPr>
        <w:t>On January 18, 2008, the Commission issued Order No. 706,</w:t>
      </w:r>
      <w:r>
        <w:rPr>
          <w:rFonts w:ascii="Times New Roman" w:eastAsia="Calibri" w:hAnsi="Times New Roman" w:cs="Times New Roman"/>
          <w:b/>
          <w:sz w:val="26"/>
          <w:vertAlign w:val="superscript"/>
        </w:rPr>
        <w:footnoteReference w:id="8"/>
      </w:r>
      <w:r w:rsidRPr="005C29CE">
        <w:rPr>
          <w:rFonts w:ascii="Times New Roman" w:eastAsia="Calibri" w:hAnsi="Times New Roman" w:cs="Times New Roman"/>
          <w:sz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ascii="Times New Roman" w:eastAsia="Calibri" w:hAnsi="Times New Roman" w:cs="Times New Roman"/>
          <w:b/>
          <w:sz w:val="26"/>
          <w:vertAlign w:val="superscript"/>
        </w:rPr>
        <w:footnoteReference w:id="9"/>
      </w:r>
      <w:r w:rsidRPr="005C29CE">
        <w:rPr>
          <w:rFonts w:ascii="Times New Roman" w:eastAsia="Calibri" w:hAnsi="Times New Roman" w:cs="Times New Roman"/>
          <w:sz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Pr>
          <w:rFonts w:ascii="Times New Roman" w:eastAsia="Calibri" w:hAnsi="Times New Roman" w:cs="Times New Roman"/>
          <w:bCs/>
          <w:sz w:val="26"/>
          <w:vertAlign w:val="superscript"/>
        </w:rPr>
        <w:footnoteReference w:id="10"/>
      </w:r>
      <w:r w:rsidRPr="005C29CE">
        <w:rPr>
          <w:rFonts w:ascii="Times New Roman" w:eastAsia="Calibri" w:hAnsi="Times New Roman" w:cs="Times New Roman"/>
          <w:sz w:val="26"/>
        </w:rPr>
        <w:t xml:space="preserve"> if compromised.  High impact systems include large control centers.  Medium impact systems include smaller control centers, ultra-high voltage transm</w:t>
      </w:r>
      <w:r w:rsidRPr="005C29CE" w:rsidR="003A0D8D">
        <w:rPr>
          <w:rFonts w:ascii="Times New Roman" w:eastAsia="Calibri" w:hAnsi="Times New Roman" w:cs="Times New Roman"/>
          <w:sz w:val="26"/>
        </w:rPr>
        <w:t>i</w:t>
      </w:r>
      <w:r w:rsidRPr="005C29CE">
        <w:rPr>
          <w:rFonts w:ascii="Times New Roman" w:eastAsia="Calibri" w:hAnsi="Times New Roman" w:cs="Times New Roman"/>
          <w:sz w:val="26"/>
        </w:rPr>
        <w:t>ssion, and large substations and generating facilities.  The remainder of the BES Cyber Systems</w:t>
      </w:r>
      <w:r>
        <w:rPr>
          <w:rFonts w:ascii="Times New Roman" w:eastAsia="Calibri" w:hAnsi="Times New Roman" w:cs="Times New Roman"/>
          <w:b/>
          <w:sz w:val="26"/>
          <w:vertAlign w:val="superscript"/>
        </w:rPr>
        <w:footnoteReference w:id="11"/>
      </w:r>
      <w:r w:rsidRPr="005C29CE">
        <w:rPr>
          <w:rFonts w:ascii="Times New Roman" w:eastAsia="Calibri" w:hAnsi="Times New Roman" w:cs="Times New Roman"/>
          <w:sz w:val="26"/>
        </w:rPr>
        <w:t xml:space="preserve"> are categorized as low impact systems.  Most requirements in the CIP </w:t>
      </w:r>
      <w:r w:rsidRPr="005C29CE">
        <w:rPr>
          <w:rFonts w:ascii="Times New Roman" w:eastAsia="Calibri" w:hAnsi="Times New Roman" w:cs="Times New Roman"/>
          <w:sz w:val="26"/>
        </w:rPr>
        <w:t>Reliability Standards apply to high and medium impact systems; however, a technical controls requirement in CIP-003, described below, applies only to 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Pr>
          <w:rFonts w:ascii="Times New Roman" w:eastAsia="Calibri" w:hAnsi="Times New Roman" w:cs="Times New Roman"/>
          <w:b/>
          <w:sz w:val="26"/>
          <w:vertAlign w:val="superscript"/>
        </w:rPr>
        <w:footnoteReference w:id="12"/>
      </w:r>
    </w:p>
    <w:p w:rsidR="00373B89" w:rsidP="0089226A" w14:paraId="01F1BAD6" w14:textId="10A634F8">
      <w:pPr>
        <w:tabs>
          <w:tab w:val="num" w:pos="720"/>
        </w:tabs>
        <w:spacing w:after="0" w:line="240" w:lineRule="auto"/>
        <w:rPr>
          <w:rFonts w:ascii="Times New Roman" w:eastAsia="Calibri" w:hAnsi="Times New Roman" w:cs="Times New Roman"/>
          <w:sz w:val="26"/>
        </w:rPr>
      </w:pPr>
    </w:p>
    <w:p w:rsidR="00EA7FE9" w:rsidP="00EA7FE9" w14:paraId="3EA2325F" w14:textId="4377B247">
      <w:pPr>
        <w:tabs>
          <w:tab w:val="num" w:pos="720"/>
        </w:tabs>
        <w:spacing w:after="0" w:line="240" w:lineRule="auto"/>
        <w:rPr>
          <w:rFonts w:ascii="Times New Roman" w:eastAsia="Calibri" w:hAnsi="Times New Roman" w:cs="Times New Roman"/>
          <w:sz w:val="26"/>
          <w:szCs w:val="26"/>
        </w:rPr>
      </w:pPr>
      <w:r w:rsidRPr="2461AC1C">
        <w:rPr>
          <w:rFonts w:ascii="Times New Roman" w:eastAsia="Calibri" w:hAnsi="Times New Roman" w:cs="Times New Roman"/>
          <w:sz w:val="26"/>
          <w:szCs w:val="26"/>
        </w:rPr>
        <w:t xml:space="preserve">Most recently, </w:t>
      </w:r>
      <w:r w:rsidR="00B35049">
        <w:rPr>
          <w:rFonts w:ascii="Times New Roman" w:eastAsia="Calibri" w:hAnsi="Times New Roman" w:cs="Times New Roman"/>
          <w:sz w:val="26"/>
          <w:szCs w:val="26"/>
        </w:rPr>
        <w:t>o</w:t>
      </w:r>
      <w:r w:rsidRPr="0EE1DC10">
        <w:rPr>
          <w:rFonts w:ascii="Times New Roman" w:eastAsia="Calibri" w:hAnsi="Times New Roman" w:cs="Times New Roman"/>
          <w:sz w:val="26"/>
          <w:szCs w:val="26"/>
        </w:rPr>
        <w:t>n</w:t>
      </w:r>
      <w:r w:rsidRPr="292E7ACF">
        <w:rPr>
          <w:rFonts w:ascii="Times New Roman" w:eastAsia="Calibri" w:hAnsi="Times New Roman" w:cs="Times New Roman"/>
          <w:sz w:val="26"/>
          <w:szCs w:val="26"/>
        </w:rPr>
        <w:t xml:space="preserve"> September 15, 2021 </w:t>
      </w:r>
      <w:r w:rsidRPr="292E7ACF" w:rsidR="001B44ED">
        <w:rPr>
          <w:rFonts w:ascii="Times New Roman" w:eastAsia="Calibri" w:hAnsi="Times New Roman" w:cs="Times New Roman"/>
          <w:sz w:val="26"/>
          <w:szCs w:val="26"/>
        </w:rPr>
        <w:t xml:space="preserve">NERC </w:t>
      </w:r>
      <w:r w:rsidRPr="292E7ACF">
        <w:rPr>
          <w:rFonts w:ascii="Times New Roman" w:eastAsia="Calibri" w:hAnsi="Times New Roman" w:cs="Times New Roman"/>
          <w:sz w:val="26"/>
          <w:szCs w:val="26"/>
        </w:rPr>
        <w:t>filed a petition requesting approval of two Reliability Standards</w:t>
      </w:r>
      <w:r w:rsidRPr="292E7ACF" w:rsidR="00700473">
        <w:rPr>
          <w:rFonts w:ascii="Times New Roman" w:eastAsia="Calibri" w:hAnsi="Times New Roman" w:cs="Times New Roman"/>
          <w:sz w:val="26"/>
          <w:szCs w:val="26"/>
        </w:rPr>
        <w:t xml:space="preserve">:  </w:t>
      </w:r>
      <w:r w:rsidRPr="292E7ACF">
        <w:rPr>
          <w:rFonts w:ascii="Times New Roman" w:eastAsia="Calibri" w:hAnsi="Times New Roman" w:cs="Times New Roman"/>
          <w:sz w:val="26"/>
          <w:szCs w:val="26"/>
        </w:rPr>
        <w:t>CIP-004-7 (Cyber Security, Personnel and Training) and CIP-011-3 (Cyber Security, Information Protection).  NERC described the proposed Reliability Standards as “Addressing Bulk Electric System Cyber System Information Access Management.”  The petition was noticed on September 22, 2021, with interventions and comments due by October 6, 2021.</w:t>
      </w:r>
      <w:r>
        <w:rPr>
          <w:rFonts w:ascii="Times New Roman" w:eastAsia="Calibri" w:hAnsi="Times New Roman" w:cs="Times New Roman"/>
          <w:b/>
          <w:sz w:val="26"/>
          <w:szCs w:val="26"/>
          <w:vertAlign w:val="superscript"/>
        </w:rPr>
        <w:footnoteReference w:id="13"/>
      </w:r>
      <w:r w:rsidRPr="292E7ACF">
        <w:rPr>
          <w:rFonts w:ascii="Times New Roman" w:eastAsia="Calibri" w:hAnsi="Times New Roman" w:cs="Times New Roman"/>
          <w:sz w:val="26"/>
          <w:szCs w:val="26"/>
        </w:rPr>
        <w:t>  The Commission did not receive any interventions or comments.</w:t>
      </w:r>
    </w:p>
    <w:p w:rsidR="00B80260" w:rsidRPr="007310E6" w:rsidP="00EA7FE9" w14:paraId="61FF2920" w14:textId="77777777">
      <w:pPr>
        <w:tabs>
          <w:tab w:val="num" w:pos="720"/>
        </w:tabs>
        <w:spacing w:after="0" w:line="240" w:lineRule="auto"/>
        <w:rPr>
          <w:rFonts w:ascii="Times New Roman" w:eastAsia="Calibri" w:hAnsi="Times New Roman" w:cs="Times New Roman"/>
          <w:sz w:val="26"/>
          <w:szCs w:val="26"/>
        </w:rPr>
      </w:pPr>
    </w:p>
    <w:p w:rsidR="00EA7FE9" w:rsidP="00EA7FE9" w14:paraId="6F7342BF" w14:textId="0047B1CA">
      <w:pPr>
        <w:tabs>
          <w:tab w:val="num" w:pos="720"/>
        </w:tabs>
        <w:spacing w:after="0" w:line="240" w:lineRule="auto"/>
        <w:rPr>
          <w:rFonts w:ascii="Times New Roman" w:eastAsia="Calibri" w:hAnsi="Times New Roman" w:cs="Times New Roman"/>
          <w:iCs/>
          <w:sz w:val="26"/>
        </w:rPr>
      </w:pPr>
      <w:r w:rsidRPr="00EA7FE9">
        <w:rPr>
          <w:rFonts w:ascii="Times New Roman" w:eastAsia="Calibri" w:hAnsi="Times New Roman" w:cs="Times New Roman"/>
          <w:iCs/>
          <w:sz w:val="26"/>
        </w:rPr>
        <w:t xml:space="preserve">On December 7, 2021, the </w:t>
      </w:r>
      <w:r w:rsidR="007310E6">
        <w:rPr>
          <w:rFonts w:ascii="Times New Roman" w:eastAsia="Calibri" w:hAnsi="Times New Roman" w:cs="Times New Roman"/>
          <w:iCs/>
          <w:sz w:val="26"/>
        </w:rPr>
        <w:t xml:space="preserve">Commission issued </w:t>
      </w:r>
      <w:r w:rsidRPr="00EA7FE9">
        <w:rPr>
          <w:rFonts w:ascii="Times New Roman" w:eastAsia="Calibri" w:hAnsi="Times New Roman" w:cs="Times New Roman"/>
          <w:iCs/>
          <w:sz w:val="26"/>
        </w:rPr>
        <w:t>Designated Letter Order (DLO) in Docket No. RD21-6-000</w:t>
      </w:r>
      <w:r w:rsidR="008E36F1">
        <w:rPr>
          <w:rFonts w:ascii="Times New Roman" w:eastAsia="Calibri" w:hAnsi="Times New Roman" w:cs="Times New Roman"/>
          <w:iCs/>
          <w:sz w:val="26"/>
        </w:rPr>
        <w:t xml:space="preserve">, </w:t>
      </w:r>
      <w:r w:rsidRPr="00EA7FE9">
        <w:rPr>
          <w:rFonts w:ascii="Times New Roman" w:eastAsia="Calibri" w:hAnsi="Times New Roman" w:cs="Times New Roman"/>
          <w:iCs/>
          <w:sz w:val="26"/>
        </w:rPr>
        <w:t>approved the proposed Reliability Standards, and found that the modified Reliability Standards enhance security as discussed below.</w:t>
      </w:r>
    </w:p>
    <w:p w:rsidR="0089226A" w:rsidRPr="005C29CE" w:rsidP="0089226A" w14:paraId="6C38C173" w14:textId="77777777">
      <w:pPr>
        <w:tabs>
          <w:tab w:val="num" w:pos="720"/>
        </w:tabs>
        <w:spacing w:after="0" w:line="240" w:lineRule="auto"/>
        <w:rPr>
          <w:rFonts w:ascii="Times New Roman" w:eastAsia="Calibri" w:hAnsi="Times New Roman" w:cs="Times New Roman"/>
          <w:sz w:val="26"/>
        </w:rPr>
      </w:pPr>
    </w:p>
    <w:p w:rsidR="00C4205B" w:rsidRPr="005C29CE" w:rsidP="007C39D3" w14:paraId="349508F4" w14:textId="03AEF673">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C29CE">
        <w:rPr>
          <w:rFonts w:ascii="Times New Roman" w:hAnsi="Times New Roman" w:cs="Times New Roman"/>
          <w:b/>
          <w:bCs/>
          <w:sz w:val="26"/>
          <w:szCs w:val="24"/>
        </w:rPr>
        <w:t>HOW, BY WHOM, AND FOR WHAT PURPOSE THE INFORMATION IS TO BE USED AND THE CONSEQUENCES OF NOT COLLECTING THE INFORMATION</w:t>
      </w:r>
    </w:p>
    <w:p w:rsidR="0089226A" w:rsidRPr="005C29CE" w:rsidP="0089226A" w14:paraId="6A31527F"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95033E" w:rsidP="0089226A" w14:paraId="0085BAAA" w14:textId="09F54F73">
      <w:pPr>
        <w:tabs>
          <w:tab w:val="num" w:pos="720"/>
        </w:tabs>
        <w:spacing w:after="0" w:line="240" w:lineRule="auto"/>
        <w:rPr>
          <w:rFonts w:ascii="Times New Roman" w:eastAsia="Calibri" w:hAnsi="Times New Roman" w:cs="Times New Roman"/>
          <w:sz w:val="26"/>
        </w:rPr>
      </w:pPr>
      <w:r w:rsidRPr="005C29CE">
        <w:rPr>
          <w:rFonts w:ascii="Times New Roman" w:eastAsia="Calibri" w:hAnsi="Times New Roman" w:cs="Times New Roman"/>
          <w:sz w:val="26"/>
        </w:rPr>
        <w:t>The CIP Reliability Standards</w:t>
      </w:r>
      <w:r w:rsidR="00302197">
        <w:rPr>
          <w:rFonts w:ascii="Times New Roman" w:eastAsia="Calibri" w:hAnsi="Times New Roman" w:cs="Times New Roman"/>
          <w:sz w:val="26"/>
        </w:rPr>
        <w:t xml:space="preserve"> specify </w:t>
      </w:r>
      <w:r w:rsidRPr="005C29CE">
        <w:rPr>
          <w:rFonts w:ascii="Times New Roman" w:eastAsia="Calibri" w:hAnsi="Times New Roman" w:cs="Times New Roman"/>
          <w:sz w:val="26"/>
        </w:rPr>
        <w:t xml:space="preserve">requirements that entities must follow to ensure the cyber and physical security of the Bulk-Power System. </w:t>
      </w:r>
      <w:r w:rsidR="005228D8">
        <w:rPr>
          <w:rFonts w:ascii="Times New Roman" w:eastAsia="Calibri" w:hAnsi="Times New Roman" w:cs="Times New Roman"/>
          <w:sz w:val="26"/>
        </w:rPr>
        <w:t xml:space="preserve"> </w:t>
      </w:r>
      <w:r w:rsidR="00F447FE">
        <w:rPr>
          <w:rFonts w:ascii="Times New Roman" w:eastAsia="Calibri" w:hAnsi="Times New Roman" w:cs="Times New Roman"/>
          <w:sz w:val="26"/>
        </w:rPr>
        <w:t xml:space="preserve">This request pertains only to </w:t>
      </w:r>
      <w:r w:rsidR="008E28BC">
        <w:rPr>
          <w:rFonts w:ascii="Times New Roman" w:eastAsia="Calibri" w:hAnsi="Times New Roman" w:cs="Times New Roman"/>
          <w:sz w:val="26"/>
        </w:rPr>
        <w:t>effects of CIP-</w:t>
      </w:r>
      <w:r w:rsidR="00F62BAB">
        <w:rPr>
          <w:rFonts w:ascii="Times New Roman" w:eastAsia="Calibri" w:hAnsi="Times New Roman" w:cs="Times New Roman"/>
          <w:sz w:val="26"/>
        </w:rPr>
        <w:t>004-7 and CIP-011-3 on FERC-725B.</w:t>
      </w:r>
    </w:p>
    <w:p w:rsidR="0095033E" w:rsidRPr="00EA7FE9" w:rsidP="0095033E" w14:paraId="7889D1F4" w14:textId="77777777">
      <w:pPr>
        <w:tabs>
          <w:tab w:val="num" w:pos="720"/>
        </w:tabs>
        <w:spacing w:after="0" w:line="240" w:lineRule="auto"/>
        <w:rPr>
          <w:rFonts w:ascii="Times New Roman" w:eastAsia="Calibri" w:hAnsi="Times New Roman" w:cs="Times New Roman"/>
          <w:iCs/>
          <w:sz w:val="26"/>
        </w:rPr>
      </w:pPr>
    </w:p>
    <w:p w:rsidR="0095033E" w:rsidRPr="00EA7FE9" w:rsidP="0095033E" w14:paraId="5A486A49" w14:textId="1A5A5FC6">
      <w:pPr>
        <w:tabs>
          <w:tab w:val="num" w:pos="720"/>
        </w:tabs>
        <w:spacing w:after="0" w:line="240" w:lineRule="auto"/>
        <w:rPr>
          <w:rFonts w:ascii="Times New Roman" w:eastAsia="Calibri" w:hAnsi="Times New Roman" w:cs="Times New Roman"/>
          <w:iCs/>
          <w:sz w:val="26"/>
        </w:rPr>
      </w:pPr>
      <w:r>
        <w:rPr>
          <w:rFonts w:ascii="Times New Roman" w:eastAsia="Calibri" w:hAnsi="Times New Roman" w:cs="Times New Roman"/>
          <w:iCs/>
          <w:sz w:val="26"/>
        </w:rPr>
        <w:t xml:space="preserve">Before the issuance of the DLO, </w:t>
      </w:r>
      <w:r w:rsidRPr="00EA7FE9">
        <w:rPr>
          <w:rFonts w:ascii="Times New Roman" w:eastAsia="Calibri" w:hAnsi="Times New Roman" w:cs="Times New Roman"/>
          <w:iCs/>
          <w:sz w:val="26"/>
        </w:rPr>
        <w:t>Reliability Standard CIP-004-6 require</w:t>
      </w:r>
      <w:r>
        <w:rPr>
          <w:rFonts w:ascii="Times New Roman" w:eastAsia="Calibri" w:hAnsi="Times New Roman" w:cs="Times New Roman"/>
          <w:iCs/>
          <w:sz w:val="26"/>
        </w:rPr>
        <w:t>d</w:t>
      </w:r>
      <w:r w:rsidRPr="00EA7FE9">
        <w:rPr>
          <w:rFonts w:ascii="Times New Roman" w:eastAsia="Calibri" w:hAnsi="Times New Roman" w:cs="Times New Roman"/>
          <w:iCs/>
          <w:sz w:val="26"/>
        </w:rPr>
        <w:t xml:space="preserve"> Responsible Entities to control access to Bulk Electric System Cyber System Information (BCSI) by managing access to a designated storage location, such as an electronic document or physical file room.  Reliability Standard CIP-004-7 removes references to “designated storage locations” of BCSI and requires an access management program to authorize, verify and revoke provisioned access to BCSI.  This change updates CIP-004 by focusing </w:t>
      </w:r>
      <w:r w:rsidRPr="00EA7FE9">
        <w:rPr>
          <w:rFonts w:ascii="Times New Roman" w:eastAsia="Calibri" w:hAnsi="Times New Roman" w:cs="Times New Roman"/>
          <w:iCs/>
          <w:sz w:val="26"/>
        </w:rPr>
        <w:t>on controls at the file level (e.g., rights, permissions, privileges) of BCSI and reduces the need for access to only a physical, designated storage location for BCSI.</w:t>
      </w:r>
    </w:p>
    <w:p w:rsidR="0095033E" w:rsidP="0095033E" w14:paraId="27225B0C" w14:textId="77777777">
      <w:pPr>
        <w:tabs>
          <w:tab w:val="num" w:pos="720"/>
        </w:tabs>
        <w:spacing w:after="0" w:line="240" w:lineRule="auto"/>
        <w:rPr>
          <w:rFonts w:ascii="Times New Roman" w:eastAsia="Calibri" w:hAnsi="Times New Roman" w:cs="Times New Roman"/>
          <w:iCs/>
          <w:sz w:val="26"/>
        </w:rPr>
      </w:pPr>
    </w:p>
    <w:p w:rsidR="0089226A" w:rsidRPr="005C29CE" w:rsidP="00E64144" w14:paraId="34CF27F5" w14:textId="023C49E2">
      <w:pPr>
        <w:widowControl w:val="0"/>
        <w:spacing w:after="0" w:line="240" w:lineRule="auto"/>
        <w:contextualSpacing/>
        <w:rPr>
          <w:rFonts w:ascii="Times New Roman" w:eastAsia="Calibri" w:hAnsi="Times New Roman" w:cs="Times New Roman"/>
          <w:sz w:val="26"/>
        </w:rPr>
      </w:pPr>
      <w:r>
        <w:rPr>
          <w:rFonts w:ascii="Times New Roman" w:eastAsia="Calibri" w:hAnsi="Times New Roman" w:cs="Times New Roman"/>
          <w:iCs/>
          <w:sz w:val="26"/>
        </w:rPr>
        <w:t xml:space="preserve">Before the issuance of the DLO, Reliability Standard CIP-011-2 </w:t>
      </w:r>
      <w:r w:rsidR="00566EB9">
        <w:rPr>
          <w:rFonts w:ascii="Times New Roman" w:eastAsia="Calibri" w:hAnsi="Times New Roman" w:cs="Times New Roman"/>
          <w:iCs/>
          <w:sz w:val="26"/>
        </w:rPr>
        <w:t xml:space="preserve">required </w:t>
      </w:r>
      <w:r w:rsidRPr="005C29CE" w:rsidR="00145B80">
        <w:rPr>
          <w:rFonts w:ascii="Times New Roman" w:eastAsia="Calibri" w:hAnsi="Times New Roman" w:cs="Times New Roman"/>
          <w:sz w:val="26"/>
        </w:rPr>
        <w:t>entities to prevent unauthorized access to BES Cyber System Information by specifying information protection requirements in support of protecting BES Cyber Systems against compromise that could lead to mis-operation or instability in the BES.</w:t>
      </w:r>
      <w:r w:rsidR="00145B80">
        <w:rPr>
          <w:rFonts w:ascii="Times New Roman" w:eastAsia="Calibri" w:hAnsi="Times New Roman" w:cs="Times New Roman"/>
          <w:sz w:val="26"/>
        </w:rPr>
        <w:t xml:space="preserve">  </w:t>
      </w:r>
      <w:r w:rsidRPr="00EA7FE9" w:rsidR="0095033E">
        <w:rPr>
          <w:rFonts w:ascii="Times New Roman" w:eastAsia="Calibri" w:hAnsi="Times New Roman" w:cs="Times New Roman"/>
          <w:iCs/>
          <w:sz w:val="26"/>
        </w:rPr>
        <w:t>Reliability Standard CIP-011-3 clarifies the requirements of protecting and handling BCSI with the goal of providing flexibility for Responsible Entities to use third-party data storage and analysis systems.  Specifically, Reliability Standard CIP-011-3 requires Responsible Entities to implement specific controls related to BCSI during storage handling use, and disposal of information when implementing services provided by third parties.</w:t>
      </w:r>
    </w:p>
    <w:p w:rsidR="004A1428" w:rsidRPr="005C29CE" w:rsidP="005E2448" w14:paraId="548551C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C4205B" w:rsidRPr="005C29CE" w:rsidP="007C39D3" w14:paraId="726125D5"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C29CE">
        <w:rPr>
          <w:rFonts w:ascii="Times New Roman" w:hAnsi="Times New Roman" w:cs="Times New Roman"/>
          <w:b/>
          <w:bCs/>
          <w:sz w:val="26"/>
          <w:szCs w:val="24"/>
        </w:rPr>
        <w:t>DESCRIBE ANY CONSIDERATION OF THE USE OF IMPROVED TECHNOLOGY TO REDUCE BURDEN AND TECHNICAL OR LEGAL OBSTACLES TO REDUCING BURDEN.</w:t>
      </w:r>
    </w:p>
    <w:p w:rsidR="004A1428" w:rsidRPr="005C29CE" w:rsidP="005E2448" w14:paraId="13F5510C"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055683" w:rsidRPr="005C29CE" w:rsidP="002A4142" w14:paraId="4532E5CB" w14:textId="39BCB2A3">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 use of current or improved technology and the medium are not covered in Reliability Standards and are therefore left to the discretion of each respondent.</w:t>
      </w:r>
      <w:r w:rsidR="009D467F">
        <w:rPr>
          <w:rFonts w:ascii="Times New Roman" w:hAnsi="Times New Roman" w:cs="Times New Roman"/>
          <w:sz w:val="26"/>
          <w:szCs w:val="24"/>
        </w:rPr>
        <w:t xml:space="preserve"> </w:t>
      </w:r>
      <w:r w:rsidRPr="005C29CE">
        <w:rPr>
          <w:rFonts w:ascii="Times New Roman" w:hAnsi="Times New Roman" w:cs="Times New Roman"/>
          <w:sz w:val="26"/>
          <w:szCs w:val="24"/>
        </w:rPr>
        <w:t xml:space="preserve">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r w:rsidRPr="005C29CE" w:rsidR="0012731F">
        <w:rPr>
          <w:rFonts w:ascii="Times New Roman" w:hAnsi="Times New Roman" w:cs="Times New Roman"/>
          <w:sz w:val="26"/>
          <w:szCs w:val="24"/>
        </w:rPr>
        <w:t xml:space="preserve">.  </w:t>
      </w:r>
    </w:p>
    <w:p w:rsidR="00042D80" w:rsidRPr="005C29CE" w:rsidP="002A4142" w14:paraId="4CA66B92" w14:textId="77777777">
      <w:pPr>
        <w:spacing w:after="0" w:line="240" w:lineRule="auto"/>
        <w:rPr>
          <w:rFonts w:ascii="Times New Roman" w:hAnsi="Times New Roman" w:cs="Times New Roman"/>
          <w:b/>
          <w:bCs/>
          <w:sz w:val="26"/>
          <w:szCs w:val="24"/>
        </w:rPr>
      </w:pPr>
    </w:p>
    <w:p w:rsidR="00C4205B" w:rsidRPr="005C29CE" w:rsidP="007C39D3"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C4205B" w:rsidRPr="005C29CE" w:rsidP="002A4142" w14:paraId="7F8F98B7" w14:textId="77777777">
      <w:pPr>
        <w:spacing w:after="0" w:line="240" w:lineRule="auto"/>
        <w:rPr>
          <w:rFonts w:ascii="Times New Roman" w:hAnsi="Times New Roman" w:cs="Times New Roman"/>
          <w:sz w:val="26"/>
          <w:szCs w:val="24"/>
        </w:rPr>
      </w:pPr>
    </w:p>
    <w:p w:rsidR="00DF1C8D" w:rsidRPr="005C29CE" w:rsidP="00DF1C8D" w14:paraId="42E2AEB9"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rsidR="00F64A6F" w:rsidRPr="005C29CE" w:rsidP="002A4142" w14:paraId="0D55CDFF" w14:textId="77777777">
      <w:pPr>
        <w:spacing w:after="0" w:line="240" w:lineRule="auto"/>
        <w:rPr>
          <w:rFonts w:ascii="Times New Roman" w:hAnsi="Times New Roman" w:cs="Times New Roman"/>
          <w:sz w:val="26"/>
          <w:szCs w:val="24"/>
        </w:rPr>
      </w:pPr>
    </w:p>
    <w:p w:rsidR="00C4205B" w:rsidRPr="005C29CE" w:rsidP="007C39D3"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METHODS USED TO MINIMIZE BURDEN IN COLLECTION OF INFORMATION INVOLVING SMALL ENTITIES</w:t>
      </w:r>
    </w:p>
    <w:p w:rsidR="00C4205B" w:rsidRPr="005C29CE" w:rsidP="002A4142" w14:paraId="4DB89014" w14:textId="77777777">
      <w:pPr>
        <w:spacing w:after="0" w:line="240" w:lineRule="auto"/>
        <w:rPr>
          <w:rFonts w:ascii="Times New Roman" w:hAnsi="Times New Roman" w:cs="Times New Roman"/>
          <w:b/>
          <w:bCs/>
          <w:sz w:val="26"/>
          <w:szCs w:val="24"/>
        </w:rPr>
      </w:pPr>
    </w:p>
    <w:p w:rsidR="006C0F0B" w:rsidRPr="005C29CE" w:rsidP="0086089D" w14:paraId="3C7C3638" w14:textId="171DF3C1">
      <w:pPr>
        <w:spacing w:after="0" w:line="240" w:lineRule="auto"/>
        <w:rPr>
          <w:rFonts w:ascii="Times New Roman" w:hAnsi="Times New Roman" w:cs="Times New Roman"/>
          <w:bCs/>
          <w:sz w:val="26"/>
          <w:szCs w:val="24"/>
        </w:rPr>
      </w:pPr>
      <w:r w:rsidRPr="005C29CE">
        <w:rPr>
          <w:rFonts w:ascii="Times New Roman" w:hAnsi="Times New Roman" w:cs="Times New Roman"/>
          <w:bCs/>
          <w:sz w:val="26"/>
          <w:szCs w:val="24"/>
        </w:rPr>
        <w:t>The Commission estimates one-time</w:t>
      </w:r>
      <w:r w:rsidRPr="005C29CE" w:rsidR="0044319A">
        <w:rPr>
          <w:rFonts w:ascii="Times New Roman" w:hAnsi="Times New Roman" w:cs="Times New Roman"/>
          <w:bCs/>
          <w:sz w:val="26"/>
          <w:szCs w:val="24"/>
        </w:rPr>
        <w:t xml:space="preserve"> and ongoing</w:t>
      </w:r>
      <w:r w:rsidRPr="005C29CE">
        <w:rPr>
          <w:rFonts w:ascii="Times New Roman" w:hAnsi="Times New Roman" w:cs="Times New Roman"/>
          <w:bCs/>
          <w:sz w:val="26"/>
          <w:szCs w:val="24"/>
        </w:rPr>
        <w:t xml:space="preserve"> increase</w:t>
      </w:r>
      <w:r w:rsidRPr="005C29CE" w:rsidR="0044319A">
        <w:rPr>
          <w:rFonts w:ascii="Times New Roman" w:hAnsi="Times New Roman" w:cs="Times New Roman"/>
          <w:bCs/>
          <w:sz w:val="26"/>
          <w:szCs w:val="24"/>
        </w:rPr>
        <w:t xml:space="preserve">s </w:t>
      </w:r>
      <w:r w:rsidRPr="005C29CE">
        <w:rPr>
          <w:rFonts w:ascii="Times New Roman" w:hAnsi="Times New Roman" w:cs="Times New Roman"/>
          <w:bCs/>
          <w:sz w:val="26"/>
          <w:szCs w:val="24"/>
        </w:rPr>
        <w:t>in reporting</w:t>
      </w:r>
      <w:r w:rsidRPr="005C29CE" w:rsidR="0044319A">
        <w:rPr>
          <w:rFonts w:ascii="Times New Roman" w:hAnsi="Times New Roman" w:cs="Times New Roman"/>
          <w:bCs/>
          <w:sz w:val="26"/>
          <w:szCs w:val="24"/>
        </w:rPr>
        <w:t xml:space="preserve"> burden on variety of NERC-registered entities (including Reliability Coordinators, Generator Operators, Generator Owners, Interchange Coordinators, Transmission Operators, Balancing Authorities, Transmission Owners)</w:t>
      </w:r>
      <w:r w:rsidRPr="005C29CE">
        <w:rPr>
          <w:rFonts w:ascii="Times New Roman" w:hAnsi="Times New Roman" w:cs="Times New Roman"/>
          <w:bCs/>
          <w:sz w:val="26"/>
          <w:szCs w:val="24"/>
        </w:rPr>
        <w:t xml:space="preserve"> due to the changes in t</w:t>
      </w:r>
      <w:r w:rsidRPr="005C29CE" w:rsidR="0044319A">
        <w:rPr>
          <w:rFonts w:ascii="Times New Roman" w:hAnsi="Times New Roman" w:cs="Times New Roman"/>
          <w:bCs/>
          <w:sz w:val="26"/>
          <w:szCs w:val="24"/>
        </w:rPr>
        <w:t xml:space="preserve">he revised </w:t>
      </w:r>
      <w:r w:rsidRPr="005C29CE" w:rsidR="0044319A">
        <w:rPr>
          <w:rFonts w:ascii="Times New Roman" w:hAnsi="Times New Roman" w:cs="Times New Roman"/>
          <w:bCs/>
          <w:sz w:val="26"/>
          <w:szCs w:val="24"/>
        </w:rPr>
        <w:t>Reliability Standard</w:t>
      </w:r>
      <w:r w:rsidRPr="005C29CE" w:rsidR="00CC1CAD">
        <w:rPr>
          <w:rFonts w:ascii="Times New Roman" w:hAnsi="Times New Roman" w:cs="Times New Roman"/>
          <w:bCs/>
          <w:sz w:val="26"/>
          <w:szCs w:val="24"/>
        </w:rPr>
        <w:t>s</w:t>
      </w:r>
      <w:r w:rsidRPr="005C29CE">
        <w:rPr>
          <w:rFonts w:ascii="Times New Roman" w:hAnsi="Times New Roman" w:cs="Times New Roman"/>
          <w:bCs/>
          <w:sz w:val="26"/>
          <w:szCs w:val="24"/>
        </w:rPr>
        <w:t>, with no other increase in the cost of compliance (when compared with the curre</w:t>
      </w:r>
      <w:r w:rsidRPr="005C29CE" w:rsidR="0086089D">
        <w:rPr>
          <w:rFonts w:ascii="Times New Roman" w:hAnsi="Times New Roman" w:cs="Times New Roman"/>
          <w:bCs/>
          <w:sz w:val="26"/>
          <w:szCs w:val="24"/>
        </w:rPr>
        <w:t xml:space="preserve">nt standards).  Approximately </w:t>
      </w:r>
      <w:r w:rsidRPr="005C29CE" w:rsidR="00930579">
        <w:rPr>
          <w:rFonts w:ascii="Times New Roman" w:hAnsi="Times New Roman" w:cs="Times New Roman"/>
          <w:bCs/>
          <w:sz w:val="26"/>
          <w:szCs w:val="24"/>
        </w:rPr>
        <w:t>585</w:t>
      </w:r>
      <w:r w:rsidRPr="005C29CE">
        <w:rPr>
          <w:rFonts w:ascii="Times New Roman" w:hAnsi="Times New Roman" w:cs="Times New Roman"/>
          <w:bCs/>
          <w:sz w:val="26"/>
          <w:szCs w:val="24"/>
        </w:rPr>
        <w:t xml:space="preserve"> of the </w:t>
      </w:r>
      <w:r w:rsidRPr="005C29CE" w:rsidR="00930579">
        <w:rPr>
          <w:rFonts w:ascii="Times New Roman" w:hAnsi="Times New Roman" w:cs="Times New Roman"/>
          <w:bCs/>
          <w:sz w:val="26"/>
          <w:szCs w:val="24"/>
        </w:rPr>
        <w:t>714</w:t>
      </w:r>
      <w:r w:rsidRPr="005C29CE" w:rsidR="00F83E37">
        <w:rPr>
          <w:rFonts w:ascii="Times New Roman" w:hAnsi="Times New Roman" w:cs="Times New Roman"/>
          <w:bCs/>
          <w:sz w:val="26"/>
          <w:szCs w:val="24"/>
        </w:rPr>
        <w:t xml:space="preserve"> </w:t>
      </w:r>
      <w:r w:rsidRPr="005C29CE" w:rsidR="008B0895">
        <w:rPr>
          <w:rFonts w:ascii="Times New Roman" w:hAnsi="Times New Roman" w:cs="Times New Roman"/>
          <w:bCs/>
          <w:sz w:val="26"/>
          <w:szCs w:val="24"/>
        </w:rPr>
        <w:t>affected entities</w:t>
      </w:r>
      <w:r w:rsidRPr="005C29CE">
        <w:rPr>
          <w:rFonts w:ascii="Times New Roman" w:hAnsi="Times New Roman" w:cs="Times New Roman"/>
          <w:bCs/>
          <w:sz w:val="26"/>
          <w:szCs w:val="24"/>
        </w:rPr>
        <w:t xml:space="preserve"> are expected to meet the SBA’s </w:t>
      </w:r>
      <w:r w:rsidRPr="005C29CE" w:rsidR="0044319A">
        <w:rPr>
          <w:rFonts w:ascii="Times New Roman" w:hAnsi="Times New Roman" w:cs="Times New Roman"/>
          <w:bCs/>
          <w:sz w:val="26"/>
          <w:szCs w:val="24"/>
        </w:rPr>
        <w:t>definition for a small entity.</w:t>
      </w:r>
      <w:r>
        <w:rPr>
          <w:rFonts w:ascii="Times New Roman" w:hAnsi="Times New Roman"/>
          <w:sz w:val="26"/>
          <w:szCs w:val="26"/>
          <w:vertAlign w:val="superscript"/>
        </w:rPr>
        <w:footnoteReference w:id="14"/>
      </w:r>
    </w:p>
    <w:p w:rsidR="0044319A" w:rsidRPr="005C29CE" w:rsidP="0086089D" w14:paraId="0438CBDA" w14:textId="77777777">
      <w:pPr>
        <w:spacing w:after="0" w:line="240" w:lineRule="auto"/>
        <w:rPr>
          <w:rFonts w:ascii="Times New Roman" w:hAnsi="Times New Roman" w:cs="Times New Roman"/>
          <w:bCs/>
          <w:sz w:val="26"/>
          <w:szCs w:val="24"/>
        </w:rPr>
      </w:pPr>
    </w:p>
    <w:p w:rsidR="0044319A" w:rsidRPr="005C29CE" w:rsidP="0086089D" w14:paraId="11F124F1" w14:textId="278D1E4C">
      <w:pPr>
        <w:spacing w:after="0" w:line="240" w:lineRule="auto"/>
        <w:rPr>
          <w:rFonts w:ascii="Times New Roman" w:hAnsi="Times New Roman" w:cs="Times New Roman"/>
          <w:bCs/>
          <w:sz w:val="26"/>
          <w:szCs w:val="24"/>
        </w:rPr>
      </w:pPr>
      <w:r w:rsidRPr="005C29CE">
        <w:rPr>
          <w:rFonts w:ascii="Times New Roman" w:hAnsi="Times New Roman" w:cs="Times New Roman"/>
          <w:bCs/>
          <w:sz w:val="26"/>
          <w:szCs w:val="24"/>
        </w:rPr>
        <w:t>Th</w:t>
      </w:r>
      <w:r w:rsidRPr="005C29CE" w:rsidR="00135CDF">
        <w:rPr>
          <w:rFonts w:ascii="Times New Roman" w:hAnsi="Times New Roman" w:cs="Times New Roman"/>
          <w:bCs/>
          <w:sz w:val="26"/>
          <w:szCs w:val="24"/>
        </w:rPr>
        <w:t>e</w:t>
      </w:r>
      <w:r w:rsidRPr="005C29CE">
        <w:rPr>
          <w:rFonts w:ascii="Times New Roman" w:hAnsi="Times New Roman" w:cs="Times New Roman"/>
          <w:bCs/>
          <w:sz w:val="26"/>
          <w:szCs w:val="24"/>
        </w:rPr>
        <w:t xml:space="preserve"> Reliability Standard</w:t>
      </w:r>
      <w:r w:rsidRPr="005C29CE" w:rsidR="00135CDF">
        <w:rPr>
          <w:rFonts w:ascii="Times New Roman" w:hAnsi="Times New Roman" w:cs="Times New Roman"/>
          <w:bCs/>
          <w:sz w:val="26"/>
          <w:szCs w:val="24"/>
        </w:rPr>
        <w:t>s</w:t>
      </w:r>
      <w:r w:rsidRPr="005C29CE">
        <w:rPr>
          <w:rFonts w:ascii="Times New Roman" w:hAnsi="Times New Roman" w:cs="Times New Roman"/>
          <w:bCs/>
          <w:sz w:val="26"/>
          <w:szCs w:val="24"/>
        </w:rPr>
        <w:t xml:space="preserve"> do not contain provisions for minimizing the burden of the collection for small entities.  All the requirements in the Reliability Standard</w:t>
      </w:r>
      <w:r w:rsidRPr="005C29CE" w:rsidR="00135CDF">
        <w:rPr>
          <w:rFonts w:ascii="Times New Roman" w:hAnsi="Times New Roman" w:cs="Times New Roman"/>
          <w:bCs/>
          <w:sz w:val="26"/>
          <w:szCs w:val="24"/>
        </w:rPr>
        <w:t>s</w:t>
      </w:r>
      <w:r w:rsidRPr="005C29CE">
        <w:rPr>
          <w:rFonts w:ascii="Times New Roman" w:hAnsi="Times New Roman" w:cs="Times New Roman"/>
          <w:bCs/>
          <w:sz w:val="26"/>
          <w:szCs w:val="24"/>
        </w:rPr>
        <w:t xml:space="preserve"> apply to every applicable entity. However, </w:t>
      </w:r>
      <w:r w:rsidRPr="005C29CE" w:rsidR="00CD5A26">
        <w:rPr>
          <w:rFonts w:ascii="Times New Roman" w:hAnsi="Times New Roman" w:cs="Times New Roman"/>
          <w:bCs/>
          <w:sz w:val="26"/>
          <w:szCs w:val="24"/>
        </w:rPr>
        <w:t>s</w:t>
      </w:r>
      <w:r w:rsidRPr="005C29CE">
        <w:rPr>
          <w:rFonts w:ascii="Times New Roman" w:hAnsi="Times New Roman" w:cs="Times New Roman"/>
          <w:bCs/>
          <w:sz w:val="26"/>
          <w:szCs w:val="24"/>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p>
    <w:p w:rsidR="00DF1C8D" w:rsidRPr="005C29CE" w:rsidP="00DF1C8D" w14:paraId="6B22F49C" w14:textId="77777777">
      <w:pPr>
        <w:spacing w:after="0" w:line="240" w:lineRule="auto"/>
        <w:rPr>
          <w:rFonts w:ascii="Times New Roman" w:hAnsi="Times New Roman" w:cs="Times New Roman"/>
          <w:bCs/>
          <w:sz w:val="26"/>
          <w:szCs w:val="24"/>
        </w:rPr>
      </w:pPr>
    </w:p>
    <w:p w:rsidR="00C4205B" w:rsidRPr="005C29CE" w:rsidP="007C39D3"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sz w:val="26"/>
          <w:szCs w:val="24"/>
        </w:rPr>
        <w:t>CONSEQUENCE TO FEDERAL PROGRAM IF COLLECTION WERE CONDUCTED LESS FREQUENTLY</w:t>
      </w:r>
    </w:p>
    <w:p w:rsidR="00C4205B" w:rsidRPr="005C29CE" w:rsidP="005E2448" w14:paraId="53BF93C7" w14:textId="77777777">
      <w:pPr>
        <w:pStyle w:val="FERCparanumber"/>
        <w:widowControl/>
        <w:numPr>
          <w:ilvl w:val="0"/>
          <w:numId w:val="0"/>
        </w:numPr>
        <w:tabs>
          <w:tab w:val="left" w:pos="720"/>
        </w:tabs>
        <w:rPr>
          <w:rFonts w:ascii="Times New Roman" w:hAnsi="Times New Roman" w:cs="Times New Roman"/>
          <w:sz w:val="26"/>
        </w:rPr>
      </w:pPr>
    </w:p>
    <w:p w:rsidR="00AB3A07" w:rsidRPr="005C29CE" w:rsidP="00673A39" w14:paraId="06C98FB1" w14:textId="75B5A328">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The consequences </w:t>
      </w:r>
      <w:r w:rsidRPr="005C29CE" w:rsidR="00673A39">
        <w:rPr>
          <w:rFonts w:ascii="Times New Roman" w:hAnsi="Times New Roman" w:cs="Times New Roman"/>
          <w:sz w:val="26"/>
          <w:szCs w:val="24"/>
        </w:rPr>
        <w:t>of not collecting the data associated with the Reliability Standard</w:t>
      </w:r>
      <w:r w:rsidRPr="005C29CE" w:rsidR="00723415">
        <w:rPr>
          <w:rFonts w:ascii="Times New Roman" w:hAnsi="Times New Roman" w:cs="Times New Roman"/>
          <w:sz w:val="26"/>
          <w:szCs w:val="24"/>
        </w:rPr>
        <w:t xml:space="preserve"> will result </w:t>
      </w:r>
      <w:r w:rsidRPr="005C29CE" w:rsidR="0011241C">
        <w:rPr>
          <w:rFonts w:ascii="Times New Roman" w:hAnsi="Times New Roman" w:cs="Times New Roman"/>
          <w:sz w:val="26"/>
          <w:szCs w:val="24"/>
        </w:rPr>
        <w:t xml:space="preserve">in </w:t>
      </w:r>
      <w:r w:rsidRPr="005C29CE" w:rsidR="00723415">
        <w:rPr>
          <w:rFonts w:ascii="Times New Roman" w:hAnsi="Times New Roman" w:cs="Times New Roman"/>
          <w:sz w:val="26"/>
          <w:szCs w:val="24"/>
        </w:rPr>
        <w:t xml:space="preserve">an unmitigated risk from </w:t>
      </w:r>
      <w:r w:rsidRPr="005C29CE" w:rsidR="00A52344">
        <w:rPr>
          <w:rFonts w:ascii="Times New Roman" w:hAnsi="Times New Roman" w:cs="Times New Roman"/>
          <w:sz w:val="26"/>
          <w:szCs w:val="24"/>
        </w:rPr>
        <w:t>communication links and sensitive bulk electric system data communicated between bulk electric system Control Centers</w:t>
      </w:r>
      <w:r w:rsidRPr="005C29CE" w:rsidR="00723415">
        <w:rPr>
          <w:rFonts w:ascii="Times New Roman" w:hAnsi="Times New Roman" w:cs="Times New Roman"/>
          <w:sz w:val="26"/>
          <w:szCs w:val="24"/>
        </w:rPr>
        <w:t xml:space="preserve"> of the NERC registered entities which operate the bulk electric system.</w:t>
      </w:r>
      <w:r w:rsidRPr="005C29CE" w:rsidR="00D301EE">
        <w:rPr>
          <w:rFonts w:ascii="Times New Roman" w:hAnsi="Times New Roman" w:cs="Times New Roman"/>
          <w:sz w:val="26"/>
          <w:szCs w:val="24"/>
        </w:rPr>
        <w:t xml:space="preserve"> </w:t>
      </w:r>
      <w:r w:rsidRPr="005C29CE" w:rsidR="00ED3360">
        <w:rPr>
          <w:rFonts w:ascii="Times New Roman" w:hAnsi="Times New Roman" w:cs="Times New Roman"/>
          <w:sz w:val="26"/>
          <w:szCs w:val="24"/>
        </w:rPr>
        <w:t xml:space="preserve"> Since the documentation is a plan to protect, n</w:t>
      </w:r>
      <w:r w:rsidRPr="005C29CE" w:rsidR="00D301EE">
        <w:rPr>
          <w:rFonts w:ascii="Times New Roman" w:hAnsi="Times New Roman" w:cs="Times New Roman"/>
          <w:sz w:val="26"/>
          <w:szCs w:val="24"/>
        </w:rPr>
        <w:t xml:space="preserve">ot collecting the information </w:t>
      </w:r>
      <w:r w:rsidRPr="005C29CE" w:rsidR="00ED3360">
        <w:rPr>
          <w:rFonts w:ascii="Times New Roman" w:hAnsi="Times New Roman" w:cs="Times New Roman"/>
          <w:sz w:val="26"/>
          <w:szCs w:val="24"/>
        </w:rPr>
        <w:t xml:space="preserve">and </w:t>
      </w:r>
      <w:r w:rsidRPr="005C29CE" w:rsidR="00D301EE">
        <w:rPr>
          <w:rFonts w:ascii="Times New Roman" w:hAnsi="Times New Roman" w:cs="Times New Roman"/>
          <w:sz w:val="26"/>
          <w:szCs w:val="24"/>
        </w:rPr>
        <w:t xml:space="preserve">not having a plan will prevent the protection of </w:t>
      </w:r>
      <w:r w:rsidRPr="005C29CE" w:rsidR="00D301EE">
        <w:rPr>
          <w:rFonts w:ascii="Times New Roman" w:hAnsi="Times New Roman" w:cs="Times New Roman"/>
          <w:color w:val="000000"/>
          <w:sz w:val="26"/>
          <w:szCs w:val="24"/>
        </w:rPr>
        <w:t>Real-time</w:t>
      </w:r>
      <w:r w:rsidRPr="005C29CE" w:rsidR="00D301EE">
        <w:rPr>
          <w:rFonts w:ascii="Times New Roman" w:hAnsi="Times New Roman" w:cs="Times New Roman"/>
          <w:sz w:val="26"/>
          <w:szCs w:val="24"/>
        </w:rPr>
        <w:t xml:space="preserve"> </w:t>
      </w:r>
      <w:r w:rsidRPr="005C29CE" w:rsidR="00D301EE">
        <w:rPr>
          <w:rFonts w:ascii="Times New Roman" w:hAnsi="Times New Roman" w:cs="Times New Roman"/>
          <w:color w:val="000000"/>
          <w:sz w:val="26"/>
          <w:szCs w:val="24"/>
        </w:rPr>
        <w:t>Assessment and Real-time monitoring data while being transmitted</w:t>
      </w:r>
      <w:r w:rsidRPr="005C29CE" w:rsidR="00D301EE">
        <w:rPr>
          <w:rFonts w:ascii="Times New Roman" w:hAnsi="Times New Roman" w:cs="Times New Roman"/>
          <w:sz w:val="26"/>
          <w:szCs w:val="24"/>
        </w:rPr>
        <w:t xml:space="preserve"> between Control Centers.</w:t>
      </w:r>
    </w:p>
    <w:p w:rsidR="006C0F0B" w:rsidRPr="005C29CE" w:rsidP="002A4142" w14:paraId="7D9A3C49"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  </w:t>
      </w:r>
    </w:p>
    <w:p w:rsidR="00C4205B" w:rsidRPr="005C29CE" w:rsidP="007C39D3"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EXPLAIN ANY SPECIAL CIRCUMSTANCES RELATING TO THE INFORMATION COLLECTION</w:t>
      </w:r>
    </w:p>
    <w:p w:rsidR="00C4205B" w:rsidRPr="005C29CE" w:rsidP="002A4142" w14:paraId="3D593F90" w14:textId="77777777">
      <w:pPr>
        <w:spacing w:after="0" w:line="240" w:lineRule="auto"/>
        <w:rPr>
          <w:rFonts w:ascii="Times New Roman" w:hAnsi="Times New Roman" w:cs="Times New Roman"/>
          <w:b/>
          <w:bCs/>
          <w:sz w:val="26"/>
          <w:szCs w:val="24"/>
        </w:rPr>
      </w:pPr>
    </w:p>
    <w:p w:rsidR="00115F24" w:rsidRPr="005C29CE" w:rsidP="002A4142" w14:paraId="23E84D55" w14:textId="26CF5836">
      <w:pPr>
        <w:spacing w:after="0" w:line="240" w:lineRule="auto"/>
        <w:rPr>
          <w:rFonts w:ascii="Times New Roman" w:eastAsia="Calibri" w:hAnsi="Times New Roman" w:cs="Times New Roman"/>
          <w:sz w:val="26"/>
          <w:szCs w:val="24"/>
        </w:rPr>
      </w:pPr>
      <w:r w:rsidRPr="005C29CE">
        <w:rPr>
          <w:rFonts w:ascii="Times New Roman" w:eastAsia="Calibri" w:hAnsi="Times New Roman" w:cs="Times New Roman"/>
          <w:sz w:val="26"/>
          <w:szCs w:val="24"/>
        </w:rPr>
        <w:t>FERC-725B</w:t>
      </w:r>
      <w:r w:rsidR="000452FC">
        <w:rPr>
          <w:rFonts w:ascii="Times New Roman" w:eastAsia="Calibri" w:hAnsi="Times New Roman" w:cs="Times New Roman"/>
          <w:sz w:val="26"/>
          <w:szCs w:val="24"/>
        </w:rPr>
        <w:t xml:space="preserve"> </w:t>
      </w:r>
      <w:r w:rsidRPr="005C29CE" w:rsidR="0044319A">
        <w:rPr>
          <w:rFonts w:ascii="Times New Roman" w:eastAsia="Calibri" w:hAnsi="Times New Roman" w:cs="Times New Roman"/>
          <w:sz w:val="26"/>
          <w:szCs w:val="24"/>
        </w:rPr>
        <w:t>has</w:t>
      </w:r>
      <w:r w:rsidRPr="005C29CE" w:rsidR="00CB0831">
        <w:rPr>
          <w:rFonts w:ascii="Times New Roman" w:eastAsia="Calibri" w:hAnsi="Times New Roman" w:cs="Times New Roman"/>
          <w:sz w:val="26"/>
          <w:szCs w:val="24"/>
        </w:rPr>
        <w:t xml:space="preserve"> no special circumstances.  </w:t>
      </w:r>
    </w:p>
    <w:p w:rsidR="006C0F0B" w:rsidRPr="005C29CE" w:rsidP="002A4142" w14:paraId="21EB7D70" w14:textId="77777777">
      <w:pPr>
        <w:spacing w:after="0" w:line="240" w:lineRule="auto"/>
        <w:rPr>
          <w:rFonts w:ascii="Times New Roman" w:hAnsi="Times New Roman" w:cs="Times New Roman"/>
          <w:sz w:val="26"/>
          <w:szCs w:val="24"/>
        </w:rPr>
      </w:pPr>
    </w:p>
    <w:p w:rsidR="00C4205B" w:rsidRPr="005C29CE" w:rsidP="007C39D3"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DESCRIBE EFFORTS TO CONSULT OUTSIDE THE AGENCY: SUMMARIZE PUBLIC COMMENTS AND THE AGENCY'S RESPONSE TO THESE COMMENTS</w:t>
      </w:r>
    </w:p>
    <w:p w:rsidR="00C4205B" w:rsidRPr="005C29CE" w:rsidP="002A4142" w14:paraId="180E4F06" w14:textId="77777777">
      <w:pPr>
        <w:spacing w:after="0" w:line="240" w:lineRule="auto"/>
        <w:rPr>
          <w:rFonts w:ascii="Times New Roman" w:hAnsi="Times New Roman" w:cs="Times New Roman"/>
          <w:b/>
          <w:bCs/>
          <w:sz w:val="26"/>
          <w:szCs w:val="24"/>
        </w:rPr>
      </w:pPr>
    </w:p>
    <w:p w:rsidR="00543FCE" w:rsidP="002A4142" w14:paraId="5A2A65E1" w14:textId="7B0401F3">
      <w:pPr>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Commission issued </w:t>
      </w:r>
      <w:r w:rsidR="006C1AAB">
        <w:rPr>
          <w:rFonts w:ascii="Times New Roman" w:hAnsi="Times New Roman" w:cs="Times New Roman"/>
          <w:sz w:val="26"/>
          <w:szCs w:val="24"/>
        </w:rPr>
        <w:t>a 60-day notice in Docket No. RD21-6-000 on December 21, 2021.  That notice was published on December 28, 2021 (</w:t>
      </w:r>
      <w:r w:rsidR="00E1720F">
        <w:rPr>
          <w:rFonts w:ascii="Times New Roman" w:hAnsi="Times New Roman" w:cs="Times New Roman"/>
          <w:sz w:val="26"/>
          <w:szCs w:val="24"/>
        </w:rPr>
        <w:t>8</w:t>
      </w:r>
      <w:r w:rsidR="007E57D8">
        <w:rPr>
          <w:rFonts w:ascii="Times New Roman" w:hAnsi="Times New Roman" w:cs="Times New Roman"/>
          <w:sz w:val="26"/>
          <w:szCs w:val="24"/>
        </w:rPr>
        <w:t>6</w:t>
      </w:r>
      <w:r w:rsidR="00E1720F">
        <w:rPr>
          <w:rFonts w:ascii="Times New Roman" w:hAnsi="Times New Roman" w:cs="Times New Roman"/>
          <w:sz w:val="26"/>
          <w:szCs w:val="24"/>
        </w:rPr>
        <w:t xml:space="preserve"> FR 73752).  The Commission received no public comments in response.</w:t>
      </w:r>
    </w:p>
    <w:p w:rsidR="008F2E04" w:rsidP="002A4142" w14:paraId="63CBB14D" w14:textId="496AE6E0">
      <w:pPr>
        <w:spacing w:after="0" w:line="240" w:lineRule="auto"/>
        <w:rPr>
          <w:rFonts w:ascii="Times New Roman" w:hAnsi="Times New Roman" w:cs="Times New Roman"/>
          <w:sz w:val="26"/>
          <w:szCs w:val="24"/>
        </w:rPr>
      </w:pPr>
    </w:p>
    <w:p w:rsidR="008F2E04" w:rsidP="002A4142" w14:paraId="2527F219" w14:textId="48DFA437">
      <w:pPr>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Commission issued a 30-day notice in Docket No. RD21-6-000 on </w:t>
      </w:r>
      <w:r w:rsidR="00777027">
        <w:rPr>
          <w:rFonts w:ascii="Times New Roman" w:hAnsi="Times New Roman" w:cs="Times New Roman"/>
          <w:sz w:val="26"/>
          <w:szCs w:val="24"/>
        </w:rPr>
        <w:t>July 7, 2022.  That notice was published on</w:t>
      </w:r>
      <w:r w:rsidR="00253D2E">
        <w:rPr>
          <w:rFonts w:ascii="Times New Roman" w:hAnsi="Times New Roman" w:cs="Times New Roman"/>
          <w:sz w:val="26"/>
          <w:szCs w:val="24"/>
        </w:rPr>
        <w:t xml:space="preserve"> July 13, 2022 (</w:t>
      </w:r>
      <w:r w:rsidR="00673EE3">
        <w:rPr>
          <w:rFonts w:ascii="Times New Roman" w:hAnsi="Times New Roman" w:cs="Times New Roman"/>
          <w:sz w:val="26"/>
          <w:szCs w:val="24"/>
        </w:rPr>
        <w:t>87 FR 41707).</w:t>
      </w:r>
    </w:p>
    <w:p w:rsidR="00E1720F" w:rsidRPr="005C29CE" w:rsidP="002A4142" w14:paraId="6032BD0E" w14:textId="77777777">
      <w:pPr>
        <w:spacing w:after="0" w:line="240" w:lineRule="auto"/>
        <w:rPr>
          <w:rFonts w:ascii="Times New Roman" w:hAnsi="Times New Roman" w:cs="Times New Roman"/>
          <w:sz w:val="26"/>
          <w:szCs w:val="24"/>
        </w:rPr>
      </w:pPr>
    </w:p>
    <w:p w:rsidR="00C4205B" w:rsidRPr="005C29CE" w:rsidP="00F64A6F"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EXPLAIN ANY PAYMENT OR GIFTS TO RESPONDENTS</w:t>
      </w:r>
    </w:p>
    <w:p w:rsidR="00C4205B" w:rsidRPr="005C29CE" w:rsidP="00F26A37" w14:paraId="0E2CB0AE" w14:textId="77777777">
      <w:pPr>
        <w:spacing w:after="0" w:line="240" w:lineRule="auto"/>
        <w:rPr>
          <w:rFonts w:ascii="Times New Roman" w:hAnsi="Times New Roman" w:cs="Times New Roman"/>
          <w:b/>
          <w:bCs/>
          <w:sz w:val="26"/>
          <w:szCs w:val="24"/>
        </w:rPr>
      </w:pPr>
    </w:p>
    <w:p w:rsidR="00C4205B" w:rsidRPr="005C29CE" w:rsidP="00F26A37" w14:paraId="6382B4E3"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No payments or gifts have been made to respondents.</w:t>
      </w:r>
    </w:p>
    <w:p w:rsidR="00391060" w:rsidRPr="005C29CE" w:rsidP="00F26A37" w14:paraId="286252B7" w14:textId="77777777">
      <w:pPr>
        <w:spacing w:after="0" w:line="240" w:lineRule="auto"/>
        <w:rPr>
          <w:rFonts w:ascii="Times New Roman" w:hAnsi="Times New Roman" w:cs="Times New Roman"/>
          <w:sz w:val="26"/>
          <w:szCs w:val="24"/>
        </w:rPr>
      </w:pPr>
    </w:p>
    <w:p w:rsidR="00C4205B" w:rsidRPr="005C29CE" w:rsidP="007C39D3" w14:paraId="5F0BFFA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DESCRIBE ANY ASSURANCE OF CONFIDENTIALITY PROVIDED TO RESPONDENTS</w:t>
      </w:r>
    </w:p>
    <w:p w:rsidR="00C4205B" w:rsidRPr="005C29CE" w:rsidP="00F26A37" w14:paraId="6A5CC82B" w14:textId="77777777">
      <w:pPr>
        <w:spacing w:after="0" w:line="240" w:lineRule="auto"/>
        <w:rPr>
          <w:rFonts w:ascii="Times New Roman" w:hAnsi="Times New Roman" w:cs="Times New Roman"/>
          <w:b/>
          <w:bCs/>
          <w:sz w:val="26"/>
          <w:szCs w:val="24"/>
        </w:rPr>
      </w:pPr>
    </w:p>
    <w:p w:rsidR="00F14924" w:rsidRPr="005C29CE" w:rsidP="002A4142" w14:paraId="04781389" w14:textId="3D59F4E5">
      <w:pPr>
        <w:spacing w:line="240" w:lineRule="auto"/>
        <w:rPr>
          <w:rFonts w:ascii="Times New Roman" w:hAnsi="Times New Roman" w:cs="Times New Roman"/>
          <w:bCs/>
          <w:sz w:val="26"/>
          <w:szCs w:val="24"/>
        </w:rPr>
      </w:pPr>
      <w:r w:rsidRPr="005C29CE">
        <w:rPr>
          <w:rFonts w:ascii="Times New Roman" w:hAnsi="Times New Roman" w:cs="Times New Roman"/>
          <w:bCs/>
          <w:sz w:val="26"/>
          <w:szCs w:val="24"/>
        </w:rPr>
        <w:t>According to the NERC Rules of Procedure</w:t>
      </w:r>
      <w:r w:rsidR="00BE0462">
        <w:rPr>
          <w:rFonts w:ascii="Times New Roman" w:hAnsi="Times New Roman" w:cs="Times New Roman"/>
          <w:bCs/>
          <w:sz w:val="26"/>
          <w:szCs w:val="24"/>
        </w:rPr>
        <w:t>,</w:t>
      </w:r>
      <w:r>
        <w:rPr>
          <w:rFonts w:ascii="Times New Roman" w:hAnsi="Times New Roman" w:cs="Times New Roman"/>
          <w:bCs/>
          <w:sz w:val="26"/>
          <w:szCs w:val="24"/>
          <w:vertAlign w:val="superscript"/>
        </w:rPr>
        <w:footnoteReference w:id="15"/>
      </w:r>
      <w:r w:rsidRPr="005C29CE">
        <w:rPr>
          <w:rFonts w:ascii="Times New Roman" w:hAnsi="Times New Roman" w:cs="Times New Roman"/>
          <w:bCs/>
          <w:sz w:val="26"/>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F14924" w:rsidRPr="005C29CE" w:rsidP="002A4142" w14:paraId="0D921031" w14:textId="77777777">
      <w:pPr>
        <w:spacing w:after="0" w:line="240" w:lineRule="auto"/>
        <w:rPr>
          <w:rFonts w:ascii="Times New Roman" w:hAnsi="Times New Roman" w:cs="Times New Roman"/>
          <w:bCs/>
          <w:sz w:val="26"/>
          <w:szCs w:val="24"/>
        </w:rPr>
      </w:pPr>
      <w:r w:rsidRPr="005C29CE">
        <w:rPr>
          <w:rFonts w:ascii="Times New Roman" w:hAnsi="Times New Roman" w:cs="Times New Roman"/>
          <w:bCs/>
          <w:sz w:val="26"/>
          <w:szCs w:val="24"/>
        </w:rPr>
        <w:t>Responding entities do not submit the information collected due to the Reliability Standards to FERC.  Rather, they submit the information to NERC, the region</w:t>
      </w:r>
      <w:r w:rsidRPr="005C29CE" w:rsidR="00522521">
        <w:rPr>
          <w:rFonts w:ascii="Times New Roman" w:hAnsi="Times New Roman" w:cs="Times New Roman"/>
          <w:bCs/>
          <w:sz w:val="26"/>
          <w:szCs w:val="24"/>
        </w:rPr>
        <w:t>al entitie</w:t>
      </w:r>
      <w:r w:rsidRPr="005C29CE">
        <w:rPr>
          <w:rFonts w:ascii="Times New Roman" w:hAnsi="Times New Roman" w:cs="Times New Roman"/>
          <w:bCs/>
          <w:sz w:val="26"/>
          <w:szCs w:val="24"/>
        </w:rPr>
        <w:t>s, or maintain it internally.  Since there are no submissions made to FERC, FERC provides no specific provisions in ord</w:t>
      </w:r>
      <w:r w:rsidRPr="005C29CE" w:rsidR="00115F24">
        <w:rPr>
          <w:rFonts w:ascii="Times New Roman" w:hAnsi="Times New Roman" w:cs="Times New Roman"/>
          <w:bCs/>
          <w:sz w:val="26"/>
          <w:szCs w:val="24"/>
        </w:rPr>
        <w:t>er to protect confidentiality.</w:t>
      </w:r>
    </w:p>
    <w:p w:rsidR="00C4205B" w:rsidRPr="005C29CE" w:rsidP="002A4142" w14:paraId="3783DBBA" w14:textId="77777777">
      <w:pPr>
        <w:spacing w:after="0" w:line="240" w:lineRule="auto"/>
        <w:ind w:firstLine="720"/>
        <w:rPr>
          <w:rFonts w:ascii="Times New Roman" w:hAnsi="Times New Roman" w:cs="Times New Roman"/>
          <w:sz w:val="26"/>
          <w:szCs w:val="24"/>
        </w:rPr>
      </w:pPr>
    </w:p>
    <w:p w:rsidR="00C4205B" w:rsidRPr="005C29CE" w:rsidP="002A4142"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PROVIDE ADDITIONAL JUSTIFICATION FOR ANY QUESTIONS OF A SENSITIVE NATURE</w:t>
      </w:r>
      <w:r w:rsidRPr="005C29CE" w:rsidR="00E0001D">
        <w:rPr>
          <w:rFonts w:ascii="Times New Roman" w:hAnsi="Times New Roman" w:cs="Times New Roman"/>
          <w:b/>
          <w:bCs/>
          <w:sz w:val="26"/>
          <w:szCs w:val="24"/>
        </w:rPr>
        <w:t>, SUCH AS SEXUAL BEHAVIOR AND ATTITUDES, RELIGIOUS BELIEFS, AND OTHER MATTERS THAT ARE COMMONLY CONSIDERED PRIVATE</w:t>
      </w:r>
    </w:p>
    <w:p w:rsidR="00115F24" w:rsidRPr="005C29CE" w:rsidP="00115F24" w14:paraId="57DE9DF6"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3C19D0" w:rsidRPr="005C29CE" w:rsidP="002A4142" w14:paraId="125EDD35" w14:textId="48C3EE71">
      <w:pPr>
        <w:spacing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This </w:t>
      </w:r>
      <w:r w:rsidRPr="005C29CE" w:rsidR="00F14924">
        <w:rPr>
          <w:rFonts w:ascii="Times New Roman" w:hAnsi="Times New Roman" w:cs="Times New Roman"/>
          <w:sz w:val="26"/>
          <w:szCs w:val="24"/>
        </w:rPr>
        <w:t>collection do</w:t>
      </w:r>
      <w:r w:rsidRPr="005C29CE">
        <w:rPr>
          <w:rFonts w:ascii="Times New Roman" w:hAnsi="Times New Roman" w:cs="Times New Roman"/>
          <w:sz w:val="26"/>
          <w:szCs w:val="24"/>
        </w:rPr>
        <w:t>es</w:t>
      </w:r>
      <w:r w:rsidRPr="005C29CE" w:rsidR="00F14924">
        <w:rPr>
          <w:rFonts w:ascii="Times New Roman" w:hAnsi="Times New Roman" w:cs="Times New Roman"/>
          <w:sz w:val="26"/>
          <w:szCs w:val="24"/>
        </w:rPr>
        <w:t xml:space="preserve"> not contain any qu</w:t>
      </w:r>
      <w:r w:rsidRPr="005C29CE" w:rsidR="00115F24">
        <w:rPr>
          <w:rFonts w:ascii="Times New Roman" w:hAnsi="Times New Roman" w:cs="Times New Roman"/>
          <w:sz w:val="26"/>
          <w:szCs w:val="24"/>
        </w:rPr>
        <w:t>estions of a sensitive nature.</w:t>
      </w:r>
    </w:p>
    <w:p w:rsidR="00C4205B" w:rsidRPr="005C29CE" w:rsidP="007C39D3" w14:paraId="5C58F0E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ESTIMATED BURDEN OF COLLECTION OF INFORMATION</w:t>
      </w:r>
    </w:p>
    <w:p w:rsidR="00FC11BA" w:rsidRPr="005C29CE" w:rsidP="005E2448" w14:paraId="5B1DAB2C"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866716" w:rsidP="329020BB" w14:paraId="3265E0EA" w14:textId="77777777">
      <w:pPr>
        <w:pStyle w:val="FERCparanumber"/>
        <w:numPr>
          <w:ilvl w:val="0"/>
          <w:numId w:val="0"/>
        </w:numPr>
        <w:tabs>
          <w:tab w:val="left" w:pos="720"/>
        </w:tabs>
        <w:rPr>
          <w:rFonts w:ascii="Times New Roman" w:hAnsi="Times New Roman" w:cs="Times New Roman"/>
          <w:sz w:val="26"/>
          <w:szCs w:val="26"/>
        </w:rPr>
      </w:pPr>
      <w:r>
        <w:rPr>
          <w:rFonts w:ascii="Times New Roman" w:hAnsi="Times New Roman" w:cs="Times New Roman"/>
          <w:sz w:val="26"/>
          <w:szCs w:val="26"/>
        </w:rPr>
        <w:t xml:space="preserve">The DLO </w:t>
      </w:r>
      <w:r w:rsidR="00971752">
        <w:rPr>
          <w:rFonts w:ascii="Times New Roman" w:hAnsi="Times New Roman" w:cs="Times New Roman"/>
          <w:sz w:val="26"/>
          <w:szCs w:val="26"/>
        </w:rPr>
        <w:t xml:space="preserve">removes two </w:t>
      </w:r>
      <w:r w:rsidR="00714D81">
        <w:rPr>
          <w:rFonts w:ascii="Times New Roman" w:hAnsi="Times New Roman" w:cs="Times New Roman"/>
          <w:sz w:val="26"/>
          <w:szCs w:val="26"/>
        </w:rPr>
        <w:t>IC</w:t>
      </w:r>
      <w:r w:rsidR="00971752">
        <w:rPr>
          <w:rFonts w:ascii="Times New Roman" w:hAnsi="Times New Roman" w:cs="Times New Roman"/>
          <w:sz w:val="26"/>
          <w:szCs w:val="26"/>
        </w:rPr>
        <w:t xml:space="preserve"> activities, and </w:t>
      </w:r>
      <w:r w:rsidR="00C507A2">
        <w:rPr>
          <w:rFonts w:ascii="Times New Roman" w:hAnsi="Times New Roman" w:cs="Times New Roman"/>
          <w:sz w:val="26"/>
          <w:szCs w:val="26"/>
        </w:rPr>
        <w:t xml:space="preserve">replaces them with two new </w:t>
      </w:r>
      <w:r w:rsidR="00714D81">
        <w:rPr>
          <w:rFonts w:ascii="Times New Roman" w:hAnsi="Times New Roman" w:cs="Times New Roman"/>
          <w:sz w:val="26"/>
          <w:szCs w:val="26"/>
        </w:rPr>
        <w:t>I</w:t>
      </w:r>
      <w:r w:rsidR="0096382C">
        <w:rPr>
          <w:rFonts w:ascii="Times New Roman" w:hAnsi="Times New Roman" w:cs="Times New Roman"/>
          <w:sz w:val="26"/>
          <w:szCs w:val="26"/>
        </w:rPr>
        <w:t>C a</w:t>
      </w:r>
      <w:r w:rsidR="00C507A2">
        <w:rPr>
          <w:rFonts w:ascii="Times New Roman" w:hAnsi="Times New Roman" w:cs="Times New Roman"/>
          <w:sz w:val="26"/>
          <w:szCs w:val="26"/>
        </w:rPr>
        <w:t xml:space="preserve">ctivities.  </w:t>
      </w:r>
      <w:r w:rsidR="00EB16F8">
        <w:rPr>
          <w:rFonts w:ascii="Times New Roman" w:hAnsi="Times New Roman" w:cs="Times New Roman"/>
          <w:sz w:val="26"/>
          <w:szCs w:val="26"/>
        </w:rPr>
        <w:t xml:space="preserve">The number of responses in the two sets of activities is identical, but the </w:t>
      </w:r>
      <w:r w:rsidR="00265044">
        <w:rPr>
          <w:rFonts w:ascii="Times New Roman" w:hAnsi="Times New Roman" w:cs="Times New Roman"/>
          <w:sz w:val="26"/>
          <w:szCs w:val="26"/>
        </w:rPr>
        <w:t xml:space="preserve">estimated number of burden hours for the new IC activities is less than the </w:t>
      </w:r>
      <w:r w:rsidR="00E75D60">
        <w:rPr>
          <w:rFonts w:ascii="Times New Roman" w:hAnsi="Times New Roman" w:cs="Times New Roman"/>
          <w:sz w:val="26"/>
          <w:szCs w:val="26"/>
        </w:rPr>
        <w:t>number of burden hours for the replaced IC activities.  T</w:t>
      </w:r>
      <w:r w:rsidRPr="329020BB" w:rsidR="00E15901">
        <w:rPr>
          <w:rFonts w:ascii="Times New Roman" w:hAnsi="Times New Roman" w:cs="Times New Roman"/>
          <w:sz w:val="26"/>
          <w:szCs w:val="26"/>
        </w:rPr>
        <w:t xml:space="preserve">he </w:t>
      </w:r>
      <w:r w:rsidRPr="329020BB" w:rsidR="00DE64AF">
        <w:rPr>
          <w:rFonts w:ascii="Times New Roman" w:hAnsi="Times New Roman" w:cs="Times New Roman"/>
          <w:sz w:val="26"/>
          <w:szCs w:val="26"/>
        </w:rPr>
        <w:t xml:space="preserve">Commission estimates </w:t>
      </w:r>
      <w:r w:rsidRPr="329020BB" w:rsidR="00E15901">
        <w:rPr>
          <w:rFonts w:ascii="Times New Roman" w:hAnsi="Times New Roman" w:cs="Times New Roman"/>
          <w:sz w:val="26"/>
          <w:szCs w:val="26"/>
        </w:rPr>
        <w:t xml:space="preserve">that the </w:t>
      </w:r>
      <w:r w:rsidR="00592875">
        <w:rPr>
          <w:rFonts w:ascii="Times New Roman" w:hAnsi="Times New Roman" w:cs="Times New Roman"/>
          <w:sz w:val="26"/>
          <w:szCs w:val="26"/>
        </w:rPr>
        <w:t xml:space="preserve">new IC activities in the </w:t>
      </w:r>
      <w:r w:rsidRPr="329020BB" w:rsidR="00E15901">
        <w:rPr>
          <w:rFonts w:ascii="Times New Roman" w:hAnsi="Times New Roman" w:cs="Times New Roman"/>
          <w:sz w:val="26"/>
          <w:szCs w:val="26"/>
        </w:rPr>
        <w:t xml:space="preserve">DLO result in </w:t>
      </w:r>
      <w:r w:rsidRPr="329020BB" w:rsidR="00DE64AF">
        <w:rPr>
          <w:rFonts w:ascii="Times New Roman" w:hAnsi="Times New Roman" w:cs="Times New Roman"/>
          <w:sz w:val="26"/>
          <w:szCs w:val="26"/>
        </w:rPr>
        <w:t xml:space="preserve">686 responses annually, per-response burdens of 10 hours and </w:t>
      </w:r>
      <w:r w:rsidRPr="329020BB" w:rsidR="4FCFE59A">
        <w:rPr>
          <w:rFonts w:ascii="Times New Roman" w:hAnsi="Times New Roman" w:cs="Times New Roman"/>
          <w:sz w:val="26"/>
          <w:szCs w:val="26"/>
        </w:rPr>
        <w:t>$918.10</w:t>
      </w:r>
      <w:r w:rsidR="00982E2D">
        <w:rPr>
          <w:rFonts w:ascii="Times New Roman" w:hAnsi="Times New Roman" w:cs="Times New Roman"/>
          <w:sz w:val="26"/>
          <w:szCs w:val="26"/>
        </w:rPr>
        <w:t>, and total burdens of 6,</w:t>
      </w:r>
      <w:r w:rsidR="00053307">
        <w:rPr>
          <w:rFonts w:ascii="Times New Roman" w:hAnsi="Times New Roman" w:cs="Times New Roman"/>
          <w:sz w:val="26"/>
          <w:szCs w:val="26"/>
        </w:rPr>
        <w:t xml:space="preserve">860 hours and </w:t>
      </w:r>
      <w:r w:rsidRPr="00F46E30" w:rsidR="00053307">
        <w:rPr>
          <w:rFonts w:ascii="Times New Roman" w:hAnsi="Times New Roman" w:cs="Times New Roman"/>
          <w:sz w:val="26"/>
          <w:szCs w:val="22"/>
        </w:rPr>
        <w:t>$629,817.60</w:t>
      </w:r>
      <w:r w:rsidRPr="00F46E30" w:rsidR="4FCFE59A">
        <w:rPr>
          <w:rFonts w:ascii="Times New Roman" w:hAnsi="Times New Roman" w:cs="Times New Roman"/>
          <w:sz w:val="26"/>
          <w:szCs w:val="26"/>
        </w:rPr>
        <w:t>.</w:t>
      </w:r>
    </w:p>
    <w:p w:rsidR="00866716" w:rsidP="329020BB" w14:paraId="0154F102" w14:textId="77777777">
      <w:pPr>
        <w:pStyle w:val="FERCparanumber"/>
        <w:numPr>
          <w:ilvl w:val="0"/>
          <w:numId w:val="0"/>
        </w:numPr>
        <w:tabs>
          <w:tab w:val="left" w:pos="720"/>
        </w:tabs>
        <w:rPr>
          <w:rFonts w:ascii="Times New Roman" w:hAnsi="Times New Roman" w:cs="Times New Roman"/>
          <w:sz w:val="26"/>
          <w:szCs w:val="26"/>
        </w:rPr>
      </w:pPr>
    </w:p>
    <w:p w:rsidR="005840F0" w:rsidP="329020BB" w14:paraId="492A573A" w14:textId="4E413FC7">
      <w:pPr>
        <w:pStyle w:val="FERCparanumber"/>
        <w:numPr>
          <w:ilvl w:val="0"/>
          <w:numId w:val="0"/>
        </w:numPr>
        <w:tabs>
          <w:tab w:val="left" w:pos="720"/>
        </w:tabs>
        <w:rPr>
          <w:rFonts w:ascii="Times New Roman" w:hAnsi="Times New Roman" w:cs="Times New Roman"/>
          <w:sz w:val="26"/>
          <w:szCs w:val="26"/>
        </w:rPr>
      </w:pPr>
      <w:r w:rsidRPr="329020BB">
        <w:rPr>
          <w:rFonts w:ascii="Times New Roman" w:hAnsi="Times New Roman" w:cs="Times New Roman"/>
          <w:sz w:val="26"/>
          <w:szCs w:val="26"/>
        </w:rPr>
        <w:t xml:space="preserve">The Commission </w:t>
      </w:r>
      <w:r w:rsidR="00B1778B">
        <w:rPr>
          <w:rFonts w:ascii="Times New Roman" w:hAnsi="Times New Roman" w:cs="Times New Roman"/>
          <w:sz w:val="26"/>
          <w:szCs w:val="26"/>
        </w:rPr>
        <w:t>itemizes those burdens as shown below.</w:t>
      </w:r>
    </w:p>
    <w:p w:rsidR="005840F0" w14:paraId="168E9957" w14:textId="77777777">
      <w:pPr>
        <w:rPr>
          <w:rFonts w:ascii="Times New Roman" w:hAnsi="Times New Roman" w:cs="Times New Roman"/>
          <w:sz w:val="26"/>
          <w:szCs w:val="26"/>
        </w:rPr>
      </w:pPr>
      <w:r>
        <w:rPr>
          <w:rFonts w:ascii="Times New Roman" w:hAnsi="Times New Roman" w:cs="Times New Roman"/>
          <w:sz w:val="26"/>
          <w:szCs w:val="26"/>
        </w:rPr>
        <w:br w:type="page"/>
      </w:r>
    </w:p>
    <w:p w:rsidR="009C5EA0" w:rsidP="00641020" w14:paraId="4AE8A869" w14:textId="10924345">
      <w:pPr>
        <w:widowControl w:val="0"/>
        <w:autoSpaceDE w:val="0"/>
        <w:autoSpaceDN w:val="0"/>
        <w:adjustRightInd w:val="0"/>
        <w:spacing w:after="0" w:line="240" w:lineRule="auto"/>
        <w:jc w:val="center"/>
        <w:rPr>
          <w:rFonts w:ascii="Times New Roman" w:hAnsi="Times New Roman" w:cs="Times New Roman"/>
          <w:b/>
          <w:bCs/>
          <w:sz w:val="26"/>
          <w:szCs w:val="24"/>
        </w:rPr>
      </w:pPr>
      <w:r w:rsidRPr="00C0479E">
        <w:rPr>
          <w:rFonts w:ascii="Times New Roman" w:hAnsi="Times New Roman" w:cs="Times New Roman"/>
          <w:b/>
          <w:bCs/>
          <w:sz w:val="26"/>
          <w:szCs w:val="24"/>
        </w:rPr>
        <w:t>Table 1</w:t>
      </w:r>
      <w:r>
        <w:rPr>
          <w:rFonts w:ascii="Times New Roman" w:hAnsi="Times New Roman" w:cs="Times New Roman"/>
          <w:b/>
          <w:bCs/>
          <w:sz w:val="26"/>
          <w:szCs w:val="24"/>
        </w:rPr>
        <w:t>2</w:t>
      </w:r>
      <w:r>
        <w:rPr>
          <w:rFonts w:ascii="Times New Roman" w:hAnsi="Times New Roman" w:cs="Times New Roman"/>
          <w:b/>
          <w:bCs/>
          <w:sz w:val="26"/>
          <w:szCs w:val="24"/>
        </w:rPr>
        <w:br/>
        <w:t xml:space="preserve">Estimated Annual Burdens </w:t>
      </w:r>
      <w:r w:rsidR="00641020">
        <w:rPr>
          <w:rFonts w:ascii="Times New Roman" w:hAnsi="Times New Roman" w:cs="Times New Roman"/>
          <w:b/>
          <w:bCs/>
          <w:sz w:val="26"/>
          <w:szCs w:val="24"/>
        </w:rPr>
        <w:t xml:space="preserve">in </w:t>
      </w:r>
      <w:r w:rsidRPr="00C0479E">
        <w:rPr>
          <w:rFonts w:ascii="Times New Roman" w:hAnsi="Times New Roman" w:cs="Times New Roman"/>
          <w:b/>
          <w:bCs/>
          <w:sz w:val="26"/>
          <w:szCs w:val="24"/>
        </w:rPr>
        <w:t xml:space="preserve">FERC-725B Due to </w:t>
      </w:r>
      <w:r>
        <w:rPr>
          <w:rFonts w:ascii="Times New Roman" w:hAnsi="Times New Roman" w:cs="Times New Roman"/>
          <w:b/>
          <w:bCs/>
          <w:sz w:val="26"/>
          <w:szCs w:val="24"/>
        </w:rPr>
        <w:t>Docket No. RD21-6-000</w:t>
      </w:r>
    </w:p>
    <w:p w:rsidR="00DE64AF" w:rsidP="329020BB" w14:paraId="02C43F6B" w14:textId="6173298D">
      <w:pPr>
        <w:pStyle w:val="FERCparanumber"/>
        <w:numPr>
          <w:ilvl w:val="0"/>
          <w:numId w:val="0"/>
        </w:numPr>
        <w:tabs>
          <w:tab w:val="left" w:pos="720"/>
        </w:tabs>
        <w:rPr>
          <w:rFonts w:ascii="Times New Roman" w:hAnsi="Times New Roman" w:cs="Times New Roman"/>
          <w:sz w:val="26"/>
          <w:szCs w:val="26"/>
        </w:rPr>
      </w:pPr>
    </w:p>
    <w:tbl>
      <w:tblPr>
        <w:tblpPr w:leftFromText="180" w:rightFromText="180" w:bottomFromText="16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0"/>
        <w:gridCol w:w="1562"/>
        <w:gridCol w:w="1350"/>
        <w:gridCol w:w="1193"/>
        <w:gridCol w:w="1275"/>
        <w:gridCol w:w="1785"/>
        <w:gridCol w:w="1165"/>
      </w:tblGrid>
      <w:tr w14:paraId="72DCD656" w14:textId="77777777" w:rsidTr="00704C1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862DA" w:rsidRPr="00DE64AF" w:rsidP="0069598C" w14:paraId="2DBC1726" w14:textId="77777777">
            <w:pPr>
              <w:pStyle w:val="FERCparanumber"/>
              <w:numPr>
                <w:ilvl w:val="0"/>
                <w:numId w:val="0"/>
              </w:numPr>
              <w:tabs>
                <w:tab w:val="left" w:pos="720"/>
              </w:tabs>
              <w:rPr>
                <w:rFonts w:ascii="Times New Roman" w:hAnsi="Times New Roman" w:cs="Times New Roman"/>
                <w:b/>
                <w:i/>
                <w:sz w:val="22"/>
              </w:rPr>
            </w:pPr>
          </w:p>
        </w:tc>
        <w:tc>
          <w:tcPr>
            <w:tcW w:w="1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862DA" w:rsidRPr="00DE64AF" w:rsidP="00704C13" w14:paraId="23D0CE98"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A.</w:t>
            </w:r>
          </w:p>
          <w:p w:rsidR="001862DA" w:rsidRPr="00DE64AF" w:rsidP="00704C13" w14:paraId="1C926321"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Number of Respondents</w:t>
            </w:r>
            <w:r>
              <w:rPr>
                <w:rFonts w:ascii="Times New Roman" w:hAnsi="Times New Roman" w:cs="Times New Roman"/>
                <w:b/>
                <w:iCs/>
                <w:sz w:val="22"/>
                <w:vertAlign w:val="superscript"/>
              </w:rPr>
              <w:footnoteReference w:id="16"/>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862DA" w:rsidRPr="00DE64AF" w:rsidP="00704C13" w14:paraId="36F1AE86"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B.</w:t>
            </w:r>
          </w:p>
          <w:p w:rsidR="001862DA" w:rsidRPr="00DE64AF" w:rsidP="00704C13" w14:paraId="70C113BB"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Annual Number of Responses per Respondent</w:t>
            </w:r>
          </w:p>
        </w:tc>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862DA" w:rsidRPr="00DE64AF" w:rsidP="00704C13" w14:paraId="3A1EF0F5"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C.</w:t>
            </w:r>
          </w:p>
          <w:p w:rsidR="001862DA" w:rsidRPr="00DE64AF" w:rsidP="00704C13" w14:paraId="500EC2F1"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Total Number of Responses (Column A x Column B)</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862DA" w:rsidRPr="00DE64AF" w:rsidP="00704C13" w14:paraId="61596C85"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D.</w:t>
            </w:r>
          </w:p>
          <w:p w:rsidR="001862DA" w:rsidRPr="00DE64AF" w:rsidP="00704C13" w14:paraId="3EA50368" w14:textId="77777777">
            <w:pPr>
              <w:pStyle w:val="FERCparanumber"/>
              <w:numPr>
                <w:ilvl w:val="0"/>
                <w:numId w:val="0"/>
              </w:numPr>
              <w:tabs>
                <w:tab w:val="left" w:pos="720"/>
              </w:tabs>
              <w:jc w:val="center"/>
              <w:rPr>
                <w:rFonts w:ascii="Times New Roman" w:hAnsi="Times New Roman" w:cs="Times New Roman"/>
                <w:b/>
                <w:sz w:val="22"/>
                <w:szCs w:val="22"/>
              </w:rPr>
            </w:pPr>
            <w:r w:rsidRPr="0BC6E2F2">
              <w:rPr>
                <w:rFonts w:ascii="Times New Roman" w:hAnsi="Times New Roman" w:cs="Times New Roman"/>
                <w:b/>
                <w:sz w:val="22"/>
                <w:szCs w:val="22"/>
              </w:rPr>
              <w:t>Average Burden Hours</w:t>
            </w:r>
            <w:r>
              <w:rPr>
                <w:rFonts w:ascii="Times New Roman" w:hAnsi="Times New Roman" w:cs="Times New Roman"/>
                <w:b/>
                <w:sz w:val="26"/>
                <w:szCs w:val="26"/>
                <w:vertAlign w:val="superscript"/>
              </w:rPr>
              <w:footnoteReference w:id="17"/>
            </w:r>
            <w:r w:rsidRPr="0BC6E2F2">
              <w:rPr>
                <w:rFonts w:ascii="Times New Roman" w:hAnsi="Times New Roman" w:cs="Times New Roman"/>
                <w:b/>
                <w:sz w:val="22"/>
                <w:szCs w:val="22"/>
              </w:rPr>
              <w:t xml:space="preserve"> &amp; Cost Per Response</w:t>
            </w:r>
            <w:r>
              <w:rPr>
                <w:rFonts w:ascii="Times New Roman" w:hAnsi="Times New Roman" w:cs="Times New Roman"/>
                <w:b/>
                <w:sz w:val="22"/>
                <w:szCs w:val="22"/>
                <w:vertAlign w:val="superscript"/>
              </w:rPr>
              <w:footnoteReference w:id="18"/>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862DA" w:rsidRPr="00DE64AF" w:rsidP="00704C13" w14:paraId="5B80857F"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E.</w:t>
            </w:r>
          </w:p>
          <w:p w:rsidR="001862DA" w:rsidRPr="00DE64AF" w:rsidP="00704C13" w14:paraId="6C8E355F"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Total Annual Burden Hours &amp; Total Annual Cost</w:t>
            </w:r>
          </w:p>
          <w:p w:rsidR="001862DA" w:rsidRPr="00DE64AF" w:rsidP="00704C13" w14:paraId="26A26E5B"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(Column C x Column D)</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862DA" w:rsidRPr="00DE64AF" w:rsidP="00704C13" w14:paraId="407061D0"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F.</w:t>
            </w:r>
          </w:p>
          <w:p w:rsidR="001862DA" w:rsidRPr="00DE64AF" w:rsidP="00704C13" w14:paraId="326550B7"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Cost per Respondent</w:t>
            </w:r>
          </w:p>
          <w:p w:rsidR="001862DA" w:rsidRPr="00DE64AF" w:rsidP="00704C13" w14:paraId="73D64263"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w:t>
            </w:r>
          </w:p>
          <w:p w:rsidR="001862DA" w:rsidRPr="00DE64AF" w:rsidP="00704C13" w14:paraId="7DBDBBDC" w14:textId="77777777">
            <w:pPr>
              <w:pStyle w:val="FERCparanumber"/>
              <w:numPr>
                <w:ilvl w:val="0"/>
                <w:numId w:val="0"/>
              </w:numPr>
              <w:tabs>
                <w:tab w:val="left" w:pos="720"/>
              </w:tabs>
              <w:jc w:val="center"/>
              <w:rPr>
                <w:rFonts w:ascii="Times New Roman" w:hAnsi="Times New Roman" w:cs="Times New Roman"/>
                <w:b/>
                <w:iCs/>
                <w:sz w:val="22"/>
              </w:rPr>
            </w:pPr>
            <w:r w:rsidRPr="00DE64AF">
              <w:rPr>
                <w:rFonts w:ascii="Times New Roman" w:hAnsi="Times New Roman" w:cs="Times New Roman"/>
                <w:b/>
                <w:iCs/>
                <w:sz w:val="22"/>
              </w:rPr>
              <w:t>(Column E ÷ Column A)</w:t>
            </w:r>
          </w:p>
        </w:tc>
      </w:tr>
      <w:tr w14:paraId="4A1F7EE7" w14:textId="77777777" w:rsidTr="002B0AC9">
        <w:tblPrEx>
          <w:tblW w:w="0" w:type="auto"/>
          <w:tblLayout w:type="fixed"/>
          <w:tblLook w:val="01E0"/>
        </w:tblPrEx>
        <w:trPr>
          <w:cantSplit/>
        </w:trPr>
        <w:tc>
          <w:tcPr>
            <w:tcW w:w="1020" w:type="dxa"/>
            <w:tcBorders>
              <w:top w:val="single" w:sz="4" w:space="0" w:color="auto"/>
              <w:left w:val="single" w:sz="4" w:space="0" w:color="auto"/>
              <w:bottom w:val="single" w:sz="4" w:space="0" w:color="auto"/>
              <w:right w:val="single" w:sz="4" w:space="0" w:color="auto"/>
            </w:tcBorders>
            <w:vAlign w:val="center"/>
            <w:hideMark/>
          </w:tcPr>
          <w:p w:rsidR="001862DA" w:rsidRPr="00DE64AF" w:rsidP="0069598C" w14:paraId="60AF0056" w14:textId="77777777">
            <w:pPr>
              <w:pStyle w:val="FERCparanumber"/>
              <w:numPr>
                <w:ilvl w:val="0"/>
                <w:numId w:val="0"/>
              </w:numPr>
              <w:tabs>
                <w:tab w:val="left" w:pos="720"/>
              </w:tabs>
              <w:rPr>
                <w:rFonts w:ascii="Times New Roman" w:hAnsi="Times New Roman" w:cs="Times New Roman"/>
                <w:iCs/>
                <w:sz w:val="22"/>
              </w:rPr>
            </w:pPr>
            <w:r>
              <w:rPr>
                <w:rFonts w:ascii="Times New Roman" w:hAnsi="Times New Roman" w:cs="Times New Roman"/>
                <w:iCs/>
                <w:sz w:val="22"/>
              </w:rPr>
              <w:t xml:space="preserve">Addition of </w:t>
            </w:r>
            <w:r w:rsidRPr="00DE64AF">
              <w:rPr>
                <w:rFonts w:ascii="Times New Roman" w:hAnsi="Times New Roman" w:cs="Times New Roman"/>
                <w:iCs/>
                <w:sz w:val="22"/>
              </w:rPr>
              <w:t>CIP-004-7</w:t>
            </w:r>
          </w:p>
        </w:tc>
        <w:tc>
          <w:tcPr>
            <w:tcW w:w="1562"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34ACD0DD"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1350"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64D57E28"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w:t>
            </w:r>
          </w:p>
        </w:tc>
        <w:tc>
          <w:tcPr>
            <w:tcW w:w="1193"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6D55B67F"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1275"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0C470A8B" w14:textId="77777777">
            <w:pPr>
              <w:pStyle w:val="FERCparanumber"/>
              <w:numPr>
                <w:ilvl w:val="0"/>
                <w:numId w:val="0"/>
              </w:numPr>
              <w:tabs>
                <w:tab w:val="left" w:pos="720"/>
              </w:tabs>
              <w:jc w:val="right"/>
              <w:rPr>
                <w:rFonts w:ascii="Times New Roman" w:hAnsi="Times New Roman" w:cs="Times New Roman"/>
                <w:sz w:val="22"/>
                <w:szCs w:val="22"/>
              </w:rPr>
            </w:pPr>
            <w:r w:rsidRPr="7B7326C8">
              <w:rPr>
                <w:rFonts w:ascii="Times New Roman" w:hAnsi="Times New Roman" w:cs="Times New Roman"/>
                <w:sz w:val="22"/>
                <w:szCs w:val="22"/>
              </w:rPr>
              <w:t xml:space="preserve">10 hours &amp; </w:t>
            </w:r>
            <w:r w:rsidRPr="37C10D15">
              <w:rPr>
                <w:rFonts w:ascii="Times New Roman" w:hAnsi="Times New Roman" w:cs="Times New Roman"/>
                <w:sz w:val="22"/>
                <w:szCs w:val="22"/>
              </w:rPr>
              <w:t>$918.10</w:t>
            </w:r>
          </w:p>
        </w:tc>
        <w:tc>
          <w:tcPr>
            <w:tcW w:w="1785"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1C6C3942" w14:textId="77777777">
            <w:pPr>
              <w:pStyle w:val="FERCparanumber"/>
              <w:numPr>
                <w:ilvl w:val="0"/>
                <w:numId w:val="0"/>
              </w:numPr>
              <w:tabs>
                <w:tab w:val="left" w:pos="720"/>
              </w:tabs>
              <w:jc w:val="right"/>
              <w:rPr>
                <w:rFonts w:ascii="Times New Roman" w:hAnsi="Times New Roman" w:cs="Times New Roman"/>
                <w:sz w:val="22"/>
                <w:szCs w:val="22"/>
              </w:rPr>
            </w:pPr>
            <w:r w:rsidRPr="5EC3A8BB">
              <w:rPr>
                <w:rFonts w:ascii="Times New Roman" w:hAnsi="Times New Roman" w:cs="Times New Roman"/>
                <w:sz w:val="22"/>
                <w:szCs w:val="22"/>
              </w:rPr>
              <w:t xml:space="preserve">3,430 hours &amp; </w:t>
            </w:r>
            <w:r w:rsidRPr="3B2C9BC5">
              <w:rPr>
                <w:rFonts w:ascii="Times New Roman" w:hAnsi="Times New Roman" w:cs="Times New Roman"/>
                <w:sz w:val="22"/>
                <w:szCs w:val="22"/>
              </w:rPr>
              <w:t>$314</w:t>
            </w:r>
            <w:r w:rsidRPr="155B96C4">
              <w:rPr>
                <w:rFonts w:ascii="Times New Roman" w:hAnsi="Times New Roman" w:cs="Times New Roman"/>
                <w:sz w:val="22"/>
                <w:szCs w:val="22"/>
              </w:rPr>
              <w:t>,908.30</w:t>
            </w:r>
          </w:p>
        </w:tc>
        <w:tc>
          <w:tcPr>
            <w:tcW w:w="1165"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7EDD6CBE" w14:textId="68665537">
            <w:pPr>
              <w:pStyle w:val="FERCparanumber"/>
              <w:numPr>
                <w:ilvl w:val="0"/>
                <w:numId w:val="0"/>
              </w:numPr>
              <w:tabs>
                <w:tab w:val="left" w:pos="720"/>
              </w:tabs>
              <w:jc w:val="right"/>
              <w:rPr>
                <w:rFonts w:ascii="Times New Roman" w:hAnsi="Times New Roman" w:cs="Times New Roman"/>
                <w:iCs/>
                <w:sz w:val="22"/>
              </w:rPr>
            </w:pPr>
          </w:p>
          <w:p w:rsidR="001862DA" w:rsidRPr="00DE64AF" w:rsidP="0069598C" w14:paraId="0FA1B814" w14:textId="3012A3F0">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w:t>
            </w:r>
            <w:r w:rsidR="00D9733D">
              <w:rPr>
                <w:rFonts w:ascii="Times New Roman" w:hAnsi="Times New Roman" w:cs="Times New Roman"/>
                <w:iCs/>
                <w:sz w:val="22"/>
              </w:rPr>
              <w:t>918</w:t>
            </w:r>
            <w:r w:rsidR="00147F96">
              <w:rPr>
                <w:rFonts w:ascii="Times New Roman" w:hAnsi="Times New Roman" w:cs="Times New Roman"/>
                <w:iCs/>
                <w:sz w:val="22"/>
              </w:rPr>
              <w:t>.10</w:t>
            </w:r>
          </w:p>
        </w:tc>
      </w:tr>
      <w:tr w14:paraId="5F298E50" w14:textId="77777777" w:rsidTr="002B0AC9">
        <w:tblPrEx>
          <w:tblW w:w="0" w:type="auto"/>
          <w:tblLayout w:type="fixed"/>
          <w:tblLook w:val="01E0"/>
        </w:tblPrEx>
        <w:trPr>
          <w:cantSplit/>
        </w:trPr>
        <w:tc>
          <w:tcPr>
            <w:tcW w:w="1020" w:type="dxa"/>
            <w:tcBorders>
              <w:top w:val="single" w:sz="4" w:space="0" w:color="auto"/>
              <w:left w:val="single" w:sz="4" w:space="0" w:color="auto"/>
              <w:bottom w:val="single" w:sz="4" w:space="0" w:color="auto"/>
              <w:right w:val="single" w:sz="4" w:space="0" w:color="auto"/>
            </w:tcBorders>
            <w:vAlign w:val="center"/>
            <w:hideMark/>
          </w:tcPr>
          <w:p w:rsidR="001862DA" w:rsidRPr="00DE64AF" w:rsidP="0069598C" w14:paraId="35544121" w14:textId="77777777">
            <w:pPr>
              <w:pStyle w:val="FERCparanumber"/>
              <w:numPr>
                <w:ilvl w:val="0"/>
                <w:numId w:val="0"/>
              </w:numPr>
              <w:tabs>
                <w:tab w:val="left" w:pos="720"/>
              </w:tabs>
              <w:rPr>
                <w:rFonts w:ascii="Times New Roman" w:hAnsi="Times New Roman" w:cs="Times New Roman"/>
                <w:iCs/>
                <w:sz w:val="22"/>
              </w:rPr>
            </w:pPr>
            <w:r>
              <w:rPr>
                <w:rFonts w:ascii="Times New Roman" w:hAnsi="Times New Roman" w:cs="Times New Roman"/>
                <w:iCs/>
                <w:sz w:val="22"/>
              </w:rPr>
              <w:t xml:space="preserve">Addition of </w:t>
            </w:r>
            <w:r w:rsidRPr="00DE64AF">
              <w:rPr>
                <w:rFonts w:ascii="Times New Roman" w:hAnsi="Times New Roman" w:cs="Times New Roman"/>
                <w:iCs/>
                <w:sz w:val="22"/>
              </w:rPr>
              <w:t>CIP-011-3</w:t>
            </w:r>
          </w:p>
        </w:tc>
        <w:tc>
          <w:tcPr>
            <w:tcW w:w="1562"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7C536753"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1350"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26AFE147"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w:t>
            </w:r>
          </w:p>
        </w:tc>
        <w:tc>
          <w:tcPr>
            <w:tcW w:w="1193"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446219AA"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1275"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027F636E" w14:textId="77777777">
            <w:pPr>
              <w:pStyle w:val="FERCparanumber"/>
              <w:numPr>
                <w:ilvl w:val="0"/>
                <w:numId w:val="0"/>
              </w:numPr>
              <w:tabs>
                <w:tab w:val="left" w:pos="720"/>
              </w:tabs>
              <w:jc w:val="right"/>
              <w:rPr>
                <w:rFonts w:ascii="Times New Roman" w:hAnsi="Times New Roman" w:cs="Times New Roman"/>
                <w:sz w:val="22"/>
                <w:szCs w:val="22"/>
              </w:rPr>
            </w:pPr>
            <w:r w:rsidRPr="4BFA7538">
              <w:rPr>
                <w:rFonts w:ascii="Times New Roman" w:hAnsi="Times New Roman" w:cs="Times New Roman"/>
                <w:sz w:val="22"/>
                <w:szCs w:val="22"/>
              </w:rPr>
              <w:t>10 hours &amp; $918</w:t>
            </w:r>
            <w:r w:rsidRPr="58F45549">
              <w:rPr>
                <w:rFonts w:ascii="Times New Roman" w:hAnsi="Times New Roman" w:cs="Times New Roman"/>
                <w:sz w:val="22"/>
                <w:szCs w:val="22"/>
              </w:rPr>
              <w:t>.</w:t>
            </w:r>
            <w:r w:rsidRPr="7B7326C8">
              <w:rPr>
                <w:rFonts w:ascii="Times New Roman" w:hAnsi="Times New Roman" w:cs="Times New Roman"/>
                <w:sz w:val="22"/>
                <w:szCs w:val="22"/>
              </w:rPr>
              <w:t>10</w:t>
            </w:r>
          </w:p>
        </w:tc>
        <w:tc>
          <w:tcPr>
            <w:tcW w:w="1785"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6C16302D" w14:textId="77777777">
            <w:pPr>
              <w:pStyle w:val="FERCparanumber"/>
              <w:numPr>
                <w:ilvl w:val="0"/>
                <w:numId w:val="0"/>
              </w:numPr>
              <w:tabs>
                <w:tab w:val="left" w:pos="720"/>
              </w:tabs>
              <w:jc w:val="right"/>
              <w:rPr>
                <w:rFonts w:ascii="Times New Roman" w:hAnsi="Times New Roman" w:cs="Times New Roman"/>
                <w:sz w:val="22"/>
                <w:szCs w:val="22"/>
              </w:rPr>
            </w:pPr>
            <w:r w:rsidRPr="1AF3D41F">
              <w:rPr>
                <w:rFonts w:ascii="Times New Roman" w:hAnsi="Times New Roman" w:cs="Times New Roman"/>
                <w:sz w:val="22"/>
                <w:szCs w:val="22"/>
              </w:rPr>
              <w:t xml:space="preserve">3,430 hours &amp; </w:t>
            </w:r>
            <w:r w:rsidRPr="271A6FA8">
              <w:rPr>
                <w:rFonts w:ascii="Times New Roman" w:hAnsi="Times New Roman" w:cs="Times New Roman"/>
                <w:sz w:val="22"/>
                <w:szCs w:val="22"/>
              </w:rPr>
              <w:t>$314,908</w:t>
            </w:r>
            <w:r w:rsidRPr="5A7B5466">
              <w:rPr>
                <w:rFonts w:ascii="Times New Roman" w:hAnsi="Times New Roman" w:cs="Times New Roman"/>
                <w:sz w:val="22"/>
                <w:szCs w:val="22"/>
              </w:rPr>
              <w:t>.30</w:t>
            </w:r>
          </w:p>
        </w:tc>
        <w:tc>
          <w:tcPr>
            <w:tcW w:w="1165"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6AEB47AC" w14:textId="74F58FB5">
            <w:pPr>
              <w:pStyle w:val="FERCparanumber"/>
              <w:numPr>
                <w:ilvl w:val="0"/>
                <w:numId w:val="0"/>
              </w:numPr>
              <w:tabs>
                <w:tab w:val="left" w:pos="720"/>
              </w:tabs>
              <w:jc w:val="right"/>
              <w:rPr>
                <w:rFonts w:ascii="Times New Roman" w:hAnsi="Times New Roman" w:cs="Times New Roman"/>
                <w:iCs/>
                <w:sz w:val="22"/>
              </w:rPr>
            </w:pPr>
            <w:r>
              <w:rPr>
                <w:rFonts w:ascii="Times New Roman" w:hAnsi="Times New Roman" w:cs="Times New Roman"/>
                <w:iCs/>
                <w:sz w:val="22"/>
              </w:rPr>
              <w:t>$918.10</w:t>
            </w:r>
          </w:p>
        </w:tc>
      </w:tr>
      <w:tr w14:paraId="24B7B06D" w14:textId="77777777" w:rsidTr="002B0AC9">
        <w:tblPrEx>
          <w:tblW w:w="0" w:type="auto"/>
          <w:tblLayout w:type="fixed"/>
          <w:tblLook w:val="01E0"/>
        </w:tblPrEx>
        <w:trPr>
          <w:cantSplit/>
        </w:trPr>
        <w:tc>
          <w:tcPr>
            <w:tcW w:w="1020" w:type="dxa"/>
            <w:tcBorders>
              <w:top w:val="single" w:sz="4" w:space="0" w:color="auto"/>
              <w:left w:val="single" w:sz="4" w:space="0" w:color="auto"/>
              <w:bottom w:val="single" w:sz="4" w:space="0" w:color="auto"/>
              <w:right w:val="single" w:sz="4" w:space="0" w:color="auto"/>
            </w:tcBorders>
            <w:vAlign w:val="bottom"/>
            <w:hideMark/>
          </w:tcPr>
          <w:p w:rsidR="001862DA" w:rsidRPr="00DE64AF" w:rsidP="00192AD8" w14:paraId="58458494" w14:textId="71A4236D">
            <w:pPr>
              <w:pStyle w:val="FERCparanumber"/>
              <w:numPr>
                <w:ilvl w:val="0"/>
                <w:numId w:val="0"/>
              </w:numPr>
              <w:tabs>
                <w:tab w:val="left" w:pos="720"/>
              </w:tabs>
              <w:rPr>
                <w:rFonts w:ascii="Times New Roman" w:hAnsi="Times New Roman" w:cs="Times New Roman"/>
                <w:b/>
                <w:bCs/>
                <w:iCs/>
                <w:sz w:val="22"/>
              </w:rPr>
            </w:pPr>
            <w:r w:rsidRPr="00DE64AF">
              <w:rPr>
                <w:rFonts w:ascii="Times New Roman" w:hAnsi="Times New Roman" w:cs="Times New Roman"/>
                <w:b/>
                <w:bCs/>
                <w:iCs/>
                <w:sz w:val="22"/>
              </w:rPr>
              <w:t>Totals</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tcPr>
          <w:p w:rsidR="001862DA" w:rsidRPr="00DE64AF" w:rsidP="0069598C" w14:paraId="7DFC02B8"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686</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862DA" w:rsidRPr="00DE64AF" w:rsidP="0069598C" w14:paraId="48014EB2" w14:textId="77777777">
            <w:pPr>
              <w:pStyle w:val="FERCparanumber"/>
              <w:numPr>
                <w:ilvl w:val="0"/>
                <w:numId w:val="0"/>
              </w:numPr>
              <w:tabs>
                <w:tab w:val="left" w:pos="720"/>
              </w:tabs>
              <w:jc w:val="right"/>
              <w:rPr>
                <w:rFonts w:ascii="Times New Roman" w:hAnsi="Times New Roman" w:cs="Times New Roman"/>
                <w:iCs/>
                <w:sz w:val="22"/>
              </w:rPr>
            </w:pPr>
          </w:p>
        </w:tc>
        <w:tc>
          <w:tcPr>
            <w:tcW w:w="1193" w:type="dxa"/>
            <w:tcBorders>
              <w:top w:val="single" w:sz="4" w:space="0" w:color="auto"/>
              <w:left w:val="single" w:sz="4" w:space="0" w:color="auto"/>
              <w:bottom w:val="single" w:sz="4" w:space="0" w:color="auto"/>
              <w:right w:val="single" w:sz="4" w:space="0" w:color="auto"/>
            </w:tcBorders>
            <w:vAlign w:val="bottom"/>
            <w:hideMark/>
          </w:tcPr>
          <w:p w:rsidR="001862DA" w:rsidRPr="00DE64AF" w:rsidP="0069598C" w14:paraId="7534D442"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686</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862DA" w:rsidRPr="00DE64AF" w:rsidP="0069598C" w14:paraId="06BFE0C4" w14:textId="77777777">
            <w:pPr>
              <w:pStyle w:val="FERCparanumber"/>
              <w:numPr>
                <w:ilvl w:val="0"/>
                <w:numId w:val="0"/>
              </w:numPr>
              <w:tabs>
                <w:tab w:val="left" w:pos="720"/>
              </w:tabs>
              <w:jc w:val="right"/>
              <w:rPr>
                <w:rFonts w:ascii="Times New Roman" w:hAnsi="Times New Roman" w:cs="Times New Roman"/>
                <w:iCs/>
                <w:sz w:val="22"/>
              </w:rPr>
            </w:pPr>
          </w:p>
        </w:tc>
        <w:tc>
          <w:tcPr>
            <w:tcW w:w="1785" w:type="dxa"/>
            <w:tcBorders>
              <w:top w:val="single" w:sz="4" w:space="0" w:color="auto"/>
              <w:left w:val="single" w:sz="4" w:space="0" w:color="auto"/>
              <w:bottom w:val="single" w:sz="4" w:space="0" w:color="auto"/>
              <w:right w:val="single" w:sz="4" w:space="0" w:color="auto"/>
            </w:tcBorders>
            <w:vAlign w:val="bottom"/>
            <w:hideMark/>
          </w:tcPr>
          <w:p w:rsidR="001862DA" w:rsidRPr="00DE64AF" w:rsidP="002A44DE" w14:paraId="0A1E6B31" w14:textId="7E8A8EE1">
            <w:pPr>
              <w:pStyle w:val="FERCparanumber"/>
              <w:numPr>
                <w:ilvl w:val="0"/>
                <w:numId w:val="0"/>
              </w:numPr>
              <w:tabs>
                <w:tab w:val="left" w:pos="720"/>
              </w:tabs>
              <w:jc w:val="right"/>
              <w:rPr>
                <w:rFonts w:ascii="Times New Roman" w:hAnsi="Times New Roman" w:cs="Times New Roman"/>
                <w:sz w:val="22"/>
                <w:szCs w:val="22"/>
              </w:rPr>
            </w:pPr>
            <w:r>
              <w:rPr>
                <w:rFonts w:ascii="Times New Roman" w:hAnsi="Times New Roman" w:cs="Times New Roman"/>
                <w:sz w:val="22"/>
                <w:szCs w:val="22"/>
              </w:rPr>
              <w:t>6,860 hours &amp;</w:t>
            </w:r>
            <w:r w:rsidR="002A44DE">
              <w:rPr>
                <w:rFonts w:ascii="Times New Roman" w:hAnsi="Times New Roman" w:cs="Times New Roman"/>
                <w:sz w:val="22"/>
                <w:szCs w:val="22"/>
              </w:rPr>
              <w:t xml:space="preserve"> $</w:t>
            </w:r>
            <w:r w:rsidR="001057E3">
              <w:rPr>
                <w:rFonts w:ascii="Times New Roman" w:hAnsi="Times New Roman" w:cs="Times New Roman"/>
                <w:sz w:val="22"/>
                <w:szCs w:val="22"/>
              </w:rPr>
              <w:t>6</w:t>
            </w:r>
            <w:r w:rsidR="00E500BA">
              <w:rPr>
                <w:rFonts w:ascii="Times New Roman" w:hAnsi="Times New Roman" w:cs="Times New Roman"/>
                <w:sz w:val="22"/>
                <w:szCs w:val="22"/>
              </w:rPr>
              <w:t>29,817.60</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862DA" w:rsidRPr="00DE64AF" w:rsidP="00416841" w14:paraId="4C02DBD1" w14:textId="1FB62B5A">
            <w:pPr>
              <w:pStyle w:val="FERCparanumber"/>
              <w:numPr>
                <w:ilvl w:val="0"/>
                <w:numId w:val="0"/>
              </w:numPr>
              <w:tabs>
                <w:tab w:val="left" w:pos="720"/>
              </w:tabs>
              <w:rPr>
                <w:rFonts w:ascii="Times New Roman" w:hAnsi="Times New Roman" w:cs="Times New Roman"/>
                <w:sz w:val="22"/>
                <w:szCs w:val="22"/>
              </w:rPr>
            </w:pPr>
          </w:p>
        </w:tc>
      </w:tr>
    </w:tbl>
    <w:p w:rsidR="00C4205B" w:rsidRPr="005C29CE" w:rsidP="005E2448"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ESTIMATE OF THE TOTAL ANNUAL COST BURDEN TO RESPONDENTS</w:t>
      </w:r>
    </w:p>
    <w:p w:rsidR="002359F6" w:rsidRPr="005C29CE" w:rsidP="002A4142" w14:paraId="5900A782" w14:textId="77777777">
      <w:pPr>
        <w:spacing w:after="0" w:line="240" w:lineRule="auto"/>
        <w:rPr>
          <w:rFonts w:ascii="Times New Roman" w:hAnsi="Times New Roman" w:cs="Times New Roman"/>
          <w:sz w:val="26"/>
          <w:szCs w:val="24"/>
        </w:rPr>
      </w:pPr>
    </w:p>
    <w:p w:rsidR="002359F6" w:rsidRPr="005C29CE" w:rsidP="002A4142" w14:paraId="0926F9C6"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There are no start-up or other non-labor costs.</w:t>
      </w:r>
    </w:p>
    <w:p w:rsidR="002359F6" w:rsidRPr="005C29CE" w:rsidP="002A4142" w14:paraId="3748E8B6" w14:textId="77777777">
      <w:pPr>
        <w:spacing w:after="0" w:line="240" w:lineRule="auto"/>
        <w:rPr>
          <w:rFonts w:ascii="Times New Roman" w:hAnsi="Times New Roman" w:cs="Times New Roman"/>
          <w:sz w:val="26"/>
          <w:szCs w:val="24"/>
        </w:rPr>
      </w:pPr>
    </w:p>
    <w:p w:rsidR="002359F6" w:rsidRPr="005C29CE" w:rsidP="002A4142" w14:paraId="03146869" w14:textId="77777777">
      <w:pPr>
        <w:spacing w:after="0" w:line="240" w:lineRule="auto"/>
        <w:ind w:firstLine="720"/>
        <w:rPr>
          <w:rFonts w:ascii="Times New Roman" w:hAnsi="Times New Roman" w:cs="Times New Roman"/>
          <w:sz w:val="26"/>
          <w:szCs w:val="24"/>
        </w:rPr>
      </w:pPr>
      <w:r w:rsidRPr="005C29CE">
        <w:rPr>
          <w:rFonts w:ascii="Times New Roman" w:hAnsi="Times New Roman" w:cs="Times New Roman"/>
          <w:sz w:val="26"/>
          <w:szCs w:val="24"/>
        </w:rPr>
        <w:t>Total Capital and Start-up cost: $0</w:t>
      </w:r>
    </w:p>
    <w:p w:rsidR="002359F6" w:rsidRPr="005C29CE" w:rsidP="002A4142" w14:paraId="40F632E6" w14:textId="77777777">
      <w:pPr>
        <w:spacing w:after="0" w:line="240" w:lineRule="auto"/>
        <w:ind w:left="720"/>
        <w:rPr>
          <w:rFonts w:ascii="Times New Roman" w:hAnsi="Times New Roman" w:cs="Times New Roman"/>
          <w:sz w:val="26"/>
          <w:szCs w:val="24"/>
        </w:rPr>
      </w:pPr>
      <w:r w:rsidRPr="005C29CE">
        <w:rPr>
          <w:rFonts w:ascii="Times New Roman" w:hAnsi="Times New Roman" w:cs="Times New Roman"/>
          <w:sz w:val="26"/>
          <w:szCs w:val="24"/>
        </w:rPr>
        <w:t>Total Operation, Maintenance, and Purchase of Services: $0</w:t>
      </w:r>
    </w:p>
    <w:p w:rsidR="002359F6" w:rsidRPr="005C29CE" w:rsidP="002A4142" w14:paraId="400B8895" w14:textId="77777777">
      <w:pPr>
        <w:spacing w:after="0" w:line="240" w:lineRule="auto"/>
        <w:rPr>
          <w:rFonts w:ascii="Times New Roman" w:hAnsi="Times New Roman" w:cs="Times New Roman"/>
          <w:sz w:val="26"/>
          <w:szCs w:val="24"/>
        </w:rPr>
      </w:pPr>
    </w:p>
    <w:p w:rsidR="002359F6" w:rsidRPr="005C29CE" w:rsidP="002A4142" w14:paraId="1583A39C" w14:textId="7348D7CC">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All of the costs </w:t>
      </w:r>
      <w:r w:rsidRPr="005C29CE" w:rsidR="005F55AB">
        <w:rPr>
          <w:rFonts w:ascii="Times New Roman" w:hAnsi="Times New Roman" w:cs="Times New Roman"/>
          <w:sz w:val="26"/>
          <w:szCs w:val="24"/>
        </w:rPr>
        <w:t xml:space="preserve">due to this Final Rule </w:t>
      </w:r>
      <w:r w:rsidRPr="005C29CE">
        <w:rPr>
          <w:rFonts w:ascii="Times New Roman" w:hAnsi="Times New Roman" w:cs="Times New Roman"/>
          <w:sz w:val="26"/>
          <w:szCs w:val="24"/>
        </w:rPr>
        <w:t xml:space="preserve">are associated with burden hours (labor) and described in Questions #12 and #15 in this supporting statement. </w:t>
      </w:r>
    </w:p>
    <w:p w:rsidR="003C19D0" w:rsidRPr="005C29CE" w:rsidP="005D011E" w14:paraId="7628453A" w14:textId="77777777">
      <w:pPr>
        <w:spacing w:after="0" w:line="240" w:lineRule="auto"/>
        <w:rPr>
          <w:rFonts w:ascii="Times New Roman" w:hAnsi="Times New Roman" w:cs="Times New Roman"/>
          <w:sz w:val="26"/>
          <w:szCs w:val="24"/>
        </w:rPr>
      </w:pPr>
    </w:p>
    <w:p w:rsidR="00C4205B" w:rsidRPr="005C29CE" w:rsidP="007C39D3"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ESTIMATED ANNUALIZED COST TO FEDERAL GOVERNMENT</w:t>
      </w:r>
    </w:p>
    <w:p w:rsidR="00C4205B" w:rsidRPr="005C29CE" w:rsidP="0007783F" w14:paraId="2291EE6D" w14:textId="77777777">
      <w:pPr>
        <w:spacing w:after="0" w:line="240" w:lineRule="auto"/>
        <w:rPr>
          <w:rFonts w:ascii="Times New Roman" w:hAnsi="Times New Roman" w:cs="Times New Roman"/>
          <w:b/>
          <w:bCs/>
          <w:sz w:val="26"/>
          <w:szCs w:val="24"/>
        </w:rPr>
      </w:pPr>
    </w:p>
    <w:p w:rsidR="009922B2" w:rsidP="0007783F" w14:paraId="37D9FD77" w14:textId="47618B39">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The Regional Entities and NERC do </w:t>
      </w:r>
      <w:r w:rsidR="002A41C8">
        <w:rPr>
          <w:rFonts w:ascii="Times New Roman" w:hAnsi="Times New Roman" w:cs="Times New Roman"/>
          <w:sz w:val="26"/>
          <w:szCs w:val="24"/>
        </w:rPr>
        <w:t xml:space="preserve">almost all </w:t>
      </w:r>
      <w:r w:rsidRPr="005C29CE">
        <w:rPr>
          <w:rFonts w:ascii="Times New Roman" w:hAnsi="Times New Roman" w:cs="Times New Roman"/>
          <w:sz w:val="26"/>
          <w:szCs w:val="24"/>
        </w:rPr>
        <w:t xml:space="preserve">of the data processing, monitoring and compliance work for Reliability Standards.  </w:t>
      </w:r>
      <w:r w:rsidRPr="005C29CE" w:rsidR="00550AF5">
        <w:rPr>
          <w:rFonts w:ascii="Times New Roman" w:hAnsi="Times New Roman" w:cs="Times New Roman"/>
          <w:sz w:val="26"/>
          <w:szCs w:val="24"/>
        </w:rPr>
        <w:t xml:space="preserve">The </w:t>
      </w:r>
      <w:r w:rsidR="00550AF5">
        <w:rPr>
          <w:rFonts w:ascii="Times New Roman" w:hAnsi="Times New Roman" w:cs="Times New Roman"/>
          <w:sz w:val="26"/>
          <w:szCs w:val="24"/>
        </w:rPr>
        <w:t>information is</w:t>
      </w:r>
      <w:r w:rsidRPr="005C29CE" w:rsidR="00550AF5">
        <w:rPr>
          <w:rFonts w:ascii="Times New Roman" w:hAnsi="Times New Roman" w:cs="Times New Roman"/>
          <w:sz w:val="26"/>
          <w:szCs w:val="24"/>
        </w:rPr>
        <w:t xml:space="preserve"> not submitted to FERC.</w:t>
      </w:r>
      <w:r w:rsidR="00550AF5">
        <w:rPr>
          <w:rFonts w:ascii="Times New Roman" w:hAnsi="Times New Roman" w:cs="Times New Roman"/>
          <w:sz w:val="26"/>
          <w:szCs w:val="24"/>
        </w:rPr>
        <w:t xml:space="preserve"> </w:t>
      </w:r>
    </w:p>
    <w:p w:rsidR="00C727FF" w:rsidRPr="005C29CE" w:rsidP="0007783F" w14:paraId="0426F0D0" w14:textId="77777777">
      <w:pPr>
        <w:spacing w:after="0" w:line="240" w:lineRule="auto"/>
        <w:rPr>
          <w:rFonts w:ascii="Times New Roman" w:hAnsi="Times New Roman" w:cs="Times New Roman"/>
          <w:sz w:val="26"/>
          <w:szCs w:val="24"/>
        </w:rPr>
      </w:pPr>
    </w:p>
    <w:p w:rsidR="00647E9F" w:rsidP="0007783F" w14:paraId="724CC922"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 Commission does incur the costs associated with obtaining OMB clearance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647E9F" w:rsidP="0007783F" w14:paraId="20517091" w14:textId="77777777">
      <w:pPr>
        <w:spacing w:after="0" w:line="240" w:lineRule="auto"/>
        <w:rPr>
          <w:rFonts w:ascii="Times New Roman" w:hAnsi="Times New Roman" w:cs="Times New Roman"/>
          <w:sz w:val="26"/>
          <w:szCs w:val="24"/>
        </w:rPr>
      </w:pPr>
    </w:p>
    <w:p w:rsidR="00647E9F" w:rsidRPr="00C0479E" w:rsidP="00647E9F" w14:paraId="6F582B30" w14:textId="04AEBD0F">
      <w:pPr>
        <w:widowControl w:val="0"/>
        <w:autoSpaceDE w:val="0"/>
        <w:autoSpaceDN w:val="0"/>
        <w:adjustRightInd w:val="0"/>
        <w:spacing w:after="0" w:line="240" w:lineRule="auto"/>
        <w:jc w:val="center"/>
        <w:rPr>
          <w:rFonts w:ascii="Times New Roman" w:hAnsi="Times New Roman" w:cs="Times New Roman"/>
          <w:b/>
          <w:bCs/>
          <w:sz w:val="26"/>
          <w:szCs w:val="24"/>
        </w:rPr>
      </w:pPr>
      <w:r w:rsidRPr="00C0479E">
        <w:rPr>
          <w:rFonts w:ascii="Times New Roman" w:hAnsi="Times New Roman" w:cs="Times New Roman"/>
          <w:b/>
          <w:bCs/>
          <w:sz w:val="26"/>
          <w:szCs w:val="24"/>
        </w:rPr>
        <w:t>Table 1</w:t>
      </w:r>
      <w:r w:rsidR="007D281F">
        <w:rPr>
          <w:rFonts w:ascii="Times New Roman" w:hAnsi="Times New Roman" w:cs="Times New Roman"/>
          <w:b/>
          <w:bCs/>
          <w:sz w:val="26"/>
          <w:szCs w:val="24"/>
        </w:rPr>
        <w:t>4</w:t>
      </w:r>
    </w:p>
    <w:p w:rsidR="002359F6" w:rsidRPr="005C29CE" w:rsidP="009C5EA0" w14:paraId="40DD9213" w14:textId="08344050">
      <w:pPr>
        <w:widowControl w:val="0"/>
        <w:autoSpaceDE w:val="0"/>
        <w:autoSpaceDN w:val="0"/>
        <w:adjustRightInd w:val="0"/>
        <w:spacing w:after="0" w:line="240" w:lineRule="auto"/>
        <w:jc w:val="center"/>
        <w:rPr>
          <w:rFonts w:ascii="Times New Roman" w:hAnsi="Times New Roman" w:cs="Times New Roman"/>
          <w:sz w:val="26"/>
          <w:szCs w:val="24"/>
        </w:rPr>
      </w:pPr>
      <w:r>
        <w:rPr>
          <w:rFonts w:ascii="Times New Roman" w:hAnsi="Times New Roman" w:cs="Times New Roman"/>
          <w:b/>
          <w:bCs/>
          <w:sz w:val="26"/>
          <w:szCs w:val="24"/>
        </w:rPr>
        <w:t>Federal Costs</w:t>
      </w:r>
      <w:r w:rsidRPr="005C29CE" w:rsidR="00BC3F97">
        <w:rPr>
          <w:rFonts w:ascii="Times New Roman" w:hAnsi="Times New Roman" w:cs="Times New Roman"/>
          <w:sz w:val="26"/>
          <w:szCs w:val="24"/>
        </w:rPr>
        <w:t xml:space="preserve"> </w:t>
      </w:r>
    </w:p>
    <w:p w:rsidR="00BC3F97" w:rsidRPr="005C29CE" w:rsidP="0007783F" w14:paraId="0F39C68F"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4760D27" w14:textId="77777777" w:rsidTr="002359F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C29CE" w:rsidP="007C39D3" w14:paraId="368325C1" w14:textId="74DC5114">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C29CE" w:rsidP="005E2448" w14:paraId="604C33BB" w14:textId="77777777">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C29CE" w:rsidP="002A4142" w14:paraId="666965DF" w14:textId="77777777">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Estimated Annual Federal Cost</w:t>
            </w:r>
          </w:p>
        </w:tc>
      </w:tr>
      <w:tr w14:paraId="3E7BA932"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C29CE" w:rsidP="00E66667" w14:paraId="6FE375A5" w14:textId="01D52A7A">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Analysis </w:t>
            </w:r>
            <w:r w:rsidRPr="005C29CE" w:rsidR="005F55AB">
              <w:rPr>
                <w:rFonts w:ascii="Times New Roman" w:hAnsi="Times New Roman" w:cs="Times New Roman"/>
                <w:sz w:val="26"/>
                <w:szCs w:val="24"/>
              </w:rPr>
              <w:t xml:space="preserve">and Processing </w:t>
            </w:r>
            <w:r w:rsidRPr="005C29CE" w:rsidR="00E66667">
              <w:rPr>
                <w:rFonts w:ascii="Times New Roman" w:hAnsi="Times New Roman" w:cs="Times New Roman"/>
                <w:sz w:val="26"/>
                <w:szCs w:val="24"/>
              </w:rPr>
              <w:t>of F</w:t>
            </w:r>
            <w:r w:rsidRPr="005C29CE">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C29CE" w:rsidP="005E2448" w14:paraId="04252B1D" w14:textId="77777777">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C29CE" w:rsidP="002A4142" w14:paraId="20F3A7DE" w14:textId="77777777">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$0</w:t>
            </w:r>
          </w:p>
        </w:tc>
      </w:tr>
      <w:tr w14:paraId="453A7B37"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C29CE" w:rsidP="0099517B" w14:paraId="69B8A50D" w14:textId="01302C64">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C29CE" w:rsidP="005E2448" w14:paraId="6BA0C2F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C29CE" w:rsidP="002A4142" w14:paraId="116405AD" w14:textId="512CA616">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w:t>
            </w:r>
            <w:r w:rsidR="00AD54BC">
              <w:rPr>
                <w:rFonts w:ascii="Times New Roman" w:hAnsi="Times New Roman" w:cs="Times New Roman"/>
                <w:sz w:val="26"/>
                <w:szCs w:val="24"/>
              </w:rPr>
              <w:t>8,27</w:t>
            </w:r>
            <w:r w:rsidR="00D668C5">
              <w:rPr>
                <w:rFonts w:ascii="Times New Roman" w:hAnsi="Times New Roman" w:cs="Times New Roman"/>
                <w:sz w:val="26"/>
                <w:szCs w:val="24"/>
              </w:rPr>
              <w:t>9</w:t>
            </w:r>
          </w:p>
        </w:tc>
      </w:tr>
      <w:tr w14:paraId="2F75250A"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C29CE" w:rsidP="007C39D3" w14:paraId="6F95BDC0" w14:textId="77777777">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C29CE" w:rsidP="005E2448" w14:paraId="5E9D679C"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C29CE" w:rsidP="002A4142" w14:paraId="579CA50F" w14:textId="38EC7C13">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w:t>
            </w:r>
            <w:r w:rsidR="00AD54BC">
              <w:rPr>
                <w:rFonts w:ascii="Times New Roman" w:hAnsi="Times New Roman" w:cs="Times New Roman"/>
                <w:sz w:val="26"/>
                <w:szCs w:val="24"/>
              </w:rPr>
              <w:t>8,27</w:t>
            </w:r>
            <w:r w:rsidR="00D668C5">
              <w:rPr>
                <w:rFonts w:ascii="Times New Roman" w:hAnsi="Times New Roman" w:cs="Times New Roman"/>
                <w:sz w:val="26"/>
                <w:szCs w:val="24"/>
              </w:rPr>
              <w:t>9</w:t>
            </w:r>
          </w:p>
        </w:tc>
      </w:tr>
    </w:tbl>
    <w:p w:rsidR="009922B2" w:rsidRPr="005C29CE" w:rsidP="002A4142" w14:paraId="3C1ABC63" w14:textId="77777777">
      <w:pPr>
        <w:spacing w:line="240" w:lineRule="auto"/>
        <w:rPr>
          <w:rFonts w:ascii="Times New Roman" w:hAnsi="Times New Roman" w:cs="Times New Roman"/>
          <w:sz w:val="26"/>
          <w:szCs w:val="24"/>
        </w:rPr>
      </w:pPr>
    </w:p>
    <w:p w:rsidR="00C4205B" w:rsidRPr="005C29CE" w:rsidP="007C39D3" w14:paraId="68B9EDF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REASONS FOR CHANGES IN BURDEN INCLUDING THE NEED FOR ANY INCREASE</w:t>
      </w:r>
    </w:p>
    <w:p w:rsidR="009922B2" w:rsidP="009922B2" w14:paraId="3FEA176F" w14:textId="1FE18AF0">
      <w:pPr>
        <w:widowControl w:val="0"/>
        <w:autoSpaceDE w:val="0"/>
        <w:autoSpaceDN w:val="0"/>
        <w:adjustRightInd w:val="0"/>
        <w:spacing w:after="0" w:line="240" w:lineRule="auto"/>
        <w:rPr>
          <w:rFonts w:ascii="Times New Roman" w:hAnsi="Times New Roman" w:cs="Times New Roman"/>
          <w:sz w:val="26"/>
          <w:szCs w:val="24"/>
        </w:rPr>
      </w:pPr>
    </w:p>
    <w:p w:rsidR="00766354" w:rsidP="00C0479E" w14:paraId="2EA4A84A" w14:textId="57CB0CF3">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ICs associated with the DLO do not change the number of respondents </w:t>
      </w:r>
      <w:r w:rsidR="00077DB8">
        <w:rPr>
          <w:rFonts w:ascii="Times New Roman" w:hAnsi="Times New Roman" w:cs="Times New Roman"/>
          <w:sz w:val="26"/>
          <w:szCs w:val="26"/>
        </w:rPr>
        <w:t xml:space="preserve">and they do not change the number of responses.  </w:t>
      </w:r>
      <w:r w:rsidR="004C117B">
        <w:rPr>
          <w:rFonts w:ascii="Times New Roman" w:hAnsi="Times New Roman" w:cs="Times New Roman"/>
          <w:sz w:val="26"/>
          <w:szCs w:val="26"/>
        </w:rPr>
        <w:t>A</w:t>
      </w:r>
      <w:r w:rsidRPr="1EA0D0FA" w:rsidR="00C0479E">
        <w:rPr>
          <w:rFonts w:ascii="Times New Roman" w:hAnsi="Times New Roman" w:cs="Times New Roman"/>
          <w:sz w:val="26"/>
          <w:szCs w:val="26"/>
        </w:rPr>
        <w:t>ll of the estimated burden</w:t>
      </w:r>
      <w:r w:rsidR="00B0779F">
        <w:rPr>
          <w:rFonts w:ascii="Times New Roman" w:hAnsi="Times New Roman" w:cs="Times New Roman"/>
          <w:sz w:val="26"/>
          <w:szCs w:val="26"/>
        </w:rPr>
        <w:t xml:space="preserve"> hours</w:t>
      </w:r>
      <w:r w:rsidRPr="1EA0D0FA" w:rsidR="00C0479E">
        <w:rPr>
          <w:rFonts w:ascii="Times New Roman" w:hAnsi="Times New Roman" w:cs="Times New Roman"/>
          <w:sz w:val="26"/>
          <w:szCs w:val="26"/>
        </w:rPr>
        <w:t xml:space="preserve"> </w:t>
      </w:r>
      <w:r w:rsidR="00CD333A">
        <w:rPr>
          <w:rFonts w:ascii="Times New Roman" w:hAnsi="Times New Roman" w:cs="Times New Roman"/>
          <w:sz w:val="26"/>
          <w:szCs w:val="26"/>
        </w:rPr>
        <w:t xml:space="preserve">resulting from </w:t>
      </w:r>
      <w:r w:rsidR="004C117B">
        <w:rPr>
          <w:rFonts w:ascii="Times New Roman" w:hAnsi="Times New Roman" w:cs="Times New Roman"/>
          <w:sz w:val="26"/>
          <w:szCs w:val="26"/>
        </w:rPr>
        <w:t xml:space="preserve">the DLO </w:t>
      </w:r>
      <w:r w:rsidRPr="1EA0D0FA" w:rsidR="00C0479E">
        <w:rPr>
          <w:rFonts w:ascii="Times New Roman" w:hAnsi="Times New Roman" w:cs="Times New Roman"/>
          <w:sz w:val="26"/>
          <w:szCs w:val="26"/>
        </w:rPr>
        <w:t>are program changes</w:t>
      </w:r>
      <w:r w:rsidR="007A3D37">
        <w:rPr>
          <w:rFonts w:ascii="Times New Roman" w:hAnsi="Times New Roman" w:cs="Times New Roman"/>
          <w:sz w:val="26"/>
          <w:szCs w:val="26"/>
        </w:rPr>
        <w:t>.</w:t>
      </w:r>
      <w:r w:rsidRPr="1EA0D0FA" w:rsidR="00C0479E">
        <w:rPr>
          <w:rFonts w:ascii="Times New Roman" w:hAnsi="Times New Roman" w:cs="Times New Roman"/>
          <w:sz w:val="26"/>
          <w:szCs w:val="26"/>
        </w:rPr>
        <w:t xml:space="preserve">  As shown below, </w:t>
      </w:r>
      <w:r w:rsidRPr="1EA0D0FA" w:rsidR="005E7C1F">
        <w:rPr>
          <w:rFonts w:ascii="Times New Roman" w:hAnsi="Times New Roman" w:cs="Times New Roman"/>
          <w:sz w:val="26"/>
          <w:szCs w:val="26"/>
        </w:rPr>
        <w:t xml:space="preserve">the replacement of two previously approved </w:t>
      </w:r>
      <w:r w:rsidRPr="1EA0D0FA" w:rsidR="000310C9">
        <w:rPr>
          <w:rFonts w:ascii="Times New Roman" w:hAnsi="Times New Roman" w:cs="Times New Roman"/>
          <w:sz w:val="26"/>
          <w:szCs w:val="26"/>
        </w:rPr>
        <w:t xml:space="preserve">Reliability Standards with two new Reliability Standards </w:t>
      </w:r>
      <w:r w:rsidRPr="1EA0D0FA" w:rsidR="00661DF0">
        <w:rPr>
          <w:rFonts w:ascii="Times New Roman" w:hAnsi="Times New Roman" w:cs="Times New Roman"/>
          <w:sz w:val="26"/>
          <w:szCs w:val="26"/>
        </w:rPr>
        <w:t xml:space="preserve">results in a net decrease in the </w:t>
      </w:r>
      <w:r w:rsidRPr="1EA0D0FA" w:rsidR="00C0479E">
        <w:rPr>
          <w:rFonts w:ascii="Times New Roman" w:hAnsi="Times New Roman" w:cs="Times New Roman"/>
          <w:sz w:val="26"/>
          <w:szCs w:val="26"/>
        </w:rPr>
        <w:t xml:space="preserve">estimated annual </w:t>
      </w:r>
      <w:r w:rsidRPr="1EA0D0FA" w:rsidR="005379BF">
        <w:rPr>
          <w:rFonts w:ascii="Times New Roman" w:hAnsi="Times New Roman" w:cs="Times New Roman"/>
          <w:sz w:val="26"/>
          <w:szCs w:val="26"/>
        </w:rPr>
        <w:t xml:space="preserve">hour </w:t>
      </w:r>
      <w:r w:rsidRPr="1EA0D0FA" w:rsidR="00C0479E">
        <w:rPr>
          <w:rFonts w:ascii="Times New Roman" w:hAnsi="Times New Roman" w:cs="Times New Roman"/>
          <w:sz w:val="26"/>
          <w:szCs w:val="26"/>
        </w:rPr>
        <w:t xml:space="preserve">burdens of </w:t>
      </w:r>
      <w:r w:rsidRPr="1EA0D0FA" w:rsidR="009B5CCF">
        <w:rPr>
          <w:rFonts w:ascii="Times New Roman" w:hAnsi="Times New Roman" w:cs="Times New Roman"/>
          <w:sz w:val="26"/>
          <w:szCs w:val="26"/>
        </w:rPr>
        <w:t xml:space="preserve">FERC-725B.  However, in ROCIS, the addition of two </w:t>
      </w:r>
      <w:r w:rsidRPr="1EA0D0FA" w:rsidR="00BD0714">
        <w:rPr>
          <w:rFonts w:ascii="Times New Roman" w:hAnsi="Times New Roman" w:cs="Times New Roman"/>
          <w:sz w:val="26"/>
          <w:szCs w:val="26"/>
        </w:rPr>
        <w:t xml:space="preserve">new Reliability Standards is also </w:t>
      </w:r>
      <w:r w:rsidRPr="113B556C" w:rsidR="2B0BDA85">
        <w:rPr>
          <w:rFonts w:ascii="Times New Roman" w:hAnsi="Times New Roman" w:cs="Times New Roman"/>
          <w:sz w:val="26"/>
          <w:szCs w:val="26"/>
        </w:rPr>
        <w:t>recognized</w:t>
      </w:r>
      <w:r w:rsidRPr="1EA0D0FA" w:rsidR="00BD0714">
        <w:rPr>
          <w:rFonts w:ascii="Times New Roman" w:hAnsi="Times New Roman" w:cs="Times New Roman"/>
          <w:sz w:val="26"/>
          <w:szCs w:val="26"/>
        </w:rPr>
        <w:t xml:space="preserve"> as an increase in the estimated annual burdens </w:t>
      </w:r>
      <w:r w:rsidRPr="1EA0D0FA" w:rsidR="00500FB2">
        <w:rPr>
          <w:rFonts w:ascii="Times New Roman" w:hAnsi="Times New Roman" w:cs="Times New Roman"/>
          <w:sz w:val="26"/>
          <w:szCs w:val="26"/>
        </w:rPr>
        <w:t xml:space="preserve">of FERC-725B, notwithstanding the fact that the two new Reliability Standards </w:t>
      </w:r>
      <w:r w:rsidRPr="1EA0D0FA" w:rsidR="005379BF">
        <w:rPr>
          <w:rFonts w:ascii="Times New Roman" w:hAnsi="Times New Roman" w:cs="Times New Roman"/>
          <w:sz w:val="26"/>
          <w:szCs w:val="26"/>
        </w:rPr>
        <w:t>replace two previously approved Reliability Standards.</w:t>
      </w:r>
    </w:p>
    <w:p w:rsidR="00766354" w14:paraId="723D2C0E" w14:textId="77777777">
      <w:pPr>
        <w:rPr>
          <w:rFonts w:ascii="Times New Roman" w:hAnsi="Times New Roman" w:cs="Times New Roman"/>
          <w:sz w:val="26"/>
          <w:szCs w:val="24"/>
        </w:rPr>
      </w:pPr>
      <w:r>
        <w:rPr>
          <w:rFonts w:ascii="Times New Roman" w:hAnsi="Times New Roman" w:cs="Times New Roman"/>
          <w:sz w:val="26"/>
          <w:szCs w:val="24"/>
        </w:rPr>
        <w:br w:type="page"/>
      </w:r>
    </w:p>
    <w:p w:rsidR="00C0479E" w:rsidRPr="00C0479E" w:rsidP="00C86D26" w14:paraId="02FC5A3C" w14:textId="77777777">
      <w:pPr>
        <w:widowControl w:val="0"/>
        <w:autoSpaceDE w:val="0"/>
        <w:autoSpaceDN w:val="0"/>
        <w:adjustRightInd w:val="0"/>
        <w:spacing w:after="0" w:line="240" w:lineRule="auto"/>
        <w:jc w:val="center"/>
        <w:rPr>
          <w:rFonts w:ascii="Times New Roman" w:hAnsi="Times New Roman" w:cs="Times New Roman"/>
          <w:b/>
          <w:bCs/>
          <w:sz w:val="26"/>
          <w:szCs w:val="24"/>
        </w:rPr>
      </w:pPr>
      <w:r w:rsidRPr="00C0479E">
        <w:rPr>
          <w:rFonts w:ascii="Times New Roman" w:hAnsi="Times New Roman" w:cs="Times New Roman"/>
          <w:b/>
          <w:bCs/>
          <w:sz w:val="26"/>
          <w:szCs w:val="24"/>
        </w:rPr>
        <w:t>Table 15</w:t>
      </w:r>
    </w:p>
    <w:p w:rsidR="00C0479E" w:rsidP="00C86D26" w14:paraId="261E6213" w14:textId="3F8998D3">
      <w:pPr>
        <w:widowControl w:val="0"/>
        <w:autoSpaceDE w:val="0"/>
        <w:autoSpaceDN w:val="0"/>
        <w:adjustRightInd w:val="0"/>
        <w:spacing w:after="0" w:line="240" w:lineRule="auto"/>
        <w:jc w:val="center"/>
        <w:rPr>
          <w:rFonts w:ascii="Times New Roman" w:hAnsi="Times New Roman" w:cs="Times New Roman"/>
          <w:b/>
          <w:bCs/>
          <w:sz w:val="26"/>
          <w:szCs w:val="24"/>
        </w:rPr>
      </w:pPr>
      <w:r w:rsidRPr="00C0479E">
        <w:rPr>
          <w:rFonts w:ascii="Times New Roman" w:hAnsi="Times New Roman" w:cs="Times New Roman"/>
          <w:b/>
          <w:bCs/>
          <w:sz w:val="26"/>
          <w:szCs w:val="24"/>
        </w:rPr>
        <w:t xml:space="preserve">Changes in FERC-725B Due to </w:t>
      </w:r>
      <w:r w:rsidR="000466A9">
        <w:rPr>
          <w:rFonts w:ascii="Times New Roman" w:hAnsi="Times New Roman" w:cs="Times New Roman"/>
          <w:b/>
          <w:bCs/>
          <w:sz w:val="26"/>
          <w:szCs w:val="24"/>
        </w:rPr>
        <w:t>Docket No. RD21-6-000</w:t>
      </w:r>
    </w:p>
    <w:p w:rsidR="00C86D26" w:rsidP="00C86D26" w14:paraId="1CB8A1BC" w14:textId="457C8F63">
      <w:pPr>
        <w:widowControl w:val="0"/>
        <w:autoSpaceDE w:val="0"/>
        <w:autoSpaceDN w:val="0"/>
        <w:adjustRightInd w:val="0"/>
        <w:spacing w:after="0" w:line="240" w:lineRule="auto"/>
        <w:rPr>
          <w:rFonts w:ascii="Times New Roman" w:hAnsi="Times New Roman" w:cs="Times New Roman"/>
          <w:sz w:val="26"/>
          <w:szCs w:val="24"/>
        </w:rPr>
      </w:pPr>
    </w:p>
    <w:tbl>
      <w:tblPr>
        <w:tblStyle w:val="TableGrid"/>
        <w:tblW w:w="0" w:type="auto"/>
        <w:tblLook w:val="04A0"/>
      </w:tblPr>
      <w:tblGrid>
        <w:gridCol w:w="1948"/>
        <w:gridCol w:w="2711"/>
        <w:gridCol w:w="1955"/>
        <w:gridCol w:w="2736"/>
      </w:tblGrid>
      <w:tr w14:paraId="38606007" w14:textId="77777777" w:rsidTr="00001928">
        <w:tblPrEx>
          <w:tblW w:w="0" w:type="auto"/>
          <w:tblLook w:val="04A0"/>
        </w:tblPrEx>
        <w:tc>
          <w:tcPr>
            <w:tcW w:w="0" w:type="auto"/>
            <w:vAlign w:val="bottom"/>
          </w:tcPr>
          <w:p w:rsidR="00543ACD" w:rsidRPr="00C0479E" w:rsidP="00543ACD" w14:paraId="29CAAC1F" w14:textId="77777777">
            <w:pPr>
              <w:widowControl w:val="0"/>
              <w:autoSpaceDE w:val="0"/>
              <w:autoSpaceDN w:val="0"/>
              <w:adjustRightInd w:val="0"/>
              <w:jc w:val="center"/>
              <w:rPr>
                <w:rFonts w:ascii="Times New Roman" w:hAnsi="Times New Roman" w:cs="Times New Roman"/>
                <w:b/>
                <w:bCs/>
                <w:sz w:val="26"/>
                <w:szCs w:val="24"/>
              </w:rPr>
            </w:pPr>
            <w:r w:rsidRPr="00C0479E">
              <w:rPr>
                <w:rFonts w:ascii="Times New Roman" w:hAnsi="Times New Roman" w:cs="Times New Roman"/>
                <w:b/>
                <w:bCs/>
                <w:sz w:val="26"/>
                <w:szCs w:val="24"/>
              </w:rPr>
              <w:t>A.</w:t>
            </w:r>
          </w:p>
          <w:p w:rsidR="00543ACD" w:rsidP="00543ACD" w14:paraId="3D6EF7B1" w14:textId="3D07E42C">
            <w:pPr>
              <w:widowControl w:val="0"/>
              <w:autoSpaceDE w:val="0"/>
              <w:autoSpaceDN w:val="0"/>
              <w:adjustRightInd w:val="0"/>
              <w:jc w:val="center"/>
              <w:rPr>
                <w:rFonts w:ascii="Times New Roman" w:hAnsi="Times New Roman" w:cs="Times New Roman"/>
                <w:sz w:val="26"/>
                <w:szCs w:val="24"/>
              </w:rPr>
            </w:pPr>
            <w:r>
              <w:rPr>
                <w:rFonts w:ascii="Times New Roman" w:hAnsi="Times New Roman" w:cs="Times New Roman"/>
                <w:b/>
                <w:bCs/>
                <w:sz w:val="26"/>
                <w:szCs w:val="24"/>
              </w:rPr>
              <w:t xml:space="preserve">Requested </w:t>
            </w:r>
            <w:r w:rsidRPr="00C0479E">
              <w:rPr>
                <w:rFonts w:ascii="Times New Roman" w:hAnsi="Times New Roman" w:cs="Times New Roman"/>
                <w:b/>
                <w:bCs/>
                <w:sz w:val="26"/>
                <w:szCs w:val="24"/>
              </w:rPr>
              <w:t>Type of Response</w:t>
            </w:r>
          </w:p>
        </w:tc>
        <w:tc>
          <w:tcPr>
            <w:tcW w:w="2711" w:type="dxa"/>
            <w:vAlign w:val="bottom"/>
          </w:tcPr>
          <w:p w:rsidR="00543ACD" w:rsidRPr="00C0479E" w:rsidP="00543ACD" w14:paraId="1F0FEFEA" w14:textId="77777777">
            <w:pPr>
              <w:widowControl w:val="0"/>
              <w:autoSpaceDE w:val="0"/>
              <w:autoSpaceDN w:val="0"/>
              <w:adjustRightInd w:val="0"/>
              <w:jc w:val="center"/>
              <w:rPr>
                <w:rFonts w:ascii="Times New Roman" w:hAnsi="Times New Roman" w:cs="Times New Roman"/>
                <w:b/>
                <w:bCs/>
                <w:sz w:val="26"/>
                <w:szCs w:val="24"/>
              </w:rPr>
            </w:pPr>
            <w:r w:rsidRPr="00C0479E">
              <w:rPr>
                <w:rFonts w:ascii="Times New Roman" w:hAnsi="Times New Roman" w:cs="Times New Roman"/>
                <w:b/>
                <w:bCs/>
                <w:sz w:val="26"/>
                <w:szCs w:val="24"/>
              </w:rPr>
              <w:t>B.</w:t>
            </w:r>
          </w:p>
          <w:p w:rsidR="00543ACD" w:rsidP="00543ACD" w14:paraId="65210C4D" w14:textId="4173AA11">
            <w:pPr>
              <w:widowControl w:val="0"/>
              <w:autoSpaceDE w:val="0"/>
              <w:autoSpaceDN w:val="0"/>
              <w:adjustRightInd w:val="0"/>
              <w:jc w:val="center"/>
              <w:rPr>
                <w:rFonts w:ascii="Times New Roman" w:hAnsi="Times New Roman" w:cs="Times New Roman"/>
                <w:sz w:val="26"/>
                <w:szCs w:val="24"/>
              </w:rPr>
            </w:pPr>
            <w:r w:rsidRPr="00C0479E">
              <w:rPr>
                <w:rFonts w:ascii="Times New Roman" w:hAnsi="Times New Roman" w:cs="Times New Roman"/>
                <w:b/>
                <w:bCs/>
                <w:sz w:val="26"/>
                <w:szCs w:val="24"/>
              </w:rPr>
              <w:t xml:space="preserve">Previously Approved </w:t>
            </w:r>
            <w:r w:rsidRPr="00C0479E">
              <w:rPr>
                <w:rFonts w:ascii="Times New Roman" w:hAnsi="Times New Roman" w:cs="Times New Roman"/>
                <w:b/>
                <w:bCs/>
                <w:sz w:val="26"/>
                <w:szCs w:val="24"/>
              </w:rPr>
              <w:br/>
              <w:t>Responses and Burden Hours</w:t>
            </w:r>
            <w:r>
              <w:rPr>
                <w:rFonts w:ascii="Times New Roman" w:hAnsi="Times New Roman" w:cs="Times New Roman"/>
                <w:b/>
                <w:bCs/>
                <w:sz w:val="26"/>
                <w:szCs w:val="24"/>
                <w:vertAlign w:val="superscript"/>
              </w:rPr>
              <w:footnoteReference w:id="19"/>
            </w:r>
          </w:p>
        </w:tc>
        <w:tc>
          <w:tcPr>
            <w:tcW w:w="1955" w:type="dxa"/>
            <w:vAlign w:val="bottom"/>
          </w:tcPr>
          <w:p w:rsidR="00543ACD" w:rsidRPr="00C0479E" w:rsidP="00543ACD" w14:paraId="56279E1E" w14:textId="77777777">
            <w:pPr>
              <w:widowControl w:val="0"/>
              <w:autoSpaceDE w:val="0"/>
              <w:autoSpaceDN w:val="0"/>
              <w:adjustRightInd w:val="0"/>
              <w:jc w:val="center"/>
              <w:rPr>
                <w:rFonts w:ascii="Times New Roman" w:hAnsi="Times New Roman" w:cs="Times New Roman"/>
                <w:b/>
                <w:bCs/>
                <w:sz w:val="26"/>
                <w:szCs w:val="24"/>
              </w:rPr>
            </w:pPr>
            <w:r w:rsidRPr="00C0479E">
              <w:rPr>
                <w:rFonts w:ascii="Times New Roman" w:hAnsi="Times New Roman" w:cs="Times New Roman"/>
                <w:b/>
                <w:bCs/>
                <w:sz w:val="26"/>
                <w:szCs w:val="24"/>
              </w:rPr>
              <w:t>C.</w:t>
            </w:r>
          </w:p>
          <w:p w:rsidR="00543ACD" w:rsidP="00543ACD" w14:paraId="3FE1DF5B" w14:textId="48E9C34F">
            <w:pPr>
              <w:widowControl w:val="0"/>
              <w:autoSpaceDE w:val="0"/>
              <w:autoSpaceDN w:val="0"/>
              <w:adjustRightInd w:val="0"/>
              <w:jc w:val="center"/>
              <w:rPr>
                <w:rFonts w:ascii="Times New Roman" w:hAnsi="Times New Roman" w:cs="Times New Roman"/>
                <w:sz w:val="26"/>
                <w:szCs w:val="24"/>
              </w:rPr>
            </w:pPr>
            <w:r w:rsidRPr="00C0479E">
              <w:rPr>
                <w:rFonts w:ascii="Times New Roman" w:hAnsi="Times New Roman" w:cs="Times New Roman"/>
                <w:b/>
                <w:bCs/>
                <w:sz w:val="26"/>
                <w:szCs w:val="24"/>
              </w:rPr>
              <w:t>Requested Responses and Burden Hours</w:t>
            </w:r>
          </w:p>
        </w:tc>
        <w:tc>
          <w:tcPr>
            <w:tcW w:w="0" w:type="auto"/>
            <w:vAlign w:val="bottom"/>
          </w:tcPr>
          <w:p w:rsidR="00543ACD" w:rsidRPr="00C0479E" w:rsidP="00543ACD" w14:paraId="4AF68271" w14:textId="77777777">
            <w:pPr>
              <w:widowControl w:val="0"/>
              <w:autoSpaceDE w:val="0"/>
              <w:autoSpaceDN w:val="0"/>
              <w:adjustRightInd w:val="0"/>
              <w:jc w:val="center"/>
              <w:rPr>
                <w:rFonts w:ascii="Times New Roman" w:hAnsi="Times New Roman" w:cs="Times New Roman"/>
                <w:b/>
                <w:bCs/>
                <w:sz w:val="26"/>
                <w:szCs w:val="24"/>
              </w:rPr>
            </w:pPr>
            <w:r w:rsidRPr="00C0479E">
              <w:rPr>
                <w:rFonts w:ascii="Times New Roman" w:hAnsi="Times New Roman" w:cs="Times New Roman"/>
                <w:b/>
                <w:bCs/>
                <w:sz w:val="26"/>
                <w:szCs w:val="24"/>
              </w:rPr>
              <w:t>D.</w:t>
            </w:r>
          </w:p>
          <w:p w:rsidR="00543ACD" w:rsidRPr="00C0479E" w:rsidP="00543ACD" w14:paraId="6DF71399" w14:textId="77777777">
            <w:pPr>
              <w:widowControl w:val="0"/>
              <w:autoSpaceDE w:val="0"/>
              <w:autoSpaceDN w:val="0"/>
              <w:adjustRightInd w:val="0"/>
              <w:jc w:val="center"/>
              <w:rPr>
                <w:rFonts w:ascii="Times New Roman" w:hAnsi="Times New Roman" w:cs="Times New Roman"/>
                <w:b/>
                <w:bCs/>
                <w:sz w:val="26"/>
                <w:szCs w:val="24"/>
              </w:rPr>
            </w:pPr>
            <w:r w:rsidRPr="00C0479E">
              <w:rPr>
                <w:rFonts w:ascii="Times New Roman" w:hAnsi="Times New Roman" w:cs="Times New Roman"/>
                <w:b/>
                <w:bCs/>
                <w:sz w:val="26"/>
                <w:szCs w:val="24"/>
              </w:rPr>
              <w:t>Program Changes Due to Agency Discretion</w:t>
            </w:r>
          </w:p>
          <w:p w:rsidR="00543ACD" w:rsidP="00543ACD" w14:paraId="574289C9" w14:textId="3AB7B9A9">
            <w:pPr>
              <w:widowControl w:val="0"/>
              <w:autoSpaceDE w:val="0"/>
              <w:autoSpaceDN w:val="0"/>
              <w:adjustRightInd w:val="0"/>
              <w:jc w:val="center"/>
              <w:rPr>
                <w:rFonts w:ascii="Times New Roman" w:hAnsi="Times New Roman" w:cs="Times New Roman"/>
                <w:sz w:val="26"/>
                <w:szCs w:val="24"/>
              </w:rPr>
            </w:pPr>
            <w:r w:rsidRPr="00C0479E">
              <w:rPr>
                <w:rFonts w:ascii="Times New Roman" w:hAnsi="Times New Roman" w:cs="Times New Roman"/>
                <w:b/>
                <w:bCs/>
                <w:sz w:val="26"/>
                <w:szCs w:val="24"/>
              </w:rPr>
              <w:t>(Column C – Column B)</w:t>
            </w:r>
          </w:p>
        </w:tc>
      </w:tr>
      <w:tr w14:paraId="4BA3C163" w14:textId="77777777" w:rsidTr="00001928">
        <w:tblPrEx>
          <w:tblW w:w="0" w:type="auto"/>
          <w:tblLook w:val="04A0"/>
        </w:tblPrEx>
        <w:tc>
          <w:tcPr>
            <w:tcW w:w="0" w:type="auto"/>
            <w:vAlign w:val="center"/>
          </w:tcPr>
          <w:p w:rsidR="00543ACD" w:rsidP="00826098" w14:paraId="6450C5DB" w14:textId="7F1A9446">
            <w:pPr>
              <w:widowControl w:val="0"/>
              <w:autoSpaceDE w:val="0"/>
              <w:autoSpaceDN w:val="0"/>
              <w:adjustRightInd w:val="0"/>
              <w:jc w:val="center"/>
              <w:rPr>
                <w:rFonts w:ascii="Times New Roman" w:hAnsi="Times New Roman" w:cs="Times New Roman"/>
                <w:sz w:val="26"/>
                <w:szCs w:val="24"/>
              </w:rPr>
            </w:pPr>
            <w:r>
              <w:rPr>
                <w:rFonts w:ascii="Times New Roman" w:hAnsi="Times New Roman" w:cs="Times New Roman"/>
                <w:sz w:val="26"/>
                <w:szCs w:val="24"/>
              </w:rPr>
              <w:t>CIP-00</w:t>
            </w:r>
            <w:r w:rsidR="00F05A58">
              <w:rPr>
                <w:rFonts w:ascii="Times New Roman" w:hAnsi="Times New Roman" w:cs="Times New Roman"/>
                <w:sz w:val="26"/>
                <w:szCs w:val="24"/>
              </w:rPr>
              <w:t>4</w:t>
            </w:r>
            <w:r>
              <w:rPr>
                <w:rFonts w:ascii="Times New Roman" w:hAnsi="Times New Roman" w:cs="Times New Roman"/>
                <w:sz w:val="26"/>
                <w:szCs w:val="24"/>
              </w:rPr>
              <w:t>-7</w:t>
            </w:r>
          </w:p>
        </w:tc>
        <w:tc>
          <w:tcPr>
            <w:tcW w:w="2711" w:type="dxa"/>
            <w:vAlign w:val="bottom"/>
          </w:tcPr>
          <w:p w:rsidR="00E70358" w:rsidP="00826098" w14:paraId="4A4D6EFD" w14:textId="77777777">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Burdens for CIP-004-6</w:t>
            </w:r>
            <w:r w:rsidR="00001928">
              <w:rPr>
                <w:rFonts w:ascii="Times New Roman" w:hAnsi="Times New Roman" w:cs="Times New Roman"/>
                <w:sz w:val="26"/>
                <w:szCs w:val="24"/>
              </w:rPr>
              <w:t>:</w:t>
            </w:r>
            <w:r w:rsidR="00F134B1">
              <w:rPr>
                <w:rFonts w:ascii="Times New Roman" w:hAnsi="Times New Roman" w:cs="Times New Roman"/>
                <w:sz w:val="26"/>
                <w:szCs w:val="24"/>
              </w:rPr>
              <w:t xml:space="preserve">  343 responses;</w:t>
            </w:r>
          </w:p>
          <w:p w:rsidR="00543ACD" w:rsidP="00826098" w14:paraId="09C3502F" w14:textId="3BFF402A">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193,795 hours</w:t>
            </w:r>
            <w:r w:rsidR="00E424AC">
              <w:rPr>
                <w:rFonts w:ascii="Times New Roman" w:hAnsi="Times New Roman" w:cs="Times New Roman"/>
                <w:sz w:val="26"/>
                <w:szCs w:val="24"/>
              </w:rPr>
              <w:t xml:space="preserve">  </w:t>
            </w:r>
            <w:r w:rsidR="00001928">
              <w:rPr>
                <w:rFonts w:ascii="Times New Roman" w:hAnsi="Times New Roman" w:cs="Times New Roman"/>
                <w:sz w:val="26"/>
                <w:szCs w:val="24"/>
              </w:rPr>
              <w:t xml:space="preserve">  </w:t>
            </w:r>
          </w:p>
        </w:tc>
        <w:tc>
          <w:tcPr>
            <w:tcW w:w="1955" w:type="dxa"/>
            <w:vAlign w:val="bottom"/>
          </w:tcPr>
          <w:p w:rsidR="0043414B" w:rsidP="00826098" w14:paraId="17316276" w14:textId="77777777">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343 responses;</w:t>
            </w:r>
          </w:p>
          <w:p w:rsidR="00543ACD" w:rsidP="00826098" w14:paraId="24E7C496" w14:textId="04DF7E7E">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3,430 hours</w:t>
            </w:r>
          </w:p>
        </w:tc>
        <w:tc>
          <w:tcPr>
            <w:tcW w:w="0" w:type="auto"/>
            <w:vAlign w:val="bottom"/>
          </w:tcPr>
          <w:p w:rsidR="00E70358" w:rsidRPr="00E75942" w:rsidP="00826098" w14:paraId="66E66714" w14:textId="77777777">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0 responses;</w:t>
            </w:r>
          </w:p>
          <w:p w:rsidR="00543ACD" w:rsidRPr="00926F13" w:rsidP="00E75942" w14:paraId="6A6D7A18" w14:textId="56E52783">
            <w:pPr>
              <w:pStyle w:val="ListParagraph"/>
              <w:widowControl w:val="0"/>
              <w:autoSpaceDE w:val="0"/>
              <w:autoSpaceDN w:val="0"/>
              <w:adjustRightInd w:val="0"/>
              <w:jc w:val="center"/>
              <w:rPr>
                <w:rFonts w:ascii="Times New Roman" w:hAnsi="Times New Roman" w:cs="Times New Roman"/>
                <w:sz w:val="26"/>
                <w:szCs w:val="24"/>
              </w:rPr>
            </w:pPr>
            <w:r>
              <w:rPr>
                <w:rFonts w:ascii="Times New Roman" w:hAnsi="Times New Roman"/>
                <w:sz w:val="26"/>
              </w:rPr>
              <w:t>-</w:t>
            </w:r>
            <w:r w:rsidRPr="00E75942" w:rsidR="00926F13">
              <w:rPr>
                <w:rFonts w:ascii="Times New Roman" w:hAnsi="Times New Roman"/>
                <w:sz w:val="26"/>
              </w:rPr>
              <w:t>190,</w:t>
            </w:r>
            <w:r w:rsidRPr="00E75942" w:rsidR="00E75942">
              <w:rPr>
                <w:rFonts w:ascii="Times New Roman" w:hAnsi="Times New Roman"/>
                <w:sz w:val="26"/>
              </w:rPr>
              <w:t>365 hours</w:t>
            </w:r>
          </w:p>
        </w:tc>
      </w:tr>
      <w:tr w14:paraId="649D6F5E" w14:textId="77777777" w:rsidTr="00001928">
        <w:tblPrEx>
          <w:tblW w:w="0" w:type="auto"/>
          <w:tblLook w:val="04A0"/>
        </w:tblPrEx>
        <w:tc>
          <w:tcPr>
            <w:tcW w:w="0" w:type="auto"/>
            <w:vAlign w:val="center"/>
          </w:tcPr>
          <w:p w:rsidR="003E7A7C" w:rsidP="00826098" w14:paraId="2633D598" w14:textId="36D9B5E1">
            <w:pPr>
              <w:widowControl w:val="0"/>
              <w:autoSpaceDE w:val="0"/>
              <w:autoSpaceDN w:val="0"/>
              <w:adjustRightInd w:val="0"/>
              <w:jc w:val="center"/>
              <w:rPr>
                <w:rFonts w:ascii="Times New Roman" w:hAnsi="Times New Roman" w:cs="Times New Roman"/>
                <w:sz w:val="26"/>
                <w:szCs w:val="24"/>
              </w:rPr>
            </w:pPr>
            <w:r>
              <w:rPr>
                <w:rFonts w:ascii="Times New Roman" w:hAnsi="Times New Roman" w:cs="Times New Roman"/>
                <w:sz w:val="26"/>
                <w:szCs w:val="24"/>
              </w:rPr>
              <w:t>CIP-011-3</w:t>
            </w:r>
          </w:p>
        </w:tc>
        <w:tc>
          <w:tcPr>
            <w:tcW w:w="2711" w:type="dxa"/>
            <w:vAlign w:val="bottom"/>
          </w:tcPr>
          <w:p w:rsidR="003E7A7C" w:rsidP="00826098" w14:paraId="2DC7489B" w14:textId="77777777">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 xml:space="preserve">Burdens </w:t>
            </w:r>
            <w:r w:rsidR="0043414B">
              <w:rPr>
                <w:rFonts w:ascii="Times New Roman" w:hAnsi="Times New Roman" w:cs="Times New Roman"/>
                <w:sz w:val="26"/>
                <w:szCs w:val="24"/>
              </w:rPr>
              <w:t>for CIP-011-2:</w:t>
            </w:r>
          </w:p>
          <w:p w:rsidR="00EB712C" w:rsidP="00826098" w14:paraId="00495764" w14:textId="77777777">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343 responses;</w:t>
            </w:r>
          </w:p>
          <w:p w:rsidR="00EB712C" w:rsidP="00826098" w14:paraId="2D95FCAA" w14:textId="44C6249B">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29,498 hours</w:t>
            </w:r>
          </w:p>
        </w:tc>
        <w:tc>
          <w:tcPr>
            <w:tcW w:w="1955" w:type="dxa"/>
            <w:vAlign w:val="bottom"/>
          </w:tcPr>
          <w:p w:rsidR="003E7A7C" w:rsidP="00826098" w14:paraId="6E0AD46E" w14:textId="0D044885">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343 responses; 3,430 hours</w:t>
            </w:r>
          </w:p>
        </w:tc>
        <w:tc>
          <w:tcPr>
            <w:tcW w:w="0" w:type="auto"/>
            <w:vAlign w:val="bottom"/>
          </w:tcPr>
          <w:p w:rsidR="00487BBF" w:rsidP="00826098" w14:paraId="6201CB3F" w14:textId="77777777">
            <w:pPr>
              <w:widowControl w:val="0"/>
              <w:autoSpaceDE w:val="0"/>
              <w:autoSpaceDN w:val="0"/>
              <w:adjustRightInd w:val="0"/>
              <w:jc w:val="right"/>
              <w:rPr>
                <w:rFonts w:ascii="Times New Roman" w:hAnsi="Times New Roman" w:cs="Times New Roman"/>
                <w:sz w:val="26"/>
                <w:szCs w:val="24"/>
              </w:rPr>
            </w:pPr>
          </w:p>
          <w:p w:rsidR="00FD4B35" w:rsidP="00826098" w14:paraId="631AB704" w14:textId="2FDD909E">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0 responses;</w:t>
            </w:r>
          </w:p>
          <w:p w:rsidR="00E02D36" w:rsidP="00487BBF" w14:paraId="30847586" w14:textId="69F3A8CD">
            <w:pPr>
              <w:widowControl w:val="0"/>
              <w:autoSpaceDE w:val="0"/>
              <w:autoSpaceDN w:val="0"/>
              <w:adjustRightInd w:val="0"/>
              <w:jc w:val="right"/>
              <w:rPr>
                <w:rFonts w:ascii="Times New Roman" w:hAnsi="Times New Roman" w:cs="Times New Roman"/>
                <w:sz w:val="26"/>
                <w:szCs w:val="24"/>
              </w:rPr>
            </w:pPr>
            <w:r>
              <w:rPr>
                <w:rFonts w:ascii="Times New Roman" w:hAnsi="Times New Roman" w:cs="Times New Roman"/>
                <w:sz w:val="26"/>
                <w:szCs w:val="24"/>
              </w:rPr>
              <w:t>-26,068 hours</w:t>
            </w:r>
          </w:p>
        </w:tc>
      </w:tr>
    </w:tbl>
    <w:p w:rsidR="00C86D26" w:rsidRPr="00C0479E" w:rsidP="00C86D26" w14:paraId="56959325" w14:textId="77777777">
      <w:pPr>
        <w:widowControl w:val="0"/>
        <w:autoSpaceDE w:val="0"/>
        <w:autoSpaceDN w:val="0"/>
        <w:adjustRightInd w:val="0"/>
        <w:spacing w:after="0" w:line="240" w:lineRule="auto"/>
        <w:rPr>
          <w:rFonts w:ascii="Times New Roman" w:hAnsi="Times New Roman" w:cs="Times New Roman"/>
          <w:sz w:val="26"/>
          <w:szCs w:val="24"/>
        </w:rPr>
      </w:pPr>
    </w:p>
    <w:p w:rsidR="00C4205B" w:rsidRPr="005C29CE" w:rsidP="007C39D3"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TIME SCHEDULE FOR THE PUBLICATION OF DATA</w:t>
      </w:r>
    </w:p>
    <w:p w:rsidR="00C4205B" w:rsidRPr="005C29CE" w:rsidP="00485D08" w14:paraId="4CC944AC" w14:textId="77777777">
      <w:pPr>
        <w:spacing w:after="0" w:line="240" w:lineRule="auto"/>
        <w:rPr>
          <w:rFonts w:ascii="Times New Roman" w:hAnsi="Times New Roman" w:cs="Times New Roman"/>
          <w:b/>
          <w:bCs/>
          <w:sz w:val="26"/>
          <w:szCs w:val="24"/>
        </w:rPr>
      </w:pPr>
    </w:p>
    <w:p w:rsidR="00042D80" w:rsidRPr="005C29CE" w:rsidP="005768DB" w14:paraId="605C5CB7" w14:textId="102C401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There </w:t>
      </w:r>
      <w:r w:rsidR="00A70353">
        <w:rPr>
          <w:rFonts w:ascii="Times New Roman" w:hAnsi="Times New Roman" w:cs="Times New Roman"/>
          <w:sz w:val="26"/>
          <w:szCs w:val="24"/>
        </w:rPr>
        <w:t>is no schedule for publish</w:t>
      </w:r>
      <w:r w:rsidR="00176748">
        <w:rPr>
          <w:rFonts w:ascii="Times New Roman" w:hAnsi="Times New Roman" w:cs="Times New Roman"/>
          <w:sz w:val="26"/>
          <w:szCs w:val="24"/>
        </w:rPr>
        <w:t>ing</w:t>
      </w:r>
      <w:r w:rsidR="00A70353">
        <w:rPr>
          <w:rFonts w:ascii="Times New Roman" w:hAnsi="Times New Roman" w:cs="Times New Roman"/>
          <w:sz w:val="26"/>
          <w:szCs w:val="24"/>
        </w:rPr>
        <w:t xml:space="preserve"> the data, and there </w:t>
      </w:r>
      <w:r w:rsidRPr="005C29CE">
        <w:rPr>
          <w:rFonts w:ascii="Times New Roman" w:hAnsi="Times New Roman" w:cs="Times New Roman"/>
          <w:sz w:val="26"/>
          <w:szCs w:val="24"/>
        </w:rPr>
        <w:t xml:space="preserve">are no </w:t>
      </w:r>
      <w:r w:rsidR="00B9500A">
        <w:rPr>
          <w:rFonts w:ascii="Times New Roman" w:hAnsi="Times New Roman" w:cs="Times New Roman"/>
          <w:sz w:val="26"/>
          <w:szCs w:val="24"/>
        </w:rPr>
        <w:t xml:space="preserve">plans </w:t>
      </w:r>
      <w:r w:rsidR="00A70353">
        <w:rPr>
          <w:rFonts w:ascii="Times New Roman" w:hAnsi="Times New Roman" w:cs="Times New Roman"/>
          <w:sz w:val="26"/>
          <w:szCs w:val="24"/>
        </w:rPr>
        <w:t>to publish the data.</w:t>
      </w:r>
    </w:p>
    <w:p w:rsidR="00C4205B" w:rsidRPr="005C29CE" w:rsidP="002A4142" w14:paraId="525DB757" w14:textId="77777777">
      <w:pPr>
        <w:spacing w:after="0" w:line="240" w:lineRule="auto"/>
        <w:rPr>
          <w:rFonts w:ascii="Times New Roman" w:hAnsi="Times New Roman" w:cs="Times New Roman"/>
          <w:sz w:val="26"/>
          <w:szCs w:val="24"/>
        </w:rPr>
      </w:pPr>
    </w:p>
    <w:p w:rsidR="00C4205B" w:rsidRPr="005C29CE" w:rsidP="007C39D3"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DISPLAY OF THE EXPIRATION DATE</w:t>
      </w:r>
    </w:p>
    <w:p w:rsidR="00C4205B" w:rsidRPr="005C29CE" w:rsidP="00485D08" w14:paraId="2FA7CFEF" w14:textId="77777777">
      <w:pPr>
        <w:spacing w:after="0" w:line="240" w:lineRule="auto"/>
        <w:rPr>
          <w:rFonts w:ascii="Times New Roman" w:hAnsi="Times New Roman" w:cs="Times New Roman"/>
          <w:b/>
          <w:bCs/>
          <w:sz w:val="26"/>
          <w:szCs w:val="24"/>
        </w:rPr>
      </w:pPr>
    </w:p>
    <w:p w:rsidR="00C4205B" w:rsidRPr="005C29CE" w:rsidP="00485D08" w14:paraId="53E0C4C9" w14:textId="75B417EF">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 expiration date is displayed in a table posted on ferc.gov</w:t>
      </w:r>
      <w:r w:rsidRPr="005C29CE" w:rsidR="001878BD">
        <w:rPr>
          <w:rFonts w:ascii="Times New Roman" w:hAnsi="Times New Roman" w:cs="Times New Roman"/>
          <w:sz w:val="26"/>
          <w:szCs w:val="24"/>
        </w:rPr>
        <w:t xml:space="preserve"> at </w:t>
      </w:r>
      <w:hyperlink r:id="rId9" w:history="1">
        <w:r w:rsidRPr="005C29CE" w:rsidR="001878BD">
          <w:rPr>
            <w:rStyle w:val="Hyperlink"/>
            <w:rFonts w:ascii="Times New Roman" w:hAnsi="Times New Roman" w:cs="Times New Roman"/>
            <w:sz w:val="26"/>
            <w:szCs w:val="24"/>
          </w:rPr>
          <w:t>https://www.ferc.gov/information-collections</w:t>
        </w:r>
      </w:hyperlink>
    </w:p>
    <w:p w:rsidR="00774B70" w:rsidRPr="005C29CE" w:rsidP="00485D08" w14:paraId="70EA3F5D" w14:textId="77777777">
      <w:pPr>
        <w:spacing w:after="0" w:line="240" w:lineRule="auto"/>
        <w:rPr>
          <w:rFonts w:ascii="Times New Roman" w:hAnsi="Times New Roman" w:cs="Times New Roman"/>
          <w:sz w:val="26"/>
          <w:szCs w:val="24"/>
        </w:rPr>
      </w:pPr>
    </w:p>
    <w:p w:rsidR="00C4205B" w:rsidRPr="005C29CE" w:rsidP="007C39D3" w14:paraId="658DC5A6" w14:textId="588FFD9C">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EXCEPTIONS TO THE CERTIFICATION STATEMENT</w:t>
      </w:r>
    </w:p>
    <w:p w:rsidR="00C4205B" w:rsidRPr="005C29CE" w:rsidP="00485D08" w14:paraId="0AE45CAE" w14:textId="77777777">
      <w:pPr>
        <w:spacing w:after="0" w:line="240" w:lineRule="auto"/>
        <w:rPr>
          <w:rFonts w:ascii="Times New Roman" w:hAnsi="Times New Roman" w:cs="Times New Roman"/>
          <w:sz w:val="26"/>
          <w:szCs w:val="24"/>
        </w:rPr>
      </w:pPr>
    </w:p>
    <w:p w:rsidR="00D350A8" w:rsidRPr="005C29CE" w:rsidP="007A560D" w14:paraId="75C43DD9" w14:textId="75761279">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w:t>
      </w:r>
      <w:r w:rsidRPr="005C29CE" w:rsidR="009766A2">
        <w:rPr>
          <w:rFonts w:ascii="Times New Roman" w:hAnsi="Times New Roman" w:cs="Times New Roman"/>
          <w:sz w:val="26"/>
          <w:szCs w:val="24"/>
        </w:rPr>
        <w:t>re are no exceptions.</w:t>
      </w:r>
    </w:p>
    <w:p w:rsidR="006D515F" w:rsidRPr="005C29CE" w:rsidP="005D011E" w14:paraId="4DAF9AA0" w14:textId="08B46A61">
      <w:pPr>
        <w:rPr>
          <w:rFonts w:ascii="Times New Roman" w:hAnsi="Times New Roman" w:cs="Times New Roman"/>
          <w:sz w:val="26"/>
          <w:szCs w:val="24"/>
        </w:rPr>
      </w:pPr>
      <w:bookmarkStart w:id="0" w:name="Exhibit_A_-_CIP-012-1"/>
      <w:bookmarkEnd w:id="0"/>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EE7398D" w14:textId="77777777">
    <w:pPr>
      <w:pStyle w:val="Footer"/>
    </w:pPr>
  </w:p>
  <w:p w:rsidR="00E63496" w14:paraId="540306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C55457" w14:paraId="07EB7F9D" w14:textId="7CF6D8D3">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196F" w:rsidP="00D350A8" w14:paraId="5BAF6349" w14:textId="77777777">
      <w:pPr>
        <w:spacing w:after="0" w:line="240" w:lineRule="auto"/>
      </w:pPr>
      <w:r>
        <w:separator/>
      </w:r>
    </w:p>
  </w:footnote>
  <w:footnote w:type="continuationSeparator" w:id="1">
    <w:p w:rsidR="00CF196F" w:rsidP="00D350A8" w14:paraId="549A2926" w14:textId="77777777">
      <w:pPr>
        <w:spacing w:after="0" w:line="240" w:lineRule="auto"/>
      </w:pPr>
      <w:r>
        <w:continuationSeparator/>
      </w:r>
    </w:p>
  </w:footnote>
  <w:footnote w:type="continuationNotice" w:id="2">
    <w:p w:rsidR="00CF196F" w14:paraId="05CD7BE0" w14:textId="77777777">
      <w:pPr>
        <w:spacing w:after="0" w:line="240" w:lineRule="auto"/>
      </w:pPr>
    </w:p>
  </w:footnote>
  <w:footnote w:id="3">
    <w:p w:rsidR="0089226A" w:rsidRPr="00107439" w:rsidP="0089226A" w14:paraId="1B2467BA" w14:textId="77777777">
      <w:pPr>
        <w:pStyle w:val="FootnoteText"/>
        <w:rPr>
          <w:sz w:val="26"/>
        </w:rPr>
      </w:pPr>
      <w:r w:rsidRPr="00107439">
        <w:rPr>
          <w:rStyle w:val="FootnoteReference"/>
          <w:sz w:val="26"/>
          <w:vertAlign w:val="superscript"/>
        </w:rPr>
        <w:footnoteRef/>
      </w:r>
      <w:r w:rsidRPr="00107439">
        <w:rPr>
          <w:sz w:val="26"/>
        </w:rPr>
        <w:t xml:space="preserve"> Energy Policy Act of 2005, Pub. L. No. 109-58, sec. 1261 </w:t>
      </w:r>
      <w:r w:rsidRPr="00107439">
        <w:rPr>
          <w:i/>
          <w:iCs/>
          <w:sz w:val="26"/>
        </w:rPr>
        <w:t>et seq.</w:t>
      </w:r>
      <w:r w:rsidRPr="00107439">
        <w:rPr>
          <w:sz w:val="26"/>
        </w:rPr>
        <w:t>, 119 Stat. 594 (2005).</w:t>
      </w:r>
    </w:p>
  </w:footnote>
  <w:footnote w:id="4">
    <w:p w:rsidR="0089226A" w:rsidP="0089226A" w14:paraId="5EAC0D41" w14:textId="77777777">
      <w:pPr>
        <w:pStyle w:val="FootnoteText"/>
      </w:pPr>
      <w:r w:rsidRPr="006774BE">
        <w:rPr>
          <w:rStyle w:val="FootnoteReference"/>
          <w:sz w:val="26"/>
          <w:vertAlign w:val="superscript"/>
        </w:rPr>
        <w:footnoteRef/>
      </w:r>
      <w:r w:rsidRPr="00107439">
        <w:rPr>
          <w:sz w:val="26"/>
        </w:rPr>
        <w:t xml:space="preserve"> 16 U.S.C. 824</w:t>
      </w:r>
      <w:r w:rsidRPr="00107439">
        <w:rPr>
          <w:i/>
          <w:iCs/>
          <w:sz w:val="26"/>
        </w:rPr>
        <w:t>o</w:t>
      </w:r>
      <w:r w:rsidRPr="00107439">
        <w:rPr>
          <w:sz w:val="26"/>
        </w:rPr>
        <w:t>.</w:t>
      </w:r>
    </w:p>
  </w:footnote>
  <w:footnote w:id="5">
    <w:p w:rsidR="0089226A" w:rsidRPr="00DF3BCE" w:rsidP="0089226A" w14:paraId="098569C8" w14:textId="01EB6C59">
      <w:pPr>
        <w:pStyle w:val="FootnoteText"/>
        <w:rPr>
          <w:sz w:val="26"/>
        </w:rPr>
      </w:pPr>
      <w:r w:rsidRPr="00DF3BCE">
        <w:rPr>
          <w:rStyle w:val="FootnoteReference"/>
          <w:sz w:val="26"/>
          <w:vertAlign w:val="superscript"/>
        </w:rPr>
        <w:footnoteRef/>
      </w:r>
      <w:r w:rsidRPr="00DF3BCE">
        <w:rPr>
          <w:sz w:val="26"/>
        </w:rPr>
        <w:t xml:space="preserve"> </w:t>
      </w:r>
      <w:r w:rsidR="00E6756D">
        <w:rPr>
          <w:sz w:val="26"/>
        </w:rPr>
        <w:t>The FPA, at 16 U.S.C. 824</w:t>
      </w:r>
      <w:r w:rsidRPr="00BD572E" w:rsidR="00A63592">
        <w:rPr>
          <w:i/>
          <w:iCs/>
          <w:sz w:val="26"/>
        </w:rPr>
        <w:t>o</w:t>
      </w:r>
      <w:r w:rsidR="00FE0203">
        <w:rPr>
          <w:sz w:val="26"/>
        </w:rPr>
        <w:t>(a)(3)</w:t>
      </w:r>
      <w:r w:rsidR="00BD572E">
        <w:rPr>
          <w:sz w:val="26"/>
        </w:rPr>
        <w:t xml:space="preserve">, </w:t>
      </w:r>
      <w:r w:rsidRPr="00DF3BCE">
        <w:rPr>
          <w:sz w:val="26"/>
        </w:rPr>
        <w:t xml:space="preserve">defines </w:t>
      </w:r>
      <w:r w:rsidR="00BD572E">
        <w:rPr>
          <w:sz w:val="26"/>
        </w:rPr>
        <w:t>“</w:t>
      </w:r>
      <w:r w:rsidRPr="00DF3BCE">
        <w:rPr>
          <w:sz w:val="26"/>
        </w:rPr>
        <w:t>Reliability Standard</w:t>
      </w:r>
      <w:r w:rsidR="00BD572E">
        <w:rPr>
          <w:sz w:val="26"/>
        </w:rPr>
        <w:t>”</w:t>
      </w:r>
      <w:r w:rsidRPr="00DF3BCE">
        <w:rPr>
          <w:sz w:val="26"/>
        </w:rPr>
        <w:t xml:space="preserve"> as a requirement, approved by the Commission, to provide for reliable operation of </w:t>
      </w:r>
      <w:r w:rsidR="0004778F">
        <w:rPr>
          <w:sz w:val="26"/>
        </w:rPr>
        <w:t>the bulk-power system</w:t>
      </w:r>
      <w:r w:rsidR="00E10D9A">
        <w:rPr>
          <w:sz w:val="26"/>
        </w:rPr>
        <w:t>.  This definition includes c</w:t>
      </w:r>
      <w:r w:rsidRPr="00DF3BCE">
        <w:rPr>
          <w:sz w:val="26"/>
        </w:rPr>
        <w:t xml:space="preserve">ybersecurity protection, and the design of planned additions or modifications to </w:t>
      </w:r>
      <w:r w:rsidR="007418B8">
        <w:rPr>
          <w:sz w:val="26"/>
        </w:rPr>
        <w:t>bulk-power</w:t>
      </w:r>
      <w:r w:rsidRPr="00DF3BCE">
        <w:rPr>
          <w:sz w:val="26"/>
        </w:rPr>
        <w:t xml:space="preserve"> facilities to the extent necessary to provide for reliable operation of the Bulk-Power System.  However, the term does not include any requirement to enlarge such facilities or to construct new transmission capacity or generation capacity.</w:t>
      </w:r>
    </w:p>
  </w:footnote>
  <w:footnote w:id="6">
    <w:p w:rsidR="0089226A" w:rsidRPr="00145DBA" w:rsidP="0089226A" w14:paraId="5E37D819" w14:textId="77777777">
      <w:pPr>
        <w:pStyle w:val="FootnoteText"/>
        <w:rPr>
          <w:b/>
          <w:bCs/>
          <w:sz w:val="26"/>
        </w:rPr>
      </w:pPr>
      <w:r w:rsidRPr="00145DBA">
        <w:rPr>
          <w:rStyle w:val="FootnoteReference"/>
          <w:sz w:val="26"/>
          <w:vertAlign w:val="superscript"/>
        </w:rPr>
        <w:footnoteRef/>
      </w:r>
      <w:r w:rsidRPr="00145DBA">
        <w:rPr>
          <w:sz w:val="26"/>
        </w:rPr>
        <w:t xml:space="preserve"> </w:t>
      </w:r>
      <w:r w:rsidRPr="00145DBA">
        <w:rPr>
          <w:i/>
          <w:iCs/>
          <w:sz w:val="26"/>
        </w:rPr>
        <w:t>Rules Concerning Certification of the Elec. Reliability Org.; and Procedures for the Establishment, Approval, and Enf’t of Elec. Reliability Standards</w:t>
      </w:r>
      <w:r w:rsidRPr="00145DBA">
        <w:rPr>
          <w:sz w:val="26"/>
        </w:rPr>
        <w:t xml:space="preserve">, Order No. 672, 71 FR 8661 (Feb. 17, 2006), 114 FERC ¶ 61,104, </w:t>
      </w:r>
      <w:r w:rsidRPr="00145DBA">
        <w:rPr>
          <w:i/>
          <w:iCs/>
          <w:sz w:val="26"/>
        </w:rPr>
        <w:t>order on reh’g</w:t>
      </w:r>
      <w:r w:rsidRPr="00145DBA">
        <w:rPr>
          <w:sz w:val="26"/>
        </w:rPr>
        <w:t>, Order No. 672-A, 71 FR 19814 (Apr. 28, 2006), 114 FERC ¶ 61,328 (2006).</w:t>
      </w:r>
    </w:p>
  </w:footnote>
  <w:footnote w:id="7">
    <w:p w:rsidR="0089226A" w:rsidRPr="00317C4A" w:rsidP="0089226A" w14:paraId="1F6A2B00" w14:textId="77777777">
      <w:pPr>
        <w:pStyle w:val="FootnoteText"/>
        <w:rPr>
          <w:sz w:val="26"/>
        </w:rPr>
      </w:pPr>
      <w:r w:rsidRPr="00317C4A">
        <w:rPr>
          <w:rStyle w:val="FootnoteReference"/>
          <w:sz w:val="26"/>
          <w:vertAlign w:val="superscript"/>
        </w:rPr>
        <w:footnoteRef/>
      </w:r>
      <w:r w:rsidRPr="00317C4A">
        <w:rPr>
          <w:sz w:val="26"/>
        </w:rPr>
        <w:t xml:space="preserve"> NERC uses the term “registered entity” to identify users, owners, and operators of the Bulk-Power System responsible for performing specified reliability functions with respect to NERC Reliability Standards.  </w:t>
      </w:r>
      <w:r w:rsidRPr="00317C4A">
        <w:rPr>
          <w:i/>
          <w:iCs/>
          <w:sz w:val="26"/>
        </w:rPr>
        <w:t>See</w:t>
      </w:r>
      <w:r w:rsidRPr="00317C4A">
        <w:rPr>
          <w:sz w:val="26"/>
        </w:rPr>
        <w:t xml:space="preserve">, </w:t>
      </w:r>
      <w:r w:rsidRPr="00317C4A">
        <w:rPr>
          <w:i/>
          <w:iCs/>
          <w:sz w:val="26"/>
        </w:rPr>
        <w:t>e.g</w:t>
      </w:r>
      <w:r w:rsidRPr="00317C4A">
        <w:rPr>
          <w:sz w:val="26"/>
        </w:rPr>
        <w:t xml:space="preserve">., </w:t>
      </w:r>
      <w:r w:rsidRPr="00317C4A">
        <w:rPr>
          <w:i/>
          <w:iCs/>
          <w:sz w:val="26"/>
        </w:rPr>
        <w:t>Version 4 Critical Infrastructure Protection Reliability Standards</w:t>
      </w:r>
      <w:r w:rsidRPr="00317C4A">
        <w:rPr>
          <w:sz w:val="26"/>
        </w:rPr>
        <w:t xml:space="preserve">, Order No. 761, 77 FR 24594 (Apr. 25, 2012), 139 FERC ¶ 61,058, at P 46, </w:t>
      </w:r>
      <w:r w:rsidRPr="00317C4A">
        <w:rPr>
          <w:i/>
          <w:iCs/>
          <w:sz w:val="26"/>
        </w:rPr>
        <w:t>order denying clarification and reh’g</w:t>
      </w:r>
      <w:r w:rsidRPr="00317C4A">
        <w:rPr>
          <w:sz w:val="26"/>
        </w:rPr>
        <w:t>, 140 FERC ¶ 61,109 (2012).  Within the NERC Reliability Standards are various subsets of entities responsible for performing various specified reliability functions.  We collectively refer to these as “entities.”</w:t>
      </w:r>
    </w:p>
  </w:footnote>
  <w:footnote w:id="8">
    <w:p w:rsidR="0089226A" w:rsidRPr="00317C4A" w:rsidP="0089226A" w14:paraId="47005267" w14:textId="77777777">
      <w:pPr>
        <w:pStyle w:val="FootnoteText"/>
        <w:rPr>
          <w:sz w:val="26"/>
        </w:rPr>
      </w:pPr>
      <w:r w:rsidRPr="00317C4A">
        <w:rPr>
          <w:rStyle w:val="FootnoteReference"/>
          <w:sz w:val="26"/>
          <w:vertAlign w:val="superscript"/>
        </w:rPr>
        <w:footnoteRef/>
      </w:r>
      <w:r w:rsidRPr="00317C4A">
        <w:rPr>
          <w:sz w:val="26"/>
        </w:rPr>
        <w:t xml:space="preserve"> Order No. 706, 122 FERC ¶ 61,040 at P 1.</w:t>
      </w:r>
    </w:p>
  </w:footnote>
  <w:footnote w:id="9">
    <w:p w:rsidR="0089226A" w:rsidRPr="00317C4A" w:rsidP="0089226A" w14:paraId="7266041E" w14:textId="77777777">
      <w:pPr>
        <w:pStyle w:val="FootnoteText"/>
        <w:rPr>
          <w:sz w:val="26"/>
        </w:rPr>
      </w:pPr>
      <w:r w:rsidRPr="00317C4A">
        <w:rPr>
          <w:rStyle w:val="FootnoteReference"/>
          <w:sz w:val="26"/>
          <w:vertAlign w:val="superscript"/>
        </w:rPr>
        <w:footnoteRef/>
      </w:r>
      <w:r w:rsidRPr="00317C4A">
        <w:rPr>
          <w:sz w:val="26"/>
        </w:rPr>
        <w:t xml:space="preserve"> </w:t>
      </w:r>
      <w:r w:rsidRPr="00317C4A">
        <w:rPr>
          <w:i/>
          <w:iCs/>
          <w:sz w:val="26"/>
        </w:rPr>
        <w:t>Version 5 Critical Infrastructure Protection Reliability Standards</w:t>
      </w:r>
      <w:r w:rsidRPr="00317C4A">
        <w:rPr>
          <w:sz w:val="26"/>
        </w:rPr>
        <w:t xml:space="preserve">, Order No. 791, 78 FR 72755 (Dec. 13, 2013), 145 FERC ¶ 61,160 (2013), </w:t>
      </w:r>
      <w:r w:rsidRPr="00317C4A">
        <w:rPr>
          <w:i/>
          <w:iCs/>
          <w:sz w:val="26"/>
        </w:rPr>
        <w:t>order on reh’g</w:t>
      </w:r>
      <w:r w:rsidRPr="00317C4A">
        <w:rPr>
          <w:sz w:val="26"/>
        </w:rPr>
        <w:t>, Order No. 791-A, 146 FERC ¶ 61,188 (2014).</w:t>
      </w:r>
    </w:p>
  </w:footnote>
  <w:footnote w:id="10">
    <w:p w:rsidR="0089226A" w:rsidRPr="00317C4A" w:rsidP="0089226A" w14:paraId="4EB8F6C6" w14:textId="77777777">
      <w:pPr>
        <w:pStyle w:val="FootnoteText"/>
        <w:rPr>
          <w:sz w:val="26"/>
        </w:rPr>
      </w:pPr>
      <w:r w:rsidRPr="00317C4A">
        <w:rPr>
          <w:rStyle w:val="FootnoteReference"/>
          <w:sz w:val="26"/>
          <w:vertAlign w:val="superscript"/>
        </w:rPr>
        <w:footnoteRef/>
      </w:r>
      <w:r w:rsidRPr="00317C4A">
        <w:rPr>
          <w:sz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317C4A">
        <w:rPr>
          <w:i/>
          <w:iCs/>
          <w:sz w:val="26"/>
        </w:rPr>
        <w:t>See</w:t>
      </w:r>
      <w:r w:rsidRPr="00317C4A">
        <w:rPr>
          <w:sz w:val="26"/>
        </w:rPr>
        <w:t xml:space="preserve"> NERC, </w:t>
      </w:r>
      <w:r w:rsidRPr="00317C4A">
        <w:rPr>
          <w:i/>
          <w:iCs/>
          <w:sz w:val="26"/>
        </w:rPr>
        <w:t>Bulk Electric System Definition Reference Document</w:t>
      </w:r>
      <w:r w:rsidRPr="00317C4A">
        <w:rPr>
          <w:sz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317C4A">
        <w:rPr>
          <w:i/>
          <w:iCs/>
          <w:sz w:val="26"/>
        </w:rPr>
        <w:t>See</w:t>
      </w:r>
      <w:r w:rsidRPr="00317C4A">
        <w:rPr>
          <w:sz w:val="26"/>
        </w:rPr>
        <w:t xml:space="preserve"> </w:t>
      </w:r>
      <w:r w:rsidRPr="00317C4A">
        <w:rPr>
          <w:i/>
          <w:iCs/>
          <w:sz w:val="26"/>
        </w:rPr>
        <w:t xml:space="preserve">Mandatory Reliability Standards for the Bulk-Power System, </w:t>
      </w:r>
      <w:r w:rsidRPr="00317C4A">
        <w:rPr>
          <w:sz w:val="26"/>
        </w:rPr>
        <w:t xml:space="preserve">Order No. 693, 72 FR 16415 (Apr. 4, 2007), 118 FERC ¶ 61,218, at PP 75, 79, 491, </w:t>
      </w:r>
      <w:r w:rsidRPr="00317C4A">
        <w:rPr>
          <w:i/>
          <w:iCs/>
          <w:sz w:val="26"/>
        </w:rPr>
        <w:t>order on reh’g</w:t>
      </w:r>
      <w:r w:rsidRPr="00317C4A">
        <w:rPr>
          <w:sz w:val="26"/>
        </w:rPr>
        <w:t>, Order No. 693-A, 72 FR 49717 (July 25, 2007), 120 FERC ¶ 61,053 (2007).</w:t>
      </w:r>
    </w:p>
  </w:footnote>
  <w:footnote w:id="11">
    <w:p w:rsidR="0089226A" w:rsidRPr="000049AB" w:rsidP="0089226A" w14:paraId="28DFD7C8" w14:textId="45EB5029">
      <w:pPr>
        <w:pStyle w:val="FootnoteText"/>
        <w:rPr>
          <w:sz w:val="26"/>
        </w:rPr>
      </w:pPr>
      <w:r w:rsidRPr="00673216">
        <w:rPr>
          <w:rStyle w:val="FootnoteReference"/>
          <w:sz w:val="26"/>
          <w:vertAlign w:val="superscript"/>
        </w:rPr>
        <w:footnoteRef/>
      </w:r>
      <w:r w:rsidRPr="000049AB">
        <w:rPr>
          <w:sz w:val="26"/>
        </w:rPr>
        <w:t xml:space="preserve"> 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sidRPr="000049AB">
        <w:rPr>
          <w:rStyle w:val="Hyperlink"/>
          <w:sz w:val="26"/>
        </w:rPr>
        <w:t xml:space="preserve"> </w:t>
      </w:r>
      <w:r w:rsidRPr="000049AB">
        <w:rPr>
          <w:sz w:val="26"/>
        </w:rPr>
        <w:t xml:space="preserve">NERC Glossary of Terms).  NERC defines BES Cyber Asset as </w:t>
      </w:r>
    </w:p>
    <w:p w:rsidR="0089226A" w:rsidRPr="000049AB" w:rsidP="0089226A" w14:paraId="2E65E2EF" w14:textId="77777777">
      <w:pPr>
        <w:pStyle w:val="FootnoteText"/>
        <w:ind w:left="1440" w:right="1440"/>
        <w:rPr>
          <w:sz w:val="26"/>
        </w:rPr>
      </w:pPr>
      <w:r w:rsidRPr="000049AB">
        <w:rPr>
          <w:sz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89226A" w:rsidP="0089226A" w14:paraId="15BFA50C" w14:textId="77777777">
      <w:pPr>
        <w:pStyle w:val="FootnoteText"/>
      </w:pPr>
      <w:r w:rsidRPr="000049AB">
        <w:rPr>
          <w:sz w:val="26"/>
        </w:rPr>
        <w:t xml:space="preserve"> </w:t>
      </w:r>
      <w:r w:rsidRPr="000049AB">
        <w:rPr>
          <w:i/>
          <w:iCs/>
          <w:sz w:val="26"/>
        </w:rPr>
        <w:t>Id.</w:t>
      </w:r>
      <w:r w:rsidRPr="000049AB">
        <w:rPr>
          <w:sz w:val="26"/>
        </w:rPr>
        <w:t xml:space="preserve"> at 4.</w:t>
      </w:r>
      <w:r>
        <w:t xml:space="preserve"> </w:t>
      </w:r>
    </w:p>
  </w:footnote>
  <w:footnote w:id="12">
    <w:p w:rsidR="0089226A" w:rsidP="0089226A" w14:paraId="742B7601" w14:textId="77777777">
      <w:pPr>
        <w:pStyle w:val="FootnoteText"/>
      </w:pPr>
      <w:r w:rsidRPr="00DE465A">
        <w:rPr>
          <w:rStyle w:val="FootnoteReference"/>
          <w:sz w:val="26"/>
          <w:vertAlign w:val="superscript"/>
        </w:rPr>
        <w:footnoteRef/>
      </w:r>
      <w:r>
        <w:t xml:space="preserve"> </w:t>
      </w:r>
      <w:r w:rsidRPr="005F4BCF">
        <w:t xml:space="preserve"> </w:t>
      </w:r>
      <w:r w:rsidRPr="00DE465A">
        <w:rPr>
          <w:i/>
          <w:iCs/>
          <w:sz w:val="26"/>
        </w:rPr>
        <w:t xml:space="preserve">See, e.g., </w:t>
      </w:r>
      <w:r w:rsidRPr="00DE465A">
        <w:rPr>
          <w:sz w:val="26"/>
        </w:rPr>
        <w:t xml:space="preserve">Order No. 791, 78 FR 72755; </w:t>
      </w:r>
      <w:r w:rsidRPr="00DE465A">
        <w:rPr>
          <w:i/>
          <w:iCs/>
          <w:sz w:val="26"/>
        </w:rPr>
        <w:t>Revised Critical Infrastructure Protection Reliability Standards</w:t>
      </w:r>
      <w:r w:rsidRPr="00DE465A">
        <w:rPr>
          <w:sz w:val="26"/>
        </w:rPr>
        <w:t xml:space="preserve">, Order No. 822, 81 FR 4177 (Jan. 26, 2016), 154 FERC ¶ 61,037, </w:t>
      </w:r>
      <w:r w:rsidRPr="00DE465A">
        <w:rPr>
          <w:i/>
          <w:iCs/>
          <w:sz w:val="26"/>
        </w:rPr>
        <w:t>reh’g denied</w:t>
      </w:r>
      <w:r w:rsidRPr="00DE465A">
        <w:rPr>
          <w:sz w:val="26"/>
        </w:rPr>
        <w:t xml:space="preserve">, Order No. 822-A, 156 FERC ¶ 61,052 (2016); </w:t>
      </w:r>
      <w:r w:rsidRPr="00DE465A">
        <w:rPr>
          <w:i/>
          <w:iCs/>
          <w:sz w:val="26"/>
        </w:rPr>
        <w:t>Revised Critical Infrastructure Protection Reliability Standard CIP-003-7 – Cyber Security – Security Management Controls</w:t>
      </w:r>
      <w:r w:rsidRPr="00DE465A">
        <w:rPr>
          <w:sz w:val="26"/>
        </w:rPr>
        <w:t>, Order No. 843, 163 FERC ¶ 61,032 (2018).</w:t>
      </w:r>
      <w:r w:rsidRPr="005F4BCF">
        <w:t xml:space="preserve"> </w:t>
      </w:r>
      <w:r>
        <w:t xml:space="preserve"> </w:t>
      </w:r>
    </w:p>
  </w:footnote>
  <w:footnote w:id="13">
    <w:p w:rsidR="00EA7FE9" w:rsidP="00A119AA" w14:paraId="39719397" w14:textId="77777777">
      <w:pPr>
        <w:pStyle w:val="FootnoteText"/>
        <w:rPr>
          <w:sz w:val="26"/>
        </w:rPr>
      </w:pPr>
      <w:r w:rsidRPr="00A119AA">
        <w:rPr>
          <w:rStyle w:val="FootnoteReference"/>
          <w:rFonts w:cstheme="minorBidi"/>
          <w:sz w:val="26"/>
          <w:vertAlign w:val="superscript"/>
        </w:rPr>
        <w:footnoteRef/>
      </w:r>
      <w:r>
        <w:rPr>
          <w:sz w:val="26"/>
        </w:rPr>
        <w:t xml:space="preserve"> 86 FR 52667, at 52668.</w:t>
      </w:r>
    </w:p>
  </w:footnote>
  <w:footnote w:id="14">
    <w:p w:rsidR="00A52344" w:rsidP="00A52344" w14:paraId="37FA0235" w14:textId="783D81FC">
      <w:pPr>
        <w:pStyle w:val="FootnoteText"/>
      </w:pPr>
      <w:r w:rsidRPr="00424C70">
        <w:rPr>
          <w:rStyle w:val="FootnoteReference"/>
          <w:sz w:val="26"/>
          <w:vertAlign w:val="superscript"/>
        </w:rPr>
        <w:footnoteRef/>
      </w:r>
      <w:r>
        <w:t xml:space="preserve"> </w:t>
      </w:r>
      <w:r w:rsidRPr="00424C70">
        <w:rPr>
          <w:sz w:val="26"/>
        </w:rPr>
        <w:t xml:space="preserve">Public utilities may fall under one of several different categories, each with a size threshold based on the company’s number of employees, including affiliates, the parent company, and subsidiaries.  For the analysis in this </w:t>
      </w:r>
      <w:r w:rsidRPr="00424C70" w:rsidR="00E16C2F">
        <w:rPr>
          <w:sz w:val="26"/>
        </w:rPr>
        <w:t>Final Rule</w:t>
      </w:r>
      <w:r w:rsidRPr="00424C70">
        <w:rPr>
          <w:sz w:val="26"/>
        </w:rPr>
        <w:t>, we are using a 500</w:t>
      </w:r>
      <w:r w:rsidRPr="00424C70" w:rsidR="002648F4">
        <w:rPr>
          <w:sz w:val="26"/>
        </w:rPr>
        <w:t>-</w:t>
      </w:r>
      <w:r w:rsidRPr="00424C70">
        <w:rPr>
          <w:sz w:val="26"/>
        </w:rPr>
        <w:t xml:space="preserve">employee threshold due to each affected entity falling </w:t>
      </w:r>
      <w:r w:rsidRPr="00424C70" w:rsidR="007B1F68">
        <w:rPr>
          <w:sz w:val="26"/>
        </w:rPr>
        <w:t xml:space="preserve">in </w:t>
      </w:r>
      <w:r w:rsidRPr="00424C70">
        <w:rPr>
          <w:sz w:val="26"/>
        </w:rPr>
        <w:t>the role of Electric Bulk Power Transm</w:t>
      </w:r>
      <w:r w:rsidRPr="00424C70" w:rsidR="003702E7">
        <w:rPr>
          <w:sz w:val="26"/>
        </w:rPr>
        <w:t>ission and Control (NAISC Code:</w:t>
      </w:r>
      <w:r w:rsidRPr="00424C70">
        <w:rPr>
          <w:sz w:val="26"/>
        </w:rPr>
        <w:t xml:space="preserve"> 221121).</w:t>
      </w:r>
    </w:p>
  </w:footnote>
  <w:footnote w:id="15">
    <w:p w:rsidR="00C55457" w:rsidRPr="00B86A48" w:rsidP="00B86A48" w14:paraId="7F71BE54" w14:textId="5DA95484">
      <w:pPr>
        <w:pStyle w:val="FootnoteText"/>
        <w:rPr>
          <w:sz w:val="26"/>
          <w:szCs w:val="24"/>
        </w:rPr>
      </w:pPr>
      <w:r w:rsidRPr="00B86A48">
        <w:rPr>
          <w:rStyle w:val="FootnoteReference"/>
          <w:sz w:val="26"/>
          <w:szCs w:val="24"/>
          <w:vertAlign w:val="superscript"/>
        </w:rPr>
        <w:footnoteRef/>
      </w:r>
      <w:r w:rsidRPr="00B86A48">
        <w:rPr>
          <w:sz w:val="26"/>
          <w:szCs w:val="24"/>
        </w:rPr>
        <w:t xml:space="preserve"> Section 1502, Paragraph 2, available at NERCs website</w:t>
      </w:r>
      <w:r w:rsidRPr="00B86A48" w:rsidR="00E516EE">
        <w:rPr>
          <w:sz w:val="26"/>
          <w:szCs w:val="24"/>
        </w:rPr>
        <w:t>.</w:t>
      </w:r>
    </w:p>
  </w:footnote>
  <w:footnote w:id="16">
    <w:p w:rsidR="001862DA" w:rsidP="001862DA" w14:paraId="093FCFDB" w14:textId="77777777">
      <w:pPr>
        <w:pStyle w:val="FootnoteText"/>
        <w:rPr>
          <w:rFonts w:asciiTheme="minorHAnsi" w:hAnsiTheme="minorHAnsi"/>
        </w:rPr>
      </w:pPr>
      <w:r w:rsidRPr="003C43DD">
        <w:rPr>
          <w:rStyle w:val="FootnoteReference"/>
          <w:rFonts w:cstheme="minorBidi"/>
          <w:bCs/>
          <w:sz w:val="26"/>
          <w:vertAlign w:val="superscript"/>
        </w:rPr>
        <w:footnoteRef/>
      </w:r>
      <w:r>
        <w:rPr>
          <w:bCs/>
        </w:rPr>
        <w:t xml:space="preserve"> </w:t>
      </w:r>
      <w:r>
        <w:rPr>
          <w:bCs/>
          <w:sz w:val="26"/>
          <w:szCs w:val="26"/>
        </w:rPr>
        <w:t>The</w:t>
      </w:r>
      <w:r>
        <w:rPr>
          <w:sz w:val="26"/>
          <w:szCs w:val="26"/>
        </w:rPr>
        <w:t xml:space="preserve"> number of respondents is based on the NERC Compliance Registry as of June 22, 2021.  Currently there are 1,508 unique NERC Registered Entities, subtracting 16 Canadians Entities yields 1,492 U.S. NERC Registered Entities subject to the CIP Standards.  However, only those NERC Registered Entities that own Medium Impact or High Impact BES Cyber System are subject to the CIP Standards in this filing which is estimated to be 343 NERC Registered Entities.</w:t>
      </w:r>
    </w:p>
  </w:footnote>
  <w:footnote w:id="17">
    <w:p w:rsidR="001862DA" w:rsidP="001862DA" w14:paraId="7015C572" w14:textId="77777777">
      <w:pPr>
        <w:pStyle w:val="FootnoteText"/>
        <w:rPr>
          <w:sz w:val="26"/>
          <w:szCs w:val="26"/>
        </w:rPr>
      </w:pPr>
      <w:r w:rsidRPr="0BC6E2F2">
        <w:rPr>
          <w:rStyle w:val="FootnoteReference"/>
          <w:sz w:val="26"/>
          <w:szCs w:val="26"/>
          <w:vertAlign w:val="superscript"/>
        </w:rPr>
        <w:footnoteRef/>
      </w:r>
      <w:r>
        <w:rPr>
          <w:bCs/>
          <w:sz w:val="26"/>
          <w:szCs w:val="26"/>
        </w:rPr>
        <w:t xml:space="preserve"> </w:t>
      </w:r>
      <w:r>
        <w:rPr>
          <w:sz w:val="26"/>
          <w:szCs w:val="26"/>
        </w:rPr>
        <w:t xml:space="preserve">Of the average estimated twenty (20) hours per response, all twenty (20) hours </w:t>
      </w:r>
      <w:r w:rsidRPr="0059020E">
        <w:rPr>
          <w:rFonts w:eastAsia="Calibri"/>
          <w:sz w:val="26"/>
          <w:szCs w:val="26"/>
        </w:rPr>
        <w:t xml:space="preserve">(total of both standards) </w:t>
      </w:r>
      <w:r>
        <w:rPr>
          <w:sz w:val="26"/>
          <w:szCs w:val="26"/>
        </w:rPr>
        <w:t>are for the one-time effort of updating or changing documentation for record-keeping burden that is already accounted for.</w:t>
      </w:r>
    </w:p>
  </w:footnote>
  <w:footnote w:id="18">
    <w:p w:rsidR="001862DA" w:rsidP="001862DA" w14:paraId="0E448BCC" w14:textId="77777777">
      <w:pPr>
        <w:pStyle w:val="FootnoteText"/>
        <w:rPr>
          <w:rFonts w:asciiTheme="minorHAnsi" w:hAnsiTheme="minorHAnsi" w:cstheme="minorBidi"/>
          <w:sz w:val="26"/>
          <w:szCs w:val="26"/>
        </w:rPr>
      </w:pPr>
      <w:r w:rsidRPr="466632F1">
        <w:rPr>
          <w:rStyle w:val="FootnoteReference"/>
          <w:rFonts w:cstheme="minorBidi"/>
          <w:sz w:val="26"/>
          <w:szCs w:val="26"/>
          <w:vertAlign w:val="superscript"/>
        </w:rPr>
        <w:footnoteRef/>
      </w:r>
      <w:r>
        <w:rPr>
          <w:sz w:val="26"/>
          <w:szCs w:val="26"/>
        </w:rPr>
        <w:t xml:space="preserve"> Commission staff estimates that the average industry hourly cost for this information collection is $91.81/hour based on the following occupations from the Bureau of Labor Statistics: 1) Manager (Occupational Code: 11-0000): $106.33/hour; and 2) Electrical Engineer (Occupational Code 17-2071): $77.29/hour. Source:  </w:t>
      </w:r>
      <w:hyperlink r:id="rId1" w:history="1">
        <w:r w:rsidRPr="69B848F8">
          <w:rPr>
            <w:rStyle w:val="Hyperlink"/>
          </w:rPr>
          <w:t>Sector 22 - Utilities - May 2022 OEWS Industry-Specific Occupational Employment and Wage Estimates (bls.gov)</w:t>
        </w:r>
      </w:hyperlink>
      <w:r w:rsidRPr="0448F933">
        <w:rPr>
          <w:rStyle w:val="Hyperlink"/>
        </w:rPr>
        <w:t>.</w:t>
      </w:r>
    </w:p>
  </w:footnote>
  <w:footnote w:id="19">
    <w:p w:rsidR="00543ACD" w:rsidP="00C0479E" w14:paraId="0D5021A6" w14:textId="77777777">
      <w:pPr>
        <w:pStyle w:val="FootnoteText"/>
        <w:rPr>
          <w:sz w:val="26"/>
        </w:rPr>
      </w:pPr>
      <w:r>
        <w:rPr>
          <w:rStyle w:val="FootnoteReference"/>
          <w:sz w:val="26"/>
          <w:vertAlign w:val="superscript"/>
        </w:rPr>
        <w:footnoteRef/>
      </w:r>
      <w:r>
        <w:rPr>
          <w:sz w:val="26"/>
        </w:rPr>
        <w:t xml:space="preserve"> The numbers shown in this column are those that are shown in ROCIS, which automatically rounded some of the numbers shown in the supporting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1686CF65" w14:textId="77777777">
    <w:pPr>
      <w:pStyle w:val="Header"/>
    </w:pPr>
  </w:p>
  <w:p w:rsidR="00E63496" w14:paraId="05CCD0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457" w:rsidRPr="00B51BB8" w:rsidP="002A4142" w14:paraId="28A9C44C" w14:textId="1ACF7F80">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w:t>
    </w:r>
    <w:r w:rsidR="009B1481">
      <w:rPr>
        <w:rFonts w:ascii="Times New Roman" w:hAnsi="Times New Roman" w:cs="Times New Roman"/>
        <w:sz w:val="24"/>
        <w:szCs w:val="24"/>
      </w:rPr>
      <w:t>0248</w:t>
    </w:r>
    <w:r w:rsidRPr="00B51BB8">
      <w:rPr>
        <w:rFonts w:ascii="Times New Roman" w:hAnsi="Times New Roman" w:cs="Times New Roman"/>
        <w:sz w:val="24"/>
        <w:szCs w:val="24"/>
      </w:rPr>
      <w:t xml:space="preserve">) </w:t>
    </w:r>
  </w:p>
  <w:p w:rsidR="00DE1071" w:rsidRPr="003C4DC8" w:rsidP="003C4DC8" w14:paraId="4259D3D8" w14:textId="7B28DA47">
    <w:pPr>
      <w:spacing w:after="0" w:line="240" w:lineRule="auto"/>
      <w:rPr>
        <w:rFonts w:ascii="Times New Roman" w:hAnsi="Times New Roman" w:cs="Times New Roman"/>
        <w:sz w:val="24"/>
        <w:szCs w:val="24"/>
      </w:rPr>
    </w:pPr>
    <w:r>
      <w:rPr>
        <w:rFonts w:ascii="Times New Roman" w:hAnsi="Times New Roman" w:cs="Times New Roman"/>
        <w:sz w:val="24"/>
        <w:szCs w:val="24"/>
      </w:rPr>
      <w:t>RD21-6-000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92D06F1"/>
    <w:multiLevelType w:val="hybridMultilevel"/>
    <w:tmpl w:val="A556706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1">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230971"/>
    <w:multiLevelType w:val="hybridMultilevel"/>
    <w:tmpl w:val="DAF81F6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18">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3C6417"/>
    <w:multiLevelType w:val="hybridMultilevel"/>
    <w:tmpl w:val="11A67EBE"/>
    <w:lvl w:ilvl="0">
      <w:start w:val="1"/>
      <w:numFmt w:val="bullet"/>
      <w:lvlText w:val=""/>
      <w:lvlJc w:val="left"/>
      <w:pPr>
        <w:ind w:left="2520" w:hanging="360"/>
      </w:pPr>
      <w:rPr>
        <w:rFonts w:ascii="Symbol" w:hAnsi="Symbol" w:hint="default"/>
        <w:color w:val="auto"/>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1">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354932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53774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5670011">
    <w:abstractNumId w:val="23"/>
  </w:num>
  <w:num w:numId="4" w16cid:durableId="2030401725">
    <w:abstractNumId w:val="24"/>
  </w:num>
  <w:num w:numId="5" w16cid:durableId="1158574748">
    <w:abstractNumId w:val="4"/>
  </w:num>
  <w:num w:numId="6" w16cid:durableId="1371756980">
    <w:abstractNumId w:val="17"/>
  </w:num>
  <w:num w:numId="7" w16cid:durableId="2022973713">
    <w:abstractNumId w:val="29"/>
  </w:num>
  <w:num w:numId="8" w16cid:durableId="1002850566">
    <w:abstractNumId w:val="20"/>
  </w:num>
  <w:num w:numId="9" w16cid:durableId="524026898">
    <w:abstractNumId w:val="18"/>
  </w:num>
  <w:num w:numId="10" w16cid:durableId="1373312070">
    <w:abstractNumId w:val="26"/>
  </w:num>
  <w:num w:numId="11" w16cid:durableId="128089261">
    <w:abstractNumId w:val="19"/>
  </w:num>
  <w:num w:numId="12" w16cid:durableId="1302344982">
    <w:abstractNumId w:val="5"/>
  </w:num>
  <w:num w:numId="13" w16cid:durableId="884293395">
    <w:abstractNumId w:val="13"/>
  </w:num>
  <w:num w:numId="14" w16cid:durableId="756708621">
    <w:abstractNumId w:val="22"/>
  </w:num>
  <w:num w:numId="15" w16cid:durableId="346643149">
    <w:abstractNumId w:val="28"/>
  </w:num>
  <w:num w:numId="16" w16cid:durableId="576944259">
    <w:abstractNumId w:val="21"/>
  </w:num>
  <w:num w:numId="17" w16cid:durableId="225648815">
    <w:abstractNumId w:val="14"/>
  </w:num>
  <w:num w:numId="18" w16cid:durableId="1530294442">
    <w:abstractNumId w:val="11"/>
  </w:num>
  <w:num w:numId="19" w16cid:durableId="343674325">
    <w:abstractNumId w:val="6"/>
  </w:num>
  <w:num w:numId="20" w16cid:durableId="1045569629">
    <w:abstractNumId w:val="3"/>
  </w:num>
  <w:num w:numId="21" w16cid:durableId="1628506804">
    <w:abstractNumId w:val="8"/>
  </w:num>
  <w:num w:numId="22" w16cid:durableId="659583014">
    <w:abstractNumId w:val="25"/>
  </w:num>
  <w:num w:numId="23" w16cid:durableId="2080252655">
    <w:abstractNumId w:val="10"/>
  </w:num>
  <w:num w:numId="24" w16cid:durableId="1780024941">
    <w:abstractNumId w:val="7"/>
  </w:num>
  <w:num w:numId="25" w16cid:durableId="1131246051">
    <w:abstractNumId w:val="12"/>
  </w:num>
  <w:num w:numId="26" w16cid:durableId="2113236577">
    <w:abstractNumId w:val="2"/>
  </w:num>
  <w:num w:numId="27" w16cid:durableId="22631402">
    <w:abstractNumId w:val="1"/>
  </w:num>
  <w:num w:numId="28" w16cid:durableId="468330425">
    <w:abstractNumId w:val="0"/>
  </w:num>
  <w:num w:numId="29" w16cid:durableId="1800025333">
    <w:abstractNumId w:val="16"/>
  </w:num>
  <w:num w:numId="30" w16cid:durableId="822890367">
    <w:abstractNumId w:val="27"/>
  </w:num>
  <w:num w:numId="31" w16cid:durableId="1650744994">
    <w:abstractNumId w:val="15"/>
  </w:num>
  <w:num w:numId="32" w16cid:durableId="1195315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928"/>
    <w:rsid w:val="000027B8"/>
    <w:rsid w:val="000049AB"/>
    <w:rsid w:val="00005289"/>
    <w:rsid w:val="00005F2F"/>
    <w:rsid w:val="0000607C"/>
    <w:rsid w:val="00010E78"/>
    <w:rsid w:val="0001103D"/>
    <w:rsid w:val="00014B02"/>
    <w:rsid w:val="000151A0"/>
    <w:rsid w:val="00015289"/>
    <w:rsid w:val="00015E47"/>
    <w:rsid w:val="00017D46"/>
    <w:rsid w:val="000207F4"/>
    <w:rsid w:val="00021D22"/>
    <w:rsid w:val="00026087"/>
    <w:rsid w:val="000302F1"/>
    <w:rsid w:val="00030744"/>
    <w:rsid w:val="000310C9"/>
    <w:rsid w:val="000312BE"/>
    <w:rsid w:val="000347AE"/>
    <w:rsid w:val="00034D83"/>
    <w:rsid w:val="0004133D"/>
    <w:rsid w:val="000426F7"/>
    <w:rsid w:val="000428A5"/>
    <w:rsid w:val="00042D80"/>
    <w:rsid w:val="000452FC"/>
    <w:rsid w:val="000466A9"/>
    <w:rsid w:val="000475F9"/>
    <w:rsid w:val="0004778F"/>
    <w:rsid w:val="00050740"/>
    <w:rsid w:val="00051534"/>
    <w:rsid w:val="00053307"/>
    <w:rsid w:val="00053805"/>
    <w:rsid w:val="00053A43"/>
    <w:rsid w:val="00054FA4"/>
    <w:rsid w:val="00055683"/>
    <w:rsid w:val="00055F3B"/>
    <w:rsid w:val="00067036"/>
    <w:rsid w:val="000723A8"/>
    <w:rsid w:val="000728C5"/>
    <w:rsid w:val="00073AED"/>
    <w:rsid w:val="00074A25"/>
    <w:rsid w:val="0007589B"/>
    <w:rsid w:val="0007783F"/>
    <w:rsid w:val="00077DB8"/>
    <w:rsid w:val="00087336"/>
    <w:rsid w:val="00092114"/>
    <w:rsid w:val="00094D36"/>
    <w:rsid w:val="00094D4F"/>
    <w:rsid w:val="000A1388"/>
    <w:rsid w:val="000B4143"/>
    <w:rsid w:val="000B51E5"/>
    <w:rsid w:val="000C1902"/>
    <w:rsid w:val="000C1EE9"/>
    <w:rsid w:val="000C2AC2"/>
    <w:rsid w:val="000C47DD"/>
    <w:rsid w:val="000C61C4"/>
    <w:rsid w:val="000E3AB4"/>
    <w:rsid w:val="000E5E73"/>
    <w:rsid w:val="000F03BB"/>
    <w:rsid w:val="000F2BBD"/>
    <w:rsid w:val="000F341C"/>
    <w:rsid w:val="000F3EBB"/>
    <w:rsid w:val="000F566D"/>
    <w:rsid w:val="000F73BF"/>
    <w:rsid w:val="00100229"/>
    <w:rsid w:val="00100D18"/>
    <w:rsid w:val="00102F1A"/>
    <w:rsid w:val="00103DE9"/>
    <w:rsid w:val="00104356"/>
    <w:rsid w:val="00104DFE"/>
    <w:rsid w:val="00105164"/>
    <w:rsid w:val="001057E3"/>
    <w:rsid w:val="00105CCB"/>
    <w:rsid w:val="001062F8"/>
    <w:rsid w:val="00107245"/>
    <w:rsid w:val="00107439"/>
    <w:rsid w:val="0011241C"/>
    <w:rsid w:val="00112B5C"/>
    <w:rsid w:val="0011597F"/>
    <w:rsid w:val="00115F24"/>
    <w:rsid w:val="001172EE"/>
    <w:rsid w:val="00117CFF"/>
    <w:rsid w:val="00125D58"/>
    <w:rsid w:val="00126286"/>
    <w:rsid w:val="0012731F"/>
    <w:rsid w:val="001301E0"/>
    <w:rsid w:val="00131470"/>
    <w:rsid w:val="00132356"/>
    <w:rsid w:val="0013247B"/>
    <w:rsid w:val="00135CDF"/>
    <w:rsid w:val="00137551"/>
    <w:rsid w:val="00145B80"/>
    <w:rsid w:val="00145DBA"/>
    <w:rsid w:val="0014705F"/>
    <w:rsid w:val="00147F96"/>
    <w:rsid w:val="00150D8D"/>
    <w:rsid w:val="001513E7"/>
    <w:rsid w:val="0015264C"/>
    <w:rsid w:val="001526F1"/>
    <w:rsid w:val="00155323"/>
    <w:rsid w:val="00155CEE"/>
    <w:rsid w:val="0015640F"/>
    <w:rsid w:val="0015642E"/>
    <w:rsid w:val="00157BA7"/>
    <w:rsid w:val="00160BDF"/>
    <w:rsid w:val="001614FC"/>
    <w:rsid w:val="001617A9"/>
    <w:rsid w:val="001647E7"/>
    <w:rsid w:val="00167B91"/>
    <w:rsid w:val="00167C8E"/>
    <w:rsid w:val="00170243"/>
    <w:rsid w:val="00173D5C"/>
    <w:rsid w:val="00174279"/>
    <w:rsid w:val="001755B4"/>
    <w:rsid w:val="00176748"/>
    <w:rsid w:val="00177B1C"/>
    <w:rsid w:val="00177D1D"/>
    <w:rsid w:val="00181B10"/>
    <w:rsid w:val="00181C6A"/>
    <w:rsid w:val="00183FE9"/>
    <w:rsid w:val="001856A3"/>
    <w:rsid w:val="00185B93"/>
    <w:rsid w:val="001862DA"/>
    <w:rsid w:val="001878BD"/>
    <w:rsid w:val="00190067"/>
    <w:rsid w:val="00191849"/>
    <w:rsid w:val="00192AD8"/>
    <w:rsid w:val="0019326D"/>
    <w:rsid w:val="001936B6"/>
    <w:rsid w:val="00194C5C"/>
    <w:rsid w:val="001967A9"/>
    <w:rsid w:val="001973A1"/>
    <w:rsid w:val="001976E0"/>
    <w:rsid w:val="001A03C2"/>
    <w:rsid w:val="001A05DF"/>
    <w:rsid w:val="001A5842"/>
    <w:rsid w:val="001A76A3"/>
    <w:rsid w:val="001A786F"/>
    <w:rsid w:val="001B44ED"/>
    <w:rsid w:val="001B639A"/>
    <w:rsid w:val="001B6D43"/>
    <w:rsid w:val="001B79BD"/>
    <w:rsid w:val="001C7872"/>
    <w:rsid w:val="001C7AFD"/>
    <w:rsid w:val="001D2DB9"/>
    <w:rsid w:val="001D6A97"/>
    <w:rsid w:val="001D7EB6"/>
    <w:rsid w:val="001E0262"/>
    <w:rsid w:val="001E06BD"/>
    <w:rsid w:val="001E11E7"/>
    <w:rsid w:val="001F1D83"/>
    <w:rsid w:val="001F2912"/>
    <w:rsid w:val="001F4069"/>
    <w:rsid w:val="002025A8"/>
    <w:rsid w:val="0020649F"/>
    <w:rsid w:val="002071D3"/>
    <w:rsid w:val="00211B84"/>
    <w:rsid w:val="00211C7D"/>
    <w:rsid w:val="00213195"/>
    <w:rsid w:val="002229D8"/>
    <w:rsid w:val="00222AFD"/>
    <w:rsid w:val="00222D1B"/>
    <w:rsid w:val="002329FB"/>
    <w:rsid w:val="002359F6"/>
    <w:rsid w:val="00235C09"/>
    <w:rsid w:val="002360DA"/>
    <w:rsid w:val="00236FF2"/>
    <w:rsid w:val="002370E2"/>
    <w:rsid w:val="00240C3A"/>
    <w:rsid w:val="0024309E"/>
    <w:rsid w:val="002455E8"/>
    <w:rsid w:val="002522F6"/>
    <w:rsid w:val="00253D2E"/>
    <w:rsid w:val="00254FE3"/>
    <w:rsid w:val="00257678"/>
    <w:rsid w:val="00257FBE"/>
    <w:rsid w:val="0026021C"/>
    <w:rsid w:val="0026085F"/>
    <w:rsid w:val="00260E7A"/>
    <w:rsid w:val="00260F6F"/>
    <w:rsid w:val="00260FA1"/>
    <w:rsid w:val="0026236C"/>
    <w:rsid w:val="00262B89"/>
    <w:rsid w:val="002648F4"/>
    <w:rsid w:val="00265044"/>
    <w:rsid w:val="00267559"/>
    <w:rsid w:val="00270184"/>
    <w:rsid w:val="00271EC6"/>
    <w:rsid w:val="00273EB9"/>
    <w:rsid w:val="00275760"/>
    <w:rsid w:val="0029048F"/>
    <w:rsid w:val="00290ACC"/>
    <w:rsid w:val="00291A94"/>
    <w:rsid w:val="00297207"/>
    <w:rsid w:val="002A2995"/>
    <w:rsid w:val="002A4142"/>
    <w:rsid w:val="002A41C8"/>
    <w:rsid w:val="002A44DE"/>
    <w:rsid w:val="002A45D0"/>
    <w:rsid w:val="002A4B6B"/>
    <w:rsid w:val="002A5BA5"/>
    <w:rsid w:val="002A7EF0"/>
    <w:rsid w:val="002B0AC9"/>
    <w:rsid w:val="002B0CC8"/>
    <w:rsid w:val="002B11BA"/>
    <w:rsid w:val="002B2AEF"/>
    <w:rsid w:val="002B3B00"/>
    <w:rsid w:val="002B3EBF"/>
    <w:rsid w:val="002C2B1A"/>
    <w:rsid w:val="002C324B"/>
    <w:rsid w:val="002C4849"/>
    <w:rsid w:val="002C531C"/>
    <w:rsid w:val="002C536B"/>
    <w:rsid w:val="002C70B7"/>
    <w:rsid w:val="002C7139"/>
    <w:rsid w:val="002C72C6"/>
    <w:rsid w:val="002D3F96"/>
    <w:rsid w:val="002D4CD4"/>
    <w:rsid w:val="002D4FFD"/>
    <w:rsid w:val="002D55DC"/>
    <w:rsid w:val="002D6C88"/>
    <w:rsid w:val="002D71BE"/>
    <w:rsid w:val="002E02D8"/>
    <w:rsid w:val="002E0A22"/>
    <w:rsid w:val="002E108D"/>
    <w:rsid w:val="002E1E40"/>
    <w:rsid w:val="002F3DB9"/>
    <w:rsid w:val="00300EBE"/>
    <w:rsid w:val="00302197"/>
    <w:rsid w:val="003025B9"/>
    <w:rsid w:val="00302F75"/>
    <w:rsid w:val="003044BD"/>
    <w:rsid w:val="00314EBE"/>
    <w:rsid w:val="00315D59"/>
    <w:rsid w:val="00315F04"/>
    <w:rsid w:val="00317C4A"/>
    <w:rsid w:val="0033288D"/>
    <w:rsid w:val="003329AF"/>
    <w:rsid w:val="00332A43"/>
    <w:rsid w:val="00336CEE"/>
    <w:rsid w:val="00340161"/>
    <w:rsid w:val="00340456"/>
    <w:rsid w:val="00344F21"/>
    <w:rsid w:val="003542F8"/>
    <w:rsid w:val="003542FD"/>
    <w:rsid w:val="0035608B"/>
    <w:rsid w:val="00360F81"/>
    <w:rsid w:val="00361094"/>
    <w:rsid w:val="00362B22"/>
    <w:rsid w:val="003634D3"/>
    <w:rsid w:val="00363E32"/>
    <w:rsid w:val="00363EA8"/>
    <w:rsid w:val="00364F07"/>
    <w:rsid w:val="00367CE9"/>
    <w:rsid w:val="003702E7"/>
    <w:rsid w:val="00370BCE"/>
    <w:rsid w:val="00372998"/>
    <w:rsid w:val="00373B89"/>
    <w:rsid w:val="003745F7"/>
    <w:rsid w:val="00374A3F"/>
    <w:rsid w:val="00375F53"/>
    <w:rsid w:val="00376367"/>
    <w:rsid w:val="003767A8"/>
    <w:rsid w:val="003771D0"/>
    <w:rsid w:val="00380310"/>
    <w:rsid w:val="0038265B"/>
    <w:rsid w:val="003840C3"/>
    <w:rsid w:val="003875B4"/>
    <w:rsid w:val="00391060"/>
    <w:rsid w:val="00394FC5"/>
    <w:rsid w:val="00396EE3"/>
    <w:rsid w:val="003976CA"/>
    <w:rsid w:val="003A0D8D"/>
    <w:rsid w:val="003A3341"/>
    <w:rsid w:val="003A37A8"/>
    <w:rsid w:val="003A536E"/>
    <w:rsid w:val="003B1B52"/>
    <w:rsid w:val="003B279C"/>
    <w:rsid w:val="003B6534"/>
    <w:rsid w:val="003B72EF"/>
    <w:rsid w:val="003C19D0"/>
    <w:rsid w:val="003C1A02"/>
    <w:rsid w:val="003C43DD"/>
    <w:rsid w:val="003C4DC8"/>
    <w:rsid w:val="003C603B"/>
    <w:rsid w:val="003C6781"/>
    <w:rsid w:val="003D09FB"/>
    <w:rsid w:val="003D2C60"/>
    <w:rsid w:val="003E28B1"/>
    <w:rsid w:val="003E599C"/>
    <w:rsid w:val="003E713D"/>
    <w:rsid w:val="003E7A7C"/>
    <w:rsid w:val="003E7F0B"/>
    <w:rsid w:val="003F074F"/>
    <w:rsid w:val="003F77BD"/>
    <w:rsid w:val="00401B62"/>
    <w:rsid w:val="004059BB"/>
    <w:rsid w:val="0040637D"/>
    <w:rsid w:val="004078E2"/>
    <w:rsid w:val="00410870"/>
    <w:rsid w:val="004129D8"/>
    <w:rsid w:val="004137F1"/>
    <w:rsid w:val="00416841"/>
    <w:rsid w:val="00416DFC"/>
    <w:rsid w:val="00420036"/>
    <w:rsid w:val="00424483"/>
    <w:rsid w:val="00424C70"/>
    <w:rsid w:val="004270C2"/>
    <w:rsid w:val="004320D5"/>
    <w:rsid w:val="00433A3A"/>
    <w:rsid w:val="0043414B"/>
    <w:rsid w:val="0043735D"/>
    <w:rsid w:val="0044319A"/>
    <w:rsid w:val="004474E2"/>
    <w:rsid w:val="00452265"/>
    <w:rsid w:val="004547B0"/>
    <w:rsid w:val="00461512"/>
    <w:rsid w:val="004700AD"/>
    <w:rsid w:val="00471C82"/>
    <w:rsid w:val="00471C95"/>
    <w:rsid w:val="0047703B"/>
    <w:rsid w:val="00481392"/>
    <w:rsid w:val="0048200B"/>
    <w:rsid w:val="00483024"/>
    <w:rsid w:val="004845D0"/>
    <w:rsid w:val="00485D08"/>
    <w:rsid w:val="00487586"/>
    <w:rsid w:val="00487A8A"/>
    <w:rsid w:val="00487BBF"/>
    <w:rsid w:val="004955BF"/>
    <w:rsid w:val="00495FAA"/>
    <w:rsid w:val="004A1428"/>
    <w:rsid w:val="004A1C3D"/>
    <w:rsid w:val="004A43B8"/>
    <w:rsid w:val="004A49D5"/>
    <w:rsid w:val="004A7388"/>
    <w:rsid w:val="004B24A5"/>
    <w:rsid w:val="004B24DC"/>
    <w:rsid w:val="004B30C3"/>
    <w:rsid w:val="004B33F1"/>
    <w:rsid w:val="004B4AAF"/>
    <w:rsid w:val="004B624E"/>
    <w:rsid w:val="004B6FC2"/>
    <w:rsid w:val="004C0226"/>
    <w:rsid w:val="004C0981"/>
    <w:rsid w:val="004C117B"/>
    <w:rsid w:val="004C2BD7"/>
    <w:rsid w:val="004C334C"/>
    <w:rsid w:val="004C510E"/>
    <w:rsid w:val="004C537D"/>
    <w:rsid w:val="004D4EAA"/>
    <w:rsid w:val="004E6159"/>
    <w:rsid w:val="004E6CDF"/>
    <w:rsid w:val="004F3F84"/>
    <w:rsid w:val="004F4169"/>
    <w:rsid w:val="00500186"/>
    <w:rsid w:val="00500FB2"/>
    <w:rsid w:val="00501F21"/>
    <w:rsid w:val="00502225"/>
    <w:rsid w:val="00503126"/>
    <w:rsid w:val="005034CD"/>
    <w:rsid w:val="00503BD5"/>
    <w:rsid w:val="00505E74"/>
    <w:rsid w:val="00506164"/>
    <w:rsid w:val="005070EA"/>
    <w:rsid w:val="00511A94"/>
    <w:rsid w:val="005131DD"/>
    <w:rsid w:val="00516258"/>
    <w:rsid w:val="0052232B"/>
    <w:rsid w:val="00522521"/>
    <w:rsid w:val="005228D8"/>
    <w:rsid w:val="00524C44"/>
    <w:rsid w:val="005255E2"/>
    <w:rsid w:val="00526F2F"/>
    <w:rsid w:val="00527AE1"/>
    <w:rsid w:val="005333E6"/>
    <w:rsid w:val="0053499F"/>
    <w:rsid w:val="005368DE"/>
    <w:rsid w:val="00537971"/>
    <w:rsid w:val="005379BF"/>
    <w:rsid w:val="0054142E"/>
    <w:rsid w:val="00541BF4"/>
    <w:rsid w:val="00542EC2"/>
    <w:rsid w:val="00543ACD"/>
    <w:rsid w:val="00543FCE"/>
    <w:rsid w:val="0054418B"/>
    <w:rsid w:val="00550405"/>
    <w:rsid w:val="00550AF5"/>
    <w:rsid w:val="0055125C"/>
    <w:rsid w:val="005515AC"/>
    <w:rsid w:val="00554682"/>
    <w:rsid w:val="00555094"/>
    <w:rsid w:val="005558F8"/>
    <w:rsid w:val="00556445"/>
    <w:rsid w:val="005575ED"/>
    <w:rsid w:val="005644A4"/>
    <w:rsid w:val="00565F74"/>
    <w:rsid w:val="00566DAE"/>
    <w:rsid w:val="00566EB9"/>
    <w:rsid w:val="00567B0B"/>
    <w:rsid w:val="00570108"/>
    <w:rsid w:val="00571766"/>
    <w:rsid w:val="005746CC"/>
    <w:rsid w:val="005768DB"/>
    <w:rsid w:val="00576B17"/>
    <w:rsid w:val="005774B1"/>
    <w:rsid w:val="0058143D"/>
    <w:rsid w:val="00581E3E"/>
    <w:rsid w:val="00582804"/>
    <w:rsid w:val="005840F0"/>
    <w:rsid w:val="005853F1"/>
    <w:rsid w:val="00585915"/>
    <w:rsid w:val="0059020E"/>
    <w:rsid w:val="0059079E"/>
    <w:rsid w:val="005908AC"/>
    <w:rsid w:val="00592875"/>
    <w:rsid w:val="00597658"/>
    <w:rsid w:val="005A21B7"/>
    <w:rsid w:val="005A465A"/>
    <w:rsid w:val="005A4BB2"/>
    <w:rsid w:val="005A779D"/>
    <w:rsid w:val="005B07A1"/>
    <w:rsid w:val="005B253C"/>
    <w:rsid w:val="005B2D2D"/>
    <w:rsid w:val="005B3351"/>
    <w:rsid w:val="005B6194"/>
    <w:rsid w:val="005B67F6"/>
    <w:rsid w:val="005B7001"/>
    <w:rsid w:val="005C0FD7"/>
    <w:rsid w:val="005C28A8"/>
    <w:rsid w:val="005C297F"/>
    <w:rsid w:val="005C29CE"/>
    <w:rsid w:val="005C2C89"/>
    <w:rsid w:val="005C3098"/>
    <w:rsid w:val="005D011E"/>
    <w:rsid w:val="005D017F"/>
    <w:rsid w:val="005D0246"/>
    <w:rsid w:val="005D054F"/>
    <w:rsid w:val="005D4423"/>
    <w:rsid w:val="005D4796"/>
    <w:rsid w:val="005D4947"/>
    <w:rsid w:val="005D6E4D"/>
    <w:rsid w:val="005E2448"/>
    <w:rsid w:val="005E7C1F"/>
    <w:rsid w:val="005F1495"/>
    <w:rsid w:val="005F447E"/>
    <w:rsid w:val="005F4BCF"/>
    <w:rsid w:val="005F55AB"/>
    <w:rsid w:val="00602096"/>
    <w:rsid w:val="0060354B"/>
    <w:rsid w:val="00603960"/>
    <w:rsid w:val="00604FC5"/>
    <w:rsid w:val="00606999"/>
    <w:rsid w:val="0060749D"/>
    <w:rsid w:val="006114D0"/>
    <w:rsid w:val="00612E67"/>
    <w:rsid w:val="006151D8"/>
    <w:rsid w:val="00616052"/>
    <w:rsid w:val="0061754A"/>
    <w:rsid w:val="0062721D"/>
    <w:rsid w:val="006277F9"/>
    <w:rsid w:val="006340CC"/>
    <w:rsid w:val="00635A43"/>
    <w:rsid w:val="0063704B"/>
    <w:rsid w:val="0063704E"/>
    <w:rsid w:val="00637613"/>
    <w:rsid w:val="00637B8D"/>
    <w:rsid w:val="00641020"/>
    <w:rsid w:val="006424CC"/>
    <w:rsid w:val="00642CE9"/>
    <w:rsid w:val="00642D33"/>
    <w:rsid w:val="00643629"/>
    <w:rsid w:val="00647E9F"/>
    <w:rsid w:val="006524CA"/>
    <w:rsid w:val="006564E7"/>
    <w:rsid w:val="0065657B"/>
    <w:rsid w:val="00657EA1"/>
    <w:rsid w:val="006613DE"/>
    <w:rsid w:val="00661DF0"/>
    <w:rsid w:val="006631EF"/>
    <w:rsid w:val="00663A0A"/>
    <w:rsid w:val="0067059B"/>
    <w:rsid w:val="006717E6"/>
    <w:rsid w:val="00673216"/>
    <w:rsid w:val="00673A39"/>
    <w:rsid w:val="00673EE3"/>
    <w:rsid w:val="006745B4"/>
    <w:rsid w:val="00674EC4"/>
    <w:rsid w:val="00675A46"/>
    <w:rsid w:val="00675E52"/>
    <w:rsid w:val="006774BE"/>
    <w:rsid w:val="00684F01"/>
    <w:rsid w:val="00684FC0"/>
    <w:rsid w:val="00685683"/>
    <w:rsid w:val="00693AAD"/>
    <w:rsid w:val="00694503"/>
    <w:rsid w:val="00695536"/>
    <w:rsid w:val="00695620"/>
    <w:rsid w:val="0069598C"/>
    <w:rsid w:val="0069654D"/>
    <w:rsid w:val="006A32B8"/>
    <w:rsid w:val="006A338B"/>
    <w:rsid w:val="006A7418"/>
    <w:rsid w:val="006A76FD"/>
    <w:rsid w:val="006B0E50"/>
    <w:rsid w:val="006B2709"/>
    <w:rsid w:val="006B5EEB"/>
    <w:rsid w:val="006B7C3B"/>
    <w:rsid w:val="006C078B"/>
    <w:rsid w:val="006C0F0B"/>
    <w:rsid w:val="006C1AAB"/>
    <w:rsid w:val="006D185D"/>
    <w:rsid w:val="006D436A"/>
    <w:rsid w:val="006D515F"/>
    <w:rsid w:val="006D7EB9"/>
    <w:rsid w:val="006E19F9"/>
    <w:rsid w:val="006E5ED1"/>
    <w:rsid w:val="006E6E6D"/>
    <w:rsid w:val="006E73F9"/>
    <w:rsid w:val="006F038C"/>
    <w:rsid w:val="006F04F8"/>
    <w:rsid w:val="006F0DA4"/>
    <w:rsid w:val="006F18F1"/>
    <w:rsid w:val="006F199F"/>
    <w:rsid w:val="006F2091"/>
    <w:rsid w:val="006F6A8C"/>
    <w:rsid w:val="006F6DE9"/>
    <w:rsid w:val="00700473"/>
    <w:rsid w:val="00703213"/>
    <w:rsid w:val="0070345D"/>
    <w:rsid w:val="00704C13"/>
    <w:rsid w:val="00705C1B"/>
    <w:rsid w:val="0070619D"/>
    <w:rsid w:val="00707A85"/>
    <w:rsid w:val="00712E32"/>
    <w:rsid w:val="00714D81"/>
    <w:rsid w:val="007160EF"/>
    <w:rsid w:val="00716515"/>
    <w:rsid w:val="00717A1C"/>
    <w:rsid w:val="00723415"/>
    <w:rsid w:val="00725412"/>
    <w:rsid w:val="00725E33"/>
    <w:rsid w:val="007271A8"/>
    <w:rsid w:val="0072761E"/>
    <w:rsid w:val="00730FD3"/>
    <w:rsid w:val="007310E6"/>
    <w:rsid w:val="00732818"/>
    <w:rsid w:val="00732A2F"/>
    <w:rsid w:val="00734A9C"/>
    <w:rsid w:val="00737581"/>
    <w:rsid w:val="00737699"/>
    <w:rsid w:val="0074093F"/>
    <w:rsid w:val="007418B8"/>
    <w:rsid w:val="00742DAD"/>
    <w:rsid w:val="0074583F"/>
    <w:rsid w:val="00746568"/>
    <w:rsid w:val="007501D2"/>
    <w:rsid w:val="007502F1"/>
    <w:rsid w:val="007513D3"/>
    <w:rsid w:val="0075515E"/>
    <w:rsid w:val="00755B88"/>
    <w:rsid w:val="0075669D"/>
    <w:rsid w:val="00765358"/>
    <w:rsid w:val="00766152"/>
    <w:rsid w:val="00766354"/>
    <w:rsid w:val="00770A7C"/>
    <w:rsid w:val="00774B70"/>
    <w:rsid w:val="0077581C"/>
    <w:rsid w:val="00775ADE"/>
    <w:rsid w:val="00777027"/>
    <w:rsid w:val="00780A29"/>
    <w:rsid w:val="00780E65"/>
    <w:rsid w:val="00783250"/>
    <w:rsid w:val="0078329B"/>
    <w:rsid w:val="00793598"/>
    <w:rsid w:val="00794A5A"/>
    <w:rsid w:val="00797852"/>
    <w:rsid w:val="007A00C8"/>
    <w:rsid w:val="007A0C62"/>
    <w:rsid w:val="007A3D37"/>
    <w:rsid w:val="007A4663"/>
    <w:rsid w:val="007A560D"/>
    <w:rsid w:val="007A5C2A"/>
    <w:rsid w:val="007A6365"/>
    <w:rsid w:val="007B1F68"/>
    <w:rsid w:val="007B3345"/>
    <w:rsid w:val="007B5BC8"/>
    <w:rsid w:val="007B7CCA"/>
    <w:rsid w:val="007C38F2"/>
    <w:rsid w:val="007C39D3"/>
    <w:rsid w:val="007C5C60"/>
    <w:rsid w:val="007D281F"/>
    <w:rsid w:val="007D29A0"/>
    <w:rsid w:val="007D3F11"/>
    <w:rsid w:val="007D51B3"/>
    <w:rsid w:val="007D6A84"/>
    <w:rsid w:val="007D71CE"/>
    <w:rsid w:val="007E2F02"/>
    <w:rsid w:val="007E3CC4"/>
    <w:rsid w:val="007E57D8"/>
    <w:rsid w:val="007E67E9"/>
    <w:rsid w:val="007E757F"/>
    <w:rsid w:val="007E7DC0"/>
    <w:rsid w:val="007F129D"/>
    <w:rsid w:val="007F1EC9"/>
    <w:rsid w:val="007F5CAD"/>
    <w:rsid w:val="007F5D80"/>
    <w:rsid w:val="00800420"/>
    <w:rsid w:val="00800E3F"/>
    <w:rsid w:val="00801E1B"/>
    <w:rsid w:val="0080301F"/>
    <w:rsid w:val="00803E7C"/>
    <w:rsid w:val="00810BF9"/>
    <w:rsid w:val="00812D76"/>
    <w:rsid w:val="00812FDD"/>
    <w:rsid w:val="00814075"/>
    <w:rsid w:val="00814779"/>
    <w:rsid w:val="00820929"/>
    <w:rsid w:val="0082208B"/>
    <w:rsid w:val="00826098"/>
    <w:rsid w:val="00826CB4"/>
    <w:rsid w:val="0082752D"/>
    <w:rsid w:val="0083262D"/>
    <w:rsid w:val="00835E0A"/>
    <w:rsid w:val="008437DE"/>
    <w:rsid w:val="0084600F"/>
    <w:rsid w:val="00847F18"/>
    <w:rsid w:val="00854228"/>
    <w:rsid w:val="00854F80"/>
    <w:rsid w:val="0086089D"/>
    <w:rsid w:val="00860A1F"/>
    <w:rsid w:val="00861D38"/>
    <w:rsid w:val="00865145"/>
    <w:rsid w:val="00866048"/>
    <w:rsid w:val="00866716"/>
    <w:rsid w:val="0087017E"/>
    <w:rsid w:val="00870506"/>
    <w:rsid w:val="008738D6"/>
    <w:rsid w:val="008778CC"/>
    <w:rsid w:val="008815BC"/>
    <w:rsid w:val="008828EF"/>
    <w:rsid w:val="00885EC1"/>
    <w:rsid w:val="00887480"/>
    <w:rsid w:val="0089226A"/>
    <w:rsid w:val="008932AA"/>
    <w:rsid w:val="0089400F"/>
    <w:rsid w:val="008A1478"/>
    <w:rsid w:val="008A1C99"/>
    <w:rsid w:val="008A270A"/>
    <w:rsid w:val="008A5616"/>
    <w:rsid w:val="008A5C5C"/>
    <w:rsid w:val="008A609E"/>
    <w:rsid w:val="008B028A"/>
    <w:rsid w:val="008B0895"/>
    <w:rsid w:val="008B1D3B"/>
    <w:rsid w:val="008B1F7E"/>
    <w:rsid w:val="008B3E1C"/>
    <w:rsid w:val="008B5399"/>
    <w:rsid w:val="008B5C52"/>
    <w:rsid w:val="008B5E47"/>
    <w:rsid w:val="008C0EA4"/>
    <w:rsid w:val="008C255C"/>
    <w:rsid w:val="008C747F"/>
    <w:rsid w:val="008D20D4"/>
    <w:rsid w:val="008D3E88"/>
    <w:rsid w:val="008D4025"/>
    <w:rsid w:val="008D5B7D"/>
    <w:rsid w:val="008D6AED"/>
    <w:rsid w:val="008E1DEE"/>
    <w:rsid w:val="008E2021"/>
    <w:rsid w:val="008E28BC"/>
    <w:rsid w:val="008E309A"/>
    <w:rsid w:val="008E36F1"/>
    <w:rsid w:val="008E605D"/>
    <w:rsid w:val="008E6B07"/>
    <w:rsid w:val="008E6B70"/>
    <w:rsid w:val="008E7365"/>
    <w:rsid w:val="008F25ED"/>
    <w:rsid w:val="008F2E04"/>
    <w:rsid w:val="008F3423"/>
    <w:rsid w:val="008F6579"/>
    <w:rsid w:val="008F66BE"/>
    <w:rsid w:val="008F76CB"/>
    <w:rsid w:val="00900C36"/>
    <w:rsid w:val="00905AF7"/>
    <w:rsid w:val="00905C29"/>
    <w:rsid w:val="00907AB7"/>
    <w:rsid w:val="00912E58"/>
    <w:rsid w:val="0092421E"/>
    <w:rsid w:val="00924C6E"/>
    <w:rsid w:val="009257C8"/>
    <w:rsid w:val="00926BBA"/>
    <w:rsid w:val="00926F13"/>
    <w:rsid w:val="00930579"/>
    <w:rsid w:val="00930C74"/>
    <w:rsid w:val="00931AED"/>
    <w:rsid w:val="009329DB"/>
    <w:rsid w:val="0093400C"/>
    <w:rsid w:val="0093478D"/>
    <w:rsid w:val="00936236"/>
    <w:rsid w:val="00940321"/>
    <w:rsid w:val="0094069B"/>
    <w:rsid w:val="009420DE"/>
    <w:rsid w:val="00944392"/>
    <w:rsid w:val="00945360"/>
    <w:rsid w:val="00945F32"/>
    <w:rsid w:val="0095033E"/>
    <w:rsid w:val="00950542"/>
    <w:rsid w:val="009508FC"/>
    <w:rsid w:val="00952695"/>
    <w:rsid w:val="00952E37"/>
    <w:rsid w:val="00960411"/>
    <w:rsid w:val="00960BCF"/>
    <w:rsid w:val="00960D41"/>
    <w:rsid w:val="0096382C"/>
    <w:rsid w:val="00964CFD"/>
    <w:rsid w:val="00967D2F"/>
    <w:rsid w:val="00970428"/>
    <w:rsid w:val="00971752"/>
    <w:rsid w:val="00973364"/>
    <w:rsid w:val="009766A2"/>
    <w:rsid w:val="00976B33"/>
    <w:rsid w:val="00980815"/>
    <w:rsid w:val="009809EA"/>
    <w:rsid w:val="00982E2D"/>
    <w:rsid w:val="0098604C"/>
    <w:rsid w:val="009864F8"/>
    <w:rsid w:val="009922B2"/>
    <w:rsid w:val="0099517B"/>
    <w:rsid w:val="00995A69"/>
    <w:rsid w:val="00995B75"/>
    <w:rsid w:val="009B04FD"/>
    <w:rsid w:val="009B0FA2"/>
    <w:rsid w:val="009B1481"/>
    <w:rsid w:val="009B5CCF"/>
    <w:rsid w:val="009B6A77"/>
    <w:rsid w:val="009C0D6F"/>
    <w:rsid w:val="009C0D97"/>
    <w:rsid w:val="009C1020"/>
    <w:rsid w:val="009C2264"/>
    <w:rsid w:val="009C2A3E"/>
    <w:rsid w:val="009C57F6"/>
    <w:rsid w:val="009C5EA0"/>
    <w:rsid w:val="009D467F"/>
    <w:rsid w:val="009E0CF8"/>
    <w:rsid w:val="009E2E0A"/>
    <w:rsid w:val="009E4A19"/>
    <w:rsid w:val="009E782D"/>
    <w:rsid w:val="009F0908"/>
    <w:rsid w:val="009F0B95"/>
    <w:rsid w:val="009F1EA4"/>
    <w:rsid w:val="009F3B94"/>
    <w:rsid w:val="00A0049A"/>
    <w:rsid w:val="00A02468"/>
    <w:rsid w:val="00A024F1"/>
    <w:rsid w:val="00A025C0"/>
    <w:rsid w:val="00A03E5D"/>
    <w:rsid w:val="00A10DC6"/>
    <w:rsid w:val="00A119AA"/>
    <w:rsid w:val="00A13DFB"/>
    <w:rsid w:val="00A13E10"/>
    <w:rsid w:val="00A14713"/>
    <w:rsid w:val="00A17EA2"/>
    <w:rsid w:val="00A21CB4"/>
    <w:rsid w:val="00A2591A"/>
    <w:rsid w:val="00A25A61"/>
    <w:rsid w:val="00A301A2"/>
    <w:rsid w:val="00A32D8F"/>
    <w:rsid w:val="00A33A2C"/>
    <w:rsid w:val="00A37CFE"/>
    <w:rsid w:val="00A41279"/>
    <w:rsid w:val="00A41995"/>
    <w:rsid w:val="00A42C59"/>
    <w:rsid w:val="00A43C67"/>
    <w:rsid w:val="00A520FE"/>
    <w:rsid w:val="00A52344"/>
    <w:rsid w:val="00A52890"/>
    <w:rsid w:val="00A52FD4"/>
    <w:rsid w:val="00A56ED0"/>
    <w:rsid w:val="00A63592"/>
    <w:rsid w:val="00A70353"/>
    <w:rsid w:val="00A7099E"/>
    <w:rsid w:val="00A70D34"/>
    <w:rsid w:val="00A71051"/>
    <w:rsid w:val="00A7121F"/>
    <w:rsid w:val="00A71D80"/>
    <w:rsid w:val="00A7469A"/>
    <w:rsid w:val="00A74C35"/>
    <w:rsid w:val="00A77D6C"/>
    <w:rsid w:val="00A80DFE"/>
    <w:rsid w:val="00A83705"/>
    <w:rsid w:val="00A844EC"/>
    <w:rsid w:val="00A858C8"/>
    <w:rsid w:val="00A86E73"/>
    <w:rsid w:val="00A94A09"/>
    <w:rsid w:val="00A971CF"/>
    <w:rsid w:val="00AA07F8"/>
    <w:rsid w:val="00AA10B9"/>
    <w:rsid w:val="00AA2A0C"/>
    <w:rsid w:val="00AA3679"/>
    <w:rsid w:val="00AA7121"/>
    <w:rsid w:val="00AB3A07"/>
    <w:rsid w:val="00AB5CBF"/>
    <w:rsid w:val="00AB7108"/>
    <w:rsid w:val="00AC22EB"/>
    <w:rsid w:val="00AC69E8"/>
    <w:rsid w:val="00AD1139"/>
    <w:rsid w:val="00AD21A4"/>
    <w:rsid w:val="00AD54BC"/>
    <w:rsid w:val="00AD7A4B"/>
    <w:rsid w:val="00AE1BCA"/>
    <w:rsid w:val="00AE3131"/>
    <w:rsid w:val="00AE460C"/>
    <w:rsid w:val="00AF12C4"/>
    <w:rsid w:val="00AF29FC"/>
    <w:rsid w:val="00AF40DC"/>
    <w:rsid w:val="00AF50F8"/>
    <w:rsid w:val="00AF5A8C"/>
    <w:rsid w:val="00B0042A"/>
    <w:rsid w:val="00B00671"/>
    <w:rsid w:val="00B01AAB"/>
    <w:rsid w:val="00B03D2C"/>
    <w:rsid w:val="00B065DF"/>
    <w:rsid w:val="00B0779F"/>
    <w:rsid w:val="00B119A0"/>
    <w:rsid w:val="00B123DB"/>
    <w:rsid w:val="00B15CBB"/>
    <w:rsid w:val="00B1778B"/>
    <w:rsid w:val="00B231D4"/>
    <w:rsid w:val="00B26E4A"/>
    <w:rsid w:val="00B2778A"/>
    <w:rsid w:val="00B27B98"/>
    <w:rsid w:val="00B30099"/>
    <w:rsid w:val="00B3388C"/>
    <w:rsid w:val="00B34A73"/>
    <w:rsid w:val="00B35049"/>
    <w:rsid w:val="00B366CD"/>
    <w:rsid w:val="00B404A4"/>
    <w:rsid w:val="00B41CF6"/>
    <w:rsid w:val="00B41E9F"/>
    <w:rsid w:val="00B4280D"/>
    <w:rsid w:val="00B46310"/>
    <w:rsid w:val="00B464EA"/>
    <w:rsid w:val="00B50485"/>
    <w:rsid w:val="00B50C45"/>
    <w:rsid w:val="00B51AB1"/>
    <w:rsid w:val="00B51BB8"/>
    <w:rsid w:val="00B522EB"/>
    <w:rsid w:val="00B52592"/>
    <w:rsid w:val="00B53FEB"/>
    <w:rsid w:val="00B56368"/>
    <w:rsid w:val="00B60FD5"/>
    <w:rsid w:val="00B6133D"/>
    <w:rsid w:val="00B61FB5"/>
    <w:rsid w:val="00B6240F"/>
    <w:rsid w:val="00B63850"/>
    <w:rsid w:val="00B63F5D"/>
    <w:rsid w:val="00B66730"/>
    <w:rsid w:val="00B67EB1"/>
    <w:rsid w:val="00B7228F"/>
    <w:rsid w:val="00B75373"/>
    <w:rsid w:val="00B76268"/>
    <w:rsid w:val="00B762A7"/>
    <w:rsid w:val="00B80260"/>
    <w:rsid w:val="00B81C02"/>
    <w:rsid w:val="00B820C3"/>
    <w:rsid w:val="00B82C39"/>
    <w:rsid w:val="00B832C7"/>
    <w:rsid w:val="00B83990"/>
    <w:rsid w:val="00B85D31"/>
    <w:rsid w:val="00B85EF5"/>
    <w:rsid w:val="00B86356"/>
    <w:rsid w:val="00B86A48"/>
    <w:rsid w:val="00B90575"/>
    <w:rsid w:val="00B94179"/>
    <w:rsid w:val="00B94978"/>
    <w:rsid w:val="00B9500A"/>
    <w:rsid w:val="00B9626B"/>
    <w:rsid w:val="00B962D6"/>
    <w:rsid w:val="00B96B00"/>
    <w:rsid w:val="00B96F46"/>
    <w:rsid w:val="00BA1B69"/>
    <w:rsid w:val="00BB0A16"/>
    <w:rsid w:val="00BB2766"/>
    <w:rsid w:val="00BB5287"/>
    <w:rsid w:val="00BB58BE"/>
    <w:rsid w:val="00BB6B96"/>
    <w:rsid w:val="00BB7093"/>
    <w:rsid w:val="00BB799B"/>
    <w:rsid w:val="00BC132D"/>
    <w:rsid w:val="00BC2243"/>
    <w:rsid w:val="00BC26CE"/>
    <w:rsid w:val="00BC3F97"/>
    <w:rsid w:val="00BC4817"/>
    <w:rsid w:val="00BC5463"/>
    <w:rsid w:val="00BC5580"/>
    <w:rsid w:val="00BC7A8C"/>
    <w:rsid w:val="00BD0714"/>
    <w:rsid w:val="00BD1C65"/>
    <w:rsid w:val="00BD4E24"/>
    <w:rsid w:val="00BD572E"/>
    <w:rsid w:val="00BE0462"/>
    <w:rsid w:val="00BE0F69"/>
    <w:rsid w:val="00BE0F87"/>
    <w:rsid w:val="00BF0501"/>
    <w:rsid w:val="00BF53B0"/>
    <w:rsid w:val="00C00BD5"/>
    <w:rsid w:val="00C00C90"/>
    <w:rsid w:val="00C00F67"/>
    <w:rsid w:val="00C01DFE"/>
    <w:rsid w:val="00C02B73"/>
    <w:rsid w:val="00C02C35"/>
    <w:rsid w:val="00C0333B"/>
    <w:rsid w:val="00C0479E"/>
    <w:rsid w:val="00C04E2E"/>
    <w:rsid w:val="00C04E75"/>
    <w:rsid w:val="00C05C7E"/>
    <w:rsid w:val="00C114D5"/>
    <w:rsid w:val="00C114F4"/>
    <w:rsid w:val="00C15F3A"/>
    <w:rsid w:val="00C17928"/>
    <w:rsid w:val="00C2132D"/>
    <w:rsid w:val="00C2443A"/>
    <w:rsid w:val="00C24573"/>
    <w:rsid w:val="00C260C0"/>
    <w:rsid w:val="00C315D8"/>
    <w:rsid w:val="00C3580A"/>
    <w:rsid w:val="00C35F2C"/>
    <w:rsid w:val="00C360B7"/>
    <w:rsid w:val="00C3629D"/>
    <w:rsid w:val="00C37A69"/>
    <w:rsid w:val="00C41676"/>
    <w:rsid w:val="00C4205B"/>
    <w:rsid w:val="00C430BB"/>
    <w:rsid w:val="00C444D4"/>
    <w:rsid w:val="00C453FF"/>
    <w:rsid w:val="00C46FF0"/>
    <w:rsid w:val="00C47DA8"/>
    <w:rsid w:val="00C507A2"/>
    <w:rsid w:val="00C50CC9"/>
    <w:rsid w:val="00C52DE7"/>
    <w:rsid w:val="00C55457"/>
    <w:rsid w:val="00C55703"/>
    <w:rsid w:val="00C60729"/>
    <w:rsid w:val="00C65588"/>
    <w:rsid w:val="00C677AE"/>
    <w:rsid w:val="00C702CF"/>
    <w:rsid w:val="00C704E0"/>
    <w:rsid w:val="00C70FBA"/>
    <w:rsid w:val="00C727FF"/>
    <w:rsid w:val="00C7430E"/>
    <w:rsid w:val="00C80058"/>
    <w:rsid w:val="00C82332"/>
    <w:rsid w:val="00C858AB"/>
    <w:rsid w:val="00C86748"/>
    <w:rsid w:val="00C869E3"/>
    <w:rsid w:val="00C86D26"/>
    <w:rsid w:val="00C87970"/>
    <w:rsid w:val="00C90951"/>
    <w:rsid w:val="00C90A77"/>
    <w:rsid w:val="00CA022C"/>
    <w:rsid w:val="00CA4590"/>
    <w:rsid w:val="00CA6406"/>
    <w:rsid w:val="00CB0831"/>
    <w:rsid w:val="00CB3504"/>
    <w:rsid w:val="00CC1CAD"/>
    <w:rsid w:val="00CC2775"/>
    <w:rsid w:val="00CC49C3"/>
    <w:rsid w:val="00CC4B12"/>
    <w:rsid w:val="00CC6D13"/>
    <w:rsid w:val="00CC7B18"/>
    <w:rsid w:val="00CD29A9"/>
    <w:rsid w:val="00CD333A"/>
    <w:rsid w:val="00CD5A26"/>
    <w:rsid w:val="00CD6B4E"/>
    <w:rsid w:val="00CE4387"/>
    <w:rsid w:val="00CE622B"/>
    <w:rsid w:val="00CF14B3"/>
    <w:rsid w:val="00CF172C"/>
    <w:rsid w:val="00CF196F"/>
    <w:rsid w:val="00CF61D3"/>
    <w:rsid w:val="00D03E6C"/>
    <w:rsid w:val="00D1124F"/>
    <w:rsid w:val="00D12E12"/>
    <w:rsid w:val="00D13727"/>
    <w:rsid w:val="00D16C3A"/>
    <w:rsid w:val="00D1703C"/>
    <w:rsid w:val="00D17BB7"/>
    <w:rsid w:val="00D17E14"/>
    <w:rsid w:val="00D201E2"/>
    <w:rsid w:val="00D215A2"/>
    <w:rsid w:val="00D22B4D"/>
    <w:rsid w:val="00D23C0A"/>
    <w:rsid w:val="00D26084"/>
    <w:rsid w:val="00D273EF"/>
    <w:rsid w:val="00D27D95"/>
    <w:rsid w:val="00D301EE"/>
    <w:rsid w:val="00D30BDF"/>
    <w:rsid w:val="00D31EFC"/>
    <w:rsid w:val="00D350A8"/>
    <w:rsid w:val="00D400ED"/>
    <w:rsid w:val="00D408BF"/>
    <w:rsid w:val="00D436DB"/>
    <w:rsid w:val="00D46BCD"/>
    <w:rsid w:val="00D506F2"/>
    <w:rsid w:val="00D51A14"/>
    <w:rsid w:val="00D51DDF"/>
    <w:rsid w:val="00D55D01"/>
    <w:rsid w:val="00D56FB6"/>
    <w:rsid w:val="00D6422E"/>
    <w:rsid w:val="00D668C5"/>
    <w:rsid w:val="00D66C31"/>
    <w:rsid w:val="00D67A0D"/>
    <w:rsid w:val="00D70A41"/>
    <w:rsid w:val="00D710D4"/>
    <w:rsid w:val="00D7509C"/>
    <w:rsid w:val="00D762E7"/>
    <w:rsid w:val="00D77159"/>
    <w:rsid w:val="00D857B7"/>
    <w:rsid w:val="00D87720"/>
    <w:rsid w:val="00D9225F"/>
    <w:rsid w:val="00D971EA"/>
    <w:rsid w:val="00D9733D"/>
    <w:rsid w:val="00DA12D2"/>
    <w:rsid w:val="00DA4D6E"/>
    <w:rsid w:val="00DA4EAB"/>
    <w:rsid w:val="00DA5F36"/>
    <w:rsid w:val="00DA70EE"/>
    <w:rsid w:val="00DB2930"/>
    <w:rsid w:val="00DB3452"/>
    <w:rsid w:val="00DD02B3"/>
    <w:rsid w:val="00DD1263"/>
    <w:rsid w:val="00DD194D"/>
    <w:rsid w:val="00DD30E8"/>
    <w:rsid w:val="00DD4144"/>
    <w:rsid w:val="00DD513C"/>
    <w:rsid w:val="00DD749B"/>
    <w:rsid w:val="00DE1071"/>
    <w:rsid w:val="00DE465A"/>
    <w:rsid w:val="00DE4A16"/>
    <w:rsid w:val="00DE64AF"/>
    <w:rsid w:val="00DF0E06"/>
    <w:rsid w:val="00DF1C8D"/>
    <w:rsid w:val="00DF1DA8"/>
    <w:rsid w:val="00DF3BCE"/>
    <w:rsid w:val="00DF4AE5"/>
    <w:rsid w:val="00E0001D"/>
    <w:rsid w:val="00E0279C"/>
    <w:rsid w:val="00E02D36"/>
    <w:rsid w:val="00E03872"/>
    <w:rsid w:val="00E0566B"/>
    <w:rsid w:val="00E05979"/>
    <w:rsid w:val="00E10D9A"/>
    <w:rsid w:val="00E11A60"/>
    <w:rsid w:val="00E1295A"/>
    <w:rsid w:val="00E14C63"/>
    <w:rsid w:val="00E14FDA"/>
    <w:rsid w:val="00E15901"/>
    <w:rsid w:val="00E16C2F"/>
    <w:rsid w:val="00E16C73"/>
    <w:rsid w:val="00E1720F"/>
    <w:rsid w:val="00E2173D"/>
    <w:rsid w:val="00E22353"/>
    <w:rsid w:val="00E23A50"/>
    <w:rsid w:val="00E25814"/>
    <w:rsid w:val="00E32178"/>
    <w:rsid w:val="00E33E65"/>
    <w:rsid w:val="00E3728A"/>
    <w:rsid w:val="00E404BC"/>
    <w:rsid w:val="00E424AC"/>
    <w:rsid w:val="00E454EA"/>
    <w:rsid w:val="00E500BA"/>
    <w:rsid w:val="00E50F0A"/>
    <w:rsid w:val="00E516EE"/>
    <w:rsid w:val="00E525D9"/>
    <w:rsid w:val="00E614BC"/>
    <w:rsid w:val="00E616F0"/>
    <w:rsid w:val="00E63496"/>
    <w:rsid w:val="00E64144"/>
    <w:rsid w:val="00E66667"/>
    <w:rsid w:val="00E6756D"/>
    <w:rsid w:val="00E67B23"/>
    <w:rsid w:val="00E67E70"/>
    <w:rsid w:val="00E70358"/>
    <w:rsid w:val="00E70527"/>
    <w:rsid w:val="00E75942"/>
    <w:rsid w:val="00E75D60"/>
    <w:rsid w:val="00E76A6F"/>
    <w:rsid w:val="00E90938"/>
    <w:rsid w:val="00E94A62"/>
    <w:rsid w:val="00E95336"/>
    <w:rsid w:val="00E9729B"/>
    <w:rsid w:val="00EA3968"/>
    <w:rsid w:val="00EA5BE9"/>
    <w:rsid w:val="00EA7FE9"/>
    <w:rsid w:val="00EB16F8"/>
    <w:rsid w:val="00EB3C9A"/>
    <w:rsid w:val="00EB712C"/>
    <w:rsid w:val="00EC7882"/>
    <w:rsid w:val="00ED0A81"/>
    <w:rsid w:val="00ED0EA0"/>
    <w:rsid w:val="00ED3152"/>
    <w:rsid w:val="00ED3179"/>
    <w:rsid w:val="00ED3360"/>
    <w:rsid w:val="00ED66D1"/>
    <w:rsid w:val="00ED6908"/>
    <w:rsid w:val="00EE076B"/>
    <w:rsid w:val="00EE1D2C"/>
    <w:rsid w:val="00EE22CC"/>
    <w:rsid w:val="00EE4195"/>
    <w:rsid w:val="00EF0B73"/>
    <w:rsid w:val="00EF3586"/>
    <w:rsid w:val="00EF4AD6"/>
    <w:rsid w:val="00EF4E3E"/>
    <w:rsid w:val="00EF50B8"/>
    <w:rsid w:val="00EF650C"/>
    <w:rsid w:val="00EF77BA"/>
    <w:rsid w:val="00F04335"/>
    <w:rsid w:val="00F050E9"/>
    <w:rsid w:val="00F05A58"/>
    <w:rsid w:val="00F10136"/>
    <w:rsid w:val="00F11DCD"/>
    <w:rsid w:val="00F134B1"/>
    <w:rsid w:val="00F14924"/>
    <w:rsid w:val="00F14D74"/>
    <w:rsid w:val="00F15A69"/>
    <w:rsid w:val="00F23DF8"/>
    <w:rsid w:val="00F23E3F"/>
    <w:rsid w:val="00F25C54"/>
    <w:rsid w:val="00F26A37"/>
    <w:rsid w:val="00F26E15"/>
    <w:rsid w:val="00F3429A"/>
    <w:rsid w:val="00F34A7A"/>
    <w:rsid w:val="00F34C98"/>
    <w:rsid w:val="00F40023"/>
    <w:rsid w:val="00F447FE"/>
    <w:rsid w:val="00F454E2"/>
    <w:rsid w:val="00F46E30"/>
    <w:rsid w:val="00F473FF"/>
    <w:rsid w:val="00F5267C"/>
    <w:rsid w:val="00F52865"/>
    <w:rsid w:val="00F53D90"/>
    <w:rsid w:val="00F53F56"/>
    <w:rsid w:val="00F55441"/>
    <w:rsid w:val="00F61FC9"/>
    <w:rsid w:val="00F62917"/>
    <w:rsid w:val="00F62BAB"/>
    <w:rsid w:val="00F63E0D"/>
    <w:rsid w:val="00F64A6F"/>
    <w:rsid w:val="00F72A8A"/>
    <w:rsid w:val="00F74220"/>
    <w:rsid w:val="00F77FF7"/>
    <w:rsid w:val="00F839F8"/>
    <w:rsid w:val="00F83E37"/>
    <w:rsid w:val="00F94896"/>
    <w:rsid w:val="00F97210"/>
    <w:rsid w:val="00F97E14"/>
    <w:rsid w:val="00FA00E5"/>
    <w:rsid w:val="00FA0F7B"/>
    <w:rsid w:val="00FA26F3"/>
    <w:rsid w:val="00FA4CC7"/>
    <w:rsid w:val="00FA717D"/>
    <w:rsid w:val="00FB0664"/>
    <w:rsid w:val="00FB1BFD"/>
    <w:rsid w:val="00FB2108"/>
    <w:rsid w:val="00FB4A38"/>
    <w:rsid w:val="00FB7355"/>
    <w:rsid w:val="00FC11BA"/>
    <w:rsid w:val="00FC30A2"/>
    <w:rsid w:val="00FC3EE7"/>
    <w:rsid w:val="00FC6722"/>
    <w:rsid w:val="00FD349F"/>
    <w:rsid w:val="00FD4B35"/>
    <w:rsid w:val="00FE0203"/>
    <w:rsid w:val="00FF15DF"/>
    <w:rsid w:val="00FF369A"/>
    <w:rsid w:val="00FF36D8"/>
    <w:rsid w:val="00FF701F"/>
    <w:rsid w:val="00FF763D"/>
    <w:rsid w:val="03FF78E8"/>
    <w:rsid w:val="0448F933"/>
    <w:rsid w:val="061A7DEA"/>
    <w:rsid w:val="091653FA"/>
    <w:rsid w:val="0A56B7CF"/>
    <w:rsid w:val="0BC6E2F2"/>
    <w:rsid w:val="0D2E76E9"/>
    <w:rsid w:val="0D52C36F"/>
    <w:rsid w:val="0E50FDC6"/>
    <w:rsid w:val="0E71A9FB"/>
    <w:rsid w:val="0EE1DC10"/>
    <w:rsid w:val="103B0F56"/>
    <w:rsid w:val="113B556C"/>
    <w:rsid w:val="148CB1F7"/>
    <w:rsid w:val="152C3B62"/>
    <w:rsid w:val="155B96C4"/>
    <w:rsid w:val="18A080E6"/>
    <w:rsid w:val="190CE6AC"/>
    <w:rsid w:val="19ED96D2"/>
    <w:rsid w:val="1AF3D41F"/>
    <w:rsid w:val="1CB1915A"/>
    <w:rsid w:val="1EA0D0FA"/>
    <w:rsid w:val="1F235407"/>
    <w:rsid w:val="22F33DE4"/>
    <w:rsid w:val="23F46F5F"/>
    <w:rsid w:val="243F5A9B"/>
    <w:rsid w:val="2461AC1C"/>
    <w:rsid w:val="271A6FA8"/>
    <w:rsid w:val="27A8573C"/>
    <w:rsid w:val="292E7ACF"/>
    <w:rsid w:val="296C93F1"/>
    <w:rsid w:val="2A39C060"/>
    <w:rsid w:val="2A64E930"/>
    <w:rsid w:val="2AE4DE70"/>
    <w:rsid w:val="2B0BDA85"/>
    <w:rsid w:val="2C0A0C29"/>
    <w:rsid w:val="2CE63A56"/>
    <w:rsid w:val="2FADDBD4"/>
    <w:rsid w:val="303FE90E"/>
    <w:rsid w:val="30F318D9"/>
    <w:rsid w:val="329020BB"/>
    <w:rsid w:val="37C10D15"/>
    <w:rsid w:val="388FF1E2"/>
    <w:rsid w:val="3A636655"/>
    <w:rsid w:val="3B2C9BC5"/>
    <w:rsid w:val="3EFBA696"/>
    <w:rsid w:val="466632F1"/>
    <w:rsid w:val="49E0B246"/>
    <w:rsid w:val="4BFA7538"/>
    <w:rsid w:val="4D644767"/>
    <w:rsid w:val="4F2F20A2"/>
    <w:rsid w:val="4FCFE59A"/>
    <w:rsid w:val="4FEFF1C6"/>
    <w:rsid w:val="5091CF94"/>
    <w:rsid w:val="50E41960"/>
    <w:rsid w:val="55B3214B"/>
    <w:rsid w:val="580A4644"/>
    <w:rsid w:val="58F45549"/>
    <w:rsid w:val="5A7B5466"/>
    <w:rsid w:val="5B793C9C"/>
    <w:rsid w:val="5C494C4D"/>
    <w:rsid w:val="5C7F00A3"/>
    <w:rsid w:val="5CB05E6E"/>
    <w:rsid w:val="5E20E8AE"/>
    <w:rsid w:val="5EC3A8BB"/>
    <w:rsid w:val="658B55B8"/>
    <w:rsid w:val="66A6827B"/>
    <w:rsid w:val="672FE57E"/>
    <w:rsid w:val="6783DF98"/>
    <w:rsid w:val="69B848F8"/>
    <w:rsid w:val="70B5C5F6"/>
    <w:rsid w:val="7141BF2C"/>
    <w:rsid w:val="7157DA92"/>
    <w:rsid w:val="71FFFF9F"/>
    <w:rsid w:val="726348EF"/>
    <w:rsid w:val="727451F0"/>
    <w:rsid w:val="7706669D"/>
    <w:rsid w:val="7B7326C8"/>
    <w:rsid w:val="7F2DBB7F"/>
    <w:rsid w:val="7F9B62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D9CEC6"/>
  <w15:docId w15:val="{F70E4CD0-33B5-434E-94BB-9CD37AA2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character" w:styleId="UnresolvedMention">
    <w:name w:val="Unresolved Mention"/>
    <w:basedOn w:val="DefaultParagraphFont"/>
    <w:uiPriority w:val="99"/>
    <w:semiHidden/>
    <w:unhideWhenUsed/>
    <w:rsid w:val="001878BD"/>
    <w:rPr>
      <w:color w:val="605E5C"/>
      <w:shd w:val="clear" w:color="auto" w:fill="E1DFDD"/>
    </w:rPr>
  </w:style>
  <w:style w:type="table" w:styleId="TableGrid">
    <w:name w:val="Table Grid"/>
    <w:basedOn w:val="TableNormal"/>
    <w:uiPriority w:val="59"/>
    <w:rsid w:val="00C0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D0DFA0A0-7711-463F-BAC0-B5ADB1A12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55668721-26FD-401A-BABD-7959B1B6BA5C}">
  <ds:schemaRefs>
    <ds:schemaRef ds:uri="http://schemas.openxmlformats.org/officeDocument/2006/bibliography"/>
  </ds:schemaRefs>
</ds:datastoreItem>
</file>

<file path=customXml/itemProps4.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2505</Words>
  <Characters>14279</Characters>
  <Application>Microsoft Office Word</Application>
  <DocSecurity>0</DocSecurity>
  <Lines>118</Lines>
  <Paragraphs>33</Paragraphs>
  <ScaleCrop>false</ScaleCrop>
  <Company>Federal Energy Regulatory Commission</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anthony.may@ferc.gov</dc:creator>
  <cp:lastModifiedBy>Jean Sonneman</cp:lastModifiedBy>
  <cp:revision>97</cp:revision>
  <cp:lastPrinted>2020-02-12T04:33:00Z</cp:lastPrinted>
  <dcterms:created xsi:type="dcterms:W3CDTF">2023-12-15T15:26:00Z</dcterms:created>
  <dcterms:modified xsi:type="dcterms:W3CDTF">2023-12-19T21:12:00Z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b71839f5-3c33-49ad-b3f6-3d8df5a7bb39</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2021-09-17T22:37:49Z</vt:lpwstr>
  </property>
  <property fmtid="{D5CDD505-2E9C-101B-9397-08002B2CF9AE}" pid="10" name="MSIP_Label_6155a89b-0f08-4a93-8ea2-8a916d6643b5_SiteId">
    <vt:lpwstr>19caa9e9-04ff-43fa-885f-d77fac387903</vt:lpwstr>
  </property>
</Properties>
</file>