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P="00A2604E" w14:paraId="1502CB1A" w14:textId="44E8076E">
      <w:pPr>
        <w:jc w:val="center"/>
      </w:pPr>
      <w:r>
        <w:t>UNITED STATES OF AMERICA</w:t>
      </w:r>
    </w:p>
    <w:p w:rsidR="00A2604E" w:rsidP="00A2604E" w14:paraId="273661E3" w14:textId="77777777">
      <w:pPr>
        <w:jc w:val="center"/>
      </w:pPr>
      <w:r>
        <w:t>FEDERAL ENERGY REGULATORY COMMISSION</w:t>
      </w:r>
    </w:p>
    <w:p w:rsidR="00A2604E" w:rsidP="00A2604E" w14:paraId="6C561934" w14:textId="77777777"/>
    <w:p w:rsidR="00A2604E" w:rsidP="00A2604E" w14:paraId="3E11D4A1" w14:textId="086CC70D">
      <w:pPr>
        <w:jc w:val="center"/>
      </w:pPr>
      <w:r w:rsidRPr="00980E58">
        <w:t>[</w:t>
      </w:r>
      <w:r w:rsidRPr="007633DD">
        <w:t>Docket No</w:t>
      </w:r>
      <w:r w:rsidRPr="00413FDE">
        <w:t xml:space="preserve">. </w:t>
      </w:r>
      <w:r w:rsidRPr="00413FDE" w:rsidR="00613169">
        <w:t>IC</w:t>
      </w:r>
      <w:r w:rsidR="007F7B74">
        <w:t>2</w:t>
      </w:r>
      <w:r w:rsidR="00F50C7E">
        <w:t>4</w:t>
      </w:r>
      <w:r w:rsidRPr="00413FDE" w:rsidR="00613169">
        <w:t>-</w:t>
      </w:r>
      <w:r w:rsidR="008B60BD">
        <w:t>0</w:t>
      </w:r>
      <w:r w:rsidR="009907E2">
        <w:t>1</w:t>
      </w:r>
      <w:r w:rsidRPr="00413FDE" w:rsidR="00613169">
        <w:t>-000</w:t>
      </w:r>
      <w:r w:rsidRPr="00413FDE">
        <w:t>]</w:t>
      </w:r>
    </w:p>
    <w:p w:rsidR="00A2604E" w:rsidP="00A2604E" w14:paraId="4D16FE54" w14:textId="77777777"/>
    <w:p w:rsidR="007272B4" w:rsidP="00A2604E" w14:paraId="26C019BC" w14:textId="77777777">
      <w:pPr>
        <w:jc w:val="center"/>
      </w:pPr>
      <w:r>
        <w:t xml:space="preserve">COMMISSION INFORMATION COLLECTION ACTIVITIES </w:t>
      </w:r>
    </w:p>
    <w:p w:rsidR="00A2604E" w:rsidP="00A2604E" w14:paraId="0627AE31" w14:textId="45FE8339">
      <w:pPr>
        <w:jc w:val="center"/>
      </w:pPr>
      <w:r>
        <w:t>(FERC</w:t>
      </w:r>
      <w:r w:rsidR="00F50C7E">
        <w:t xml:space="preserve"> Form </w:t>
      </w:r>
      <w:r w:rsidR="007272B4">
        <w:t xml:space="preserve">Nos. </w:t>
      </w:r>
      <w:r w:rsidR="00F50C7E">
        <w:t>2 and 2</w:t>
      </w:r>
      <w:r w:rsidR="007272B4">
        <w:t>-</w:t>
      </w:r>
      <w:r w:rsidR="00F50C7E">
        <w:t>A</w:t>
      </w:r>
      <w:r>
        <w:t>)</w:t>
      </w:r>
      <w:r w:rsidR="007272B4">
        <w:t>;</w:t>
      </w:r>
      <w:r w:rsidR="002673C4">
        <w:t xml:space="preserve"> </w:t>
      </w:r>
    </w:p>
    <w:p w:rsidR="00A2604E" w:rsidP="00A2604E" w14:paraId="3B5240D4" w14:textId="77777777">
      <w:pPr>
        <w:jc w:val="center"/>
      </w:pPr>
      <w:r>
        <w:t>COMMENT REQUEST; EXTENSION</w:t>
      </w:r>
    </w:p>
    <w:p w:rsidR="00881405" w:rsidP="00A2604E" w14:paraId="5D8DD33D" w14:textId="77777777">
      <w:pPr>
        <w:jc w:val="center"/>
      </w:pPr>
    </w:p>
    <w:p w:rsidR="009562A5" w:rsidP="00EE33B9" w14:paraId="43EDA0D7" w14:textId="6EF4B5E2">
      <w:pPr>
        <w:jc w:val="center"/>
      </w:pPr>
      <w:r w:rsidRPr="00EE33B9">
        <w:t>(</w:t>
      </w:r>
      <w:r w:rsidR="00DA59A2">
        <w:t>D</w:t>
      </w:r>
      <w:r w:rsidR="00F50C7E">
        <w:t>ATE</w:t>
      </w:r>
      <w:r w:rsidRPr="00EE33B9">
        <w:t>)</w:t>
      </w:r>
    </w:p>
    <w:p w:rsidR="00EE33B9" w:rsidRPr="00EE33B9" w:rsidP="00EE33B9" w14:paraId="4F4A1DEC" w14:textId="77777777"/>
    <w:p w:rsidR="00651CE5" w:rsidP="00651CE5" w14:paraId="5DE1B7EA" w14:textId="77777777">
      <w:r w:rsidRPr="00AB4DBF">
        <w:rPr>
          <w:b/>
        </w:rPr>
        <w:t>AGENCY:</w:t>
      </w:r>
      <w:r w:rsidRPr="00AB4DBF">
        <w:t xml:space="preserve">  Federal Energy Regulatory Commission.</w:t>
      </w:r>
    </w:p>
    <w:p w:rsidR="00651CE5" w:rsidRPr="00AB4DBF" w:rsidP="00651CE5" w14:paraId="3759706A" w14:textId="77777777"/>
    <w:p w:rsidR="00651CE5" w:rsidP="00651CE5" w14:paraId="7D3A5544" w14:textId="77777777">
      <w:pPr>
        <w:spacing w:line="480" w:lineRule="auto"/>
      </w:pPr>
      <w:r w:rsidRPr="00CE64F2">
        <w:rPr>
          <w:b/>
        </w:rPr>
        <w:t>ACTION:</w:t>
      </w:r>
      <w:r>
        <w:t xml:space="preserve">  </w:t>
      </w:r>
      <w:bookmarkStart w:id="0" w:name="_Hlk68091542"/>
      <w:r>
        <w:t xml:space="preserve">Notice of information collection </w:t>
      </w:r>
      <w:bookmarkEnd w:id="0"/>
      <w:r>
        <w:t>and request for comments.</w:t>
      </w:r>
    </w:p>
    <w:p w:rsidR="00651CE5" w:rsidRPr="00F50C7E" w:rsidP="00651CE5" w14:paraId="41E60BD6" w14:textId="56B0E419">
      <w:pPr>
        <w:spacing w:after="160" w:line="480" w:lineRule="auto"/>
        <w:rPr>
          <w:b/>
        </w:rPr>
      </w:pPr>
      <w:r w:rsidRPr="00CE64F2">
        <w:rPr>
          <w:b/>
        </w:rPr>
        <w:t>SUMMARY:</w:t>
      </w:r>
      <w:r>
        <w:t xml:space="preserve">  </w:t>
      </w:r>
      <w:bookmarkStart w:id="1" w:name="_Hlk102460280"/>
      <w:r>
        <w:t>In compliance with the requirements of the Paperwork Reduction Act of 1995 (PRA), the Federal Energy Regulatory Commission (Commission or FERC) is soliciting public comment on the currently approved information collection</w:t>
      </w:r>
      <w:r w:rsidRPr="009907E2" w:rsidR="009907E2">
        <w:t xml:space="preserve">, </w:t>
      </w:r>
      <w:bookmarkStart w:id="2" w:name="_Hlk33695773"/>
      <w:r w:rsidRPr="00F50C7E" w:rsidR="00F50C7E">
        <w:t>FERC Form No. 2 (Annual Report for Major Natural Gas Companies)</w:t>
      </w:r>
      <w:r w:rsidRPr="00F50C7E" w:rsidR="00F50C7E">
        <w:rPr>
          <w:b/>
        </w:rPr>
        <w:t xml:space="preserve"> </w:t>
      </w:r>
      <w:r w:rsidRPr="009A4B72" w:rsidR="00F50C7E">
        <w:rPr>
          <w:bCs/>
        </w:rPr>
        <w:t>and</w:t>
      </w:r>
      <w:r w:rsidRPr="00F50C7E" w:rsidR="00F50C7E">
        <w:rPr>
          <w:b/>
        </w:rPr>
        <w:t xml:space="preserve"> </w:t>
      </w:r>
      <w:r w:rsidRPr="00F50C7E" w:rsidR="00F50C7E">
        <w:t>FERC Form No. 2-A (Annual Report for Non-Major Natural Gas Companies)</w:t>
      </w:r>
      <w:bookmarkEnd w:id="2"/>
      <w:r w:rsidRPr="128FFB1D">
        <w:rPr>
          <w:rFonts w:eastAsiaTheme="minorEastAsia"/>
        </w:rPr>
        <w:t xml:space="preserve">, which will be submitted to the Office of Management and Budget (OMB) for review.  No Comments were received on the 60-day notice published on </w:t>
      </w:r>
      <w:r w:rsidR="00F50C7E">
        <w:rPr>
          <w:rFonts w:eastAsiaTheme="minorEastAsia"/>
        </w:rPr>
        <w:t>November 9</w:t>
      </w:r>
      <w:r w:rsidR="009907E2">
        <w:rPr>
          <w:rFonts w:eastAsiaTheme="minorEastAsia"/>
        </w:rPr>
        <w:t xml:space="preserve">, </w:t>
      </w:r>
      <w:r>
        <w:rPr>
          <w:rFonts w:eastAsiaTheme="minorEastAsia"/>
        </w:rPr>
        <w:t>2023</w:t>
      </w:r>
      <w:r w:rsidRPr="128FFB1D">
        <w:rPr>
          <w:rFonts w:eastAsiaTheme="minorEastAsia"/>
        </w:rPr>
        <w:t>.</w:t>
      </w:r>
      <w:r>
        <w:rPr>
          <w:rStyle w:val="FootnoteReference"/>
          <w:rFonts w:eastAsiaTheme="minorEastAsia"/>
        </w:rPr>
        <w:footnoteReference w:id="3"/>
      </w:r>
    </w:p>
    <w:bookmarkEnd w:id="1"/>
    <w:p w:rsidR="00651CE5" w:rsidRPr="00524164" w:rsidP="00651CE5" w14:paraId="3160ED94" w14:textId="77777777">
      <w:pPr>
        <w:spacing w:line="480" w:lineRule="auto"/>
      </w:pPr>
      <w:r w:rsidRPr="00CE64F2">
        <w:rPr>
          <w:b/>
        </w:rPr>
        <w:t>DATES:</w:t>
      </w:r>
      <w:r>
        <w:t xml:space="preserve">  Comments on the collection of information are </w:t>
      </w:r>
      <w:r w:rsidRPr="00B24588">
        <w:t>due [</w:t>
      </w:r>
      <w:r>
        <w:rPr>
          <w:b/>
        </w:rPr>
        <w:t>INSERT DATE</w:t>
      </w:r>
      <w:r w:rsidRPr="00A07154">
        <w:rPr>
          <w:b/>
        </w:rPr>
        <w:t xml:space="preserve"> </w:t>
      </w:r>
      <w:r>
        <w:rPr>
          <w:b/>
        </w:rPr>
        <w:t>3</w:t>
      </w:r>
      <w:r w:rsidRPr="00A07154">
        <w:rPr>
          <w:b/>
        </w:rPr>
        <w:t>0 days after date of publication in the Federal Register</w:t>
      </w:r>
      <w:r w:rsidRPr="00524164">
        <w:t xml:space="preserve">]. </w:t>
      </w:r>
    </w:p>
    <w:p w:rsidR="00651CE5" w:rsidRPr="00BB5EF5" w:rsidP="00651CE5" w14:paraId="6E8722A0" w14:textId="422582F2">
      <w:pPr>
        <w:spacing w:line="480" w:lineRule="auto"/>
      </w:pPr>
      <w:r w:rsidRPr="00524164">
        <w:rPr>
          <w:b/>
        </w:rPr>
        <w:t>ADDRESSES:</w:t>
      </w:r>
      <w:r w:rsidRPr="00524164">
        <w:t xml:space="preserve"> </w:t>
      </w:r>
      <w:r w:rsidRPr="00BB5EF5">
        <w:rPr>
          <w:iCs/>
        </w:rPr>
        <w:t>Send written comments on FERC</w:t>
      </w:r>
      <w:r w:rsidR="00D92820">
        <w:rPr>
          <w:iCs/>
        </w:rPr>
        <w:t xml:space="preserve"> </w:t>
      </w:r>
      <w:r w:rsidR="00F50C7E">
        <w:t xml:space="preserve">Form </w:t>
      </w:r>
      <w:r w:rsidR="00D92820">
        <w:t xml:space="preserve">Nos. </w:t>
      </w:r>
      <w:r w:rsidR="00F50C7E">
        <w:t>2 and 2</w:t>
      </w:r>
      <w:r w:rsidR="00D92820">
        <w:t>-</w:t>
      </w:r>
      <w:r w:rsidR="00F50C7E">
        <w:t>A</w:t>
      </w:r>
      <w:r>
        <w:t xml:space="preserve"> </w:t>
      </w:r>
      <w:r w:rsidRPr="00BB5EF5">
        <w:rPr>
          <w:iCs/>
        </w:rPr>
        <w:t xml:space="preserve">to OMB through </w:t>
      </w:r>
      <w:hyperlink r:id="rId9">
        <w:r w:rsidRPr="3D33D731">
          <w:rPr>
            <w:rStyle w:val="Hyperlink"/>
          </w:rPr>
          <w:t>www.reginfo.gov/public/do/PRAMain</w:t>
        </w:r>
      </w:hyperlink>
      <w:r>
        <w:t>.</w:t>
      </w:r>
      <w:r w:rsidRPr="00BB5EF5">
        <w:rPr>
          <w:iCs/>
        </w:rPr>
        <w:t xml:space="preserve">  Attention: Federal Energy Regulatory </w:t>
      </w:r>
      <w:r w:rsidRPr="00BB5EF5">
        <w:rPr>
          <w:iCs/>
        </w:rPr>
        <w:t>Commission Desk Officer.  Please identify the OMB Control Number (1902-0</w:t>
      </w:r>
      <w:r w:rsidR="009907E2">
        <w:rPr>
          <w:iCs/>
        </w:rPr>
        <w:t>303</w:t>
      </w:r>
      <w:r w:rsidRPr="00BB5EF5">
        <w:rPr>
          <w:iCs/>
        </w:rPr>
        <w:t>) in the subject line of your comments.  Comments</w:t>
      </w:r>
      <w:r w:rsidRPr="00BB5EF5">
        <w:t xml:space="preserve"> should be sent </w:t>
      </w:r>
      <w:bookmarkStart w:id="3" w:name="_Hlk35891527"/>
      <w:r w:rsidRPr="00BB5EF5">
        <w:t xml:space="preserve">within 30 days of publication of this notice to </w:t>
      </w:r>
      <w:bookmarkStart w:id="4" w:name="_Hlk38028221"/>
      <w:hyperlink r:id="rId9" w:history="1">
        <w:r w:rsidRPr="00BB5EF5">
          <w:rPr>
            <w:rStyle w:val="Hyperlink"/>
          </w:rPr>
          <w:t>www.reginfo.gov/public/do/PRAMain</w:t>
        </w:r>
      </w:hyperlink>
      <w:r w:rsidRPr="00BB5EF5">
        <w:t>.</w:t>
      </w:r>
      <w:bookmarkEnd w:id="3"/>
      <w:bookmarkEnd w:id="4"/>
    </w:p>
    <w:p w:rsidR="00651CE5" w:rsidRPr="00BB5EF5" w:rsidP="00651CE5" w14:paraId="5148487D" w14:textId="471A4477">
      <w:pPr>
        <w:spacing w:line="480" w:lineRule="auto"/>
      </w:pPr>
      <w:r>
        <w:t>Please submit copies of your comments to the Commission.  You may submit copies of your comments (identified by Docket No. IC2</w:t>
      </w:r>
      <w:r w:rsidR="00E651FA">
        <w:t>4</w:t>
      </w:r>
      <w:r>
        <w:t>-</w:t>
      </w:r>
      <w:r w:rsidR="00F270FD">
        <w:t>0</w:t>
      </w:r>
      <w:r w:rsidR="009907E2">
        <w:t>1</w:t>
      </w:r>
      <w:r>
        <w:t>-000) by one of the following methods:</w:t>
      </w:r>
    </w:p>
    <w:p w:rsidR="00651CE5" w:rsidRPr="00BB5EF5" w:rsidP="00651CE5" w14:paraId="5D11C0B2" w14:textId="77777777">
      <w:pPr>
        <w:spacing w:line="480" w:lineRule="auto"/>
      </w:pPr>
      <w:r>
        <w:t xml:space="preserve">Electronic filing through </w:t>
      </w:r>
      <w:hyperlink r:id="rId10" w:history="1">
        <w:r w:rsidRPr="00FC39BA">
          <w:rPr>
            <w:rStyle w:val="Hyperlink"/>
          </w:rPr>
          <w:t>https://www.ferc.gov</w:t>
        </w:r>
      </w:hyperlink>
      <w:r>
        <w:t>, is preferred.</w:t>
      </w:r>
    </w:p>
    <w:p w:rsidR="00651CE5" w:rsidRPr="00BB5EF5" w:rsidP="00651CE5" w14:paraId="0D1A4BFA" w14:textId="77777777">
      <w:pPr>
        <w:numPr>
          <w:ilvl w:val="0"/>
          <w:numId w:val="6"/>
        </w:numPr>
        <w:spacing w:line="480" w:lineRule="auto"/>
      </w:pPr>
      <w:r w:rsidRPr="00BB5EF5">
        <w:t xml:space="preserve">Electronic Filing: Documents must be filed in acceptable native applications and print-to-PDF, but not in scanned or picture format. </w:t>
      </w:r>
    </w:p>
    <w:p w:rsidR="00651CE5" w:rsidRPr="00BB5EF5" w:rsidP="00651CE5" w14:paraId="44E16B18" w14:textId="77777777">
      <w:pPr>
        <w:numPr>
          <w:ilvl w:val="0"/>
          <w:numId w:val="6"/>
        </w:numPr>
        <w:spacing w:line="480" w:lineRule="auto"/>
      </w:pPr>
      <w:r w:rsidRPr="00BB5EF5">
        <w:t>For those unable to file electronically, comments may be filed by USPS mail or by hand (including courier) delivery.</w:t>
      </w:r>
    </w:p>
    <w:p w:rsidR="00651CE5" w:rsidRPr="00BB5EF5" w:rsidP="00651CE5" w14:paraId="16D6572E" w14:textId="77777777">
      <w:pPr>
        <w:numPr>
          <w:ilvl w:val="1"/>
          <w:numId w:val="6"/>
        </w:numPr>
        <w:spacing w:line="480" w:lineRule="auto"/>
      </w:pPr>
      <w:r w:rsidRPr="00BB5EF5">
        <w:t>Mail via U.S. Postal Service Only: Addressed to: Federal Energy Regulatory Commission, Secretary of the Commission, 888 First Street, N.E., Washington, DC 20426.</w:t>
      </w:r>
    </w:p>
    <w:p w:rsidR="00651CE5" w:rsidRPr="00BB5EF5" w:rsidP="00651CE5" w14:paraId="37DB42EC" w14:textId="77777777">
      <w:pPr>
        <w:numPr>
          <w:ilvl w:val="1"/>
          <w:numId w:val="6"/>
        </w:numPr>
        <w:spacing w:line="480" w:lineRule="auto"/>
      </w:pPr>
      <w:r w:rsidRPr="00BB5EF5">
        <w:t xml:space="preserve">Hand (including courier) delivery: Deliver to: Federal Energy Regulatory Commission, </w:t>
      </w:r>
      <w:r>
        <w:t xml:space="preserve">Secretary of the Commission, </w:t>
      </w:r>
      <w:r w:rsidRPr="00BB5EF5">
        <w:t>12225 Wilkins Avenue, Rockville, MD 20852.</w:t>
      </w:r>
    </w:p>
    <w:p w:rsidR="00651CE5" w:rsidRPr="00BB5EF5" w:rsidP="00651CE5" w14:paraId="71A32EF3" w14:textId="77777777">
      <w:pPr>
        <w:spacing w:line="480" w:lineRule="auto"/>
      </w:pPr>
      <w:bookmarkStart w:id="5" w:name="OLE_LINK1"/>
      <w:r w:rsidRPr="00BB5EF5">
        <w:rPr>
          <w:i/>
        </w:rPr>
        <w:t>Instructions</w:t>
      </w:r>
      <w:r w:rsidRPr="00BB5EF5">
        <w:rPr>
          <w:iCs/>
        </w:rPr>
        <w:t>:</w:t>
      </w:r>
      <w:r w:rsidRPr="00BB5EF5">
        <w:rPr>
          <w:i/>
        </w:rPr>
        <w:t xml:space="preserve">  </w:t>
      </w:r>
      <w:r w:rsidRPr="00BB5EF5">
        <w:rPr>
          <w:iCs/>
        </w:rPr>
        <w:t xml:space="preserve">OMB submissions </w:t>
      </w:r>
      <w:r w:rsidRPr="00BB5EF5">
        <w:t>must be formatted and filed in accordance with submission guidelines at</w:t>
      </w:r>
      <w:r w:rsidRPr="00BB5EF5">
        <w:rPr>
          <w:i/>
        </w:rPr>
        <w:t xml:space="preserve"> </w:t>
      </w:r>
      <w:hyperlink r:id="rId9" w:history="1">
        <w:r w:rsidRPr="00BB5EF5">
          <w:rPr>
            <w:rStyle w:val="Hyperlink"/>
          </w:rPr>
          <w:t>www.reginfo.gov/public/do/PRAMain</w:t>
        </w:r>
      </w:hyperlink>
      <w:r w:rsidRPr="00BB5EF5">
        <w:rPr>
          <w:u w:val="single"/>
        </w:rPr>
        <w:t>.</w:t>
      </w:r>
      <w:r w:rsidRPr="00BB5EF5">
        <w:t xml:space="preserve">  Using the search function under the “Currently Under Review” field, select Federal Energy Regulatory Commission; click “submit,” and select “comment” to the right of the subject collection.</w:t>
      </w:r>
    </w:p>
    <w:p w:rsidR="00651CE5" w:rsidRPr="00BB5EF5" w:rsidP="00651CE5" w14:paraId="1C4D0A9A" w14:textId="77777777">
      <w:pPr>
        <w:spacing w:line="480" w:lineRule="auto"/>
      </w:pPr>
      <w:r w:rsidRPr="009A4B72">
        <w:t>FERC submissions</w:t>
      </w:r>
      <w:r>
        <w:t xml:space="preserve"> </w:t>
      </w:r>
      <w:bookmarkStart w:id="6" w:name="_Hlk38028397"/>
      <w:r>
        <w:t>must be formatted and filed in accordance with submission guidelines at</w:t>
      </w:r>
      <w:bookmarkEnd w:id="6"/>
      <w:r>
        <w:t xml:space="preserve">: </w:t>
      </w:r>
      <w:hyperlink r:id="rId10" w:history="1">
        <w:r w:rsidRPr="00FC39BA">
          <w:rPr>
            <w:rStyle w:val="Hyperlink"/>
          </w:rPr>
          <w:t>https://www.ferc.gov</w:t>
        </w:r>
      </w:hyperlink>
      <w:r>
        <w:t>.  For user assistance, contact FERC Online Support by e-mail at ferconlinesupport@ferc.gov, or by phone at: (866) 208-3676 (toll-free).</w:t>
      </w:r>
    </w:p>
    <w:p w:rsidR="00651CE5" w:rsidRPr="00BB5EF5" w:rsidP="00651CE5" w14:paraId="529C8631" w14:textId="77777777">
      <w:pPr>
        <w:spacing w:line="480" w:lineRule="auto"/>
      </w:pPr>
      <w:r w:rsidRPr="00BB5EF5">
        <w:rPr>
          <w:i/>
        </w:rPr>
        <w:t>Docket</w:t>
      </w:r>
      <w:r w:rsidRPr="00BB5EF5">
        <w:rPr>
          <w:iCs/>
        </w:rPr>
        <w:t xml:space="preserve">:  </w:t>
      </w:r>
      <w:r w:rsidRPr="00BB5EF5">
        <w:t xml:space="preserve">Users interested in receiving automatic notification of activity in this docket or in viewing/downloading comments and issuances in this docket may do so at </w:t>
      </w:r>
      <w:hyperlink r:id="rId11" w:history="1">
        <w:r w:rsidRPr="00BB5EF5">
          <w:rPr>
            <w:rStyle w:val="Hyperlink"/>
          </w:rPr>
          <w:t>https://www.ferc.gov/ferc-online/overview</w:t>
        </w:r>
      </w:hyperlink>
      <w:r w:rsidRPr="00BB5EF5">
        <w:t xml:space="preserve">. </w:t>
      </w:r>
    </w:p>
    <w:bookmarkEnd w:id="5"/>
    <w:p w:rsidR="00651CE5" w:rsidRPr="00651CE5" w:rsidP="00206037" w14:paraId="3014A5B0" w14:textId="739C109B">
      <w:pPr>
        <w:spacing w:line="480" w:lineRule="auto"/>
      </w:pPr>
      <w:r w:rsidRPr="00BB5EF5">
        <w:rPr>
          <w:b/>
        </w:rPr>
        <w:t>FOR FURTHER INFORMATION CONTACT:</w:t>
      </w:r>
      <w:r w:rsidRPr="00BB5EF5">
        <w:t xml:space="preserve">  </w:t>
      </w:r>
      <w:r w:rsidR="001E6BA7">
        <w:t>Jean Sonneman</w:t>
      </w:r>
      <w:r w:rsidRPr="00BB5EF5">
        <w:t xml:space="preserve"> may be reached by e-mail at </w:t>
      </w:r>
      <w:r>
        <w:fldChar w:fldCharType="begin"/>
      </w:r>
      <w:r w:rsidRPr="4B4230D7">
        <w:rPr>
          <w:rStyle w:val="Hyperlink"/>
        </w:rPr>
        <w:instrText xml:space="preserve"> HYPERLINK "mailto:DataClearance@FERC.gov"  \h </w:instrText>
      </w:r>
      <w:r>
        <w:fldChar w:fldCharType="separate"/>
      </w:r>
      <w:r w:rsidRPr="4B4230D7">
        <w:rPr>
          <w:rStyle w:val="Hyperlink"/>
        </w:rPr>
        <w:t>DataClearance@FERC.gov</w:t>
      </w:r>
      <w:r>
        <w:fldChar w:fldCharType="end"/>
      </w:r>
      <w:r w:rsidRPr="00BB5EF5">
        <w:t>, telephone at (202) 502-</w:t>
      </w:r>
      <w:r w:rsidR="001E6BA7">
        <w:t>6362</w:t>
      </w:r>
      <w:r w:rsidRPr="00BB5EF5">
        <w:t>.</w:t>
      </w:r>
      <w:r w:rsidRPr="00524164">
        <w:t xml:space="preserve"> </w:t>
      </w:r>
    </w:p>
    <w:p w:rsidR="00206037" w:rsidRPr="00206037" w:rsidP="00206037" w14:paraId="466885D9" w14:textId="01C9A6E7">
      <w:pPr>
        <w:spacing w:line="480" w:lineRule="auto"/>
      </w:pPr>
      <w:r w:rsidRPr="00206037">
        <w:rPr>
          <w:b/>
        </w:rPr>
        <w:t>SUPPLEMENTARY INFORMATION:</w:t>
      </w:r>
      <w:r w:rsidRPr="00206037">
        <w:t xml:space="preserve">  </w:t>
      </w:r>
    </w:p>
    <w:p w:rsidR="00F50C7E" w:rsidRPr="00765D89" w:rsidP="00F50C7E" w14:paraId="289DBE35" w14:textId="77777777">
      <w:pPr>
        <w:spacing w:line="480" w:lineRule="auto"/>
        <w:rPr>
          <w:i/>
        </w:rPr>
      </w:pPr>
      <w:r>
        <w:rPr>
          <w:i/>
        </w:rPr>
        <w:t xml:space="preserve">Title: </w:t>
      </w:r>
      <w:r w:rsidRPr="009376CA">
        <w:rPr>
          <w:iCs/>
        </w:rPr>
        <w:t>FERC Form No. 2, Annual Report for Major Natural Gas Companies; OMB Control No. 1902-0028</w:t>
      </w:r>
    </w:p>
    <w:p w:rsidR="00F50C7E" w:rsidRPr="009376CA" w:rsidP="00F50C7E" w14:paraId="4696AD21" w14:textId="77777777">
      <w:pPr>
        <w:spacing w:line="480" w:lineRule="auto"/>
        <w:rPr>
          <w:iCs/>
        </w:rPr>
      </w:pPr>
      <w:bookmarkStart w:id="7" w:name="_Hlk33695709"/>
      <w:r w:rsidRPr="009376CA">
        <w:rPr>
          <w:iCs/>
        </w:rPr>
        <w:t>FERC Form No. 2-A, Annual Report for Non-Major Natural Gas Companies</w:t>
      </w:r>
      <w:bookmarkEnd w:id="7"/>
      <w:r w:rsidRPr="009376CA">
        <w:rPr>
          <w:iCs/>
        </w:rPr>
        <w:t>; OMB Control No. 1902-0030</w:t>
      </w:r>
    </w:p>
    <w:p w:rsidR="00F50C7E" w:rsidP="00F50C7E" w14:paraId="1D7C9578" w14:textId="5FE51691">
      <w:pPr>
        <w:spacing w:line="480" w:lineRule="auto"/>
      </w:pPr>
      <w:r>
        <w:rPr>
          <w:i/>
        </w:rPr>
        <w:t>OMB Control No</w:t>
      </w:r>
      <w:r w:rsidR="007C7EEC">
        <w:rPr>
          <w:i/>
        </w:rPr>
        <w:t>s</w:t>
      </w:r>
      <w:r>
        <w:rPr>
          <w:i/>
        </w:rPr>
        <w:t>.:</w:t>
      </w:r>
      <w:r w:rsidRPr="00F50EDA">
        <w:t xml:space="preserve"> </w:t>
      </w:r>
      <w:r w:rsidRPr="006765C9">
        <w:t>1902-0</w:t>
      </w:r>
      <w:r>
        <w:t>028, 1902-0030</w:t>
      </w:r>
    </w:p>
    <w:p w:rsidR="00F50C7E" w:rsidRPr="00B5364C" w:rsidP="00F50C7E" w14:paraId="4F7EE533" w14:textId="1FBB891C">
      <w:pPr>
        <w:spacing w:line="480" w:lineRule="auto"/>
      </w:pPr>
      <w:r>
        <w:rPr>
          <w:i/>
        </w:rPr>
        <w:t>Type of Request:</w:t>
      </w:r>
      <w:r>
        <w:t xml:space="preserve"> Three-year extension of the FERC Form No</w:t>
      </w:r>
      <w:r w:rsidR="003952EE">
        <w:t>s</w:t>
      </w:r>
      <w:r>
        <w:t>. 2 and 2-A information collection requirements without a change to the current reporting and recordkeeping requirements.</w:t>
      </w:r>
    </w:p>
    <w:p w:rsidR="00F50C7E" w:rsidP="00F50C7E" w14:paraId="522BAFBD" w14:textId="5918003E">
      <w:pPr>
        <w:spacing w:line="480" w:lineRule="auto"/>
        <w:rPr>
          <w:szCs w:val="26"/>
        </w:rPr>
      </w:pPr>
      <w:r>
        <w:rPr>
          <w:i/>
        </w:rPr>
        <w:t xml:space="preserve">Abstract: </w:t>
      </w:r>
      <w:r>
        <w:rPr>
          <w:szCs w:val="26"/>
        </w:rPr>
        <w:t>Pursuant to sections 8, 10 and 14 of the Natural Gas Act (NGA), (15 U.S.C. 717g</w:t>
      </w:r>
      <w:r w:rsidR="007C7EEC">
        <w:rPr>
          <w:szCs w:val="26"/>
        </w:rPr>
        <w:t>, 717</w:t>
      </w:r>
      <w:r w:rsidR="00F36488">
        <w:rPr>
          <w:szCs w:val="26"/>
        </w:rPr>
        <w:t xml:space="preserve">i, and </w:t>
      </w:r>
      <w:r>
        <w:rPr>
          <w:szCs w:val="26"/>
        </w:rPr>
        <w:t xml:space="preserve">717m), the Commission is authorized to conduct investigations and collect and record data, and to prescribe rules and regulations concerning accounts, </w:t>
      </w:r>
      <w:r>
        <w:rPr>
          <w:szCs w:val="26"/>
        </w:rPr>
        <w:t>records</w:t>
      </w:r>
      <w:r>
        <w:rPr>
          <w:szCs w:val="26"/>
        </w:rPr>
        <w:t xml:space="preserve"> and memoranda as necessary or appropriate for purposes of administering the NGA.  The Commission may prescribe a system of accounts for jurisdictional companies </w:t>
      </w:r>
      <w:r>
        <w:rPr>
          <w:szCs w:val="26"/>
        </w:rPr>
        <w:t xml:space="preserve">and, after notice and opportunity for hearing, may determine the accounts in which particular outlays and receipts will be entered, </w:t>
      </w:r>
      <w:r>
        <w:rPr>
          <w:szCs w:val="26"/>
        </w:rPr>
        <w:t>charged</w:t>
      </w:r>
      <w:r>
        <w:rPr>
          <w:szCs w:val="26"/>
        </w:rPr>
        <w:t xml:space="preserve"> or credited.  </w:t>
      </w:r>
    </w:p>
    <w:p w:rsidR="00F50C7E" w:rsidP="00F50C7E" w14:paraId="7101DA2C" w14:textId="6F15D690">
      <w:pPr>
        <w:spacing w:line="480" w:lineRule="auto"/>
        <w:ind w:firstLine="720"/>
      </w:pPr>
      <w:r>
        <w:rPr>
          <w:szCs w:val="26"/>
        </w:rPr>
        <w:t>The Commission collects FERC Form Nos. 2 and 2-A information as prescribed in 18 CFR 260.1 and 18 CFR 260.2.</w:t>
      </w:r>
      <w:r>
        <w:t xml:space="preserve">  </w:t>
      </w:r>
      <w:r w:rsidRPr="006726C9">
        <w:t>These forms provide information concerning a company’s current performance, compiled using the Commission’s U</w:t>
      </w:r>
      <w:r>
        <w:t xml:space="preserve">niform </w:t>
      </w:r>
      <w:r w:rsidRPr="006726C9">
        <w:t>S</w:t>
      </w:r>
      <w:r>
        <w:t xml:space="preserve">ystem </w:t>
      </w:r>
      <w:r w:rsidRPr="006726C9">
        <w:t>of</w:t>
      </w:r>
      <w:r>
        <w:t xml:space="preserve"> </w:t>
      </w:r>
      <w:r w:rsidRPr="006726C9">
        <w:t>A</w:t>
      </w:r>
      <w:r>
        <w:t>ccount (USo</w:t>
      </w:r>
      <w:r w:rsidR="00A704D0">
        <w:t>f</w:t>
      </w:r>
      <w:r>
        <w:t>A)</w:t>
      </w:r>
      <w:r w:rsidRPr="006726C9">
        <w:t>.</w:t>
      </w:r>
      <w:r>
        <w:rPr>
          <w:b/>
          <w:vertAlign w:val="superscript"/>
        </w:rPr>
        <w:footnoteReference w:id="4"/>
      </w:r>
      <w:r w:rsidRPr="006726C9">
        <w:t xml:space="preserve">  FERC Form No. 2</w:t>
      </w:r>
      <w:r w:rsidRPr="006726C9">
        <w:rPr>
          <w:b/>
        </w:rPr>
        <w:t xml:space="preserve"> </w:t>
      </w:r>
      <w:r w:rsidRPr="006726C9">
        <w:t xml:space="preserve">is filed by “Major” natural gas companies that have combined natural gas transported or stored for a fee that exceeds 50 million Dekatherms in each of the three previous calendar years.  FERC Form No. 2-A is filed by “Non-Major” natural gas companies that </w:t>
      </w:r>
      <w:r>
        <w:t xml:space="preserve">do not meet the filing threshold for the FERC Form </w:t>
      </w:r>
      <w:r w:rsidR="003F29E2">
        <w:t>No. 2 but</w:t>
      </w:r>
      <w:r>
        <w:t xml:space="preserve"> </w:t>
      </w:r>
      <w:r w:rsidRPr="006726C9">
        <w:t xml:space="preserve">have total gas sales or volume transactions that exceed 200,000 Dekatherms in each of the three previous calendar years.  </w:t>
      </w:r>
    </w:p>
    <w:p w:rsidR="00F50C7E" w:rsidP="00F50C7E" w14:paraId="6F1BB521" w14:textId="0B22AC05">
      <w:pPr>
        <w:spacing w:line="480" w:lineRule="auto"/>
        <w:ind w:firstLine="720"/>
      </w:pPr>
      <w:r w:rsidRPr="006726C9">
        <w:t xml:space="preserve">The forms provide information concerning a company’s </w:t>
      </w:r>
      <w:r>
        <w:t>f</w:t>
      </w:r>
      <w:r w:rsidRPr="006726C9">
        <w:t xml:space="preserve">inancial and </w:t>
      </w:r>
      <w:r>
        <w:t xml:space="preserve">operational </w:t>
      </w:r>
      <w:r w:rsidRPr="006726C9">
        <w:t>information.  The forms contain schedules which include a basic set of financial statements:  Comparative Balance Sheet, Statement of Income</w:t>
      </w:r>
      <w:r w:rsidR="00B731B9">
        <w:t>, Statement of</w:t>
      </w:r>
      <w:r w:rsidRPr="006726C9">
        <w:t xml:space="preserve"> Retained Earnings, Statement of Cash Flows, and the Statement of Comprehensive Income and Hedging Activities.  Supporting schedules containing supplementary information are filed, including revenues and the related quantities of products sold or transported; account balances for various operating and maintenance expenses; selected plant cost data; and other information</w:t>
      </w:r>
      <w:r>
        <w:t xml:space="preserve">. </w:t>
      </w:r>
    </w:p>
    <w:p w:rsidR="00F50C7E" w:rsidRPr="006726C9" w:rsidP="00F50C7E" w14:paraId="1500A99A" w14:textId="436C7162">
      <w:pPr>
        <w:spacing w:line="480" w:lineRule="auto"/>
        <w:ind w:firstLine="720"/>
      </w:pPr>
      <w:r w:rsidRPr="006726C9">
        <w:t xml:space="preserve">The information collected assists the Commission in the administration of its jurisdictional responsibilities and is used by Commission staff, state regulatory agencies, customers, financial </w:t>
      </w:r>
      <w:r w:rsidRPr="006726C9">
        <w:t>analysts</w:t>
      </w:r>
      <w:r w:rsidRPr="006726C9">
        <w:t xml:space="preserve"> and others in the review of the financial condition of regulated companies.  The information is also used in various rate proceedings, industry analyses and in the </w:t>
      </w:r>
      <w:r w:rsidRPr="006726C9" w:rsidR="009A4B72">
        <w:t>Commission’s,</w:t>
      </w:r>
      <w:r w:rsidRPr="006726C9">
        <w:t xml:space="preserve"> audit programs and as appropriate, for the computation of annual charges.  The </w:t>
      </w:r>
      <w:r>
        <w:t xml:space="preserve">information is made available to </w:t>
      </w:r>
      <w:r w:rsidRPr="006726C9">
        <w:t xml:space="preserve">the public, interveners and all interested parties to assist in the proceedings before the Commission.  For financial information to be useful to the Commission, it must be understandable, relevant, </w:t>
      </w:r>
      <w:r w:rsidRPr="006726C9" w:rsidR="009A4B72">
        <w:t>reliable,</w:t>
      </w:r>
      <w:r w:rsidRPr="006726C9">
        <w:t xml:space="preserve"> and timely.  The Form Nos. 2 and 2-A financial statements are prepared in accordance with the Commission’s USofA and related </w:t>
      </w:r>
      <w:r w:rsidRPr="006726C9" w:rsidR="009A4B72">
        <w:t>regulations and</w:t>
      </w:r>
      <w:r w:rsidRPr="006726C9">
        <w:t xml:space="preserve"> provide data that enables the Commission to develop and monitor cost-based rates, analyze costs of different services and classes of assets, and compare costs across lines of business. </w:t>
      </w:r>
      <w:r>
        <w:t xml:space="preserve"> </w:t>
      </w:r>
      <w:r w:rsidRPr="006726C9">
        <w:t xml:space="preserve">The use of the USofA permits natural gas companies to account for similar transactions and events in a consistent manner, and </w:t>
      </w:r>
      <w:r>
        <w:t xml:space="preserve">to </w:t>
      </w:r>
      <w:r w:rsidRPr="006726C9">
        <w:t>communicate those results to the Commission on a periodic basis.  Comparability of data and financial statement analysis for a particular entity from one period to the next, or between entities, within the same industry, would be difficult to achieve if each company maintained its own accounting records using dissimilar accounting methods and classifications to record similar transactions and events.</w:t>
      </w:r>
    </w:p>
    <w:p w:rsidR="00F50C7E" w:rsidRPr="006726C9" w:rsidP="001042BB" w14:paraId="5577411A" w14:textId="77777777">
      <w:pPr>
        <w:spacing w:line="480" w:lineRule="auto"/>
        <w:ind w:firstLine="720"/>
      </w:pPr>
      <w:r w:rsidRPr="006726C9">
        <w:t xml:space="preserve">In summary, without the information collected in the forms, it would be difficult for the Commission to ensure, as required by the NGA, that a pipeline’s rates remain just </w:t>
      </w:r>
      <w:r w:rsidRPr="006726C9">
        <w:t>and reasonable, respond to Congressional and outside inquires, and make decisions in a timely manner</w:t>
      </w:r>
      <w:r>
        <w:t>.</w:t>
      </w:r>
    </w:p>
    <w:p w:rsidR="00F50C7E" w:rsidP="00F50C7E" w14:paraId="5B095936" w14:textId="77777777">
      <w:pPr>
        <w:spacing w:line="480" w:lineRule="auto"/>
        <w:rPr>
          <w:bCs/>
          <w:i/>
        </w:rPr>
      </w:pPr>
      <w:r w:rsidRPr="004214EA">
        <w:rPr>
          <w:bCs/>
          <w:i/>
        </w:rPr>
        <w:t xml:space="preserve">Type of Respondent: </w:t>
      </w:r>
      <w:r>
        <w:rPr>
          <w:bCs/>
        </w:rPr>
        <w:t>Major and Non-Major Natural Gas Companies.</w:t>
      </w:r>
      <w:r w:rsidRPr="004214EA">
        <w:rPr>
          <w:bCs/>
          <w:i/>
        </w:rPr>
        <w:t xml:space="preserve"> </w:t>
      </w:r>
    </w:p>
    <w:p w:rsidR="00F50C7E" w:rsidP="00F50C7E" w14:paraId="10B0537F" w14:textId="77777777">
      <w:pPr>
        <w:spacing w:line="480" w:lineRule="auto"/>
        <w:rPr>
          <w:szCs w:val="26"/>
        </w:rPr>
      </w:pPr>
      <w:r w:rsidRPr="00C758B9">
        <w:rPr>
          <w:i/>
          <w:sz w:val="24"/>
        </w:rPr>
        <w:t>Estimate of Annual Burden</w:t>
      </w:r>
      <w:r>
        <w:rPr>
          <w:b/>
          <w:iCs/>
          <w:szCs w:val="26"/>
          <w:vertAlign w:val="superscript"/>
        </w:rPr>
        <w:footnoteReference w:id="5"/>
      </w:r>
      <w:r w:rsidRPr="00A1628B">
        <w:rPr>
          <w:iCs/>
          <w:szCs w:val="26"/>
        </w:rPr>
        <w:t>:</w:t>
      </w:r>
      <w:r w:rsidRPr="00A1628B">
        <w:rPr>
          <w:i/>
          <w:szCs w:val="26"/>
        </w:rPr>
        <w:t xml:space="preserve"> </w:t>
      </w:r>
      <w:r w:rsidRPr="00A1628B">
        <w:rPr>
          <w:szCs w:val="26"/>
        </w:rPr>
        <w:t>The Commission estimates the annual public reporting burden and cost</w:t>
      </w:r>
      <w:r>
        <w:rPr>
          <w:b/>
          <w:szCs w:val="26"/>
          <w:vertAlign w:val="superscript"/>
        </w:rPr>
        <w:footnoteReference w:id="6"/>
      </w:r>
      <w:r w:rsidRPr="00A1628B">
        <w:rPr>
          <w:szCs w:val="26"/>
        </w:rPr>
        <w:t xml:space="preserve"> for the information collection as shown in the following table:</w:t>
      </w:r>
    </w:p>
    <w:tbl>
      <w:tblPr>
        <w:tblW w:w="54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2"/>
        <w:gridCol w:w="1253"/>
        <w:gridCol w:w="1530"/>
        <w:gridCol w:w="1530"/>
        <w:gridCol w:w="1530"/>
        <w:gridCol w:w="1530"/>
        <w:gridCol w:w="1530"/>
      </w:tblGrid>
      <w:tr w14:paraId="7B50D836" w14:textId="77777777">
        <w:tblPrEx>
          <w:tblW w:w="54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Pr>
          <w:p w:rsidR="004A201F" w:rsidRPr="00A1628B" w14:paraId="7227C8D7" w14:textId="77777777">
            <w:pPr>
              <w:keepNext/>
              <w:jc w:val="center"/>
              <w:rPr>
                <w:rFonts w:eastAsia="Calibri"/>
                <w:szCs w:val="26"/>
              </w:rPr>
            </w:pPr>
            <w:r>
              <w:rPr>
                <w:rFonts w:eastAsia="Calibri"/>
                <w:szCs w:val="26"/>
              </w:rPr>
              <w:t xml:space="preserve">Renewal for FERC Form Nos. 2 and 2A </w:t>
            </w:r>
          </w:p>
        </w:tc>
      </w:tr>
      <w:tr w14:paraId="60126D80" w14:textId="77777777">
        <w:tblPrEx>
          <w:tblW w:w="5484" w:type="pct"/>
          <w:jc w:val="center"/>
          <w:tblLayout w:type="fixed"/>
          <w:tblLook w:val="01E0"/>
        </w:tblPrEx>
        <w:trPr>
          <w:cantSplit/>
          <w:jc w:val="center"/>
        </w:trPr>
        <w:tc>
          <w:tcPr>
            <w:tcW w:w="659" w:type="pct"/>
            <w:tcBorders>
              <w:top w:val="single" w:sz="4" w:space="0" w:color="auto"/>
              <w:left w:val="single" w:sz="4" w:space="0" w:color="auto"/>
              <w:bottom w:val="single" w:sz="4" w:space="0" w:color="auto"/>
              <w:right w:val="single" w:sz="4" w:space="0" w:color="auto"/>
            </w:tcBorders>
            <w:shd w:val="clear" w:color="auto" w:fill="D9D9D9"/>
            <w:hideMark/>
          </w:tcPr>
          <w:p w:rsidR="004A201F" w:rsidRPr="00A1628B" w14:paraId="67839669" w14:textId="77777777">
            <w:pPr>
              <w:keepNext/>
              <w:jc w:val="center"/>
              <w:rPr>
                <w:rFonts w:eastAsia="Calibri"/>
                <w:szCs w:val="26"/>
              </w:rPr>
            </w:pPr>
            <w:r w:rsidRPr="00A1628B">
              <w:rPr>
                <w:rFonts w:eastAsia="Calibri"/>
                <w:szCs w:val="26"/>
              </w:rPr>
              <w:t>Information Collection (FERC Form No.)</w:t>
            </w:r>
          </w:p>
        </w:tc>
        <w:tc>
          <w:tcPr>
            <w:tcW w:w="61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A201F" w:rsidRPr="00A1628B" w14:paraId="3E2E31A8" w14:textId="77777777">
            <w:pPr>
              <w:keepNext/>
              <w:jc w:val="center"/>
              <w:rPr>
                <w:rFonts w:eastAsia="Calibri"/>
                <w:szCs w:val="26"/>
              </w:rPr>
            </w:pPr>
            <w:r w:rsidRPr="00A1628B">
              <w:rPr>
                <w:rFonts w:eastAsia="Calibri"/>
                <w:szCs w:val="26"/>
              </w:rPr>
              <w:t>Number of Respondents</w:t>
            </w:r>
          </w:p>
          <w:p w:rsidR="004A201F" w:rsidRPr="00A1628B" w14:paraId="0D33C902" w14:textId="77777777">
            <w:pPr>
              <w:keepNext/>
              <w:jc w:val="center"/>
              <w:rPr>
                <w:rFonts w:eastAsia="Calibri"/>
                <w:szCs w:val="26"/>
              </w:rPr>
            </w:pPr>
            <w:r w:rsidRPr="00A1628B">
              <w:rPr>
                <w:rFonts w:eastAsia="Calibri"/>
                <w:szCs w:val="26"/>
              </w:rPr>
              <w:t>(1)</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A201F" w:rsidRPr="00A1628B" w14:paraId="16B31670" w14:textId="77777777">
            <w:pPr>
              <w:keepNext/>
              <w:jc w:val="center"/>
              <w:rPr>
                <w:rFonts w:eastAsia="Calibri"/>
                <w:szCs w:val="26"/>
              </w:rPr>
            </w:pPr>
            <w:r w:rsidRPr="00A1628B">
              <w:rPr>
                <w:rFonts w:eastAsia="Calibri"/>
                <w:szCs w:val="26"/>
              </w:rPr>
              <w:t>Annual Number of Responses per Respondent</w:t>
            </w:r>
          </w:p>
          <w:p w:rsidR="004A201F" w:rsidRPr="00A1628B" w14:paraId="6F708FD1" w14:textId="77777777">
            <w:pPr>
              <w:keepNext/>
              <w:jc w:val="center"/>
              <w:rPr>
                <w:rFonts w:eastAsia="Calibri"/>
                <w:szCs w:val="26"/>
              </w:rPr>
            </w:pPr>
            <w:r w:rsidRPr="00A1628B">
              <w:rPr>
                <w:rFonts w:eastAsia="Calibri"/>
                <w:szCs w:val="26"/>
              </w:rPr>
              <w:t>(2)</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A201F" w:rsidRPr="00A1628B" w14:paraId="4C4A298E" w14:textId="77777777">
            <w:pPr>
              <w:keepNext/>
              <w:jc w:val="center"/>
              <w:rPr>
                <w:rFonts w:eastAsia="Calibri"/>
                <w:szCs w:val="26"/>
              </w:rPr>
            </w:pPr>
            <w:r w:rsidRPr="00A1628B">
              <w:rPr>
                <w:rFonts w:eastAsia="Calibri"/>
                <w:szCs w:val="26"/>
              </w:rPr>
              <w:t>Total Number of Responses</w:t>
            </w:r>
          </w:p>
          <w:p w:rsidR="004A201F" w:rsidRPr="00A1628B" w14:paraId="54290453" w14:textId="77777777">
            <w:pPr>
              <w:keepNext/>
              <w:jc w:val="center"/>
              <w:rPr>
                <w:rFonts w:eastAsia="Calibri"/>
                <w:szCs w:val="26"/>
              </w:rPr>
            </w:pPr>
            <w:r w:rsidRPr="00A1628B">
              <w:rPr>
                <w:rFonts w:eastAsia="Calibri"/>
                <w:szCs w:val="26"/>
              </w:rPr>
              <w:t>(1)*(2)=(3)</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A201F" w:rsidRPr="00A1628B" w14:paraId="4497D8E4" w14:textId="77777777">
            <w:pPr>
              <w:keepNext/>
              <w:jc w:val="center"/>
              <w:rPr>
                <w:rFonts w:eastAsia="Calibri"/>
                <w:szCs w:val="26"/>
              </w:rPr>
            </w:pPr>
            <w:r w:rsidRPr="00A1628B">
              <w:rPr>
                <w:rFonts w:eastAsia="Calibri"/>
                <w:szCs w:val="26"/>
              </w:rPr>
              <w:t>Average Burden &amp; Cost Per Response</w:t>
            </w:r>
          </w:p>
          <w:p w:rsidR="004A201F" w:rsidRPr="00A1628B" w14:paraId="10687C85" w14:textId="77777777">
            <w:pPr>
              <w:keepNext/>
              <w:jc w:val="center"/>
              <w:rPr>
                <w:rFonts w:eastAsia="Calibri"/>
                <w:szCs w:val="26"/>
              </w:rPr>
            </w:pPr>
            <w:r w:rsidRPr="00A1628B">
              <w:rPr>
                <w:rFonts w:eastAsia="Calibri"/>
                <w:szCs w:val="26"/>
              </w:rPr>
              <w:t>(4)</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A201F" w:rsidRPr="00A1628B" w14:paraId="137DBE0E" w14:textId="77777777">
            <w:pPr>
              <w:keepNext/>
              <w:jc w:val="center"/>
              <w:rPr>
                <w:rFonts w:eastAsia="Calibri"/>
                <w:szCs w:val="26"/>
              </w:rPr>
            </w:pPr>
            <w:r w:rsidRPr="00A1628B">
              <w:rPr>
                <w:rFonts w:eastAsia="Calibri"/>
                <w:szCs w:val="26"/>
              </w:rPr>
              <w:t>Total Annual Burden Hours &amp; Cost</w:t>
            </w:r>
          </w:p>
          <w:p w:rsidR="004A201F" w:rsidRPr="00A1628B" w14:paraId="59F0DA5A" w14:textId="77777777">
            <w:pPr>
              <w:keepNext/>
              <w:jc w:val="center"/>
              <w:rPr>
                <w:rFonts w:eastAsia="Calibri"/>
                <w:szCs w:val="26"/>
              </w:rPr>
            </w:pPr>
            <w:r w:rsidRPr="00A1628B">
              <w:rPr>
                <w:rFonts w:eastAsia="Calibri"/>
                <w:szCs w:val="26"/>
              </w:rPr>
              <w:t>(3)*(4)=(5)</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A201F" w:rsidRPr="00A1628B" w14:paraId="07F5A28A" w14:textId="77777777">
            <w:pPr>
              <w:keepNext/>
              <w:jc w:val="center"/>
              <w:rPr>
                <w:rFonts w:eastAsia="Calibri"/>
                <w:szCs w:val="26"/>
              </w:rPr>
            </w:pPr>
            <w:r w:rsidRPr="00A1628B">
              <w:rPr>
                <w:rFonts w:eastAsia="Calibri"/>
                <w:szCs w:val="26"/>
              </w:rPr>
              <w:t>Annual Cost per Respondent ($)</w:t>
            </w:r>
          </w:p>
          <w:p w:rsidR="004A201F" w:rsidRPr="00A1628B" w14:paraId="75693490" w14:textId="77777777">
            <w:pPr>
              <w:keepNext/>
              <w:jc w:val="center"/>
              <w:rPr>
                <w:rFonts w:eastAsia="Calibri"/>
                <w:szCs w:val="26"/>
              </w:rPr>
            </w:pPr>
            <w:r w:rsidRPr="00A1628B">
              <w:rPr>
                <w:rFonts w:eastAsia="Calibri"/>
                <w:szCs w:val="26"/>
              </w:rPr>
              <w:t>(5)÷(1)</w:t>
            </w:r>
            <w:r>
              <w:rPr>
                <w:rStyle w:val="FootnoteReference"/>
                <w:rFonts w:eastAsia="Calibri"/>
              </w:rPr>
              <w:footnoteReference w:id="7"/>
            </w:r>
          </w:p>
        </w:tc>
      </w:tr>
      <w:tr w14:paraId="53E3FB29" w14:textId="77777777">
        <w:tblPrEx>
          <w:tblW w:w="5484" w:type="pct"/>
          <w:jc w:val="center"/>
          <w:tblLayout w:type="fixed"/>
          <w:tblLook w:val="01E0"/>
        </w:tblPrEx>
        <w:trPr>
          <w:cantSplit/>
          <w:jc w:val="center"/>
        </w:trPr>
        <w:tc>
          <w:tcPr>
            <w:tcW w:w="659" w:type="pct"/>
            <w:tcBorders>
              <w:top w:val="single" w:sz="4" w:space="0" w:color="auto"/>
              <w:left w:val="single" w:sz="4" w:space="0" w:color="auto"/>
              <w:bottom w:val="single" w:sz="4" w:space="0" w:color="auto"/>
              <w:right w:val="single" w:sz="4" w:space="0" w:color="auto"/>
            </w:tcBorders>
            <w:hideMark/>
          </w:tcPr>
          <w:p w:rsidR="004A201F" w:rsidRPr="00C111A2" w14:paraId="3DFFA4A3" w14:textId="77777777">
            <w:pPr>
              <w:keepNext/>
              <w:rPr>
                <w:rFonts w:eastAsia="Calibri"/>
                <w:szCs w:val="26"/>
              </w:rPr>
            </w:pPr>
            <w:r w:rsidRPr="00C111A2">
              <w:rPr>
                <w:rFonts w:eastAsia="Calibri"/>
                <w:szCs w:val="26"/>
              </w:rPr>
              <w:t>2</w:t>
            </w:r>
          </w:p>
        </w:tc>
        <w:tc>
          <w:tcPr>
            <w:tcW w:w="611" w:type="pct"/>
            <w:tcBorders>
              <w:top w:val="single" w:sz="4" w:space="0" w:color="auto"/>
              <w:left w:val="single" w:sz="4" w:space="0" w:color="auto"/>
              <w:bottom w:val="single" w:sz="4" w:space="0" w:color="auto"/>
              <w:right w:val="single" w:sz="4" w:space="0" w:color="auto"/>
            </w:tcBorders>
            <w:vAlign w:val="bottom"/>
            <w:hideMark/>
          </w:tcPr>
          <w:p w:rsidR="004A201F" w:rsidRPr="00C111A2" w14:paraId="135BD297" w14:textId="77777777">
            <w:pPr>
              <w:keepNext/>
              <w:jc w:val="right"/>
              <w:rPr>
                <w:rFonts w:eastAsia="Calibri"/>
                <w:szCs w:val="26"/>
              </w:rPr>
            </w:pPr>
            <w:r w:rsidRPr="00C111A2">
              <w:rPr>
                <w:rFonts w:eastAsia="Calibri"/>
                <w:szCs w:val="26"/>
              </w:rPr>
              <w:t>10</w:t>
            </w:r>
            <w:r>
              <w:rPr>
                <w:rFonts w:eastAsia="Calibri"/>
                <w:szCs w:val="26"/>
              </w:rPr>
              <w:t>6</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44AAA85F" w14:textId="77777777">
            <w:pPr>
              <w:keepNext/>
              <w:jc w:val="right"/>
              <w:rPr>
                <w:rFonts w:eastAsia="Calibri"/>
                <w:szCs w:val="26"/>
              </w:rPr>
            </w:pPr>
            <w:r w:rsidRPr="00C111A2">
              <w:rPr>
                <w:rFonts w:eastAsia="Calibri"/>
                <w:szCs w:val="26"/>
              </w:rPr>
              <w:t>1</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620A2338" w14:textId="77777777">
            <w:pPr>
              <w:keepNext/>
              <w:jc w:val="right"/>
              <w:rPr>
                <w:rFonts w:eastAsia="Calibri"/>
                <w:szCs w:val="26"/>
              </w:rPr>
            </w:pPr>
            <w:r w:rsidRPr="00C111A2">
              <w:rPr>
                <w:rFonts w:eastAsia="Calibri"/>
                <w:szCs w:val="26"/>
              </w:rPr>
              <w:t>10</w:t>
            </w:r>
            <w:r>
              <w:rPr>
                <w:rFonts w:eastAsia="Calibri"/>
                <w:szCs w:val="26"/>
              </w:rPr>
              <w:t>6</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39F60BF6" w14:textId="77777777">
            <w:pPr>
              <w:keepNext/>
              <w:jc w:val="right"/>
              <w:rPr>
                <w:rFonts w:eastAsia="Calibri"/>
                <w:szCs w:val="26"/>
              </w:rPr>
            </w:pPr>
            <w:r w:rsidRPr="00C111A2">
              <w:rPr>
                <w:rFonts w:eastAsia="Calibri"/>
                <w:szCs w:val="26"/>
              </w:rPr>
              <w:t>1,6</w:t>
            </w:r>
            <w:r>
              <w:rPr>
                <w:rFonts w:eastAsia="Calibri"/>
                <w:szCs w:val="26"/>
              </w:rPr>
              <w:t>43</w:t>
            </w:r>
            <w:r w:rsidRPr="00C111A2">
              <w:rPr>
                <w:rFonts w:eastAsia="Calibri"/>
                <w:szCs w:val="26"/>
              </w:rPr>
              <w:t xml:space="preserve"> hrs.; $</w:t>
            </w:r>
            <w:r>
              <w:rPr>
                <w:rFonts w:eastAsia="Calibri"/>
                <w:szCs w:val="26"/>
              </w:rPr>
              <w:t>157,728</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2F35B66F" w14:textId="77777777">
            <w:pPr>
              <w:keepNext/>
              <w:jc w:val="right"/>
              <w:rPr>
                <w:rFonts w:eastAsia="Calibri"/>
                <w:szCs w:val="26"/>
              </w:rPr>
            </w:pPr>
            <w:r w:rsidRPr="00C111A2">
              <w:rPr>
                <w:rFonts w:eastAsia="Calibri"/>
                <w:szCs w:val="26"/>
              </w:rPr>
              <w:t>1</w:t>
            </w:r>
            <w:r>
              <w:rPr>
                <w:rFonts w:eastAsia="Calibri"/>
                <w:szCs w:val="26"/>
              </w:rPr>
              <w:t>74</w:t>
            </w:r>
            <w:r w:rsidRPr="00C111A2">
              <w:rPr>
                <w:rFonts w:eastAsia="Calibri"/>
                <w:szCs w:val="26"/>
              </w:rPr>
              <w:t>,</w:t>
            </w:r>
            <w:r>
              <w:rPr>
                <w:rFonts w:eastAsia="Calibri"/>
                <w:szCs w:val="26"/>
              </w:rPr>
              <w:t>158</w:t>
            </w:r>
            <w:r w:rsidRPr="00C111A2">
              <w:rPr>
                <w:rFonts w:eastAsia="Calibri"/>
                <w:szCs w:val="26"/>
              </w:rPr>
              <w:t xml:space="preserve"> hrs.; $</w:t>
            </w:r>
            <w:r w:rsidRPr="009376CA">
              <w:rPr>
                <w:rFonts w:eastAsia="Calibri"/>
                <w:szCs w:val="26"/>
              </w:rPr>
              <w:t>1</w:t>
            </w:r>
            <w:r>
              <w:rPr>
                <w:rFonts w:eastAsia="Calibri"/>
                <w:szCs w:val="26"/>
              </w:rPr>
              <w:t>6,719,168</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3AA4808A" w14:textId="77777777">
            <w:pPr>
              <w:keepNext/>
              <w:jc w:val="right"/>
              <w:rPr>
                <w:rFonts w:eastAsia="Calibri"/>
                <w:szCs w:val="26"/>
              </w:rPr>
            </w:pPr>
            <w:r w:rsidRPr="00C111A2">
              <w:rPr>
                <w:rFonts w:eastAsia="Calibri"/>
                <w:szCs w:val="26"/>
              </w:rPr>
              <w:t>$</w:t>
            </w:r>
            <w:r>
              <w:rPr>
                <w:rFonts w:eastAsia="Calibri"/>
                <w:szCs w:val="26"/>
              </w:rPr>
              <w:t>157,728</w:t>
            </w:r>
          </w:p>
        </w:tc>
      </w:tr>
      <w:tr w14:paraId="4E7DE668" w14:textId="77777777">
        <w:tblPrEx>
          <w:tblW w:w="5484" w:type="pct"/>
          <w:jc w:val="center"/>
          <w:tblLayout w:type="fixed"/>
          <w:tblLook w:val="01E0"/>
        </w:tblPrEx>
        <w:trPr>
          <w:cantSplit/>
          <w:jc w:val="center"/>
        </w:trPr>
        <w:tc>
          <w:tcPr>
            <w:tcW w:w="659" w:type="pct"/>
            <w:tcBorders>
              <w:top w:val="single" w:sz="4" w:space="0" w:color="auto"/>
              <w:left w:val="single" w:sz="4" w:space="0" w:color="auto"/>
              <w:bottom w:val="single" w:sz="4" w:space="0" w:color="auto"/>
              <w:right w:val="single" w:sz="4" w:space="0" w:color="auto"/>
            </w:tcBorders>
            <w:hideMark/>
          </w:tcPr>
          <w:p w:rsidR="004A201F" w:rsidRPr="00C111A2" w14:paraId="6C27233E" w14:textId="77777777">
            <w:pPr>
              <w:keepNext/>
              <w:rPr>
                <w:rFonts w:eastAsia="Calibri"/>
                <w:szCs w:val="26"/>
              </w:rPr>
            </w:pPr>
            <w:r w:rsidRPr="00C111A2">
              <w:rPr>
                <w:rFonts w:eastAsia="Calibri"/>
                <w:szCs w:val="26"/>
              </w:rPr>
              <w:t>2-A</w:t>
            </w:r>
          </w:p>
        </w:tc>
        <w:tc>
          <w:tcPr>
            <w:tcW w:w="611" w:type="pct"/>
            <w:tcBorders>
              <w:top w:val="single" w:sz="4" w:space="0" w:color="auto"/>
              <w:left w:val="single" w:sz="4" w:space="0" w:color="auto"/>
              <w:bottom w:val="single" w:sz="4" w:space="0" w:color="auto"/>
              <w:right w:val="single" w:sz="4" w:space="0" w:color="auto"/>
            </w:tcBorders>
            <w:vAlign w:val="bottom"/>
            <w:hideMark/>
          </w:tcPr>
          <w:p w:rsidR="004A201F" w:rsidRPr="00C111A2" w14:paraId="347FE913" w14:textId="77777777">
            <w:pPr>
              <w:keepNext/>
              <w:jc w:val="right"/>
              <w:rPr>
                <w:rFonts w:eastAsia="Calibri"/>
                <w:szCs w:val="26"/>
              </w:rPr>
            </w:pPr>
            <w:r>
              <w:rPr>
                <w:rFonts w:eastAsia="Calibri"/>
                <w:szCs w:val="26"/>
              </w:rPr>
              <w:t>7</w:t>
            </w:r>
            <w:r w:rsidRPr="00C111A2">
              <w:rPr>
                <w:rFonts w:eastAsia="Calibri"/>
                <w:szCs w:val="26"/>
              </w:rPr>
              <w:t>8</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2A1D58F1" w14:textId="77777777">
            <w:pPr>
              <w:keepNext/>
              <w:jc w:val="right"/>
              <w:rPr>
                <w:rFonts w:eastAsia="Calibri"/>
                <w:szCs w:val="26"/>
              </w:rPr>
            </w:pPr>
            <w:r w:rsidRPr="00C111A2">
              <w:rPr>
                <w:rFonts w:eastAsia="Calibri"/>
                <w:szCs w:val="26"/>
              </w:rPr>
              <w:t>1</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42E9E3A0" w14:textId="77777777">
            <w:pPr>
              <w:keepNext/>
              <w:jc w:val="right"/>
              <w:rPr>
                <w:rFonts w:eastAsia="Calibri"/>
                <w:szCs w:val="26"/>
              </w:rPr>
            </w:pPr>
            <w:r>
              <w:rPr>
                <w:rFonts w:eastAsia="Calibri"/>
                <w:szCs w:val="26"/>
              </w:rPr>
              <w:t>7</w:t>
            </w:r>
            <w:r w:rsidRPr="00C111A2">
              <w:rPr>
                <w:rFonts w:eastAsia="Calibri"/>
                <w:szCs w:val="26"/>
              </w:rPr>
              <w:t>8</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21CE554E" w14:textId="77777777">
            <w:pPr>
              <w:keepNext/>
              <w:jc w:val="right"/>
              <w:rPr>
                <w:rFonts w:eastAsia="Calibri"/>
                <w:szCs w:val="26"/>
              </w:rPr>
            </w:pPr>
            <w:r w:rsidRPr="00C111A2">
              <w:rPr>
                <w:rFonts w:eastAsia="Calibri"/>
                <w:szCs w:val="26"/>
              </w:rPr>
              <w:t>2</w:t>
            </w:r>
            <w:r>
              <w:rPr>
                <w:rFonts w:eastAsia="Calibri"/>
                <w:szCs w:val="26"/>
              </w:rPr>
              <w:t>67</w:t>
            </w:r>
            <w:r w:rsidRPr="00C111A2">
              <w:rPr>
                <w:rFonts w:eastAsia="Calibri"/>
                <w:szCs w:val="26"/>
              </w:rPr>
              <w:t xml:space="preserve"> hrs.; $</w:t>
            </w:r>
            <w:r>
              <w:rPr>
                <w:rFonts w:eastAsia="Calibri"/>
                <w:szCs w:val="26"/>
              </w:rPr>
              <w:t>25,632</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03AB658F" w14:textId="77777777">
            <w:pPr>
              <w:keepNext/>
              <w:jc w:val="right"/>
              <w:rPr>
                <w:rFonts w:eastAsia="Calibri"/>
                <w:szCs w:val="26"/>
              </w:rPr>
            </w:pPr>
            <w:r w:rsidRPr="00C111A2">
              <w:rPr>
                <w:rFonts w:eastAsia="Calibri"/>
                <w:szCs w:val="26"/>
              </w:rPr>
              <w:t>2</w:t>
            </w:r>
            <w:r>
              <w:rPr>
                <w:rFonts w:eastAsia="Calibri"/>
                <w:szCs w:val="26"/>
              </w:rPr>
              <w:t>0,826</w:t>
            </w:r>
            <w:r w:rsidRPr="00C111A2">
              <w:rPr>
                <w:rFonts w:eastAsia="Calibri"/>
                <w:szCs w:val="26"/>
              </w:rPr>
              <w:t xml:space="preserve"> hrs.; $</w:t>
            </w:r>
            <w:r>
              <w:rPr>
                <w:rFonts w:eastAsia="Calibri"/>
                <w:szCs w:val="26"/>
              </w:rPr>
              <w:t>1,999,296</w:t>
            </w:r>
          </w:p>
        </w:tc>
        <w:tc>
          <w:tcPr>
            <w:tcW w:w="746" w:type="pct"/>
            <w:tcBorders>
              <w:top w:val="single" w:sz="4" w:space="0" w:color="auto"/>
              <w:left w:val="single" w:sz="4" w:space="0" w:color="auto"/>
              <w:bottom w:val="single" w:sz="4" w:space="0" w:color="auto"/>
              <w:right w:val="single" w:sz="4" w:space="0" w:color="auto"/>
            </w:tcBorders>
            <w:vAlign w:val="bottom"/>
            <w:hideMark/>
          </w:tcPr>
          <w:p w:rsidR="004A201F" w:rsidRPr="00C111A2" w14:paraId="6163D8B8" w14:textId="77777777">
            <w:pPr>
              <w:keepNext/>
              <w:jc w:val="right"/>
              <w:rPr>
                <w:rFonts w:eastAsia="Calibri"/>
                <w:szCs w:val="26"/>
              </w:rPr>
            </w:pPr>
            <w:r w:rsidRPr="00C111A2">
              <w:rPr>
                <w:rFonts w:eastAsia="Calibri"/>
                <w:szCs w:val="26"/>
              </w:rPr>
              <w:t>$</w:t>
            </w:r>
            <w:r>
              <w:rPr>
                <w:rFonts w:eastAsia="Calibri"/>
                <w:szCs w:val="26"/>
              </w:rPr>
              <w:t>25,632</w:t>
            </w:r>
          </w:p>
        </w:tc>
      </w:tr>
    </w:tbl>
    <w:p w:rsidR="009A4B72" w:rsidP="002906E5" w14:paraId="792B2F9D" w14:textId="77777777">
      <w:pPr>
        <w:autoSpaceDE w:val="0"/>
        <w:autoSpaceDN w:val="0"/>
        <w:adjustRightInd w:val="0"/>
        <w:spacing w:line="480" w:lineRule="auto"/>
        <w:rPr>
          <w:i/>
        </w:rPr>
      </w:pPr>
    </w:p>
    <w:p w:rsidR="00881405" w:rsidP="002906E5" w14:paraId="40735770" w14:textId="70AEB38E">
      <w:pPr>
        <w:autoSpaceDE w:val="0"/>
        <w:autoSpaceDN w:val="0"/>
        <w:adjustRightInd w:val="0"/>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w:t>
      </w:r>
      <w:r>
        <w:t xml:space="preserve">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FF4CC0" w14:paraId="23EE29AC" w14:textId="77777777">
      <w:pPr>
        <w:spacing w:line="480" w:lineRule="auto"/>
      </w:pPr>
      <w:r>
        <w:t xml:space="preserve">collection of information on those who are to respond, including the use of automated collection techniques or other forms of information technology.  </w:t>
      </w:r>
    </w:p>
    <w:p w:rsidR="00FF4CC0" w:rsidRPr="00FF4CC0" w:rsidP="00FF4CC0" w14:paraId="19201E37" w14:textId="77777777">
      <w:pPr>
        <w:spacing w:line="480" w:lineRule="auto"/>
        <w:ind w:firstLine="720"/>
      </w:pPr>
      <w:r w:rsidRPr="00FF4CC0">
        <w:t xml:space="preserve">The Commission’s Office of Public Participation (OPP) supports meaningful public engagement and participation in Commission proceedings.  OPP can help members of the public, including landowners, environmental justice communities, Tribal members and others, access publicly available information and navigate Commission processes.  For public inquiries and assistance with making filings such as interventions, comments, or requests for rehearing, the public is encouraged to contact OPP at (202) 502-6595 or </w:t>
      </w:r>
      <w:hyperlink r:id="rId12" w:history="1">
        <w:r w:rsidRPr="00FF4CC0">
          <w:rPr>
            <w:rStyle w:val="Hyperlink"/>
          </w:rPr>
          <w:t>OPP@ferc.gov</w:t>
        </w:r>
      </w:hyperlink>
      <w:r w:rsidRPr="00FF4CC0">
        <w:t>.</w:t>
      </w:r>
    </w:p>
    <w:p w:rsidR="00853ABC" w14:paraId="212DCDEF" w14:textId="6E2732B7">
      <w:pPr>
        <w:spacing w:after="160" w:line="259" w:lineRule="auto"/>
      </w:pPr>
    </w:p>
    <w:p w:rsidR="00FF4CC0" w14:paraId="70D18DEA" w14:textId="08E9F0F3">
      <w:pPr>
        <w:spacing w:after="160" w:line="259" w:lineRule="auto"/>
      </w:pPr>
    </w:p>
    <w:p w:rsidR="00FF4CC0" w:rsidRPr="00FF4CC0" w:rsidP="00FF4CC0" w14:paraId="078724E6" w14:textId="42E9C922">
      <w:pPr>
        <w:ind w:firstLine="2174"/>
        <w:jc w:val="center"/>
      </w:pPr>
      <w:r w:rsidRPr="00445DC6">
        <w:t>Debbie-Anne Reese</w:t>
      </w:r>
      <w:r w:rsidRPr="00FF4CC0">
        <w:t>,</w:t>
      </w:r>
    </w:p>
    <w:p w:rsidR="00FF4CC0" w:rsidRPr="00FF4CC0" w:rsidP="00FF4CC0" w14:paraId="6B6532B9" w14:textId="5BA4EEAA">
      <w:pPr>
        <w:ind w:firstLine="2174"/>
        <w:jc w:val="center"/>
      </w:pPr>
      <w:r>
        <w:t xml:space="preserve">Acting </w:t>
      </w:r>
      <w:r w:rsidRPr="00FF4CC0">
        <w:t>Secretary.</w:t>
      </w:r>
    </w:p>
    <w:p w:rsidR="00FF4CC0" w14:paraId="35602DF7" w14:textId="77777777">
      <w:pPr>
        <w:spacing w:after="160" w:line="259" w:lineRule="auto"/>
      </w:pPr>
    </w:p>
    <w:sectPr w:rsidSect="00BF2D74">
      <w:headerReference w:type="defaul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A1724" w:rsidP="00B01B16" w14:paraId="6A89F9CE" w14:textId="77777777">
      <w:r>
        <w:separator/>
      </w:r>
    </w:p>
  </w:footnote>
  <w:footnote w:type="continuationSeparator" w:id="1">
    <w:p w:rsidR="00BA1724" w:rsidP="00B01B16" w14:paraId="436AC189" w14:textId="77777777">
      <w:r>
        <w:continuationSeparator/>
      </w:r>
    </w:p>
  </w:footnote>
  <w:footnote w:type="continuationNotice" w:id="2">
    <w:p w:rsidR="00BA1724" w14:paraId="27668A74" w14:textId="77777777"/>
  </w:footnote>
  <w:footnote w:id="3">
    <w:p w:rsidR="006D2449" w14:paraId="21DBCDD5" w14:textId="45C4BC3A">
      <w:pPr>
        <w:pStyle w:val="FootnoteText"/>
      </w:pPr>
      <w:r>
        <w:rPr>
          <w:rStyle w:val="FootnoteReference"/>
        </w:rPr>
        <w:footnoteRef/>
      </w:r>
      <w:r>
        <w:t xml:space="preserve"> </w:t>
      </w:r>
      <w:r>
        <w:rPr>
          <w:sz w:val="26"/>
          <w:szCs w:val="26"/>
        </w:rPr>
        <w:t xml:space="preserve">The 60-day notice published on November 9, </w:t>
      </w:r>
      <w:r w:rsidR="003F29E2">
        <w:rPr>
          <w:sz w:val="26"/>
          <w:szCs w:val="26"/>
        </w:rPr>
        <w:t>2023,</w:t>
      </w:r>
      <w:r>
        <w:rPr>
          <w:sz w:val="26"/>
          <w:szCs w:val="26"/>
        </w:rPr>
        <w:t xml:space="preserve"> inadvertently contained a burden table that did not reflect 2023 updates.  However, the estimates contained in the instant 30-day notice accurately reflect these updates.  Parties should inform the Commission should they need additional time to respond to this notice beyond the 30 days provided.</w:t>
      </w:r>
    </w:p>
  </w:footnote>
  <w:footnote w:id="4">
    <w:p w:rsidR="00F50C7E" w:rsidP="00F50C7E" w14:paraId="4AF9E093" w14:textId="77777777">
      <w:pPr>
        <w:pStyle w:val="FootnoteText"/>
        <w:rPr>
          <w:sz w:val="26"/>
          <w:szCs w:val="26"/>
        </w:rPr>
      </w:pPr>
      <w:r>
        <w:rPr>
          <w:rStyle w:val="FootnoteReference"/>
          <w:rFonts w:eastAsia="Calibri"/>
        </w:rPr>
        <w:footnoteRef/>
      </w:r>
      <w:r>
        <w:rPr>
          <w:sz w:val="26"/>
          <w:szCs w:val="26"/>
        </w:rPr>
        <w:t xml:space="preserve"> </w:t>
      </w:r>
      <w:r>
        <w:rPr>
          <w:i/>
          <w:sz w:val="26"/>
          <w:szCs w:val="26"/>
        </w:rPr>
        <w:t>See</w:t>
      </w:r>
      <w:r>
        <w:rPr>
          <w:sz w:val="26"/>
          <w:szCs w:val="26"/>
        </w:rPr>
        <w:t xml:space="preserve"> 18 CFR Part 201 (Uniform System of Accounts Prescribed for Natural Gas Companies Subject to the Provisions of the Natural Gas Act).</w:t>
      </w:r>
    </w:p>
  </w:footnote>
  <w:footnote w:id="5">
    <w:p w:rsidR="00F50C7E" w:rsidP="00F50C7E" w14:paraId="6F2931F4" w14:textId="4BE3E7CC">
      <w:pPr>
        <w:pStyle w:val="FootnoteText"/>
        <w:rPr>
          <w:sz w:val="26"/>
          <w:szCs w:val="26"/>
        </w:rPr>
      </w:pPr>
      <w:r w:rsidRPr="001F3FD7">
        <w:rPr>
          <w:rStyle w:val="FootnoteReference"/>
        </w:rPr>
        <w:footnoteRef/>
      </w:r>
      <w:r w:rsidRPr="001F3FD7">
        <w:rPr>
          <w:sz w:val="26"/>
          <w:szCs w:val="26"/>
        </w:rPr>
        <w:t xml:space="preserve"> </w:t>
      </w:r>
      <w:r w:rsidRPr="004B1395">
        <w:rPr>
          <w:sz w:val="26"/>
          <w:szCs w:val="26"/>
        </w:rPr>
        <w:t xml:space="preserve">Burden is defined as the total time, effort, or financial resources expended by persons to generate, maintain, retain, or disclose or provide information to or for a </w:t>
      </w:r>
      <w:r w:rsidRPr="004B1395" w:rsidR="00FD1C70">
        <w:rPr>
          <w:sz w:val="26"/>
          <w:szCs w:val="26"/>
        </w:rPr>
        <w:t>federal</w:t>
      </w:r>
      <w:r w:rsidRPr="004B1395">
        <w:rPr>
          <w:sz w:val="26"/>
          <w:szCs w:val="26"/>
        </w:rPr>
        <w:t xml:space="preserve"> agency. For further explanation of what is included in the information collection burden, refer to 5 Code of Federal Regulations 1320.3.</w:t>
      </w:r>
    </w:p>
    <w:p w:rsidR="00690909" w:rsidRPr="004B1395" w:rsidP="00F50C7E" w14:paraId="4A9346AB" w14:textId="77777777">
      <w:pPr>
        <w:pStyle w:val="FootnoteText"/>
        <w:rPr>
          <w:sz w:val="26"/>
          <w:szCs w:val="26"/>
        </w:rPr>
      </w:pPr>
    </w:p>
  </w:footnote>
  <w:footnote w:id="6">
    <w:p w:rsidR="00F50C7E" w:rsidP="00F50C7E" w14:paraId="1A6E5395" w14:textId="77777777">
      <w:pPr>
        <w:pStyle w:val="FootnoteText"/>
        <w:rPr>
          <w:sz w:val="26"/>
          <w:szCs w:val="26"/>
        </w:rPr>
      </w:pPr>
      <w:r>
        <w:rPr>
          <w:rStyle w:val="FootnoteReference"/>
        </w:rPr>
        <w:footnoteRef/>
      </w:r>
      <w:r>
        <w:t xml:space="preserve"> </w:t>
      </w:r>
      <w:r w:rsidRPr="004B1395">
        <w:rPr>
          <w:sz w:val="26"/>
          <w:szCs w:val="26"/>
        </w:rPr>
        <w:t xml:space="preserve">The Commission staff believes the FERC FTE (full-time equivalent) average cost for wages plus benefits is representative of the corresponding cost for the industry respondents.  Based upon the FERC’s 2023 average cost for salary plus benefits, the average hourly cost is $96/hour.    </w:t>
      </w:r>
    </w:p>
    <w:p w:rsidR="005A3071" w:rsidRPr="004B1395" w:rsidP="00F50C7E" w14:paraId="5AA981D9" w14:textId="77777777">
      <w:pPr>
        <w:pStyle w:val="FootnoteText"/>
        <w:rPr>
          <w:sz w:val="26"/>
          <w:szCs w:val="26"/>
        </w:rPr>
      </w:pPr>
    </w:p>
  </w:footnote>
  <w:footnote w:id="7">
    <w:p w:rsidR="004A201F" w:rsidRPr="004B1395" w:rsidP="004A201F" w14:paraId="4EFCFC45" w14:textId="77777777">
      <w:pPr>
        <w:pStyle w:val="FootnoteText"/>
        <w:rPr>
          <w:sz w:val="26"/>
          <w:szCs w:val="26"/>
        </w:rPr>
      </w:pPr>
      <w:r>
        <w:rPr>
          <w:rStyle w:val="FootnoteReference"/>
        </w:rPr>
        <w:footnoteRef/>
      </w:r>
      <w:r>
        <w:t xml:space="preserve"> </w:t>
      </w:r>
      <w:r w:rsidRPr="004B1395">
        <w:rPr>
          <w:sz w:val="26"/>
          <w:szCs w:val="26"/>
        </w:rPr>
        <w:t>Every figure in this column is rounded to the nearest dollar.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7451640"/>
      <w:docPartObj>
        <w:docPartGallery w:val="Page Numbers (Top of Page)"/>
        <w:docPartUnique/>
      </w:docPartObj>
    </w:sdtPr>
    <w:sdtEndPr>
      <w:rPr>
        <w:noProof/>
      </w:rPr>
    </w:sdtEndPr>
    <w:sdtContent>
      <w:p w:rsidR="00C80D25" w14:paraId="13B0CC0F" w14:textId="7EAFE8F4">
        <w:pPr>
          <w:pStyle w:val="Header"/>
        </w:pPr>
        <w:r w:rsidRPr="00D954AE">
          <w:t>Docket No. IC2</w:t>
        </w:r>
        <w:r w:rsidR="00F50C7E">
          <w:t>4</w:t>
        </w:r>
        <w:r w:rsidRPr="00D954AE">
          <w:t>-</w:t>
        </w:r>
        <w:r w:rsidR="00EB316B">
          <w:t>0</w:t>
        </w:r>
        <w:r w:rsidR="009907E2">
          <w:t>1</w:t>
        </w:r>
        <w:r w:rsidRPr="00D954AE">
          <w:t>-000</w:t>
        </w: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sidR="00C81407">
          <w:rPr>
            <w:noProof/>
          </w:rPr>
          <w:t>4</w:t>
        </w:r>
        <w:r>
          <w:rPr>
            <w:noProof/>
            <w:color w:val="2B579A"/>
            <w:shd w:val="clear" w:color="auto" w:fill="E6E6E6"/>
          </w:rPr>
          <w:fldChar w:fldCharType="end"/>
        </w:r>
      </w:p>
    </w:sdtContent>
  </w:sdt>
  <w:p w:rsidR="00F82EE1" w14:paraId="0E155F8B" w14:textId="2CD5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B5B"/>
    <w:multiLevelType w:val="hybridMultilevel"/>
    <w:tmpl w:val="57409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27EA7F6E"/>
    <w:multiLevelType w:val="hybridMultilevel"/>
    <w:tmpl w:val="D786B9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53C6417"/>
    <w:multiLevelType w:val="hybridMultilevel"/>
    <w:tmpl w:val="FE4420EA"/>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9">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6573AF5"/>
    <w:multiLevelType w:val="hybridMultilevel"/>
    <w:tmpl w:val="116218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8268703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289615">
    <w:abstractNumId w:val="4"/>
  </w:num>
  <w:num w:numId="3" w16cid:durableId="1999458098">
    <w:abstractNumId w:val="10"/>
  </w:num>
  <w:num w:numId="4" w16cid:durableId="1220245001">
    <w:abstractNumId w:val="7"/>
  </w:num>
  <w:num w:numId="5" w16cid:durableId="1296061172">
    <w:abstractNumId w:val="15"/>
  </w:num>
  <w:num w:numId="6" w16cid:durableId="700517710">
    <w:abstractNumId w:val="2"/>
  </w:num>
  <w:num w:numId="7" w16cid:durableId="743530515">
    <w:abstractNumId w:val="11"/>
  </w:num>
  <w:num w:numId="8" w16cid:durableId="130486807">
    <w:abstractNumId w:val="1"/>
  </w:num>
  <w:num w:numId="9" w16cid:durableId="387070222">
    <w:abstractNumId w:val="9"/>
  </w:num>
  <w:num w:numId="10" w16cid:durableId="699210254">
    <w:abstractNumId w:val="14"/>
  </w:num>
  <w:num w:numId="11" w16cid:durableId="168524488">
    <w:abstractNumId w:val="3"/>
  </w:num>
  <w:num w:numId="12" w16cid:durableId="1962495118">
    <w:abstractNumId w:val="12"/>
  </w:num>
  <w:num w:numId="13" w16cid:durableId="769161136">
    <w:abstractNumId w:val="0"/>
  </w:num>
  <w:num w:numId="14" w16cid:durableId="1564872408">
    <w:abstractNumId w:val="13"/>
  </w:num>
  <w:num w:numId="15" w16cid:durableId="1819686678">
    <w:abstractNumId w:val="8"/>
  </w:num>
  <w:num w:numId="16" w16cid:durableId="1729111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00447"/>
    <w:rsid w:val="00002F5C"/>
    <w:rsid w:val="0000758F"/>
    <w:rsid w:val="00014343"/>
    <w:rsid w:val="00023B2D"/>
    <w:rsid w:val="00026C2D"/>
    <w:rsid w:val="000379D6"/>
    <w:rsid w:val="00042F33"/>
    <w:rsid w:val="000459B6"/>
    <w:rsid w:val="0005167F"/>
    <w:rsid w:val="00052169"/>
    <w:rsid w:val="000578D5"/>
    <w:rsid w:val="00062427"/>
    <w:rsid w:val="0006681D"/>
    <w:rsid w:val="00072E34"/>
    <w:rsid w:val="00082413"/>
    <w:rsid w:val="00084E3D"/>
    <w:rsid w:val="0008692A"/>
    <w:rsid w:val="00086BAE"/>
    <w:rsid w:val="00097607"/>
    <w:rsid w:val="000A0250"/>
    <w:rsid w:val="000A2903"/>
    <w:rsid w:val="000A3078"/>
    <w:rsid w:val="000A3C2F"/>
    <w:rsid w:val="000A6164"/>
    <w:rsid w:val="000A6F37"/>
    <w:rsid w:val="000A7E68"/>
    <w:rsid w:val="000A7F1E"/>
    <w:rsid w:val="000B431B"/>
    <w:rsid w:val="000B5B66"/>
    <w:rsid w:val="000B5C78"/>
    <w:rsid w:val="000B62BA"/>
    <w:rsid w:val="000C5E3A"/>
    <w:rsid w:val="000D2970"/>
    <w:rsid w:val="000D318C"/>
    <w:rsid w:val="000D6969"/>
    <w:rsid w:val="000E1256"/>
    <w:rsid w:val="000E2568"/>
    <w:rsid w:val="000E4C61"/>
    <w:rsid w:val="000F23F7"/>
    <w:rsid w:val="000F3BC3"/>
    <w:rsid w:val="000F606E"/>
    <w:rsid w:val="001008CB"/>
    <w:rsid w:val="001042BB"/>
    <w:rsid w:val="001056AB"/>
    <w:rsid w:val="00112B6B"/>
    <w:rsid w:val="00116326"/>
    <w:rsid w:val="00117A32"/>
    <w:rsid w:val="00125991"/>
    <w:rsid w:val="001309CE"/>
    <w:rsid w:val="0013255C"/>
    <w:rsid w:val="00135FC5"/>
    <w:rsid w:val="00137823"/>
    <w:rsid w:val="00150CBC"/>
    <w:rsid w:val="0015445B"/>
    <w:rsid w:val="00156BBB"/>
    <w:rsid w:val="00156F85"/>
    <w:rsid w:val="001600DF"/>
    <w:rsid w:val="00164215"/>
    <w:rsid w:val="0017164F"/>
    <w:rsid w:val="00171725"/>
    <w:rsid w:val="00171FF2"/>
    <w:rsid w:val="00174D0E"/>
    <w:rsid w:val="00176042"/>
    <w:rsid w:val="0017684C"/>
    <w:rsid w:val="00177704"/>
    <w:rsid w:val="00181BF7"/>
    <w:rsid w:val="00182110"/>
    <w:rsid w:val="001841BB"/>
    <w:rsid w:val="00184A26"/>
    <w:rsid w:val="00184B43"/>
    <w:rsid w:val="0018602B"/>
    <w:rsid w:val="00187FF1"/>
    <w:rsid w:val="0019402A"/>
    <w:rsid w:val="001971AD"/>
    <w:rsid w:val="00197435"/>
    <w:rsid w:val="001974A9"/>
    <w:rsid w:val="001A2DAA"/>
    <w:rsid w:val="001A4D96"/>
    <w:rsid w:val="001A6645"/>
    <w:rsid w:val="001A6AD6"/>
    <w:rsid w:val="001B0BD2"/>
    <w:rsid w:val="001B619F"/>
    <w:rsid w:val="001B78B8"/>
    <w:rsid w:val="001C543C"/>
    <w:rsid w:val="001C7064"/>
    <w:rsid w:val="001D0BC7"/>
    <w:rsid w:val="001D578A"/>
    <w:rsid w:val="001D5F38"/>
    <w:rsid w:val="001E3237"/>
    <w:rsid w:val="001E58E6"/>
    <w:rsid w:val="001E6BA7"/>
    <w:rsid w:val="001F00EE"/>
    <w:rsid w:val="001F1CDF"/>
    <w:rsid w:val="001F3FD7"/>
    <w:rsid w:val="001F5A3B"/>
    <w:rsid w:val="00202E41"/>
    <w:rsid w:val="0020446B"/>
    <w:rsid w:val="00206037"/>
    <w:rsid w:val="00207AE7"/>
    <w:rsid w:val="00211105"/>
    <w:rsid w:val="002131D0"/>
    <w:rsid w:val="00213696"/>
    <w:rsid w:val="00223204"/>
    <w:rsid w:val="00224BF8"/>
    <w:rsid w:val="00224DD2"/>
    <w:rsid w:val="00237AB9"/>
    <w:rsid w:val="0024271E"/>
    <w:rsid w:val="0024309C"/>
    <w:rsid w:val="0024309D"/>
    <w:rsid w:val="00253F98"/>
    <w:rsid w:val="00257CC2"/>
    <w:rsid w:val="00262096"/>
    <w:rsid w:val="00265B23"/>
    <w:rsid w:val="00266431"/>
    <w:rsid w:val="002673C4"/>
    <w:rsid w:val="00270ED7"/>
    <w:rsid w:val="002721E8"/>
    <w:rsid w:val="00272AAF"/>
    <w:rsid w:val="00274ABD"/>
    <w:rsid w:val="002906E5"/>
    <w:rsid w:val="00292A4C"/>
    <w:rsid w:val="00297211"/>
    <w:rsid w:val="002B5874"/>
    <w:rsid w:val="002C2594"/>
    <w:rsid w:val="002C2C8B"/>
    <w:rsid w:val="002C3223"/>
    <w:rsid w:val="002C3579"/>
    <w:rsid w:val="002C5E0E"/>
    <w:rsid w:val="002D17E5"/>
    <w:rsid w:val="002D57E8"/>
    <w:rsid w:val="002E06A0"/>
    <w:rsid w:val="002E1C29"/>
    <w:rsid w:val="002E68D4"/>
    <w:rsid w:val="002E6DAA"/>
    <w:rsid w:val="002E7818"/>
    <w:rsid w:val="002F1BDD"/>
    <w:rsid w:val="002F4401"/>
    <w:rsid w:val="002F708A"/>
    <w:rsid w:val="00301E3D"/>
    <w:rsid w:val="00303516"/>
    <w:rsid w:val="00306318"/>
    <w:rsid w:val="00311D90"/>
    <w:rsid w:val="00314219"/>
    <w:rsid w:val="003149BC"/>
    <w:rsid w:val="0033092C"/>
    <w:rsid w:val="0033340D"/>
    <w:rsid w:val="00336AD9"/>
    <w:rsid w:val="00340D3C"/>
    <w:rsid w:val="0034294E"/>
    <w:rsid w:val="00353270"/>
    <w:rsid w:val="00362F3B"/>
    <w:rsid w:val="00365468"/>
    <w:rsid w:val="003658A2"/>
    <w:rsid w:val="003673EC"/>
    <w:rsid w:val="00373A2E"/>
    <w:rsid w:val="003758CE"/>
    <w:rsid w:val="00376525"/>
    <w:rsid w:val="003952EE"/>
    <w:rsid w:val="00397ABE"/>
    <w:rsid w:val="003A2C3F"/>
    <w:rsid w:val="003A32E7"/>
    <w:rsid w:val="003B435C"/>
    <w:rsid w:val="003B5B0B"/>
    <w:rsid w:val="003C08DE"/>
    <w:rsid w:val="003C3E7A"/>
    <w:rsid w:val="003C546A"/>
    <w:rsid w:val="003D0BB4"/>
    <w:rsid w:val="003D28D2"/>
    <w:rsid w:val="003D361D"/>
    <w:rsid w:val="003D5AEC"/>
    <w:rsid w:val="003E1657"/>
    <w:rsid w:val="003E1B25"/>
    <w:rsid w:val="003E1B5A"/>
    <w:rsid w:val="003E40B2"/>
    <w:rsid w:val="003E44AD"/>
    <w:rsid w:val="003F0FE7"/>
    <w:rsid w:val="003F29E2"/>
    <w:rsid w:val="003F2E32"/>
    <w:rsid w:val="003F2EC7"/>
    <w:rsid w:val="003F50FD"/>
    <w:rsid w:val="003F570B"/>
    <w:rsid w:val="003F6129"/>
    <w:rsid w:val="003F6466"/>
    <w:rsid w:val="003F7A51"/>
    <w:rsid w:val="004017E8"/>
    <w:rsid w:val="00407BCE"/>
    <w:rsid w:val="00410A8B"/>
    <w:rsid w:val="00411B62"/>
    <w:rsid w:val="004139C9"/>
    <w:rsid w:val="00413AA8"/>
    <w:rsid w:val="00413FDE"/>
    <w:rsid w:val="004177CD"/>
    <w:rsid w:val="004214EA"/>
    <w:rsid w:val="0042688C"/>
    <w:rsid w:val="0042765E"/>
    <w:rsid w:val="00427AE5"/>
    <w:rsid w:val="00433F15"/>
    <w:rsid w:val="004417C4"/>
    <w:rsid w:val="00441F16"/>
    <w:rsid w:val="00443282"/>
    <w:rsid w:val="00445DC6"/>
    <w:rsid w:val="00447C9E"/>
    <w:rsid w:val="004509A3"/>
    <w:rsid w:val="00450D64"/>
    <w:rsid w:val="004562F1"/>
    <w:rsid w:val="00456DDE"/>
    <w:rsid w:val="004628F2"/>
    <w:rsid w:val="00465456"/>
    <w:rsid w:val="00471921"/>
    <w:rsid w:val="00471CBE"/>
    <w:rsid w:val="00480D2D"/>
    <w:rsid w:val="00491543"/>
    <w:rsid w:val="00492E7E"/>
    <w:rsid w:val="00496F03"/>
    <w:rsid w:val="00497A62"/>
    <w:rsid w:val="004A201F"/>
    <w:rsid w:val="004A2FEC"/>
    <w:rsid w:val="004A661D"/>
    <w:rsid w:val="004A6FC8"/>
    <w:rsid w:val="004B1395"/>
    <w:rsid w:val="004B7463"/>
    <w:rsid w:val="004C0BC3"/>
    <w:rsid w:val="004C70C8"/>
    <w:rsid w:val="004D7E8A"/>
    <w:rsid w:val="004E44F8"/>
    <w:rsid w:val="004E683E"/>
    <w:rsid w:val="004F56E3"/>
    <w:rsid w:val="00506F3A"/>
    <w:rsid w:val="00524164"/>
    <w:rsid w:val="00527733"/>
    <w:rsid w:val="00531000"/>
    <w:rsid w:val="005326A6"/>
    <w:rsid w:val="005401E0"/>
    <w:rsid w:val="00544424"/>
    <w:rsid w:val="005452CC"/>
    <w:rsid w:val="0054746C"/>
    <w:rsid w:val="0055326E"/>
    <w:rsid w:val="00561908"/>
    <w:rsid w:val="00561B96"/>
    <w:rsid w:val="00565830"/>
    <w:rsid w:val="00565B5E"/>
    <w:rsid w:val="00566B5F"/>
    <w:rsid w:val="00567315"/>
    <w:rsid w:val="005739F7"/>
    <w:rsid w:val="005749DE"/>
    <w:rsid w:val="0058195F"/>
    <w:rsid w:val="00582191"/>
    <w:rsid w:val="00584A11"/>
    <w:rsid w:val="00587D1F"/>
    <w:rsid w:val="00592484"/>
    <w:rsid w:val="0059421A"/>
    <w:rsid w:val="005953A1"/>
    <w:rsid w:val="00596526"/>
    <w:rsid w:val="00597970"/>
    <w:rsid w:val="005A0B82"/>
    <w:rsid w:val="005A0D62"/>
    <w:rsid w:val="005A1E8A"/>
    <w:rsid w:val="005A2F24"/>
    <w:rsid w:val="005A3071"/>
    <w:rsid w:val="005A5AB9"/>
    <w:rsid w:val="005A6119"/>
    <w:rsid w:val="005B0254"/>
    <w:rsid w:val="005B46F0"/>
    <w:rsid w:val="005B4DA4"/>
    <w:rsid w:val="005B6FEF"/>
    <w:rsid w:val="005B7231"/>
    <w:rsid w:val="005C09F1"/>
    <w:rsid w:val="005C12CF"/>
    <w:rsid w:val="005C180F"/>
    <w:rsid w:val="005C77BE"/>
    <w:rsid w:val="005D0259"/>
    <w:rsid w:val="005D0FDC"/>
    <w:rsid w:val="005D238D"/>
    <w:rsid w:val="005D4628"/>
    <w:rsid w:val="005D580E"/>
    <w:rsid w:val="005E0B1A"/>
    <w:rsid w:val="005E410C"/>
    <w:rsid w:val="005E45C6"/>
    <w:rsid w:val="005E68E7"/>
    <w:rsid w:val="005F114C"/>
    <w:rsid w:val="005F48E9"/>
    <w:rsid w:val="005F7CE1"/>
    <w:rsid w:val="00602995"/>
    <w:rsid w:val="006128A5"/>
    <w:rsid w:val="00613169"/>
    <w:rsid w:val="0062572C"/>
    <w:rsid w:val="00630E07"/>
    <w:rsid w:val="0063784F"/>
    <w:rsid w:val="00637F43"/>
    <w:rsid w:val="00641F0D"/>
    <w:rsid w:val="00643772"/>
    <w:rsid w:val="00644A1B"/>
    <w:rsid w:val="006505B4"/>
    <w:rsid w:val="00650E6C"/>
    <w:rsid w:val="00651CE5"/>
    <w:rsid w:val="006536D8"/>
    <w:rsid w:val="00654399"/>
    <w:rsid w:val="00654BA4"/>
    <w:rsid w:val="0066195A"/>
    <w:rsid w:val="0066281B"/>
    <w:rsid w:val="00663FBE"/>
    <w:rsid w:val="00664931"/>
    <w:rsid w:val="006670C8"/>
    <w:rsid w:val="006726C9"/>
    <w:rsid w:val="00672790"/>
    <w:rsid w:val="006765C9"/>
    <w:rsid w:val="006841A7"/>
    <w:rsid w:val="00687348"/>
    <w:rsid w:val="00690909"/>
    <w:rsid w:val="00691D3A"/>
    <w:rsid w:val="00693721"/>
    <w:rsid w:val="00694C22"/>
    <w:rsid w:val="006963BC"/>
    <w:rsid w:val="006970F4"/>
    <w:rsid w:val="006A2E15"/>
    <w:rsid w:val="006A4398"/>
    <w:rsid w:val="006B3479"/>
    <w:rsid w:val="006B3A1E"/>
    <w:rsid w:val="006B71EA"/>
    <w:rsid w:val="006C73D0"/>
    <w:rsid w:val="006D2449"/>
    <w:rsid w:val="006D5669"/>
    <w:rsid w:val="006E7CBB"/>
    <w:rsid w:val="006E7EBE"/>
    <w:rsid w:val="006F7028"/>
    <w:rsid w:val="006F749E"/>
    <w:rsid w:val="007024F1"/>
    <w:rsid w:val="00707D60"/>
    <w:rsid w:val="00713417"/>
    <w:rsid w:val="007142E3"/>
    <w:rsid w:val="00714EDD"/>
    <w:rsid w:val="0071596F"/>
    <w:rsid w:val="00723505"/>
    <w:rsid w:val="007263B9"/>
    <w:rsid w:val="007272B4"/>
    <w:rsid w:val="00732E95"/>
    <w:rsid w:val="007352F2"/>
    <w:rsid w:val="007432C3"/>
    <w:rsid w:val="0075009F"/>
    <w:rsid w:val="00752A48"/>
    <w:rsid w:val="00757503"/>
    <w:rsid w:val="00757707"/>
    <w:rsid w:val="00761148"/>
    <w:rsid w:val="007633DD"/>
    <w:rsid w:val="00765D89"/>
    <w:rsid w:val="007755E3"/>
    <w:rsid w:val="00775879"/>
    <w:rsid w:val="00775977"/>
    <w:rsid w:val="00781E6A"/>
    <w:rsid w:val="007A44FB"/>
    <w:rsid w:val="007A5C0A"/>
    <w:rsid w:val="007B1F57"/>
    <w:rsid w:val="007B370F"/>
    <w:rsid w:val="007B4938"/>
    <w:rsid w:val="007B71AB"/>
    <w:rsid w:val="007C7EEC"/>
    <w:rsid w:val="007D02D8"/>
    <w:rsid w:val="007E10B0"/>
    <w:rsid w:val="007E3706"/>
    <w:rsid w:val="007F4CD3"/>
    <w:rsid w:val="007F61C2"/>
    <w:rsid w:val="007F7B74"/>
    <w:rsid w:val="00800590"/>
    <w:rsid w:val="00801456"/>
    <w:rsid w:val="008018DB"/>
    <w:rsid w:val="00802851"/>
    <w:rsid w:val="008037D8"/>
    <w:rsid w:val="00803CA2"/>
    <w:rsid w:val="00807CAC"/>
    <w:rsid w:val="008115BF"/>
    <w:rsid w:val="008143B0"/>
    <w:rsid w:val="00816942"/>
    <w:rsid w:val="008212DA"/>
    <w:rsid w:val="00823681"/>
    <w:rsid w:val="00824D81"/>
    <w:rsid w:val="0082638F"/>
    <w:rsid w:val="00835322"/>
    <w:rsid w:val="008376AE"/>
    <w:rsid w:val="008416FD"/>
    <w:rsid w:val="00845FCF"/>
    <w:rsid w:val="008507FE"/>
    <w:rsid w:val="00851F24"/>
    <w:rsid w:val="00853ABC"/>
    <w:rsid w:val="0085544B"/>
    <w:rsid w:val="00863E08"/>
    <w:rsid w:val="00871D53"/>
    <w:rsid w:val="00871DCE"/>
    <w:rsid w:val="008755D6"/>
    <w:rsid w:val="00880340"/>
    <w:rsid w:val="00881405"/>
    <w:rsid w:val="00882BFE"/>
    <w:rsid w:val="00883F45"/>
    <w:rsid w:val="00886E29"/>
    <w:rsid w:val="0089069F"/>
    <w:rsid w:val="0089298D"/>
    <w:rsid w:val="00893C9F"/>
    <w:rsid w:val="0089501F"/>
    <w:rsid w:val="00895B40"/>
    <w:rsid w:val="00895DA2"/>
    <w:rsid w:val="00897359"/>
    <w:rsid w:val="008A050A"/>
    <w:rsid w:val="008A1C9C"/>
    <w:rsid w:val="008A55FC"/>
    <w:rsid w:val="008A7371"/>
    <w:rsid w:val="008B60BD"/>
    <w:rsid w:val="008B7EC5"/>
    <w:rsid w:val="008D25B7"/>
    <w:rsid w:val="008D5479"/>
    <w:rsid w:val="008E0DC0"/>
    <w:rsid w:val="008E0DF5"/>
    <w:rsid w:val="008E3273"/>
    <w:rsid w:val="008F0C45"/>
    <w:rsid w:val="00904B00"/>
    <w:rsid w:val="009112D0"/>
    <w:rsid w:val="00914C88"/>
    <w:rsid w:val="00920472"/>
    <w:rsid w:val="009330C3"/>
    <w:rsid w:val="0093709C"/>
    <w:rsid w:val="009376CA"/>
    <w:rsid w:val="00940C0F"/>
    <w:rsid w:val="00944E3A"/>
    <w:rsid w:val="00951DA7"/>
    <w:rsid w:val="00951DC3"/>
    <w:rsid w:val="0095548F"/>
    <w:rsid w:val="009562A5"/>
    <w:rsid w:val="00957820"/>
    <w:rsid w:val="009744C8"/>
    <w:rsid w:val="00974530"/>
    <w:rsid w:val="00974659"/>
    <w:rsid w:val="00976F19"/>
    <w:rsid w:val="00980E58"/>
    <w:rsid w:val="009815BD"/>
    <w:rsid w:val="00981886"/>
    <w:rsid w:val="00990102"/>
    <w:rsid w:val="009907E2"/>
    <w:rsid w:val="00990FEC"/>
    <w:rsid w:val="00992257"/>
    <w:rsid w:val="009928CD"/>
    <w:rsid w:val="009949AA"/>
    <w:rsid w:val="00995921"/>
    <w:rsid w:val="009A1B08"/>
    <w:rsid w:val="009A4B72"/>
    <w:rsid w:val="009B0524"/>
    <w:rsid w:val="009B166F"/>
    <w:rsid w:val="009B3667"/>
    <w:rsid w:val="009C3CB9"/>
    <w:rsid w:val="009C4A13"/>
    <w:rsid w:val="009C745D"/>
    <w:rsid w:val="009D2BE4"/>
    <w:rsid w:val="009D50C1"/>
    <w:rsid w:val="009E2D84"/>
    <w:rsid w:val="009F279E"/>
    <w:rsid w:val="009F7DE3"/>
    <w:rsid w:val="00A00123"/>
    <w:rsid w:val="00A04C8E"/>
    <w:rsid w:val="00A07154"/>
    <w:rsid w:val="00A11868"/>
    <w:rsid w:val="00A127D3"/>
    <w:rsid w:val="00A1386C"/>
    <w:rsid w:val="00A14335"/>
    <w:rsid w:val="00A14B43"/>
    <w:rsid w:val="00A1628B"/>
    <w:rsid w:val="00A166E7"/>
    <w:rsid w:val="00A178B0"/>
    <w:rsid w:val="00A23612"/>
    <w:rsid w:val="00A2604E"/>
    <w:rsid w:val="00A26D4A"/>
    <w:rsid w:val="00A27C67"/>
    <w:rsid w:val="00A32860"/>
    <w:rsid w:val="00A334E0"/>
    <w:rsid w:val="00A417A2"/>
    <w:rsid w:val="00A4348C"/>
    <w:rsid w:val="00A471D4"/>
    <w:rsid w:val="00A52189"/>
    <w:rsid w:val="00A57463"/>
    <w:rsid w:val="00A664DF"/>
    <w:rsid w:val="00A704D0"/>
    <w:rsid w:val="00A70B57"/>
    <w:rsid w:val="00A71219"/>
    <w:rsid w:val="00A713D0"/>
    <w:rsid w:val="00A722D4"/>
    <w:rsid w:val="00A75AAA"/>
    <w:rsid w:val="00A82A29"/>
    <w:rsid w:val="00A86B6F"/>
    <w:rsid w:val="00A959E1"/>
    <w:rsid w:val="00AA516A"/>
    <w:rsid w:val="00AA5B0E"/>
    <w:rsid w:val="00AA6A4A"/>
    <w:rsid w:val="00AB4DBF"/>
    <w:rsid w:val="00AC0504"/>
    <w:rsid w:val="00AC1DB7"/>
    <w:rsid w:val="00AC381D"/>
    <w:rsid w:val="00AC3A7C"/>
    <w:rsid w:val="00AC62A6"/>
    <w:rsid w:val="00AC664F"/>
    <w:rsid w:val="00AC750B"/>
    <w:rsid w:val="00AD1E15"/>
    <w:rsid w:val="00AD4E71"/>
    <w:rsid w:val="00AD6937"/>
    <w:rsid w:val="00AE1F12"/>
    <w:rsid w:val="00AE24CC"/>
    <w:rsid w:val="00AE2B18"/>
    <w:rsid w:val="00AE4155"/>
    <w:rsid w:val="00AE4B7C"/>
    <w:rsid w:val="00AE66F6"/>
    <w:rsid w:val="00AF124A"/>
    <w:rsid w:val="00AF17CE"/>
    <w:rsid w:val="00AF336D"/>
    <w:rsid w:val="00AF349B"/>
    <w:rsid w:val="00AF60E7"/>
    <w:rsid w:val="00AF65F0"/>
    <w:rsid w:val="00B009E9"/>
    <w:rsid w:val="00B01711"/>
    <w:rsid w:val="00B01B16"/>
    <w:rsid w:val="00B04635"/>
    <w:rsid w:val="00B062D0"/>
    <w:rsid w:val="00B11D16"/>
    <w:rsid w:val="00B17A95"/>
    <w:rsid w:val="00B20043"/>
    <w:rsid w:val="00B20A44"/>
    <w:rsid w:val="00B24588"/>
    <w:rsid w:val="00B274AE"/>
    <w:rsid w:val="00B30F2D"/>
    <w:rsid w:val="00B34928"/>
    <w:rsid w:val="00B35B74"/>
    <w:rsid w:val="00B403F1"/>
    <w:rsid w:val="00B40AB8"/>
    <w:rsid w:val="00B4163B"/>
    <w:rsid w:val="00B447D7"/>
    <w:rsid w:val="00B51621"/>
    <w:rsid w:val="00B5364C"/>
    <w:rsid w:val="00B556C9"/>
    <w:rsid w:val="00B57033"/>
    <w:rsid w:val="00B60113"/>
    <w:rsid w:val="00B6081E"/>
    <w:rsid w:val="00B61016"/>
    <w:rsid w:val="00B624EB"/>
    <w:rsid w:val="00B65D21"/>
    <w:rsid w:val="00B71BAA"/>
    <w:rsid w:val="00B731B9"/>
    <w:rsid w:val="00B76A1F"/>
    <w:rsid w:val="00B806DD"/>
    <w:rsid w:val="00B82F8C"/>
    <w:rsid w:val="00B8460F"/>
    <w:rsid w:val="00B84D34"/>
    <w:rsid w:val="00B95303"/>
    <w:rsid w:val="00B95477"/>
    <w:rsid w:val="00B96886"/>
    <w:rsid w:val="00B978A7"/>
    <w:rsid w:val="00BA1724"/>
    <w:rsid w:val="00BA1D81"/>
    <w:rsid w:val="00BA258F"/>
    <w:rsid w:val="00BA7130"/>
    <w:rsid w:val="00BB436B"/>
    <w:rsid w:val="00BB5EF5"/>
    <w:rsid w:val="00BC58DF"/>
    <w:rsid w:val="00BC6431"/>
    <w:rsid w:val="00BD205B"/>
    <w:rsid w:val="00BD74AE"/>
    <w:rsid w:val="00BE0E69"/>
    <w:rsid w:val="00BE16BC"/>
    <w:rsid w:val="00BE35F6"/>
    <w:rsid w:val="00BE3971"/>
    <w:rsid w:val="00BE3FE7"/>
    <w:rsid w:val="00BE6EDF"/>
    <w:rsid w:val="00BF2922"/>
    <w:rsid w:val="00BF2D74"/>
    <w:rsid w:val="00BF4CC8"/>
    <w:rsid w:val="00BF51ED"/>
    <w:rsid w:val="00BF75B6"/>
    <w:rsid w:val="00C02547"/>
    <w:rsid w:val="00C025C8"/>
    <w:rsid w:val="00C04E54"/>
    <w:rsid w:val="00C058D5"/>
    <w:rsid w:val="00C111A2"/>
    <w:rsid w:val="00C1124F"/>
    <w:rsid w:val="00C14903"/>
    <w:rsid w:val="00C1686C"/>
    <w:rsid w:val="00C168F3"/>
    <w:rsid w:val="00C30486"/>
    <w:rsid w:val="00C30740"/>
    <w:rsid w:val="00C30A20"/>
    <w:rsid w:val="00C30DED"/>
    <w:rsid w:val="00C367A6"/>
    <w:rsid w:val="00C37BFF"/>
    <w:rsid w:val="00C42500"/>
    <w:rsid w:val="00C43470"/>
    <w:rsid w:val="00C45F17"/>
    <w:rsid w:val="00C47B34"/>
    <w:rsid w:val="00C50BD5"/>
    <w:rsid w:val="00C50EB1"/>
    <w:rsid w:val="00C51458"/>
    <w:rsid w:val="00C51E5F"/>
    <w:rsid w:val="00C52E2C"/>
    <w:rsid w:val="00C53580"/>
    <w:rsid w:val="00C55838"/>
    <w:rsid w:val="00C56745"/>
    <w:rsid w:val="00C57DC6"/>
    <w:rsid w:val="00C61F13"/>
    <w:rsid w:val="00C63C66"/>
    <w:rsid w:val="00C70729"/>
    <w:rsid w:val="00C71475"/>
    <w:rsid w:val="00C758B9"/>
    <w:rsid w:val="00C76958"/>
    <w:rsid w:val="00C77EF7"/>
    <w:rsid w:val="00C80D25"/>
    <w:rsid w:val="00C81407"/>
    <w:rsid w:val="00C82053"/>
    <w:rsid w:val="00C820F1"/>
    <w:rsid w:val="00C822C1"/>
    <w:rsid w:val="00C859F7"/>
    <w:rsid w:val="00C85A38"/>
    <w:rsid w:val="00C87CCA"/>
    <w:rsid w:val="00C91512"/>
    <w:rsid w:val="00C93B03"/>
    <w:rsid w:val="00C94A53"/>
    <w:rsid w:val="00C94AD8"/>
    <w:rsid w:val="00CA0A40"/>
    <w:rsid w:val="00CA0DEC"/>
    <w:rsid w:val="00CA2DE2"/>
    <w:rsid w:val="00CA3A85"/>
    <w:rsid w:val="00CA6636"/>
    <w:rsid w:val="00CA6D76"/>
    <w:rsid w:val="00CA7FBE"/>
    <w:rsid w:val="00CB51CC"/>
    <w:rsid w:val="00CC0389"/>
    <w:rsid w:val="00CC1A72"/>
    <w:rsid w:val="00CC3633"/>
    <w:rsid w:val="00CC5692"/>
    <w:rsid w:val="00CC65F3"/>
    <w:rsid w:val="00CD0783"/>
    <w:rsid w:val="00CD09E8"/>
    <w:rsid w:val="00CD56E5"/>
    <w:rsid w:val="00CD6896"/>
    <w:rsid w:val="00CE0C1B"/>
    <w:rsid w:val="00CE64F2"/>
    <w:rsid w:val="00CF0C67"/>
    <w:rsid w:val="00CF0F40"/>
    <w:rsid w:val="00CF3AED"/>
    <w:rsid w:val="00CF4753"/>
    <w:rsid w:val="00D0083B"/>
    <w:rsid w:val="00D04DF4"/>
    <w:rsid w:val="00D15403"/>
    <w:rsid w:val="00D172D8"/>
    <w:rsid w:val="00D26488"/>
    <w:rsid w:val="00D3231A"/>
    <w:rsid w:val="00D35B2D"/>
    <w:rsid w:val="00D44183"/>
    <w:rsid w:val="00D44A55"/>
    <w:rsid w:val="00D46678"/>
    <w:rsid w:val="00D47931"/>
    <w:rsid w:val="00D47B74"/>
    <w:rsid w:val="00D47F3F"/>
    <w:rsid w:val="00D5276C"/>
    <w:rsid w:val="00D61B79"/>
    <w:rsid w:val="00D62C84"/>
    <w:rsid w:val="00D6384D"/>
    <w:rsid w:val="00D653F3"/>
    <w:rsid w:val="00D65EC2"/>
    <w:rsid w:val="00D66B24"/>
    <w:rsid w:val="00D67237"/>
    <w:rsid w:val="00D67307"/>
    <w:rsid w:val="00D75AC7"/>
    <w:rsid w:val="00D808E3"/>
    <w:rsid w:val="00D85E13"/>
    <w:rsid w:val="00D86288"/>
    <w:rsid w:val="00D872BC"/>
    <w:rsid w:val="00D92820"/>
    <w:rsid w:val="00D954AE"/>
    <w:rsid w:val="00D96929"/>
    <w:rsid w:val="00DA1B6F"/>
    <w:rsid w:val="00DA529F"/>
    <w:rsid w:val="00DA59A2"/>
    <w:rsid w:val="00DB5AAE"/>
    <w:rsid w:val="00DB62D5"/>
    <w:rsid w:val="00DB636B"/>
    <w:rsid w:val="00DB6882"/>
    <w:rsid w:val="00DC4B63"/>
    <w:rsid w:val="00DC5017"/>
    <w:rsid w:val="00DC5129"/>
    <w:rsid w:val="00DD01A0"/>
    <w:rsid w:val="00DD7F1B"/>
    <w:rsid w:val="00DE1A87"/>
    <w:rsid w:val="00DE451F"/>
    <w:rsid w:val="00DE61E1"/>
    <w:rsid w:val="00E03D2D"/>
    <w:rsid w:val="00E12A7A"/>
    <w:rsid w:val="00E21B31"/>
    <w:rsid w:val="00E27FD6"/>
    <w:rsid w:val="00E31B5C"/>
    <w:rsid w:val="00E36A0F"/>
    <w:rsid w:val="00E36F8A"/>
    <w:rsid w:val="00E400C7"/>
    <w:rsid w:val="00E40322"/>
    <w:rsid w:val="00E40CB4"/>
    <w:rsid w:val="00E41DB9"/>
    <w:rsid w:val="00E4627E"/>
    <w:rsid w:val="00E47C92"/>
    <w:rsid w:val="00E55039"/>
    <w:rsid w:val="00E56612"/>
    <w:rsid w:val="00E651FA"/>
    <w:rsid w:val="00E67CB0"/>
    <w:rsid w:val="00E71CC0"/>
    <w:rsid w:val="00E731AE"/>
    <w:rsid w:val="00E73797"/>
    <w:rsid w:val="00E74310"/>
    <w:rsid w:val="00E762BB"/>
    <w:rsid w:val="00E865C8"/>
    <w:rsid w:val="00E8661B"/>
    <w:rsid w:val="00E9084E"/>
    <w:rsid w:val="00E9567A"/>
    <w:rsid w:val="00E962E6"/>
    <w:rsid w:val="00E97523"/>
    <w:rsid w:val="00E97D7C"/>
    <w:rsid w:val="00EA1793"/>
    <w:rsid w:val="00EA689F"/>
    <w:rsid w:val="00EB316B"/>
    <w:rsid w:val="00EB5157"/>
    <w:rsid w:val="00EC1434"/>
    <w:rsid w:val="00EC72B0"/>
    <w:rsid w:val="00EC77B3"/>
    <w:rsid w:val="00ED0142"/>
    <w:rsid w:val="00ED74AF"/>
    <w:rsid w:val="00EE18F2"/>
    <w:rsid w:val="00EE33B9"/>
    <w:rsid w:val="00EE365D"/>
    <w:rsid w:val="00EF33BE"/>
    <w:rsid w:val="00EF4F97"/>
    <w:rsid w:val="00F05673"/>
    <w:rsid w:val="00F05B5B"/>
    <w:rsid w:val="00F061C4"/>
    <w:rsid w:val="00F126FC"/>
    <w:rsid w:val="00F12983"/>
    <w:rsid w:val="00F15359"/>
    <w:rsid w:val="00F175C4"/>
    <w:rsid w:val="00F23714"/>
    <w:rsid w:val="00F245A2"/>
    <w:rsid w:val="00F270FD"/>
    <w:rsid w:val="00F309CB"/>
    <w:rsid w:val="00F33EED"/>
    <w:rsid w:val="00F33EEE"/>
    <w:rsid w:val="00F36488"/>
    <w:rsid w:val="00F3751C"/>
    <w:rsid w:val="00F37677"/>
    <w:rsid w:val="00F37B05"/>
    <w:rsid w:val="00F44A0E"/>
    <w:rsid w:val="00F4763C"/>
    <w:rsid w:val="00F50C7E"/>
    <w:rsid w:val="00F50EDA"/>
    <w:rsid w:val="00F51559"/>
    <w:rsid w:val="00F540BA"/>
    <w:rsid w:val="00F570C8"/>
    <w:rsid w:val="00F570F0"/>
    <w:rsid w:val="00F60E60"/>
    <w:rsid w:val="00F64069"/>
    <w:rsid w:val="00F64D6D"/>
    <w:rsid w:val="00F654D4"/>
    <w:rsid w:val="00F66182"/>
    <w:rsid w:val="00F71399"/>
    <w:rsid w:val="00F82EE1"/>
    <w:rsid w:val="00F90A66"/>
    <w:rsid w:val="00F93134"/>
    <w:rsid w:val="00FA3E17"/>
    <w:rsid w:val="00FB078F"/>
    <w:rsid w:val="00FB0E5A"/>
    <w:rsid w:val="00FB3586"/>
    <w:rsid w:val="00FC128B"/>
    <w:rsid w:val="00FC39BA"/>
    <w:rsid w:val="00FC3F00"/>
    <w:rsid w:val="00FC5839"/>
    <w:rsid w:val="00FC750D"/>
    <w:rsid w:val="00FD0EA3"/>
    <w:rsid w:val="00FD1C70"/>
    <w:rsid w:val="00FE34E4"/>
    <w:rsid w:val="00FE488E"/>
    <w:rsid w:val="00FF1D71"/>
    <w:rsid w:val="00FF3954"/>
    <w:rsid w:val="00FF4CC0"/>
    <w:rsid w:val="00FF5141"/>
    <w:rsid w:val="00FF74B3"/>
    <w:rsid w:val="128FFB1D"/>
    <w:rsid w:val="2B7BEA93"/>
    <w:rsid w:val="2C5D4E46"/>
    <w:rsid w:val="35D2C7CD"/>
    <w:rsid w:val="3BFEE80B"/>
    <w:rsid w:val="3D33D731"/>
    <w:rsid w:val="4B4230D7"/>
    <w:rsid w:val="5F4054FE"/>
    <w:rsid w:val="63988364"/>
    <w:rsid w:val="655BEAE6"/>
    <w:rsid w:val="6E7C09D0"/>
    <w:rsid w:val="793EF6C8"/>
    <w:rsid w:val="7F2CD9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574A451C-546E-4D84-9A6D-4760AFC4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
    <w:uiPriority w:val="99"/>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uiPriority w:val="99"/>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semiHidden/>
    <w:unhideWhenUsed/>
    <w:rsid w:val="00B01B16"/>
    <w:rPr>
      <w:sz w:val="20"/>
      <w:szCs w:val="20"/>
    </w:rPr>
  </w:style>
  <w:style w:type="character" w:customStyle="1" w:styleId="CommentTextChar">
    <w:name w:val="Comment Text Char"/>
    <w:basedOn w:val="DefaultParagraphFont"/>
    <w:link w:val="CommentText"/>
    <w:uiPriority w:val="99"/>
    <w:semiHidden/>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customStyle="1" w:styleId="UnresolvedMention1">
    <w:name w:val="Unresolved Mention1"/>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D2BE4"/>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 TargetMode="External" /><Relationship Id="rId11" Type="http://schemas.openxmlformats.org/officeDocument/2006/relationships/hyperlink" Target="https://www.ferc.gov/ferc-online/overview" TargetMode="External" /><Relationship Id="rId12" Type="http://schemas.openxmlformats.org/officeDocument/2006/relationships/hyperlink" Target="mailto:OPP@ferc.gov"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reginfo.gov/public/do/PRAMa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801bb4-6743-454f-a51e-5af1dda7beb6">
      <Terms xmlns="http://schemas.microsoft.com/office/infopath/2007/PartnerControls"/>
    </lcf76f155ced4ddcb4097134ff3c332f>
    <TaxCatchAll xmlns="5b614717-fa42-4d55-8c6b-b7d98cda7b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ADEE0992E7054ABDA604AC6DAF128A" ma:contentTypeVersion="14" ma:contentTypeDescription="Create a new document." ma:contentTypeScope="" ma:versionID="4c1d8c72f2ffe122e398d418ba29a0b6">
  <xsd:schema xmlns:xsd="http://www.w3.org/2001/XMLSchema" xmlns:xs="http://www.w3.org/2001/XMLSchema" xmlns:p="http://schemas.microsoft.com/office/2006/metadata/properties" xmlns:ns2="e6801bb4-6743-454f-a51e-5af1dda7beb6" xmlns:ns3="5b614717-fa42-4d55-8c6b-b7d98cda7b53" xmlns:ns4="7a04680a-742e-4c77-924c-d687d1e7a16d" targetNamespace="http://schemas.microsoft.com/office/2006/metadata/properties" ma:root="true" ma:fieldsID="2871e96f0c4941e668a7fb012a762914" ns2:_="" ns3:_="" ns4:_="">
    <xsd:import namespace="e6801bb4-6743-454f-a51e-5af1dda7beb6"/>
    <xsd:import namespace="5b614717-fa42-4d55-8c6b-b7d98cda7b53"/>
    <xsd:import namespace="7a04680a-742e-4c77-924c-d687d1e7a16d"/>
    <xsd:element name="properties">
      <xsd:complexType>
        <xsd:sequence>
          <xsd:element name="documentManagement">
            <xsd:complexType>
              <xsd:all>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01bb4-6743-454f-a51e-5af1dda7be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14717-fa42-4d55-8c6b-b7d98cda7b5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e7c7712-a812-48ed-a0d2-1b264a7f9820}" ma:internalName="TaxCatchAll" ma:showField="CatchAllData" ma:web="5b614717-fa42-4d55-8c6b-b7d98cda7b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04680a-742e-4c77-924c-d687d1e7a16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0E044-8E26-43C9-904B-F4760BBA343A}">
  <ds:schemaRefs>
    <ds:schemaRef ds:uri="http://schemas.openxmlformats.org/officeDocument/2006/bibliography"/>
  </ds:schemaRefs>
</ds:datastoreItem>
</file>

<file path=customXml/itemProps2.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3.xml><?xml version="1.0" encoding="utf-8"?>
<ds:datastoreItem xmlns:ds="http://schemas.openxmlformats.org/officeDocument/2006/customXml" ds:itemID="{5BBB1DD4-8130-4FE7-964C-24C804F058DC}">
  <ds:schemaRefs>
    <ds:schemaRef ds:uri="http://schemas.microsoft.com/office/2006/metadata/properties"/>
    <ds:schemaRef ds:uri="http://schemas.microsoft.com/office/infopath/2007/PartnerControls"/>
    <ds:schemaRef ds:uri="e6801bb4-6743-454f-a51e-5af1dda7beb6"/>
    <ds:schemaRef ds:uri="5b614717-fa42-4d55-8c6b-b7d98cda7b53"/>
  </ds:schemaRefs>
</ds:datastoreItem>
</file>

<file path=customXml/itemProps4.xml><?xml version="1.0" encoding="utf-8"?>
<ds:datastoreItem xmlns:ds="http://schemas.openxmlformats.org/officeDocument/2006/customXml" ds:itemID="{61C75C0B-3016-48FA-AD20-2C0F33635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01bb4-6743-454f-a51e-5af1dda7beb6"/>
    <ds:schemaRef ds:uri="5b614717-fa42-4d55-8c6b-b7d98cda7b53"/>
    <ds:schemaRef ds:uri="7a04680a-742e-4c77-924c-d687d1e7a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30-day Notice for FERC-516H</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30-day Notice for FERC-516H</dc:title>
  <dc:creator>Kayla Williams</dc:creator>
  <cp:lastModifiedBy>Kayla Williams</cp:lastModifiedBy>
  <cp:revision>4</cp:revision>
  <cp:lastPrinted>2016-12-20T19:40:00Z</cp:lastPrinted>
  <dcterms:created xsi:type="dcterms:W3CDTF">2024-01-24T16:15:00Z</dcterms:created>
  <dcterms:modified xsi:type="dcterms:W3CDTF">2024-01-24T16:17:00Z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0x010100A8ADEE0992E7054ABDA604AC6DAF128A</vt:lpwstr>
  </property>
  <property fmtid="{D5CDD505-2E9C-101B-9397-08002B2CF9AE}" pid="3" name="MediaServiceImageTags">
    <vt:lpwstr/>
  </property>
  <property fmtid="{D5CDD505-2E9C-101B-9397-08002B2CF9AE}" pid="4" name="MSIP_Label_6155a89b-0f08-4a93-8ea2-8a916d6643b5_ActionId">
    <vt:lpwstr>b9d8d4a6-d90a-45fc-b951-a548d1f153cc</vt:lpwstr>
  </property>
  <property fmtid="{D5CDD505-2E9C-101B-9397-08002B2CF9AE}" pid="5" name="MSIP_Label_6155a89b-0f08-4a93-8ea2-8a916d6643b5_ContentBits">
    <vt:lpwstr>0</vt:lpwstr>
  </property>
  <property fmtid="{D5CDD505-2E9C-101B-9397-08002B2CF9AE}" pid="6" name="MSIP_Label_6155a89b-0f08-4a93-8ea2-8a916d6643b5_Enabled">
    <vt:lpwstr>true</vt:lpwstr>
  </property>
  <property fmtid="{D5CDD505-2E9C-101B-9397-08002B2CF9AE}" pid="7" name="MSIP_Label_6155a89b-0f08-4a93-8ea2-8a916d6643b5_Method">
    <vt:lpwstr>Privileged</vt:lpwstr>
  </property>
  <property fmtid="{D5CDD505-2E9C-101B-9397-08002B2CF9AE}" pid="8" name="MSIP_Label_6155a89b-0f08-4a93-8ea2-8a916d6643b5_Name">
    <vt:lpwstr>6155a89b-0f08-4a93-8ea2-8a916d6643b5</vt:lpwstr>
  </property>
  <property fmtid="{D5CDD505-2E9C-101B-9397-08002B2CF9AE}" pid="9" name="MSIP_Label_6155a89b-0f08-4a93-8ea2-8a916d6643b5_SetDate">
    <vt:lpwstr>2023-01-10T17:19:52Z</vt:lpwstr>
  </property>
  <property fmtid="{D5CDD505-2E9C-101B-9397-08002B2CF9AE}" pid="10" name="MSIP_Label_6155a89b-0f08-4a93-8ea2-8a916d6643b5_SiteId">
    <vt:lpwstr>19caa9e9-04ff-43fa-885f-d77fac387903</vt:lpwstr>
  </property>
</Properties>
</file>