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81FD0" w:rsidRPr="00021E0C" w:rsidP="00F81FD0" w14:paraId="5CB0789A" w14:textId="254D06A4">
      <w:pPr>
        <w:jc w:val="center"/>
        <w:rPr>
          <w:b/>
          <w:bCs/>
        </w:rPr>
      </w:pPr>
      <w:bookmarkStart w:id="0" w:name="_Hlk521291711"/>
      <w:bookmarkEnd w:id="0"/>
      <w:r w:rsidRPr="00021E0C">
        <w:rPr>
          <w:b/>
          <w:bCs/>
        </w:rPr>
        <w:t>Supporting Statement for</w:t>
      </w:r>
    </w:p>
    <w:p w:rsidR="00F81FD0" w:rsidRPr="00021E0C" w:rsidP="00F81FD0" w14:paraId="790F8E06" w14:textId="77777777">
      <w:pPr>
        <w:jc w:val="center"/>
        <w:rPr>
          <w:b/>
          <w:bCs/>
        </w:rPr>
      </w:pPr>
      <w:r w:rsidRPr="00021E0C">
        <w:rPr>
          <w:b/>
          <w:bCs/>
        </w:rPr>
        <w:t>Information Collection Request</w:t>
      </w:r>
    </w:p>
    <w:p w:rsidR="00F81FD0" w:rsidRPr="00021E0C" w:rsidP="00F81FD0" w14:paraId="64C87377" w14:textId="77777777"/>
    <w:p w:rsidR="00F81FD0" w:rsidRPr="00021E0C" w:rsidP="00F81FD0" w14:paraId="07F1AD85" w14:textId="77777777"/>
    <w:p w:rsidR="00F81FD0" w:rsidRPr="00021E0C" w:rsidP="002B15D5" w14:paraId="417B0415" w14:textId="77777777">
      <w:pPr>
        <w:pStyle w:val="NoSpacing"/>
        <w:rPr>
          <w:rFonts w:ascii="Times New Roman" w:hAnsi="Times New Roman" w:cs="Times New Roman"/>
          <w:sz w:val="24"/>
          <w:szCs w:val="24"/>
        </w:rPr>
      </w:pPr>
    </w:p>
    <w:p w:rsidR="003B2EC4" w:rsidRPr="00021E0C" w:rsidP="002B15D5" w14:paraId="093EE593" w14:textId="77777777">
      <w:pPr>
        <w:pStyle w:val="NoSpacing"/>
        <w:rPr>
          <w:rFonts w:ascii="Times New Roman" w:hAnsi="Times New Roman" w:cs="Times New Roman"/>
          <w:sz w:val="24"/>
          <w:szCs w:val="24"/>
        </w:rPr>
      </w:pPr>
    </w:p>
    <w:p w:rsidR="00F81FD0" w:rsidRPr="00021E0C" w:rsidP="00264955" w14:paraId="05950851" w14:textId="2B4821A1">
      <w:pPr>
        <w:pStyle w:val="ICR2"/>
      </w:pPr>
      <w:r w:rsidRPr="00021E0C">
        <w:t>EXECUTIVE SUMMARY</w:t>
      </w:r>
    </w:p>
    <w:p w:rsidR="00F60F30" w:rsidRPr="00021E0C" w:rsidP="00F60F30" w14:paraId="37B9345E" w14:textId="77777777">
      <w:pPr>
        <w:pStyle w:val="NoSpacing"/>
        <w:ind w:left="720"/>
        <w:rPr>
          <w:rFonts w:ascii="Times New Roman" w:hAnsi="Times New Roman" w:cs="Times New Roman"/>
          <w:sz w:val="24"/>
          <w:szCs w:val="24"/>
        </w:rPr>
      </w:pPr>
    </w:p>
    <w:p w:rsidR="00F60F30" w:rsidRPr="00021E0C" w:rsidP="00F60F30" w14:paraId="3ABC48A9" w14:textId="763387FF">
      <w:pPr>
        <w:pStyle w:val="NoSpacing"/>
        <w:ind w:left="720"/>
        <w:rPr>
          <w:rFonts w:ascii="Times New Roman" w:hAnsi="Times New Roman" w:cs="Times New Roman"/>
          <w:sz w:val="24"/>
          <w:szCs w:val="24"/>
        </w:rPr>
      </w:pPr>
      <w:r w:rsidRPr="00021E0C">
        <w:rPr>
          <w:rFonts w:ascii="Times New Roman" w:hAnsi="Times New Roman" w:cs="Times New Roman"/>
          <w:b/>
          <w:bCs/>
          <w:sz w:val="24"/>
          <w:szCs w:val="24"/>
        </w:rPr>
        <w:t>Title</w:t>
      </w:r>
      <w:r w:rsidRPr="00021E0C">
        <w:rPr>
          <w:rFonts w:ascii="Times New Roman" w:hAnsi="Times New Roman" w:cs="Times New Roman"/>
          <w:sz w:val="24"/>
          <w:szCs w:val="24"/>
        </w:rPr>
        <w:t xml:space="preserve">: </w:t>
      </w:r>
      <w:bookmarkStart w:id="1" w:name="_Hlk157027316"/>
      <w:r w:rsidRPr="00021E0C" w:rsidR="00440724">
        <w:rPr>
          <w:rFonts w:ascii="Times New Roman" w:hAnsi="Times New Roman" w:cs="Times New Roman"/>
          <w:sz w:val="24"/>
          <w:szCs w:val="24"/>
        </w:rPr>
        <w:t>Waiver from Tier 4 Emission Standards for Marine Diesel Engines (Renewal)</w:t>
      </w:r>
      <w:bookmarkEnd w:id="1"/>
      <w:r w:rsidRPr="00021E0C">
        <w:rPr>
          <w:rFonts w:ascii="Times New Roman" w:hAnsi="Times New Roman" w:cs="Times New Roman"/>
          <w:sz w:val="24"/>
          <w:szCs w:val="24"/>
        </w:rPr>
        <w:t xml:space="preserve"> </w:t>
      </w:r>
    </w:p>
    <w:p w:rsidR="00F60F30" w:rsidRPr="00021E0C" w:rsidP="00F60F30" w14:paraId="7D5A84DE" w14:textId="77777777">
      <w:pPr>
        <w:pStyle w:val="NoSpacing"/>
        <w:ind w:left="720"/>
        <w:rPr>
          <w:rFonts w:ascii="Times New Roman" w:hAnsi="Times New Roman" w:cs="Times New Roman"/>
          <w:sz w:val="24"/>
          <w:szCs w:val="24"/>
        </w:rPr>
      </w:pPr>
    </w:p>
    <w:p w:rsidR="00F60F30" w:rsidRPr="00021E0C" w:rsidP="00F60F30" w14:paraId="11863861" w14:textId="13AB82C3">
      <w:pPr>
        <w:pStyle w:val="NoSpacing"/>
        <w:ind w:left="720"/>
        <w:rPr>
          <w:rFonts w:ascii="Times New Roman" w:hAnsi="Times New Roman" w:cs="Times New Roman"/>
          <w:sz w:val="24"/>
          <w:szCs w:val="24"/>
        </w:rPr>
      </w:pPr>
      <w:r w:rsidRPr="00021E0C">
        <w:rPr>
          <w:rFonts w:ascii="Times New Roman" w:hAnsi="Times New Roman" w:cs="Times New Roman"/>
          <w:b/>
          <w:bCs/>
          <w:sz w:val="24"/>
          <w:szCs w:val="24"/>
        </w:rPr>
        <w:t>EPA</w:t>
      </w:r>
      <w:r w:rsidRPr="00021E0C">
        <w:rPr>
          <w:rFonts w:ascii="Times New Roman" w:hAnsi="Times New Roman" w:cs="Times New Roman"/>
          <w:sz w:val="24"/>
          <w:szCs w:val="24"/>
        </w:rPr>
        <w:t xml:space="preserve"> ICR No.: </w:t>
      </w:r>
      <w:r w:rsidRPr="00021E0C" w:rsidR="00061F8B">
        <w:rPr>
          <w:rFonts w:ascii="Times New Roman" w:hAnsi="Times New Roman" w:cs="Times New Roman"/>
          <w:sz w:val="24"/>
          <w:szCs w:val="24"/>
        </w:rPr>
        <w:t xml:space="preserve"> 2602.03</w:t>
      </w:r>
    </w:p>
    <w:p w:rsidR="00F60F30" w:rsidRPr="00021E0C" w:rsidP="00F60F30" w14:paraId="471EEEB8" w14:textId="77777777">
      <w:pPr>
        <w:pStyle w:val="NoSpacing"/>
        <w:ind w:left="720"/>
        <w:rPr>
          <w:rFonts w:ascii="Times New Roman" w:hAnsi="Times New Roman" w:cs="Times New Roman"/>
          <w:sz w:val="24"/>
          <w:szCs w:val="24"/>
        </w:rPr>
      </w:pPr>
    </w:p>
    <w:p w:rsidR="00F60F30" w:rsidRPr="00021E0C" w:rsidP="00F60F30" w14:paraId="37CEC5E5" w14:textId="5E2DC170">
      <w:pPr>
        <w:pStyle w:val="NoSpacing"/>
        <w:ind w:left="720"/>
        <w:rPr>
          <w:rFonts w:ascii="Times New Roman" w:hAnsi="Times New Roman" w:cs="Times New Roman"/>
          <w:sz w:val="24"/>
          <w:szCs w:val="24"/>
        </w:rPr>
      </w:pPr>
      <w:r w:rsidRPr="00021E0C">
        <w:rPr>
          <w:rFonts w:ascii="Times New Roman" w:hAnsi="Times New Roman" w:cs="Times New Roman"/>
          <w:b/>
          <w:bCs/>
          <w:sz w:val="24"/>
          <w:szCs w:val="24"/>
        </w:rPr>
        <w:t>OMB</w:t>
      </w:r>
      <w:r w:rsidRPr="00021E0C">
        <w:rPr>
          <w:rFonts w:ascii="Times New Roman" w:hAnsi="Times New Roman" w:cs="Times New Roman"/>
          <w:sz w:val="24"/>
          <w:szCs w:val="24"/>
        </w:rPr>
        <w:t xml:space="preserve"> Control No.:  </w:t>
      </w:r>
      <w:r w:rsidRPr="00021E0C" w:rsidR="00D10F4E">
        <w:rPr>
          <w:rFonts w:ascii="Times New Roman" w:hAnsi="Times New Roman" w:cs="Times New Roman"/>
          <w:sz w:val="24"/>
          <w:szCs w:val="24"/>
        </w:rPr>
        <w:t>2060-0726</w:t>
      </w:r>
    </w:p>
    <w:p w:rsidR="00F60F30" w:rsidRPr="00021E0C" w:rsidP="00F60F30" w14:paraId="77D0BA3F" w14:textId="77777777">
      <w:pPr>
        <w:pStyle w:val="NoSpacing"/>
        <w:ind w:left="720"/>
        <w:rPr>
          <w:rFonts w:ascii="Times New Roman" w:hAnsi="Times New Roman" w:cs="Times New Roman"/>
          <w:sz w:val="24"/>
          <w:szCs w:val="24"/>
        </w:rPr>
      </w:pPr>
    </w:p>
    <w:p w:rsidR="00F60F30" w:rsidRPr="00021E0C" w:rsidP="00F60F30" w14:paraId="351B0A2E" w14:textId="694C33F9">
      <w:pPr>
        <w:pStyle w:val="NoSpacing"/>
        <w:ind w:left="720"/>
        <w:rPr>
          <w:rFonts w:ascii="Times New Roman" w:hAnsi="Times New Roman" w:cs="Times New Roman"/>
          <w:sz w:val="24"/>
          <w:szCs w:val="24"/>
        </w:rPr>
      </w:pPr>
      <w:r w:rsidRPr="00021E0C">
        <w:rPr>
          <w:rFonts w:ascii="Times New Roman" w:hAnsi="Times New Roman" w:cs="Times New Roman"/>
          <w:b/>
          <w:bCs/>
          <w:sz w:val="24"/>
          <w:szCs w:val="24"/>
        </w:rPr>
        <w:t>Docket ID No.</w:t>
      </w:r>
      <w:r w:rsidRPr="00021E0C">
        <w:rPr>
          <w:rFonts w:ascii="Times New Roman" w:hAnsi="Times New Roman" w:cs="Times New Roman"/>
          <w:sz w:val="24"/>
          <w:szCs w:val="24"/>
        </w:rPr>
        <w:t xml:space="preserve">:  </w:t>
      </w:r>
      <w:r w:rsidRPr="00021E0C" w:rsidR="00FC26B9">
        <w:rPr>
          <w:rFonts w:ascii="Times New Roman" w:hAnsi="Times New Roman" w:cs="Times New Roman"/>
          <w:sz w:val="24"/>
          <w:szCs w:val="24"/>
        </w:rPr>
        <w:t>EPA-HQ-OAR-</w:t>
      </w:r>
      <w:r w:rsidRPr="00021E0C" w:rsidR="0013049B">
        <w:rPr>
          <w:rFonts w:ascii="Times New Roman" w:hAnsi="Times New Roman" w:cs="Times New Roman"/>
          <w:sz w:val="24"/>
          <w:szCs w:val="24"/>
        </w:rPr>
        <w:t>2018</w:t>
      </w:r>
      <w:r w:rsidRPr="00021E0C" w:rsidR="004B2E2A">
        <w:rPr>
          <w:rFonts w:ascii="Times New Roman" w:hAnsi="Times New Roman" w:cs="Times New Roman"/>
          <w:sz w:val="24"/>
          <w:szCs w:val="24"/>
        </w:rPr>
        <w:t>-0638</w:t>
      </w:r>
      <w:r w:rsidRPr="00021E0C" w:rsidR="00AA266A">
        <w:rPr>
          <w:rFonts w:ascii="Times New Roman" w:hAnsi="Times New Roman" w:cs="Times New Roman"/>
          <w:sz w:val="24"/>
          <w:szCs w:val="24"/>
        </w:rPr>
        <w:t xml:space="preserve">  </w:t>
      </w:r>
    </w:p>
    <w:p w:rsidR="00384A9C" w:rsidRPr="00021E0C" w:rsidP="002B15D5" w14:paraId="5AA7E613" w14:textId="76323AF8">
      <w:pPr>
        <w:pStyle w:val="NoSpacing"/>
        <w:rPr>
          <w:rFonts w:ascii="Times New Roman" w:hAnsi="Times New Roman" w:cs="Times New Roman"/>
          <w:sz w:val="24"/>
          <w:szCs w:val="24"/>
        </w:rPr>
      </w:pPr>
    </w:p>
    <w:p w:rsidR="0099084E" w:rsidRPr="00021E0C" w:rsidP="00D10F4E" w14:paraId="0096865A" w14:textId="709127B5">
      <w:pPr>
        <w:textAlignment w:val="baseline"/>
      </w:pPr>
      <w:r w:rsidRPr="00021E0C">
        <w:rPr>
          <w:b/>
          <w:bCs/>
        </w:rPr>
        <w:t>Abstract</w:t>
      </w:r>
      <w:r w:rsidRPr="00021E0C" w:rsidR="00384A9C">
        <w:t xml:space="preserve">:  </w:t>
      </w:r>
      <w:bookmarkStart w:id="2" w:name="_Hlk157027376"/>
      <w:r w:rsidRPr="00021E0C" w:rsidR="006C2C00">
        <w:t xml:space="preserve">EPA adopted the Tier 4 </w:t>
      </w:r>
      <w:r w:rsidRPr="00021E0C" w:rsidR="00C26F3C">
        <w:t xml:space="preserve">marine diesel engine </w:t>
      </w:r>
      <w:r w:rsidRPr="00021E0C" w:rsidR="006C2C00">
        <w:t xml:space="preserve">standards </w:t>
      </w:r>
      <w:r w:rsidRPr="00021E0C" w:rsidR="00F074CC">
        <w:t xml:space="preserve">in </w:t>
      </w:r>
      <w:r w:rsidRPr="00021E0C" w:rsidR="006C2C00">
        <w:t xml:space="preserve">June </w:t>
      </w:r>
      <w:r w:rsidRPr="00021E0C" w:rsidR="006D5945">
        <w:t>2008,</w:t>
      </w:r>
      <w:r w:rsidRPr="00021E0C" w:rsidR="006C2C00">
        <w:t xml:space="preserve"> under the authority of the Clean Air Act (73 FR 37096).</w:t>
      </w:r>
      <w:r w:rsidRPr="00021E0C" w:rsidR="0073587B">
        <w:t xml:space="preserve">  </w:t>
      </w:r>
      <w:r w:rsidRPr="00021E0C" w:rsidR="00DA30AE">
        <w:t>The Tier 4</w:t>
      </w:r>
      <w:r w:rsidRPr="00021E0C" w:rsidR="00CB3AE0">
        <w:t xml:space="preserve"> standards </w:t>
      </w:r>
      <w:r w:rsidRPr="00021E0C" w:rsidR="00646154">
        <w:t>were phased in, with</w:t>
      </w:r>
      <w:r w:rsidRPr="00021E0C" w:rsidR="00CB7719">
        <w:t xml:space="preserve"> an effective date beginning in 2016 through 2018 for most engines.  </w:t>
      </w:r>
      <w:r w:rsidRPr="00021E0C" w:rsidR="004B36A1">
        <w:t>In</w:t>
      </w:r>
      <w:r w:rsidRPr="00021E0C" w:rsidR="00F074CC">
        <w:t xml:space="preserve"> August 2020, EPA amended those regulations in response to </w:t>
      </w:r>
      <w:r w:rsidRPr="00021E0C" w:rsidR="004B36A1">
        <w:t>industry concerns</w:t>
      </w:r>
      <w:r w:rsidRPr="00021E0C" w:rsidR="008E728E">
        <w:t xml:space="preserve"> about the availability of </w:t>
      </w:r>
      <w:r w:rsidRPr="00021E0C" w:rsidR="00390959">
        <w:t xml:space="preserve">suitable </w:t>
      </w:r>
      <w:r w:rsidRPr="00021E0C" w:rsidR="008E728E">
        <w:t>Tier 4 certified engines</w:t>
      </w:r>
      <w:r w:rsidRPr="00021E0C" w:rsidR="00390959">
        <w:t xml:space="preserve"> for installation in certain kinds of high-speed vessels</w:t>
      </w:r>
      <w:r w:rsidRPr="00021E0C" w:rsidR="00F074CC">
        <w:t xml:space="preserve">.  </w:t>
      </w:r>
      <w:r w:rsidRPr="00021E0C" w:rsidR="00EE7250">
        <w:t>The amendments provided focused relief for qualifying engines and vessels</w:t>
      </w:r>
      <w:r w:rsidRPr="00021E0C" w:rsidR="00DA30AE">
        <w:t xml:space="preserve"> </w:t>
      </w:r>
      <w:r w:rsidRPr="00021E0C" w:rsidR="00EE7250">
        <w:t>in two phases</w:t>
      </w:r>
      <w:r w:rsidRPr="00021E0C" w:rsidR="00DA30AE">
        <w:t>,</w:t>
      </w:r>
      <w:r w:rsidRPr="00021E0C" w:rsidR="007F1FB7">
        <w:t xml:space="preserve"> depending on engine and vessel size</w:t>
      </w:r>
      <w:r w:rsidRPr="00021E0C" w:rsidR="00381F24">
        <w:t xml:space="preserve">.  </w:t>
      </w:r>
      <w:r w:rsidRPr="00021E0C">
        <w:t>Builders of qualifying vessels were required to submit to EPA information describing their need for regulatory relief and demonstrating that their vessels met the size and power conditions.</w:t>
      </w:r>
    </w:p>
    <w:p w:rsidR="0099084E" w:rsidRPr="00021E0C" w:rsidP="0099084E" w14:paraId="2E912FC0" w14:textId="23615033">
      <w:pPr>
        <w:pStyle w:val="ListParagraph"/>
        <w:numPr>
          <w:ilvl w:val="0"/>
          <w:numId w:val="23"/>
        </w:numPr>
        <w:textAlignment w:val="baseline"/>
        <w:rPr>
          <w:sz w:val="24"/>
          <w:szCs w:val="24"/>
        </w:rPr>
      </w:pPr>
      <w:r w:rsidRPr="00021E0C">
        <w:rPr>
          <w:sz w:val="24"/>
          <w:szCs w:val="24"/>
        </w:rPr>
        <w:t xml:space="preserve">Phase One was </w:t>
      </w:r>
      <w:r w:rsidRPr="00021E0C" w:rsidR="00185A9F">
        <w:rPr>
          <w:sz w:val="24"/>
          <w:szCs w:val="24"/>
        </w:rPr>
        <w:t>available</w:t>
      </w:r>
      <w:r w:rsidRPr="00021E0C" w:rsidR="00B04488">
        <w:rPr>
          <w:sz w:val="24"/>
          <w:szCs w:val="24"/>
        </w:rPr>
        <w:t xml:space="preserve"> through 2021 </w:t>
      </w:r>
      <w:r w:rsidRPr="00021E0C" w:rsidR="00381F24">
        <w:rPr>
          <w:sz w:val="24"/>
          <w:szCs w:val="24"/>
        </w:rPr>
        <w:t xml:space="preserve">and was limited to </w:t>
      </w:r>
      <w:r w:rsidRPr="00021E0C">
        <w:rPr>
          <w:sz w:val="24"/>
          <w:szCs w:val="24"/>
        </w:rPr>
        <w:t xml:space="preserve">propulsion engines with maximum power output up to 1,400 kW and power density of at least 27.0 kW per liter displacement. Additionally, the relief is limited to vessels up to 65 feet waterline length with total nameplate propulsion power at or below 2,800 kW. This includes vessels such as lobster fishing boats, pilot boats, and some research boats. </w:t>
      </w:r>
    </w:p>
    <w:p w:rsidR="0099084E" w:rsidRPr="00021E0C" w:rsidP="0099084E" w14:paraId="0EBD51CF" w14:textId="62169022">
      <w:pPr>
        <w:pStyle w:val="ListParagraph"/>
        <w:numPr>
          <w:ilvl w:val="0"/>
          <w:numId w:val="23"/>
        </w:numPr>
        <w:textAlignment w:val="baseline"/>
        <w:rPr>
          <w:sz w:val="24"/>
          <w:szCs w:val="24"/>
        </w:rPr>
      </w:pPr>
      <w:r w:rsidRPr="00021E0C">
        <w:rPr>
          <w:sz w:val="24"/>
          <w:szCs w:val="24"/>
        </w:rPr>
        <w:t xml:space="preserve">Phase Two is </w:t>
      </w:r>
      <w:r w:rsidRPr="00021E0C">
        <w:rPr>
          <w:sz w:val="24"/>
          <w:szCs w:val="24"/>
        </w:rPr>
        <w:t xml:space="preserve">available </w:t>
      </w:r>
      <w:r w:rsidRPr="00021E0C" w:rsidR="00B04488">
        <w:rPr>
          <w:sz w:val="24"/>
          <w:szCs w:val="24"/>
        </w:rPr>
        <w:t>through 2023</w:t>
      </w:r>
      <w:r w:rsidRPr="00021E0C" w:rsidR="00867DBA">
        <w:rPr>
          <w:sz w:val="24"/>
          <w:szCs w:val="24"/>
        </w:rPr>
        <w:t xml:space="preserve"> and is limited to </w:t>
      </w:r>
      <w:r w:rsidRPr="00021E0C" w:rsidR="007F3599">
        <w:rPr>
          <w:sz w:val="24"/>
          <w:szCs w:val="24"/>
        </w:rPr>
        <w:t xml:space="preserve">vessels with a single propulsion engine with maximum power output up to 1,000 kW and power density of at least 35.0 kW per liter displacement, where the vessel is made with a nonmetal hull and has a maximum length of 50 feet. These </w:t>
      </w:r>
      <w:r w:rsidRPr="00021E0C" w:rsidR="00867DBA">
        <w:rPr>
          <w:sz w:val="24"/>
          <w:szCs w:val="24"/>
        </w:rPr>
        <w:t xml:space="preserve">vessels </w:t>
      </w:r>
      <w:r w:rsidRPr="00021E0C" w:rsidR="007F3599">
        <w:rPr>
          <w:sz w:val="24"/>
          <w:szCs w:val="24"/>
        </w:rPr>
        <w:t xml:space="preserve">are expected to be primarily lobster or other fishing boats. </w:t>
      </w:r>
      <w:r w:rsidRPr="00021E0C" w:rsidR="009F41E6">
        <w:rPr>
          <w:sz w:val="24"/>
          <w:szCs w:val="24"/>
        </w:rPr>
        <w:t xml:space="preserve"> </w:t>
      </w:r>
      <w:r w:rsidRPr="00021E0C" w:rsidR="006767E9">
        <w:rPr>
          <w:sz w:val="24"/>
          <w:szCs w:val="24"/>
        </w:rPr>
        <w:t xml:space="preserve">EPA also adopted a waiver provision that can be </w:t>
      </w:r>
      <w:r w:rsidRPr="00021E0C" w:rsidR="00F13009">
        <w:rPr>
          <w:sz w:val="24"/>
          <w:szCs w:val="24"/>
        </w:rPr>
        <w:t>applied for</w:t>
      </w:r>
      <w:r w:rsidRPr="00021E0C" w:rsidR="006767E9">
        <w:rPr>
          <w:sz w:val="24"/>
          <w:szCs w:val="24"/>
        </w:rPr>
        <w:t xml:space="preserve">, if necessary, </w:t>
      </w:r>
      <w:r w:rsidRPr="00021E0C" w:rsidR="008D228E">
        <w:rPr>
          <w:sz w:val="24"/>
          <w:szCs w:val="24"/>
        </w:rPr>
        <w:t>beginning in 2024</w:t>
      </w:r>
      <w:r w:rsidRPr="00021E0C" w:rsidR="003C6A1B">
        <w:rPr>
          <w:sz w:val="24"/>
          <w:szCs w:val="24"/>
        </w:rPr>
        <w:t>,</w:t>
      </w:r>
      <w:r w:rsidRPr="00021E0C" w:rsidR="008D228E">
        <w:rPr>
          <w:sz w:val="24"/>
          <w:szCs w:val="24"/>
        </w:rPr>
        <w:t xml:space="preserve"> if </w:t>
      </w:r>
      <w:r w:rsidRPr="00021E0C" w:rsidR="007E335F">
        <w:rPr>
          <w:sz w:val="24"/>
          <w:szCs w:val="24"/>
        </w:rPr>
        <w:t>suitable engines continue to be unavailable</w:t>
      </w:r>
      <w:r w:rsidRPr="00021E0C" w:rsidR="00F13009">
        <w:rPr>
          <w:sz w:val="24"/>
          <w:szCs w:val="24"/>
        </w:rPr>
        <w:t xml:space="preserve">; this waiver requires the vessel builder to </w:t>
      </w:r>
      <w:r w:rsidRPr="00021E0C" w:rsidR="005A4A10">
        <w:rPr>
          <w:sz w:val="24"/>
          <w:szCs w:val="24"/>
        </w:rPr>
        <w:t xml:space="preserve">submit an application which would be reviewed by EPA before issuing the waiver.  </w:t>
      </w:r>
    </w:p>
    <w:p w:rsidR="00CC2469" w:rsidRPr="00021E0C" w:rsidP="0099084E" w14:paraId="5A8BC6C2" w14:textId="77777777">
      <w:pPr>
        <w:textAlignment w:val="baseline"/>
      </w:pPr>
    </w:p>
    <w:p w:rsidR="00367DDD" w:rsidRPr="00021E0C" w:rsidP="0099084E" w14:paraId="5F8EA902" w14:textId="3FC91515">
      <w:pPr>
        <w:textAlignment w:val="baseline"/>
      </w:pPr>
      <w:r w:rsidRPr="00021E0C">
        <w:t xml:space="preserve">This information collection request </w:t>
      </w:r>
      <w:r w:rsidRPr="00021E0C" w:rsidR="0015243C">
        <w:t xml:space="preserve">renewal covers the reporting burden associated with applying for </w:t>
      </w:r>
      <w:r w:rsidRPr="00021E0C" w:rsidR="00E80A8E">
        <w:t xml:space="preserve">the </w:t>
      </w:r>
      <w:r w:rsidRPr="00021E0C" w:rsidR="0015243C">
        <w:t>waiver</w:t>
      </w:r>
      <w:r w:rsidRPr="00021E0C" w:rsidR="00E80A8E">
        <w:t xml:space="preserve"> for vessels meeting the criteria for Phase 2 relief</w:t>
      </w:r>
      <w:r w:rsidRPr="00021E0C" w:rsidR="0015243C">
        <w:t xml:space="preserve">.  </w:t>
      </w:r>
      <w:r w:rsidRPr="00021E0C">
        <w:t xml:space="preserve"> </w:t>
      </w:r>
    </w:p>
    <w:bookmarkEnd w:id="2"/>
    <w:p w:rsidR="008A0306" w:rsidRPr="00021E0C" w:rsidP="002B15D5" w14:paraId="0DC04D97" w14:textId="77777777">
      <w:pPr>
        <w:pStyle w:val="NoSpacing"/>
        <w:rPr>
          <w:rFonts w:ascii="Times New Roman" w:eastAsia="Times New Roman" w:hAnsi="Times New Roman" w:cs="Times New Roman"/>
          <w:sz w:val="24"/>
          <w:szCs w:val="24"/>
        </w:rPr>
      </w:pPr>
    </w:p>
    <w:p w:rsidR="00380395" w:rsidRPr="00021E0C" w:rsidP="002B15D5" w14:paraId="3966B6A8" w14:textId="347A0CAB">
      <w:pPr>
        <w:pStyle w:val="NoSpacing"/>
        <w:rPr>
          <w:rFonts w:ascii="Times New Roman" w:hAnsi="Times New Roman" w:cs="Times New Roman"/>
          <w:sz w:val="24"/>
          <w:szCs w:val="24"/>
        </w:rPr>
      </w:pPr>
    </w:p>
    <w:p w:rsidR="00580302" w:rsidRPr="00021E0C" w:rsidP="009E4E59" w14:paraId="5C07EB86" w14:textId="6A469B9C">
      <w:pPr>
        <w:pStyle w:val="ICR2"/>
      </w:pPr>
      <w:r w:rsidRPr="00021E0C">
        <w:t>SUPPORTING STATEMENT</w:t>
      </w:r>
    </w:p>
    <w:p w:rsidR="00380395" w:rsidRPr="00021E0C" w:rsidP="002B15D5" w14:paraId="4944DA75" w14:textId="77777777">
      <w:pPr>
        <w:pStyle w:val="NoSpacing"/>
        <w:rPr>
          <w:rFonts w:ascii="Times New Roman" w:hAnsi="Times New Roman" w:cs="Times New Roman"/>
          <w:sz w:val="24"/>
          <w:szCs w:val="24"/>
        </w:rPr>
      </w:pPr>
    </w:p>
    <w:p w:rsidR="002B15D5" w:rsidRPr="00021E0C" w:rsidP="00FD2674" w14:paraId="56195048" w14:textId="47168DC1">
      <w:pPr>
        <w:pStyle w:val="ICR3"/>
      </w:pPr>
      <w:r w:rsidRPr="00021E0C">
        <w:t>1. Explain the circumstances that make the collection of information necessary. Identify any</w:t>
      </w:r>
      <w:r w:rsidRPr="00021E0C" w:rsidR="006559A1">
        <w:t xml:space="preserve"> </w:t>
      </w:r>
      <w:r w:rsidRPr="00021E0C">
        <w:t>legal or administrative requirements that necessitate the collection. Attach a copy of the</w:t>
      </w:r>
      <w:r w:rsidRPr="00021E0C" w:rsidR="006559A1">
        <w:t xml:space="preserve"> </w:t>
      </w:r>
      <w:r w:rsidRPr="00021E0C">
        <w:t>appropriate section of each statute and regulation mandating or authorizing the collection of</w:t>
      </w:r>
      <w:r w:rsidRPr="00021E0C" w:rsidR="006559A1">
        <w:t xml:space="preserve"> </w:t>
      </w:r>
      <w:r w:rsidRPr="00021E0C">
        <w:t>information.</w:t>
      </w:r>
      <w:r w:rsidRPr="00021E0C">
        <w:tab/>
      </w:r>
    </w:p>
    <w:p w:rsidR="00485281" w:rsidRPr="00021E0C" w:rsidP="002B15D5" w14:paraId="65037AA6" w14:textId="51853235">
      <w:pPr>
        <w:pStyle w:val="NoSpacing"/>
        <w:rPr>
          <w:rFonts w:ascii="Times New Roman" w:hAnsi="Times New Roman" w:cs="Times New Roman"/>
          <w:sz w:val="24"/>
          <w:szCs w:val="24"/>
        </w:rPr>
      </w:pPr>
    </w:p>
    <w:p w:rsidR="00485281" w:rsidRPr="00021E0C" w:rsidP="00485281" w14:paraId="0A426402" w14:textId="7EAAD664">
      <w:pPr>
        <w:pStyle w:val="NoSpacing"/>
        <w:ind w:left="720"/>
        <w:rPr>
          <w:rFonts w:ascii="Times New Roman" w:hAnsi="Times New Roman" w:cs="Times New Roman"/>
          <w:sz w:val="24"/>
          <w:szCs w:val="24"/>
        </w:rPr>
      </w:pPr>
      <w:r w:rsidRPr="00021E0C">
        <w:rPr>
          <w:rFonts w:ascii="Times New Roman" w:hAnsi="Times New Roman" w:cs="Times New Roman"/>
          <w:sz w:val="24"/>
          <w:szCs w:val="24"/>
        </w:rPr>
        <w:t>EPA's emission programs are statutorily mandated; the Agency does not have discretion to cease these functions.  The data required are necessary to comply with Title II of the Clean Air Act (42 U.S.C. 7521 et seq.; “CAA” or “the Act”), as amended. The Act charges EPA with developing standards for</w:t>
      </w:r>
      <w:r w:rsidRPr="00021E0C" w:rsidR="004F2679">
        <w:rPr>
          <w:rFonts w:ascii="Times New Roman" w:hAnsi="Times New Roman" w:cs="Times New Roman"/>
          <w:sz w:val="24"/>
          <w:szCs w:val="24"/>
        </w:rPr>
        <w:t xml:space="preserve"> dangerous air pollutants</w:t>
      </w:r>
      <w:r w:rsidRPr="00021E0C">
        <w:rPr>
          <w:rFonts w:ascii="Times New Roman" w:hAnsi="Times New Roman" w:cs="Times New Roman"/>
          <w:sz w:val="24"/>
          <w:szCs w:val="24"/>
        </w:rPr>
        <w:t xml:space="preserve">, and </w:t>
      </w:r>
      <w:r w:rsidRPr="00021E0C" w:rsidR="005D0775">
        <w:rPr>
          <w:rFonts w:ascii="Times New Roman" w:hAnsi="Times New Roman" w:cs="Times New Roman"/>
          <w:sz w:val="24"/>
          <w:szCs w:val="24"/>
        </w:rPr>
        <w:t>issuing</w:t>
      </w:r>
      <w:r w:rsidRPr="00021E0C">
        <w:rPr>
          <w:rFonts w:ascii="Times New Roman" w:hAnsi="Times New Roman" w:cs="Times New Roman"/>
          <w:sz w:val="24"/>
          <w:szCs w:val="24"/>
        </w:rPr>
        <w:t xml:space="preserve"> certificates of conformity for those engines and motor vehicle designs that comply with those standards. Such a certificate must be issued before engines and vehicles may be legally introduced into commerce. Section 206(a) of the CAA (42 USC 7521) states: </w:t>
      </w:r>
    </w:p>
    <w:p w:rsidR="00485281" w:rsidRPr="00021E0C" w:rsidP="00485281" w14:paraId="30035C72" w14:textId="77777777">
      <w:pPr>
        <w:pStyle w:val="NoSpacing"/>
        <w:ind w:left="720"/>
        <w:rPr>
          <w:rFonts w:ascii="Times New Roman" w:hAnsi="Times New Roman" w:cs="Times New Roman"/>
          <w:sz w:val="24"/>
          <w:szCs w:val="24"/>
        </w:rPr>
      </w:pPr>
    </w:p>
    <w:p w:rsidR="00485281" w:rsidRPr="00021E0C" w:rsidP="00991D4E" w14:paraId="0BFE5257" w14:textId="1F0093BB">
      <w:pPr>
        <w:pStyle w:val="NoSpacing"/>
        <w:ind w:left="1440"/>
        <w:rPr>
          <w:rFonts w:ascii="Times New Roman" w:hAnsi="Times New Roman" w:cs="Times New Roman"/>
          <w:sz w:val="24"/>
          <w:szCs w:val="24"/>
        </w:rPr>
      </w:pPr>
      <w:r w:rsidRPr="00021E0C">
        <w:rPr>
          <w:rFonts w:ascii="Times New Roman" w:hAnsi="Times New Roman" w:cs="Times New Roman"/>
          <w:sz w:val="24"/>
          <w:szCs w:val="24"/>
        </w:rPr>
        <w:t>"The Administrator shall test,</w:t>
      </w:r>
      <w:r w:rsidRPr="00021E0C" w:rsidR="002E6508">
        <w:rPr>
          <w:rFonts w:ascii="Times New Roman" w:hAnsi="Times New Roman" w:cs="Times New Roman"/>
          <w:sz w:val="24"/>
          <w:szCs w:val="24"/>
        </w:rPr>
        <w:t xml:space="preserve"> </w:t>
      </w:r>
      <w:r w:rsidRPr="00021E0C">
        <w:rPr>
          <w:rFonts w:ascii="Times New Roman" w:hAnsi="Times New Roman" w:cs="Times New Roman"/>
          <w:sz w:val="24"/>
          <w:szCs w:val="24"/>
        </w:rPr>
        <w:t>or require to be tested in such manner as he deems appropriate, any new motor vehicle or new motor vehicle engine submitted by a manufacturer to determine whether such vehicle or engine conforms with the regulations prescribed under §202 of this Act.  If such vehicle or engine conforms to such regulations, the Administrator shall issue a certificate of conformity upon such terms, and for such period (not in excess of one year) as he may prescribe."</w:t>
      </w:r>
    </w:p>
    <w:p w:rsidR="00485281" w:rsidRPr="00021E0C" w:rsidP="00485281" w14:paraId="36A98DAD" w14:textId="77777777">
      <w:pPr>
        <w:pStyle w:val="NoSpacing"/>
        <w:ind w:left="720"/>
        <w:rPr>
          <w:rFonts w:ascii="Times New Roman" w:hAnsi="Times New Roman" w:cs="Times New Roman"/>
          <w:sz w:val="24"/>
          <w:szCs w:val="24"/>
        </w:rPr>
      </w:pPr>
    </w:p>
    <w:p w:rsidR="00485281" w:rsidRPr="00021E0C" w:rsidP="00485281" w14:paraId="21ACF6EC" w14:textId="15026948">
      <w:pPr>
        <w:pStyle w:val="NoSpacing"/>
        <w:ind w:left="720"/>
        <w:rPr>
          <w:rFonts w:ascii="Times New Roman" w:hAnsi="Times New Roman" w:cs="Times New Roman"/>
          <w:sz w:val="24"/>
          <w:szCs w:val="24"/>
        </w:rPr>
      </w:pPr>
      <w:r w:rsidRPr="00021E0C">
        <w:rPr>
          <w:rFonts w:ascii="Times New Roman" w:hAnsi="Times New Roman" w:cs="Times New Roman"/>
          <w:sz w:val="24"/>
          <w:szCs w:val="24"/>
        </w:rPr>
        <w:t xml:space="preserve">Section 206(b)(1) of the Act authorizes EPA to inspect and require testing of new vehicles and engines to: (1) verify that </w:t>
      </w:r>
      <w:r w:rsidRPr="00021E0C" w:rsidR="002027A4">
        <w:rPr>
          <w:rFonts w:ascii="Times New Roman" w:hAnsi="Times New Roman" w:cs="Times New Roman"/>
          <w:sz w:val="24"/>
          <w:szCs w:val="24"/>
        </w:rPr>
        <w:t xml:space="preserve">the </w:t>
      </w:r>
      <w:r w:rsidRPr="00021E0C">
        <w:rPr>
          <w:rFonts w:ascii="Times New Roman" w:hAnsi="Times New Roman" w:cs="Times New Roman"/>
          <w:sz w:val="24"/>
          <w:szCs w:val="24"/>
        </w:rPr>
        <w:t xml:space="preserve">manufacturer's final product complies with EPA standards; (2) assure that the correct parts are installed correctly in each engine; and (3) audit the manufacturer's testing process to ensure testing is being done correctly. The Production Line Testing (PLT) and Selective Enforcement Audits (SEA) Programs fulfill these requirements by inspecting and testing engines taken directly from the assembly line and/or existing fleets, and by auditing the engine manufacturer's testing procedures and facilities. Section 207(b) of the CAA mandates the establishment of methods and testing procedures to ascertain whether certified engines in use </w:t>
      </w:r>
      <w:r w:rsidRPr="00021E0C" w:rsidR="00B24FDC">
        <w:rPr>
          <w:rFonts w:ascii="Times New Roman" w:hAnsi="Times New Roman" w:cs="Times New Roman"/>
          <w:sz w:val="24"/>
          <w:szCs w:val="24"/>
        </w:rPr>
        <w:t>actually</w:t>
      </w:r>
      <w:r w:rsidRPr="00021E0C">
        <w:rPr>
          <w:rFonts w:ascii="Times New Roman" w:hAnsi="Times New Roman" w:cs="Times New Roman"/>
          <w:sz w:val="24"/>
          <w:szCs w:val="24"/>
        </w:rPr>
        <w:t xml:space="preserve"> comply with applicable emission standards throughout their useful lives.  The In-Use Testing and similar programs are implemented in response to that mandate.</w:t>
      </w:r>
    </w:p>
    <w:p w:rsidR="00F029D8" w:rsidRPr="00021E0C" w:rsidP="00485281" w14:paraId="0A392F07" w14:textId="77777777">
      <w:pPr>
        <w:pStyle w:val="NoSpacing"/>
        <w:ind w:left="720"/>
        <w:rPr>
          <w:rFonts w:ascii="Times New Roman" w:hAnsi="Times New Roman" w:cs="Times New Roman"/>
          <w:sz w:val="24"/>
          <w:szCs w:val="24"/>
        </w:rPr>
      </w:pPr>
    </w:p>
    <w:p w:rsidR="00F029D8" w:rsidRPr="00021E0C" w:rsidP="00485281" w14:paraId="481144E7" w14:textId="0DD3E29E">
      <w:pPr>
        <w:pStyle w:val="NoSpacing"/>
        <w:ind w:left="720"/>
        <w:rPr>
          <w:rFonts w:ascii="Times New Roman" w:hAnsi="Times New Roman" w:cs="Times New Roman"/>
          <w:sz w:val="24"/>
          <w:szCs w:val="24"/>
        </w:rPr>
      </w:pPr>
      <w:r w:rsidRPr="00021E0C">
        <w:rPr>
          <w:rFonts w:ascii="Times New Roman" w:hAnsi="Times New Roman" w:cs="Times New Roman"/>
          <w:sz w:val="24"/>
          <w:szCs w:val="24"/>
        </w:rPr>
        <w:t xml:space="preserve">EPA also sets standards to require </w:t>
      </w:r>
      <w:r w:rsidRPr="00021E0C" w:rsidR="00E31E57">
        <w:rPr>
          <w:rFonts w:ascii="Times New Roman" w:hAnsi="Times New Roman" w:cs="Times New Roman"/>
          <w:sz w:val="24"/>
          <w:szCs w:val="24"/>
        </w:rPr>
        <w:t>the installation of certified engines on mobile source equipment, including marine vessels, entered into commerce in the United States.</w:t>
      </w:r>
    </w:p>
    <w:p w:rsidR="00432BC4" w:rsidRPr="00021E0C" w:rsidP="00485281" w14:paraId="6EC2D101" w14:textId="77777777">
      <w:pPr>
        <w:pStyle w:val="NoSpacing"/>
        <w:ind w:left="720"/>
        <w:rPr>
          <w:rFonts w:ascii="Times New Roman" w:hAnsi="Times New Roman" w:cs="Times New Roman"/>
          <w:sz w:val="24"/>
          <w:szCs w:val="24"/>
        </w:rPr>
      </w:pPr>
    </w:p>
    <w:p w:rsidR="00432BC4" w:rsidRPr="00021E0C" w:rsidP="00485281" w14:paraId="1D015127" w14:textId="47AB373F">
      <w:pPr>
        <w:pStyle w:val="NoSpacing"/>
        <w:ind w:left="720"/>
        <w:rPr>
          <w:rFonts w:ascii="Times New Roman" w:hAnsi="Times New Roman" w:cs="Times New Roman"/>
          <w:sz w:val="24"/>
          <w:szCs w:val="24"/>
        </w:rPr>
      </w:pPr>
      <w:r w:rsidRPr="00021E0C">
        <w:rPr>
          <w:rFonts w:ascii="Times New Roman" w:hAnsi="Times New Roman" w:cs="Times New Roman"/>
          <w:sz w:val="24"/>
          <w:szCs w:val="24"/>
        </w:rPr>
        <w:t>As part of its statutory authority, EPA may adopt</w:t>
      </w:r>
      <w:r w:rsidRPr="00021E0C" w:rsidR="00A8201C">
        <w:rPr>
          <w:rFonts w:ascii="Times New Roman" w:hAnsi="Times New Roman" w:cs="Times New Roman"/>
          <w:sz w:val="24"/>
          <w:szCs w:val="24"/>
        </w:rPr>
        <w:t>,</w:t>
      </w:r>
      <w:r w:rsidRPr="00021E0C" w:rsidR="00CB478B">
        <w:rPr>
          <w:rFonts w:ascii="Times New Roman" w:hAnsi="Times New Roman" w:cs="Times New Roman"/>
          <w:sz w:val="24"/>
          <w:szCs w:val="24"/>
        </w:rPr>
        <w:t xml:space="preserve"> through rulemaking</w:t>
      </w:r>
      <w:r w:rsidRPr="00021E0C" w:rsidR="00A8201C">
        <w:rPr>
          <w:rFonts w:ascii="Times New Roman" w:hAnsi="Times New Roman" w:cs="Times New Roman"/>
          <w:sz w:val="24"/>
          <w:szCs w:val="24"/>
        </w:rPr>
        <w:t>,</w:t>
      </w:r>
      <w:r w:rsidRPr="00021E0C">
        <w:rPr>
          <w:rFonts w:ascii="Times New Roman" w:hAnsi="Times New Roman" w:cs="Times New Roman"/>
          <w:sz w:val="24"/>
          <w:szCs w:val="24"/>
        </w:rPr>
        <w:t xml:space="preserve"> compliance flexibility provisions to address </w:t>
      </w:r>
      <w:r w:rsidRPr="00021E0C" w:rsidR="00633B3A">
        <w:rPr>
          <w:rFonts w:ascii="Times New Roman" w:hAnsi="Times New Roman" w:cs="Times New Roman"/>
          <w:sz w:val="24"/>
          <w:szCs w:val="24"/>
        </w:rPr>
        <w:t>production or other</w:t>
      </w:r>
      <w:r w:rsidRPr="00021E0C" w:rsidR="0051676E">
        <w:rPr>
          <w:rFonts w:ascii="Times New Roman" w:hAnsi="Times New Roman" w:cs="Times New Roman"/>
          <w:sz w:val="24"/>
          <w:szCs w:val="24"/>
        </w:rPr>
        <w:t xml:space="preserve"> </w:t>
      </w:r>
      <w:r w:rsidRPr="00021E0C" w:rsidR="002D4A57">
        <w:rPr>
          <w:rFonts w:ascii="Times New Roman" w:hAnsi="Times New Roman" w:cs="Times New Roman"/>
          <w:sz w:val="24"/>
          <w:szCs w:val="24"/>
        </w:rPr>
        <w:t xml:space="preserve">conditions that may make it difficult for manufacturers to comply with the </w:t>
      </w:r>
      <w:r w:rsidRPr="00021E0C" w:rsidR="00F7343A">
        <w:rPr>
          <w:rFonts w:ascii="Times New Roman" w:hAnsi="Times New Roman" w:cs="Times New Roman"/>
          <w:sz w:val="24"/>
          <w:szCs w:val="24"/>
        </w:rPr>
        <w:t>emission control program</w:t>
      </w:r>
      <w:r w:rsidRPr="00021E0C" w:rsidR="00297054">
        <w:rPr>
          <w:rFonts w:ascii="Times New Roman" w:hAnsi="Times New Roman" w:cs="Times New Roman"/>
          <w:sz w:val="24"/>
          <w:szCs w:val="24"/>
        </w:rPr>
        <w:t xml:space="preserve">.  These flexibilities include </w:t>
      </w:r>
      <w:r w:rsidRPr="00021E0C" w:rsidR="00B43BA8">
        <w:rPr>
          <w:rFonts w:ascii="Times New Roman" w:hAnsi="Times New Roman" w:cs="Times New Roman"/>
          <w:sz w:val="24"/>
          <w:szCs w:val="24"/>
        </w:rPr>
        <w:t xml:space="preserve">postponing effective dates or creating waiver provisions for qualifying </w:t>
      </w:r>
      <w:r w:rsidRPr="00021E0C" w:rsidR="009C5A85">
        <w:rPr>
          <w:rFonts w:ascii="Times New Roman" w:hAnsi="Times New Roman" w:cs="Times New Roman"/>
          <w:sz w:val="24"/>
          <w:szCs w:val="24"/>
        </w:rPr>
        <w:t xml:space="preserve">engines or </w:t>
      </w:r>
      <w:r w:rsidRPr="00021E0C" w:rsidR="00E51849">
        <w:rPr>
          <w:rFonts w:ascii="Times New Roman" w:hAnsi="Times New Roman" w:cs="Times New Roman"/>
          <w:sz w:val="24"/>
          <w:szCs w:val="24"/>
        </w:rPr>
        <w:t>vehicles, including</w:t>
      </w:r>
      <w:r w:rsidRPr="00021E0C" w:rsidR="009C5A85">
        <w:rPr>
          <w:rFonts w:ascii="Times New Roman" w:hAnsi="Times New Roman" w:cs="Times New Roman"/>
          <w:sz w:val="24"/>
          <w:szCs w:val="24"/>
        </w:rPr>
        <w:t xml:space="preserve"> engines installed on </w:t>
      </w:r>
      <w:r w:rsidRPr="00021E0C" w:rsidR="00E51849">
        <w:rPr>
          <w:rFonts w:ascii="Times New Roman" w:hAnsi="Times New Roman" w:cs="Times New Roman"/>
          <w:sz w:val="24"/>
          <w:szCs w:val="24"/>
        </w:rPr>
        <w:t>marine vessels,</w:t>
      </w:r>
      <w:r w:rsidRPr="00021E0C" w:rsidR="007D0DEB">
        <w:rPr>
          <w:rFonts w:ascii="Times New Roman" w:hAnsi="Times New Roman" w:cs="Times New Roman"/>
          <w:sz w:val="24"/>
          <w:szCs w:val="24"/>
        </w:rPr>
        <w:t xml:space="preserve"> in those cases where compliant engines are not commercially available</w:t>
      </w:r>
      <w:r w:rsidRPr="00021E0C" w:rsidR="00B43BA8">
        <w:rPr>
          <w:rFonts w:ascii="Times New Roman" w:hAnsi="Times New Roman" w:cs="Times New Roman"/>
          <w:sz w:val="24"/>
          <w:szCs w:val="24"/>
        </w:rPr>
        <w:t xml:space="preserve">.  </w:t>
      </w:r>
      <w:r w:rsidRPr="00021E0C" w:rsidR="007D0DEB">
        <w:rPr>
          <w:rFonts w:ascii="Times New Roman" w:hAnsi="Times New Roman" w:cs="Times New Roman"/>
          <w:sz w:val="24"/>
          <w:szCs w:val="24"/>
        </w:rPr>
        <w:t>EPA may set the conditions necessary to obtain compliance waivers</w:t>
      </w:r>
      <w:r w:rsidRPr="00021E0C" w:rsidR="008349D6">
        <w:rPr>
          <w:rFonts w:ascii="Times New Roman" w:hAnsi="Times New Roman" w:cs="Times New Roman"/>
          <w:sz w:val="24"/>
          <w:szCs w:val="24"/>
        </w:rPr>
        <w:t xml:space="preserve">, as the waiver will apply for the service life of the affected </w:t>
      </w:r>
      <w:r w:rsidRPr="00021E0C" w:rsidR="00E51849">
        <w:rPr>
          <w:rFonts w:ascii="Times New Roman" w:hAnsi="Times New Roman" w:cs="Times New Roman"/>
          <w:sz w:val="24"/>
          <w:szCs w:val="24"/>
        </w:rPr>
        <w:t>equipment</w:t>
      </w:r>
      <w:r w:rsidRPr="00021E0C" w:rsidR="007D0DEB">
        <w:rPr>
          <w:rFonts w:ascii="Times New Roman" w:hAnsi="Times New Roman" w:cs="Times New Roman"/>
          <w:sz w:val="24"/>
          <w:szCs w:val="24"/>
        </w:rPr>
        <w:t>.</w:t>
      </w:r>
    </w:p>
    <w:p w:rsidR="0097180F" w:rsidRPr="00021E0C" w:rsidP="00485281" w14:paraId="039BFC96" w14:textId="77777777">
      <w:pPr>
        <w:pStyle w:val="NoSpacing"/>
        <w:ind w:left="720"/>
        <w:rPr>
          <w:rFonts w:ascii="Times New Roman" w:hAnsi="Times New Roman" w:cs="Times New Roman"/>
          <w:sz w:val="24"/>
          <w:szCs w:val="24"/>
        </w:rPr>
      </w:pPr>
    </w:p>
    <w:p w:rsidR="00AC0A31" w:rsidRPr="00021E0C" w:rsidP="002B15D5" w14:paraId="4F92F0A0" w14:textId="77777777">
      <w:pPr>
        <w:pStyle w:val="NoSpacing"/>
        <w:rPr>
          <w:rFonts w:ascii="Times New Roman" w:hAnsi="Times New Roman" w:cs="Times New Roman"/>
          <w:sz w:val="24"/>
          <w:szCs w:val="24"/>
        </w:rPr>
      </w:pPr>
    </w:p>
    <w:p w:rsidR="002B15D5" w:rsidRPr="00021E0C" w:rsidP="000A0844" w14:paraId="55B2D2FB" w14:textId="600D8193">
      <w:pPr>
        <w:pStyle w:val="ICR3"/>
      </w:pPr>
      <w:r w:rsidRPr="00021E0C">
        <w:t>2. Indicate how, by whom, and for what purpose the information is to be used. Except for a new</w:t>
      </w:r>
      <w:r w:rsidRPr="00021E0C" w:rsidR="006559A1">
        <w:t xml:space="preserve"> </w:t>
      </w:r>
      <w:r w:rsidRPr="00021E0C">
        <w:t>collection, indicate the actual use the agency has made of the information received from the</w:t>
      </w:r>
      <w:r w:rsidRPr="00021E0C" w:rsidR="006559A1">
        <w:t xml:space="preserve"> </w:t>
      </w:r>
      <w:r w:rsidRPr="00021E0C">
        <w:t>current collection.</w:t>
      </w:r>
    </w:p>
    <w:p w:rsidR="002B15D5" w:rsidRPr="00021E0C" w:rsidP="002B15D5" w14:paraId="40CCF938" w14:textId="56BF264C">
      <w:pPr>
        <w:pStyle w:val="NoSpacing"/>
        <w:rPr>
          <w:rFonts w:ascii="Times New Roman" w:hAnsi="Times New Roman" w:cs="Times New Roman"/>
          <w:sz w:val="24"/>
          <w:szCs w:val="24"/>
        </w:rPr>
      </w:pPr>
      <w:r w:rsidRPr="00021E0C">
        <w:rPr>
          <w:rFonts w:ascii="Times New Roman" w:hAnsi="Times New Roman" w:cs="Times New Roman"/>
          <w:sz w:val="24"/>
          <w:szCs w:val="24"/>
        </w:rPr>
        <w:tab/>
      </w:r>
    </w:p>
    <w:p w:rsidR="00BC2CA6" w:rsidRPr="00021E0C" w:rsidP="008349D6" w14:paraId="4703EFB9" w14:textId="7A73FDCB">
      <w:pPr>
        <w:pStyle w:val="NoSpacing"/>
        <w:ind w:left="720"/>
        <w:rPr>
          <w:rFonts w:ascii="Times New Roman" w:hAnsi="Times New Roman" w:cs="Times New Roman"/>
          <w:sz w:val="24"/>
          <w:szCs w:val="24"/>
        </w:rPr>
      </w:pPr>
      <w:r w:rsidRPr="00021E0C">
        <w:rPr>
          <w:rFonts w:ascii="Times New Roman" w:hAnsi="Times New Roman" w:cs="Times New Roman"/>
          <w:sz w:val="24"/>
          <w:szCs w:val="24"/>
        </w:rPr>
        <w:t xml:space="preserve">EPA will use the information requested under this collection to </w:t>
      </w:r>
      <w:r w:rsidRPr="00021E0C" w:rsidR="00CC588E">
        <w:rPr>
          <w:rFonts w:ascii="Times New Roman" w:hAnsi="Times New Roman" w:cs="Times New Roman"/>
          <w:sz w:val="24"/>
          <w:szCs w:val="24"/>
        </w:rPr>
        <w:t xml:space="preserve">determine if </w:t>
      </w:r>
      <w:r w:rsidRPr="00021E0C" w:rsidR="002F294A">
        <w:rPr>
          <w:rFonts w:ascii="Times New Roman" w:hAnsi="Times New Roman" w:cs="Times New Roman"/>
          <w:sz w:val="24"/>
          <w:szCs w:val="24"/>
        </w:rPr>
        <w:t xml:space="preserve">a boat builder qualifies </w:t>
      </w:r>
      <w:r w:rsidRPr="00021E0C" w:rsidR="009D4C58">
        <w:rPr>
          <w:rFonts w:ascii="Times New Roman" w:hAnsi="Times New Roman" w:cs="Times New Roman"/>
          <w:sz w:val="24"/>
          <w:szCs w:val="24"/>
        </w:rPr>
        <w:t xml:space="preserve">for </w:t>
      </w:r>
      <w:r w:rsidRPr="00021E0C" w:rsidR="00996942">
        <w:rPr>
          <w:rFonts w:ascii="Times New Roman" w:hAnsi="Times New Roman" w:cs="Times New Roman"/>
          <w:sz w:val="24"/>
          <w:szCs w:val="24"/>
        </w:rPr>
        <w:t xml:space="preserve">a </w:t>
      </w:r>
      <w:r w:rsidRPr="00021E0C" w:rsidR="00BC495C">
        <w:rPr>
          <w:rFonts w:ascii="Times New Roman" w:hAnsi="Times New Roman" w:cs="Times New Roman"/>
          <w:sz w:val="24"/>
          <w:szCs w:val="24"/>
        </w:rPr>
        <w:t xml:space="preserve">regulatory </w:t>
      </w:r>
      <w:r w:rsidRPr="00021E0C" w:rsidR="00996942">
        <w:rPr>
          <w:rFonts w:ascii="Times New Roman" w:hAnsi="Times New Roman" w:cs="Times New Roman"/>
          <w:sz w:val="24"/>
          <w:szCs w:val="24"/>
        </w:rPr>
        <w:t xml:space="preserve">waiver from the marine diesel Tier 4 standards, allowing that manufacturer to install Tier 3 engines on </w:t>
      </w:r>
      <w:r w:rsidRPr="00021E0C" w:rsidR="006568ED">
        <w:rPr>
          <w:rFonts w:ascii="Times New Roman" w:hAnsi="Times New Roman" w:cs="Times New Roman"/>
          <w:sz w:val="24"/>
          <w:szCs w:val="24"/>
        </w:rPr>
        <w:t xml:space="preserve">a </w:t>
      </w:r>
      <w:r w:rsidRPr="00021E0C" w:rsidR="00E80A8E">
        <w:rPr>
          <w:rFonts w:ascii="Times New Roman" w:hAnsi="Times New Roman" w:cs="Times New Roman"/>
          <w:sz w:val="24"/>
          <w:szCs w:val="24"/>
        </w:rPr>
        <w:t xml:space="preserve">qualifying </w:t>
      </w:r>
      <w:r w:rsidRPr="00021E0C" w:rsidR="006568ED">
        <w:rPr>
          <w:rFonts w:ascii="Times New Roman" w:hAnsi="Times New Roman" w:cs="Times New Roman"/>
          <w:sz w:val="24"/>
          <w:szCs w:val="24"/>
        </w:rPr>
        <w:t>vessel.</w:t>
      </w:r>
      <w:r w:rsidRPr="00021E0C" w:rsidR="002F294A">
        <w:rPr>
          <w:rFonts w:ascii="Times New Roman" w:hAnsi="Times New Roman" w:cs="Times New Roman"/>
          <w:sz w:val="24"/>
          <w:szCs w:val="24"/>
        </w:rPr>
        <w:t xml:space="preserve">  </w:t>
      </w:r>
      <w:r w:rsidRPr="00021E0C" w:rsidR="00CC588E">
        <w:rPr>
          <w:rFonts w:ascii="Times New Roman" w:hAnsi="Times New Roman" w:cs="Times New Roman"/>
          <w:sz w:val="24"/>
          <w:szCs w:val="24"/>
        </w:rPr>
        <w:t xml:space="preserve">  </w:t>
      </w:r>
    </w:p>
    <w:p w:rsidR="00BC2CA6" w:rsidRPr="00021E0C" w:rsidP="00BC2CA6" w14:paraId="7D107361" w14:textId="77777777">
      <w:pPr>
        <w:pStyle w:val="NoSpacing"/>
        <w:ind w:left="720"/>
        <w:rPr>
          <w:rFonts w:ascii="Times New Roman" w:hAnsi="Times New Roman" w:cs="Times New Roman"/>
          <w:sz w:val="24"/>
          <w:szCs w:val="24"/>
        </w:rPr>
      </w:pPr>
      <w:r w:rsidRPr="00021E0C">
        <w:rPr>
          <w:rFonts w:ascii="Times New Roman" w:hAnsi="Times New Roman" w:cs="Times New Roman"/>
          <w:sz w:val="24"/>
          <w:szCs w:val="24"/>
        </w:rPr>
        <w:t xml:space="preserve"> </w:t>
      </w:r>
    </w:p>
    <w:p w:rsidR="000648C5" w:rsidRPr="00021E0C" w:rsidP="00BC2CA6" w14:paraId="4E48C680" w14:textId="4EDC3BD9">
      <w:pPr>
        <w:pStyle w:val="NoSpacing"/>
        <w:ind w:left="720"/>
        <w:rPr>
          <w:rFonts w:ascii="Times New Roman" w:hAnsi="Times New Roman" w:cs="Times New Roman"/>
          <w:sz w:val="24"/>
          <w:szCs w:val="24"/>
        </w:rPr>
      </w:pPr>
      <w:r w:rsidRPr="00021E0C">
        <w:rPr>
          <w:rFonts w:ascii="Times New Roman" w:hAnsi="Times New Roman" w:cs="Times New Roman"/>
          <w:sz w:val="24"/>
          <w:szCs w:val="24"/>
        </w:rPr>
        <w:t xml:space="preserve">The information described in this ICR will be collected by EPA’s Compliance Division (CD) within the Office of Transportation and Air Quality (OTAQ), Office of Air and Radiation (OAR). </w:t>
      </w:r>
      <w:r w:rsidRPr="00021E0C">
        <w:rPr>
          <w:rFonts w:ascii="Times New Roman" w:hAnsi="Times New Roman" w:cs="Times New Roman"/>
          <w:sz w:val="24"/>
          <w:szCs w:val="24"/>
        </w:rPr>
        <w:t xml:space="preserve">It will be used by </w:t>
      </w:r>
      <w:r w:rsidRPr="00021E0C" w:rsidR="00BC2CA6">
        <w:rPr>
          <w:rFonts w:ascii="Times New Roman" w:hAnsi="Times New Roman" w:cs="Times New Roman"/>
          <w:sz w:val="24"/>
          <w:szCs w:val="24"/>
        </w:rPr>
        <w:t xml:space="preserve">CD </w:t>
      </w:r>
      <w:r w:rsidRPr="00021E0C" w:rsidR="00E80A8E">
        <w:rPr>
          <w:rFonts w:ascii="Times New Roman" w:hAnsi="Times New Roman" w:cs="Times New Roman"/>
          <w:sz w:val="24"/>
          <w:szCs w:val="24"/>
        </w:rPr>
        <w:t xml:space="preserve">to evaluate whether companies qualify for using engines meeting less stringent standards. </w:t>
      </w:r>
    </w:p>
    <w:p w:rsidR="000648C5" w:rsidRPr="00021E0C" w:rsidP="00BC2CA6" w14:paraId="22DC522B" w14:textId="77777777">
      <w:pPr>
        <w:pStyle w:val="NoSpacing"/>
        <w:ind w:left="720"/>
        <w:rPr>
          <w:rFonts w:ascii="Times New Roman" w:hAnsi="Times New Roman" w:cs="Times New Roman"/>
          <w:sz w:val="24"/>
          <w:szCs w:val="24"/>
        </w:rPr>
      </w:pPr>
    </w:p>
    <w:p w:rsidR="000648C5" w:rsidRPr="00021E0C" w:rsidP="000648C5" w14:paraId="39D58915" w14:textId="71F0CB45">
      <w:pPr>
        <w:pStyle w:val="NoSpacing"/>
        <w:ind w:left="720"/>
        <w:rPr>
          <w:rFonts w:ascii="Times New Roman" w:hAnsi="Times New Roman" w:cs="Times New Roman"/>
          <w:sz w:val="24"/>
          <w:szCs w:val="24"/>
        </w:rPr>
      </w:pPr>
      <w:r w:rsidRPr="00021E0C">
        <w:rPr>
          <w:rFonts w:ascii="Times New Roman" w:hAnsi="Times New Roman" w:cs="Times New Roman"/>
          <w:sz w:val="24"/>
          <w:szCs w:val="24"/>
        </w:rPr>
        <w:t xml:space="preserve">Non-confidential portions of the information submitted to CD are available to </w:t>
      </w:r>
      <w:r w:rsidRPr="00021E0C" w:rsidR="003B42BD">
        <w:rPr>
          <w:rFonts w:ascii="Times New Roman" w:hAnsi="Times New Roman" w:cs="Times New Roman"/>
          <w:sz w:val="24"/>
          <w:szCs w:val="24"/>
        </w:rPr>
        <w:t xml:space="preserve">trade associations, </w:t>
      </w:r>
      <w:r w:rsidRPr="00021E0C">
        <w:rPr>
          <w:rFonts w:ascii="Times New Roman" w:hAnsi="Times New Roman" w:cs="Times New Roman"/>
          <w:sz w:val="24"/>
          <w:szCs w:val="24"/>
        </w:rPr>
        <w:t>importers, environmental groups, members of the public</w:t>
      </w:r>
      <w:r w:rsidRPr="00021E0C" w:rsidR="00A25E26">
        <w:rPr>
          <w:rFonts w:ascii="Times New Roman" w:hAnsi="Times New Roman" w:cs="Times New Roman"/>
          <w:sz w:val="24"/>
          <w:szCs w:val="24"/>
        </w:rPr>
        <w:t>,</w:t>
      </w:r>
      <w:r w:rsidRPr="00021E0C">
        <w:rPr>
          <w:rFonts w:ascii="Times New Roman" w:hAnsi="Times New Roman" w:cs="Times New Roman"/>
          <w:sz w:val="24"/>
          <w:szCs w:val="24"/>
        </w:rPr>
        <w:t xml:space="preserve"> and state and local government organizations.  </w:t>
      </w:r>
    </w:p>
    <w:p w:rsidR="0078455C" w:rsidRPr="00021E0C" w:rsidP="000648C5" w14:paraId="05AEA9B6" w14:textId="77777777">
      <w:pPr>
        <w:pStyle w:val="NoSpacing"/>
        <w:ind w:left="720"/>
        <w:rPr>
          <w:rFonts w:ascii="Times New Roman" w:hAnsi="Times New Roman" w:cs="Times New Roman"/>
          <w:sz w:val="24"/>
          <w:szCs w:val="24"/>
        </w:rPr>
      </w:pPr>
    </w:p>
    <w:p w:rsidR="0078455C" w:rsidRPr="00021E0C" w:rsidP="0078455C" w14:paraId="0B8C9F1B" w14:textId="77777777">
      <w:pPr>
        <w:ind w:firstLine="720"/>
        <w:textAlignment w:val="baseline"/>
        <w:rPr>
          <w:rFonts w:ascii="Segoe UI" w:hAnsi="Segoe UI" w:cs="Segoe UI"/>
        </w:rPr>
      </w:pPr>
      <w:r w:rsidRPr="00021E0C">
        <w:t>The information is collected electronically and stored in CD's databases.   </w:t>
      </w:r>
    </w:p>
    <w:p w:rsidR="00AC0A31" w:rsidRPr="00021E0C" w:rsidP="00AC0A31" w14:paraId="2E2EC932" w14:textId="5AA49D9D">
      <w:pPr>
        <w:pStyle w:val="NoSpacing"/>
        <w:rPr>
          <w:rFonts w:ascii="Times New Roman" w:hAnsi="Times New Roman" w:cs="Times New Roman"/>
          <w:sz w:val="24"/>
          <w:szCs w:val="24"/>
        </w:rPr>
      </w:pPr>
    </w:p>
    <w:p w:rsidR="00AC0A31" w:rsidRPr="00021E0C" w:rsidP="00AC0A31" w14:paraId="783F6C1E" w14:textId="3423C42B">
      <w:pPr>
        <w:pStyle w:val="NoSpacing"/>
        <w:rPr>
          <w:rFonts w:ascii="Times New Roman" w:hAnsi="Times New Roman" w:cs="Times New Roman"/>
          <w:sz w:val="24"/>
          <w:szCs w:val="24"/>
        </w:rPr>
      </w:pPr>
    </w:p>
    <w:p w:rsidR="002B15D5" w:rsidRPr="00021E0C" w:rsidP="00E80A8E" w14:paraId="5F2D2C8D" w14:textId="2FBF436F">
      <w:pPr>
        <w:pStyle w:val="ICR3"/>
        <w:rPr>
          <w:rFonts w:cs="Times New Roman"/>
          <w:b w:val="0"/>
          <w:bCs/>
        </w:rPr>
      </w:pPr>
      <w:r w:rsidRPr="00021E0C">
        <w:t>3. Describe whether, and to what extent, the collection of information involves the use of</w:t>
      </w:r>
      <w:r w:rsidRPr="00021E0C" w:rsidR="00E80A8E">
        <w:t xml:space="preserve"> </w:t>
      </w:r>
      <w:r w:rsidRPr="00021E0C">
        <w:rPr>
          <w:rFonts w:cs="Times New Roman"/>
          <w:bCs/>
        </w:rPr>
        <w:t>automated, electronic, mechanical, or other technological collection techniques or other</w:t>
      </w:r>
      <w:r w:rsidRPr="00021E0C" w:rsidR="00E80A8E">
        <w:rPr>
          <w:rFonts w:cs="Times New Roman"/>
          <w:bCs/>
        </w:rPr>
        <w:t xml:space="preserve"> </w:t>
      </w:r>
      <w:r w:rsidRPr="00021E0C">
        <w:rPr>
          <w:rFonts w:cs="Times New Roman"/>
          <w:bCs/>
        </w:rPr>
        <w:t>forms of information technology, e.g., permitting electronic submission of responses, and the</w:t>
      </w:r>
      <w:r w:rsidRPr="00021E0C" w:rsidR="006559A1">
        <w:rPr>
          <w:rFonts w:cs="Times New Roman"/>
          <w:bCs/>
        </w:rPr>
        <w:t xml:space="preserve"> </w:t>
      </w:r>
      <w:r w:rsidRPr="00021E0C">
        <w:rPr>
          <w:rFonts w:cs="Times New Roman"/>
          <w:bCs/>
        </w:rPr>
        <w:t>basis for the decision for adopting this means of collection. Also describe any consideration</w:t>
      </w:r>
      <w:r w:rsidRPr="00021E0C" w:rsidR="006559A1">
        <w:rPr>
          <w:rFonts w:cs="Times New Roman"/>
          <w:bCs/>
        </w:rPr>
        <w:t xml:space="preserve"> </w:t>
      </w:r>
      <w:r w:rsidRPr="00021E0C">
        <w:rPr>
          <w:rFonts w:cs="Times New Roman"/>
          <w:bCs/>
        </w:rPr>
        <w:t>of using information technology to reduce burden.</w:t>
      </w:r>
    </w:p>
    <w:p w:rsidR="002B15D5" w:rsidRPr="00021E0C" w:rsidP="0080259E" w14:paraId="5214CE27" w14:textId="03358C0F">
      <w:pPr>
        <w:ind w:left="720"/>
      </w:pPr>
    </w:p>
    <w:p w:rsidR="003B42BD" w:rsidRPr="00021E0C" w:rsidP="0080259E" w14:paraId="6BC8AF90" w14:textId="31F54C11">
      <w:pPr>
        <w:ind w:left="720"/>
      </w:pPr>
      <w:r w:rsidRPr="00021E0C">
        <w:t xml:space="preserve">The information is collected electronically and stored in CD's databases.  </w:t>
      </w:r>
      <w:r w:rsidRPr="00021E0C" w:rsidR="00B6319B">
        <w:t>T</w:t>
      </w:r>
      <w:r w:rsidRPr="00021E0C" w:rsidR="00536CD8">
        <w:t xml:space="preserve">he data required </w:t>
      </w:r>
      <w:r w:rsidRPr="00021E0C" w:rsidR="005E79FF">
        <w:t>would be sent to the manufacturer</w:t>
      </w:r>
      <w:r w:rsidRPr="00021E0C" w:rsidR="00F22490">
        <w:t>’</w:t>
      </w:r>
      <w:r w:rsidRPr="00021E0C" w:rsidR="005E79FF">
        <w:t>s designated compliance officer</w:t>
      </w:r>
      <w:r w:rsidRPr="00021E0C" w:rsidR="00151332">
        <w:t xml:space="preserve">, at </w:t>
      </w:r>
      <w:hyperlink r:id="rId10" w:history="1">
        <w:r w:rsidRPr="00021E0C" w:rsidR="00151332">
          <w:t>complianceinfo@epa.gov</w:t>
        </w:r>
      </w:hyperlink>
      <w:r w:rsidRPr="00021E0C" w:rsidR="0031089D">
        <w:t xml:space="preserve">. </w:t>
      </w:r>
    </w:p>
    <w:p w:rsidR="00AC0A31" w:rsidRPr="00021E0C" w:rsidP="0080259E" w14:paraId="1453FD51" w14:textId="77777777">
      <w:pPr>
        <w:ind w:left="720"/>
      </w:pPr>
    </w:p>
    <w:p w:rsidR="002B15D5" w:rsidRPr="00021E0C" w:rsidP="000A0844" w14:paraId="1A63B30B" w14:textId="395AB920">
      <w:pPr>
        <w:pStyle w:val="ICR3"/>
      </w:pPr>
      <w:r w:rsidRPr="00021E0C">
        <w:t>4. Describe efforts to identify duplication. Show specifically why any similar information</w:t>
      </w:r>
    </w:p>
    <w:p w:rsidR="002B15D5" w:rsidRPr="00021E0C" w:rsidP="002B15D5" w14:paraId="7DD87EBD" w14:textId="77777777">
      <w:pPr>
        <w:pStyle w:val="NoSpacing"/>
        <w:rPr>
          <w:rFonts w:ascii="Times New Roman" w:hAnsi="Times New Roman" w:cs="Times New Roman"/>
          <w:b/>
          <w:bCs/>
          <w:sz w:val="24"/>
          <w:szCs w:val="24"/>
        </w:rPr>
      </w:pPr>
      <w:r w:rsidRPr="00021E0C">
        <w:rPr>
          <w:rFonts w:ascii="Times New Roman" w:hAnsi="Times New Roman" w:cs="Times New Roman"/>
          <w:b/>
          <w:bCs/>
          <w:sz w:val="24"/>
          <w:szCs w:val="24"/>
        </w:rPr>
        <w:t>already available cannot be used or modified for use for the purposes described in Item 2</w:t>
      </w:r>
    </w:p>
    <w:p w:rsidR="002B15D5" w:rsidRPr="00021E0C" w:rsidP="002B15D5" w14:paraId="384ABF6A" w14:textId="26AD5BF2">
      <w:pPr>
        <w:pStyle w:val="NoSpacing"/>
        <w:rPr>
          <w:rFonts w:ascii="Times New Roman" w:hAnsi="Times New Roman" w:cs="Times New Roman"/>
          <w:b/>
          <w:bCs/>
          <w:sz w:val="24"/>
          <w:szCs w:val="24"/>
        </w:rPr>
      </w:pPr>
      <w:r w:rsidRPr="00021E0C">
        <w:rPr>
          <w:rFonts w:ascii="Times New Roman" w:hAnsi="Times New Roman" w:cs="Times New Roman"/>
          <w:b/>
          <w:bCs/>
          <w:sz w:val="24"/>
          <w:szCs w:val="24"/>
        </w:rPr>
        <w:t>above.</w:t>
      </w:r>
    </w:p>
    <w:p w:rsidR="002B15D5" w:rsidRPr="00021E0C" w:rsidP="002D1BA9" w14:paraId="63AD0F14" w14:textId="2A3EA169">
      <w:pPr>
        <w:pStyle w:val="NoSpacing"/>
        <w:ind w:left="720"/>
        <w:rPr>
          <w:rFonts w:ascii="Times New Roman" w:hAnsi="Times New Roman" w:cs="Times New Roman"/>
          <w:sz w:val="24"/>
          <w:szCs w:val="24"/>
        </w:rPr>
      </w:pPr>
      <w:r w:rsidRPr="00021E0C">
        <w:rPr>
          <w:rFonts w:ascii="Times New Roman" w:hAnsi="Times New Roman" w:cs="Times New Roman"/>
          <w:sz w:val="24"/>
          <w:szCs w:val="24"/>
        </w:rPr>
        <w:tab/>
      </w:r>
    </w:p>
    <w:p w:rsidR="00CE21C5" w:rsidRPr="00021E0C" w:rsidP="002D1BA9" w14:paraId="7E6B0FA7" w14:textId="46724F85">
      <w:pPr>
        <w:ind w:left="720"/>
      </w:pPr>
      <w:r w:rsidRPr="00021E0C">
        <w:t xml:space="preserve">Duplication:  </w:t>
      </w:r>
      <w:r w:rsidRPr="00021E0C">
        <w:t xml:space="preserve">This collection request covers only the </w:t>
      </w:r>
      <w:r w:rsidRPr="00021E0C" w:rsidR="00E729CE">
        <w:t xml:space="preserve">information </w:t>
      </w:r>
      <w:r w:rsidRPr="00021E0C" w:rsidR="009F1C5E">
        <w:t>required to evaluate a</w:t>
      </w:r>
      <w:r w:rsidRPr="00021E0C" w:rsidR="008F3246">
        <w:t xml:space="preserve">n application for </w:t>
      </w:r>
      <w:r w:rsidRPr="00021E0C" w:rsidR="001015A2">
        <w:t xml:space="preserve">relief from the </w:t>
      </w:r>
      <w:r w:rsidRPr="00021E0C" w:rsidR="00E80A8E">
        <w:t xml:space="preserve">Tier 4 </w:t>
      </w:r>
      <w:r w:rsidRPr="00021E0C" w:rsidR="001015A2">
        <w:t>standards</w:t>
      </w:r>
      <w:r w:rsidRPr="00021E0C" w:rsidR="008546BD">
        <w:t xml:space="preserve">.  </w:t>
      </w:r>
      <w:r w:rsidRPr="00021E0C" w:rsidR="00164C67">
        <w:t>This information is case-specific and would not</w:t>
      </w:r>
      <w:r w:rsidRPr="00021E0C" w:rsidR="00571AD4">
        <w:t xml:space="preserve"> otherwise be required to be reported to EPA.  </w:t>
      </w:r>
    </w:p>
    <w:p w:rsidR="000E0FDC" w:rsidRPr="00021E0C" w:rsidP="002D1BA9" w14:paraId="7F291313" w14:textId="77777777">
      <w:pPr>
        <w:ind w:left="720"/>
      </w:pPr>
    </w:p>
    <w:p w:rsidR="002D1BA9" w:rsidRPr="00021E0C" w:rsidP="002D1BA9" w14:paraId="58E8D70A" w14:textId="26285A88">
      <w:pPr>
        <w:ind w:left="720"/>
      </w:pPr>
      <w:r w:rsidRPr="00021E0C">
        <w:t xml:space="preserve">Availability of similar </w:t>
      </w:r>
      <w:r w:rsidRPr="00021E0C" w:rsidR="00CD6BB9">
        <w:t>information</w:t>
      </w:r>
      <w:r w:rsidRPr="00021E0C">
        <w:t xml:space="preserve">:  </w:t>
      </w:r>
      <w:r w:rsidRPr="00021E0C" w:rsidR="00016664">
        <w:t>In general, t</w:t>
      </w:r>
      <w:r w:rsidRPr="00021E0C" w:rsidR="00457D28">
        <w:t xml:space="preserve">he information </w:t>
      </w:r>
      <w:r w:rsidRPr="00021E0C" w:rsidR="00016664">
        <w:t xml:space="preserve">necessary for </w:t>
      </w:r>
      <w:r w:rsidRPr="00021E0C" w:rsidR="002712C8">
        <w:t xml:space="preserve">evaluation of the waiver application </w:t>
      </w:r>
      <w:r w:rsidRPr="00021E0C" w:rsidR="00457D28">
        <w:t xml:space="preserve">is specific to the </w:t>
      </w:r>
      <w:r w:rsidRPr="00021E0C" w:rsidR="00C35E38">
        <w:t>vessel</w:t>
      </w:r>
      <w:r w:rsidRPr="00021E0C" w:rsidR="00D00944">
        <w:t xml:space="preserve"> model</w:t>
      </w:r>
      <w:r w:rsidRPr="00021E0C" w:rsidR="00A1408A">
        <w:t>s</w:t>
      </w:r>
      <w:r w:rsidRPr="00021E0C" w:rsidR="00D00944">
        <w:t xml:space="preserve"> that would be covered by the waiver.  </w:t>
      </w:r>
      <w:r w:rsidRPr="00021E0C" w:rsidR="00AC6A98">
        <w:t xml:space="preserve">The information to be collected is not available </w:t>
      </w:r>
      <w:r w:rsidRPr="00021E0C" w:rsidR="00E41036">
        <w:t>from</w:t>
      </w:r>
      <w:r w:rsidRPr="00021E0C" w:rsidR="00AC6A98">
        <w:t xml:space="preserve"> any other sources, both b</w:t>
      </w:r>
      <w:r w:rsidRPr="00021E0C">
        <w:t>ecause of its specialized nature</w:t>
      </w:r>
      <w:r w:rsidRPr="00021E0C" w:rsidR="00AC6A98">
        <w:t xml:space="preserve"> and because </w:t>
      </w:r>
      <w:r w:rsidRPr="00021E0C">
        <w:t xml:space="preserve">it must be submitted to EPA </w:t>
      </w:r>
      <w:r w:rsidRPr="00021E0C">
        <w:rPr>
          <w:u w:val="single"/>
        </w:rPr>
        <w:t>before</w:t>
      </w:r>
      <w:r w:rsidRPr="00021E0C">
        <w:t xml:space="preserve"> </w:t>
      </w:r>
      <w:r w:rsidRPr="00021E0C" w:rsidR="002712C8">
        <w:t xml:space="preserve">a qualifying vessel </w:t>
      </w:r>
      <w:r w:rsidRPr="00021E0C" w:rsidR="002C6027">
        <w:t xml:space="preserve">can </w:t>
      </w:r>
      <w:r w:rsidRPr="00021E0C">
        <w:t xml:space="preserve">be sold.  Furthermore, some of the data requested, such as </w:t>
      </w:r>
      <w:r w:rsidRPr="00021E0C" w:rsidR="00A1408A">
        <w:t xml:space="preserve">projected </w:t>
      </w:r>
      <w:r w:rsidRPr="00021E0C">
        <w:t>sales volumes or certain design</w:t>
      </w:r>
      <w:r w:rsidRPr="00021E0C" w:rsidR="003619BC">
        <w:t xml:space="preserve"> features</w:t>
      </w:r>
      <w:r w:rsidRPr="00021E0C">
        <w:t xml:space="preserve">, may be proprietary, and thus </w:t>
      </w:r>
      <w:r w:rsidRPr="00021E0C" w:rsidR="00A1408A">
        <w:t xml:space="preserve">eligible for treatment </w:t>
      </w:r>
      <w:r w:rsidRPr="00021E0C">
        <w:t xml:space="preserve">as confidential business information (CBI).  Therefore, EPA can </w:t>
      </w:r>
      <w:r w:rsidRPr="00021E0C" w:rsidR="00A03550">
        <w:t xml:space="preserve">timely </w:t>
      </w:r>
      <w:r w:rsidRPr="00021E0C">
        <w:t xml:space="preserve">obtain the information only from the owners of that data:  the </w:t>
      </w:r>
      <w:r w:rsidRPr="00021E0C" w:rsidR="008D2CFB">
        <w:t>vessel</w:t>
      </w:r>
      <w:r w:rsidRPr="00021E0C">
        <w:t xml:space="preserve"> manufacturer. </w:t>
      </w:r>
    </w:p>
    <w:p w:rsidR="002D1BA9" w:rsidRPr="00021E0C" w:rsidP="002D1BA9" w14:paraId="778E7CF0" w14:textId="77777777">
      <w:pPr>
        <w:ind w:left="720"/>
      </w:pPr>
    </w:p>
    <w:p w:rsidR="002B15D5" w:rsidRPr="00021E0C" w:rsidP="00AC0A31" w14:paraId="1C397598" w14:textId="452E4313">
      <w:pPr>
        <w:pStyle w:val="NoSpacing"/>
        <w:rPr>
          <w:rFonts w:ascii="Times New Roman" w:hAnsi="Times New Roman" w:cs="Times New Roman"/>
          <w:sz w:val="24"/>
          <w:szCs w:val="24"/>
        </w:rPr>
      </w:pPr>
    </w:p>
    <w:p w:rsidR="002B15D5" w:rsidRPr="00021E0C" w:rsidP="000A0844" w14:paraId="3AF4F7B3" w14:textId="0475FA8E">
      <w:pPr>
        <w:pStyle w:val="ICR3"/>
      </w:pPr>
      <w:r w:rsidRPr="00021E0C">
        <w:t>5. If the collection of information impacts small businesses or other small entities, describe any</w:t>
      </w:r>
      <w:r w:rsidRPr="00021E0C" w:rsidR="006559A1">
        <w:t xml:space="preserve"> </w:t>
      </w:r>
      <w:r w:rsidRPr="00021E0C">
        <w:t>methods used to minimize burden.</w:t>
      </w:r>
    </w:p>
    <w:p w:rsidR="002B15D5" w:rsidRPr="00021E0C" w:rsidP="002B15D5" w14:paraId="7967EFB5" w14:textId="28538012">
      <w:pPr>
        <w:pStyle w:val="NoSpacing"/>
        <w:rPr>
          <w:rFonts w:ascii="Times New Roman" w:hAnsi="Times New Roman" w:cs="Times New Roman"/>
          <w:sz w:val="24"/>
          <w:szCs w:val="24"/>
        </w:rPr>
      </w:pPr>
      <w:r w:rsidRPr="00021E0C">
        <w:rPr>
          <w:rFonts w:ascii="Times New Roman" w:hAnsi="Times New Roman" w:cs="Times New Roman"/>
          <w:sz w:val="24"/>
          <w:szCs w:val="24"/>
        </w:rPr>
        <w:tab/>
      </w:r>
    </w:p>
    <w:p w:rsidR="005E3118" w:rsidRPr="00021E0C" w:rsidP="005E3118" w14:paraId="16873507" w14:textId="7710F32D">
      <w:pPr>
        <w:pStyle w:val="NoSpacing"/>
        <w:ind w:left="720"/>
        <w:rPr>
          <w:rFonts w:ascii="Times New Roman" w:hAnsi="Times New Roman" w:cs="Times New Roman"/>
          <w:sz w:val="24"/>
          <w:szCs w:val="24"/>
        </w:rPr>
      </w:pPr>
      <w:r w:rsidRPr="00021E0C">
        <w:rPr>
          <w:rFonts w:ascii="Times New Roman" w:hAnsi="Times New Roman" w:cs="Times New Roman"/>
          <w:sz w:val="24"/>
          <w:szCs w:val="24"/>
        </w:rPr>
        <w:t xml:space="preserve">Many of the boat manufacturers that would seek a waiver are expected to be small businesses.  </w:t>
      </w:r>
    </w:p>
    <w:p w:rsidR="005E3118" w:rsidRPr="00021E0C" w:rsidP="005E3118" w14:paraId="5C09FC5F" w14:textId="77777777">
      <w:pPr>
        <w:pStyle w:val="NoSpacing"/>
        <w:ind w:left="720"/>
        <w:rPr>
          <w:rFonts w:ascii="Times New Roman" w:hAnsi="Times New Roman" w:cs="Times New Roman"/>
          <w:sz w:val="24"/>
          <w:szCs w:val="24"/>
        </w:rPr>
      </w:pPr>
    </w:p>
    <w:p w:rsidR="002B15D5" w:rsidRPr="00021E0C" w:rsidP="005E3118" w14:paraId="7D9FA676" w14:textId="51C111CB">
      <w:pPr>
        <w:pStyle w:val="NoSpacing"/>
        <w:ind w:left="720"/>
        <w:rPr>
          <w:rFonts w:ascii="Times New Roman" w:hAnsi="Times New Roman" w:cs="Times New Roman"/>
          <w:sz w:val="24"/>
          <w:szCs w:val="24"/>
        </w:rPr>
      </w:pPr>
      <w:r w:rsidRPr="00021E0C">
        <w:rPr>
          <w:rFonts w:ascii="Times New Roman" w:hAnsi="Times New Roman" w:cs="Times New Roman"/>
          <w:sz w:val="24"/>
          <w:szCs w:val="24"/>
        </w:rPr>
        <w:t>T</w:t>
      </w:r>
      <w:r w:rsidRPr="00021E0C" w:rsidR="005E3118">
        <w:rPr>
          <w:rFonts w:ascii="Times New Roman" w:hAnsi="Times New Roman" w:cs="Times New Roman"/>
          <w:sz w:val="24"/>
          <w:szCs w:val="24"/>
        </w:rPr>
        <w:t xml:space="preserve">he information being requested is the minimum needed to effectively </w:t>
      </w:r>
      <w:r w:rsidRPr="00021E0C" w:rsidR="002C5F38">
        <w:rPr>
          <w:rFonts w:ascii="Times New Roman" w:hAnsi="Times New Roman" w:cs="Times New Roman"/>
          <w:sz w:val="24"/>
          <w:szCs w:val="24"/>
        </w:rPr>
        <w:t xml:space="preserve">review and evaluate </w:t>
      </w:r>
      <w:r w:rsidRPr="00021E0C" w:rsidR="006651F0">
        <w:rPr>
          <w:rFonts w:ascii="Times New Roman" w:hAnsi="Times New Roman" w:cs="Times New Roman"/>
          <w:sz w:val="24"/>
          <w:szCs w:val="24"/>
        </w:rPr>
        <w:t>a request for a waiver from the Tier 4 marine diesel engine emission standards.</w:t>
      </w:r>
      <w:r w:rsidRPr="00021E0C" w:rsidR="00EA79E2">
        <w:rPr>
          <w:rFonts w:ascii="Times New Roman" w:hAnsi="Times New Roman" w:cs="Times New Roman"/>
          <w:sz w:val="24"/>
          <w:szCs w:val="24"/>
        </w:rPr>
        <w:t xml:space="preserve">  </w:t>
      </w:r>
      <w:r w:rsidRPr="00021E0C" w:rsidR="005E3118">
        <w:rPr>
          <w:rFonts w:ascii="Times New Roman" w:hAnsi="Times New Roman" w:cs="Times New Roman"/>
          <w:sz w:val="24"/>
          <w:szCs w:val="24"/>
        </w:rPr>
        <w:t xml:space="preserve"> Further measures to simplify reporting for small businesses </w:t>
      </w:r>
      <w:r w:rsidRPr="00021E0C" w:rsidR="006B47EF">
        <w:rPr>
          <w:rFonts w:ascii="Times New Roman" w:hAnsi="Times New Roman" w:cs="Times New Roman"/>
          <w:sz w:val="24"/>
          <w:szCs w:val="24"/>
        </w:rPr>
        <w:t>are not</w:t>
      </w:r>
      <w:r w:rsidRPr="00021E0C" w:rsidR="005E3118">
        <w:rPr>
          <w:rFonts w:ascii="Times New Roman" w:hAnsi="Times New Roman" w:cs="Times New Roman"/>
          <w:sz w:val="24"/>
          <w:szCs w:val="24"/>
        </w:rPr>
        <w:t xml:space="preserve"> prudent or necessary.</w:t>
      </w:r>
    </w:p>
    <w:p w:rsidR="00AC0A31" w:rsidRPr="00021E0C" w:rsidP="002B15D5" w14:paraId="25C64084" w14:textId="77777777">
      <w:pPr>
        <w:pStyle w:val="NoSpacing"/>
        <w:rPr>
          <w:rFonts w:ascii="Times New Roman" w:hAnsi="Times New Roman" w:cs="Times New Roman"/>
          <w:sz w:val="24"/>
          <w:szCs w:val="24"/>
        </w:rPr>
      </w:pPr>
    </w:p>
    <w:p w:rsidR="00AC0A31" w:rsidRPr="00021E0C" w:rsidP="002B15D5" w14:paraId="12A907DF" w14:textId="77777777">
      <w:pPr>
        <w:pStyle w:val="NoSpacing"/>
        <w:rPr>
          <w:rFonts w:ascii="Times New Roman" w:hAnsi="Times New Roman" w:cs="Times New Roman"/>
          <w:sz w:val="24"/>
          <w:szCs w:val="24"/>
        </w:rPr>
      </w:pPr>
    </w:p>
    <w:p w:rsidR="002B15D5" w:rsidRPr="00021E0C" w:rsidP="000A0844" w14:paraId="547D38AC" w14:textId="41A5DA00">
      <w:pPr>
        <w:pStyle w:val="ICR3"/>
      </w:pPr>
      <w:r w:rsidRPr="00021E0C">
        <w:t>6. Describe the consequence to Federal program or policy activities if the collection is not</w:t>
      </w:r>
    </w:p>
    <w:p w:rsidR="002B15D5" w:rsidRPr="00021E0C" w:rsidP="002B15D5" w14:paraId="62F3EF08" w14:textId="77777777">
      <w:pPr>
        <w:pStyle w:val="NoSpacing"/>
        <w:rPr>
          <w:rFonts w:ascii="Times New Roman" w:hAnsi="Times New Roman" w:cs="Times New Roman"/>
          <w:b/>
          <w:bCs/>
          <w:sz w:val="24"/>
          <w:szCs w:val="24"/>
        </w:rPr>
      </w:pPr>
      <w:r w:rsidRPr="00021E0C">
        <w:rPr>
          <w:rFonts w:ascii="Times New Roman" w:hAnsi="Times New Roman" w:cs="Times New Roman"/>
          <w:b/>
          <w:bCs/>
          <w:sz w:val="24"/>
          <w:szCs w:val="24"/>
        </w:rPr>
        <w:t>conducted or is conducted less frequently, as well as any technical or legal obstacles to</w:t>
      </w:r>
    </w:p>
    <w:p w:rsidR="002B15D5" w:rsidRPr="00021E0C" w:rsidP="002B15D5" w14:paraId="5DF0E375" w14:textId="2C393400">
      <w:pPr>
        <w:pStyle w:val="NoSpacing"/>
        <w:rPr>
          <w:rFonts w:ascii="Times New Roman" w:hAnsi="Times New Roman" w:cs="Times New Roman"/>
          <w:b/>
          <w:bCs/>
          <w:sz w:val="24"/>
          <w:szCs w:val="24"/>
        </w:rPr>
      </w:pPr>
      <w:r w:rsidRPr="00021E0C">
        <w:rPr>
          <w:rFonts w:ascii="Times New Roman" w:hAnsi="Times New Roman" w:cs="Times New Roman"/>
          <w:b/>
          <w:bCs/>
          <w:sz w:val="24"/>
          <w:szCs w:val="24"/>
        </w:rPr>
        <w:t>reducing burden.</w:t>
      </w:r>
    </w:p>
    <w:p w:rsidR="002B15D5" w:rsidRPr="00021E0C" w:rsidP="002B15D5" w14:paraId="298CB97F" w14:textId="03A54CA9">
      <w:pPr>
        <w:pStyle w:val="NoSpacing"/>
        <w:rPr>
          <w:rFonts w:ascii="Times New Roman" w:hAnsi="Times New Roman" w:cs="Times New Roman"/>
          <w:sz w:val="24"/>
          <w:szCs w:val="24"/>
        </w:rPr>
      </w:pPr>
      <w:r w:rsidRPr="00021E0C">
        <w:rPr>
          <w:rFonts w:ascii="Times New Roman" w:hAnsi="Times New Roman" w:cs="Times New Roman"/>
          <w:sz w:val="24"/>
          <w:szCs w:val="24"/>
        </w:rPr>
        <w:tab/>
      </w:r>
    </w:p>
    <w:p w:rsidR="006D71BE" w:rsidRPr="00021E0C" w:rsidP="003639ED" w14:paraId="162F25D7" w14:textId="7EEC76C0">
      <w:pPr>
        <w:pStyle w:val="NoSpacing"/>
        <w:ind w:left="720"/>
        <w:rPr>
          <w:rFonts w:ascii="Times New Roman" w:hAnsi="Times New Roman" w:cs="Times New Roman"/>
          <w:sz w:val="24"/>
          <w:szCs w:val="24"/>
        </w:rPr>
      </w:pPr>
      <w:r w:rsidRPr="00021E0C">
        <w:rPr>
          <w:rFonts w:ascii="Times New Roman" w:hAnsi="Times New Roman" w:cs="Times New Roman"/>
          <w:sz w:val="24"/>
          <w:szCs w:val="24"/>
        </w:rPr>
        <w:t>EPA cannot issue a waiver of the Tier 4 standards</w:t>
      </w:r>
      <w:r w:rsidRPr="00021E0C" w:rsidR="001A0389">
        <w:rPr>
          <w:rFonts w:ascii="Times New Roman" w:hAnsi="Times New Roman" w:cs="Times New Roman"/>
          <w:sz w:val="24"/>
          <w:szCs w:val="24"/>
        </w:rPr>
        <w:t xml:space="preserve"> if the information is not collected</w:t>
      </w:r>
      <w:r w:rsidRPr="00021E0C" w:rsidR="00373DF4">
        <w:rPr>
          <w:rFonts w:ascii="Times New Roman" w:hAnsi="Times New Roman" w:cs="Times New Roman"/>
          <w:sz w:val="24"/>
          <w:szCs w:val="24"/>
        </w:rPr>
        <w:t xml:space="preserve">, and without a waiver the applicant boat builder </w:t>
      </w:r>
      <w:r w:rsidRPr="00021E0C" w:rsidR="00A1408A">
        <w:rPr>
          <w:rFonts w:ascii="Times New Roman" w:hAnsi="Times New Roman" w:cs="Times New Roman"/>
          <w:sz w:val="24"/>
          <w:szCs w:val="24"/>
        </w:rPr>
        <w:t xml:space="preserve">may find themselves unable to build a compliant vessel because there is no certified engine that would be suitable for the application. </w:t>
      </w:r>
      <w:r w:rsidRPr="00021E0C" w:rsidR="003F5157">
        <w:rPr>
          <w:rFonts w:ascii="Times New Roman" w:hAnsi="Times New Roman" w:cs="Times New Roman"/>
          <w:sz w:val="24"/>
          <w:szCs w:val="24"/>
        </w:rPr>
        <w:t xml:space="preserve">The collection is for a specific waiver and therefore it is not possible to collect it less frequently.  </w:t>
      </w:r>
    </w:p>
    <w:p w:rsidR="006D71BE" w:rsidRPr="00021E0C" w:rsidP="003639ED" w14:paraId="7CDECCF1" w14:textId="77777777">
      <w:pPr>
        <w:pStyle w:val="NoSpacing"/>
        <w:ind w:left="720"/>
        <w:rPr>
          <w:rFonts w:ascii="Times New Roman" w:hAnsi="Times New Roman" w:cs="Times New Roman"/>
          <w:sz w:val="24"/>
          <w:szCs w:val="24"/>
        </w:rPr>
      </w:pPr>
    </w:p>
    <w:p w:rsidR="00405F4F" w:rsidRPr="00021E0C" w:rsidP="002B15D5" w14:paraId="3AECD7DC" w14:textId="77777777">
      <w:pPr>
        <w:pStyle w:val="NoSpacing"/>
        <w:rPr>
          <w:rFonts w:ascii="Times New Roman" w:hAnsi="Times New Roman" w:cs="Times New Roman"/>
          <w:sz w:val="24"/>
          <w:szCs w:val="24"/>
        </w:rPr>
      </w:pPr>
    </w:p>
    <w:p w:rsidR="002B15D5" w:rsidRPr="00021E0C" w:rsidP="000A0844" w14:paraId="759CEB66" w14:textId="2C14F44C">
      <w:pPr>
        <w:pStyle w:val="ICR3"/>
      </w:pPr>
      <w:r w:rsidRPr="00021E0C">
        <w:t>7. Explain any special circumstances that would cause an information collection to be</w:t>
      </w:r>
    </w:p>
    <w:p w:rsidR="00F72A9E" w:rsidRPr="00021E0C" w:rsidP="00F72A9E" w14:paraId="3F960C5F" w14:textId="7CED113F">
      <w:pPr>
        <w:pStyle w:val="NoSpacing"/>
        <w:rPr>
          <w:rFonts w:ascii="Times New Roman" w:hAnsi="Times New Roman" w:cs="Times New Roman"/>
          <w:b/>
          <w:bCs/>
          <w:sz w:val="24"/>
          <w:szCs w:val="24"/>
        </w:rPr>
      </w:pPr>
      <w:r w:rsidRPr="00021E0C">
        <w:rPr>
          <w:rFonts w:ascii="Times New Roman" w:hAnsi="Times New Roman" w:cs="Times New Roman"/>
          <w:b/>
          <w:bCs/>
          <w:sz w:val="24"/>
          <w:szCs w:val="24"/>
        </w:rPr>
        <w:t>conducted in a manner:</w:t>
      </w:r>
    </w:p>
    <w:p w:rsidR="00F72A9E" w:rsidRPr="00021E0C" w:rsidP="00F72A9E" w14:paraId="7A65780B" w14:textId="77777777">
      <w:pPr>
        <w:ind w:left="720" w:hanging="360"/>
        <w:rPr>
          <w:b/>
          <w:bCs/>
        </w:rPr>
      </w:pPr>
      <w:r w:rsidRPr="00021E0C">
        <w:rPr>
          <w:b/>
          <w:bCs/>
        </w:rPr>
        <w:t xml:space="preserve">a)  requiring respondents to report information to the agency more often than quarterly; </w:t>
      </w:r>
    </w:p>
    <w:p w:rsidR="00F72A9E" w:rsidRPr="00021E0C" w:rsidP="00F72A9E" w14:paraId="21BB2E8A" w14:textId="77777777">
      <w:pPr>
        <w:ind w:left="720" w:hanging="360"/>
        <w:rPr>
          <w:b/>
          <w:bCs/>
        </w:rPr>
      </w:pPr>
      <w:r w:rsidRPr="00021E0C">
        <w:rPr>
          <w:b/>
          <w:bCs/>
        </w:rPr>
        <w:t xml:space="preserve">b)  requiring respondents to prepare a written response to a collection of information in fewer than 30 days after receipt of it; </w:t>
      </w:r>
    </w:p>
    <w:p w:rsidR="00F72A9E" w:rsidRPr="00021E0C" w:rsidP="00F72A9E" w14:paraId="24F53761" w14:textId="77777777">
      <w:pPr>
        <w:ind w:left="720" w:hanging="360"/>
        <w:rPr>
          <w:b/>
          <w:bCs/>
        </w:rPr>
      </w:pPr>
      <w:r w:rsidRPr="00021E0C">
        <w:rPr>
          <w:b/>
          <w:bCs/>
        </w:rPr>
        <w:t xml:space="preserve">c)  requiring respondents to submit more than an original and two copies of any document; </w:t>
      </w:r>
    </w:p>
    <w:p w:rsidR="00F72A9E" w:rsidRPr="00021E0C" w:rsidP="00F72A9E" w14:paraId="6E5A5682" w14:textId="77777777">
      <w:pPr>
        <w:ind w:left="720" w:hanging="360"/>
        <w:rPr>
          <w:b/>
          <w:bCs/>
        </w:rPr>
      </w:pPr>
      <w:r w:rsidRPr="00021E0C">
        <w:rPr>
          <w:b/>
          <w:bCs/>
        </w:rPr>
        <w:t xml:space="preserve">d)  requiring respondents to retain records, other than health, medical, government contract, grant-in-aid, or tax records, for more than three years; </w:t>
      </w:r>
    </w:p>
    <w:p w:rsidR="00F72A9E" w:rsidRPr="00021E0C" w:rsidP="00F72A9E" w14:paraId="1AB5A401" w14:textId="77777777">
      <w:pPr>
        <w:ind w:left="720" w:hanging="360"/>
        <w:rPr>
          <w:b/>
          <w:bCs/>
        </w:rPr>
      </w:pPr>
      <w:r w:rsidRPr="00021E0C">
        <w:rPr>
          <w:b/>
          <w:bCs/>
        </w:rPr>
        <w:t>e)  in connection with a statistical survey, that is not designed to produce valid and reliable results that can be generalized to the universe of study;</w:t>
      </w:r>
    </w:p>
    <w:p w:rsidR="00F72A9E" w:rsidRPr="00021E0C" w:rsidP="00F72A9E" w14:paraId="456167B2" w14:textId="77777777">
      <w:pPr>
        <w:ind w:left="720" w:hanging="360"/>
        <w:rPr>
          <w:b/>
          <w:bCs/>
        </w:rPr>
      </w:pPr>
      <w:r w:rsidRPr="00021E0C">
        <w:rPr>
          <w:b/>
          <w:bCs/>
        </w:rPr>
        <w:t xml:space="preserve">f)   requiring the use of a statistical data classification that has not been reviewed and approved by OMB; </w:t>
      </w:r>
    </w:p>
    <w:p w:rsidR="00F72A9E" w:rsidRPr="00021E0C" w:rsidP="00F72A9E" w14:paraId="44D3ED62" w14:textId="77777777">
      <w:pPr>
        <w:ind w:left="720" w:hanging="360"/>
        <w:rPr>
          <w:b/>
          <w:bCs/>
        </w:rPr>
      </w:pPr>
      <w:r w:rsidRPr="00021E0C">
        <w:rPr>
          <w:b/>
          <w:bCs/>
        </w:rPr>
        <w:t>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72A9E" w:rsidRPr="00021E0C" w:rsidP="00F72A9E" w14:paraId="11469AA7" w14:textId="77777777">
      <w:pPr>
        <w:ind w:left="720" w:hanging="360"/>
        <w:rPr>
          <w:b/>
          <w:bCs/>
        </w:rPr>
      </w:pPr>
      <w:r w:rsidRPr="00021E0C">
        <w:rPr>
          <w:b/>
          <w:bCs/>
        </w:rPr>
        <w:t xml:space="preserve">h)  requiring respondents to submit proprietary trade secrets, or other confidential information unless the agency can demonstrate that it has instituted procedures to protect the information's confidentiality to the extent permitted by law.  </w:t>
      </w:r>
    </w:p>
    <w:p w:rsidR="00F72A9E" w:rsidRPr="00021E0C" w:rsidP="002B15D5" w14:paraId="5AC23E35" w14:textId="77777777">
      <w:pPr>
        <w:pStyle w:val="NoSpacing"/>
        <w:rPr>
          <w:rFonts w:ascii="Times New Roman" w:hAnsi="Times New Roman" w:cs="Times New Roman"/>
          <w:b/>
          <w:bCs/>
          <w:sz w:val="24"/>
          <w:szCs w:val="24"/>
        </w:rPr>
      </w:pPr>
    </w:p>
    <w:p w:rsidR="0015285E" w:rsidRPr="00021E0C" w:rsidP="0015285E" w14:paraId="5F5F5C9C" w14:textId="6870BB7D">
      <w:pPr>
        <w:pStyle w:val="NoSpacing"/>
        <w:rPr>
          <w:rFonts w:ascii="Times New Roman" w:hAnsi="Times New Roman" w:cs="Times New Roman"/>
          <w:sz w:val="24"/>
          <w:szCs w:val="24"/>
        </w:rPr>
      </w:pPr>
    </w:p>
    <w:p w:rsidR="0015285E" w:rsidRPr="00021E0C" w:rsidP="0015285E" w14:paraId="47D59D0D" w14:textId="65AA7F09">
      <w:pPr>
        <w:pStyle w:val="NoSpacing"/>
        <w:ind w:left="360"/>
        <w:rPr>
          <w:rFonts w:ascii="Times New Roman" w:hAnsi="Times New Roman" w:cs="Times New Roman"/>
          <w:sz w:val="24"/>
          <w:szCs w:val="24"/>
        </w:rPr>
      </w:pPr>
      <w:r w:rsidRPr="00021E0C">
        <w:rPr>
          <w:rFonts w:ascii="Times New Roman" w:hAnsi="Times New Roman" w:cs="Times New Roman"/>
          <w:b/>
          <w:bCs/>
          <w:sz w:val="24"/>
          <w:szCs w:val="24"/>
        </w:rPr>
        <w:t>Responses</w:t>
      </w:r>
      <w:r w:rsidRPr="00021E0C">
        <w:rPr>
          <w:rFonts w:ascii="Times New Roman" w:hAnsi="Times New Roman" w:cs="Times New Roman"/>
          <w:sz w:val="24"/>
          <w:szCs w:val="24"/>
        </w:rPr>
        <w:t>:</w:t>
      </w:r>
    </w:p>
    <w:p w:rsidR="0015285E" w:rsidRPr="00021E0C" w:rsidP="00866584" w14:paraId="58D864F1" w14:textId="1FDB7FA3">
      <w:pPr>
        <w:pStyle w:val="NoSpacing"/>
        <w:numPr>
          <w:ilvl w:val="0"/>
          <w:numId w:val="16"/>
        </w:numPr>
        <w:rPr>
          <w:rFonts w:ascii="Times New Roman" w:hAnsi="Times New Roman" w:cs="Times New Roman"/>
          <w:sz w:val="24"/>
          <w:szCs w:val="24"/>
        </w:rPr>
      </w:pPr>
      <w:r w:rsidRPr="00021E0C">
        <w:rPr>
          <w:rFonts w:ascii="Times New Roman" w:hAnsi="Times New Roman" w:cs="Times New Roman"/>
          <w:sz w:val="24"/>
          <w:szCs w:val="24"/>
        </w:rPr>
        <w:t>The information is collected only for a specific waiver application</w:t>
      </w:r>
      <w:r w:rsidRPr="00021E0C" w:rsidR="00EE2DA8">
        <w:rPr>
          <w:rFonts w:ascii="Times New Roman" w:hAnsi="Times New Roman" w:cs="Times New Roman"/>
          <w:sz w:val="24"/>
          <w:szCs w:val="24"/>
        </w:rPr>
        <w:t>, for a specific vessel or vessels</w:t>
      </w:r>
      <w:r w:rsidRPr="00021E0C">
        <w:rPr>
          <w:rFonts w:ascii="Times New Roman" w:hAnsi="Times New Roman" w:cs="Times New Roman"/>
          <w:sz w:val="24"/>
          <w:szCs w:val="24"/>
        </w:rPr>
        <w:t xml:space="preserve">. </w:t>
      </w:r>
      <w:r w:rsidRPr="00021E0C" w:rsidR="00FE2D55">
        <w:rPr>
          <w:rFonts w:ascii="Times New Roman" w:hAnsi="Times New Roman" w:cs="Times New Roman"/>
          <w:sz w:val="24"/>
          <w:szCs w:val="24"/>
        </w:rPr>
        <w:t xml:space="preserve"> If </w:t>
      </w:r>
      <w:r w:rsidRPr="00021E0C" w:rsidR="00FE05CD">
        <w:rPr>
          <w:rFonts w:ascii="Times New Roman" w:hAnsi="Times New Roman" w:cs="Times New Roman"/>
          <w:sz w:val="24"/>
          <w:szCs w:val="24"/>
        </w:rPr>
        <w:t xml:space="preserve">there is still no </w:t>
      </w:r>
      <w:r w:rsidRPr="00021E0C" w:rsidR="00FE2D55">
        <w:rPr>
          <w:rFonts w:ascii="Times New Roman" w:hAnsi="Times New Roman" w:cs="Times New Roman"/>
          <w:sz w:val="24"/>
          <w:szCs w:val="24"/>
        </w:rPr>
        <w:t xml:space="preserve">suitable engine available, it may be necessary to re-apply for </w:t>
      </w:r>
      <w:r w:rsidRPr="00021E0C" w:rsidR="00FE6BFD">
        <w:rPr>
          <w:rFonts w:ascii="Times New Roman" w:hAnsi="Times New Roman" w:cs="Times New Roman"/>
          <w:sz w:val="24"/>
          <w:szCs w:val="24"/>
        </w:rPr>
        <w:t>additional production</w:t>
      </w:r>
      <w:r w:rsidRPr="00021E0C" w:rsidR="004C7FAE">
        <w:rPr>
          <w:rFonts w:ascii="Times New Roman" w:hAnsi="Times New Roman" w:cs="Times New Roman"/>
          <w:sz w:val="24"/>
          <w:szCs w:val="24"/>
        </w:rPr>
        <w:t>.</w:t>
      </w:r>
    </w:p>
    <w:p w:rsidR="0033565B" w:rsidRPr="00021E0C" w:rsidP="00866584" w14:paraId="114E3D5C" w14:textId="18B0F7ED">
      <w:pPr>
        <w:pStyle w:val="NoSpacing"/>
        <w:numPr>
          <w:ilvl w:val="0"/>
          <w:numId w:val="16"/>
        </w:numPr>
        <w:rPr>
          <w:rFonts w:ascii="Times New Roman" w:hAnsi="Times New Roman" w:cs="Times New Roman"/>
          <w:sz w:val="24"/>
          <w:szCs w:val="24"/>
        </w:rPr>
      </w:pPr>
      <w:r w:rsidRPr="00021E0C">
        <w:rPr>
          <w:rFonts w:ascii="Times New Roman" w:hAnsi="Times New Roman" w:cs="Times New Roman"/>
          <w:sz w:val="24"/>
          <w:szCs w:val="24"/>
        </w:rPr>
        <w:t xml:space="preserve">Information related to engine and </w:t>
      </w:r>
      <w:r w:rsidRPr="00021E0C" w:rsidR="00FE05CD">
        <w:rPr>
          <w:rFonts w:ascii="Times New Roman" w:hAnsi="Times New Roman" w:cs="Times New Roman"/>
          <w:sz w:val="24"/>
          <w:szCs w:val="24"/>
        </w:rPr>
        <w:t xml:space="preserve">vessel </w:t>
      </w:r>
      <w:r w:rsidRPr="00021E0C">
        <w:rPr>
          <w:rFonts w:ascii="Times New Roman" w:hAnsi="Times New Roman" w:cs="Times New Roman"/>
          <w:sz w:val="24"/>
          <w:szCs w:val="24"/>
        </w:rPr>
        <w:t>certification</w:t>
      </w:r>
      <w:r w:rsidRPr="00021E0C">
        <w:rPr>
          <w:rFonts w:ascii="Times New Roman" w:hAnsi="Times New Roman" w:cs="Times New Roman"/>
          <w:sz w:val="24"/>
          <w:szCs w:val="24"/>
        </w:rPr>
        <w:t xml:space="preserve"> is required to be submitted prior to </w:t>
      </w:r>
      <w:r w:rsidRPr="00021E0C" w:rsidR="006C20B2">
        <w:rPr>
          <w:rFonts w:ascii="Times New Roman" w:hAnsi="Times New Roman" w:cs="Times New Roman"/>
          <w:sz w:val="24"/>
          <w:szCs w:val="24"/>
        </w:rPr>
        <w:t xml:space="preserve">entering engines or </w:t>
      </w:r>
      <w:r w:rsidRPr="00021E0C" w:rsidR="00FE05CD">
        <w:rPr>
          <w:rFonts w:ascii="Times New Roman" w:hAnsi="Times New Roman" w:cs="Times New Roman"/>
          <w:sz w:val="24"/>
          <w:szCs w:val="24"/>
        </w:rPr>
        <w:t xml:space="preserve">vessels </w:t>
      </w:r>
      <w:r w:rsidRPr="00021E0C" w:rsidR="006C20B2">
        <w:rPr>
          <w:rFonts w:ascii="Times New Roman" w:hAnsi="Times New Roman" w:cs="Times New Roman"/>
          <w:sz w:val="24"/>
          <w:szCs w:val="24"/>
        </w:rPr>
        <w:t>into commerce; the manufacturer is not subject to a 30-day response period.</w:t>
      </w:r>
      <w:r w:rsidRPr="00021E0C">
        <w:rPr>
          <w:rFonts w:ascii="Times New Roman" w:hAnsi="Times New Roman" w:cs="Times New Roman"/>
          <w:sz w:val="24"/>
          <w:szCs w:val="24"/>
        </w:rPr>
        <w:t xml:space="preserve"> </w:t>
      </w:r>
    </w:p>
    <w:p w:rsidR="006C20B2" w:rsidRPr="00021E0C" w:rsidP="00866584" w14:paraId="01A4731D" w14:textId="046978B0">
      <w:pPr>
        <w:pStyle w:val="NoSpacing"/>
        <w:numPr>
          <w:ilvl w:val="0"/>
          <w:numId w:val="16"/>
        </w:numPr>
        <w:rPr>
          <w:rFonts w:ascii="Times New Roman" w:hAnsi="Times New Roman" w:cs="Times New Roman"/>
          <w:sz w:val="24"/>
          <w:szCs w:val="24"/>
        </w:rPr>
      </w:pPr>
      <w:r w:rsidRPr="00021E0C">
        <w:rPr>
          <w:rFonts w:ascii="Times New Roman" w:hAnsi="Times New Roman" w:cs="Times New Roman"/>
          <w:sz w:val="24"/>
          <w:szCs w:val="24"/>
        </w:rPr>
        <w:t>Manufacturers submit their data electronically and so are not required to submit originals and/or copies of any documents.</w:t>
      </w:r>
    </w:p>
    <w:p w:rsidR="00D24214" w:rsidRPr="00021E0C" w:rsidP="00866584" w14:paraId="2C6B1848" w14:textId="77A1D19D">
      <w:pPr>
        <w:pStyle w:val="NoSpacing"/>
        <w:numPr>
          <w:ilvl w:val="0"/>
          <w:numId w:val="16"/>
        </w:numPr>
        <w:rPr>
          <w:rFonts w:ascii="Times New Roman" w:hAnsi="Times New Roman" w:cs="Times New Roman"/>
          <w:sz w:val="24"/>
          <w:szCs w:val="24"/>
        </w:rPr>
      </w:pPr>
      <w:r w:rsidRPr="00021E0C">
        <w:rPr>
          <w:rFonts w:ascii="Times New Roman" w:hAnsi="Times New Roman" w:cs="Times New Roman"/>
          <w:sz w:val="24"/>
          <w:szCs w:val="24"/>
        </w:rPr>
        <w:t xml:space="preserve">Manufacturers are required to </w:t>
      </w:r>
      <w:r w:rsidRPr="00021E0C" w:rsidR="004259D0">
        <w:rPr>
          <w:rFonts w:ascii="Times New Roman" w:hAnsi="Times New Roman" w:cs="Times New Roman"/>
          <w:sz w:val="24"/>
          <w:szCs w:val="24"/>
        </w:rPr>
        <w:t xml:space="preserve">retain </w:t>
      </w:r>
      <w:r w:rsidRPr="00021E0C" w:rsidR="00D446CC">
        <w:rPr>
          <w:rFonts w:ascii="Times New Roman" w:hAnsi="Times New Roman" w:cs="Times New Roman"/>
          <w:sz w:val="24"/>
          <w:szCs w:val="24"/>
        </w:rPr>
        <w:t xml:space="preserve">some information </w:t>
      </w:r>
      <w:r w:rsidRPr="00021E0C">
        <w:rPr>
          <w:rFonts w:ascii="Times New Roman" w:hAnsi="Times New Roman" w:cs="Times New Roman"/>
          <w:sz w:val="24"/>
          <w:szCs w:val="24"/>
        </w:rPr>
        <w:t>for more than three years</w:t>
      </w:r>
      <w:r w:rsidRPr="00021E0C" w:rsidR="008155D6">
        <w:rPr>
          <w:rFonts w:ascii="Times New Roman" w:hAnsi="Times New Roman" w:cs="Times New Roman"/>
          <w:sz w:val="24"/>
          <w:szCs w:val="24"/>
        </w:rPr>
        <w:t>.</w:t>
      </w:r>
      <w:r w:rsidRPr="00021E0C" w:rsidR="00D446CC">
        <w:rPr>
          <w:rFonts w:ascii="Times New Roman" w:hAnsi="Times New Roman" w:cs="Times New Roman"/>
          <w:sz w:val="24"/>
          <w:szCs w:val="24"/>
        </w:rPr>
        <w:t xml:space="preserve">  </w:t>
      </w:r>
      <w:r w:rsidRPr="00021E0C" w:rsidR="00924FDE">
        <w:rPr>
          <w:rFonts w:ascii="Times New Roman" w:hAnsi="Times New Roman" w:cs="Times New Roman"/>
          <w:sz w:val="24"/>
          <w:szCs w:val="24"/>
        </w:rPr>
        <w:t xml:space="preserve">Under 40 CFR </w:t>
      </w:r>
      <w:r w:rsidRPr="00021E0C" w:rsidR="002C1B36">
        <w:rPr>
          <w:rFonts w:ascii="Times New Roman" w:hAnsi="Times New Roman" w:cs="Times New Roman"/>
          <w:sz w:val="24"/>
          <w:szCs w:val="24"/>
        </w:rPr>
        <w:t>1068.</w:t>
      </w:r>
      <w:r w:rsidRPr="00021E0C" w:rsidR="00654532">
        <w:rPr>
          <w:rFonts w:ascii="Times New Roman" w:hAnsi="Times New Roman" w:cs="Times New Roman"/>
          <w:sz w:val="24"/>
          <w:szCs w:val="24"/>
        </w:rPr>
        <w:t>2</w:t>
      </w:r>
      <w:r w:rsidRPr="00021E0C" w:rsidR="002C1B36">
        <w:rPr>
          <w:rFonts w:ascii="Times New Roman" w:hAnsi="Times New Roman" w:cs="Times New Roman"/>
          <w:sz w:val="24"/>
          <w:szCs w:val="24"/>
        </w:rPr>
        <w:t>5</w:t>
      </w:r>
      <w:r w:rsidRPr="00021E0C" w:rsidR="00924FDE">
        <w:rPr>
          <w:rFonts w:ascii="Times New Roman" w:hAnsi="Times New Roman" w:cs="Times New Roman"/>
          <w:sz w:val="24"/>
          <w:szCs w:val="24"/>
        </w:rPr>
        <w:t xml:space="preserve"> copies of documents sent to EPA must be kept and maintained by the manufacturer for eight</w:t>
      </w:r>
      <w:r w:rsidRPr="00021E0C" w:rsidR="00654532">
        <w:rPr>
          <w:rFonts w:ascii="Times New Roman" w:hAnsi="Times New Roman" w:cs="Times New Roman"/>
          <w:sz w:val="24"/>
          <w:szCs w:val="24"/>
        </w:rPr>
        <w:t xml:space="preserve"> years</w:t>
      </w:r>
      <w:r w:rsidRPr="00021E0C" w:rsidR="00924FDE">
        <w:rPr>
          <w:rFonts w:ascii="Times New Roman" w:hAnsi="Times New Roman" w:cs="Times New Roman"/>
          <w:sz w:val="24"/>
          <w:szCs w:val="24"/>
        </w:rPr>
        <w:t xml:space="preserve">.  These records may be stored in any format and on any media if they are organized and can be sent promptly to EPA upon request.  </w:t>
      </w:r>
    </w:p>
    <w:p w:rsidR="008A20C1" w:rsidRPr="00021E0C" w:rsidP="00866584" w14:paraId="628A6B5D" w14:textId="6380BE62">
      <w:pPr>
        <w:pStyle w:val="NoSpacing"/>
        <w:numPr>
          <w:ilvl w:val="0"/>
          <w:numId w:val="16"/>
        </w:numPr>
        <w:rPr>
          <w:rFonts w:ascii="Times New Roman" w:hAnsi="Times New Roman" w:cs="Times New Roman"/>
          <w:sz w:val="24"/>
          <w:szCs w:val="24"/>
        </w:rPr>
      </w:pPr>
      <w:r w:rsidRPr="00021E0C">
        <w:rPr>
          <w:rFonts w:ascii="Times New Roman" w:hAnsi="Times New Roman" w:cs="Times New Roman"/>
          <w:sz w:val="24"/>
          <w:szCs w:val="24"/>
        </w:rPr>
        <w:t>The data is not being collected in connection with a statistical survey</w:t>
      </w:r>
      <w:r w:rsidRPr="00021E0C" w:rsidR="008155D6">
        <w:rPr>
          <w:rFonts w:ascii="Times New Roman" w:hAnsi="Times New Roman" w:cs="Times New Roman"/>
          <w:sz w:val="24"/>
          <w:szCs w:val="24"/>
        </w:rPr>
        <w:t>.</w:t>
      </w:r>
    </w:p>
    <w:p w:rsidR="0050254C" w:rsidRPr="00021E0C" w:rsidP="00866584" w14:paraId="3BF95954" w14:textId="77777777">
      <w:pPr>
        <w:pStyle w:val="NoSpacing"/>
        <w:numPr>
          <w:ilvl w:val="0"/>
          <w:numId w:val="16"/>
        </w:numPr>
        <w:rPr>
          <w:rFonts w:ascii="Times New Roman" w:hAnsi="Times New Roman" w:cs="Times New Roman"/>
          <w:sz w:val="24"/>
          <w:szCs w:val="24"/>
        </w:rPr>
      </w:pPr>
      <w:r w:rsidRPr="00021E0C">
        <w:rPr>
          <w:rFonts w:ascii="Times New Roman" w:hAnsi="Times New Roman" w:cs="Times New Roman"/>
          <w:sz w:val="24"/>
          <w:szCs w:val="24"/>
        </w:rPr>
        <w:t>The data is not being collected in connection with a statistical survey.</w:t>
      </w:r>
    </w:p>
    <w:p w:rsidR="003D69AF" w:rsidRPr="00021E0C" w:rsidP="00866584" w14:paraId="142DFF04" w14:textId="40756A20">
      <w:pPr>
        <w:pStyle w:val="NoSpacing"/>
        <w:numPr>
          <w:ilvl w:val="0"/>
          <w:numId w:val="16"/>
        </w:numPr>
        <w:rPr>
          <w:rFonts w:ascii="Times New Roman" w:hAnsi="Times New Roman" w:cs="Times New Roman"/>
          <w:sz w:val="24"/>
          <w:szCs w:val="24"/>
        </w:rPr>
      </w:pPr>
      <w:r w:rsidRPr="00021E0C">
        <w:rPr>
          <w:rFonts w:ascii="Times New Roman" w:hAnsi="Times New Roman" w:cs="Times New Roman"/>
          <w:sz w:val="24"/>
          <w:szCs w:val="24"/>
        </w:rPr>
        <w:t>The responses do not include a pledge of confidentiality</w:t>
      </w:r>
      <w:r w:rsidRPr="00021E0C" w:rsidR="002A5067">
        <w:rPr>
          <w:rFonts w:ascii="Times New Roman" w:hAnsi="Times New Roman" w:cs="Times New Roman"/>
          <w:sz w:val="24"/>
          <w:szCs w:val="24"/>
        </w:rPr>
        <w:t>.</w:t>
      </w:r>
    </w:p>
    <w:p w:rsidR="007263DC" w:rsidRPr="00021E0C" w:rsidP="00866584" w14:paraId="17D58874" w14:textId="660C3388">
      <w:pPr>
        <w:pStyle w:val="NoSpacing"/>
        <w:numPr>
          <w:ilvl w:val="0"/>
          <w:numId w:val="16"/>
        </w:numPr>
        <w:rPr>
          <w:rFonts w:ascii="Times New Roman" w:hAnsi="Times New Roman" w:cs="Times New Roman"/>
          <w:sz w:val="24"/>
          <w:szCs w:val="24"/>
        </w:rPr>
      </w:pPr>
      <w:r w:rsidRPr="00021E0C">
        <w:rPr>
          <w:rFonts w:ascii="Times New Roman" w:hAnsi="Times New Roman" w:cs="Times New Roman"/>
          <w:sz w:val="24"/>
          <w:szCs w:val="24"/>
        </w:rPr>
        <w:t>Manufacturers are required to submit information</w:t>
      </w:r>
      <w:r w:rsidRPr="00021E0C" w:rsidR="00092C52">
        <w:rPr>
          <w:sz w:val="24"/>
          <w:szCs w:val="24"/>
        </w:rPr>
        <w:t xml:space="preserve"> </w:t>
      </w:r>
      <w:r w:rsidRPr="00021E0C" w:rsidR="00092C52">
        <w:rPr>
          <w:rFonts w:ascii="Times New Roman" w:hAnsi="Times New Roman" w:cs="Times New Roman"/>
          <w:sz w:val="24"/>
          <w:szCs w:val="24"/>
        </w:rPr>
        <w:t xml:space="preserve">such as sales projections and certain sensitive technical descriptions that may be entitled to confidential treatment. </w:t>
      </w:r>
      <w:r w:rsidRPr="00021E0C" w:rsidR="0058441A">
        <w:rPr>
          <w:rFonts w:ascii="Times New Roman" w:hAnsi="Times New Roman" w:cs="Times New Roman"/>
          <w:sz w:val="24"/>
          <w:szCs w:val="24"/>
        </w:rPr>
        <w:t xml:space="preserve">Manufacturers may assert a claim of confidentiality over information provided to EPA.  Confidentiality is provided in accordance with the Freedom of Information Act and EPA regulations at 40 CFR </w:t>
      </w:r>
      <w:r w:rsidRPr="00021E0C" w:rsidR="00FE05CD">
        <w:rPr>
          <w:rFonts w:ascii="Times New Roman" w:hAnsi="Times New Roman" w:cs="Times New Roman"/>
          <w:sz w:val="24"/>
          <w:szCs w:val="24"/>
        </w:rPr>
        <w:t>1068.10 and 1068.11</w:t>
      </w:r>
      <w:r w:rsidRPr="00021E0C" w:rsidR="0058441A">
        <w:rPr>
          <w:rFonts w:ascii="Times New Roman" w:hAnsi="Times New Roman" w:cs="Times New Roman"/>
          <w:sz w:val="24"/>
          <w:szCs w:val="24"/>
        </w:rPr>
        <w:t xml:space="preserve">.  </w:t>
      </w:r>
      <w:r w:rsidRPr="00021E0C" w:rsidR="00092C52">
        <w:rPr>
          <w:rFonts w:ascii="Times New Roman" w:hAnsi="Times New Roman" w:cs="Times New Roman"/>
          <w:sz w:val="24"/>
          <w:szCs w:val="24"/>
        </w:rPr>
        <w:t xml:space="preserve">We will release this information only as permitted or required under the Freedom of Information Act (FOIA) and EPA regulations at 40 CFR part 2. EPA </w:t>
      </w:r>
      <w:r w:rsidRPr="00021E0C" w:rsidR="004517AB">
        <w:rPr>
          <w:rFonts w:ascii="Times New Roman" w:hAnsi="Times New Roman" w:cs="Times New Roman"/>
          <w:sz w:val="24"/>
          <w:szCs w:val="24"/>
        </w:rPr>
        <w:t xml:space="preserve">recently amended </w:t>
      </w:r>
      <w:r w:rsidRPr="00021E0C" w:rsidR="00092C52">
        <w:rPr>
          <w:rFonts w:ascii="Times New Roman" w:hAnsi="Times New Roman" w:cs="Times New Roman"/>
          <w:sz w:val="24"/>
          <w:szCs w:val="24"/>
        </w:rPr>
        <w:t>regulations at 40 CFR 1068.11 to identify several categories of information that are not entitled to confidential treatment</w:t>
      </w:r>
      <w:r w:rsidRPr="00021E0C" w:rsidR="004517AB">
        <w:rPr>
          <w:rFonts w:ascii="Times New Roman" w:hAnsi="Times New Roman" w:cs="Times New Roman"/>
          <w:sz w:val="24"/>
          <w:szCs w:val="24"/>
        </w:rPr>
        <w:t>.</w:t>
      </w:r>
    </w:p>
    <w:p w:rsidR="002B15D5" w:rsidRPr="00021E0C" w:rsidP="002B15D5" w14:paraId="4CD61CEF" w14:textId="1BD99E77">
      <w:pPr>
        <w:pStyle w:val="NoSpacing"/>
        <w:rPr>
          <w:rFonts w:ascii="Times New Roman" w:hAnsi="Times New Roman" w:cs="Times New Roman"/>
          <w:sz w:val="24"/>
          <w:szCs w:val="24"/>
        </w:rPr>
      </w:pPr>
      <w:r w:rsidRPr="00021E0C">
        <w:rPr>
          <w:rFonts w:ascii="Times New Roman" w:hAnsi="Times New Roman" w:cs="Times New Roman"/>
          <w:sz w:val="24"/>
          <w:szCs w:val="24"/>
        </w:rPr>
        <w:tab/>
        <w:t xml:space="preserve"> </w:t>
      </w:r>
    </w:p>
    <w:p w:rsidR="002B15D5" w:rsidRPr="00021E0C" w:rsidP="002B15D5" w14:paraId="7F8667F4" w14:textId="624F0788">
      <w:pPr>
        <w:pStyle w:val="NoSpacing"/>
        <w:rPr>
          <w:rFonts w:ascii="Times New Roman" w:hAnsi="Times New Roman" w:cs="Times New Roman"/>
          <w:sz w:val="24"/>
          <w:szCs w:val="24"/>
        </w:rPr>
      </w:pPr>
    </w:p>
    <w:p w:rsidR="002B15D5" w:rsidRPr="00021E0C" w:rsidP="000A0844" w14:paraId="57217932" w14:textId="12D7CB21">
      <w:pPr>
        <w:pStyle w:val="ICR3"/>
      </w:pPr>
      <w:r w:rsidRPr="00021E0C">
        <w:t>8. If applicable, provide a copy and identify the date and page number of publication in the</w:t>
      </w:r>
    </w:p>
    <w:p w:rsidR="002B15D5" w:rsidRPr="00021E0C" w:rsidP="002B15D5" w14:paraId="5E37A45C" w14:textId="14885C7B">
      <w:pPr>
        <w:pStyle w:val="NoSpacing"/>
        <w:rPr>
          <w:rFonts w:ascii="Times New Roman" w:hAnsi="Times New Roman" w:cs="Times New Roman"/>
          <w:b/>
          <w:bCs/>
          <w:sz w:val="24"/>
          <w:szCs w:val="24"/>
        </w:rPr>
      </w:pPr>
      <w:r w:rsidRPr="00021E0C">
        <w:rPr>
          <w:rFonts w:ascii="Times New Roman" w:hAnsi="Times New Roman" w:cs="Times New Roman"/>
          <w:b/>
          <w:bCs/>
          <w:sz w:val="24"/>
          <w:szCs w:val="24"/>
        </w:rPr>
        <w:t>Federal Register of the agency's notice, required by 5 CFR 1320.8(d), soliciting comments on</w:t>
      </w:r>
      <w:r w:rsidRPr="00021E0C" w:rsidR="002F2CEB">
        <w:rPr>
          <w:rFonts w:ascii="Times New Roman" w:hAnsi="Times New Roman" w:cs="Times New Roman"/>
          <w:b/>
          <w:bCs/>
          <w:sz w:val="24"/>
          <w:szCs w:val="24"/>
        </w:rPr>
        <w:t xml:space="preserve"> </w:t>
      </w:r>
      <w:r w:rsidRPr="00021E0C">
        <w:rPr>
          <w:rFonts w:ascii="Times New Roman" w:hAnsi="Times New Roman" w:cs="Times New Roman"/>
          <w:b/>
          <w:bCs/>
          <w:sz w:val="24"/>
          <w:szCs w:val="24"/>
        </w:rPr>
        <w:t>the information collection prior to submission to OMB. Summarize public comments</w:t>
      </w:r>
    </w:p>
    <w:p w:rsidR="002B15D5" w:rsidRPr="00021E0C" w:rsidP="002B15D5" w14:paraId="17A948F2" w14:textId="77777777">
      <w:pPr>
        <w:pStyle w:val="NoSpacing"/>
        <w:rPr>
          <w:rFonts w:ascii="Times New Roman" w:hAnsi="Times New Roman" w:cs="Times New Roman"/>
          <w:b/>
          <w:bCs/>
          <w:sz w:val="24"/>
          <w:szCs w:val="24"/>
        </w:rPr>
      </w:pPr>
      <w:r w:rsidRPr="00021E0C">
        <w:rPr>
          <w:rFonts w:ascii="Times New Roman" w:hAnsi="Times New Roman" w:cs="Times New Roman"/>
          <w:b/>
          <w:bCs/>
          <w:sz w:val="24"/>
          <w:szCs w:val="24"/>
        </w:rPr>
        <w:t>received in response to that notice and describe actions taken by the agency in response to</w:t>
      </w:r>
    </w:p>
    <w:p w:rsidR="002B15D5" w:rsidRPr="00021E0C" w:rsidP="002B15D5" w14:paraId="5460387D" w14:textId="77777777">
      <w:pPr>
        <w:pStyle w:val="NoSpacing"/>
        <w:rPr>
          <w:rFonts w:ascii="Times New Roman" w:hAnsi="Times New Roman" w:cs="Times New Roman"/>
          <w:b/>
          <w:bCs/>
          <w:sz w:val="24"/>
          <w:szCs w:val="24"/>
        </w:rPr>
      </w:pPr>
      <w:r w:rsidRPr="00021E0C">
        <w:rPr>
          <w:rFonts w:ascii="Times New Roman" w:hAnsi="Times New Roman" w:cs="Times New Roman"/>
          <w:b/>
          <w:bCs/>
          <w:sz w:val="24"/>
          <w:szCs w:val="24"/>
        </w:rPr>
        <w:t>these comments. Specifically address comments received on cost and hour burden.</w:t>
      </w:r>
    </w:p>
    <w:p w:rsidR="002954D1" w:rsidRPr="00021E0C" w:rsidP="002B15D5" w14:paraId="2D395187" w14:textId="77777777">
      <w:pPr>
        <w:pStyle w:val="NoSpacing"/>
        <w:rPr>
          <w:rFonts w:ascii="Times New Roman" w:hAnsi="Times New Roman" w:cs="Times New Roman"/>
          <w:b/>
          <w:bCs/>
          <w:sz w:val="24"/>
          <w:szCs w:val="24"/>
        </w:rPr>
      </w:pPr>
    </w:p>
    <w:p w:rsidR="002B15D5" w:rsidRPr="00021E0C" w:rsidP="002B15D5" w14:paraId="0A6405AE" w14:textId="1A4A3E00">
      <w:pPr>
        <w:pStyle w:val="NoSpacing"/>
        <w:rPr>
          <w:rFonts w:ascii="Times New Roman" w:hAnsi="Times New Roman" w:cs="Times New Roman"/>
          <w:b/>
          <w:bCs/>
          <w:sz w:val="24"/>
          <w:szCs w:val="24"/>
        </w:rPr>
      </w:pPr>
      <w:r w:rsidRPr="00021E0C">
        <w:rPr>
          <w:rFonts w:ascii="Times New Roman" w:hAnsi="Times New Roman" w:cs="Times New Roman"/>
          <w:b/>
          <w:bCs/>
          <w:sz w:val="24"/>
          <w:szCs w:val="24"/>
        </w:rPr>
        <w:t>Describe efforts to consult with persons outside the agency to obtain their views on the</w:t>
      </w:r>
    </w:p>
    <w:p w:rsidR="002B15D5" w:rsidRPr="00021E0C" w:rsidP="002B15D5" w14:paraId="3A3A97C3" w14:textId="77777777">
      <w:pPr>
        <w:pStyle w:val="NoSpacing"/>
        <w:rPr>
          <w:rFonts w:ascii="Times New Roman" w:hAnsi="Times New Roman" w:cs="Times New Roman"/>
          <w:b/>
          <w:bCs/>
          <w:sz w:val="24"/>
          <w:szCs w:val="24"/>
        </w:rPr>
      </w:pPr>
      <w:r w:rsidRPr="00021E0C">
        <w:rPr>
          <w:rFonts w:ascii="Times New Roman" w:hAnsi="Times New Roman" w:cs="Times New Roman"/>
          <w:b/>
          <w:bCs/>
          <w:sz w:val="24"/>
          <w:szCs w:val="24"/>
        </w:rPr>
        <w:t>availability of data, frequency of collection, the clarity of instructions and recordkeeping,</w:t>
      </w:r>
    </w:p>
    <w:p w:rsidR="002B15D5" w:rsidRPr="00021E0C" w:rsidP="002B15D5" w14:paraId="5A68FFF3" w14:textId="7ED2535B">
      <w:pPr>
        <w:pStyle w:val="NoSpacing"/>
        <w:rPr>
          <w:rFonts w:ascii="Times New Roman" w:hAnsi="Times New Roman" w:cs="Times New Roman"/>
          <w:b/>
          <w:bCs/>
          <w:sz w:val="24"/>
          <w:szCs w:val="24"/>
        </w:rPr>
      </w:pPr>
      <w:r w:rsidRPr="00021E0C">
        <w:rPr>
          <w:rFonts w:ascii="Times New Roman" w:hAnsi="Times New Roman" w:cs="Times New Roman"/>
          <w:b/>
          <w:bCs/>
          <w:sz w:val="24"/>
          <w:szCs w:val="24"/>
        </w:rPr>
        <w:t>disclosure, or reporting format (if any), and on the data elements to be recorded, disclosed, or</w:t>
      </w:r>
      <w:r w:rsidRPr="00021E0C" w:rsidR="002F2CEB">
        <w:rPr>
          <w:rFonts w:ascii="Times New Roman" w:hAnsi="Times New Roman" w:cs="Times New Roman"/>
          <w:b/>
          <w:bCs/>
          <w:sz w:val="24"/>
          <w:szCs w:val="24"/>
        </w:rPr>
        <w:t xml:space="preserve"> </w:t>
      </w:r>
      <w:r w:rsidRPr="00021E0C">
        <w:rPr>
          <w:rFonts w:ascii="Times New Roman" w:hAnsi="Times New Roman" w:cs="Times New Roman"/>
          <w:b/>
          <w:bCs/>
          <w:sz w:val="24"/>
          <w:szCs w:val="24"/>
        </w:rPr>
        <w:t>reported.</w:t>
      </w:r>
    </w:p>
    <w:p w:rsidR="002954D1" w:rsidRPr="00021E0C" w:rsidP="002B15D5" w14:paraId="21828691" w14:textId="77777777">
      <w:pPr>
        <w:pStyle w:val="NoSpacing"/>
        <w:rPr>
          <w:rFonts w:ascii="Times New Roman" w:hAnsi="Times New Roman" w:cs="Times New Roman"/>
          <w:sz w:val="24"/>
          <w:szCs w:val="24"/>
        </w:rPr>
      </w:pPr>
    </w:p>
    <w:p w:rsidR="002B15D5" w:rsidRPr="00021E0C" w:rsidP="002B15D5" w14:paraId="0CE0CB0B" w14:textId="1AD1EE2E">
      <w:pPr>
        <w:pStyle w:val="NoSpacing"/>
        <w:rPr>
          <w:rFonts w:ascii="Times New Roman" w:hAnsi="Times New Roman" w:cs="Times New Roman"/>
          <w:b/>
          <w:bCs/>
          <w:sz w:val="24"/>
          <w:szCs w:val="24"/>
        </w:rPr>
      </w:pPr>
      <w:r w:rsidRPr="00021E0C">
        <w:rPr>
          <w:rFonts w:ascii="Times New Roman" w:hAnsi="Times New Roman" w:cs="Times New Roman"/>
          <w:b/>
          <w:bCs/>
          <w:sz w:val="24"/>
          <w:szCs w:val="24"/>
        </w:rPr>
        <w:t>Consultation with representatives of those from whom information is to be obtained or those</w:t>
      </w:r>
      <w:r w:rsidRPr="00021E0C" w:rsidR="00B0713D">
        <w:rPr>
          <w:rFonts w:ascii="Times New Roman" w:hAnsi="Times New Roman" w:cs="Times New Roman"/>
          <w:b/>
          <w:bCs/>
          <w:sz w:val="24"/>
          <w:szCs w:val="24"/>
        </w:rPr>
        <w:t xml:space="preserve"> </w:t>
      </w:r>
      <w:r w:rsidRPr="00021E0C">
        <w:rPr>
          <w:rFonts w:ascii="Times New Roman" w:hAnsi="Times New Roman" w:cs="Times New Roman"/>
          <w:b/>
          <w:bCs/>
          <w:sz w:val="24"/>
          <w:szCs w:val="24"/>
        </w:rPr>
        <w:t xml:space="preserve">who must compile records should occur at least once every 3 years </w:t>
      </w:r>
      <w:r w:rsidRPr="00021E0C" w:rsidR="002954D1">
        <w:rPr>
          <w:rFonts w:ascii="Times New Roman" w:hAnsi="Times New Roman" w:cs="Times New Roman"/>
          <w:b/>
          <w:bCs/>
          <w:sz w:val="24"/>
          <w:szCs w:val="24"/>
        </w:rPr>
        <w:t>–</w:t>
      </w:r>
      <w:r w:rsidRPr="00021E0C">
        <w:rPr>
          <w:rFonts w:ascii="Times New Roman" w:hAnsi="Times New Roman" w:cs="Times New Roman"/>
          <w:b/>
          <w:bCs/>
          <w:sz w:val="24"/>
          <w:szCs w:val="24"/>
        </w:rPr>
        <w:t xml:space="preserve"> even if the collection of</w:t>
      </w:r>
      <w:r w:rsidRPr="00021E0C" w:rsidR="00B0713D">
        <w:rPr>
          <w:rFonts w:ascii="Times New Roman" w:hAnsi="Times New Roman" w:cs="Times New Roman"/>
          <w:b/>
          <w:bCs/>
          <w:sz w:val="24"/>
          <w:szCs w:val="24"/>
        </w:rPr>
        <w:t xml:space="preserve"> </w:t>
      </w:r>
      <w:r w:rsidRPr="00021E0C">
        <w:rPr>
          <w:rFonts w:ascii="Times New Roman" w:hAnsi="Times New Roman" w:cs="Times New Roman"/>
          <w:b/>
          <w:bCs/>
          <w:sz w:val="24"/>
          <w:szCs w:val="24"/>
        </w:rPr>
        <w:t>information activity is the same as in prior periods. There may be circumstances that may</w:t>
      </w:r>
      <w:r w:rsidRPr="00021E0C" w:rsidR="00B0713D">
        <w:rPr>
          <w:rFonts w:ascii="Times New Roman" w:hAnsi="Times New Roman" w:cs="Times New Roman"/>
          <w:b/>
          <w:bCs/>
          <w:sz w:val="24"/>
          <w:szCs w:val="24"/>
        </w:rPr>
        <w:t xml:space="preserve"> </w:t>
      </w:r>
      <w:r w:rsidRPr="00021E0C">
        <w:rPr>
          <w:rFonts w:ascii="Times New Roman" w:hAnsi="Times New Roman" w:cs="Times New Roman"/>
          <w:b/>
          <w:bCs/>
          <w:sz w:val="24"/>
          <w:szCs w:val="24"/>
        </w:rPr>
        <w:t>preclude consultation in a specific situation. These circumstances should be explained.</w:t>
      </w:r>
    </w:p>
    <w:p w:rsidR="002B15D5" w:rsidRPr="00021E0C" w:rsidP="002B15D5" w14:paraId="6BCB6F31" w14:textId="72E02E8F">
      <w:pPr>
        <w:pStyle w:val="NoSpacing"/>
        <w:rPr>
          <w:rFonts w:ascii="Times New Roman" w:hAnsi="Times New Roman" w:cs="Times New Roman"/>
          <w:sz w:val="24"/>
          <w:szCs w:val="24"/>
        </w:rPr>
      </w:pPr>
      <w:r w:rsidRPr="00021E0C">
        <w:rPr>
          <w:rFonts w:ascii="Times New Roman" w:hAnsi="Times New Roman" w:cs="Times New Roman"/>
          <w:sz w:val="24"/>
          <w:szCs w:val="24"/>
        </w:rPr>
        <w:tab/>
      </w:r>
    </w:p>
    <w:p w:rsidR="002B15D5" w:rsidRPr="00021E0C" w:rsidP="002954D1" w14:paraId="323A15B9" w14:textId="2DB7BDA1">
      <w:pPr>
        <w:pStyle w:val="NoSpacing"/>
        <w:ind w:left="720"/>
        <w:rPr>
          <w:rFonts w:ascii="Times New Roman" w:hAnsi="Times New Roman" w:cs="Times New Roman"/>
          <w:sz w:val="24"/>
          <w:szCs w:val="24"/>
        </w:rPr>
      </w:pPr>
      <w:r w:rsidRPr="00021E0C">
        <w:rPr>
          <w:rFonts w:ascii="Times New Roman" w:hAnsi="Times New Roman" w:cs="Times New Roman"/>
          <w:sz w:val="24"/>
          <w:szCs w:val="24"/>
        </w:rPr>
        <w:t xml:space="preserve">EPA </w:t>
      </w:r>
      <w:r w:rsidR="0084144A">
        <w:rPr>
          <w:rFonts w:ascii="Times New Roman" w:hAnsi="Times New Roman" w:cs="Times New Roman"/>
          <w:sz w:val="24"/>
          <w:szCs w:val="24"/>
        </w:rPr>
        <w:t>solicited</w:t>
      </w:r>
      <w:r w:rsidRPr="00021E0C">
        <w:rPr>
          <w:rFonts w:ascii="Times New Roman" w:hAnsi="Times New Roman" w:cs="Times New Roman"/>
          <w:sz w:val="24"/>
          <w:szCs w:val="24"/>
        </w:rPr>
        <w:t xml:space="preserve"> comments on this Information Collection </w:t>
      </w:r>
      <w:r w:rsidRPr="00021E0C" w:rsidR="001E19E4">
        <w:rPr>
          <w:rFonts w:ascii="Times New Roman" w:hAnsi="Times New Roman" w:cs="Times New Roman"/>
          <w:sz w:val="24"/>
          <w:szCs w:val="24"/>
        </w:rPr>
        <w:t xml:space="preserve">Renewal </w:t>
      </w:r>
      <w:r w:rsidRPr="00021E0C" w:rsidR="007D1245">
        <w:rPr>
          <w:rFonts w:ascii="Times New Roman" w:hAnsi="Times New Roman" w:cs="Times New Roman"/>
          <w:sz w:val="24"/>
          <w:szCs w:val="24"/>
        </w:rPr>
        <w:t>through a notice in the Federal Register</w:t>
      </w:r>
      <w:r w:rsidR="0084144A">
        <w:rPr>
          <w:rFonts w:ascii="Times New Roman" w:hAnsi="Times New Roman" w:cs="Times New Roman"/>
          <w:sz w:val="24"/>
          <w:szCs w:val="24"/>
        </w:rPr>
        <w:t xml:space="preserve"> on June 7, 2023 (88 FR 37241).  No </w:t>
      </w:r>
      <w:r w:rsidR="005E07DD">
        <w:rPr>
          <w:rFonts w:ascii="Times New Roman" w:hAnsi="Times New Roman" w:cs="Times New Roman"/>
          <w:sz w:val="24"/>
          <w:szCs w:val="24"/>
        </w:rPr>
        <w:t xml:space="preserve">relevant </w:t>
      </w:r>
      <w:r w:rsidR="0084144A">
        <w:rPr>
          <w:rFonts w:ascii="Times New Roman" w:hAnsi="Times New Roman" w:cs="Times New Roman"/>
          <w:sz w:val="24"/>
          <w:szCs w:val="24"/>
        </w:rPr>
        <w:t xml:space="preserve">comments were received. </w:t>
      </w:r>
    </w:p>
    <w:p w:rsidR="004F1594" w:rsidRPr="00021E0C" w:rsidP="002954D1" w14:paraId="4820ECFD" w14:textId="323084EC">
      <w:pPr>
        <w:pStyle w:val="NoSpacing"/>
        <w:ind w:left="720"/>
        <w:rPr>
          <w:rFonts w:ascii="Times New Roman" w:hAnsi="Times New Roman" w:cs="Times New Roman"/>
          <w:sz w:val="24"/>
          <w:szCs w:val="24"/>
        </w:rPr>
      </w:pPr>
    </w:p>
    <w:p w:rsidR="004F1594" w:rsidRPr="00021E0C" w:rsidP="002954D1" w14:paraId="0A681180" w14:textId="323E1C4F">
      <w:pPr>
        <w:pStyle w:val="NoSpacing"/>
        <w:ind w:left="720"/>
        <w:rPr>
          <w:rFonts w:ascii="Times New Roman" w:hAnsi="Times New Roman" w:cs="Times New Roman"/>
          <w:sz w:val="24"/>
          <w:szCs w:val="24"/>
        </w:rPr>
      </w:pPr>
      <w:r w:rsidRPr="00021E0C">
        <w:rPr>
          <w:rFonts w:ascii="Times New Roman" w:hAnsi="Times New Roman" w:cs="Times New Roman"/>
          <w:sz w:val="24"/>
          <w:szCs w:val="24"/>
        </w:rPr>
        <w:t xml:space="preserve">EPA used data gathered in consultations with the regulated industry during the development of </w:t>
      </w:r>
      <w:r w:rsidRPr="00021E0C" w:rsidR="00C41F1F">
        <w:rPr>
          <w:rFonts w:ascii="Times New Roman" w:hAnsi="Times New Roman" w:cs="Times New Roman"/>
          <w:sz w:val="24"/>
          <w:szCs w:val="24"/>
        </w:rPr>
        <w:t>the original waiver rulemaking as well as more recent conversations with engine manufacturers and boat builders</w:t>
      </w:r>
      <w:r w:rsidRPr="00021E0C" w:rsidR="00B01E71">
        <w:rPr>
          <w:rFonts w:ascii="Times New Roman" w:hAnsi="Times New Roman" w:cs="Times New Roman"/>
          <w:sz w:val="24"/>
          <w:szCs w:val="24"/>
        </w:rPr>
        <w:t>,</w:t>
      </w:r>
      <w:r w:rsidRPr="00021E0C">
        <w:rPr>
          <w:rFonts w:ascii="Times New Roman" w:hAnsi="Times New Roman" w:cs="Times New Roman"/>
          <w:sz w:val="24"/>
          <w:szCs w:val="24"/>
        </w:rPr>
        <w:t xml:space="preserve"> and its own experience implementing the program. </w:t>
      </w:r>
    </w:p>
    <w:p w:rsidR="000240B0" w:rsidRPr="00021E0C" w:rsidP="002954D1" w14:paraId="121E2D06" w14:textId="2AB1E7B8">
      <w:pPr>
        <w:pStyle w:val="NoSpacing"/>
        <w:ind w:left="720"/>
        <w:rPr>
          <w:rFonts w:ascii="Times New Roman" w:hAnsi="Times New Roman" w:cs="Times New Roman"/>
          <w:sz w:val="24"/>
          <w:szCs w:val="24"/>
        </w:rPr>
      </w:pPr>
    </w:p>
    <w:p w:rsidR="00405F4F" w:rsidRPr="00021E0C" w:rsidP="004517AB" w14:paraId="1E8168B5" w14:textId="07A6A33E">
      <w:pPr>
        <w:pStyle w:val="NoSpacing"/>
        <w:ind w:left="720"/>
        <w:rPr>
          <w:sz w:val="24"/>
          <w:szCs w:val="24"/>
        </w:rPr>
      </w:pPr>
      <w:r w:rsidRPr="00021E0C">
        <w:rPr>
          <w:rFonts w:ascii="Times New Roman" w:hAnsi="Times New Roman" w:cs="Times New Roman"/>
          <w:sz w:val="24"/>
          <w:szCs w:val="24"/>
        </w:rPr>
        <w:t xml:space="preserve">EPA has ongoing outreach efforts with stakeholders as part of our rule development and </w:t>
      </w:r>
      <w:r w:rsidRPr="00021E0C" w:rsidR="00C03753">
        <w:rPr>
          <w:rFonts w:ascii="Times New Roman" w:hAnsi="Times New Roman" w:cs="Times New Roman"/>
          <w:sz w:val="24"/>
          <w:szCs w:val="24"/>
        </w:rPr>
        <w:t>implementation activities.</w:t>
      </w:r>
    </w:p>
    <w:p w:rsidR="00F8053E" w:rsidRPr="00021E0C" w14:paraId="1B5558E5" w14:textId="77777777">
      <w:pPr>
        <w:autoSpaceDE/>
        <w:autoSpaceDN/>
        <w:adjustRightInd/>
        <w:spacing w:after="160" w:line="259" w:lineRule="auto"/>
      </w:pPr>
    </w:p>
    <w:p w:rsidR="002B15D5" w:rsidRPr="00021E0C" w:rsidP="000A0844" w14:paraId="7A7A44E0" w14:textId="708F5A20">
      <w:pPr>
        <w:pStyle w:val="ICR3"/>
      </w:pPr>
      <w:r w:rsidRPr="00021E0C">
        <w:t>9. Explain any decision to provide any payment or gift to respondents, other than remuneration</w:t>
      </w:r>
      <w:r w:rsidRPr="00021E0C" w:rsidR="002F2CEB">
        <w:t xml:space="preserve"> </w:t>
      </w:r>
      <w:r w:rsidRPr="00021E0C">
        <w:t>of contractors or grantees.</w:t>
      </w:r>
    </w:p>
    <w:p w:rsidR="003E6670" w:rsidRPr="00021E0C" w:rsidP="002B15D5" w14:paraId="295576E2" w14:textId="4EBE8D66">
      <w:pPr>
        <w:pStyle w:val="NoSpacing"/>
        <w:rPr>
          <w:rFonts w:ascii="Times New Roman" w:hAnsi="Times New Roman" w:cs="Times New Roman"/>
          <w:sz w:val="24"/>
          <w:szCs w:val="24"/>
        </w:rPr>
      </w:pPr>
    </w:p>
    <w:p w:rsidR="003E6670" w:rsidRPr="00021E0C" w:rsidP="003E6670" w14:paraId="7F435EF6" w14:textId="7BDC980F">
      <w:pPr>
        <w:pStyle w:val="NoSpacing"/>
        <w:ind w:left="720"/>
        <w:rPr>
          <w:rFonts w:ascii="Times New Roman" w:hAnsi="Times New Roman" w:cs="Times New Roman"/>
          <w:sz w:val="24"/>
          <w:szCs w:val="24"/>
        </w:rPr>
      </w:pPr>
      <w:r w:rsidRPr="00021E0C">
        <w:rPr>
          <w:rFonts w:ascii="Times New Roman" w:hAnsi="Times New Roman" w:cs="Times New Roman"/>
          <w:sz w:val="24"/>
          <w:szCs w:val="24"/>
        </w:rPr>
        <w:t>There are no payments or gifts to respondents</w:t>
      </w:r>
      <w:r w:rsidRPr="00021E0C" w:rsidR="00B16114">
        <w:rPr>
          <w:rFonts w:ascii="Times New Roman" w:hAnsi="Times New Roman" w:cs="Times New Roman"/>
          <w:sz w:val="24"/>
          <w:szCs w:val="24"/>
        </w:rPr>
        <w:t xml:space="preserve">; there is no remuneration of contractors or grantees for this engine and vehicle certification program.  </w:t>
      </w:r>
    </w:p>
    <w:p w:rsidR="00405F4F" w:rsidRPr="00021E0C" w14:paraId="6F8ED91A" w14:textId="77777777">
      <w:pPr>
        <w:autoSpaceDE/>
        <w:autoSpaceDN/>
        <w:adjustRightInd/>
        <w:spacing w:after="160" w:line="259" w:lineRule="auto"/>
      </w:pPr>
    </w:p>
    <w:p w:rsidR="002B15D5" w:rsidRPr="00021E0C" w:rsidP="00C862BB" w14:paraId="55E843ED" w14:textId="67894259">
      <w:pPr>
        <w:pStyle w:val="ICR3"/>
        <w:rPr>
          <w:rFonts w:cs="Times New Roman"/>
          <w:b w:val="0"/>
          <w:bCs/>
        </w:rPr>
      </w:pPr>
      <w:r w:rsidRPr="00021E0C">
        <w:t>10. Describe any assurance of confidentiality provided to respondents and the basis for the</w:t>
      </w:r>
      <w:r w:rsidRPr="00021E0C" w:rsidR="00C862BB">
        <w:t xml:space="preserve"> </w:t>
      </w:r>
      <w:r w:rsidRPr="00021E0C">
        <w:rPr>
          <w:rFonts w:cs="Times New Roman"/>
          <w:bCs/>
        </w:rPr>
        <w:t>assurance in statute, regulation, or agency policy. If the collection requires a systems of</w:t>
      </w:r>
      <w:r w:rsidRPr="00021E0C" w:rsidR="00C862BB">
        <w:rPr>
          <w:rFonts w:cs="Times New Roman"/>
          <w:bCs/>
        </w:rPr>
        <w:t xml:space="preserve"> </w:t>
      </w:r>
      <w:r w:rsidRPr="00021E0C">
        <w:rPr>
          <w:rFonts w:cs="Times New Roman"/>
          <w:bCs/>
        </w:rPr>
        <w:t>records notice (SORN) or privacy impact assessment (PIA), those should be cited and</w:t>
      </w:r>
      <w:r w:rsidRPr="00021E0C" w:rsidR="00C862BB">
        <w:rPr>
          <w:rFonts w:cs="Times New Roman"/>
          <w:bCs/>
        </w:rPr>
        <w:t xml:space="preserve"> </w:t>
      </w:r>
      <w:r w:rsidRPr="00021E0C">
        <w:rPr>
          <w:rFonts w:cs="Times New Roman"/>
          <w:bCs/>
        </w:rPr>
        <w:t>described here.</w:t>
      </w:r>
    </w:p>
    <w:p w:rsidR="002B15D5" w:rsidRPr="00021E0C" w:rsidP="002B15D5" w14:paraId="22519459" w14:textId="7DF14703">
      <w:pPr>
        <w:pStyle w:val="NoSpacing"/>
        <w:rPr>
          <w:rFonts w:ascii="Times New Roman" w:hAnsi="Times New Roman" w:cs="Times New Roman"/>
          <w:sz w:val="24"/>
          <w:szCs w:val="24"/>
        </w:rPr>
      </w:pPr>
      <w:r w:rsidRPr="00021E0C">
        <w:rPr>
          <w:rFonts w:ascii="Times New Roman" w:hAnsi="Times New Roman" w:cs="Times New Roman"/>
          <w:sz w:val="24"/>
          <w:szCs w:val="24"/>
        </w:rPr>
        <w:tab/>
      </w:r>
    </w:p>
    <w:p w:rsidR="00BC11FE" w:rsidRPr="00021E0C" w:rsidP="00BC11FE" w14:paraId="5D11E770" w14:textId="3B324587">
      <w:pPr>
        <w:pStyle w:val="NoSpacing"/>
        <w:ind w:left="720"/>
        <w:rPr>
          <w:rFonts w:ascii="Times New Roman" w:hAnsi="Times New Roman" w:cs="Times New Roman"/>
          <w:sz w:val="24"/>
          <w:szCs w:val="24"/>
        </w:rPr>
      </w:pPr>
      <w:r w:rsidRPr="00021E0C">
        <w:rPr>
          <w:rFonts w:ascii="Times New Roman" w:hAnsi="Times New Roman" w:cs="Times New Roman"/>
          <w:sz w:val="24"/>
          <w:szCs w:val="24"/>
        </w:rPr>
        <w:t xml:space="preserve">Manufacturers may assert a claim of confidentiality over information provided to EPA.  Confidentiality is provided in accordance with the Freedom of Information Act and EPA regulations at 40 CFR </w:t>
      </w:r>
      <w:r w:rsidRPr="00021E0C" w:rsidR="00C862BB">
        <w:rPr>
          <w:rFonts w:ascii="Times New Roman" w:hAnsi="Times New Roman" w:cs="Times New Roman"/>
          <w:sz w:val="24"/>
          <w:szCs w:val="24"/>
        </w:rPr>
        <w:t>p</w:t>
      </w:r>
      <w:r w:rsidRPr="00021E0C">
        <w:rPr>
          <w:rFonts w:ascii="Times New Roman" w:hAnsi="Times New Roman" w:cs="Times New Roman"/>
          <w:sz w:val="24"/>
          <w:szCs w:val="24"/>
        </w:rPr>
        <w:t xml:space="preserve">art 2.  </w:t>
      </w:r>
    </w:p>
    <w:p w:rsidR="00BC11FE" w:rsidRPr="00021E0C" w:rsidP="00BC11FE" w14:paraId="7EACC429" w14:textId="77777777">
      <w:pPr>
        <w:pStyle w:val="NoSpacing"/>
        <w:ind w:left="720"/>
        <w:rPr>
          <w:rFonts w:ascii="Times New Roman" w:hAnsi="Times New Roman" w:cs="Times New Roman"/>
          <w:sz w:val="24"/>
          <w:szCs w:val="24"/>
        </w:rPr>
      </w:pPr>
    </w:p>
    <w:p w:rsidR="00405F4F" w:rsidRPr="00021E0C" w:rsidP="00BC11FE" w14:paraId="640F6F9A" w14:textId="5C0D7B5E">
      <w:pPr>
        <w:pStyle w:val="NoSpacing"/>
        <w:ind w:left="720"/>
        <w:rPr>
          <w:rFonts w:ascii="Times New Roman" w:hAnsi="Times New Roman" w:cs="Times New Roman"/>
          <w:sz w:val="24"/>
          <w:szCs w:val="24"/>
        </w:rPr>
      </w:pPr>
      <w:r w:rsidRPr="00021E0C">
        <w:rPr>
          <w:rFonts w:ascii="Times New Roman" w:hAnsi="Times New Roman" w:cs="Times New Roman"/>
          <w:sz w:val="24"/>
          <w:szCs w:val="24"/>
        </w:rPr>
        <w:t>We will release this information only as permitted or required under the Freedom of Information Act (FOIA) and EPA regulations at 40 CFR part 2</w:t>
      </w:r>
      <w:r w:rsidRPr="00021E0C" w:rsidR="00C862BB">
        <w:rPr>
          <w:rFonts w:ascii="Times New Roman" w:hAnsi="Times New Roman" w:cs="Times New Roman"/>
          <w:sz w:val="24"/>
          <w:szCs w:val="24"/>
        </w:rPr>
        <w:t xml:space="preserve"> and part 1068</w:t>
      </w:r>
      <w:r w:rsidRPr="00021E0C">
        <w:rPr>
          <w:rFonts w:ascii="Times New Roman" w:hAnsi="Times New Roman" w:cs="Times New Roman"/>
          <w:sz w:val="24"/>
          <w:szCs w:val="24"/>
        </w:rPr>
        <w:t xml:space="preserve">. </w:t>
      </w:r>
    </w:p>
    <w:p w:rsidR="009A18ED" w:rsidRPr="00021E0C" w:rsidP="00BC11FE" w14:paraId="70A3958B" w14:textId="4EACFA32">
      <w:pPr>
        <w:pStyle w:val="NoSpacing"/>
        <w:ind w:left="720"/>
        <w:rPr>
          <w:rFonts w:ascii="Times New Roman" w:hAnsi="Times New Roman" w:cs="Times New Roman"/>
          <w:sz w:val="24"/>
          <w:szCs w:val="24"/>
        </w:rPr>
      </w:pPr>
    </w:p>
    <w:p w:rsidR="009A18ED" w:rsidRPr="00021E0C" w:rsidP="00BC11FE" w14:paraId="5D071E03" w14:textId="03EA2AE8">
      <w:pPr>
        <w:pStyle w:val="NoSpacing"/>
        <w:ind w:left="720"/>
        <w:rPr>
          <w:rFonts w:ascii="Times New Roman" w:hAnsi="Times New Roman" w:cs="Times New Roman"/>
          <w:sz w:val="24"/>
          <w:szCs w:val="24"/>
        </w:rPr>
      </w:pPr>
      <w:r w:rsidRPr="00021E0C">
        <w:rPr>
          <w:rFonts w:ascii="Times New Roman" w:hAnsi="Times New Roman" w:cs="Times New Roman"/>
          <w:sz w:val="24"/>
          <w:szCs w:val="24"/>
        </w:rPr>
        <w:t>This information collection does not require SORN or PIA.</w:t>
      </w:r>
    </w:p>
    <w:p w:rsidR="00405F4F" w:rsidRPr="00021E0C" w:rsidP="00405F4F" w14:paraId="16540435" w14:textId="77777777">
      <w:pPr>
        <w:pStyle w:val="NoSpacing"/>
        <w:rPr>
          <w:rFonts w:ascii="Times New Roman" w:hAnsi="Times New Roman" w:cs="Times New Roman"/>
          <w:sz w:val="24"/>
          <w:szCs w:val="24"/>
        </w:rPr>
      </w:pPr>
    </w:p>
    <w:p w:rsidR="00405F4F" w:rsidRPr="00021E0C" w:rsidP="00405F4F" w14:paraId="0D1F4D48" w14:textId="77777777">
      <w:pPr>
        <w:pStyle w:val="NoSpacing"/>
        <w:rPr>
          <w:rFonts w:ascii="Times New Roman" w:hAnsi="Times New Roman" w:cs="Times New Roman"/>
          <w:sz w:val="24"/>
          <w:szCs w:val="24"/>
        </w:rPr>
      </w:pPr>
    </w:p>
    <w:p w:rsidR="002B15D5" w:rsidRPr="00021E0C" w:rsidP="000A0844" w14:paraId="4B92F4B4" w14:textId="59CD4FD5">
      <w:pPr>
        <w:pStyle w:val="ICR3"/>
      </w:pPr>
      <w:r w:rsidRPr="00021E0C">
        <w:t>11. Provide additional justification for any questions of a sensitive nature, such as sexual</w:t>
      </w:r>
    </w:p>
    <w:p w:rsidR="002B15D5" w:rsidRPr="00021E0C" w:rsidP="002B15D5" w14:paraId="5FC277FA" w14:textId="77777777">
      <w:pPr>
        <w:pStyle w:val="NoSpacing"/>
        <w:rPr>
          <w:rFonts w:ascii="Times New Roman" w:hAnsi="Times New Roman" w:cs="Times New Roman"/>
          <w:b/>
          <w:bCs/>
          <w:sz w:val="24"/>
          <w:szCs w:val="24"/>
        </w:rPr>
      </w:pPr>
      <w:r w:rsidRPr="00021E0C">
        <w:rPr>
          <w:rFonts w:ascii="Times New Roman" w:hAnsi="Times New Roman" w:cs="Times New Roman"/>
          <w:b/>
          <w:bCs/>
          <w:sz w:val="24"/>
          <w:szCs w:val="24"/>
        </w:rPr>
        <w:t>behavior and attitudes, religious beliefs, and other matters that are commonly considered</w:t>
      </w:r>
    </w:p>
    <w:p w:rsidR="002B15D5" w:rsidRPr="00021E0C" w:rsidP="002B15D5" w14:paraId="4E362977" w14:textId="21D09DAF">
      <w:pPr>
        <w:pStyle w:val="NoSpacing"/>
        <w:rPr>
          <w:rFonts w:ascii="Times New Roman" w:hAnsi="Times New Roman" w:cs="Times New Roman"/>
          <w:b/>
          <w:bCs/>
          <w:sz w:val="24"/>
          <w:szCs w:val="24"/>
        </w:rPr>
      </w:pPr>
      <w:r w:rsidRPr="00021E0C">
        <w:rPr>
          <w:rFonts w:ascii="Times New Roman" w:hAnsi="Times New Roman" w:cs="Times New Roman"/>
          <w:b/>
          <w:bCs/>
          <w:sz w:val="24"/>
          <w:szCs w:val="24"/>
        </w:rPr>
        <w:t>private. This justification should include the reasons why the agency considers the questions</w:t>
      </w:r>
      <w:r w:rsidRPr="00021E0C" w:rsidR="002F2CEB">
        <w:rPr>
          <w:rFonts w:ascii="Times New Roman" w:hAnsi="Times New Roman" w:cs="Times New Roman"/>
          <w:b/>
          <w:bCs/>
          <w:sz w:val="24"/>
          <w:szCs w:val="24"/>
        </w:rPr>
        <w:t xml:space="preserve"> </w:t>
      </w:r>
      <w:r w:rsidRPr="00021E0C">
        <w:rPr>
          <w:rFonts w:ascii="Times New Roman" w:hAnsi="Times New Roman" w:cs="Times New Roman"/>
          <w:b/>
          <w:bCs/>
          <w:sz w:val="24"/>
          <w:szCs w:val="24"/>
        </w:rPr>
        <w:t>necessary, the specific uses to be made of the information, the explanation to be given to</w:t>
      </w:r>
      <w:r w:rsidRPr="00021E0C" w:rsidR="002F2CEB">
        <w:rPr>
          <w:rFonts w:ascii="Times New Roman" w:hAnsi="Times New Roman" w:cs="Times New Roman"/>
          <w:b/>
          <w:bCs/>
          <w:sz w:val="24"/>
          <w:szCs w:val="24"/>
        </w:rPr>
        <w:t xml:space="preserve"> </w:t>
      </w:r>
      <w:r w:rsidRPr="00021E0C">
        <w:rPr>
          <w:rFonts w:ascii="Times New Roman" w:hAnsi="Times New Roman" w:cs="Times New Roman"/>
          <w:b/>
          <w:bCs/>
          <w:sz w:val="24"/>
          <w:szCs w:val="24"/>
        </w:rPr>
        <w:t>persons from whom the information is requested, and any steps to be taken to obtain their</w:t>
      </w:r>
      <w:r w:rsidRPr="00021E0C" w:rsidR="002F2CEB">
        <w:rPr>
          <w:rFonts w:ascii="Times New Roman" w:hAnsi="Times New Roman" w:cs="Times New Roman"/>
          <w:b/>
          <w:bCs/>
          <w:sz w:val="24"/>
          <w:szCs w:val="24"/>
        </w:rPr>
        <w:t xml:space="preserve"> </w:t>
      </w:r>
      <w:r w:rsidRPr="00021E0C">
        <w:rPr>
          <w:rFonts w:ascii="Times New Roman" w:hAnsi="Times New Roman" w:cs="Times New Roman"/>
          <w:b/>
          <w:bCs/>
          <w:sz w:val="24"/>
          <w:szCs w:val="24"/>
        </w:rPr>
        <w:t>consent.</w:t>
      </w:r>
    </w:p>
    <w:p w:rsidR="002B15D5" w:rsidRPr="00021E0C" w:rsidP="002B15D5" w14:paraId="19B2A066" w14:textId="29E83F7A">
      <w:pPr>
        <w:pStyle w:val="NoSpacing"/>
        <w:rPr>
          <w:rFonts w:ascii="Times New Roman" w:hAnsi="Times New Roman" w:cs="Times New Roman"/>
          <w:sz w:val="24"/>
          <w:szCs w:val="24"/>
        </w:rPr>
      </w:pPr>
      <w:r w:rsidRPr="00021E0C">
        <w:rPr>
          <w:rFonts w:ascii="Times New Roman" w:hAnsi="Times New Roman" w:cs="Times New Roman"/>
          <w:sz w:val="24"/>
          <w:szCs w:val="24"/>
        </w:rPr>
        <w:tab/>
      </w:r>
    </w:p>
    <w:p w:rsidR="002B15D5" w:rsidRPr="00021E0C" w:rsidP="00845B84" w14:paraId="5A7D66D3" w14:textId="178256B8">
      <w:pPr>
        <w:pStyle w:val="NoSpacing"/>
        <w:ind w:left="720"/>
        <w:rPr>
          <w:rFonts w:ascii="Times New Roman" w:hAnsi="Times New Roman" w:cs="Times New Roman"/>
          <w:sz w:val="24"/>
          <w:szCs w:val="24"/>
        </w:rPr>
      </w:pPr>
      <w:r w:rsidRPr="00021E0C">
        <w:rPr>
          <w:rFonts w:ascii="Times New Roman" w:hAnsi="Times New Roman" w:cs="Times New Roman"/>
          <w:sz w:val="24"/>
          <w:szCs w:val="24"/>
        </w:rPr>
        <w:t>No sensitive questions are asked in this information collection. This collection complies with the Privacy Act and OMB Circular A-108.</w:t>
      </w:r>
    </w:p>
    <w:p w:rsidR="00405F4F" w:rsidRPr="00021E0C" w14:paraId="76F54263" w14:textId="77777777">
      <w:pPr>
        <w:autoSpaceDE/>
        <w:autoSpaceDN/>
        <w:adjustRightInd/>
        <w:spacing w:after="160" w:line="259" w:lineRule="auto"/>
      </w:pPr>
    </w:p>
    <w:p w:rsidR="002B15D5" w:rsidRPr="00021E0C" w:rsidP="000A0844" w14:paraId="6C94FBDC" w14:textId="087836B9">
      <w:pPr>
        <w:pStyle w:val="ICR3"/>
      </w:pPr>
      <w:r w:rsidRPr="00021E0C">
        <w:t>12. Provide estimates of the hour burden of the collection of information. The statement should:</w:t>
      </w:r>
    </w:p>
    <w:p w:rsidR="002B15D5" w:rsidRPr="00021E0C" w:rsidP="00D2495C" w14:paraId="7A483E40" w14:textId="500CC54B">
      <w:pPr>
        <w:pStyle w:val="NoSpacing"/>
        <w:numPr>
          <w:ilvl w:val="0"/>
          <w:numId w:val="17"/>
        </w:numPr>
        <w:rPr>
          <w:rFonts w:ascii="Times New Roman" w:hAnsi="Times New Roman" w:cs="Times New Roman"/>
          <w:b/>
          <w:bCs/>
          <w:sz w:val="24"/>
          <w:szCs w:val="24"/>
        </w:rPr>
      </w:pPr>
      <w:r w:rsidRPr="00021E0C">
        <w:rPr>
          <w:rFonts w:ascii="Times New Roman" w:hAnsi="Times New Roman" w:cs="Times New Roman"/>
          <w:b/>
          <w:bCs/>
          <w:sz w:val="24"/>
          <w:szCs w:val="24"/>
        </w:rPr>
        <w:t>Indicate the number of respondents, frequency of response, annual hour burden, and an</w:t>
      </w:r>
      <w:r w:rsidRPr="00021E0C" w:rsidR="00845B84">
        <w:rPr>
          <w:rFonts w:ascii="Times New Roman" w:hAnsi="Times New Roman" w:cs="Times New Roman"/>
          <w:b/>
          <w:bCs/>
          <w:sz w:val="24"/>
          <w:szCs w:val="24"/>
        </w:rPr>
        <w:t xml:space="preserve"> </w:t>
      </w:r>
      <w:r w:rsidRPr="00021E0C">
        <w:rPr>
          <w:rFonts w:ascii="Times New Roman" w:hAnsi="Times New Roman" w:cs="Times New Roman"/>
          <w:b/>
          <w:bCs/>
          <w:sz w:val="24"/>
          <w:szCs w:val="24"/>
        </w:rPr>
        <w:t>explanation of how the burden was estimated. Unless directed to do so, agencies should</w:t>
      </w:r>
      <w:r w:rsidRPr="00021E0C" w:rsidR="00845B84">
        <w:rPr>
          <w:rFonts w:ascii="Times New Roman" w:hAnsi="Times New Roman" w:cs="Times New Roman"/>
          <w:b/>
          <w:bCs/>
          <w:sz w:val="24"/>
          <w:szCs w:val="24"/>
        </w:rPr>
        <w:t xml:space="preserve"> </w:t>
      </w:r>
      <w:r w:rsidRPr="00021E0C">
        <w:rPr>
          <w:rFonts w:ascii="Times New Roman" w:hAnsi="Times New Roman" w:cs="Times New Roman"/>
          <w:b/>
          <w:bCs/>
          <w:sz w:val="24"/>
          <w:szCs w:val="24"/>
        </w:rPr>
        <w:t>not conduct special surveys to obtain information on which to base hour burden</w:t>
      </w:r>
      <w:r w:rsidRPr="00021E0C" w:rsidR="00845B84">
        <w:rPr>
          <w:rFonts w:ascii="Times New Roman" w:hAnsi="Times New Roman" w:cs="Times New Roman"/>
          <w:b/>
          <w:bCs/>
          <w:sz w:val="24"/>
          <w:szCs w:val="24"/>
        </w:rPr>
        <w:t xml:space="preserve"> </w:t>
      </w:r>
      <w:r w:rsidRPr="00021E0C">
        <w:rPr>
          <w:rFonts w:ascii="Times New Roman" w:hAnsi="Times New Roman" w:cs="Times New Roman"/>
          <w:b/>
          <w:bCs/>
          <w:sz w:val="24"/>
          <w:szCs w:val="24"/>
        </w:rPr>
        <w:t>estimates. Consultation with a sample (fewer than 10) of potential respondents is</w:t>
      </w:r>
      <w:r w:rsidRPr="00021E0C" w:rsidR="00845B84">
        <w:rPr>
          <w:rFonts w:ascii="Times New Roman" w:hAnsi="Times New Roman" w:cs="Times New Roman"/>
          <w:b/>
          <w:bCs/>
          <w:sz w:val="24"/>
          <w:szCs w:val="24"/>
        </w:rPr>
        <w:t xml:space="preserve"> </w:t>
      </w:r>
      <w:r w:rsidRPr="00021E0C">
        <w:rPr>
          <w:rFonts w:ascii="Times New Roman" w:hAnsi="Times New Roman" w:cs="Times New Roman"/>
          <w:b/>
          <w:bCs/>
          <w:sz w:val="24"/>
          <w:szCs w:val="24"/>
        </w:rPr>
        <w:t>desirable. If the hour burden on respondents is expected to vary widely because of differences in activity, size, or complexity, show the range of estimated hour burden, and</w:t>
      </w:r>
      <w:r w:rsidRPr="00021E0C" w:rsidR="00845B84">
        <w:rPr>
          <w:rFonts w:ascii="Times New Roman" w:hAnsi="Times New Roman" w:cs="Times New Roman"/>
          <w:b/>
          <w:bCs/>
          <w:sz w:val="24"/>
          <w:szCs w:val="24"/>
        </w:rPr>
        <w:t xml:space="preserve"> </w:t>
      </w:r>
      <w:r w:rsidRPr="00021E0C">
        <w:rPr>
          <w:rFonts w:ascii="Times New Roman" w:hAnsi="Times New Roman" w:cs="Times New Roman"/>
          <w:b/>
          <w:bCs/>
          <w:sz w:val="24"/>
          <w:szCs w:val="24"/>
        </w:rPr>
        <w:t>explain the reasons for the variance. Generally, estimates should not include burden hours</w:t>
      </w:r>
      <w:r w:rsidRPr="00021E0C" w:rsidR="00845B84">
        <w:rPr>
          <w:rFonts w:ascii="Times New Roman" w:hAnsi="Times New Roman" w:cs="Times New Roman"/>
          <w:b/>
          <w:bCs/>
          <w:sz w:val="24"/>
          <w:szCs w:val="24"/>
        </w:rPr>
        <w:t xml:space="preserve"> </w:t>
      </w:r>
      <w:r w:rsidRPr="00021E0C">
        <w:rPr>
          <w:rFonts w:ascii="Times New Roman" w:hAnsi="Times New Roman" w:cs="Times New Roman"/>
          <w:b/>
          <w:bCs/>
          <w:sz w:val="24"/>
          <w:szCs w:val="24"/>
        </w:rPr>
        <w:t>for customary and usual business practices.</w:t>
      </w:r>
    </w:p>
    <w:p w:rsidR="002B15D5" w:rsidRPr="00021E0C" w:rsidP="00D2495C" w14:paraId="65C344D5" w14:textId="092DB1DD">
      <w:pPr>
        <w:pStyle w:val="NoSpacing"/>
        <w:numPr>
          <w:ilvl w:val="0"/>
          <w:numId w:val="17"/>
        </w:numPr>
        <w:rPr>
          <w:rFonts w:ascii="Times New Roman" w:hAnsi="Times New Roman" w:cs="Times New Roman"/>
          <w:b/>
          <w:bCs/>
          <w:sz w:val="24"/>
          <w:szCs w:val="24"/>
        </w:rPr>
      </w:pPr>
      <w:r w:rsidRPr="00021E0C">
        <w:rPr>
          <w:rFonts w:ascii="Times New Roman" w:hAnsi="Times New Roman" w:cs="Times New Roman"/>
          <w:b/>
          <w:bCs/>
          <w:sz w:val="24"/>
          <w:szCs w:val="24"/>
        </w:rPr>
        <w:t>If this request for approval covers more than one form, provide separate hour burden</w:t>
      </w:r>
      <w:r w:rsidRPr="00021E0C" w:rsidR="00845B84">
        <w:rPr>
          <w:rFonts w:ascii="Times New Roman" w:hAnsi="Times New Roman" w:cs="Times New Roman"/>
          <w:b/>
          <w:bCs/>
          <w:sz w:val="24"/>
          <w:szCs w:val="24"/>
        </w:rPr>
        <w:t xml:space="preserve"> </w:t>
      </w:r>
      <w:r w:rsidRPr="00021E0C">
        <w:rPr>
          <w:rFonts w:ascii="Times New Roman" w:hAnsi="Times New Roman" w:cs="Times New Roman"/>
          <w:b/>
          <w:bCs/>
          <w:sz w:val="24"/>
          <w:szCs w:val="24"/>
        </w:rPr>
        <w:t>estimates for each form and aggregate the hour burdens.</w:t>
      </w:r>
    </w:p>
    <w:p w:rsidR="002B15D5" w:rsidRPr="00021E0C" w:rsidP="00D2495C" w14:paraId="4E9996D9" w14:textId="3F41880A">
      <w:pPr>
        <w:pStyle w:val="NoSpacing"/>
        <w:numPr>
          <w:ilvl w:val="0"/>
          <w:numId w:val="17"/>
        </w:numPr>
        <w:rPr>
          <w:rFonts w:ascii="Times New Roman" w:hAnsi="Times New Roman" w:cs="Times New Roman"/>
          <w:b/>
          <w:bCs/>
          <w:sz w:val="24"/>
          <w:szCs w:val="24"/>
        </w:rPr>
      </w:pPr>
      <w:r w:rsidRPr="00021E0C">
        <w:rPr>
          <w:rFonts w:ascii="Times New Roman" w:hAnsi="Times New Roman" w:cs="Times New Roman"/>
          <w:b/>
          <w:bCs/>
          <w:sz w:val="24"/>
          <w:szCs w:val="24"/>
        </w:rPr>
        <w:t>Provide estimates of annualized cost to respondents for the hour burdens for collections</w:t>
      </w:r>
      <w:r w:rsidRPr="00021E0C" w:rsidR="00F05AF7">
        <w:rPr>
          <w:rFonts w:ascii="Times New Roman" w:hAnsi="Times New Roman" w:cs="Times New Roman"/>
          <w:b/>
          <w:bCs/>
          <w:sz w:val="24"/>
          <w:szCs w:val="24"/>
        </w:rPr>
        <w:t xml:space="preserve"> </w:t>
      </w:r>
      <w:r w:rsidRPr="00021E0C">
        <w:rPr>
          <w:rFonts w:ascii="Times New Roman" w:hAnsi="Times New Roman" w:cs="Times New Roman"/>
          <w:b/>
          <w:bCs/>
          <w:sz w:val="24"/>
          <w:szCs w:val="24"/>
        </w:rPr>
        <w:t>of information, identifying and using appropriate wage rate categories. The cost of</w:t>
      </w:r>
      <w:r w:rsidRPr="00021E0C" w:rsidR="00F05AF7">
        <w:rPr>
          <w:rFonts w:ascii="Times New Roman" w:hAnsi="Times New Roman" w:cs="Times New Roman"/>
          <w:b/>
          <w:bCs/>
          <w:sz w:val="24"/>
          <w:szCs w:val="24"/>
        </w:rPr>
        <w:t xml:space="preserve"> </w:t>
      </w:r>
      <w:r w:rsidRPr="00021E0C">
        <w:rPr>
          <w:rFonts w:ascii="Times New Roman" w:hAnsi="Times New Roman" w:cs="Times New Roman"/>
          <w:b/>
          <w:bCs/>
          <w:sz w:val="24"/>
          <w:szCs w:val="24"/>
        </w:rPr>
        <w:t>contracting out or paying outside parties for information collection activities should not</w:t>
      </w:r>
      <w:r w:rsidRPr="00021E0C" w:rsidR="00F05AF7">
        <w:rPr>
          <w:rFonts w:ascii="Times New Roman" w:hAnsi="Times New Roman" w:cs="Times New Roman"/>
          <w:b/>
          <w:bCs/>
          <w:sz w:val="24"/>
          <w:szCs w:val="24"/>
        </w:rPr>
        <w:t xml:space="preserve"> </w:t>
      </w:r>
      <w:r w:rsidRPr="00021E0C">
        <w:rPr>
          <w:rFonts w:ascii="Times New Roman" w:hAnsi="Times New Roman" w:cs="Times New Roman"/>
          <w:b/>
          <w:bCs/>
          <w:sz w:val="24"/>
          <w:szCs w:val="24"/>
        </w:rPr>
        <w:t>be included here. Instead, this cost should be included under ‘Annual Cost to Federal</w:t>
      </w:r>
      <w:r w:rsidRPr="00021E0C" w:rsidR="00F05AF7">
        <w:rPr>
          <w:rFonts w:ascii="Times New Roman" w:hAnsi="Times New Roman" w:cs="Times New Roman"/>
          <w:b/>
          <w:bCs/>
          <w:sz w:val="24"/>
          <w:szCs w:val="24"/>
        </w:rPr>
        <w:t xml:space="preserve"> </w:t>
      </w:r>
      <w:r w:rsidRPr="00021E0C">
        <w:rPr>
          <w:rFonts w:ascii="Times New Roman" w:hAnsi="Times New Roman" w:cs="Times New Roman"/>
          <w:b/>
          <w:bCs/>
          <w:sz w:val="24"/>
          <w:szCs w:val="24"/>
        </w:rPr>
        <w:t>Government’.</w:t>
      </w:r>
    </w:p>
    <w:p w:rsidR="002B15D5" w:rsidRPr="00021E0C" w:rsidP="002B15D5" w14:paraId="64DEEE38" w14:textId="79F6B484">
      <w:pPr>
        <w:pStyle w:val="NoSpacing"/>
        <w:rPr>
          <w:rFonts w:ascii="Times New Roman" w:hAnsi="Times New Roman" w:cs="Times New Roman"/>
          <w:sz w:val="24"/>
          <w:szCs w:val="24"/>
        </w:rPr>
      </w:pPr>
      <w:r w:rsidRPr="00021E0C">
        <w:rPr>
          <w:rFonts w:ascii="Times New Roman" w:hAnsi="Times New Roman" w:cs="Times New Roman"/>
          <w:sz w:val="24"/>
          <w:szCs w:val="24"/>
        </w:rPr>
        <w:tab/>
      </w:r>
    </w:p>
    <w:p w:rsidR="002B15D5" w:rsidRPr="00021E0C" w:rsidP="002B15D5" w14:paraId="55C69F2D" w14:textId="3FD56DC5">
      <w:pPr>
        <w:pStyle w:val="NoSpacing"/>
        <w:rPr>
          <w:rFonts w:ascii="Times New Roman" w:hAnsi="Times New Roman" w:cs="Times New Roman"/>
          <w:sz w:val="24"/>
          <w:szCs w:val="24"/>
        </w:rPr>
      </w:pPr>
    </w:p>
    <w:p w:rsidR="00433630" w:rsidRPr="00021E0C" w:rsidP="001C25D2" w14:paraId="7D24C0D8" w14:textId="0A155BE5">
      <w:pPr>
        <w:autoSpaceDE/>
        <w:autoSpaceDN/>
        <w:adjustRightInd/>
        <w:spacing w:after="160" w:line="259" w:lineRule="auto"/>
        <w:ind w:left="360"/>
      </w:pPr>
      <w:r w:rsidRPr="00021E0C">
        <w:t xml:space="preserve">The total labor burden to respondents or record keepers resulting from the collection of information, as set out </w:t>
      </w:r>
      <w:r w:rsidRPr="00021E0C" w:rsidR="00AE1DC7">
        <w:t xml:space="preserve">in </w:t>
      </w:r>
      <w:r w:rsidRPr="00021E0C">
        <w:t>Table 2, is about</w:t>
      </w:r>
      <w:r w:rsidRPr="00021E0C" w:rsidR="00C14CB3">
        <w:t xml:space="preserve"> </w:t>
      </w:r>
      <w:r w:rsidRPr="00021E0C" w:rsidR="00E00023">
        <w:t>380</w:t>
      </w:r>
      <w:r w:rsidRPr="00021E0C" w:rsidR="7B32D6A6">
        <w:t xml:space="preserve"> </w:t>
      </w:r>
      <w:r w:rsidRPr="00021E0C" w:rsidR="00C14CB3">
        <w:t>hours</w:t>
      </w:r>
      <w:r w:rsidRPr="00021E0C" w:rsidR="00E55438">
        <w:t>, assuming each of 20 companies applies for a waiver</w:t>
      </w:r>
      <w:r w:rsidRPr="00021E0C">
        <w:t xml:space="preserve">.  </w:t>
      </w:r>
      <w:r w:rsidRPr="00021E0C" w:rsidR="00957C40">
        <w:t>The frequency of response will depend on the continued unavailability of suitable engines</w:t>
      </w:r>
      <w:r w:rsidRPr="00021E0C" w:rsidR="00F377EE">
        <w:t xml:space="preserve"> </w:t>
      </w:r>
      <w:r w:rsidRPr="00021E0C" w:rsidR="006E3EB5">
        <w:t>but w</w:t>
      </w:r>
      <w:r w:rsidRPr="00021E0C" w:rsidR="00F377EE">
        <w:t>ould</w:t>
      </w:r>
      <w:r w:rsidRPr="00021E0C" w:rsidR="006E3EB5">
        <w:t xml:space="preserve"> be no more than one response per manufacturer per vessel </w:t>
      </w:r>
      <w:r w:rsidRPr="00021E0C" w:rsidR="003D3B04">
        <w:t>category, per model year.</w:t>
      </w:r>
    </w:p>
    <w:p w:rsidR="006C7013" w:rsidRPr="00021E0C" w:rsidP="005E1637" w14:paraId="39A5EDE8" w14:textId="52BEB038">
      <w:pPr>
        <w:autoSpaceDE/>
        <w:autoSpaceDN/>
        <w:adjustRightInd/>
        <w:spacing w:after="160" w:line="259" w:lineRule="auto"/>
        <w:ind w:left="360"/>
      </w:pPr>
      <w:r w:rsidRPr="00021E0C">
        <w:t xml:space="preserve">To obtain a waiver from the Tier 4 marine diesel engine standards, manufacturers of boats that meet the size and other criteria </w:t>
      </w:r>
      <w:r w:rsidRPr="00021E0C" w:rsidR="00EF4B77">
        <w:t xml:space="preserve">must submit a written request for approval for an exemption from the Tier 4 emission standards.  Boat builders must describe efforts taken to identify available engines certified to the Tier 4 standards and design efforts for installing engines in the subject vessels. The request must also identify the number of vessels needing exempt engines.  </w:t>
      </w:r>
    </w:p>
    <w:p w:rsidR="005E1637" w:rsidRPr="00021E0C" w:rsidP="005E1637" w14:paraId="2C05D5AF" w14:textId="72DD94E4">
      <w:pPr>
        <w:autoSpaceDE/>
        <w:autoSpaceDN/>
        <w:adjustRightInd/>
        <w:spacing w:after="160" w:line="259" w:lineRule="auto"/>
        <w:ind w:left="360"/>
      </w:pPr>
      <w:r w:rsidRPr="00021E0C">
        <w:t xml:space="preserve">To estimate labor costs, EPA used the Bureau of Labor Statistics' (BLS) 2016 National Industry-specific Occupational Wage Estimates for the Engine, Turbine and Power Transmission Equipment Manufacturing Industry (NAICS 333600, available </w:t>
      </w:r>
      <w:r w:rsidRPr="00021E0C">
        <w:rPr>
          <w:color w:val="000000"/>
        </w:rPr>
        <w:t xml:space="preserve">at </w:t>
      </w:r>
      <w:hyperlink r:id="rId11" w:history="1">
        <w:r w:rsidRPr="00021E0C">
          <w:rPr>
            <w:rStyle w:val="Hyperlink"/>
          </w:rPr>
          <w:t>https://www.bls.gov/oes/2016/may/naics4_333600.htm</w:t>
        </w:r>
      </w:hyperlink>
      <w:r w:rsidRPr="00021E0C">
        <w:t>).  EPA used mean hourly rates increased by a factor of 2.1 to account for benefits and overhead.</w:t>
      </w:r>
      <w:r w:rsidRPr="00021E0C" w:rsidR="00D56EC3">
        <w:t xml:space="preserve">  The labor costs used are set out in Table 1.</w:t>
      </w:r>
    </w:p>
    <w:p w:rsidR="00DA631C" w:rsidRPr="00021E0C" w:rsidP="00433630" w14:paraId="6D4D151E" w14:textId="7AE7719E">
      <w:pPr>
        <w:autoSpaceDE/>
        <w:autoSpaceDN/>
        <w:adjustRightInd/>
        <w:spacing w:after="160" w:line="259" w:lineRule="auto"/>
        <w:ind w:left="360"/>
      </w:pPr>
      <w:r w:rsidRPr="00021E0C">
        <w:t>The total estimated labor burden is set out in Table 2.</w:t>
      </w:r>
    </w:p>
    <w:p w:rsidR="00FC6F76" w:rsidRPr="00021E0C" w14:paraId="7B108F8A" w14:textId="77777777">
      <w:pPr>
        <w:autoSpaceDE/>
        <w:autoSpaceDN/>
        <w:adjustRightInd/>
        <w:spacing w:after="160" w:line="259" w:lineRule="auto"/>
      </w:pPr>
    </w:p>
    <w:p w:rsidR="00FC6F76" w:rsidRPr="00021E0C" w:rsidP="00FC6F76" w14:paraId="455F8C48" w14:textId="77777777">
      <w:pPr>
        <w:pStyle w:val="Caption"/>
        <w:keepNext/>
        <w:jc w:val="center"/>
        <w:rPr>
          <w:sz w:val="24"/>
          <w:szCs w:val="24"/>
        </w:rPr>
      </w:pPr>
      <w:r w:rsidRPr="00021E0C">
        <w:rPr>
          <w:sz w:val="24"/>
          <w:szCs w:val="24"/>
        </w:rPr>
        <w:t xml:space="preserve">Table </w:t>
      </w:r>
      <w:r w:rsidRPr="00021E0C">
        <w:rPr>
          <w:sz w:val="24"/>
          <w:szCs w:val="24"/>
        </w:rPr>
        <w:fldChar w:fldCharType="begin"/>
      </w:r>
      <w:r w:rsidRPr="00021E0C">
        <w:rPr>
          <w:sz w:val="24"/>
          <w:szCs w:val="24"/>
        </w:rPr>
        <w:instrText xml:space="preserve"> SEQ Table \* ARABIC </w:instrText>
      </w:r>
      <w:r w:rsidRPr="00021E0C">
        <w:rPr>
          <w:sz w:val="24"/>
          <w:szCs w:val="24"/>
        </w:rPr>
        <w:fldChar w:fldCharType="separate"/>
      </w:r>
      <w:r w:rsidRPr="00021E0C">
        <w:rPr>
          <w:noProof/>
          <w:sz w:val="24"/>
          <w:szCs w:val="24"/>
        </w:rPr>
        <w:t>1</w:t>
      </w:r>
      <w:r w:rsidRPr="00021E0C">
        <w:rPr>
          <w:noProof/>
          <w:sz w:val="24"/>
          <w:szCs w:val="24"/>
        </w:rPr>
        <w:fldChar w:fldCharType="end"/>
      </w:r>
      <w:r w:rsidRPr="00021E0C">
        <w:rPr>
          <w:sz w:val="24"/>
          <w:szCs w:val="24"/>
        </w:rPr>
        <w:t xml:space="preserve"> - Labor Cost Estimates</w:t>
      </w:r>
    </w:p>
    <w:tbl>
      <w:tblPr>
        <w:tblW w:w="5000" w:type="pct"/>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1" w:type="dxa"/>
          <w:right w:w="101" w:type="dxa"/>
        </w:tblCellMar>
        <w:tblLook w:val="0000"/>
      </w:tblPr>
      <w:tblGrid>
        <w:gridCol w:w="3770"/>
        <w:gridCol w:w="1441"/>
        <w:gridCol w:w="1480"/>
        <w:gridCol w:w="2651"/>
      </w:tblGrid>
      <w:tr w14:paraId="41628B6E" w14:textId="77777777">
        <w:tblPrEx>
          <w:tblW w:w="5000" w:type="pct"/>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1" w:type="dxa"/>
            <w:right w:w="101" w:type="dxa"/>
          </w:tblCellMar>
          <w:tblLook w:val="0000"/>
        </w:tblPrEx>
        <w:trPr>
          <w:cantSplit/>
          <w:trHeight w:val="471"/>
        </w:trPr>
        <w:tc>
          <w:tcPr>
            <w:tcW w:w="2018" w:type="pct"/>
            <w:tcBorders>
              <w:top w:val="single" w:sz="7" w:space="0" w:color="000000"/>
              <w:left w:val="single" w:sz="7" w:space="0" w:color="000000"/>
              <w:bottom w:val="single" w:sz="7" w:space="0" w:color="000000"/>
              <w:right w:val="single" w:sz="7" w:space="0" w:color="000000"/>
            </w:tcBorders>
            <w:shd w:val="clear" w:color="auto" w:fill="B4C6E7" w:themeFill="accent1" w:themeFillTint="66"/>
          </w:tcPr>
          <w:p w:rsidR="00FC6F76" w:rsidRPr="00021E0C" w14:paraId="7D957667"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b/>
              </w:rPr>
            </w:pPr>
            <w:r w:rsidRPr="00021E0C">
              <w:rPr>
                <w:b/>
              </w:rPr>
              <w:t>Occupation</w:t>
            </w:r>
          </w:p>
        </w:tc>
        <w:tc>
          <w:tcPr>
            <w:tcW w:w="771" w:type="pct"/>
            <w:tcBorders>
              <w:top w:val="single" w:sz="7" w:space="0" w:color="000000"/>
              <w:left w:val="single" w:sz="7" w:space="0" w:color="000000"/>
              <w:bottom w:val="single" w:sz="7" w:space="0" w:color="000000"/>
              <w:right w:val="single" w:sz="7" w:space="0" w:color="000000"/>
            </w:tcBorders>
            <w:shd w:val="clear" w:color="auto" w:fill="B4C6E7" w:themeFill="accent1" w:themeFillTint="66"/>
          </w:tcPr>
          <w:p w:rsidR="00FC6F76" w:rsidRPr="00021E0C" w14:paraId="69EC3BDC"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b/>
              </w:rPr>
            </w:pPr>
            <w:r w:rsidRPr="00021E0C">
              <w:rPr>
                <w:b/>
              </w:rPr>
              <w:t>SOC Code Number</w:t>
            </w:r>
          </w:p>
        </w:tc>
        <w:tc>
          <w:tcPr>
            <w:tcW w:w="792" w:type="pct"/>
            <w:tcBorders>
              <w:top w:val="single" w:sz="7" w:space="0" w:color="000000"/>
              <w:left w:val="single" w:sz="7" w:space="0" w:color="000000"/>
              <w:bottom w:val="single" w:sz="7" w:space="0" w:color="000000"/>
              <w:right w:val="single" w:sz="7" w:space="0" w:color="000000"/>
            </w:tcBorders>
            <w:shd w:val="clear" w:color="auto" w:fill="B4C6E7" w:themeFill="accent1" w:themeFillTint="66"/>
          </w:tcPr>
          <w:p w:rsidR="00FC6F76" w:rsidRPr="00021E0C" w14:paraId="26C15D3C"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b/>
              </w:rPr>
            </w:pPr>
            <w:r w:rsidRPr="00021E0C">
              <w:rPr>
                <w:b/>
              </w:rPr>
              <w:t>Mean Hourly Rate</w:t>
            </w:r>
          </w:p>
        </w:tc>
        <w:tc>
          <w:tcPr>
            <w:tcW w:w="1419" w:type="pct"/>
            <w:tcBorders>
              <w:top w:val="single" w:sz="7" w:space="0" w:color="000000"/>
              <w:left w:val="single" w:sz="7" w:space="0" w:color="000000"/>
              <w:bottom w:val="single" w:sz="7" w:space="0" w:color="000000"/>
              <w:right w:val="single" w:sz="7" w:space="0" w:color="000000"/>
            </w:tcBorders>
            <w:shd w:val="clear" w:color="auto" w:fill="B4C6E7" w:themeFill="accent1" w:themeFillTint="66"/>
          </w:tcPr>
          <w:p w:rsidR="00FC6F76" w:rsidRPr="00021E0C" w14:paraId="6322995E"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b/>
              </w:rPr>
            </w:pPr>
            <w:r w:rsidRPr="00021E0C">
              <w:rPr>
                <w:b/>
              </w:rPr>
              <w:t>Adjusted Mean Hourly Rate (Including Benefits and Overhead)</w:t>
            </w:r>
          </w:p>
        </w:tc>
      </w:tr>
      <w:tr w14:paraId="20D1C313" w14:textId="77777777">
        <w:tblPrEx>
          <w:tblW w:w="5000" w:type="pct"/>
          <w:tblCellMar>
            <w:left w:w="101" w:type="dxa"/>
            <w:right w:w="101" w:type="dxa"/>
          </w:tblCellMar>
          <w:tblLook w:val="0000"/>
        </w:tblPrEx>
        <w:trPr>
          <w:cantSplit/>
          <w:trHeight w:val="288"/>
        </w:trPr>
        <w:tc>
          <w:tcPr>
            <w:tcW w:w="2018" w:type="pct"/>
            <w:tcBorders>
              <w:top w:val="single" w:sz="7" w:space="0" w:color="000000"/>
              <w:left w:val="single" w:sz="7" w:space="0" w:color="000000"/>
              <w:bottom w:val="single" w:sz="7" w:space="0" w:color="000000"/>
              <w:right w:val="single" w:sz="7" w:space="0" w:color="000000"/>
            </w:tcBorders>
          </w:tcPr>
          <w:p w:rsidR="00FC6F76" w:rsidRPr="00021E0C" w14:paraId="7C8BE475"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color w:val="000000"/>
              </w:rPr>
            </w:pPr>
            <w:r w:rsidRPr="00021E0C">
              <w:rPr>
                <w:color w:val="000000"/>
              </w:rPr>
              <w:t>Mechanical Engineers</w:t>
            </w:r>
          </w:p>
        </w:tc>
        <w:tc>
          <w:tcPr>
            <w:tcW w:w="771" w:type="pct"/>
            <w:tcBorders>
              <w:top w:val="single" w:sz="7" w:space="0" w:color="000000"/>
              <w:left w:val="single" w:sz="7" w:space="0" w:color="000000"/>
              <w:bottom w:val="single" w:sz="7" w:space="0" w:color="000000"/>
              <w:right w:val="single" w:sz="7" w:space="0" w:color="000000"/>
            </w:tcBorders>
          </w:tcPr>
          <w:p w:rsidR="00FC6F76" w:rsidRPr="00021E0C" w14:paraId="1DC8531E"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color w:val="000000"/>
              </w:rPr>
            </w:pPr>
            <w:r w:rsidRPr="00021E0C">
              <w:rPr>
                <w:color w:val="000000"/>
              </w:rPr>
              <w:t>17-2141</w:t>
            </w:r>
          </w:p>
        </w:tc>
        <w:tc>
          <w:tcPr>
            <w:tcW w:w="792" w:type="pct"/>
            <w:tcBorders>
              <w:top w:val="single" w:sz="7" w:space="0" w:color="000000"/>
              <w:left w:val="single" w:sz="7" w:space="0" w:color="000000"/>
              <w:bottom w:val="single" w:sz="7" w:space="0" w:color="000000"/>
              <w:right w:val="single" w:sz="7" w:space="0" w:color="000000"/>
            </w:tcBorders>
          </w:tcPr>
          <w:p w:rsidR="00FC6F76" w:rsidRPr="00021E0C" w14:paraId="29296E0E"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color w:val="000000"/>
              </w:rPr>
            </w:pPr>
            <w:r w:rsidRPr="00021E0C">
              <w:rPr>
                <w:color w:val="000000"/>
              </w:rPr>
              <w:t>$45.17</w:t>
            </w:r>
          </w:p>
        </w:tc>
        <w:tc>
          <w:tcPr>
            <w:tcW w:w="1419" w:type="pct"/>
            <w:tcBorders>
              <w:top w:val="single" w:sz="7" w:space="0" w:color="000000"/>
              <w:left w:val="single" w:sz="7" w:space="0" w:color="000000"/>
              <w:bottom w:val="single" w:sz="7" w:space="0" w:color="000000"/>
              <w:right w:val="single" w:sz="7" w:space="0" w:color="000000"/>
            </w:tcBorders>
          </w:tcPr>
          <w:p w:rsidR="00FC6F76" w:rsidRPr="00021E0C" w14:paraId="356FE5DB"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color w:val="000000"/>
              </w:rPr>
            </w:pPr>
            <w:r w:rsidRPr="00021E0C">
              <w:rPr>
                <w:color w:val="000000"/>
              </w:rPr>
              <w:t>$94.86</w:t>
            </w:r>
          </w:p>
        </w:tc>
      </w:tr>
      <w:tr w14:paraId="79CF910E" w14:textId="77777777">
        <w:tblPrEx>
          <w:tblW w:w="5000" w:type="pct"/>
          <w:tblCellMar>
            <w:left w:w="101" w:type="dxa"/>
            <w:right w:w="101" w:type="dxa"/>
          </w:tblCellMar>
          <w:tblLook w:val="0000"/>
        </w:tblPrEx>
        <w:trPr>
          <w:cantSplit/>
          <w:trHeight w:val="288"/>
        </w:trPr>
        <w:tc>
          <w:tcPr>
            <w:tcW w:w="2018" w:type="pct"/>
            <w:tcBorders>
              <w:top w:val="single" w:sz="7" w:space="0" w:color="000000"/>
              <w:left w:val="single" w:sz="7" w:space="0" w:color="000000"/>
              <w:bottom w:val="single" w:sz="7" w:space="0" w:color="000000"/>
              <w:right w:val="single" w:sz="7" w:space="0" w:color="000000"/>
            </w:tcBorders>
          </w:tcPr>
          <w:p w:rsidR="00FC6F76" w:rsidRPr="00021E0C" w14:paraId="2A357271"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color w:val="000000"/>
              </w:rPr>
            </w:pPr>
            <w:r w:rsidRPr="00021E0C">
              <w:rPr>
                <w:color w:val="000000"/>
              </w:rPr>
              <w:t>Engineering Managers</w:t>
            </w:r>
          </w:p>
        </w:tc>
        <w:tc>
          <w:tcPr>
            <w:tcW w:w="771" w:type="pct"/>
            <w:tcBorders>
              <w:top w:val="single" w:sz="7" w:space="0" w:color="000000"/>
              <w:left w:val="single" w:sz="7" w:space="0" w:color="000000"/>
              <w:bottom w:val="single" w:sz="7" w:space="0" w:color="000000"/>
              <w:right w:val="single" w:sz="7" w:space="0" w:color="000000"/>
            </w:tcBorders>
          </w:tcPr>
          <w:p w:rsidR="00FC6F76" w:rsidRPr="00021E0C" w14:paraId="5F7417EA"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color w:val="000000"/>
              </w:rPr>
            </w:pPr>
            <w:r w:rsidRPr="00021E0C">
              <w:rPr>
                <w:color w:val="000000"/>
              </w:rPr>
              <w:t>11-9041</w:t>
            </w:r>
          </w:p>
        </w:tc>
        <w:tc>
          <w:tcPr>
            <w:tcW w:w="792" w:type="pct"/>
            <w:tcBorders>
              <w:top w:val="single" w:sz="7" w:space="0" w:color="000000"/>
              <w:left w:val="single" w:sz="7" w:space="0" w:color="000000"/>
              <w:bottom w:val="single" w:sz="7" w:space="0" w:color="000000"/>
              <w:right w:val="single" w:sz="7" w:space="0" w:color="000000"/>
            </w:tcBorders>
          </w:tcPr>
          <w:p w:rsidR="00FC6F76" w:rsidRPr="00021E0C" w14:paraId="03C65510"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color w:val="000000"/>
              </w:rPr>
            </w:pPr>
            <w:r w:rsidRPr="00021E0C">
              <w:rPr>
                <w:color w:val="000000"/>
              </w:rPr>
              <w:t>$72.53</w:t>
            </w:r>
          </w:p>
        </w:tc>
        <w:tc>
          <w:tcPr>
            <w:tcW w:w="1419" w:type="pct"/>
            <w:tcBorders>
              <w:top w:val="single" w:sz="7" w:space="0" w:color="000000"/>
              <w:left w:val="single" w:sz="7" w:space="0" w:color="000000"/>
              <w:bottom w:val="single" w:sz="7" w:space="0" w:color="000000"/>
              <w:right w:val="single" w:sz="7" w:space="0" w:color="000000"/>
            </w:tcBorders>
          </w:tcPr>
          <w:p w:rsidR="00FC6F76" w:rsidRPr="00021E0C" w14:paraId="6AB9ED40"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color w:val="000000"/>
              </w:rPr>
            </w:pPr>
            <w:r w:rsidRPr="00021E0C">
              <w:rPr>
                <w:color w:val="000000"/>
              </w:rPr>
              <w:t>$152.31</w:t>
            </w:r>
          </w:p>
        </w:tc>
      </w:tr>
      <w:tr w14:paraId="0EFC4EE1" w14:textId="77777777">
        <w:tblPrEx>
          <w:tblW w:w="5000" w:type="pct"/>
          <w:tblCellMar>
            <w:left w:w="101" w:type="dxa"/>
            <w:right w:w="101" w:type="dxa"/>
          </w:tblCellMar>
          <w:tblLook w:val="0000"/>
        </w:tblPrEx>
        <w:trPr>
          <w:cantSplit/>
          <w:trHeight w:val="288"/>
        </w:trPr>
        <w:tc>
          <w:tcPr>
            <w:tcW w:w="2018" w:type="pct"/>
            <w:tcBorders>
              <w:top w:val="single" w:sz="7" w:space="0" w:color="000000"/>
              <w:left w:val="single" w:sz="7" w:space="0" w:color="000000"/>
              <w:bottom w:val="single" w:sz="7" w:space="0" w:color="000000"/>
              <w:right w:val="single" w:sz="7" w:space="0" w:color="000000"/>
            </w:tcBorders>
          </w:tcPr>
          <w:p w:rsidR="00FC6F76" w:rsidRPr="00021E0C" w14:paraId="2AFCBA00"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color w:val="000000"/>
              </w:rPr>
            </w:pPr>
            <w:r w:rsidRPr="00021E0C">
              <w:rPr>
                <w:color w:val="000000"/>
              </w:rPr>
              <w:t>Lawyers</w:t>
            </w:r>
          </w:p>
        </w:tc>
        <w:tc>
          <w:tcPr>
            <w:tcW w:w="771" w:type="pct"/>
            <w:tcBorders>
              <w:top w:val="single" w:sz="7" w:space="0" w:color="000000"/>
              <w:left w:val="single" w:sz="7" w:space="0" w:color="000000"/>
              <w:bottom w:val="single" w:sz="7" w:space="0" w:color="000000"/>
              <w:right w:val="single" w:sz="7" w:space="0" w:color="000000"/>
            </w:tcBorders>
          </w:tcPr>
          <w:p w:rsidR="00FC6F76" w:rsidRPr="00021E0C" w14:paraId="3C786BD7"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color w:val="000000"/>
              </w:rPr>
            </w:pPr>
            <w:r w:rsidRPr="00021E0C">
              <w:rPr>
                <w:color w:val="000000"/>
              </w:rPr>
              <w:t>23-1011</w:t>
            </w:r>
          </w:p>
        </w:tc>
        <w:tc>
          <w:tcPr>
            <w:tcW w:w="792" w:type="pct"/>
            <w:tcBorders>
              <w:top w:val="single" w:sz="7" w:space="0" w:color="000000"/>
              <w:left w:val="single" w:sz="7" w:space="0" w:color="000000"/>
              <w:bottom w:val="single" w:sz="7" w:space="0" w:color="000000"/>
              <w:right w:val="single" w:sz="7" w:space="0" w:color="000000"/>
            </w:tcBorders>
          </w:tcPr>
          <w:p w:rsidR="00FC6F76" w:rsidRPr="00021E0C" w14:paraId="72CDE8C6"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color w:val="000000"/>
              </w:rPr>
            </w:pPr>
            <w:r w:rsidRPr="00021E0C">
              <w:rPr>
                <w:color w:val="000000"/>
              </w:rPr>
              <w:t>$85.75</w:t>
            </w:r>
          </w:p>
        </w:tc>
        <w:tc>
          <w:tcPr>
            <w:tcW w:w="1419" w:type="pct"/>
            <w:tcBorders>
              <w:top w:val="single" w:sz="7" w:space="0" w:color="000000"/>
              <w:left w:val="single" w:sz="7" w:space="0" w:color="000000"/>
              <w:bottom w:val="single" w:sz="7" w:space="0" w:color="000000"/>
              <w:right w:val="single" w:sz="7" w:space="0" w:color="000000"/>
            </w:tcBorders>
          </w:tcPr>
          <w:p w:rsidR="00FC6F76" w:rsidRPr="00021E0C" w14:paraId="6067F3AE"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color w:val="000000"/>
              </w:rPr>
            </w:pPr>
            <w:r w:rsidRPr="00021E0C">
              <w:rPr>
                <w:color w:val="000000"/>
              </w:rPr>
              <w:t>$180.08</w:t>
            </w:r>
          </w:p>
        </w:tc>
      </w:tr>
      <w:tr w14:paraId="61A27DBB" w14:textId="77777777">
        <w:tblPrEx>
          <w:tblW w:w="5000" w:type="pct"/>
          <w:tblCellMar>
            <w:left w:w="101" w:type="dxa"/>
            <w:right w:w="101" w:type="dxa"/>
          </w:tblCellMar>
          <w:tblLook w:val="0000"/>
        </w:tblPrEx>
        <w:trPr>
          <w:cantSplit/>
          <w:trHeight w:val="288"/>
        </w:trPr>
        <w:tc>
          <w:tcPr>
            <w:tcW w:w="2018" w:type="pct"/>
            <w:tcBorders>
              <w:top w:val="single" w:sz="7" w:space="0" w:color="000000"/>
              <w:left w:val="single" w:sz="7" w:space="0" w:color="000000"/>
              <w:bottom w:val="single" w:sz="7" w:space="0" w:color="000000"/>
              <w:right w:val="single" w:sz="7" w:space="0" w:color="000000"/>
            </w:tcBorders>
          </w:tcPr>
          <w:p w:rsidR="00FC6F76" w:rsidRPr="00021E0C" w14:paraId="006ABA1A"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color w:val="000000"/>
              </w:rPr>
            </w:pPr>
            <w:r w:rsidRPr="00021E0C">
              <w:rPr>
                <w:color w:val="000000"/>
              </w:rPr>
              <w:t>Mechanical Engineering Technicians</w:t>
            </w:r>
          </w:p>
        </w:tc>
        <w:tc>
          <w:tcPr>
            <w:tcW w:w="771" w:type="pct"/>
            <w:tcBorders>
              <w:top w:val="single" w:sz="7" w:space="0" w:color="000000"/>
              <w:left w:val="single" w:sz="7" w:space="0" w:color="000000"/>
              <w:bottom w:val="single" w:sz="7" w:space="0" w:color="000000"/>
              <w:right w:val="single" w:sz="7" w:space="0" w:color="000000"/>
            </w:tcBorders>
          </w:tcPr>
          <w:p w:rsidR="00FC6F76" w:rsidRPr="00021E0C" w14:paraId="197218F1"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color w:val="000000"/>
              </w:rPr>
            </w:pPr>
            <w:r w:rsidRPr="00021E0C">
              <w:rPr>
                <w:color w:val="000000"/>
              </w:rPr>
              <w:t>17-3027</w:t>
            </w:r>
          </w:p>
        </w:tc>
        <w:tc>
          <w:tcPr>
            <w:tcW w:w="792" w:type="pct"/>
            <w:tcBorders>
              <w:top w:val="single" w:sz="7" w:space="0" w:color="000000"/>
              <w:left w:val="single" w:sz="7" w:space="0" w:color="000000"/>
              <w:bottom w:val="single" w:sz="7" w:space="0" w:color="000000"/>
              <w:right w:val="single" w:sz="7" w:space="0" w:color="000000"/>
            </w:tcBorders>
          </w:tcPr>
          <w:p w:rsidR="00FC6F76" w:rsidRPr="00021E0C" w14:paraId="49339072"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color w:val="000000"/>
              </w:rPr>
            </w:pPr>
            <w:r w:rsidRPr="00021E0C">
              <w:rPr>
                <w:color w:val="000000"/>
              </w:rPr>
              <w:t>$31.81</w:t>
            </w:r>
          </w:p>
        </w:tc>
        <w:tc>
          <w:tcPr>
            <w:tcW w:w="1419" w:type="pct"/>
            <w:tcBorders>
              <w:top w:val="single" w:sz="7" w:space="0" w:color="000000"/>
              <w:left w:val="single" w:sz="7" w:space="0" w:color="000000"/>
              <w:bottom w:val="single" w:sz="7" w:space="0" w:color="000000"/>
              <w:right w:val="single" w:sz="7" w:space="0" w:color="000000"/>
            </w:tcBorders>
          </w:tcPr>
          <w:p w:rsidR="00FC6F76" w:rsidRPr="00021E0C" w14:paraId="5A3941E9"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color w:val="000000"/>
              </w:rPr>
            </w:pPr>
            <w:r w:rsidRPr="00021E0C">
              <w:rPr>
                <w:color w:val="000000"/>
              </w:rPr>
              <w:t>$66.80</w:t>
            </w:r>
          </w:p>
        </w:tc>
      </w:tr>
      <w:tr w14:paraId="5D2AAC66" w14:textId="77777777">
        <w:tblPrEx>
          <w:tblW w:w="5000" w:type="pct"/>
          <w:tblCellMar>
            <w:left w:w="101" w:type="dxa"/>
            <w:right w:w="101" w:type="dxa"/>
          </w:tblCellMar>
          <w:tblLook w:val="0000"/>
        </w:tblPrEx>
        <w:trPr>
          <w:cantSplit/>
          <w:trHeight w:val="288"/>
        </w:trPr>
        <w:tc>
          <w:tcPr>
            <w:tcW w:w="2018" w:type="pct"/>
            <w:tcBorders>
              <w:top w:val="single" w:sz="7" w:space="0" w:color="000000"/>
              <w:left w:val="single" w:sz="7" w:space="0" w:color="000000"/>
              <w:bottom w:val="single" w:sz="7" w:space="0" w:color="000000"/>
              <w:right w:val="single" w:sz="7" w:space="0" w:color="000000"/>
            </w:tcBorders>
          </w:tcPr>
          <w:p w:rsidR="00FC6F76" w:rsidRPr="00021E0C" w14:paraId="31BE52F7"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color w:val="000000"/>
              </w:rPr>
            </w:pPr>
            <w:r w:rsidRPr="00021E0C">
              <w:rPr>
                <w:color w:val="000000"/>
              </w:rPr>
              <w:t>Computer and Information Analysts</w:t>
            </w:r>
          </w:p>
        </w:tc>
        <w:tc>
          <w:tcPr>
            <w:tcW w:w="771" w:type="pct"/>
            <w:tcBorders>
              <w:top w:val="single" w:sz="7" w:space="0" w:color="000000"/>
              <w:left w:val="single" w:sz="7" w:space="0" w:color="000000"/>
              <w:bottom w:val="single" w:sz="7" w:space="0" w:color="000000"/>
              <w:right w:val="single" w:sz="7" w:space="0" w:color="000000"/>
            </w:tcBorders>
          </w:tcPr>
          <w:p w:rsidR="00FC6F76" w:rsidRPr="00021E0C" w14:paraId="6D819403"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color w:val="000000"/>
              </w:rPr>
            </w:pPr>
            <w:r w:rsidRPr="00021E0C">
              <w:rPr>
                <w:color w:val="000000"/>
              </w:rPr>
              <w:t>15-1210</w:t>
            </w:r>
          </w:p>
        </w:tc>
        <w:tc>
          <w:tcPr>
            <w:tcW w:w="792" w:type="pct"/>
            <w:tcBorders>
              <w:top w:val="single" w:sz="7" w:space="0" w:color="000000"/>
              <w:left w:val="single" w:sz="7" w:space="0" w:color="000000"/>
              <w:bottom w:val="single" w:sz="7" w:space="0" w:color="000000"/>
              <w:right w:val="single" w:sz="7" w:space="0" w:color="000000"/>
            </w:tcBorders>
          </w:tcPr>
          <w:p w:rsidR="00FC6F76" w:rsidRPr="00021E0C" w14:paraId="1F181F78"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color w:val="000000"/>
              </w:rPr>
            </w:pPr>
            <w:r w:rsidRPr="00021E0C">
              <w:rPr>
                <w:color w:val="000000"/>
              </w:rPr>
              <w:t>$43.78</w:t>
            </w:r>
          </w:p>
        </w:tc>
        <w:tc>
          <w:tcPr>
            <w:tcW w:w="1419" w:type="pct"/>
            <w:tcBorders>
              <w:top w:val="single" w:sz="7" w:space="0" w:color="000000"/>
              <w:left w:val="single" w:sz="7" w:space="0" w:color="000000"/>
              <w:bottom w:val="single" w:sz="7" w:space="0" w:color="000000"/>
              <w:right w:val="single" w:sz="7" w:space="0" w:color="000000"/>
            </w:tcBorders>
          </w:tcPr>
          <w:p w:rsidR="00FC6F76" w:rsidRPr="00021E0C" w14:paraId="7B7BF31D"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color w:val="000000"/>
              </w:rPr>
            </w:pPr>
            <w:r w:rsidRPr="00021E0C">
              <w:rPr>
                <w:color w:val="000000"/>
              </w:rPr>
              <w:t>$91.94</w:t>
            </w:r>
          </w:p>
        </w:tc>
      </w:tr>
      <w:tr w14:paraId="4618CE2A" w14:textId="77777777">
        <w:tblPrEx>
          <w:tblW w:w="5000" w:type="pct"/>
          <w:tblCellMar>
            <w:left w:w="101" w:type="dxa"/>
            <w:right w:w="101" w:type="dxa"/>
          </w:tblCellMar>
          <w:tblLook w:val="0000"/>
        </w:tblPrEx>
        <w:trPr>
          <w:cantSplit/>
          <w:trHeight w:val="288"/>
        </w:trPr>
        <w:tc>
          <w:tcPr>
            <w:tcW w:w="2018" w:type="pct"/>
            <w:tcBorders>
              <w:top w:val="single" w:sz="7" w:space="0" w:color="000000"/>
              <w:left w:val="single" w:sz="7" w:space="0" w:color="000000"/>
              <w:bottom w:val="single" w:sz="7" w:space="0" w:color="000000"/>
              <w:right w:val="single" w:sz="7" w:space="0" w:color="000000"/>
            </w:tcBorders>
          </w:tcPr>
          <w:p w:rsidR="00FC6F76" w:rsidRPr="00021E0C" w14:paraId="4924B17A"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color w:val="000000"/>
              </w:rPr>
            </w:pPr>
            <w:r w:rsidRPr="00021E0C">
              <w:rPr>
                <w:color w:val="000000"/>
              </w:rPr>
              <w:t>Secretaries, Except Legal, Medical and Executives</w:t>
            </w:r>
          </w:p>
        </w:tc>
        <w:tc>
          <w:tcPr>
            <w:tcW w:w="771" w:type="pct"/>
            <w:tcBorders>
              <w:top w:val="single" w:sz="7" w:space="0" w:color="000000"/>
              <w:left w:val="single" w:sz="7" w:space="0" w:color="000000"/>
              <w:bottom w:val="single" w:sz="7" w:space="0" w:color="000000"/>
              <w:right w:val="single" w:sz="7" w:space="0" w:color="000000"/>
            </w:tcBorders>
          </w:tcPr>
          <w:p w:rsidR="00FC6F76" w:rsidRPr="00021E0C" w14:paraId="1FB968CB"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color w:val="000000"/>
              </w:rPr>
            </w:pPr>
            <w:r w:rsidRPr="00021E0C">
              <w:rPr>
                <w:color w:val="000000"/>
              </w:rPr>
              <w:t>43-6014</w:t>
            </w:r>
          </w:p>
        </w:tc>
        <w:tc>
          <w:tcPr>
            <w:tcW w:w="792" w:type="pct"/>
            <w:tcBorders>
              <w:top w:val="single" w:sz="7" w:space="0" w:color="000000"/>
              <w:left w:val="single" w:sz="7" w:space="0" w:color="000000"/>
              <w:bottom w:val="single" w:sz="7" w:space="0" w:color="000000"/>
              <w:right w:val="single" w:sz="7" w:space="0" w:color="000000"/>
            </w:tcBorders>
          </w:tcPr>
          <w:p w:rsidR="00FC6F76" w:rsidRPr="00021E0C" w14:paraId="26F5F490"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color w:val="000000"/>
              </w:rPr>
            </w:pPr>
            <w:r w:rsidRPr="00021E0C">
              <w:rPr>
                <w:color w:val="000000"/>
              </w:rPr>
              <w:t>$21.84</w:t>
            </w:r>
          </w:p>
        </w:tc>
        <w:tc>
          <w:tcPr>
            <w:tcW w:w="1419" w:type="pct"/>
            <w:tcBorders>
              <w:top w:val="single" w:sz="7" w:space="0" w:color="000000"/>
              <w:left w:val="single" w:sz="7" w:space="0" w:color="000000"/>
              <w:bottom w:val="single" w:sz="7" w:space="0" w:color="000000"/>
              <w:right w:val="single" w:sz="7" w:space="0" w:color="000000"/>
            </w:tcBorders>
          </w:tcPr>
          <w:p w:rsidR="00FC6F76" w:rsidRPr="00021E0C" w14:paraId="44B3F05C"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color w:val="000000"/>
              </w:rPr>
            </w:pPr>
            <w:r w:rsidRPr="00021E0C">
              <w:rPr>
                <w:color w:val="000000"/>
              </w:rPr>
              <w:t>$45.86</w:t>
            </w:r>
          </w:p>
        </w:tc>
      </w:tr>
      <w:tr w14:paraId="5CDCF878" w14:textId="77777777">
        <w:tblPrEx>
          <w:tblW w:w="5000" w:type="pct"/>
          <w:tblCellMar>
            <w:left w:w="101" w:type="dxa"/>
            <w:right w:w="101" w:type="dxa"/>
          </w:tblCellMar>
          <w:tblLook w:val="0000"/>
        </w:tblPrEx>
        <w:trPr>
          <w:cantSplit/>
          <w:trHeight w:val="288"/>
        </w:trPr>
        <w:tc>
          <w:tcPr>
            <w:tcW w:w="2018" w:type="pct"/>
            <w:tcBorders>
              <w:top w:val="single" w:sz="7" w:space="0" w:color="000000"/>
              <w:left w:val="single" w:sz="7" w:space="0" w:color="000000"/>
              <w:bottom w:val="single" w:sz="7" w:space="0" w:color="000000"/>
              <w:right w:val="single" w:sz="7" w:space="0" w:color="000000"/>
            </w:tcBorders>
          </w:tcPr>
          <w:p w:rsidR="00FC6F76" w:rsidRPr="00021E0C" w14:paraId="40AA0BCE"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color w:val="000000"/>
              </w:rPr>
            </w:pPr>
            <w:r w:rsidRPr="00021E0C">
              <w:rPr>
                <w:color w:val="000000"/>
              </w:rPr>
              <w:t>Mechanical Engineering Technicians</w:t>
            </w:r>
          </w:p>
        </w:tc>
        <w:tc>
          <w:tcPr>
            <w:tcW w:w="771" w:type="pct"/>
            <w:tcBorders>
              <w:top w:val="single" w:sz="7" w:space="0" w:color="000000"/>
              <w:left w:val="single" w:sz="7" w:space="0" w:color="000000"/>
              <w:bottom w:val="single" w:sz="7" w:space="0" w:color="000000"/>
              <w:right w:val="single" w:sz="7" w:space="0" w:color="000000"/>
            </w:tcBorders>
          </w:tcPr>
          <w:p w:rsidR="00FC6F76" w:rsidRPr="00021E0C" w14:paraId="5693C2EA"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color w:val="000000"/>
              </w:rPr>
            </w:pPr>
            <w:r w:rsidRPr="00021E0C">
              <w:rPr>
                <w:color w:val="000000"/>
              </w:rPr>
              <w:t>17-3027</w:t>
            </w:r>
          </w:p>
        </w:tc>
        <w:tc>
          <w:tcPr>
            <w:tcW w:w="792" w:type="pct"/>
            <w:tcBorders>
              <w:top w:val="single" w:sz="7" w:space="0" w:color="000000"/>
              <w:left w:val="single" w:sz="7" w:space="0" w:color="000000"/>
              <w:bottom w:val="single" w:sz="7" w:space="0" w:color="000000"/>
              <w:right w:val="single" w:sz="7" w:space="0" w:color="000000"/>
            </w:tcBorders>
          </w:tcPr>
          <w:p w:rsidR="00FC6F76" w:rsidRPr="00021E0C" w14:paraId="7DA9661E"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color w:val="000000"/>
              </w:rPr>
            </w:pPr>
            <w:r w:rsidRPr="00021E0C">
              <w:rPr>
                <w:color w:val="000000"/>
              </w:rPr>
              <w:t>$31.81</w:t>
            </w:r>
          </w:p>
        </w:tc>
        <w:tc>
          <w:tcPr>
            <w:tcW w:w="1419" w:type="pct"/>
            <w:tcBorders>
              <w:top w:val="single" w:sz="7" w:space="0" w:color="000000"/>
              <w:left w:val="single" w:sz="7" w:space="0" w:color="000000"/>
              <w:bottom w:val="single" w:sz="7" w:space="0" w:color="000000"/>
              <w:right w:val="single" w:sz="7" w:space="0" w:color="000000"/>
            </w:tcBorders>
          </w:tcPr>
          <w:p w:rsidR="00FC6F76" w:rsidRPr="00021E0C" w14:paraId="66BF884E"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color w:val="000000"/>
              </w:rPr>
            </w:pPr>
            <w:r w:rsidRPr="00021E0C">
              <w:rPr>
                <w:color w:val="000000"/>
              </w:rPr>
              <w:t>$66.80</w:t>
            </w:r>
          </w:p>
        </w:tc>
      </w:tr>
    </w:tbl>
    <w:p w:rsidR="00FC6F76" w:rsidRPr="00021E0C" w:rsidP="00FC6F76" w14:paraId="2434EF28" w14:textId="77777777">
      <w:pPr>
        <w:autoSpaceDE/>
        <w:autoSpaceDN/>
        <w:adjustRightInd/>
        <w:spacing w:after="160" w:line="259" w:lineRule="auto"/>
      </w:pPr>
    </w:p>
    <w:p w:rsidR="0023657A" w:rsidRPr="00021E0C" w14:paraId="27825A88" w14:textId="066F68B5">
      <w:pPr>
        <w:autoSpaceDE/>
        <w:autoSpaceDN/>
        <w:adjustRightInd/>
        <w:spacing w:after="160" w:line="259" w:lineRule="auto"/>
      </w:pPr>
      <w:r w:rsidRPr="00021E0C">
        <w:br w:type="page"/>
      </w:r>
    </w:p>
    <w:p w:rsidR="0023657A" w:rsidRPr="00021E0C" w:rsidP="00433630" w14:paraId="24DC75EA" w14:textId="77777777">
      <w:pPr>
        <w:autoSpaceDE/>
        <w:autoSpaceDN/>
        <w:adjustRightInd/>
        <w:spacing w:after="160" w:line="259" w:lineRule="auto"/>
        <w:ind w:left="360"/>
        <w:sectPr w:rsidSect="000A78B1">
          <w:footerReference w:type="default" r:id="rId12"/>
          <w:pgSz w:w="12240" w:h="15840"/>
          <w:pgMar w:top="1440" w:right="1440" w:bottom="1440" w:left="1440" w:header="720" w:footer="720" w:gutter="0"/>
          <w:cols w:space="720"/>
          <w:docGrid w:linePitch="360"/>
        </w:sectPr>
      </w:pPr>
    </w:p>
    <w:p w:rsidR="004A1795" w:rsidRPr="00021E0C" w:rsidP="00D56EC3" w14:paraId="3EE68412" w14:textId="6C32B58F">
      <w:pPr>
        <w:pStyle w:val="Caption"/>
        <w:keepNext/>
        <w:jc w:val="center"/>
        <w:rPr>
          <w:sz w:val="24"/>
          <w:szCs w:val="24"/>
        </w:rPr>
      </w:pPr>
      <w:r w:rsidRPr="00021E0C">
        <w:rPr>
          <w:sz w:val="24"/>
          <w:szCs w:val="24"/>
        </w:rPr>
        <w:t xml:space="preserve">Table </w:t>
      </w:r>
      <w:r w:rsidRPr="00021E0C" w:rsidR="0011064C">
        <w:rPr>
          <w:sz w:val="24"/>
          <w:szCs w:val="24"/>
        </w:rPr>
        <w:fldChar w:fldCharType="begin"/>
      </w:r>
      <w:r w:rsidRPr="00021E0C" w:rsidR="0011064C">
        <w:rPr>
          <w:sz w:val="24"/>
          <w:szCs w:val="24"/>
        </w:rPr>
        <w:instrText xml:space="preserve"> SEQ Table \* ARABIC </w:instrText>
      </w:r>
      <w:r w:rsidRPr="00021E0C" w:rsidR="0011064C">
        <w:rPr>
          <w:sz w:val="24"/>
          <w:szCs w:val="24"/>
        </w:rPr>
        <w:fldChar w:fldCharType="separate"/>
      </w:r>
      <w:r w:rsidRPr="00021E0C" w:rsidR="00BB757D">
        <w:rPr>
          <w:noProof/>
          <w:sz w:val="24"/>
          <w:szCs w:val="24"/>
        </w:rPr>
        <w:t>2</w:t>
      </w:r>
      <w:r w:rsidRPr="00021E0C" w:rsidR="0011064C">
        <w:rPr>
          <w:noProof/>
          <w:sz w:val="24"/>
          <w:szCs w:val="24"/>
        </w:rPr>
        <w:fldChar w:fldCharType="end"/>
      </w:r>
      <w:r w:rsidRPr="00021E0C">
        <w:rPr>
          <w:sz w:val="24"/>
          <w:szCs w:val="24"/>
        </w:rPr>
        <w:t xml:space="preserve"> - Estimated Burden and Cost to Respondents</w:t>
      </w:r>
      <w:r w:rsidRPr="00021E0C" w:rsidR="00A757D8">
        <w:rPr>
          <w:sz w:val="24"/>
          <w:szCs w:val="24"/>
        </w:rPr>
        <w:t xml:space="preserve"> - Hours</w:t>
      </w:r>
    </w:p>
    <w:tbl>
      <w:tblPr>
        <w:tblW w:w="13112" w:type="dxa"/>
        <w:tblLayout w:type="fixed"/>
        <w:tblLook w:val="04A0"/>
      </w:tblPr>
      <w:tblGrid>
        <w:gridCol w:w="1217"/>
        <w:gridCol w:w="938"/>
        <w:gridCol w:w="900"/>
        <w:gridCol w:w="720"/>
        <w:gridCol w:w="1080"/>
        <w:gridCol w:w="810"/>
        <w:gridCol w:w="810"/>
        <w:gridCol w:w="720"/>
        <w:gridCol w:w="810"/>
        <w:gridCol w:w="720"/>
        <w:gridCol w:w="630"/>
        <w:gridCol w:w="1170"/>
        <w:gridCol w:w="900"/>
        <w:gridCol w:w="720"/>
        <w:gridCol w:w="967"/>
      </w:tblGrid>
      <w:tr w14:paraId="2A8FCCC1" w14:textId="77777777" w:rsidTr="00F212E5">
        <w:tblPrEx>
          <w:tblW w:w="13112" w:type="dxa"/>
          <w:tblLayout w:type="fixed"/>
          <w:tblLook w:val="04A0"/>
        </w:tblPrEx>
        <w:trPr>
          <w:trHeight w:val="300"/>
        </w:trPr>
        <w:tc>
          <w:tcPr>
            <w:tcW w:w="1217" w:type="dxa"/>
            <w:vMerge w:val="restart"/>
            <w:tcBorders>
              <w:top w:val="single" w:sz="4" w:space="0" w:color="auto"/>
              <w:left w:val="single" w:sz="4" w:space="0" w:color="auto"/>
              <w:bottom w:val="single" w:sz="8" w:space="0" w:color="000000" w:themeColor="text1"/>
              <w:right w:val="single" w:sz="4" w:space="0" w:color="auto"/>
            </w:tcBorders>
            <w:shd w:val="clear" w:color="auto" w:fill="D9E1F2"/>
            <w:vAlign w:val="center"/>
            <w:hideMark/>
          </w:tcPr>
          <w:p w:rsidR="000A78B1" w:rsidRPr="00F212E5" w:rsidP="000A78B1" w14:paraId="767DF690" w14:textId="77777777">
            <w:pPr>
              <w:autoSpaceDE/>
              <w:autoSpaceDN/>
              <w:adjustRightInd/>
              <w:jc w:val="center"/>
              <w:rPr>
                <w:rFonts w:ascii="Calibri" w:hAnsi="Calibri" w:cs="Calibri"/>
                <w:color w:val="000000"/>
                <w:sz w:val="18"/>
                <w:szCs w:val="18"/>
              </w:rPr>
            </w:pPr>
            <w:r w:rsidRPr="00F212E5">
              <w:rPr>
                <w:rFonts w:ascii="Calibri" w:hAnsi="Calibri" w:cs="Calibri"/>
                <w:color w:val="000000"/>
                <w:sz w:val="18"/>
                <w:szCs w:val="18"/>
              </w:rPr>
              <w:t>Information Collection Activity</w:t>
            </w:r>
          </w:p>
        </w:tc>
        <w:tc>
          <w:tcPr>
            <w:tcW w:w="8138" w:type="dxa"/>
            <w:gridSpan w:val="10"/>
            <w:tcBorders>
              <w:top w:val="single" w:sz="4" w:space="0" w:color="auto"/>
              <w:left w:val="single" w:sz="4" w:space="0" w:color="auto"/>
              <w:bottom w:val="single" w:sz="4" w:space="0" w:color="auto"/>
              <w:right w:val="single" w:sz="4" w:space="0" w:color="auto"/>
            </w:tcBorders>
            <w:shd w:val="clear" w:color="auto" w:fill="D9E1F2"/>
            <w:hideMark/>
          </w:tcPr>
          <w:p w:rsidR="000A78B1" w:rsidRPr="00F212E5" w:rsidP="000A78B1" w14:paraId="5968E5ED" w14:textId="77777777">
            <w:pPr>
              <w:autoSpaceDE/>
              <w:autoSpaceDN/>
              <w:adjustRightInd/>
              <w:jc w:val="center"/>
              <w:rPr>
                <w:rFonts w:ascii="Calibri" w:hAnsi="Calibri" w:cs="Calibri"/>
                <w:color w:val="000000"/>
                <w:sz w:val="18"/>
                <w:szCs w:val="18"/>
              </w:rPr>
            </w:pPr>
            <w:r w:rsidRPr="00F212E5">
              <w:rPr>
                <w:rFonts w:ascii="Calibri" w:hAnsi="Calibri" w:cs="Calibri"/>
                <w:color w:val="000000"/>
                <w:sz w:val="18"/>
                <w:szCs w:val="18"/>
              </w:rPr>
              <w:t>Burden and Cost Per Application</w:t>
            </w:r>
          </w:p>
        </w:tc>
        <w:tc>
          <w:tcPr>
            <w:tcW w:w="3757" w:type="dxa"/>
            <w:gridSpan w:val="4"/>
            <w:tcBorders>
              <w:top w:val="single" w:sz="4" w:space="0" w:color="auto"/>
              <w:left w:val="single" w:sz="4" w:space="0" w:color="auto"/>
              <w:bottom w:val="nil"/>
              <w:right w:val="single" w:sz="4" w:space="0" w:color="auto"/>
            </w:tcBorders>
            <w:shd w:val="clear" w:color="auto" w:fill="D9E1F2"/>
            <w:hideMark/>
          </w:tcPr>
          <w:p w:rsidR="000A78B1" w:rsidRPr="00F212E5" w:rsidP="000A78B1" w14:paraId="2849996E" w14:textId="77777777">
            <w:pPr>
              <w:autoSpaceDE/>
              <w:autoSpaceDN/>
              <w:adjustRightInd/>
              <w:jc w:val="center"/>
              <w:rPr>
                <w:rFonts w:ascii="Calibri" w:hAnsi="Calibri" w:cs="Calibri"/>
                <w:color w:val="000000"/>
                <w:sz w:val="18"/>
                <w:szCs w:val="18"/>
              </w:rPr>
            </w:pPr>
            <w:r w:rsidRPr="00F212E5">
              <w:rPr>
                <w:rFonts w:ascii="Calibri" w:hAnsi="Calibri" w:cs="Calibri"/>
                <w:color w:val="000000"/>
                <w:sz w:val="18"/>
                <w:szCs w:val="18"/>
              </w:rPr>
              <w:t>Total Burden and Cost</w:t>
            </w:r>
          </w:p>
        </w:tc>
      </w:tr>
      <w:tr w14:paraId="1AE6D0E7" w14:textId="77777777" w:rsidTr="00F212E5">
        <w:tblPrEx>
          <w:tblW w:w="13112" w:type="dxa"/>
          <w:tblLayout w:type="fixed"/>
          <w:tblLook w:val="04A0"/>
        </w:tblPrEx>
        <w:trPr>
          <w:trHeight w:val="1335"/>
        </w:trPr>
        <w:tc>
          <w:tcPr>
            <w:tcW w:w="1217" w:type="dxa"/>
            <w:vMerge/>
            <w:tcBorders>
              <w:left w:val="single" w:sz="4" w:space="0" w:color="auto"/>
            </w:tcBorders>
            <w:vAlign w:val="center"/>
            <w:hideMark/>
          </w:tcPr>
          <w:p w:rsidR="000A78B1" w:rsidRPr="00F212E5" w:rsidP="000A78B1" w14:paraId="69AEE000" w14:textId="77777777">
            <w:pPr>
              <w:autoSpaceDE/>
              <w:autoSpaceDN/>
              <w:adjustRightInd/>
              <w:rPr>
                <w:rFonts w:ascii="Calibri" w:hAnsi="Calibri" w:cs="Calibri"/>
                <w:color w:val="000000"/>
                <w:sz w:val="18"/>
                <w:szCs w:val="18"/>
              </w:rPr>
            </w:pPr>
          </w:p>
        </w:tc>
        <w:tc>
          <w:tcPr>
            <w:tcW w:w="938" w:type="dxa"/>
            <w:tcBorders>
              <w:top w:val="nil"/>
              <w:left w:val="single" w:sz="4" w:space="0" w:color="auto"/>
              <w:bottom w:val="single" w:sz="4" w:space="0" w:color="auto"/>
              <w:right w:val="single" w:sz="4" w:space="0" w:color="auto"/>
            </w:tcBorders>
            <w:shd w:val="clear" w:color="auto" w:fill="D9E1F2"/>
            <w:vAlign w:val="bottom"/>
            <w:hideMark/>
          </w:tcPr>
          <w:p w:rsidR="000A78B1" w:rsidRPr="00F212E5" w:rsidP="000A78B1" w14:paraId="74D462AC" w14:textId="77777777">
            <w:pPr>
              <w:autoSpaceDE/>
              <w:autoSpaceDN/>
              <w:adjustRightInd/>
              <w:jc w:val="center"/>
              <w:rPr>
                <w:rFonts w:ascii="Calibri" w:hAnsi="Calibri" w:cs="Calibri"/>
                <w:color w:val="000000"/>
                <w:sz w:val="18"/>
                <w:szCs w:val="18"/>
              </w:rPr>
            </w:pPr>
            <w:r w:rsidRPr="00F212E5">
              <w:rPr>
                <w:rFonts w:ascii="Calibri" w:hAnsi="Calibri" w:cs="Calibri"/>
                <w:color w:val="000000"/>
                <w:sz w:val="18"/>
                <w:szCs w:val="18"/>
              </w:rPr>
              <w:t>Engineer hourly rate</w:t>
            </w:r>
          </w:p>
        </w:tc>
        <w:tc>
          <w:tcPr>
            <w:tcW w:w="900" w:type="dxa"/>
            <w:tcBorders>
              <w:top w:val="nil"/>
              <w:left w:val="nil"/>
              <w:bottom w:val="single" w:sz="4" w:space="0" w:color="auto"/>
              <w:right w:val="single" w:sz="4" w:space="0" w:color="auto"/>
            </w:tcBorders>
            <w:shd w:val="clear" w:color="auto" w:fill="D9E1F2"/>
            <w:vAlign w:val="bottom"/>
            <w:hideMark/>
          </w:tcPr>
          <w:p w:rsidR="000A78B1" w:rsidRPr="00F212E5" w:rsidP="000A78B1" w14:paraId="12DA584C" w14:textId="77777777">
            <w:pPr>
              <w:autoSpaceDE/>
              <w:autoSpaceDN/>
              <w:adjustRightInd/>
              <w:jc w:val="center"/>
              <w:rPr>
                <w:rFonts w:ascii="Calibri" w:hAnsi="Calibri" w:cs="Calibri"/>
                <w:color w:val="000000"/>
                <w:sz w:val="18"/>
                <w:szCs w:val="18"/>
              </w:rPr>
            </w:pPr>
            <w:r w:rsidRPr="00F212E5">
              <w:rPr>
                <w:rFonts w:ascii="Calibri" w:hAnsi="Calibri" w:cs="Calibri"/>
                <w:color w:val="000000"/>
                <w:sz w:val="18"/>
                <w:szCs w:val="18"/>
              </w:rPr>
              <w:t>Manager hourly rate</w:t>
            </w:r>
          </w:p>
        </w:tc>
        <w:tc>
          <w:tcPr>
            <w:tcW w:w="720" w:type="dxa"/>
            <w:tcBorders>
              <w:top w:val="nil"/>
              <w:left w:val="nil"/>
              <w:bottom w:val="single" w:sz="4" w:space="0" w:color="auto"/>
              <w:right w:val="single" w:sz="4" w:space="0" w:color="auto"/>
            </w:tcBorders>
            <w:shd w:val="clear" w:color="auto" w:fill="D9E1F2"/>
            <w:vAlign w:val="bottom"/>
            <w:hideMark/>
          </w:tcPr>
          <w:p w:rsidR="000A78B1" w:rsidRPr="00F212E5" w:rsidP="000A78B1" w14:paraId="5D7A202B" w14:textId="77777777">
            <w:pPr>
              <w:autoSpaceDE/>
              <w:autoSpaceDN/>
              <w:adjustRightInd/>
              <w:jc w:val="center"/>
              <w:rPr>
                <w:rFonts w:ascii="Calibri" w:hAnsi="Calibri" w:cs="Calibri"/>
                <w:color w:val="000000"/>
                <w:sz w:val="18"/>
                <w:szCs w:val="18"/>
              </w:rPr>
            </w:pPr>
            <w:r w:rsidRPr="00F212E5">
              <w:rPr>
                <w:rFonts w:ascii="Calibri" w:hAnsi="Calibri" w:cs="Calibri"/>
                <w:color w:val="000000"/>
                <w:sz w:val="18"/>
                <w:szCs w:val="18"/>
              </w:rPr>
              <w:t>Legal hourly rate</w:t>
            </w:r>
          </w:p>
        </w:tc>
        <w:tc>
          <w:tcPr>
            <w:tcW w:w="1080" w:type="dxa"/>
            <w:tcBorders>
              <w:top w:val="nil"/>
              <w:left w:val="nil"/>
              <w:bottom w:val="single" w:sz="4" w:space="0" w:color="auto"/>
              <w:right w:val="single" w:sz="4" w:space="0" w:color="auto"/>
            </w:tcBorders>
            <w:shd w:val="clear" w:color="auto" w:fill="D9E1F2"/>
            <w:vAlign w:val="bottom"/>
            <w:hideMark/>
          </w:tcPr>
          <w:p w:rsidR="000A78B1" w:rsidRPr="00F212E5" w:rsidP="000A78B1" w14:paraId="3130F32E" w14:textId="4D6A67F2">
            <w:pPr>
              <w:autoSpaceDE/>
              <w:autoSpaceDN/>
              <w:adjustRightInd/>
              <w:jc w:val="center"/>
              <w:rPr>
                <w:rFonts w:ascii="Calibri" w:hAnsi="Calibri" w:cs="Calibri"/>
                <w:color w:val="000000"/>
                <w:sz w:val="18"/>
                <w:szCs w:val="18"/>
              </w:rPr>
            </w:pPr>
            <w:r w:rsidRPr="00F212E5">
              <w:rPr>
                <w:rFonts w:ascii="Calibri" w:hAnsi="Calibri" w:cs="Calibri"/>
                <w:color w:val="000000"/>
                <w:sz w:val="18"/>
                <w:szCs w:val="18"/>
              </w:rPr>
              <w:t xml:space="preserve">Mechanical Engineer </w:t>
            </w:r>
            <w:r w:rsidRPr="00F212E5" w:rsidR="00C04E89">
              <w:rPr>
                <w:rFonts w:ascii="Calibri" w:hAnsi="Calibri" w:cs="Calibri"/>
                <w:color w:val="000000"/>
                <w:sz w:val="18"/>
                <w:szCs w:val="18"/>
              </w:rPr>
              <w:t>Technical</w:t>
            </w:r>
            <w:r w:rsidRPr="00F212E5">
              <w:rPr>
                <w:rFonts w:ascii="Calibri" w:hAnsi="Calibri" w:cs="Calibri"/>
                <w:color w:val="000000"/>
                <w:sz w:val="18"/>
                <w:szCs w:val="18"/>
              </w:rPr>
              <w:t xml:space="preserve"> hourly rate</w:t>
            </w:r>
          </w:p>
        </w:tc>
        <w:tc>
          <w:tcPr>
            <w:tcW w:w="810" w:type="dxa"/>
            <w:tcBorders>
              <w:top w:val="nil"/>
              <w:left w:val="nil"/>
              <w:bottom w:val="single" w:sz="4" w:space="0" w:color="auto"/>
              <w:right w:val="single" w:sz="4" w:space="0" w:color="auto"/>
            </w:tcBorders>
            <w:shd w:val="clear" w:color="auto" w:fill="D9E1F2"/>
            <w:vAlign w:val="bottom"/>
            <w:hideMark/>
          </w:tcPr>
          <w:p w:rsidR="000A78B1" w:rsidRPr="00F212E5" w:rsidP="000A78B1" w14:paraId="3DEDF238" w14:textId="77777777">
            <w:pPr>
              <w:autoSpaceDE/>
              <w:autoSpaceDN/>
              <w:adjustRightInd/>
              <w:jc w:val="center"/>
              <w:rPr>
                <w:rFonts w:ascii="Calibri" w:hAnsi="Calibri" w:cs="Calibri"/>
                <w:color w:val="000000"/>
                <w:sz w:val="18"/>
                <w:szCs w:val="18"/>
              </w:rPr>
            </w:pPr>
            <w:r w:rsidRPr="00F212E5">
              <w:rPr>
                <w:rFonts w:ascii="Calibri" w:hAnsi="Calibri" w:cs="Calibri"/>
                <w:color w:val="000000"/>
                <w:sz w:val="18"/>
                <w:szCs w:val="18"/>
              </w:rPr>
              <w:t>IT Analysts hourly rate</w:t>
            </w:r>
          </w:p>
        </w:tc>
        <w:tc>
          <w:tcPr>
            <w:tcW w:w="810" w:type="dxa"/>
            <w:tcBorders>
              <w:top w:val="nil"/>
              <w:left w:val="nil"/>
              <w:bottom w:val="single" w:sz="4" w:space="0" w:color="auto"/>
              <w:right w:val="single" w:sz="4" w:space="0" w:color="auto"/>
            </w:tcBorders>
            <w:shd w:val="clear" w:color="auto" w:fill="D9E1F2"/>
            <w:vAlign w:val="bottom"/>
            <w:hideMark/>
          </w:tcPr>
          <w:p w:rsidR="000A78B1" w:rsidRPr="00F212E5" w:rsidP="000A78B1" w14:paraId="6C722542" w14:textId="77777777">
            <w:pPr>
              <w:autoSpaceDE/>
              <w:autoSpaceDN/>
              <w:adjustRightInd/>
              <w:jc w:val="center"/>
              <w:rPr>
                <w:rFonts w:ascii="Calibri" w:hAnsi="Calibri" w:cs="Calibri"/>
                <w:color w:val="000000"/>
                <w:sz w:val="18"/>
                <w:szCs w:val="18"/>
              </w:rPr>
            </w:pPr>
            <w:r w:rsidRPr="00F212E5">
              <w:rPr>
                <w:rFonts w:ascii="Calibri" w:hAnsi="Calibri" w:cs="Calibri"/>
                <w:color w:val="000000"/>
                <w:sz w:val="18"/>
                <w:szCs w:val="18"/>
              </w:rPr>
              <w:t>Clerical hourly rate</w:t>
            </w:r>
          </w:p>
        </w:tc>
        <w:tc>
          <w:tcPr>
            <w:tcW w:w="720" w:type="dxa"/>
            <w:vMerge w:val="restart"/>
            <w:tcBorders>
              <w:top w:val="nil"/>
              <w:left w:val="single" w:sz="4" w:space="0" w:color="auto"/>
              <w:bottom w:val="single" w:sz="8" w:space="0" w:color="000000" w:themeColor="text1"/>
              <w:right w:val="single" w:sz="4" w:space="0" w:color="auto"/>
            </w:tcBorders>
            <w:shd w:val="clear" w:color="auto" w:fill="D9E1F2"/>
            <w:vAlign w:val="center"/>
            <w:hideMark/>
          </w:tcPr>
          <w:p w:rsidR="000A78B1" w:rsidRPr="00F212E5" w:rsidP="000A78B1" w14:paraId="720C49C9" w14:textId="77777777">
            <w:pPr>
              <w:autoSpaceDE/>
              <w:autoSpaceDN/>
              <w:adjustRightInd/>
              <w:jc w:val="center"/>
              <w:rPr>
                <w:rFonts w:ascii="Calibri" w:hAnsi="Calibri" w:cs="Calibri"/>
                <w:color w:val="000000"/>
                <w:sz w:val="18"/>
                <w:szCs w:val="18"/>
              </w:rPr>
            </w:pPr>
            <w:r w:rsidRPr="00F212E5">
              <w:rPr>
                <w:rFonts w:ascii="Calibri" w:hAnsi="Calibri" w:cs="Calibri"/>
                <w:color w:val="000000"/>
                <w:sz w:val="18"/>
                <w:szCs w:val="18"/>
              </w:rPr>
              <w:t>Total Labor Hours</w:t>
            </w:r>
          </w:p>
        </w:tc>
        <w:tc>
          <w:tcPr>
            <w:tcW w:w="810" w:type="dxa"/>
            <w:vMerge w:val="restart"/>
            <w:tcBorders>
              <w:top w:val="nil"/>
              <w:left w:val="single" w:sz="4" w:space="0" w:color="auto"/>
              <w:bottom w:val="single" w:sz="8" w:space="0" w:color="000000" w:themeColor="text1"/>
              <w:right w:val="single" w:sz="4" w:space="0" w:color="auto"/>
            </w:tcBorders>
            <w:shd w:val="clear" w:color="auto" w:fill="D9E1F2"/>
            <w:vAlign w:val="center"/>
            <w:hideMark/>
          </w:tcPr>
          <w:p w:rsidR="000A78B1" w:rsidRPr="00F212E5" w:rsidP="000A78B1" w14:paraId="5C77AB1D" w14:textId="77777777">
            <w:pPr>
              <w:autoSpaceDE/>
              <w:autoSpaceDN/>
              <w:adjustRightInd/>
              <w:jc w:val="center"/>
              <w:rPr>
                <w:rFonts w:ascii="Calibri" w:hAnsi="Calibri" w:cs="Calibri"/>
                <w:color w:val="000000"/>
                <w:sz w:val="18"/>
                <w:szCs w:val="18"/>
              </w:rPr>
            </w:pPr>
            <w:r w:rsidRPr="00F212E5">
              <w:rPr>
                <w:rFonts w:ascii="Calibri" w:hAnsi="Calibri" w:cs="Calibri"/>
                <w:color w:val="000000"/>
                <w:sz w:val="18"/>
                <w:szCs w:val="18"/>
              </w:rPr>
              <w:t>Total Labor Costs</w:t>
            </w:r>
          </w:p>
        </w:tc>
        <w:tc>
          <w:tcPr>
            <w:tcW w:w="720" w:type="dxa"/>
            <w:vMerge w:val="restart"/>
            <w:tcBorders>
              <w:top w:val="nil"/>
              <w:left w:val="single" w:sz="4" w:space="0" w:color="auto"/>
              <w:bottom w:val="single" w:sz="8" w:space="0" w:color="000000" w:themeColor="text1"/>
              <w:right w:val="single" w:sz="4" w:space="0" w:color="auto"/>
            </w:tcBorders>
            <w:shd w:val="clear" w:color="auto" w:fill="D9E1F2"/>
            <w:vAlign w:val="center"/>
            <w:hideMark/>
          </w:tcPr>
          <w:p w:rsidR="000A78B1" w:rsidRPr="00F212E5" w:rsidP="000A78B1" w14:paraId="75EC648E" w14:textId="77777777">
            <w:pPr>
              <w:autoSpaceDE/>
              <w:autoSpaceDN/>
              <w:adjustRightInd/>
              <w:jc w:val="center"/>
              <w:rPr>
                <w:rFonts w:ascii="Calibri" w:hAnsi="Calibri" w:cs="Calibri"/>
                <w:color w:val="000000"/>
                <w:sz w:val="18"/>
                <w:szCs w:val="18"/>
              </w:rPr>
            </w:pPr>
            <w:r w:rsidRPr="00F212E5">
              <w:rPr>
                <w:rFonts w:ascii="Calibri" w:hAnsi="Calibri" w:cs="Calibri"/>
                <w:color w:val="000000"/>
                <w:sz w:val="18"/>
                <w:szCs w:val="18"/>
              </w:rPr>
              <w:t>Capital Startup Costs</w:t>
            </w:r>
          </w:p>
        </w:tc>
        <w:tc>
          <w:tcPr>
            <w:tcW w:w="630" w:type="dxa"/>
            <w:vMerge w:val="restart"/>
            <w:tcBorders>
              <w:top w:val="nil"/>
              <w:left w:val="single" w:sz="4" w:space="0" w:color="auto"/>
              <w:bottom w:val="single" w:sz="8" w:space="0" w:color="000000" w:themeColor="text1"/>
              <w:right w:val="single" w:sz="4" w:space="0" w:color="auto"/>
            </w:tcBorders>
            <w:shd w:val="clear" w:color="auto" w:fill="D9E1F2"/>
            <w:vAlign w:val="center"/>
            <w:hideMark/>
          </w:tcPr>
          <w:p w:rsidR="000A78B1" w:rsidRPr="00F212E5" w:rsidP="000A78B1" w14:paraId="08DA8071" w14:textId="77777777">
            <w:pPr>
              <w:autoSpaceDE/>
              <w:autoSpaceDN/>
              <w:adjustRightInd/>
              <w:jc w:val="center"/>
              <w:rPr>
                <w:rFonts w:ascii="Calibri" w:hAnsi="Calibri" w:cs="Calibri"/>
                <w:color w:val="000000"/>
                <w:sz w:val="18"/>
                <w:szCs w:val="18"/>
              </w:rPr>
            </w:pPr>
            <w:r w:rsidRPr="00F212E5">
              <w:rPr>
                <w:rFonts w:ascii="Calibri" w:hAnsi="Calibri" w:cs="Calibri"/>
                <w:color w:val="000000"/>
                <w:sz w:val="18"/>
                <w:szCs w:val="18"/>
              </w:rPr>
              <w:t>O&amp;M Cost</w:t>
            </w:r>
          </w:p>
        </w:tc>
        <w:tc>
          <w:tcPr>
            <w:tcW w:w="1170" w:type="dxa"/>
            <w:vMerge w:val="restart"/>
            <w:tcBorders>
              <w:top w:val="single" w:sz="4" w:space="0" w:color="auto"/>
              <w:left w:val="single" w:sz="4" w:space="0" w:color="auto"/>
              <w:bottom w:val="single" w:sz="8" w:space="0" w:color="000000" w:themeColor="text1"/>
              <w:right w:val="single" w:sz="4" w:space="0" w:color="auto"/>
            </w:tcBorders>
            <w:shd w:val="clear" w:color="auto" w:fill="D9E1F2"/>
            <w:vAlign w:val="center"/>
            <w:hideMark/>
          </w:tcPr>
          <w:p w:rsidR="000A78B1" w:rsidRPr="00F212E5" w:rsidP="000A78B1" w14:paraId="417E3569" w14:textId="146589A5">
            <w:pPr>
              <w:autoSpaceDE/>
              <w:autoSpaceDN/>
              <w:adjustRightInd/>
              <w:jc w:val="center"/>
              <w:rPr>
                <w:rFonts w:ascii="Calibri" w:hAnsi="Calibri" w:cs="Calibri"/>
                <w:color w:val="000000"/>
                <w:sz w:val="18"/>
                <w:szCs w:val="18"/>
              </w:rPr>
            </w:pPr>
            <w:r w:rsidRPr="00F212E5">
              <w:rPr>
                <w:rFonts w:ascii="Calibri" w:hAnsi="Calibri" w:cs="Calibri"/>
                <w:color w:val="000000"/>
                <w:sz w:val="18"/>
                <w:szCs w:val="18"/>
              </w:rPr>
              <w:t>Frequency</w:t>
            </w:r>
            <w:r w:rsidRPr="00F212E5" w:rsidR="00C04E89">
              <w:rPr>
                <w:rFonts w:ascii="Calibri" w:hAnsi="Calibri" w:cs="Calibri"/>
                <w:color w:val="000000"/>
                <w:sz w:val="18"/>
                <w:szCs w:val="18"/>
                <w:vertAlign w:val="superscript"/>
              </w:rPr>
              <w:t>1</w:t>
            </w:r>
            <w:r w:rsidRPr="00F212E5">
              <w:rPr>
                <w:rFonts w:ascii="Calibri" w:hAnsi="Calibri" w:cs="Calibri"/>
                <w:color w:val="000000"/>
                <w:sz w:val="18"/>
                <w:szCs w:val="18"/>
              </w:rPr>
              <w:t xml:space="preserve"> (Estimated Responses per Respondent)</w:t>
            </w:r>
          </w:p>
        </w:tc>
        <w:tc>
          <w:tcPr>
            <w:tcW w:w="900" w:type="dxa"/>
            <w:vMerge w:val="restart"/>
            <w:tcBorders>
              <w:top w:val="single" w:sz="4" w:space="0" w:color="auto"/>
              <w:left w:val="single" w:sz="4" w:space="0" w:color="auto"/>
              <w:bottom w:val="single" w:sz="8" w:space="0" w:color="000000" w:themeColor="text1"/>
              <w:right w:val="single" w:sz="4" w:space="0" w:color="auto"/>
            </w:tcBorders>
            <w:shd w:val="clear" w:color="auto" w:fill="D9E1F2"/>
            <w:vAlign w:val="center"/>
            <w:hideMark/>
          </w:tcPr>
          <w:p w:rsidR="000A78B1" w:rsidRPr="00F212E5" w:rsidP="000A78B1" w14:paraId="21D3C620" w14:textId="61AE2DEA">
            <w:pPr>
              <w:autoSpaceDE/>
              <w:autoSpaceDN/>
              <w:adjustRightInd/>
              <w:jc w:val="center"/>
              <w:rPr>
                <w:rFonts w:ascii="Calibri" w:hAnsi="Calibri" w:cs="Calibri"/>
                <w:color w:val="000000"/>
                <w:sz w:val="18"/>
                <w:szCs w:val="18"/>
              </w:rPr>
            </w:pPr>
            <w:r w:rsidRPr="00F212E5">
              <w:rPr>
                <w:rFonts w:ascii="Calibri" w:hAnsi="Calibri" w:cs="Calibri"/>
                <w:color w:val="000000"/>
                <w:sz w:val="18"/>
                <w:szCs w:val="18"/>
              </w:rPr>
              <w:t>Number of Respon</w:t>
            </w:r>
            <w:r w:rsidRPr="00F212E5" w:rsidR="00C12A33">
              <w:rPr>
                <w:rFonts w:ascii="Calibri" w:hAnsi="Calibri" w:cs="Calibri"/>
                <w:color w:val="000000"/>
                <w:sz w:val="18"/>
                <w:szCs w:val="18"/>
              </w:rPr>
              <w:t>-</w:t>
            </w:r>
            <w:r w:rsidRPr="00F212E5">
              <w:rPr>
                <w:rFonts w:ascii="Calibri" w:hAnsi="Calibri" w:cs="Calibri"/>
                <w:color w:val="000000"/>
                <w:sz w:val="18"/>
                <w:szCs w:val="18"/>
              </w:rPr>
              <w:t>dents</w:t>
            </w:r>
          </w:p>
        </w:tc>
        <w:tc>
          <w:tcPr>
            <w:tcW w:w="720" w:type="dxa"/>
            <w:vMerge w:val="restart"/>
            <w:tcBorders>
              <w:top w:val="single" w:sz="4" w:space="0" w:color="auto"/>
              <w:left w:val="single" w:sz="4" w:space="0" w:color="auto"/>
              <w:bottom w:val="single" w:sz="8" w:space="0" w:color="000000" w:themeColor="text1"/>
              <w:right w:val="single" w:sz="4" w:space="0" w:color="auto"/>
            </w:tcBorders>
            <w:shd w:val="clear" w:color="auto" w:fill="D9E1F2"/>
            <w:vAlign w:val="center"/>
            <w:hideMark/>
          </w:tcPr>
          <w:p w:rsidR="000A78B1" w:rsidRPr="00F212E5" w:rsidP="000A78B1" w14:paraId="54649051" w14:textId="77777777">
            <w:pPr>
              <w:autoSpaceDE/>
              <w:autoSpaceDN/>
              <w:adjustRightInd/>
              <w:jc w:val="center"/>
              <w:rPr>
                <w:rFonts w:ascii="Calibri" w:hAnsi="Calibri" w:cs="Calibri"/>
                <w:color w:val="000000"/>
                <w:sz w:val="18"/>
                <w:szCs w:val="18"/>
              </w:rPr>
            </w:pPr>
            <w:r w:rsidRPr="00F212E5">
              <w:rPr>
                <w:rFonts w:ascii="Calibri" w:hAnsi="Calibri" w:cs="Calibri"/>
                <w:color w:val="000000"/>
                <w:sz w:val="18"/>
                <w:szCs w:val="18"/>
              </w:rPr>
              <w:t>Total Hours</w:t>
            </w:r>
          </w:p>
        </w:tc>
        <w:tc>
          <w:tcPr>
            <w:tcW w:w="967" w:type="dxa"/>
            <w:vMerge w:val="restart"/>
            <w:tcBorders>
              <w:top w:val="single" w:sz="4" w:space="0" w:color="auto"/>
              <w:left w:val="single" w:sz="4" w:space="0" w:color="auto"/>
              <w:bottom w:val="single" w:sz="8" w:space="0" w:color="000000" w:themeColor="text1"/>
              <w:right w:val="single" w:sz="4" w:space="0" w:color="auto"/>
            </w:tcBorders>
            <w:shd w:val="clear" w:color="auto" w:fill="D9E1F2"/>
            <w:vAlign w:val="center"/>
            <w:hideMark/>
          </w:tcPr>
          <w:p w:rsidR="000A78B1" w:rsidRPr="00F212E5" w:rsidP="000A78B1" w14:paraId="31015356" w14:textId="77777777">
            <w:pPr>
              <w:autoSpaceDE/>
              <w:autoSpaceDN/>
              <w:adjustRightInd/>
              <w:jc w:val="center"/>
              <w:rPr>
                <w:rFonts w:ascii="Calibri" w:hAnsi="Calibri" w:cs="Calibri"/>
                <w:color w:val="000000"/>
                <w:sz w:val="18"/>
                <w:szCs w:val="18"/>
              </w:rPr>
            </w:pPr>
            <w:r w:rsidRPr="00F212E5">
              <w:rPr>
                <w:rFonts w:ascii="Calibri" w:hAnsi="Calibri" w:cs="Calibri"/>
                <w:color w:val="000000"/>
                <w:sz w:val="18"/>
                <w:szCs w:val="18"/>
              </w:rPr>
              <w:t>Total Costs</w:t>
            </w:r>
          </w:p>
        </w:tc>
      </w:tr>
      <w:tr w14:paraId="5ADCC1F9" w14:textId="77777777" w:rsidTr="00F212E5">
        <w:tblPrEx>
          <w:tblW w:w="13112" w:type="dxa"/>
          <w:tblLayout w:type="fixed"/>
          <w:tblLook w:val="04A0"/>
        </w:tblPrEx>
        <w:trPr>
          <w:trHeight w:val="315"/>
        </w:trPr>
        <w:tc>
          <w:tcPr>
            <w:tcW w:w="1217" w:type="dxa"/>
            <w:vMerge/>
            <w:tcBorders>
              <w:left w:val="single" w:sz="4" w:space="0" w:color="auto"/>
            </w:tcBorders>
            <w:vAlign w:val="center"/>
            <w:hideMark/>
          </w:tcPr>
          <w:p w:rsidR="000A78B1" w:rsidRPr="00F212E5" w:rsidP="000A78B1" w14:paraId="23E8EC69" w14:textId="77777777">
            <w:pPr>
              <w:autoSpaceDE/>
              <w:autoSpaceDN/>
              <w:adjustRightInd/>
              <w:rPr>
                <w:rFonts w:ascii="Calibri" w:hAnsi="Calibri" w:cs="Calibri"/>
                <w:color w:val="000000"/>
                <w:sz w:val="18"/>
                <w:szCs w:val="18"/>
              </w:rPr>
            </w:pPr>
          </w:p>
        </w:tc>
        <w:tc>
          <w:tcPr>
            <w:tcW w:w="938" w:type="dxa"/>
            <w:tcBorders>
              <w:top w:val="nil"/>
              <w:left w:val="single" w:sz="4" w:space="0" w:color="auto"/>
              <w:bottom w:val="single" w:sz="4" w:space="0" w:color="auto"/>
              <w:right w:val="single" w:sz="4" w:space="0" w:color="auto"/>
            </w:tcBorders>
            <w:shd w:val="clear" w:color="auto" w:fill="D9E1F2"/>
            <w:hideMark/>
          </w:tcPr>
          <w:p w:rsidR="000A78B1" w:rsidRPr="00F212E5" w:rsidP="00257264" w14:paraId="39C23E5A" w14:textId="379E5D5A">
            <w:pPr>
              <w:autoSpaceDE/>
              <w:autoSpaceDN/>
              <w:adjustRightInd/>
              <w:jc w:val="center"/>
              <w:rPr>
                <w:rFonts w:ascii="Calibri" w:hAnsi="Calibri" w:cs="Calibri"/>
                <w:color w:val="000000"/>
                <w:sz w:val="18"/>
                <w:szCs w:val="18"/>
              </w:rPr>
            </w:pPr>
            <w:r w:rsidRPr="00F212E5">
              <w:rPr>
                <w:rFonts w:ascii="Calibri" w:hAnsi="Calibri" w:cs="Calibri"/>
                <w:color w:val="000000"/>
                <w:sz w:val="18"/>
                <w:szCs w:val="18"/>
              </w:rPr>
              <w:t>$94.86</w:t>
            </w:r>
          </w:p>
        </w:tc>
        <w:tc>
          <w:tcPr>
            <w:tcW w:w="900" w:type="dxa"/>
            <w:tcBorders>
              <w:top w:val="nil"/>
              <w:left w:val="nil"/>
              <w:bottom w:val="single" w:sz="4" w:space="0" w:color="auto"/>
              <w:right w:val="single" w:sz="4" w:space="0" w:color="auto"/>
            </w:tcBorders>
            <w:shd w:val="clear" w:color="auto" w:fill="D9E1F2"/>
            <w:hideMark/>
          </w:tcPr>
          <w:p w:rsidR="000A78B1" w:rsidRPr="00F212E5" w:rsidP="00257264" w14:paraId="6BDEE41A" w14:textId="5651129D">
            <w:pPr>
              <w:autoSpaceDE/>
              <w:autoSpaceDN/>
              <w:adjustRightInd/>
              <w:jc w:val="center"/>
              <w:rPr>
                <w:rFonts w:ascii="Calibri" w:hAnsi="Calibri" w:cs="Calibri"/>
                <w:color w:val="000000"/>
                <w:sz w:val="18"/>
                <w:szCs w:val="18"/>
              </w:rPr>
            </w:pPr>
            <w:r w:rsidRPr="00F212E5">
              <w:rPr>
                <w:rFonts w:ascii="Calibri" w:hAnsi="Calibri" w:cs="Calibri"/>
                <w:color w:val="000000"/>
                <w:sz w:val="18"/>
                <w:szCs w:val="18"/>
              </w:rPr>
              <w:t>$152.31</w:t>
            </w:r>
          </w:p>
        </w:tc>
        <w:tc>
          <w:tcPr>
            <w:tcW w:w="720" w:type="dxa"/>
            <w:tcBorders>
              <w:top w:val="nil"/>
              <w:left w:val="nil"/>
              <w:bottom w:val="single" w:sz="4" w:space="0" w:color="auto"/>
              <w:right w:val="single" w:sz="4" w:space="0" w:color="auto"/>
            </w:tcBorders>
            <w:shd w:val="clear" w:color="auto" w:fill="D9E1F2"/>
            <w:hideMark/>
          </w:tcPr>
          <w:p w:rsidR="000A78B1" w:rsidRPr="00F212E5" w:rsidP="00257264" w14:paraId="60E19861" w14:textId="6A93B0AF">
            <w:pPr>
              <w:autoSpaceDE/>
              <w:autoSpaceDN/>
              <w:adjustRightInd/>
              <w:jc w:val="center"/>
              <w:rPr>
                <w:rFonts w:ascii="Calibri" w:hAnsi="Calibri" w:cs="Calibri"/>
                <w:color w:val="000000"/>
                <w:sz w:val="18"/>
                <w:szCs w:val="18"/>
              </w:rPr>
            </w:pPr>
            <w:r w:rsidRPr="00F212E5">
              <w:rPr>
                <w:rFonts w:ascii="Calibri" w:hAnsi="Calibri" w:cs="Calibri"/>
                <w:color w:val="000000"/>
                <w:sz w:val="18"/>
                <w:szCs w:val="18"/>
              </w:rPr>
              <w:t>$180.08</w:t>
            </w:r>
          </w:p>
        </w:tc>
        <w:tc>
          <w:tcPr>
            <w:tcW w:w="1080" w:type="dxa"/>
            <w:tcBorders>
              <w:top w:val="nil"/>
              <w:left w:val="nil"/>
              <w:bottom w:val="single" w:sz="4" w:space="0" w:color="auto"/>
              <w:right w:val="single" w:sz="4" w:space="0" w:color="auto"/>
            </w:tcBorders>
            <w:shd w:val="clear" w:color="auto" w:fill="D9E1F2"/>
            <w:hideMark/>
          </w:tcPr>
          <w:p w:rsidR="000A78B1" w:rsidRPr="00F212E5" w:rsidP="00257264" w14:paraId="499FA079" w14:textId="4FCB9FBA">
            <w:pPr>
              <w:autoSpaceDE/>
              <w:autoSpaceDN/>
              <w:adjustRightInd/>
              <w:jc w:val="center"/>
              <w:rPr>
                <w:rFonts w:ascii="Calibri" w:hAnsi="Calibri" w:cs="Calibri"/>
                <w:color w:val="000000"/>
                <w:sz w:val="18"/>
                <w:szCs w:val="18"/>
              </w:rPr>
            </w:pPr>
            <w:r w:rsidRPr="00F212E5">
              <w:rPr>
                <w:rFonts w:ascii="Calibri" w:hAnsi="Calibri" w:cs="Calibri"/>
                <w:color w:val="000000"/>
                <w:sz w:val="18"/>
                <w:szCs w:val="18"/>
              </w:rPr>
              <w:t>$66.80</w:t>
            </w:r>
          </w:p>
        </w:tc>
        <w:tc>
          <w:tcPr>
            <w:tcW w:w="810" w:type="dxa"/>
            <w:tcBorders>
              <w:top w:val="nil"/>
              <w:left w:val="nil"/>
              <w:bottom w:val="single" w:sz="4" w:space="0" w:color="auto"/>
              <w:right w:val="single" w:sz="4" w:space="0" w:color="auto"/>
            </w:tcBorders>
            <w:shd w:val="clear" w:color="auto" w:fill="D9E1F2"/>
            <w:hideMark/>
          </w:tcPr>
          <w:p w:rsidR="000A78B1" w:rsidRPr="00F212E5" w:rsidP="00257264" w14:paraId="0BDC16A1" w14:textId="200560CD">
            <w:pPr>
              <w:autoSpaceDE/>
              <w:autoSpaceDN/>
              <w:adjustRightInd/>
              <w:jc w:val="center"/>
              <w:rPr>
                <w:rFonts w:ascii="Calibri" w:hAnsi="Calibri" w:cs="Calibri"/>
                <w:color w:val="000000"/>
                <w:sz w:val="18"/>
                <w:szCs w:val="18"/>
              </w:rPr>
            </w:pPr>
            <w:r w:rsidRPr="00F212E5">
              <w:rPr>
                <w:rFonts w:ascii="Calibri" w:hAnsi="Calibri" w:cs="Calibri"/>
                <w:color w:val="000000"/>
                <w:sz w:val="18"/>
                <w:szCs w:val="18"/>
              </w:rPr>
              <w:t>$91.94</w:t>
            </w:r>
          </w:p>
        </w:tc>
        <w:tc>
          <w:tcPr>
            <w:tcW w:w="810" w:type="dxa"/>
            <w:tcBorders>
              <w:top w:val="nil"/>
              <w:left w:val="nil"/>
              <w:bottom w:val="single" w:sz="4" w:space="0" w:color="auto"/>
              <w:right w:val="single" w:sz="4" w:space="0" w:color="auto"/>
            </w:tcBorders>
            <w:shd w:val="clear" w:color="auto" w:fill="D9E1F2"/>
            <w:hideMark/>
          </w:tcPr>
          <w:p w:rsidR="000A78B1" w:rsidRPr="00F212E5" w:rsidP="00257264" w14:paraId="155CDBB5" w14:textId="2C7AC6B4">
            <w:pPr>
              <w:autoSpaceDE/>
              <w:autoSpaceDN/>
              <w:adjustRightInd/>
              <w:jc w:val="center"/>
              <w:rPr>
                <w:rFonts w:ascii="Calibri" w:hAnsi="Calibri" w:cs="Calibri"/>
                <w:color w:val="000000"/>
                <w:sz w:val="18"/>
                <w:szCs w:val="18"/>
              </w:rPr>
            </w:pPr>
            <w:r w:rsidRPr="00F212E5">
              <w:rPr>
                <w:rFonts w:ascii="Calibri" w:hAnsi="Calibri" w:cs="Calibri"/>
                <w:color w:val="000000"/>
                <w:sz w:val="18"/>
                <w:szCs w:val="18"/>
              </w:rPr>
              <w:t>$45.86</w:t>
            </w:r>
          </w:p>
        </w:tc>
        <w:tc>
          <w:tcPr>
            <w:tcW w:w="720" w:type="dxa"/>
            <w:vMerge/>
            <w:tcBorders>
              <w:right w:val="single" w:sz="4" w:space="0" w:color="auto"/>
            </w:tcBorders>
            <w:vAlign w:val="center"/>
            <w:hideMark/>
          </w:tcPr>
          <w:p w:rsidR="000A78B1" w:rsidRPr="00F212E5" w:rsidP="000A78B1" w14:paraId="26657198" w14:textId="77777777">
            <w:pPr>
              <w:autoSpaceDE/>
              <w:autoSpaceDN/>
              <w:adjustRightInd/>
              <w:rPr>
                <w:rFonts w:ascii="Calibri" w:hAnsi="Calibri" w:cs="Calibri"/>
                <w:color w:val="000000"/>
                <w:sz w:val="18"/>
                <w:szCs w:val="18"/>
              </w:rPr>
            </w:pPr>
          </w:p>
        </w:tc>
        <w:tc>
          <w:tcPr>
            <w:tcW w:w="810" w:type="dxa"/>
            <w:vMerge/>
            <w:tcBorders>
              <w:left w:val="single" w:sz="4" w:space="0" w:color="auto"/>
              <w:right w:val="single" w:sz="4" w:space="0" w:color="auto"/>
            </w:tcBorders>
            <w:vAlign w:val="center"/>
            <w:hideMark/>
          </w:tcPr>
          <w:p w:rsidR="000A78B1" w:rsidRPr="00F212E5" w:rsidP="000A78B1" w14:paraId="1CC38899" w14:textId="77777777">
            <w:pPr>
              <w:autoSpaceDE/>
              <w:autoSpaceDN/>
              <w:adjustRightInd/>
              <w:rPr>
                <w:rFonts w:ascii="Calibri" w:hAnsi="Calibri" w:cs="Calibri"/>
                <w:color w:val="000000"/>
                <w:sz w:val="18"/>
                <w:szCs w:val="18"/>
              </w:rPr>
            </w:pPr>
          </w:p>
        </w:tc>
        <w:tc>
          <w:tcPr>
            <w:tcW w:w="720" w:type="dxa"/>
            <w:vMerge/>
            <w:tcBorders>
              <w:left w:val="single" w:sz="4" w:space="0" w:color="auto"/>
              <w:right w:val="single" w:sz="4" w:space="0" w:color="auto"/>
            </w:tcBorders>
            <w:vAlign w:val="center"/>
            <w:hideMark/>
          </w:tcPr>
          <w:p w:rsidR="000A78B1" w:rsidRPr="00F212E5" w:rsidP="000A78B1" w14:paraId="145C07C9" w14:textId="77777777">
            <w:pPr>
              <w:autoSpaceDE/>
              <w:autoSpaceDN/>
              <w:adjustRightInd/>
              <w:rPr>
                <w:rFonts w:ascii="Calibri" w:hAnsi="Calibri" w:cs="Calibri"/>
                <w:color w:val="000000"/>
                <w:sz w:val="18"/>
                <w:szCs w:val="18"/>
              </w:rPr>
            </w:pPr>
          </w:p>
        </w:tc>
        <w:tc>
          <w:tcPr>
            <w:tcW w:w="630" w:type="dxa"/>
            <w:vMerge/>
            <w:tcBorders>
              <w:left w:val="single" w:sz="4" w:space="0" w:color="auto"/>
              <w:right w:val="single" w:sz="4" w:space="0" w:color="auto"/>
            </w:tcBorders>
            <w:vAlign w:val="center"/>
            <w:hideMark/>
          </w:tcPr>
          <w:p w:rsidR="000A78B1" w:rsidRPr="00F212E5" w:rsidP="000A78B1" w14:paraId="29A37852" w14:textId="77777777">
            <w:pPr>
              <w:autoSpaceDE/>
              <w:autoSpaceDN/>
              <w:adjustRightInd/>
              <w:rPr>
                <w:rFonts w:ascii="Calibri" w:hAnsi="Calibri" w:cs="Calibri"/>
                <w:color w:val="000000"/>
                <w:sz w:val="18"/>
                <w:szCs w:val="18"/>
              </w:rPr>
            </w:pPr>
          </w:p>
        </w:tc>
        <w:tc>
          <w:tcPr>
            <w:tcW w:w="1170" w:type="dxa"/>
            <w:vMerge/>
            <w:tcBorders>
              <w:left w:val="single" w:sz="4" w:space="0" w:color="auto"/>
              <w:right w:val="single" w:sz="4" w:space="0" w:color="auto"/>
            </w:tcBorders>
            <w:vAlign w:val="center"/>
            <w:hideMark/>
          </w:tcPr>
          <w:p w:rsidR="000A78B1" w:rsidRPr="00F212E5" w:rsidP="000A78B1" w14:paraId="7F4BB482" w14:textId="77777777">
            <w:pPr>
              <w:autoSpaceDE/>
              <w:autoSpaceDN/>
              <w:adjustRightInd/>
              <w:rPr>
                <w:rFonts w:ascii="Calibri" w:hAnsi="Calibri" w:cs="Calibri"/>
                <w:color w:val="000000"/>
                <w:sz w:val="18"/>
                <w:szCs w:val="18"/>
              </w:rPr>
            </w:pPr>
          </w:p>
        </w:tc>
        <w:tc>
          <w:tcPr>
            <w:tcW w:w="900" w:type="dxa"/>
            <w:vMerge/>
            <w:tcBorders>
              <w:left w:val="single" w:sz="4" w:space="0" w:color="auto"/>
              <w:right w:val="single" w:sz="4" w:space="0" w:color="auto"/>
            </w:tcBorders>
            <w:vAlign w:val="center"/>
            <w:hideMark/>
          </w:tcPr>
          <w:p w:rsidR="000A78B1" w:rsidRPr="00F212E5" w:rsidP="000A78B1" w14:paraId="1658CD73" w14:textId="77777777">
            <w:pPr>
              <w:autoSpaceDE/>
              <w:autoSpaceDN/>
              <w:adjustRightInd/>
              <w:rPr>
                <w:rFonts w:ascii="Calibri" w:hAnsi="Calibri" w:cs="Calibri"/>
                <w:color w:val="000000"/>
                <w:sz w:val="18"/>
                <w:szCs w:val="18"/>
              </w:rPr>
            </w:pPr>
          </w:p>
        </w:tc>
        <w:tc>
          <w:tcPr>
            <w:tcW w:w="720" w:type="dxa"/>
            <w:vMerge/>
            <w:tcBorders>
              <w:left w:val="single" w:sz="4" w:space="0" w:color="auto"/>
              <w:right w:val="single" w:sz="4" w:space="0" w:color="auto"/>
            </w:tcBorders>
            <w:vAlign w:val="center"/>
            <w:hideMark/>
          </w:tcPr>
          <w:p w:rsidR="000A78B1" w:rsidRPr="00F212E5" w:rsidP="000A78B1" w14:paraId="67CE6FBE" w14:textId="77777777">
            <w:pPr>
              <w:autoSpaceDE/>
              <w:autoSpaceDN/>
              <w:adjustRightInd/>
              <w:rPr>
                <w:rFonts w:ascii="Calibri" w:hAnsi="Calibri" w:cs="Calibri"/>
                <w:color w:val="000000"/>
                <w:sz w:val="18"/>
                <w:szCs w:val="18"/>
              </w:rPr>
            </w:pPr>
          </w:p>
        </w:tc>
        <w:tc>
          <w:tcPr>
            <w:tcW w:w="967" w:type="dxa"/>
            <w:vMerge/>
            <w:tcBorders>
              <w:left w:val="single" w:sz="4" w:space="0" w:color="auto"/>
              <w:right w:val="single" w:sz="4" w:space="0" w:color="auto"/>
            </w:tcBorders>
            <w:vAlign w:val="center"/>
            <w:hideMark/>
          </w:tcPr>
          <w:p w:rsidR="000A78B1" w:rsidRPr="00F212E5" w:rsidP="000A78B1" w14:paraId="75A1CA59" w14:textId="77777777">
            <w:pPr>
              <w:autoSpaceDE/>
              <w:autoSpaceDN/>
              <w:adjustRightInd/>
              <w:rPr>
                <w:rFonts w:ascii="Calibri" w:hAnsi="Calibri" w:cs="Calibri"/>
                <w:color w:val="000000"/>
                <w:sz w:val="18"/>
                <w:szCs w:val="18"/>
              </w:rPr>
            </w:pPr>
          </w:p>
        </w:tc>
      </w:tr>
      <w:tr w14:paraId="0E135B43" w14:textId="77777777" w:rsidTr="00F212E5">
        <w:tblPrEx>
          <w:tblW w:w="13112" w:type="dxa"/>
          <w:tblLayout w:type="fixed"/>
          <w:tblLook w:val="04A0"/>
        </w:tblPrEx>
        <w:trPr>
          <w:trHeight w:val="1645"/>
        </w:trPr>
        <w:tc>
          <w:tcPr>
            <w:tcW w:w="1217" w:type="dxa"/>
            <w:tcBorders>
              <w:top w:val="nil"/>
              <w:left w:val="single" w:sz="4" w:space="0" w:color="auto"/>
              <w:bottom w:val="single" w:sz="4" w:space="0" w:color="auto"/>
              <w:right w:val="single" w:sz="4" w:space="0" w:color="auto"/>
            </w:tcBorders>
            <w:shd w:val="clear" w:color="auto" w:fill="auto"/>
            <w:hideMark/>
          </w:tcPr>
          <w:p w:rsidR="004010FB" w:rsidRPr="00F212E5" w:rsidP="004010FB" w14:paraId="620A6138" w14:textId="298434C7">
            <w:pPr>
              <w:autoSpaceDE/>
              <w:autoSpaceDN/>
              <w:adjustRightInd/>
              <w:rPr>
                <w:rFonts w:ascii="Calibri" w:hAnsi="Calibri" w:cs="Calibri"/>
                <w:color w:val="000000"/>
                <w:sz w:val="18"/>
                <w:szCs w:val="18"/>
              </w:rPr>
            </w:pPr>
            <w:r w:rsidRPr="00F212E5">
              <w:rPr>
                <w:rFonts w:ascii="Arial" w:hAnsi="Arial" w:cs="Arial"/>
                <w:sz w:val="18"/>
                <w:szCs w:val="18"/>
              </w:rPr>
              <w:t>Small vessel manufacturer:  review of new regulations, general system changes</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4010FB" w:rsidRPr="00F212E5" w:rsidP="004010FB" w14:paraId="43409389" w14:textId="00FEAA21">
            <w:pPr>
              <w:autoSpaceDE/>
              <w:autoSpaceDN/>
              <w:adjustRightInd/>
              <w:jc w:val="center"/>
              <w:rPr>
                <w:rFonts w:ascii="Calibri" w:hAnsi="Calibri" w:cs="Calibri"/>
                <w:color w:val="000000"/>
                <w:sz w:val="18"/>
                <w:szCs w:val="18"/>
              </w:rPr>
            </w:pPr>
            <w:r w:rsidRPr="00F212E5">
              <w:rPr>
                <w:rFonts w:ascii="Arial" w:hAnsi="Arial" w:cs="Arial"/>
                <w:sz w:val="18"/>
                <w:szCs w:val="18"/>
              </w:rPr>
              <w:t>3</w:t>
            </w:r>
          </w:p>
        </w:tc>
        <w:tc>
          <w:tcPr>
            <w:tcW w:w="900" w:type="dxa"/>
            <w:tcBorders>
              <w:top w:val="single" w:sz="4" w:space="0" w:color="auto"/>
              <w:left w:val="nil"/>
              <w:bottom w:val="single" w:sz="4" w:space="0" w:color="auto"/>
              <w:right w:val="single" w:sz="4" w:space="0" w:color="auto"/>
            </w:tcBorders>
            <w:shd w:val="clear" w:color="auto" w:fill="auto"/>
            <w:hideMark/>
          </w:tcPr>
          <w:p w:rsidR="004010FB" w:rsidRPr="00F212E5" w:rsidP="004010FB" w14:paraId="1F68C1B8" w14:textId="318C259E">
            <w:pPr>
              <w:autoSpaceDE/>
              <w:autoSpaceDN/>
              <w:adjustRightInd/>
              <w:jc w:val="center"/>
              <w:rPr>
                <w:rFonts w:ascii="Calibri" w:hAnsi="Calibri" w:cs="Calibri"/>
                <w:color w:val="000000"/>
                <w:sz w:val="18"/>
                <w:szCs w:val="18"/>
              </w:rPr>
            </w:pPr>
            <w:r w:rsidRPr="00F212E5">
              <w:rPr>
                <w:rFonts w:ascii="Arial" w:hAnsi="Arial" w:cs="Arial"/>
                <w:sz w:val="18"/>
                <w:szCs w:val="18"/>
              </w:rPr>
              <w:t>1</w:t>
            </w:r>
          </w:p>
        </w:tc>
        <w:tc>
          <w:tcPr>
            <w:tcW w:w="720" w:type="dxa"/>
            <w:tcBorders>
              <w:top w:val="single" w:sz="4" w:space="0" w:color="auto"/>
              <w:left w:val="nil"/>
              <w:bottom w:val="single" w:sz="4" w:space="0" w:color="auto"/>
              <w:right w:val="single" w:sz="4" w:space="0" w:color="auto"/>
            </w:tcBorders>
            <w:shd w:val="clear" w:color="auto" w:fill="auto"/>
            <w:hideMark/>
          </w:tcPr>
          <w:p w:rsidR="004010FB" w:rsidRPr="00F212E5" w:rsidP="004010FB" w14:paraId="10DC663F" w14:textId="5D37C866">
            <w:pPr>
              <w:autoSpaceDE/>
              <w:autoSpaceDN/>
              <w:adjustRightInd/>
              <w:jc w:val="center"/>
              <w:rPr>
                <w:rFonts w:ascii="Calibri" w:hAnsi="Calibri" w:cs="Calibri"/>
                <w:color w:val="000000"/>
                <w:sz w:val="18"/>
                <w:szCs w:val="18"/>
              </w:rPr>
            </w:pPr>
            <w:r w:rsidRPr="00F212E5">
              <w:rPr>
                <w:rFonts w:ascii="Arial" w:hAnsi="Arial" w:cs="Arial"/>
                <w:sz w:val="18"/>
                <w:szCs w:val="18"/>
              </w:rPr>
              <w:t>1</w:t>
            </w:r>
          </w:p>
        </w:tc>
        <w:tc>
          <w:tcPr>
            <w:tcW w:w="1080" w:type="dxa"/>
            <w:tcBorders>
              <w:top w:val="single" w:sz="4" w:space="0" w:color="auto"/>
              <w:left w:val="nil"/>
              <w:bottom w:val="single" w:sz="4" w:space="0" w:color="auto"/>
              <w:right w:val="single" w:sz="4" w:space="0" w:color="auto"/>
            </w:tcBorders>
            <w:shd w:val="clear" w:color="auto" w:fill="auto"/>
            <w:hideMark/>
          </w:tcPr>
          <w:p w:rsidR="004010FB" w:rsidRPr="00F212E5" w:rsidP="004010FB" w14:paraId="724B2D6A" w14:textId="3BA4E54F">
            <w:pPr>
              <w:jc w:val="center"/>
              <w:rPr>
                <w:sz w:val="18"/>
                <w:szCs w:val="18"/>
              </w:rPr>
            </w:pPr>
            <w:r w:rsidRPr="00F212E5">
              <w:rPr>
                <w:rFonts w:ascii="Arial" w:hAnsi="Arial" w:cs="Arial"/>
                <w:sz w:val="18"/>
                <w:szCs w:val="18"/>
              </w:rPr>
              <w:t>0</w:t>
            </w:r>
          </w:p>
        </w:tc>
        <w:tc>
          <w:tcPr>
            <w:tcW w:w="810" w:type="dxa"/>
            <w:tcBorders>
              <w:top w:val="single" w:sz="4" w:space="0" w:color="auto"/>
              <w:left w:val="nil"/>
              <w:bottom w:val="single" w:sz="4" w:space="0" w:color="auto"/>
              <w:right w:val="single" w:sz="4" w:space="0" w:color="auto"/>
            </w:tcBorders>
            <w:shd w:val="clear" w:color="auto" w:fill="auto"/>
            <w:hideMark/>
          </w:tcPr>
          <w:p w:rsidR="004010FB" w:rsidRPr="00F212E5" w:rsidP="004010FB" w14:paraId="491A33FE" w14:textId="087A8B8D">
            <w:pPr>
              <w:autoSpaceDE/>
              <w:autoSpaceDN/>
              <w:adjustRightInd/>
              <w:jc w:val="center"/>
              <w:rPr>
                <w:rFonts w:ascii="Calibri" w:hAnsi="Calibri" w:cs="Calibri"/>
                <w:color w:val="000000"/>
                <w:sz w:val="18"/>
                <w:szCs w:val="18"/>
              </w:rPr>
            </w:pPr>
            <w:r w:rsidRPr="00F212E5">
              <w:rPr>
                <w:rFonts w:ascii="Arial" w:hAnsi="Arial" w:cs="Arial"/>
                <w:sz w:val="18"/>
                <w:szCs w:val="18"/>
              </w:rPr>
              <w:t>0</w:t>
            </w:r>
          </w:p>
        </w:tc>
        <w:tc>
          <w:tcPr>
            <w:tcW w:w="810" w:type="dxa"/>
            <w:tcBorders>
              <w:top w:val="single" w:sz="4" w:space="0" w:color="auto"/>
              <w:left w:val="nil"/>
              <w:bottom w:val="single" w:sz="4" w:space="0" w:color="auto"/>
              <w:right w:val="single" w:sz="4" w:space="0" w:color="auto"/>
            </w:tcBorders>
            <w:shd w:val="clear" w:color="auto" w:fill="auto"/>
            <w:hideMark/>
          </w:tcPr>
          <w:p w:rsidR="004010FB" w:rsidRPr="00F212E5" w:rsidP="004010FB" w14:paraId="0D49741D" w14:textId="5318BC2E">
            <w:pPr>
              <w:autoSpaceDE/>
              <w:autoSpaceDN/>
              <w:adjustRightInd/>
              <w:jc w:val="center"/>
              <w:rPr>
                <w:rFonts w:ascii="Calibri" w:hAnsi="Calibri" w:cs="Calibri"/>
                <w:color w:val="000000"/>
                <w:sz w:val="18"/>
                <w:szCs w:val="18"/>
              </w:rPr>
            </w:pPr>
            <w:r w:rsidRPr="00F212E5">
              <w:rPr>
                <w:rFonts w:ascii="Arial" w:hAnsi="Arial" w:cs="Arial"/>
                <w:sz w:val="18"/>
                <w:szCs w:val="18"/>
              </w:rPr>
              <w:t>0</w:t>
            </w:r>
          </w:p>
        </w:tc>
        <w:tc>
          <w:tcPr>
            <w:tcW w:w="720" w:type="dxa"/>
            <w:tcBorders>
              <w:top w:val="single" w:sz="4" w:space="0" w:color="auto"/>
              <w:left w:val="nil"/>
              <w:bottom w:val="single" w:sz="4" w:space="0" w:color="auto"/>
              <w:right w:val="single" w:sz="4" w:space="0" w:color="auto"/>
            </w:tcBorders>
            <w:shd w:val="clear" w:color="auto" w:fill="auto"/>
            <w:hideMark/>
          </w:tcPr>
          <w:p w:rsidR="004010FB" w:rsidRPr="00F212E5" w:rsidP="004010FB" w14:paraId="55F83208" w14:textId="25494E6E">
            <w:pPr>
              <w:autoSpaceDE/>
              <w:autoSpaceDN/>
              <w:adjustRightInd/>
              <w:jc w:val="center"/>
              <w:rPr>
                <w:rFonts w:ascii="Calibri" w:hAnsi="Calibri" w:cs="Calibri"/>
                <w:color w:val="000000"/>
                <w:sz w:val="18"/>
                <w:szCs w:val="18"/>
              </w:rPr>
            </w:pPr>
            <w:r w:rsidRPr="00F212E5">
              <w:rPr>
                <w:rFonts w:ascii="Arial" w:hAnsi="Arial" w:cs="Arial"/>
                <w:sz w:val="18"/>
                <w:szCs w:val="18"/>
              </w:rPr>
              <w:t>5</w:t>
            </w:r>
          </w:p>
        </w:tc>
        <w:tc>
          <w:tcPr>
            <w:tcW w:w="810" w:type="dxa"/>
            <w:tcBorders>
              <w:top w:val="single" w:sz="4" w:space="0" w:color="auto"/>
              <w:left w:val="nil"/>
              <w:bottom w:val="single" w:sz="4" w:space="0" w:color="auto"/>
              <w:right w:val="single" w:sz="4" w:space="0" w:color="auto"/>
            </w:tcBorders>
            <w:shd w:val="clear" w:color="auto" w:fill="auto"/>
            <w:hideMark/>
          </w:tcPr>
          <w:p w:rsidR="004010FB" w:rsidRPr="00F212E5" w:rsidP="004010FB" w14:paraId="2DA45145" w14:textId="6462427E">
            <w:pPr>
              <w:autoSpaceDE/>
              <w:autoSpaceDN/>
              <w:adjustRightInd/>
              <w:jc w:val="center"/>
              <w:rPr>
                <w:rFonts w:ascii="Calibri" w:hAnsi="Calibri" w:cs="Calibri"/>
                <w:color w:val="000000"/>
                <w:sz w:val="18"/>
                <w:szCs w:val="18"/>
              </w:rPr>
            </w:pPr>
            <w:r w:rsidRPr="00F212E5">
              <w:rPr>
                <w:rFonts w:ascii="Arial" w:hAnsi="Arial" w:cs="Arial"/>
                <w:sz w:val="18"/>
                <w:szCs w:val="18"/>
              </w:rPr>
              <w:t xml:space="preserve">$617 </w:t>
            </w:r>
          </w:p>
        </w:tc>
        <w:tc>
          <w:tcPr>
            <w:tcW w:w="720" w:type="dxa"/>
            <w:tcBorders>
              <w:top w:val="single" w:sz="4" w:space="0" w:color="auto"/>
              <w:left w:val="nil"/>
              <w:bottom w:val="single" w:sz="4" w:space="0" w:color="auto"/>
              <w:right w:val="single" w:sz="4" w:space="0" w:color="auto"/>
            </w:tcBorders>
            <w:shd w:val="clear" w:color="auto" w:fill="auto"/>
            <w:hideMark/>
          </w:tcPr>
          <w:p w:rsidR="004010FB" w:rsidRPr="00F212E5" w:rsidP="004010FB" w14:paraId="13CEA148" w14:textId="419D2859">
            <w:pPr>
              <w:autoSpaceDE/>
              <w:autoSpaceDN/>
              <w:adjustRightInd/>
              <w:jc w:val="center"/>
              <w:rPr>
                <w:rFonts w:ascii="Calibri" w:hAnsi="Calibri" w:cs="Calibri"/>
                <w:color w:val="000000"/>
                <w:sz w:val="18"/>
                <w:szCs w:val="18"/>
              </w:rPr>
            </w:pPr>
            <w:r w:rsidRPr="00F212E5">
              <w:rPr>
                <w:rFonts w:ascii="Calibri" w:hAnsi="Calibri" w:cs="Calibri"/>
                <w:color w:val="000000"/>
                <w:sz w:val="18"/>
                <w:szCs w:val="18"/>
              </w:rPr>
              <w:t>-</w:t>
            </w:r>
          </w:p>
        </w:tc>
        <w:tc>
          <w:tcPr>
            <w:tcW w:w="630" w:type="dxa"/>
            <w:tcBorders>
              <w:top w:val="single" w:sz="4" w:space="0" w:color="auto"/>
              <w:left w:val="nil"/>
              <w:bottom w:val="single" w:sz="4" w:space="0" w:color="auto"/>
              <w:right w:val="single" w:sz="4" w:space="0" w:color="auto"/>
            </w:tcBorders>
            <w:shd w:val="clear" w:color="auto" w:fill="auto"/>
            <w:hideMark/>
          </w:tcPr>
          <w:p w:rsidR="004010FB" w:rsidRPr="00F212E5" w:rsidP="004010FB" w14:paraId="790DF921" w14:textId="39E55EAF">
            <w:pPr>
              <w:jc w:val="center"/>
              <w:rPr>
                <w:b/>
                <w:bCs/>
                <w:sz w:val="18"/>
                <w:szCs w:val="18"/>
              </w:rPr>
            </w:pPr>
            <w:r w:rsidRPr="00F212E5">
              <w:rPr>
                <w:b/>
                <w:bCs/>
                <w:sz w:val="18"/>
                <w:szCs w:val="18"/>
              </w:rPr>
              <w:t>-</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4010FB" w:rsidRPr="00F212E5" w:rsidP="004010FB" w14:paraId="281B6D1D" w14:textId="2C1A5421">
            <w:pPr>
              <w:autoSpaceDE/>
              <w:autoSpaceDN/>
              <w:adjustRightInd/>
              <w:jc w:val="center"/>
              <w:rPr>
                <w:rFonts w:ascii="Calibri" w:hAnsi="Calibri" w:cs="Calibri"/>
                <w:color w:val="000000"/>
                <w:sz w:val="18"/>
                <w:szCs w:val="18"/>
              </w:rPr>
            </w:pPr>
            <w:r w:rsidRPr="00F212E5">
              <w:rPr>
                <w:rFonts w:ascii="Arial" w:hAnsi="Arial" w:cs="Arial"/>
                <w:sz w:val="18"/>
                <w:szCs w:val="18"/>
              </w:rPr>
              <w:t>1.0</w:t>
            </w:r>
          </w:p>
        </w:tc>
        <w:tc>
          <w:tcPr>
            <w:tcW w:w="900" w:type="dxa"/>
            <w:tcBorders>
              <w:top w:val="single" w:sz="4" w:space="0" w:color="auto"/>
              <w:left w:val="nil"/>
              <w:bottom w:val="single" w:sz="4" w:space="0" w:color="auto"/>
              <w:right w:val="single" w:sz="4" w:space="0" w:color="auto"/>
            </w:tcBorders>
            <w:shd w:val="clear" w:color="auto" w:fill="auto"/>
            <w:hideMark/>
          </w:tcPr>
          <w:p w:rsidR="004010FB" w:rsidRPr="00F212E5" w:rsidP="004010FB" w14:paraId="3F35AA68" w14:textId="4F3C234B">
            <w:pPr>
              <w:autoSpaceDE/>
              <w:autoSpaceDN/>
              <w:adjustRightInd/>
              <w:jc w:val="center"/>
              <w:rPr>
                <w:rFonts w:ascii="Calibri" w:hAnsi="Calibri" w:cs="Calibri"/>
                <w:color w:val="000000"/>
                <w:sz w:val="18"/>
                <w:szCs w:val="18"/>
              </w:rPr>
            </w:pPr>
            <w:r w:rsidRPr="00F212E5">
              <w:rPr>
                <w:rFonts w:ascii="Arial" w:hAnsi="Arial" w:cs="Arial"/>
                <w:sz w:val="18"/>
                <w:szCs w:val="18"/>
              </w:rPr>
              <w:t>20</w:t>
            </w:r>
          </w:p>
        </w:tc>
        <w:tc>
          <w:tcPr>
            <w:tcW w:w="720" w:type="dxa"/>
            <w:tcBorders>
              <w:top w:val="single" w:sz="4" w:space="0" w:color="auto"/>
              <w:left w:val="nil"/>
              <w:bottom w:val="single" w:sz="4" w:space="0" w:color="auto"/>
              <w:right w:val="single" w:sz="4" w:space="0" w:color="auto"/>
            </w:tcBorders>
            <w:shd w:val="clear" w:color="auto" w:fill="auto"/>
            <w:hideMark/>
          </w:tcPr>
          <w:p w:rsidR="004010FB" w:rsidRPr="00F212E5" w:rsidP="004010FB" w14:paraId="08D72C74" w14:textId="40C46298">
            <w:pPr>
              <w:rPr>
                <w:sz w:val="18"/>
                <w:szCs w:val="18"/>
              </w:rPr>
            </w:pPr>
            <w:r w:rsidRPr="00F212E5">
              <w:rPr>
                <w:rFonts w:ascii="Arial" w:hAnsi="Arial" w:cs="Arial"/>
                <w:sz w:val="18"/>
                <w:szCs w:val="18"/>
              </w:rPr>
              <w:t>100</w:t>
            </w:r>
          </w:p>
        </w:tc>
        <w:tc>
          <w:tcPr>
            <w:tcW w:w="967" w:type="dxa"/>
            <w:tcBorders>
              <w:top w:val="single" w:sz="4" w:space="0" w:color="auto"/>
              <w:left w:val="nil"/>
              <w:bottom w:val="single" w:sz="4" w:space="0" w:color="auto"/>
              <w:right w:val="single" w:sz="4" w:space="0" w:color="auto"/>
            </w:tcBorders>
            <w:shd w:val="clear" w:color="auto" w:fill="auto"/>
            <w:hideMark/>
          </w:tcPr>
          <w:p w:rsidR="004010FB" w:rsidRPr="00F212E5" w:rsidP="004010FB" w14:paraId="41D11B5B" w14:textId="3457CCCC">
            <w:pPr>
              <w:jc w:val="center"/>
              <w:rPr>
                <w:sz w:val="18"/>
                <w:szCs w:val="18"/>
              </w:rPr>
            </w:pPr>
            <w:r w:rsidRPr="00F212E5">
              <w:rPr>
                <w:rFonts w:ascii="Arial" w:hAnsi="Arial" w:cs="Arial"/>
                <w:sz w:val="18"/>
                <w:szCs w:val="18"/>
              </w:rPr>
              <w:t xml:space="preserve">$12,339 </w:t>
            </w:r>
          </w:p>
        </w:tc>
      </w:tr>
      <w:tr w14:paraId="10F9D3E9" w14:textId="77777777" w:rsidTr="00F212E5">
        <w:tblPrEx>
          <w:tblW w:w="13112" w:type="dxa"/>
          <w:tblLayout w:type="fixed"/>
          <w:tblLook w:val="04A0"/>
        </w:tblPrEx>
        <w:trPr>
          <w:trHeight w:val="1051"/>
        </w:trPr>
        <w:tc>
          <w:tcPr>
            <w:tcW w:w="1217" w:type="dxa"/>
            <w:tcBorders>
              <w:top w:val="single" w:sz="4" w:space="0" w:color="auto"/>
              <w:left w:val="single" w:sz="4" w:space="0" w:color="auto"/>
              <w:bottom w:val="single" w:sz="4" w:space="0" w:color="auto"/>
              <w:right w:val="single" w:sz="4" w:space="0" w:color="auto"/>
            </w:tcBorders>
            <w:shd w:val="clear" w:color="auto" w:fill="auto"/>
          </w:tcPr>
          <w:p w:rsidR="004010FB" w:rsidRPr="00F212E5" w:rsidP="004010FB" w14:paraId="526272A2" w14:textId="079B6707">
            <w:pPr>
              <w:autoSpaceDE/>
              <w:autoSpaceDN/>
              <w:adjustRightInd/>
              <w:rPr>
                <w:rFonts w:ascii="Calibri" w:hAnsi="Calibri" w:cs="Calibri"/>
                <w:color w:val="000000"/>
                <w:sz w:val="18"/>
                <w:szCs w:val="18"/>
              </w:rPr>
            </w:pPr>
            <w:r w:rsidRPr="00F212E5">
              <w:rPr>
                <w:rFonts w:ascii="Arial" w:hAnsi="Arial" w:cs="Arial"/>
                <w:sz w:val="18"/>
                <w:szCs w:val="18"/>
              </w:rPr>
              <w:t>Develop and submit waiver application</w:t>
            </w:r>
          </w:p>
        </w:tc>
        <w:tc>
          <w:tcPr>
            <w:tcW w:w="938" w:type="dxa"/>
            <w:tcBorders>
              <w:top w:val="single" w:sz="4" w:space="0" w:color="auto"/>
              <w:left w:val="single" w:sz="4" w:space="0" w:color="auto"/>
              <w:bottom w:val="single" w:sz="4" w:space="0" w:color="auto"/>
              <w:right w:val="single" w:sz="4" w:space="0" w:color="auto"/>
            </w:tcBorders>
            <w:shd w:val="clear" w:color="auto" w:fill="auto"/>
          </w:tcPr>
          <w:p w:rsidR="004010FB" w:rsidRPr="00F212E5" w:rsidP="004010FB" w14:paraId="25D49316" w14:textId="04790910">
            <w:pPr>
              <w:autoSpaceDE/>
              <w:autoSpaceDN/>
              <w:adjustRightInd/>
              <w:jc w:val="center"/>
              <w:rPr>
                <w:rFonts w:ascii="Calibri" w:hAnsi="Calibri" w:cs="Calibri"/>
                <w:color w:val="000000"/>
                <w:sz w:val="18"/>
                <w:szCs w:val="18"/>
              </w:rPr>
            </w:pPr>
            <w:r w:rsidRPr="00F212E5">
              <w:rPr>
                <w:rFonts w:ascii="Arial" w:hAnsi="Arial" w:cs="Arial"/>
                <w:sz w:val="18"/>
                <w:szCs w:val="18"/>
              </w:rPr>
              <w:t>5</w:t>
            </w:r>
          </w:p>
        </w:tc>
        <w:tc>
          <w:tcPr>
            <w:tcW w:w="900" w:type="dxa"/>
            <w:tcBorders>
              <w:top w:val="single" w:sz="4" w:space="0" w:color="auto"/>
              <w:left w:val="nil"/>
              <w:bottom w:val="single" w:sz="4" w:space="0" w:color="auto"/>
              <w:right w:val="single" w:sz="4" w:space="0" w:color="auto"/>
            </w:tcBorders>
            <w:shd w:val="clear" w:color="auto" w:fill="auto"/>
          </w:tcPr>
          <w:p w:rsidR="004010FB" w:rsidRPr="00F212E5" w:rsidP="004010FB" w14:paraId="671B6B7C" w14:textId="4541742C">
            <w:pPr>
              <w:autoSpaceDE/>
              <w:autoSpaceDN/>
              <w:adjustRightInd/>
              <w:jc w:val="center"/>
              <w:rPr>
                <w:rFonts w:ascii="Calibri" w:hAnsi="Calibri" w:cs="Calibri"/>
                <w:color w:val="000000"/>
                <w:sz w:val="18"/>
                <w:szCs w:val="18"/>
              </w:rPr>
            </w:pPr>
            <w:r w:rsidRPr="00F212E5">
              <w:rPr>
                <w:rFonts w:ascii="Arial" w:hAnsi="Arial" w:cs="Arial"/>
                <w:sz w:val="18"/>
                <w:szCs w:val="18"/>
              </w:rPr>
              <w:t>2</w:t>
            </w:r>
          </w:p>
        </w:tc>
        <w:tc>
          <w:tcPr>
            <w:tcW w:w="720" w:type="dxa"/>
            <w:tcBorders>
              <w:top w:val="single" w:sz="4" w:space="0" w:color="auto"/>
              <w:left w:val="nil"/>
              <w:bottom w:val="single" w:sz="4" w:space="0" w:color="auto"/>
              <w:right w:val="single" w:sz="4" w:space="0" w:color="auto"/>
            </w:tcBorders>
            <w:shd w:val="clear" w:color="auto" w:fill="auto"/>
          </w:tcPr>
          <w:p w:rsidR="004010FB" w:rsidRPr="00F212E5" w:rsidP="004010FB" w14:paraId="21F7729A" w14:textId="1377CC6A">
            <w:pPr>
              <w:autoSpaceDE/>
              <w:autoSpaceDN/>
              <w:adjustRightInd/>
              <w:jc w:val="center"/>
              <w:rPr>
                <w:rFonts w:ascii="Calibri" w:hAnsi="Calibri" w:cs="Calibri"/>
                <w:color w:val="000000"/>
                <w:sz w:val="18"/>
                <w:szCs w:val="18"/>
              </w:rPr>
            </w:pPr>
            <w:r w:rsidRPr="00F212E5">
              <w:rPr>
                <w:rFonts w:ascii="Arial" w:hAnsi="Arial" w:cs="Arial"/>
                <w:sz w:val="18"/>
                <w:szCs w:val="18"/>
              </w:rPr>
              <w:t>2</w:t>
            </w:r>
          </w:p>
        </w:tc>
        <w:tc>
          <w:tcPr>
            <w:tcW w:w="1080" w:type="dxa"/>
            <w:tcBorders>
              <w:top w:val="single" w:sz="4" w:space="0" w:color="auto"/>
              <w:left w:val="nil"/>
              <w:bottom w:val="single" w:sz="4" w:space="0" w:color="auto"/>
              <w:right w:val="single" w:sz="4" w:space="0" w:color="auto"/>
            </w:tcBorders>
            <w:shd w:val="clear" w:color="auto" w:fill="auto"/>
          </w:tcPr>
          <w:p w:rsidR="004010FB" w:rsidRPr="00F212E5" w:rsidP="004010FB" w14:paraId="2CF44FC5" w14:textId="75E9AE62">
            <w:pPr>
              <w:autoSpaceDE/>
              <w:autoSpaceDN/>
              <w:adjustRightInd/>
              <w:jc w:val="center"/>
              <w:rPr>
                <w:rFonts w:ascii="Calibri" w:hAnsi="Calibri" w:cs="Calibri"/>
                <w:color w:val="000000"/>
                <w:sz w:val="18"/>
                <w:szCs w:val="18"/>
              </w:rPr>
            </w:pPr>
          </w:p>
        </w:tc>
        <w:tc>
          <w:tcPr>
            <w:tcW w:w="810" w:type="dxa"/>
            <w:tcBorders>
              <w:top w:val="single" w:sz="4" w:space="0" w:color="auto"/>
              <w:left w:val="nil"/>
              <w:bottom w:val="single" w:sz="4" w:space="0" w:color="auto"/>
              <w:right w:val="single" w:sz="4" w:space="0" w:color="auto"/>
            </w:tcBorders>
            <w:shd w:val="clear" w:color="auto" w:fill="auto"/>
          </w:tcPr>
          <w:p w:rsidR="004010FB" w:rsidRPr="00F212E5" w:rsidP="004010FB" w14:paraId="33A4F988" w14:textId="20D3E86E">
            <w:pPr>
              <w:autoSpaceDE/>
              <w:autoSpaceDN/>
              <w:adjustRightInd/>
              <w:jc w:val="center"/>
              <w:rPr>
                <w:rFonts w:ascii="Calibri" w:hAnsi="Calibri" w:cs="Calibri"/>
                <w:color w:val="000000"/>
                <w:sz w:val="18"/>
                <w:szCs w:val="18"/>
              </w:rPr>
            </w:pPr>
          </w:p>
        </w:tc>
        <w:tc>
          <w:tcPr>
            <w:tcW w:w="810" w:type="dxa"/>
            <w:tcBorders>
              <w:top w:val="single" w:sz="4" w:space="0" w:color="auto"/>
              <w:left w:val="nil"/>
              <w:bottom w:val="single" w:sz="4" w:space="0" w:color="auto"/>
              <w:right w:val="single" w:sz="4" w:space="0" w:color="auto"/>
            </w:tcBorders>
            <w:shd w:val="clear" w:color="auto" w:fill="auto"/>
          </w:tcPr>
          <w:p w:rsidR="004010FB" w:rsidRPr="00F212E5" w:rsidP="004010FB" w14:paraId="5B059C63" w14:textId="1B354B88">
            <w:pPr>
              <w:autoSpaceDE/>
              <w:autoSpaceDN/>
              <w:adjustRightInd/>
              <w:jc w:val="center"/>
              <w:rPr>
                <w:rFonts w:ascii="Calibri" w:hAnsi="Calibri" w:cs="Calibri"/>
                <w:color w:val="000000"/>
                <w:sz w:val="18"/>
                <w:szCs w:val="18"/>
              </w:rPr>
            </w:pPr>
            <w:r w:rsidRPr="00F212E5">
              <w:rPr>
                <w:rFonts w:ascii="Arial" w:hAnsi="Arial" w:cs="Arial"/>
                <w:sz w:val="18"/>
                <w:szCs w:val="18"/>
              </w:rPr>
              <w:t>5</w:t>
            </w:r>
          </w:p>
        </w:tc>
        <w:tc>
          <w:tcPr>
            <w:tcW w:w="720" w:type="dxa"/>
            <w:tcBorders>
              <w:top w:val="single" w:sz="4" w:space="0" w:color="auto"/>
              <w:left w:val="nil"/>
              <w:bottom w:val="single" w:sz="4" w:space="0" w:color="auto"/>
              <w:right w:val="single" w:sz="4" w:space="0" w:color="auto"/>
            </w:tcBorders>
            <w:shd w:val="clear" w:color="auto" w:fill="auto"/>
          </w:tcPr>
          <w:p w:rsidR="004010FB" w:rsidRPr="00F212E5" w:rsidP="004010FB" w14:paraId="014D74D6" w14:textId="0E249FF1">
            <w:pPr>
              <w:autoSpaceDE/>
              <w:autoSpaceDN/>
              <w:adjustRightInd/>
              <w:jc w:val="center"/>
              <w:rPr>
                <w:rFonts w:ascii="Calibri" w:hAnsi="Calibri" w:cs="Calibri"/>
                <w:color w:val="000000"/>
                <w:sz w:val="18"/>
                <w:szCs w:val="18"/>
              </w:rPr>
            </w:pPr>
            <w:r w:rsidRPr="00F212E5">
              <w:rPr>
                <w:rFonts w:ascii="Arial" w:hAnsi="Arial" w:cs="Arial"/>
                <w:sz w:val="18"/>
                <w:szCs w:val="18"/>
              </w:rPr>
              <w:t>14</w:t>
            </w:r>
          </w:p>
        </w:tc>
        <w:tc>
          <w:tcPr>
            <w:tcW w:w="810" w:type="dxa"/>
            <w:tcBorders>
              <w:top w:val="single" w:sz="4" w:space="0" w:color="auto"/>
              <w:left w:val="nil"/>
              <w:bottom w:val="single" w:sz="4" w:space="0" w:color="auto"/>
              <w:right w:val="single" w:sz="4" w:space="0" w:color="auto"/>
            </w:tcBorders>
            <w:shd w:val="clear" w:color="auto" w:fill="auto"/>
          </w:tcPr>
          <w:p w:rsidR="004010FB" w:rsidRPr="00F212E5" w:rsidP="004010FB" w14:paraId="1387D451" w14:textId="027D44FE">
            <w:pPr>
              <w:autoSpaceDE/>
              <w:autoSpaceDN/>
              <w:adjustRightInd/>
              <w:jc w:val="center"/>
              <w:rPr>
                <w:rFonts w:ascii="Calibri" w:hAnsi="Calibri" w:cs="Calibri"/>
                <w:color w:val="000000"/>
                <w:sz w:val="18"/>
                <w:szCs w:val="18"/>
              </w:rPr>
            </w:pPr>
            <w:r w:rsidRPr="00F212E5">
              <w:rPr>
                <w:rFonts w:ascii="Arial" w:hAnsi="Arial" w:cs="Arial"/>
                <w:sz w:val="18"/>
                <w:szCs w:val="18"/>
              </w:rPr>
              <w:t xml:space="preserve">$1,368 </w:t>
            </w:r>
          </w:p>
        </w:tc>
        <w:tc>
          <w:tcPr>
            <w:tcW w:w="720" w:type="dxa"/>
            <w:tcBorders>
              <w:top w:val="single" w:sz="4" w:space="0" w:color="auto"/>
              <w:left w:val="nil"/>
              <w:bottom w:val="single" w:sz="4" w:space="0" w:color="auto"/>
              <w:right w:val="single" w:sz="4" w:space="0" w:color="auto"/>
            </w:tcBorders>
            <w:shd w:val="clear" w:color="auto" w:fill="auto"/>
          </w:tcPr>
          <w:p w:rsidR="004010FB" w:rsidRPr="00F212E5" w:rsidP="004010FB" w14:paraId="5CE8DF19" w14:textId="4521B9E5">
            <w:pPr>
              <w:autoSpaceDE/>
              <w:autoSpaceDN/>
              <w:adjustRightInd/>
              <w:jc w:val="center"/>
              <w:rPr>
                <w:rFonts w:ascii="Calibri" w:hAnsi="Calibri" w:cs="Calibri"/>
                <w:color w:val="000000"/>
                <w:sz w:val="18"/>
                <w:szCs w:val="18"/>
              </w:rPr>
            </w:pPr>
            <w:r w:rsidRPr="00F212E5">
              <w:rPr>
                <w:rFonts w:ascii="Calibri" w:hAnsi="Calibri" w:cs="Calibri"/>
                <w:color w:val="000000"/>
                <w:sz w:val="18"/>
                <w:szCs w:val="18"/>
              </w:rPr>
              <w:t>-</w:t>
            </w:r>
          </w:p>
        </w:tc>
        <w:tc>
          <w:tcPr>
            <w:tcW w:w="630" w:type="dxa"/>
            <w:tcBorders>
              <w:top w:val="single" w:sz="4" w:space="0" w:color="auto"/>
              <w:left w:val="nil"/>
              <w:bottom w:val="single" w:sz="4" w:space="0" w:color="auto"/>
              <w:right w:val="single" w:sz="4" w:space="0" w:color="auto"/>
            </w:tcBorders>
            <w:shd w:val="clear" w:color="auto" w:fill="auto"/>
          </w:tcPr>
          <w:p w:rsidR="004010FB" w:rsidRPr="00F212E5" w:rsidP="004010FB" w14:paraId="6CC3A5D9" w14:textId="2F6E26E8">
            <w:pPr>
              <w:autoSpaceDE/>
              <w:autoSpaceDN/>
              <w:adjustRightInd/>
              <w:jc w:val="center"/>
              <w:rPr>
                <w:rFonts w:ascii="Calibri" w:hAnsi="Calibri" w:cs="Calibri"/>
                <w:color w:val="000000"/>
                <w:sz w:val="18"/>
                <w:szCs w:val="18"/>
              </w:rPr>
            </w:pPr>
            <w:r w:rsidRPr="00F212E5">
              <w:rPr>
                <w:rFonts w:ascii="Calibri" w:hAnsi="Calibri" w:cs="Calibri"/>
                <w:color w:val="000000"/>
                <w:sz w:val="18"/>
                <w:szCs w:val="18"/>
              </w:rPr>
              <w:t>-</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4010FB" w:rsidRPr="00F212E5" w:rsidP="004010FB" w14:paraId="28BE5D3C" w14:textId="684DACA3">
            <w:pPr>
              <w:autoSpaceDE/>
              <w:autoSpaceDN/>
              <w:adjustRightInd/>
              <w:jc w:val="center"/>
              <w:rPr>
                <w:rFonts w:ascii="Calibri" w:hAnsi="Calibri" w:cs="Calibri"/>
                <w:color w:val="000000"/>
                <w:sz w:val="18"/>
                <w:szCs w:val="18"/>
              </w:rPr>
            </w:pPr>
            <w:r w:rsidRPr="00F212E5">
              <w:rPr>
                <w:rFonts w:ascii="Arial" w:hAnsi="Arial" w:cs="Arial"/>
                <w:sz w:val="18"/>
                <w:szCs w:val="18"/>
              </w:rPr>
              <w:t>1.0</w:t>
            </w:r>
          </w:p>
        </w:tc>
        <w:tc>
          <w:tcPr>
            <w:tcW w:w="900" w:type="dxa"/>
            <w:tcBorders>
              <w:top w:val="single" w:sz="4" w:space="0" w:color="auto"/>
              <w:left w:val="nil"/>
              <w:bottom w:val="single" w:sz="4" w:space="0" w:color="auto"/>
              <w:right w:val="single" w:sz="4" w:space="0" w:color="auto"/>
            </w:tcBorders>
            <w:shd w:val="clear" w:color="auto" w:fill="auto"/>
          </w:tcPr>
          <w:p w:rsidR="004010FB" w:rsidRPr="00F212E5" w:rsidP="004010FB" w14:paraId="2A0B93C0" w14:textId="127D51DB">
            <w:pPr>
              <w:autoSpaceDE/>
              <w:autoSpaceDN/>
              <w:adjustRightInd/>
              <w:jc w:val="center"/>
              <w:rPr>
                <w:rFonts w:ascii="Calibri" w:hAnsi="Calibri" w:cs="Calibri"/>
                <w:color w:val="000000"/>
                <w:sz w:val="18"/>
                <w:szCs w:val="18"/>
              </w:rPr>
            </w:pPr>
            <w:r w:rsidRPr="00F212E5">
              <w:rPr>
                <w:rFonts w:ascii="Arial" w:hAnsi="Arial" w:cs="Arial"/>
                <w:sz w:val="18"/>
                <w:szCs w:val="18"/>
              </w:rPr>
              <w:t>20</w:t>
            </w:r>
          </w:p>
        </w:tc>
        <w:tc>
          <w:tcPr>
            <w:tcW w:w="720" w:type="dxa"/>
            <w:tcBorders>
              <w:top w:val="single" w:sz="4" w:space="0" w:color="auto"/>
              <w:left w:val="nil"/>
              <w:bottom w:val="single" w:sz="4" w:space="0" w:color="auto"/>
              <w:right w:val="single" w:sz="4" w:space="0" w:color="auto"/>
            </w:tcBorders>
            <w:shd w:val="clear" w:color="auto" w:fill="auto"/>
          </w:tcPr>
          <w:p w:rsidR="004010FB" w:rsidRPr="00F212E5" w:rsidP="004010FB" w14:paraId="192FF522" w14:textId="333C83D1">
            <w:pPr>
              <w:autoSpaceDE/>
              <w:autoSpaceDN/>
              <w:adjustRightInd/>
              <w:jc w:val="center"/>
              <w:rPr>
                <w:rFonts w:ascii="Calibri" w:hAnsi="Calibri" w:cs="Calibri"/>
                <w:color w:val="000000"/>
                <w:sz w:val="18"/>
                <w:szCs w:val="18"/>
              </w:rPr>
            </w:pPr>
            <w:r w:rsidRPr="00F212E5">
              <w:rPr>
                <w:rFonts w:ascii="Arial" w:hAnsi="Arial" w:cs="Arial"/>
                <w:sz w:val="18"/>
                <w:szCs w:val="18"/>
              </w:rPr>
              <w:t>280</w:t>
            </w:r>
          </w:p>
        </w:tc>
        <w:tc>
          <w:tcPr>
            <w:tcW w:w="967" w:type="dxa"/>
            <w:tcBorders>
              <w:top w:val="single" w:sz="4" w:space="0" w:color="auto"/>
              <w:left w:val="nil"/>
              <w:bottom w:val="single" w:sz="4" w:space="0" w:color="auto"/>
              <w:right w:val="single" w:sz="4" w:space="0" w:color="auto"/>
            </w:tcBorders>
            <w:shd w:val="clear" w:color="auto" w:fill="auto"/>
          </w:tcPr>
          <w:p w:rsidR="004010FB" w:rsidRPr="00F212E5" w:rsidP="004010FB" w14:paraId="5FDBDEA9" w14:textId="290BD655">
            <w:pPr>
              <w:jc w:val="center"/>
              <w:rPr>
                <w:rFonts w:ascii="Calibri" w:eastAsia="Calibri" w:hAnsi="Calibri" w:cs="Calibri"/>
                <w:sz w:val="18"/>
                <w:szCs w:val="18"/>
              </w:rPr>
            </w:pPr>
            <w:r w:rsidRPr="00F212E5">
              <w:rPr>
                <w:rFonts w:ascii="Arial" w:hAnsi="Arial" w:cs="Arial"/>
                <w:sz w:val="18"/>
                <w:szCs w:val="18"/>
              </w:rPr>
              <w:t xml:space="preserve">$27,368 </w:t>
            </w:r>
          </w:p>
        </w:tc>
      </w:tr>
      <w:tr w14:paraId="46DF846F" w14:textId="77777777" w:rsidTr="00F212E5">
        <w:tblPrEx>
          <w:tblW w:w="13112" w:type="dxa"/>
          <w:tblLayout w:type="fixed"/>
          <w:tblLook w:val="04A0"/>
        </w:tblPrEx>
        <w:trPr>
          <w:trHeight w:val="430"/>
        </w:trPr>
        <w:tc>
          <w:tcPr>
            <w:tcW w:w="1217" w:type="dxa"/>
            <w:tcBorders>
              <w:top w:val="single" w:sz="4" w:space="0" w:color="auto"/>
              <w:left w:val="single" w:sz="4" w:space="0" w:color="auto"/>
              <w:bottom w:val="single" w:sz="4" w:space="0" w:color="auto"/>
              <w:right w:val="single" w:sz="4" w:space="0" w:color="auto"/>
            </w:tcBorders>
            <w:shd w:val="clear" w:color="auto" w:fill="auto"/>
          </w:tcPr>
          <w:p w:rsidR="004010FB" w:rsidRPr="00F212E5" w:rsidP="004010FB" w14:paraId="293F9A6A" w14:textId="5AB001C3">
            <w:pPr>
              <w:autoSpaceDE/>
              <w:autoSpaceDN/>
              <w:adjustRightInd/>
              <w:rPr>
                <w:rFonts w:ascii="Calibri" w:hAnsi="Calibri" w:cs="Calibri"/>
                <w:color w:val="000000"/>
                <w:sz w:val="18"/>
                <w:szCs w:val="18"/>
              </w:rPr>
            </w:pPr>
            <w:r w:rsidRPr="00F212E5">
              <w:rPr>
                <w:rFonts w:ascii="Arial" w:hAnsi="Arial" w:cs="Arial"/>
                <w:b/>
                <w:bCs/>
                <w:sz w:val="18"/>
                <w:szCs w:val="18"/>
              </w:rPr>
              <w:t xml:space="preserve">TOTAL </w:t>
            </w:r>
          </w:p>
        </w:tc>
        <w:tc>
          <w:tcPr>
            <w:tcW w:w="938" w:type="dxa"/>
            <w:tcBorders>
              <w:top w:val="single" w:sz="4" w:space="0" w:color="auto"/>
              <w:left w:val="single" w:sz="4" w:space="0" w:color="auto"/>
              <w:bottom w:val="single" w:sz="4" w:space="0" w:color="auto"/>
              <w:right w:val="single" w:sz="4" w:space="0" w:color="auto"/>
            </w:tcBorders>
            <w:shd w:val="clear" w:color="auto" w:fill="auto"/>
          </w:tcPr>
          <w:p w:rsidR="004010FB" w:rsidRPr="00F212E5" w:rsidP="004010FB" w14:paraId="0813A9EE" w14:textId="059E80BC">
            <w:pPr>
              <w:autoSpaceDE/>
              <w:autoSpaceDN/>
              <w:adjustRightInd/>
              <w:jc w:val="center"/>
              <w:rPr>
                <w:rFonts w:ascii="Calibri" w:hAnsi="Calibri" w:cs="Calibri"/>
                <w:color w:val="000000"/>
                <w:sz w:val="18"/>
                <w:szCs w:val="18"/>
              </w:rPr>
            </w:pPr>
          </w:p>
        </w:tc>
        <w:tc>
          <w:tcPr>
            <w:tcW w:w="900" w:type="dxa"/>
            <w:tcBorders>
              <w:top w:val="single" w:sz="4" w:space="0" w:color="auto"/>
              <w:left w:val="nil"/>
              <w:bottom w:val="single" w:sz="4" w:space="0" w:color="auto"/>
              <w:right w:val="single" w:sz="4" w:space="0" w:color="auto"/>
            </w:tcBorders>
            <w:shd w:val="clear" w:color="auto" w:fill="auto"/>
          </w:tcPr>
          <w:p w:rsidR="004010FB" w:rsidRPr="00F212E5" w:rsidP="004010FB" w14:paraId="756AC5A2" w14:textId="2CBD63E5">
            <w:pPr>
              <w:autoSpaceDE/>
              <w:autoSpaceDN/>
              <w:adjustRightInd/>
              <w:jc w:val="center"/>
              <w:rPr>
                <w:rFonts w:ascii="Calibri" w:hAnsi="Calibri" w:cs="Calibri"/>
                <w:color w:val="000000"/>
                <w:sz w:val="18"/>
                <w:szCs w:val="18"/>
              </w:rPr>
            </w:pPr>
          </w:p>
        </w:tc>
        <w:tc>
          <w:tcPr>
            <w:tcW w:w="720" w:type="dxa"/>
            <w:tcBorders>
              <w:top w:val="single" w:sz="4" w:space="0" w:color="auto"/>
              <w:left w:val="nil"/>
              <w:bottom w:val="single" w:sz="4" w:space="0" w:color="auto"/>
              <w:right w:val="single" w:sz="4" w:space="0" w:color="auto"/>
            </w:tcBorders>
            <w:shd w:val="clear" w:color="auto" w:fill="auto"/>
          </w:tcPr>
          <w:p w:rsidR="004010FB" w:rsidRPr="00F212E5" w:rsidP="004010FB" w14:paraId="1C2CBE35" w14:textId="78AE197C">
            <w:pPr>
              <w:autoSpaceDE/>
              <w:autoSpaceDN/>
              <w:adjustRightInd/>
              <w:jc w:val="center"/>
              <w:rPr>
                <w:rFonts w:ascii="Calibri" w:hAnsi="Calibri" w:cs="Calibri"/>
                <w:color w:val="000000"/>
                <w:sz w:val="18"/>
                <w:szCs w:val="18"/>
              </w:rPr>
            </w:pPr>
          </w:p>
        </w:tc>
        <w:tc>
          <w:tcPr>
            <w:tcW w:w="1080" w:type="dxa"/>
            <w:tcBorders>
              <w:top w:val="single" w:sz="4" w:space="0" w:color="auto"/>
              <w:left w:val="nil"/>
              <w:bottom w:val="single" w:sz="4" w:space="0" w:color="auto"/>
              <w:right w:val="single" w:sz="4" w:space="0" w:color="auto"/>
            </w:tcBorders>
            <w:shd w:val="clear" w:color="auto" w:fill="auto"/>
          </w:tcPr>
          <w:p w:rsidR="004010FB" w:rsidRPr="00F212E5" w:rsidP="004010FB" w14:paraId="7B89AF86" w14:textId="4A14AD52">
            <w:pPr>
              <w:autoSpaceDE/>
              <w:autoSpaceDN/>
              <w:adjustRightInd/>
              <w:jc w:val="center"/>
              <w:rPr>
                <w:rFonts w:ascii="Calibri" w:hAnsi="Calibri" w:cs="Calibri"/>
                <w:color w:val="000000"/>
                <w:sz w:val="18"/>
                <w:szCs w:val="18"/>
              </w:rPr>
            </w:pPr>
          </w:p>
        </w:tc>
        <w:tc>
          <w:tcPr>
            <w:tcW w:w="810" w:type="dxa"/>
            <w:tcBorders>
              <w:top w:val="single" w:sz="4" w:space="0" w:color="auto"/>
              <w:left w:val="nil"/>
              <w:bottom w:val="single" w:sz="4" w:space="0" w:color="auto"/>
              <w:right w:val="single" w:sz="4" w:space="0" w:color="auto"/>
            </w:tcBorders>
            <w:shd w:val="clear" w:color="auto" w:fill="auto"/>
          </w:tcPr>
          <w:p w:rsidR="004010FB" w:rsidRPr="00F212E5" w:rsidP="004010FB" w14:paraId="6C1F9154" w14:textId="164A059F">
            <w:pPr>
              <w:autoSpaceDE/>
              <w:autoSpaceDN/>
              <w:adjustRightInd/>
              <w:jc w:val="center"/>
              <w:rPr>
                <w:rFonts w:ascii="Calibri" w:hAnsi="Calibri" w:cs="Calibri"/>
                <w:color w:val="000000"/>
                <w:sz w:val="18"/>
                <w:szCs w:val="18"/>
              </w:rPr>
            </w:pPr>
          </w:p>
        </w:tc>
        <w:tc>
          <w:tcPr>
            <w:tcW w:w="810" w:type="dxa"/>
            <w:tcBorders>
              <w:top w:val="single" w:sz="4" w:space="0" w:color="auto"/>
              <w:left w:val="nil"/>
              <w:bottom w:val="single" w:sz="4" w:space="0" w:color="auto"/>
              <w:right w:val="single" w:sz="4" w:space="0" w:color="auto"/>
            </w:tcBorders>
            <w:shd w:val="clear" w:color="auto" w:fill="auto"/>
          </w:tcPr>
          <w:p w:rsidR="004010FB" w:rsidRPr="00F212E5" w:rsidP="004010FB" w14:paraId="121721DA" w14:textId="30C66EA4">
            <w:pPr>
              <w:autoSpaceDE/>
              <w:autoSpaceDN/>
              <w:adjustRightInd/>
              <w:jc w:val="center"/>
              <w:rPr>
                <w:rFonts w:ascii="Calibri" w:hAnsi="Calibri" w:cs="Calibri"/>
                <w:color w:val="000000"/>
                <w:sz w:val="18"/>
                <w:szCs w:val="18"/>
              </w:rPr>
            </w:pPr>
          </w:p>
        </w:tc>
        <w:tc>
          <w:tcPr>
            <w:tcW w:w="720" w:type="dxa"/>
            <w:tcBorders>
              <w:top w:val="single" w:sz="4" w:space="0" w:color="auto"/>
              <w:left w:val="nil"/>
              <w:bottom w:val="single" w:sz="4" w:space="0" w:color="auto"/>
              <w:right w:val="single" w:sz="4" w:space="0" w:color="auto"/>
            </w:tcBorders>
            <w:shd w:val="clear" w:color="auto" w:fill="auto"/>
          </w:tcPr>
          <w:p w:rsidR="004010FB" w:rsidRPr="00F212E5" w:rsidP="004010FB" w14:paraId="1C7A760C" w14:textId="478F672A">
            <w:pPr>
              <w:autoSpaceDE/>
              <w:autoSpaceDN/>
              <w:adjustRightInd/>
              <w:jc w:val="center"/>
              <w:rPr>
                <w:rFonts w:ascii="Calibri" w:hAnsi="Calibri" w:cs="Calibri"/>
                <w:color w:val="000000"/>
                <w:sz w:val="18"/>
                <w:szCs w:val="18"/>
              </w:rPr>
            </w:pPr>
          </w:p>
        </w:tc>
        <w:tc>
          <w:tcPr>
            <w:tcW w:w="810" w:type="dxa"/>
            <w:tcBorders>
              <w:top w:val="single" w:sz="4" w:space="0" w:color="auto"/>
              <w:left w:val="nil"/>
              <w:bottom w:val="single" w:sz="4" w:space="0" w:color="auto"/>
              <w:right w:val="single" w:sz="4" w:space="0" w:color="auto"/>
            </w:tcBorders>
            <w:shd w:val="clear" w:color="auto" w:fill="auto"/>
          </w:tcPr>
          <w:p w:rsidR="004010FB" w:rsidRPr="00F212E5" w:rsidP="004010FB" w14:paraId="210F79A3" w14:textId="2F65496C">
            <w:pPr>
              <w:autoSpaceDE/>
              <w:autoSpaceDN/>
              <w:adjustRightInd/>
              <w:rPr>
                <w:rFonts w:ascii="Calibri" w:hAnsi="Calibri" w:cs="Calibri"/>
                <w:color w:val="000000"/>
                <w:sz w:val="18"/>
                <w:szCs w:val="18"/>
              </w:rPr>
            </w:pPr>
            <w:r w:rsidRPr="00F212E5">
              <w:rPr>
                <w:rFonts w:ascii="Arial" w:hAnsi="Arial" w:cs="Arial"/>
                <w:b/>
                <w:bCs/>
                <w:sz w:val="18"/>
                <w:szCs w:val="18"/>
              </w:rPr>
              <w:t xml:space="preserve">$1,985 </w:t>
            </w:r>
          </w:p>
        </w:tc>
        <w:tc>
          <w:tcPr>
            <w:tcW w:w="720" w:type="dxa"/>
            <w:tcBorders>
              <w:top w:val="single" w:sz="4" w:space="0" w:color="auto"/>
              <w:left w:val="nil"/>
              <w:bottom w:val="single" w:sz="4" w:space="0" w:color="auto"/>
              <w:right w:val="single" w:sz="4" w:space="0" w:color="auto"/>
            </w:tcBorders>
            <w:shd w:val="clear" w:color="auto" w:fill="auto"/>
          </w:tcPr>
          <w:p w:rsidR="004010FB" w:rsidRPr="00F212E5" w:rsidP="004010FB" w14:paraId="69BA1C6F" w14:textId="33AE9681">
            <w:pPr>
              <w:autoSpaceDE/>
              <w:autoSpaceDN/>
              <w:adjustRightInd/>
              <w:jc w:val="center"/>
              <w:rPr>
                <w:rFonts w:ascii="Calibri" w:hAnsi="Calibri" w:cs="Calibri"/>
                <w:color w:val="000000"/>
                <w:sz w:val="18"/>
                <w:szCs w:val="18"/>
              </w:rPr>
            </w:pPr>
            <w:r w:rsidRPr="00F212E5">
              <w:rPr>
                <w:rFonts w:ascii="Arial" w:hAnsi="Arial" w:cs="Arial"/>
                <w:b/>
                <w:bCs/>
                <w:sz w:val="18"/>
                <w:szCs w:val="18"/>
              </w:rPr>
              <w:t xml:space="preserve"> $-   </w:t>
            </w:r>
          </w:p>
        </w:tc>
        <w:tc>
          <w:tcPr>
            <w:tcW w:w="630" w:type="dxa"/>
            <w:tcBorders>
              <w:top w:val="single" w:sz="4" w:space="0" w:color="auto"/>
              <w:left w:val="nil"/>
              <w:bottom w:val="single" w:sz="4" w:space="0" w:color="auto"/>
              <w:right w:val="single" w:sz="4" w:space="0" w:color="auto"/>
            </w:tcBorders>
            <w:shd w:val="clear" w:color="auto" w:fill="auto"/>
          </w:tcPr>
          <w:p w:rsidR="004010FB" w:rsidRPr="00F212E5" w:rsidP="004010FB" w14:paraId="23E1AD56" w14:textId="1E3F356C">
            <w:pPr>
              <w:autoSpaceDE/>
              <w:autoSpaceDN/>
              <w:adjustRightInd/>
              <w:rPr>
                <w:rFonts w:ascii="Calibri" w:hAnsi="Calibri" w:cs="Calibri"/>
                <w:color w:val="000000"/>
                <w:sz w:val="18"/>
                <w:szCs w:val="18"/>
              </w:rPr>
            </w:pPr>
            <w:r w:rsidRPr="00F212E5">
              <w:rPr>
                <w:rFonts w:ascii="Arial" w:hAnsi="Arial" w:cs="Arial"/>
                <w:b/>
                <w:bCs/>
                <w:sz w:val="18"/>
                <w:szCs w:val="18"/>
              </w:rPr>
              <w:t xml:space="preserve"> $-   </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4010FB" w:rsidRPr="00F212E5" w:rsidP="004010FB" w14:paraId="23C37C02" w14:textId="3272749C">
            <w:pPr>
              <w:autoSpaceDE/>
              <w:autoSpaceDN/>
              <w:adjustRightInd/>
              <w:jc w:val="center"/>
              <w:rPr>
                <w:rFonts w:ascii="Calibri" w:hAnsi="Calibri" w:cs="Calibri"/>
                <w:color w:val="000000"/>
                <w:sz w:val="18"/>
                <w:szCs w:val="18"/>
              </w:rPr>
            </w:pPr>
            <w:r w:rsidRPr="00F212E5">
              <w:rPr>
                <w:rFonts w:ascii="Arial" w:hAnsi="Arial" w:cs="Arial"/>
                <w:b/>
                <w:bCs/>
                <w:sz w:val="18"/>
                <w:szCs w:val="18"/>
              </w:rPr>
              <w:t>1</w:t>
            </w:r>
          </w:p>
        </w:tc>
        <w:tc>
          <w:tcPr>
            <w:tcW w:w="900" w:type="dxa"/>
            <w:tcBorders>
              <w:top w:val="single" w:sz="4" w:space="0" w:color="auto"/>
              <w:left w:val="nil"/>
              <w:bottom w:val="single" w:sz="4" w:space="0" w:color="auto"/>
              <w:right w:val="single" w:sz="4" w:space="0" w:color="auto"/>
            </w:tcBorders>
            <w:shd w:val="clear" w:color="auto" w:fill="auto"/>
          </w:tcPr>
          <w:p w:rsidR="004010FB" w:rsidRPr="00F212E5" w:rsidP="004010FB" w14:paraId="1D79224F" w14:textId="7E63E4E6">
            <w:pPr>
              <w:autoSpaceDE/>
              <w:autoSpaceDN/>
              <w:adjustRightInd/>
              <w:jc w:val="center"/>
              <w:rPr>
                <w:rFonts w:ascii="Calibri" w:hAnsi="Calibri" w:cs="Calibri"/>
                <w:color w:val="000000"/>
                <w:sz w:val="18"/>
                <w:szCs w:val="18"/>
              </w:rPr>
            </w:pPr>
            <w:r w:rsidRPr="00F212E5">
              <w:rPr>
                <w:rFonts w:ascii="Arial" w:hAnsi="Arial" w:cs="Arial"/>
                <w:b/>
                <w:bCs/>
                <w:sz w:val="18"/>
                <w:szCs w:val="18"/>
              </w:rPr>
              <w:t>20</w:t>
            </w:r>
          </w:p>
        </w:tc>
        <w:tc>
          <w:tcPr>
            <w:tcW w:w="720" w:type="dxa"/>
            <w:tcBorders>
              <w:top w:val="single" w:sz="4" w:space="0" w:color="auto"/>
              <w:left w:val="nil"/>
              <w:bottom w:val="single" w:sz="4" w:space="0" w:color="auto"/>
              <w:right w:val="single" w:sz="4" w:space="0" w:color="auto"/>
            </w:tcBorders>
            <w:shd w:val="clear" w:color="auto" w:fill="auto"/>
          </w:tcPr>
          <w:p w:rsidR="004010FB" w:rsidRPr="00F212E5" w:rsidP="004010FB" w14:paraId="4B25F269" w14:textId="1CDA39FD">
            <w:pPr>
              <w:rPr>
                <w:sz w:val="18"/>
                <w:szCs w:val="18"/>
              </w:rPr>
            </w:pPr>
            <w:r w:rsidRPr="00F212E5">
              <w:rPr>
                <w:rFonts w:ascii="Arial" w:hAnsi="Arial" w:cs="Arial"/>
                <w:b/>
                <w:bCs/>
                <w:sz w:val="18"/>
                <w:szCs w:val="18"/>
              </w:rPr>
              <w:t>380</w:t>
            </w:r>
          </w:p>
        </w:tc>
        <w:tc>
          <w:tcPr>
            <w:tcW w:w="967" w:type="dxa"/>
            <w:tcBorders>
              <w:top w:val="single" w:sz="4" w:space="0" w:color="auto"/>
              <w:left w:val="nil"/>
              <w:bottom w:val="single" w:sz="4" w:space="0" w:color="auto"/>
              <w:right w:val="single" w:sz="4" w:space="0" w:color="auto"/>
            </w:tcBorders>
            <w:shd w:val="clear" w:color="auto" w:fill="auto"/>
          </w:tcPr>
          <w:p w:rsidR="004010FB" w:rsidRPr="00F212E5" w:rsidP="004010FB" w14:paraId="09D18B74" w14:textId="4AA88C98">
            <w:pPr>
              <w:jc w:val="center"/>
              <w:rPr>
                <w:sz w:val="18"/>
                <w:szCs w:val="18"/>
              </w:rPr>
            </w:pPr>
            <w:r w:rsidRPr="00F212E5">
              <w:rPr>
                <w:rFonts w:ascii="Arial" w:hAnsi="Arial" w:cs="Arial"/>
                <w:b/>
                <w:bCs/>
                <w:sz w:val="18"/>
                <w:szCs w:val="18"/>
              </w:rPr>
              <w:t xml:space="preserve">$39,707 </w:t>
            </w:r>
          </w:p>
        </w:tc>
      </w:tr>
      <w:tr w14:paraId="0F00BE0D" w14:textId="77777777" w:rsidTr="4A715EC3">
        <w:tblPrEx>
          <w:tblW w:w="13112" w:type="dxa"/>
          <w:tblLayout w:type="fixed"/>
          <w:tblLook w:val="04A0"/>
        </w:tblPrEx>
        <w:trPr>
          <w:trHeight w:val="525"/>
        </w:trPr>
        <w:tc>
          <w:tcPr>
            <w:tcW w:w="13112" w:type="dxa"/>
            <w:gridSpan w:val="15"/>
            <w:tcBorders>
              <w:top w:val="single" w:sz="4" w:space="0" w:color="auto"/>
              <w:bottom w:val="nil"/>
              <w:right w:val="nil"/>
            </w:tcBorders>
            <w:shd w:val="clear" w:color="auto" w:fill="auto"/>
            <w:vAlign w:val="center"/>
            <w:hideMark/>
          </w:tcPr>
          <w:p w:rsidR="000A78B1" w:rsidRPr="00F212E5" w:rsidP="000A78B1" w14:paraId="39718CA8" w14:textId="77777777">
            <w:pPr>
              <w:autoSpaceDE/>
              <w:autoSpaceDN/>
              <w:adjustRightInd/>
              <w:rPr>
                <w:color w:val="000000"/>
                <w:sz w:val="18"/>
                <w:szCs w:val="18"/>
              </w:rPr>
            </w:pPr>
            <w:r w:rsidRPr="00F212E5">
              <w:rPr>
                <w:color w:val="000000"/>
                <w:sz w:val="18"/>
                <w:szCs w:val="18"/>
                <w:vertAlign w:val="superscript"/>
              </w:rPr>
              <w:t>1</w:t>
            </w:r>
            <w:r w:rsidRPr="00F212E5">
              <w:rPr>
                <w:color w:val="000000"/>
                <w:sz w:val="18"/>
                <w:szCs w:val="18"/>
              </w:rPr>
              <w:t>Estimated Responses per Respondent refers to the number of times a respondent performs each task per year. Generally, this refers to the number of applications in each category, which is often the number of engine families.  In this case, there are no reporting burdens apart from reviewing the regulations, which is a one-time activity for each manufacturer.</w:t>
            </w:r>
          </w:p>
          <w:p w:rsidR="006D3FAD" w:rsidRPr="00F212E5" w:rsidP="000A78B1" w14:paraId="17A0CDB8" w14:textId="443B7E85">
            <w:pPr>
              <w:autoSpaceDE/>
              <w:autoSpaceDN/>
              <w:adjustRightInd/>
              <w:rPr>
                <w:color w:val="000000"/>
                <w:sz w:val="18"/>
                <w:szCs w:val="18"/>
              </w:rPr>
            </w:pPr>
          </w:p>
        </w:tc>
      </w:tr>
    </w:tbl>
    <w:p w:rsidR="006D3FAD" w:rsidRPr="00021E0C" w:rsidP="006D3FAD" w14:paraId="0E50939C" w14:textId="0FCE8963">
      <w:pPr>
        <w:autoSpaceDE/>
        <w:autoSpaceDN/>
        <w:adjustRightInd/>
        <w:spacing w:after="160" w:line="259" w:lineRule="auto"/>
        <w:rPr>
          <w:b/>
          <w:bCs/>
        </w:rPr>
        <w:sectPr w:rsidSect="0023657A">
          <w:pgSz w:w="15840" w:h="12240" w:orient="landscape"/>
          <w:pgMar w:top="1440" w:right="1440" w:bottom="1440" w:left="1440" w:header="720" w:footer="720" w:gutter="0"/>
          <w:cols w:space="720"/>
          <w:docGrid w:linePitch="360"/>
        </w:sectPr>
      </w:pPr>
    </w:p>
    <w:p w:rsidR="002B15D5" w:rsidRPr="00021E0C" w:rsidP="000A0844" w14:paraId="43B58143" w14:textId="3EA5ADEE">
      <w:pPr>
        <w:pStyle w:val="ICR3"/>
      </w:pPr>
      <w:r w:rsidRPr="00021E0C">
        <w:t>13. Provide an estimate for the total annual cost burden to respondents or record keepers</w:t>
      </w:r>
    </w:p>
    <w:p w:rsidR="002B15D5" w:rsidRPr="00021E0C" w:rsidP="002B15D5" w14:paraId="252CC467" w14:textId="77777777">
      <w:pPr>
        <w:pStyle w:val="NoSpacing"/>
        <w:rPr>
          <w:rFonts w:ascii="Times New Roman" w:hAnsi="Times New Roman" w:cs="Times New Roman"/>
          <w:b/>
          <w:bCs/>
          <w:sz w:val="24"/>
          <w:szCs w:val="24"/>
        </w:rPr>
      </w:pPr>
      <w:r w:rsidRPr="00021E0C">
        <w:rPr>
          <w:rFonts w:ascii="Times New Roman" w:hAnsi="Times New Roman" w:cs="Times New Roman"/>
          <w:b/>
          <w:bCs/>
          <w:sz w:val="24"/>
          <w:szCs w:val="24"/>
        </w:rPr>
        <w:t>resulting from the collection of information. (Do not include the cost of any hour burden</w:t>
      </w:r>
    </w:p>
    <w:p w:rsidR="002B15D5" w:rsidRPr="00021E0C" w:rsidP="002B15D5" w14:paraId="41776DD2" w14:textId="77777777">
      <w:pPr>
        <w:pStyle w:val="NoSpacing"/>
        <w:rPr>
          <w:rFonts w:ascii="Times New Roman" w:hAnsi="Times New Roman" w:cs="Times New Roman"/>
          <w:b/>
          <w:bCs/>
          <w:sz w:val="24"/>
          <w:szCs w:val="24"/>
        </w:rPr>
      </w:pPr>
      <w:r w:rsidRPr="00021E0C">
        <w:rPr>
          <w:rFonts w:ascii="Times New Roman" w:hAnsi="Times New Roman" w:cs="Times New Roman"/>
          <w:b/>
          <w:bCs/>
          <w:sz w:val="24"/>
          <w:szCs w:val="24"/>
        </w:rPr>
        <w:t>already reflected on the burden worksheet).</w:t>
      </w:r>
    </w:p>
    <w:p w:rsidR="00F05AF7" w:rsidRPr="00021E0C" w:rsidP="002B15D5" w14:paraId="20B35187" w14:textId="77777777">
      <w:pPr>
        <w:pStyle w:val="NoSpacing"/>
        <w:rPr>
          <w:rFonts w:ascii="Times New Roman" w:hAnsi="Times New Roman" w:cs="Times New Roman"/>
          <w:b/>
          <w:bCs/>
          <w:sz w:val="24"/>
          <w:szCs w:val="24"/>
        </w:rPr>
      </w:pPr>
    </w:p>
    <w:p w:rsidR="00E02925" w:rsidRPr="00021E0C" w:rsidP="00083F37" w14:paraId="3BD5F40B" w14:textId="77777777">
      <w:pPr>
        <w:pStyle w:val="NoSpacing"/>
        <w:numPr>
          <w:ilvl w:val="0"/>
          <w:numId w:val="18"/>
        </w:numPr>
        <w:rPr>
          <w:rFonts w:ascii="Times New Roman" w:hAnsi="Times New Roman" w:cs="Times New Roman"/>
          <w:b/>
          <w:bCs/>
          <w:sz w:val="24"/>
          <w:szCs w:val="24"/>
        </w:rPr>
      </w:pPr>
      <w:r w:rsidRPr="00021E0C">
        <w:rPr>
          <w:rFonts w:ascii="Times New Roman" w:hAnsi="Times New Roman" w:cs="Times New Roman"/>
          <w:b/>
          <w:bCs/>
          <w:sz w:val="24"/>
          <w:szCs w:val="24"/>
        </w:rPr>
        <w:t>The cost estimate should be split into two components: (a) a total capital and start-up cost</w:t>
      </w:r>
      <w:r w:rsidRPr="00021E0C" w:rsidR="00F05AF7">
        <w:rPr>
          <w:rFonts w:ascii="Times New Roman" w:hAnsi="Times New Roman" w:cs="Times New Roman"/>
          <w:b/>
          <w:bCs/>
          <w:sz w:val="24"/>
          <w:szCs w:val="24"/>
        </w:rPr>
        <w:t xml:space="preserve"> </w:t>
      </w:r>
      <w:r w:rsidRPr="00021E0C">
        <w:rPr>
          <w:rFonts w:ascii="Times New Roman" w:hAnsi="Times New Roman" w:cs="Times New Roman"/>
          <w:b/>
          <w:bCs/>
          <w:sz w:val="24"/>
          <w:szCs w:val="24"/>
        </w:rPr>
        <w:t>component (annualized over its expected useful life) and (b) a total operation and</w:t>
      </w:r>
      <w:r w:rsidRPr="00021E0C" w:rsidR="00F05AF7">
        <w:rPr>
          <w:rFonts w:ascii="Times New Roman" w:hAnsi="Times New Roman" w:cs="Times New Roman"/>
          <w:b/>
          <w:bCs/>
          <w:sz w:val="24"/>
          <w:szCs w:val="24"/>
        </w:rPr>
        <w:t xml:space="preserve"> </w:t>
      </w:r>
      <w:r w:rsidRPr="00021E0C">
        <w:rPr>
          <w:rFonts w:ascii="Times New Roman" w:hAnsi="Times New Roman" w:cs="Times New Roman"/>
          <w:b/>
          <w:bCs/>
          <w:sz w:val="24"/>
          <w:szCs w:val="24"/>
        </w:rPr>
        <w:t>maintenance and purchase of services component. The estimates should take into account</w:t>
      </w:r>
      <w:r w:rsidRPr="00021E0C" w:rsidR="00F05AF7">
        <w:rPr>
          <w:rFonts w:ascii="Times New Roman" w:hAnsi="Times New Roman" w:cs="Times New Roman"/>
          <w:b/>
          <w:bCs/>
          <w:sz w:val="24"/>
          <w:szCs w:val="24"/>
        </w:rPr>
        <w:t xml:space="preserve"> </w:t>
      </w:r>
      <w:r w:rsidRPr="00021E0C">
        <w:rPr>
          <w:rFonts w:ascii="Times New Roman" w:hAnsi="Times New Roman" w:cs="Times New Roman"/>
          <w:b/>
          <w:bCs/>
          <w:sz w:val="24"/>
          <w:szCs w:val="24"/>
        </w:rPr>
        <w:t>costs associated with generating, maintaining, and disclosing or providing the</w:t>
      </w:r>
      <w:r w:rsidRPr="00021E0C" w:rsidR="00F05AF7">
        <w:rPr>
          <w:rFonts w:ascii="Times New Roman" w:hAnsi="Times New Roman" w:cs="Times New Roman"/>
          <w:b/>
          <w:bCs/>
          <w:sz w:val="24"/>
          <w:szCs w:val="24"/>
        </w:rPr>
        <w:t xml:space="preserve"> </w:t>
      </w:r>
      <w:r w:rsidRPr="00021E0C">
        <w:rPr>
          <w:rFonts w:ascii="Times New Roman" w:hAnsi="Times New Roman" w:cs="Times New Roman"/>
          <w:b/>
          <w:bCs/>
          <w:sz w:val="24"/>
          <w:szCs w:val="24"/>
        </w:rPr>
        <w:t>information. Include descriptions of methods used to estimate major cost factors</w:t>
      </w:r>
      <w:r w:rsidRPr="00021E0C" w:rsidR="00F05AF7">
        <w:rPr>
          <w:rFonts w:ascii="Times New Roman" w:hAnsi="Times New Roman" w:cs="Times New Roman"/>
          <w:b/>
          <w:bCs/>
          <w:sz w:val="24"/>
          <w:szCs w:val="24"/>
        </w:rPr>
        <w:t xml:space="preserve"> </w:t>
      </w:r>
      <w:r w:rsidRPr="00021E0C">
        <w:rPr>
          <w:rFonts w:ascii="Times New Roman" w:hAnsi="Times New Roman" w:cs="Times New Roman"/>
          <w:b/>
          <w:bCs/>
          <w:sz w:val="24"/>
          <w:szCs w:val="24"/>
        </w:rPr>
        <w:t>including system and technology acquisition, expected useful life of capital equipment,</w:t>
      </w:r>
      <w:r w:rsidRPr="00021E0C" w:rsidR="00F05AF7">
        <w:rPr>
          <w:rFonts w:ascii="Times New Roman" w:hAnsi="Times New Roman" w:cs="Times New Roman"/>
          <w:b/>
          <w:bCs/>
          <w:sz w:val="24"/>
          <w:szCs w:val="24"/>
        </w:rPr>
        <w:t xml:space="preserve"> </w:t>
      </w:r>
      <w:r w:rsidRPr="00021E0C">
        <w:rPr>
          <w:rFonts w:ascii="Times New Roman" w:hAnsi="Times New Roman" w:cs="Times New Roman"/>
          <w:b/>
          <w:bCs/>
          <w:sz w:val="24"/>
          <w:szCs w:val="24"/>
        </w:rPr>
        <w:t>the discount rate(s), and the time period over which costs will be incurred. Capital and</w:t>
      </w:r>
      <w:r w:rsidRPr="00021E0C" w:rsidR="00F05AF7">
        <w:rPr>
          <w:rFonts w:ascii="Times New Roman" w:hAnsi="Times New Roman" w:cs="Times New Roman"/>
          <w:b/>
          <w:bCs/>
          <w:sz w:val="24"/>
          <w:szCs w:val="24"/>
        </w:rPr>
        <w:t xml:space="preserve"> </w:t>
      </w:r>
      <w:r w:rsidRPr="00021E0C">
        <w:rPr>
          <w:rFonts w:ascii="Times New Roman" w:hAnsi="Times New Roman" w:cs="Times New Roman"/>
          <w:b/>
          <w:bCs/>
          <w:sz w:val="24"/>
          <w:szCs w:val="24"/>
        </w:rPr>
        <w:t>start-up costs include, among other items, preparations for collecting information such as</w:t>
      </w:r>
      <w:r w:rsidRPr="00021E0C" w:rsidR="00F05AF7">
        <w:rPr>
          <w:rFonts w:ascii="Times New Roman" w:hAnsi="Times New Roman" w:cs="Times New Roman"/>
          <w:b/>
          <w:bCs/>
          <w:sz w:val="24"/>
          <w:szCs w:val="24"/>
        </w:rPr>
        <w:t xml:space="preserve"> </w:t>
      </w:r>
      <w:r w:rsidRPr="00021E0C">
        <w:rPr>
          <w:rFonts w:ascii="Times New Roman" w:hAnsi="Times New Roman" w:cs="Times New Roman"/>
          <w:b/>
          <w:bCs/>
          <w:sz w:val="24"/>
          <w:szCs w:val="24"/>
        </w:rPr>
        <w:t>purchasing computers and software; monitoring, sampling, drilling and testing</w:t>
      </w:r>
      <w:r w:rsidRPr="00021E0C" w:rsidR="00F05AF7">
        <w:rPr>
          <w:rFonts w:ascii="Times New Roman" w:hAnsi="Times New Roman" w:cs="Times New Roman"/>
          <w:b/>
          <w:bCs/>
          <w:sz w:val="24"/>
          <w:szCs w:val="24"/>
        </w:rPr>
        <w:t xml:space="preserve"> </w:t>
      </w:r>
      <w:r w:rsidRPr="00021E0C">
        <w:rPr>
          <w:rFonts w:ascii="Times New Roman" w:hAnsi="Times New Roman" w:cs="Times New Roman"/>
          <w:b/>
          <w:bCs/>
          <w:sz w:val="24"/>
          <w:szCs w:val="24"/>
        </w:rPr>
        <w:t>equipment; and record storage facilities.</w:t>
      </w:r>
    </w:p>
    <w:p w:rsidR="00E02925" w:rsidRPr="00021E0C" w:rsidP="00083F37" w14:paraId="5B637628" w14:textId="77777777">
      <w:pPr>
        <w:pStyle w:val="NoSpacing"/>
        <w:numPr>
          <w:ilvl w:val="0"/>
          <w:numId w:val="18"/>
        </w:numPr>
        <w:rPr>
          <w:rFonts w:ascii="Times New Roman" w:hAnsi="Times New Roman" w:cs="Times New Roman"/>
          <w:b/>
          <w:bCs/>
          <w:sz w:val="24"/>
          <w:szCs w:val="24"/>
        </w:rPr>
      </w:pPr>
      <w:r w:rsidRPr="00021E0C">
        <w:rPr>
          <w:rFonts w:ascii="Times New Roman" w:hAnsi="Times New Roman" w:cs="Times New Roman"/>
          <w:b/>
          <w:bCs/>
          <w:sz w:val="24"/>
          <w:szCs w:val="24"/>
        </w:rPr>
        <w:t>If cost estimates are expected to vary widely, agencies should present ranges of cost</w:t>
      </w:r>
      <w:r w:rsidRPr="00021E0C">
        <w:rPr>
          <w:rFonts w:ascii="Times New Roman" w:hAnsi="Times New Roman" w:cs="Times New Roman"/>
          <w:b/>
          <w:bCs/>
          <w:sz w:val="24"/>
          <w:szCs w:val="24"/>
        </w:rPr>
        <w:t xml:space="preserve"> </w:t>
      </w:r>
      <w:r w:rsidRPr="00021E0C">
        <w:rPr>
          <w:rFonts w:ascii="Times New Roman" w:hAnsi="Times New Roman" w:cs="Times New Roman"/>
          <w:b/>
          <w:bCs/>
          <w:sz w:val="24"/>
          <w:szCs w:val="24"/>
        </w:rPr>
        <w:t>burdens and explain the reasons for the variance. The cost of purchasing or contracting</w:t>
      </w:r>
      <w:r w:rsidRPr="00021E0C">
        <w:rPr>
          <w:rFonts w:ascii="Times New Roman" w:hAnsi="Times New Roman" w:cs="Times New Roman"/>
          <w:b/>
          <w:bCs/>
          <w:sz w:val="24"/>
          <w:szCs w:val="24"/>
        </w:rPr>
        <w:t xml:space="preserve"> </w:t>
      </w:r>
      <w:r w:rsidRPr="00021E0C">
        <w:rPr>
          <w:rFonts w:ascii="Times New Roman" w:hAnsi="Times New Roman" w:cs="Times New Roman"/>
          <w:b/>
          <w:bCs/>
          <w:sz w:val="24"/>
          <w:szCs w:val="24"/>
        </w:rPr>
        <w:t>out information collections services should be a part of this cost burden estimate. In</w:t>
      </w:r>
      <w:r w:rsidRPr="00021E0C">
        <w:rPr>
          <w:rFonts w:ascii="Times New Roman" w:hAnsi="Times New Roman" w:cs="Times New Roman"/>
          <w:b/>
          <w:bCs/>
          <w:sz w:val="24"/>
          <w:szCs w:val="24"/>
        </w:rPr>
        <w:t xml:space="preserve"> </w:t>
      </w:r>
      <w:r w:rsidRPr="00021E0C">
        <w:rPr>
          <w:rFonts w:ascii="Times New Roman" w:hAnsi="Times New Roman" w:cs="Times New Roman"/>
          <w:b/>
          <w:bCs/>
          <w:sz w:val="24"/>
          <w:szCs w:val="24"/>
        </w:rPr>
        <w:t>developing cost burden estimates, agencies may consult with a sample of respondents</w:t>
      </w:r>
      <w:r w:rsidRPr="00021E0C">
        <w:rPr>
          <w:rFonts w:ascii="Times New Roman" w:hAnsi="Times New Roman" w:cs="Times New Roman"/>
          <w:b/>
          <w:bCs/>
          <w:sz w:val="24"/>
          <w:szCs w:val="24"/>
        </w:rPr>
        <w:t xml:space="preserve"> </w:t>
      </w:r>
      <w:r w:rsidRPr="00021E0C">
        <w:rPr>
          <w:rFonts w:ascii="Times New Roman" w:hAnsi="Times New Roman" w:cs="Times New Roman"/>
          <w:b/>
          <w:bCs/>
          <w:sz w:val="24"/>
          <w:szCs w:val="24"/>
        </w:rPr>
        <w:t>(fewer than 10), utilize the 60-day pre-OMB submission public comment process and use</w:t>
      </w:r>
      <w:r w:rsidRPr="00021E0C">
        <w:rPr>
          <w:rFonts w:ascii="Times New Roman" w:hAnsi="Times New Roman" w:cs="Times New Roman"/>
          <w:b/>
          <w:bCs/>
          <w:sz w:val="24"/>
          <w:szCs w:val="24"/>
        </w:rPr>
        <w:t xml:space="preserve"> </w:t>
      </w:r>
      <w:r w:rsidRPr="00021E0C">
        <w:rPr>
          <w:rFonts w:ascii="Times New Roman" w:hAnsi="Times New Roman" w:cs="Times New Roman"/>
          <w:b/>
          <w:bCs/>
          <w:sz w:val="24"/>
          <w:szCs w:val="24"/>
        </w:rPr>
        <w:t>existing economic or regulatory impact analysis associated with the rulemaking</w:t>
      </w:r>
      <w:r w:rsidRPr="00021E0C">
        <w:rPr>
          <w:rFonts w:ascii="Times New Roman" w:hAnsi="Times New Roman" w:cs="Times New Roman"/>
          <w:b/>
          <w:bCs/>
          <w:sz w:val="24"/>
          <w:szCs w:val="24"/>
        </w:rPr>
        <w:t xml:space="preserve"> </w:t>
      </w:r>
      <w:r w:rsidRPr="00021E0C">
        <w:rPr>
          <w:rFonts w:ascii="Times New Roman" w:hAnsi="Times New Roman" w:cs="Times New Roman"/>
          <w:b/>
          <w:bCs/>
          <w:sz w:val="24"/>
          <w:szCs w:val="24"/>
        </w:rPr>
        <w:t>containing the information collection, as appropriate.</w:t>
      </w:r>
    </w:p>
    <w:p w:rsidR="00F81FD0" w:rsidRPr="00021E0C" w:rsidP="00F377EE" w14:paraId="5BA55A49" w14:textId="78182A13">
      <w:pPr>
        <w:pStyle w:val="NoSpacing"/>
        <w:numPr>
          <w:ilvl w:val="0"/>
          <w:numId w:val="18"/>
        </w:numPr>
        <w:rPr>
          <w:rFonts w:ascii="Times New Roman" w:hAnsi="Times New Roman" w:cs="Times New Roman"/>
          <w:sz w:val="24"/>
          <w:szCs w:val="24"/>
        </w:rPr>
      </w:pPr>
      <w:r w:rsidRPr="00021E0C">
        <w:rPr>
          <w:rFonts w:ascii="Times New Roman" w:hAnsi="Times New Roman" w:cs="Times New Roman"/>
          <w:b/>
          <w:bCs/>
          <w:sz w:val="24"/>
          <w:szCs w:val="24"/>
        </w:rPr>
        <w:t>Generally, estimates should not include purchases of equipment or services, or portions</w:t>
      </w:r>
      <w:r w:rsidRPr="00021E0C" w:rsidR="00E02925">
        <w:rPr>
          <w:rFonts w:ascii="Times New Roman" w:hAnsi="Times New Roman" w:cs="Times New Roman"/>
          <w:b/>
          <w:bCs/>
          <w:sz w:val="24"/>
          <w:szCs w:val="24"/>
        </w:rPr>
        <w:t xml:space="preserve"> </w:t>
      </w:r>
      <w:r w:rsidRPr="00021E0C">
        <w:rPr>
          <w:rFonts w:ascii="Times New Roman" w:hAnsi="Times New Roman" w:cs="Times New Roman"/>
          <w:b/>
          <w:bCs/>
          <w:sz w:val="24"/>
          <w:szCs w:val="24"/>
        </w:rPr>
        <w:t>thereof, made: (1) prior to October 1, 1995, (2) to achieve regulatory compliance with</w:t>
      </w:r>
      <w:r w:rsidRPr="00021E0C" w:rsidR="00E02925">
        <w:rPr>
          <w:rFonts w:ascii="Times New Roman" w:hAnsi="Times New Roman" w:cs="Times New Roman"/>
          <w:b/>
          <w:bCs/>
          <w:sz w:val="24"/>
          <w:szCs w:val="24"/>
        </w:rPr>
        <w:t xml:space="preserve"> </w:t>
      </w:r>
      <w:r w:rsidRPr="00021E0C">
        <w:rPr>
          <w:rFonts w:ascii="Times New Roman" w:hAnsi="Times New Roman" w:cs="Times New Roman"/>
          <w:b/>
          <w:bCs/>
          <w:sz w:val="24"/>
          <w:szCs w:val="24"/>
        </w:rPr>
        <w:t>requirements not associated with the information collection, (3) for reasons other than to</w:t>
      </w:r>
      <w:r w:rsidRPr="00021E0C" w:rsidR="00E02925">
        <w:rPr>
          <w:rFonts w:ascii="Times New Roman" w:hAnsi="Times New Roman" w:cs="Times New Roman"/>
          <w:b/>
          <w:bCs/>
          <w:sz w:val="24"/>
          <w:szCs w:val="24"/>
        </w:rPr>
        <w:t xml:space="preserve"> </w:t>
      </w:r>
      <w:r w:rsidRPr="00021E0C">
        <w:rPr>
          <w:rFonts w:ascii="Times New Roman" w:hAnsi="Times New Roman" w:cs="Times New Roman"/>
          <w:b/>
          <w:bCs/>
          <w:sz w:val="24"/>
          <w:szCs w:val="24"/>
        </w:rPr>
        <w:t>provide information or keep records for the government, or (4) as part of customary and</w:t>
      </w:r>
      <w:r w:rsidRPr="00021E0C" w:rsidR="00E02925">
        <w:rPr>
          <w:rFonts w:ascii="Times New Roman" w:hAnsi="Times New Roman" w:cs="Times New Roman"/>
          <w:b/>
          <w:bCs/>
          <w:sz w:val="24"/>
          <w:szCs w:val="24"/>
        </w:rPr>
        <w:t xml:space="preserve"> </w:t>
      </w:r>
      <w:r w:rsidRPr="00021E0C">
        <w:rPr>
          <w:rFonts w:ascii="Times New Roman" w:hAnsi="Times New Roman" w:cs="Times New Roman"/>
          <w:b/>
          <w:bCs/>
          <w:sz w:val="24"/>
          <w:szCs w:val="24"/>
        </w:rPr>
        <w:t>usual business or private practices.</w:t>
      </w:r>
    </w:p>
    <w:p w:rsidR="00BA2370" w:rsidRPr="00021E0C" w:rsidP="00E02925" w14:paraId="46F8DC3D" w14:textId="634CBB09">
      <w:pPr>
        <w:autoSpaceDE/>
        <w:autoSpaceDN/>
        <w:adjustRightInd/>
        <w:spacing w:after="160" w:line="259" w:lineRule="auto"/>
        <w:ind w:left="360"/>
      </w:pPr>
    </w:p>
    <w:p w:rsidR="008F12F4" w:rsidRPr="00021E0C" w:rsidP="0054564D" w14:paraId="18323B1A" w14:textId="0586C13F">
      <w:pPr>
        <w:autoSpaceDE/>
        <w:autoSpaceDN/>
        <w:adjustRightInd/>
        <w:spacing w:after="160" w:line="259" w:lineRule="auto"/>
        <w:ind w:left="360"/>
      </w:pPr>
      <w:r w:rsidRPr="00021E0C">
        <w:t xml:space="preserve">The total cost burden to respondents or record keepers resulting from the collection of information, as set out Table 2, is </w:t>
      </w:r>
      <w:r w:rsidRPr="00021E0C" w:rsidR="001B1731">
        <w:t>estimated to be</w:t>
      </w:r>
      <w:r w:rsidRPr="00021E0C">
        <w:t xml:space="preserve"> $</w:t>
      </w:r>
      <w:r w:rsidRPr="00021E0C" w:rsidR="00942A24">
        <w:t>39,707</w:t>
      </w:r>
      <w:r w:rsidRPr="00021E0C">
        <w:t xml:space="preserve">.  </w:t>
      </w:r>
      <w:r w:rsidRPr="00021E0C" w:rsidR="00086F1A">
        <w:t xml:space="preserve">There are no O&amp;M </w:t>
      </w:r>
      <w:r w:rsidRPr="00021E0C" w:rsidR="0054564D">
        <w:t xml:space="preserve">or capital start-up costs associated with applying for the waiver.  </w:t>
      </w:r>
    </w:p>
    <w:p w:rsidR="0054564D" w:rsidRPr="00021E0C" w:rsidP="0054564D" w14:paraId="3E21276E" w14:textId="77777777">
      <w:pPr>
        <w:autoSpaceDE/>
        <w:autoSpaceDN/>
        <w:adjustRightInd/>
        <w:spacing w:after="160" w:line="259" w:lineRule="auto"/>
        <w:ind w:left="360"/>
      </w:pPr>
    </w:p>
    <w:p w:rsidR="002B15D5" w:rsidRPr="00021E0C" w:rsidP="000A0844" w14:paraId="625FC786" w14:textId="2E098099">
      <w:pPr>
        <w:pStyle w:val="ICR3"/>
      </w:pPr>
      <w:r w:rsidRPr="00021E0C">
        <w:t>14. Provide estimates of annualized costs to the Federal government. Also, provide a description</w:t>
      </w:r>
      <w:r w:rsidRPr="00021E0C" w:rsidR="00D85166">
        <w:t xml:space="preserve"> </w:t>
      </w:r>
      <w:r w:rsidRPr="00021E0C">
        <w:t>of the method used to estimate cost, which should include quantification of hours,</w:t>
      </w:r>
      <w:r w:rsidRPr="00021E0C" w:rsidR="00C11EAA">
        <w:t xml:space="preserve"> </w:t>
      </w:r>
      <w:r w:rsidRPr="00021E0C">
        <w:t>operational expenses (such as equipment, overhead, printing, and support staff), and any</w:t>
      </w:r>
      <w:r w:rsidRPr="00021E0C" w:rsidR="00C11EAA">
        <w:t xml:space="preserve"> </w:t>
      </w:r>
      <w:r w:rsidRPr="00021E0C">
        <w:t>other expense that would not have been incurred without this collection of information.</w:t>
      </w:r>
      <w:r w:rsidRPr="00021E0C" w:rsidR="00C11EAA">
        <w:t xml:space="preserve"> </w:t>
      </w:r>
      <w:r w:rsidRPr="00021E0C">
        <w:t>Agencies may also aggregate cost estimates from Items 12, 13, and 14 in a single table.</w:t>
      </w:r>
    </w:p>
    <w:p w:rsidR="00D85166" w:rsidRPr="00021E0C" w:rsidP="00D85166" w14:paraId="4F00244D" w14:textId="26035FEA">
      <w:pPr>
        <w:pStyle w:val="NoSpacing"/>
        <w:rPr>
          <w:rFonts w:ascii="Times New Roman" w:hAnsi="Times New Roman" w:cs="Times New Roman"/>
          <w:sz w:val="24"/>
          <w:szCs w:val="24"/>
        </w:rPr>
      </w:pPr>
      <w:r w:rsidRPr="00021E0C">
        <w:rPr>
          <w:rFonts w:ascii="Times New Roman" w:hAnsi="Times New Roman" w:cs="Times New Roman"/>
          <w:b/>
          <w:bCs/>
          <w:sz w:val="24"/>
          <w:szCs w:val="24"/>
        </w:rPr>
        <w:tab/>
      </w:r>
    </w:p>
    <w:p w:rsidR="006E51AC" w:rsidRPr="00021E0C" w:rsidP="001577E6" w14:paraId="392BF1A2" w14:textId="42A49C8B">
      <w:pPr>
        <w:autoSpaceDE/>
        <w:autoSpaceDN/>
        <w:adjustRightInd/>
        <w:spacing w:after="160" w:line="259" w:lineRule="auto"/>
        <w:ind w:left="360"/>
      </w:pPr>
      <w:r w:rsidRPr="00021E0C">
        <w:t xml:space="preserve">EPA has </w:t>
      </w:r>
      <w:r w:rsidRPr="00021E0C" w:rsidR="0040517B">
        <w:t xml:space="preserve">had </w:t>
      </w:r>
      <w:r w:rsidRPr="00021E0C">
        <w:t xml:space="preserve">a certification process in place for </w:t>
      </w:r>
      <w:r w:rsidRPr="00021E0C" w:rsidR="00610667">
        <w:t>marine diesel engines for several years</w:t>
      </w:r>
      <w:r w:rsidRPr="00021E0C">
        <w:t>.</w:t>
      </w:r>
      <w:r w:rsidRPr="00021E0C" w:rsidR="0040517B">
        <w:t xml:space="preserve">  </w:t>
      </w:r>
      <w:r w:rsidRPr="00021E0C" w:rsidR="003B0D08">
        <w:t xml:space="preserve">EPA is not expecting </w:t>
      </w:r>
      <w:r w:rsidRPr="00021E0C" w:rsidR="007145CF">
        <w:t>each potentially-affected</w:t>
      </w:r>
      <w:r w:rsidRPr="00021E0C" w:rsidR="00646E7A">
        <w:t xml:space="preserve"> </w:t>
      </w:r>
      <w:r w:rsidRPr="00021E0C" w:rsidR="003B0D08">
        <w:t>boat manufacturer to apply for the waiver because, in most cases, suitable engines are expected to become available</w:t>
      </w:r>
      <w:r w:rsidRPr="00021E0C" w:rsidR="00FC22D1">
        <w:t xml:space="preserve">.  In those cases where a waiver is submitted, </w:t>
      </w:r>
      <w:r w:rsidRPr="00021E0C" w:rsidR="00DC1587">
        <w:t xml:space="preserve">EPA will review the information and evaluate (1) whether the boat builder described efforts taken to identify available engines certified to the Tier 4 standards and design efforts for installing engines in the subject vessels, and (2) whether the boat </w:t>
      </w:r>
      <w:r w:rsidRPr="00021E0C" w:rsidR="00DC1587">
        <w:t xml:space="preserve">builder identified the number of vessels needing exempt engines.  EPA will inform the boat builder whether the request is approved.  </w:t>
      </w:r>
      <w:r w:rsidRPr="00021E0C" w:rsidR="00361305">
        <w:t xml:space="preserve">This review will be performed by personnel who are currently </w:t>
      </w:r>
      <w:r w:rsidRPr="00021E0C" w:rsidR="008D72A3">
        <w:t>involved in marine diesel engine certification</w:t>
      </w:r>
      <w:r w:rsidRPr="00021E0C" w:rsidR="00A37574">
        <w:t>.  G</w:t>
      </w:r>
      <w:r w:rsidRPr="00021E0C" w:rsidR="00FC22D1">
        <w:t xml:space="preserve">iven the expected low volume of applications, </w:t>
      </w:r>
      <w:r w:rsidRPr="00021E0C" w:rsidR="008D72A3">
        <w:t xml:space="preserve">additional resources are </w:t>
      </w:r>
      <w:r w:rsidRPr="00021E0C" w:rsidR="00A37574">
        <w:t xml:space="preserve">not </w:t>
      </w:r>
      <w:r w:rsidRPr="00021E0C" w:rsidR="008D72A3">
        <w:t xml:space="preserve">expected to be required. </w:t>
      </w:r>
      <w:r w:rsidRPr="00021E0C" w:rsidR="003B0D08">
        <w:t xml:space="preserve"> </w:t>
      </w:r>
      <w:r w:rsidRPr="00021E0C" w:rsidR="008D72A3">
        <w:t>Thus, the</w:t>
      </w:r>
      <w:r w:rsidRPr="00021E0C" w:rsidR="009D1A9A">
        <w:t xml:space="preserve">re is no Agency-specific burden associated with the waiver program.  </w:t>
      </w:r>
      <w:r w:rsidRPr="00021E0C" w:rsidR="005E1637">
        <w:t>The Agency burden is set out in Table 3.</w:t>
      </w:r>
    </w:p>
    <w:p w:rsidR="00405F4F" w:rsidRPr="00021E0C" w:rsidP="00405F4F" w14:paraId="310E53D5" w14:textId="77777777">
      <w:pPr>
        <w:autoSpaceDE/>
        <w:autoSpaceDN/>
        <w:adjustRightInd/>
        <w:spacing w:after="160" w:line="259" w:lineRule="auto"/>
      </w:pPr>
    </w:p>
    <w:p w:rsidR="00BB757D" w:rsidRPr="00021E0C" w:rsidP="00BB757D" w14:paraId="368ADA33" w14:textId="376F3409">
      <w:pPr>
        <w:pStyle w:val="Caption"/>
        <w:keepNext/>
        <w:jc w:val="center"/>
        <w:rPr>
          <w:sz w:val="24"/>
          <w:szCs w:val="24"/>
        </w:rPr>
      </w:pPr>
      <w:r w:rsidRPr="00021E0C">
        <w:rPr>
          <w:sz w:val="24"/>
          <w:szCs w:val="24"/>
        </w:rPr>
        <w:t xml:space="preserve">Table </w:t>
      </w:r>
      <w:r w:rsidRPr="00021E0C">
        <w:rPr>
          <w:sz w:val="24"/>
          <w:szCs w:val="24"/>
        </w:rPr>
        <w:fldChar w:fldCharType="begin"/>
      </w:r>
      <w:r w:rsidRPr="00021E0C">
        <w:rPr>
          <w:sz w:val="24"/>
          <w:szCs w:val="24"/>
        </w:rPr>
        <w:instrText xml:space="preserve"> SEQ Table \* ARABIC </w:instrText>
      </w:r>
      <w:r w:rsidRPr="00021E0C">
        <w:rPr>
          <w:sz w:val="24"/>
          <w:szCs w:val="24"/>
        </w:rPr>
        <w:fldChar w:fldCharType="separate"/>
      </w:r>
      <w:r w:rsidRPr="00021E0C">
        <w:rPr>
          <w:noProof/>
          <w:sz w:val="24"/>
          <w:szCs w:val="24"/>
        </w:rPr>
        <w:t>3</w:t>
      </w:r>
      <w:r w:rsidRPr="00021E0C">
        <w:rPr>
          <w:sz w:val="24"/>
          <w:szCs w:val="24"/>
        </w:rPr>
        <w:fldChar w:fldCharType="end"/>
      </w:r>
      <w:r w:rsidRPr="00021E0C">
        <w:rPr>
          <w:sz w:val="24"/>
          <w:szCs w:val="24"/>
        </w:rPr>
        <w:t xml:space="preserve"> - EPA Burden</w:t>
      </w:r>
    </w:p>
    <w:tbl>
      <w:tblPr>
        <w:tblW w:w="3783"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tblPr>
      <w:tblGrid>
        <w:gridCol w:w="3324"/>
        <w:gridCol w:w="1734"/>
        <w:gridCol w:w="2016"/>
      </w:tblGrid>
      <w:tr w14:paraId="3C1963E3" w14:textId="77777777" w:rsidTr="00CB10CC">
        <w:tblPrEx>
          <w:tblW w:w="3783"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tblPrEx>
        <w:trPr>
          <w:trHeight w:val="1080"/>
          <w:jc w:val="center"/>
        </w:trPr>
        <w:tc>
          <w:tcPr>
            <w:tcW w:w="3321" w:type="dxa"/>
            <w:tcBorders>
              <w:top w:val="single" w:sz="4" w:space="0" w:color="auto"/>
              <w:left w:val="single" w:sz="4" w:space="0" w:color="auto"/>
              <w:bottom w:val="single" w:sz="4" w:space="0" w:color="auto"/>
            </w:tcBorders>
            <w:shd w:val="clear" w:color="000000" w:fill="BFBFBF"/>
            <w:vAlign w:val="center"/>
            <w:hideMark/>
          </w:tcPr>
          <w:p w:rsidR="00970CEF" w:rsidRPr="00021E0C" w:rsidP="00BB757D" w14:paraId="0C48D4A1" w14:textId="77777777">
            <w:pPr>
              <w:jc w:val="center"/>
              <w:rPr>
                <w:rFonts w:cs="Arial"/>
                <w:b/>
                <w:bCs/>
                <w:color w:val="000000"/>
              </w:rPr>
            </w:pPr>
            <w:r w:rsidRPr="00021E0C">
              <w:rPr>
                <w:rFonts w:cs="Arial"/>
                <w:b/>
                <w:bCs/>
                <w:color w:val="000000"/>
              </w:rPr>
              <w:t>Collection Activity</w:t>
            </w:r>
          </w:p>
        </w:tc>
        <w:tc>
          <w:tcPr>
            <w:tcW w:w="1732" w:type="dxa"/>
            <w:tcBorders>
              <w:top w:val="single" w:sz="4" w:space="0" w:color="auto"/>
              <w:bottom w:val="single" w:sz="4" w:space="0" w:color="auto"/>
            </w:tcBorders>
            <w:shd w:val="clear" w:color="000000" w:fill="BFBFBF"/>
            <w:vAlign w:val="center"/>
            <w:hideMark/>
          </w:tcPr>
          <w:p w:rsidR="00970CEF" w:rsidRPr="00021E0C" w:rsidP="00BB757D" w14:paraId="6111CB13" w14:textId="4B40CC7B">
            <w:pPr>
              <w:jc w:val="center"/>
              <w:rPr>
                <w:rFonts w:cs="Arial"/>
                <w:b/>
                <w:bCs/>
                <w:color w:val="000000"/>
              </w:rPr>
            </w:pPr>
            <w:r w:rsidRPr="00021E0C">
              <w:rPr>
                <w:rFonts w:cs="Arial"/>
                <w:b/>
                <w:bCs/>
                <w:color w:val="000000"/>
              </w:rPr>
              <w:t xml:space="preserve">Total EPA Burden </w:t>
            </w:r>
            <w:r w:rsidRPr="00021E0C" w:rsidR="001746C0">
              <w:rPr>
                <w:rFonts w:cs="Arial"/>
                <w:b/>
                <w:bCs/>
                <w:color w:val="000000"/>
              </w:rPr>
              <w:t xml:space="preserve">- </w:t>
            </w:r>
            <w:r w:rsidRPr="00021E0C">
              <w:rPr>
                <w:rFonts w:cs="Arial"/>
                <w:b/>
                <w:bCs/>
                <w:color w:val="000000"/>
              </w:rPr>
              <w:t>Hours</w:t>
            </w:r>
          </w:p>
        </w:tc>
        <w:tc>
          <w:tcPr>
            <w:tcW w:w="2014" w:type="dxa"/>
            <w:tcBorders>
              <w:top w:val="single" w:sz="4" w:space="0" w:color="auto"/>
              <w:bottom w:val="single" w:sz="4" w:space="0" w:color="auto"/>
              <w:right w:val="single" w:sz="4" w:space="0" w:color="auto"/>
            </w:tcBorders>
            <w:shd w:val="clear" w:color="000000" w:fill="BFBFBF"/>
            <w:vAlign w:val="center"/>
            <w:hideMark/>
          </w:tcPr>
          <w:p w:rsidR="00970CEF" w:rsidRPr="00021E0C" w:rsidP="00BB757D" w14:paraId="02A886A7" w14:textId="2F6D6C3C">
            <w:pPr>
              <w:jc w:val="center"/>
              <w:rPr>
                <w:rFonts w:cs="Arial"/>
                <w:b/>
                <w:bCs/>
                <w:color w:val="000000"/>
              </w:rPr>
            </w:pPr>
            <w:r w:rsidRPr="00021E0C">
              <w:rPr>
                <w:rFonts w:cs="Arial"/>
                <w:b/>
                <w:bCs/>
                <w:color w:val="000000"/>
              </w:rPr>
              <w:t xml:space="preserve">Total EPA </w:t>
            </w:r>
            <w:r w:rsidRPr="00021E0C" w:rsidR="001746C0">
              <w:rPr>
                <w:rFonts w:cs="Arial"/>
                <w:b/>
                <w:bCs/>
                <w:color w:val="000000"/>
              </w:rPr>
              <w:t xml:space="preserve">– </w:t>
            </w:r>
            <w:r w:rsidRPr="00021E0C">
              <w:rPr>
                <w:rFonts w:cs="Arial"/>
                <w:b/>
                <w:bCs/>
                <w:color w:val="000000"/>
              </w:rPr>
              <w:t>Costs</w:t>
            </w:r>
          </w:p>
        </w:tc>
      </w:tr>
      <w:tr w14:paraId="2BFEF682" w14:textId="77777777" w:rsidTr="00CB10CC">
        <w:tblPrEx>
          <w:tblW w:w="3783" w:type="pct"/>
          <w:jc w:val="center"/>
          <w:tblLook w:val="04A0"/>
        </w:tblPrEx>
        <w:trPr>
          <w:trHeight w:val="579"/>
          <w:jc w:val="center"/>
        </w:trPr>
        <w:tc>
          <w:tcPr>
            <w:tcW w:w="3321" w:type="dxa"/>
            <w:tcBorders>
              <w:top w:val="single" w:sz="4" w:space="0" w:color="auto"/>
              <w:left w:val="single" w:sz="4" w:space="0" w:color="auto"/>
              <w:bottom w:val="single" w:sz="4" w:space="0" w:color="auto"/>
            </w:tcBorders>
            <w:shd w:val="clear" w:color="auto" w:fill="auto"/>
            <w:vAlign w:val="center"/>
            <w:hideMark/>
          </w:tcPr>
          <w:p w:rsidR="00970CEF" w:rsidRPr="00021E0C" w:rsidP="004802A0" w14:paraId="3519CD10" w14:textId="41695DA3">
            <w:pPr>
              <w:jc w:val="center"/>
              <w:rPr>
                <w:rFonts w:cs="Arial"/>
                <w:color w:val="000000"/>
              </w:rPr>
            </w:pPr>
            <w:r w:rsidRPr="00021E0C">
              <w:rPr>
                <w:rFonts w:cs="Arial"/>
                <w:color w:val="000000"/>
              </w:rPr>
              <w:t>Changes to EV</w:t>
            </w:r>
            <w:r w:rsidRPr="00021E0C" w:rsidR="00BA147E">
              <w:rPr>
                <w:rFonts w:cs="Arial"/>
                <w:color w:val="000000"/>
              </w:rPr>
              <w:t>-</w:t>
            </w:r>
            <w:r w:rsidRPr="00021E0C">
              <w:rPr>
                <w:rFonts w:cs="Arial"/>
                <w:color w:val="000000"/>
              </w:rPr>
              <w:t xml:space="preserve">CIS to reflect new standards </w:t>
            </w:r>
            <w:r w:rsidRPr="00021E0C">
              <w:rPr>
                <w:rFonts w:cs="Arial"/>
                <w:b/>
                <w:bCs/>
                <w:color w:val="000000"/>
              </w:rPr>
              <w:t>(one-time cost)</w:t>
            </w:r>
          </w:p>
        </w:tc>
        <w:tc>
          <w:tcPr>
            <w:tcW w:w="1732" w:type="dxa"/>
            <w:tcBorders>
              <w:top w:val="single" w:sz="4" w:space="0" w:color="auto"/>
              <w:bottom w:val="single" w:sz="4" w:space="0" w:color="auto"/>
            </w:tcBorders>
            <w:shd w:val="clear" w:color="auto" w:fill="auto"/>
            <w:noWrap/>
            <w:vAlign w:val="center"/>
            <w:hideMark/>
          </w:tcPr>
          <w:p w:rsidR="00970CEF" w:rsidRPr="00021E0C" w:rsidP="004802A0" w14:paraId="39DCB13C" w14:textId="17AD1CF4">
            <w:pPr>
              <w:jc w:val="center"/>
              <w:rPr>
                <w:rFonts w:cs="Arial"/>
                <w:color w:val="000000"/>
                <w:vertAlign w:val="superscript"/>
              </w:rPr>
            </w:pPr>
            <w:r w:rsidRPr="00021E0C">
              <w:rPr>
                <w:rFonts w:cs="Arial"/>
                <w:color w:val="000000"/>
              </w:rPr>
              <w:t>N/A</w:t>
            </w:r>
            <w:r w:rsidRPr="00021E0C">
              <w:rPr>
                <w:rFonts w:cs="Arial"/>
                <w:color w:val="000000"/>
                <w:vertAlign w:val="superscript"/>
              </w:rPr>
              <w:t>1</w:t>
            </w:r>
          </w:p>
        </w:tc>
        <w:tc>
          <w:tcPr>
            <w:tcW w:w="2014" w:type="dxa"/>
            <w:tcBorders>
              <w:top w:val="single" w:sz="4" w:space="0" w:color="auto"/>
              <w:bottom w:val="single" w:sz="4" w:space="0" w:color="auto"/>
              <w:right w:val="single" w:sz="4" w:space="0" w:color="auto"/>
            </w:tcBorders>
            <w:shd w:val="clear" w:color="auto" w:fill="auto"/>
            <w:noWrap/>
            <w:vAlign w:val="center"/>
            <w:hideMark/>
          </w:tcPr>
          <w:p w:rsidR="00970CEF" w:rsidRPr="00021E0C" w:rsidP="004802A0" w14:paraId="62881D24" w14:textId="1C8949A8">
            <w:pPr>
              <w:jc w:val="center"/>
              <w:rPr>
                <w:rFonts w:cs="Arial"/>
                <w:color w:val="000000"/>
              </w:rPr>
            </w:pPr>
            <w:r w:rsidRPr="00021E0C">
              <w:rPr>
                <w:rFonts w:cs="Arial"/>
                <w:color w:val="000000"/>
              </w:rPr>
              <w:t>$0</w:t>
            </w:r>
          </w:p>
        </w:tc>
      </w:tr>
      <w:tr w14:paraId="6B6BD028" w14:textId="77777777" w:rsidTr="00CB10CC">
        <w:tblPrEx>
          <w:tblW w:w="3783" w:type="pct"/>
          <w:jc w:val="center"/>
          <w:tblLook w:val="04A0"/>
        </w:tblPrEx>
        <w:trPr>
          <w:trHeight w:val="579"/>
          <w:jc w:val="center"/>
        </w:trPr>
        <w:tc>
          <w:tcPr>
            <w:tcW w:w="3321" w:type="dxa"/>
            <w:tcBorders>
              <w:top w:val="single" w:sz="4" w:space="0" w:color="auto"/>
              <w:left w:val="single" w:sz="4" w:space="0" w:color="auto"/>
              <w:bottom w:val="single" w:sz="4" w:space="0" w:color="auto"/>
            </w:tcBorders>
            <w:shd w:val="clear" w:color="auto" w:fill="auto"/>
            <w:vAlign w:val="center"/>
          </w:tcPr>
          <w:p w:rsidR="009D1A9A" w:rsidRPr="00021E0C" w:rsidP="004802A0" w14:paraId="0A933F4B" w14:textId="06EF342E">
            <w:pPr>
              <w:jc w:val="center"/>
              <w:rPr>
                <w:rFonts w:cs="Arial"/>
                <w:color w:val="000000"/>
              </w:rPr>
            </w:pPr>
            <w:r w:rsidRPr="00021E0C">
              <w:rPr>
                <w:rFonts w:cs="Arial"/>
                <w:color w:val="000000"/>
              </w:rPr>
              <w:t xml:space="preserve">Review of waiver applications, performed in the normal course of </w:t>
            </w:r>
            <w:r w:rsidRPr="00021E0C" w:rsidR="00CB2374">
              <w:rPr>
                <w:rFonts w:cs="Arial"/>
                <w:color w:val="000000"/>
              </w:rPr>
              <w:t>the marine diesel engine and vessel certification program</w:t>
            </w:r>
          </w:p>
        </w:tc>
        <w:tc>
          <w:tcPr>
            <w:tcW w:w="1732" w:type="dxa"/>
            <w:tcBorders>
              <w:top w:val="single" w:sz="4" w:space="0" w:color="auto"/>
              <w:bottom w:val="single" w:sz="4" w:space="0" w:color="auto"/>
            </w:tcBorders>
            <w:shd w:val="clear" w:color="auto" w:fill="auto"/>
            <w:noWrap/>
            <w:vAlign w:val="center"/>
          </w:tcPr>
          <w:p w:rsidR="009D1A9A" w:rsidRPr="00021E0C" w:rsidP="004802A0" w14:paraId="4DEFD512" w14:textId="21B185A1">
            <w:pPr>
              <w:jc w:val="center"/>
              <w:rPr>
                <w:rFonts w:cs="Arial"/>
                <w:color w:val="000000"/>
              </w:rPr>
            </w:pPr>
            <w:r w:rsidRPr="00021E0C">
              <w:rPr>
                <w:rFonts w:cs="Arial"/>
                <w:color w:val="000000"/>
              </w:rPr>
              <w:t>0</w:t>
            </w:r>
          </w:p>
        </w:tc>
        <w:tc>
          <w:tcPr>
            <w:tcW w:w="2014" w:type="dxa"/>
            <w:tcBorders>
              <w:top w:val="single" w:sz="4" w:space="0" w:color="auto"/>
              <w:bottom w:val="single" w:sz="4" w:space="0" w:color="auto"/>
              <w:right w:val="single" w:sz="4" w:space="0" w:color="auto"/>
            </w:tcBorders>
            <w:shd w:val="clear" w:color="auto" w:fill="auto"/>
            <w:noWrap/>
            <w:vAlign w:val="center"/>
          </w:tcPr>
          <w:p w:rsidR="009D1A9A" w:rsidRPr="00021E0C" w:rsidP="004802A0" w14:paraId="04CDEF8E" w14:textId="7F16994B">
            <w:pPr>
              <w:jc w:val="center"/>
              <w:rPr>
                <w:rFonts w:cs="Arial"/>
                <w:color w:val="000000"/>
              </w:rPr>
            </w:pPr>
            <w:r w:rsidRPr="00021E0C">
              <w:rPr>
                <w:rFonts w:cs="Arial"/>
                <w:color w:val="000000"/>
              </w:rPr>
              <w:t>$0</w:t>
            </w:r>
          </w:p>
        </w:tc>
      </w:tr>
      <w:tr w14:paraId="5CF421C2" w14:textId="77777777" w:rsidTr="00CB10CC">
        <w:tblPrEx>
          <w:tblW w:w="3783" w:type="pct"/>
          <w:jc w:val="center"/>
          <w:tblLook w:val="04A0"/>
        </w:tblPrEx>
        <w:trPr>
          <w:trHeight w:val="315"/>
          <w:jc w:val="center"/>
        </w:trPr>
        <w:tc>
          <w:tcPr>
            <w:tcW w:w="3321" w:type="dxa"/>
            <w:tcBorders>
              <w:top w:val="single" w:sz="4" w:space="0" w:color="auto"/>
              <w:left w:val="single" w:sz="4" w:space="0" w:color="auto"/>
              <w:bottom w:val="single" w:sz="4" w:space="0" w:color="auto"/>
            </w:tcBorders>
            <w:shd w:val="clear" w:color="auto" w:fill="auto"/>
            <w:vAlign w:val="center"/>
            <w:hideMark/>
          </w:tcPr>
          <w:p w:rsidR="00970CEF" w:rsidRPr="00021E0C" w:rsidP="004802A0" w14:paraId="5E5B6091" w14:textId="77777777">
            <w:pPr>
              <w:jc w:val="center"/>
              <w:rPr>
                <w:rFonts w:cs="Arial"/>
                <w:b/>
                <w:bCs/>
                <w:color w:val="000000"/>
              </w:rPr>
            </w:pPr>
            <w:r w:rsidRPr="00021E0C">
              <w:rPr>
                <w:rFonts w:cs="Arial"/>
                <w:b/>
                <w:bCs/>
                <w:color w:val="000000"/>
              </w:rPr>
              <w:t>Total</w:t>
            </w:r>
          </w:p>
        </w:tc>
        <w:tc>
          <w:tcPr>
            <w:tcW w:w="1732" w:type="dxa"/>
            <w:tcBorders>
              <w:top w:val="single" w:sz="4" w:space="0" w:color="auto"/>
              <w:bottom w:val="single" w:sz="4" w:space="0" w:color="auto"/>
            </w:tcBorders>
            <w:shd w:val="clear" w:color="auto" w:fill="auto"/>
            <w:noWrap/>
            <w:vAlign w:val="center"/>
          </w:tcPr>
          <w:p w:rsidR="00970CEF" w:rsidRPr="00021E0C" w:rsidP="004802A0" w14:paraId="729486A5" w14:textId="3D476227">
            <w:pPr>
              <w:jc w:val="center"/>
              <w:rPr>
                <w:rFonts w:cs="Arial"/>
                <w:b/>
                <w:bCs/>
                <w:color w:val="000000"/>
              </w:rPr>
            </w:pPr>
          </w:p>
        </w:tc>
        <w:tc>
          <w:tcPr>
            <w:tcW w:w="2014" w:type="dxa"/>
            <w:tcBorders>
              <w:top w:val="single" w:sz="4" w:space="0" w:color="auto"/>
              <w:bottom w:val="single" w:sz="4" w:space="0" w:color="auto"/>
              <w:right w:val="single" w:sz="4" w:space="0" w:color="auto"/>
            </w:tcBorders>
            <w:shd w:val="clear" w:color="auto" w:fill="auto"/>
            <w:noWrap/>
            <w:vAlign w:val="center"/>
          </w:tcPr>
          <w:p w:rsidR="00970CEF" w:rsidRPr="00021E0C" w:rsidP="004802A0" w14:paraId="46FE5E54" w14:textId="6C5C0260">
            <w:pPr>
              <w:jc w:val="center"/>
              <w:rPr>
                <w:rFonts w:cs="Arial"/>
                <w:b/>
                <w:bCs/>
                <w:color w:val="000000"/>
              </w:rPr>
            </w:pPr>
            <w:r w:rsidRPr="00021E0C">
              <w:rPr>
                <w:rFonts w:cs="Arial"/>
                <w:b/>
                <w:bCs/>
                <w:color w:val="000000"/>
              </w:rPr>
              <w:t>$0</w:t>
            </w:r>
          </w:p>
        </w:tc>
      </w:tr>
      <w:tr w14:paraId="26B33A39" w14:textId="77777777" w:rsidTr="00CB10CC">
        <w:tblPrEx>
          <w:tblW w:w="3783" w:type="pct"/>
          <w:jc w:val="center"/>
          <w:tblLook w:val="04A0"/>
        </w:tblPrEx>
        <w:trPr>
          <w:trHeight w:val="315"/>
          <w:jc w:val="center"/>
        </w:trPr>
        <w:tc>
          <w:tcPr>
            <w:tcW w:w="7067" w:type="dxa"/>
            <w:gridSpan w:val="3"/>
            <w:tcBorders>
              <w:top w:val="single" w:sz="4" w:space="0" w:color="auto"/>
              <w:left w:val="nil"/>
              <w:bottom w:val="nil"/>
              <w:right w:val="nil"/>
            </w:tcBorders>
            <w:shd w:val="clear" w:color="auto" w:fill="auto"/>
            <w:vAlign w:val="bottom"/>
          </w:tcPr>
          <w:p w:rsidR="0067400B" w:rsidRPr="00021E0C" w:rsidP="0067400B" w14:paraId="7D5450F8" w14:textId="5DECF234">
            <w:pPr>
              <w:rPr>
                <w:rFonts w:cs="Arial"/>
                <w:color w:val="000000"/>
              </w:rPr>
            </w:pPr>
            <w:r w:rsidRPr="00021E0C">
              <w:rPr>
                <w:rFonts w:cs="Arial"/>
                <w:color w:val="000000"/>
                <w:vertAlign w:val="superscript"/>
              </w:rPr>
              <w:t>1</w:t>
            </w:r>
            <w:r w:rsidRPr="00021E0C">
              <w:rPr>
                <w:rFonts w:cs="Arial"/>
                <w:color w:val="000000"/>
              </w:rPr>
              <w:t>Work to be performed by EPA’s contractors as part of an existing contract for the mobile source certification database</w:t>
            </w:r>
          </w:p>
        </w:tc>
      </w:tr>
    </w:tbl>
    <w:p w:rsidR="00DF2D61" w:rsidRPr="00021E0C" w:rsidP="00405F4F" w14:paraId="27F4F426" w14:textId="77777777">
      <w:pPr>
        <w:autoSpaceDE/>
        <w:autoSpaceDN/>
        <w:adjustRightInd/>
        <w:spacing w:after="160" w:line="259" w:lineRule="auto"/>
      </w:pPr>
    </w:p>
    <w:p w:rsidR="00405F4F" w:rsidRPr="00021E0C" w:rsidP="002B15D5" w14:paraId="6E853858" w14:textId="77777777">
      <w:pPr>
        <w:pStyle w:val="NoSpacing"/>
        <w:rPr>
          <w:rFonts w:ascii="Times New Roman" w:hAnsi="Times New Roman" w:cs="Times New Roman"/>
          <w:sz w:val="24"/>
          <w:szCs w:val="24"/>
        </w:rPr>
      </w:pPr>
    </w:p>
    <w:p w:rsidR="002B15D5" w:rsidRPr="00021E0C" w:rsidP="000A0844" w14:paraId="7271367E" w14:textId="095DCCC4">
      <w:pPr>
        <w:pStyle w:val="ICR3"/>
      </w:pPr>
      <w:r w:rsidRPr="00021E0C">
        <w:t>15. Explain the reasons for any program changes or adjustments reported on the burden worksheet (in hour or cost burden.)</w:t>
      </w:r>
    </w:p>
    <w:p w:rsidR="00F81FD0" w:rsidRPr="00021E0C" w:rsidP="002B15D5" w14:paraId="48CB9FFE" w14:textId="2DA53118">
      <w:pPr>
        <w:pStyle w:val="NoSpacing"/>
        <w:rPr>
          <w:rFonts w:ascii="Times New Roman" w:hAnsi="Times New Roman" w:cs="Times New Roman"/>
          <w:sz w:val="24"/>
          <w:szCs w:val="24"/>
        </w:rPr>
      </w:pPr>
      <w:r w:rsidRPr="00021E0C">
        <w:rPr>
          <w:rFonts w:ascii="Times New Roman" w:hAnsi="Times New Roman" w:cs="Times New Roman"/>
          <w:sz w:val="24"/>
          <w:szCs w:val="24"/>
        </w:rPr>
        <w:tab/>
      </w:r>
    </w:p>
    <w:p w:rsidR="00B8516D" w:rsidRPr="00021E0C" w:rsidP="00D85166" w14:paraId="709F417B" w14:textId="77777777">
      <w:pPr>
        <w:pStyle w:val="NoSpacing"/>
        <w:ind w:left="720"/>
        <w:rPr>
          <w:rFonts w:ascii="Times New Roman" w:hAnsi="Times New Roman" w:cs="Times New Roman"/>
          <w:sz w:val="24"/>
          <w:szCs w:val="24"/>
        </w:rPr>
      </w:pPr>
      <w:r w:rsidRPr="00021E0C">
        <w:rPr>
          <w:rFonts w:ascii="Times New Roman" w:hAnsi="Times New Roman" w:cs="Times New Roman"/>
          <w:sz w:val="24"/>
          <w:szCs w:val="24"/>
        </w:rPr>
        <w:t xml:space="preserve">This is a </w:t>
      </w:r>
      <w:r w:rsidRPr="00021E0C" w:rsidR="00470C7F">
        <w:rPr>
          <w:rFonts w:ascii="Times New Roman" w:hAnsi="Times New Roman" w:cs="Times New Roman"/>
          <w:sz w:val="24"/>
          <w:szCs w:val="24"/>
        </w:rPr>
        <w:t>renewal</w:t>
      </w:r>
      <w:r w:rsidRPr="00021E0C">
        <w:rPr>
          <w:rFonts w:ascii="Times New Roman" w:hAnsi="Times New Roman" w:cs="Times New Roman"/>
          <w:sz w:val="24"/>
          <w:szCs w:val="24"/>
        </w:rPr>
        <w:t xml:space="preserve"> information collection request.  </w:t>
      </w:r>
      <w:r w:rsidRPr="00021E0C">
        <w:rPr>
          <w:rFonts w:ascii="Times New Roman" w:hAnsi="Times New Roman" w:cs="Times New Roman"/>
          <w:sz w:val="24"/>
          <w:szCs w:val="24"/>
        </w:rPr>
        <w:t>The burden has changed, as follows:</w:t>
      </w:r>
    </w:p>
    <w:p w:rsidR="00282E5D" w:rsidRPr="00021E0C" w:rsidP="00B8516D" w14:paraId="488D6E2D" w14:textId="77777777">
      <w:pPr>
        <w:pStyle w:val="NoSpacing"/>
        <w:numPr>
          <w:ilvl w:val="0"/>
          <w:numId w:val="22"/>
        </w:numPr>
        <w:rPr>
          <w:rFonts w:ascii="Times New Roman" w:hAnsi="Times New Roman" w:cs="Times New Roman"/>
          <w:sz w:val="24"/>
          <w:szCs w:val="24"/>
        </w:rPr>
      </w:pPr>
      <w:r w:rsidRPr="00021E0C">
        <w:rPr>
          <w:rFonts w:ascii="Times New Roman" w:hAnsi="Times New Roman" w:cs="Times New Roman"/>
          <w:sz w:val="24"/>
          <w:szCs w:val="24"/>
        </w:rPr>
        <w:t>The previous Tier 4 compliance delay no longer applies</w:t>
      </w:r>
    </w:p>
    <w:p w:rsidR="002B15D5" w:rsidRPr="00021E0C" w:rsidP="00B8516D" w14:paraId="369AB4B7" w14:textId="1F8C9EB2">
      <w:pPr>
        <w:pStyle w:val="NoSpacing"/>
        <w:numPr>
          <w:ilvl w:val="0"/>
          <w:numId w:val="22"/>
        </w:numPr>
        <w:rPr>
          <w:rFonts w:ascii="Times New Roman" w:hAnsi="Times New Roman" w:cs="Times New Roman"/>
          <w:sz w:val="24"/>
          <w:szCs w:val="24"/>
        </w:rPr>
      </w:pPr>
      <w:r w:rsidRPr="00021E0C">
        <w:rPr>
          <w:rFonts w:ascii="Times New Roman" w:hAnsi="Times New Roman" w:cs="Times New Roman"/>
          <w:sz w:val="24"/>
          <w:szCs w:val="24"/>
        </w:rPr>
        <w:t xml:space="preserve">Beginning in 2024, a boat manufacturer must apply for a waiver if there are no suitable certified Tier 4 engines available for their </w:t>
      </w:r>
      <w:r w:rsidRPr="00021E0C" w:rsidR="00F73BDD">
        <w:rPr>
          <w:rFonts w:ascii="Times New Roman" w:hAnsi="Times New Roman" w:cs="Times New Roman"/>
          <w:sz w:val="24"/>
          <w:szCs w:val="24"/>
        </w:rPr>
        <w:t xml:space="preserve">vessels </w:t>
      </w:r>
    </w:p>
    <w:p w:rsidR="00405F4F" w:rsidRPr="00021E0C" w14:paraId="3B2A0576" w14:textId="77777777">
      <w:pPr>
        <w:autoSpaceDE/>
        <w:autoSpaceDN/>
        <w:adjustRightInd/>
        <w:spacing w:after="160" w:line="259" w:lineRule="auto"/>
      </w:pPr>
    </w:p>
    <w:p w:rsidR="002B15D5" w:rsidRPr="00021E0C" w:rsidP="000A0844" w14:paraId="565A2A60" w14:textId="04987823">
      <w:pPr>
        <w:pStyle w:val="ICR3"/>
      </w:pPr>
      <w:r w:rsidRPr="00021E0C">
        <w:t>16. For collections of information whose results will be published, outline plans for tabulation</w:t>
      </w:r>
      <w:r w:rsidRPr="00021E0C" w:rsidR="002D5D05">
        <w:t xml:space="preserve"> </w:t>
      </w:r>
      <w:r w:rsidRPr="00021E0C">
        <w:t>and publication. Address any complex analytical techniques that will be used. Provide the</w:t>
      </w:r>
      <w:r w:rsidRPr="00021E0C" w:rsidR="002D5D05">
        <w:t xml:space="preserve"> </w:t>
      </w:r>
      <w:r w:rsidRPr="00021E0C">
        <w:t>time schedule for the entire project, including beginning and ending dates of the collection of</w:t>
      </w:r>
      <w:r w:rsidRPr="00021E0C" w:rsidR="002D5D05">
        <w:t xml:space="preserve"> </w:t>
      </w:r>
      <w:r w:rsidRPr="00021E0C">
        <w:t>information, completion of report, publication dates, and other actions.</w:t>
      </w:r>
    </w:p>
    <w:p w:rsidR="002B15D5" w:rsidRPr="00021E0C" w:rsidP="002B15D5" w14:paraId="368F3870" w14:textId="2F74F74E">
      <w:pPr>
        <w:pStyle w:val="NoSpacing"/>
        <w:rPr>
          <w:rFonts w:ascii="Times New Roman" w:hAnsi="Times New Roman" w:cs="Times New Roman"/>
          <w:sz w:val="24"/>
          <w:szCs w:val="24"/>
        </w:rPr>
      </w:pPr>
    </w:p>
    <w:p w:rsidR="00405F4F" w:rsidRPr="00021E0C" w:rsidP="00072E0F" w14:paraId="57A925E3" w14:textId="61570BA4">
      <w:pPr>
        <w:autoSpaceDE/>
        <w:autoSpaceDN/>
        <w:adjustRightInd/>
        <w:spacing w:after="160" w:line="259" w:lineRule="auto"/>
        <w:ind w:left="720"/>
      </w:pPr>
      <w:r w:rsidRPr="00021E0C">
        <w:t>Waiver approvals will not be published</w:t>
      </w:r>
      <w:r w:rsidRPr="00021E0C" w:rsidR="00C108DD">
        <w:t>.</w:t>
      </w:r>
      <w:r w:rsidRPr="00021E0C">
        <w:t xml:space="preserve"> </w:t>
      </w:r>
    </w:p>
    <w:p w:rsidR="00BD0159" w:rsidRPr="00021E0C" w:rsidP="00072E0F" w14:paraId="3B8C2126" w14:textId="6B902689">
      <w:pPr>
        <w:autoSpaceDE/>
        <w:autoSpaceDN/>
        <w:adjustRightInd/>
        <w:spacing w:after="160" w:line="259" w:lineRule="auto"/>
        <w:ind w:left="720"/>
      </w:pPr>
      <w:r w:rsidRPr="00021E0C">
        <w:t xml:space="preserve">There is no </w:t>
      </w:r>
      <w:r w:rsidRPr="00021E0C" w:rsidR="00023653">
        <w:t xml:space="preserve">collection schedule.  </w:t>
      </w:r>
    </w:p>
    <w:p w:rsidR="001543EF" w:rsidRPr="00021E0C" w:rsidP="00072E0F" w14:paraId="38ECD58E" w14:textId="77777777">
      <w:pPr>
        <w:autoSpaceDE/>
        <w:autoSpaceDN/>
        <w:adjustRightInd/>
        <w:spacing w:after="160" w:line="259" w:lineRule="auto"/>
        <w:ind w:left="720"/>
      </w:pPr>
    </w:p>
    <w:p w:rsidR="002B15D5" w:rsidRPr="00021E0C" w:rsidP="000A0844" w14:paraId="35404447" w14:textId="6C5EC699">
      <w:pPr>
        <w:pStyle w:val="ICR3"/>
      </w:pPr>
      <w:r w:rsidRPr="00021E0C">
        <w:t>17. If seeking approval to not display the expiration date for OMB approval of the information</w:t>
      </w:r>
      <w:r w:rsidRPr="00021E0C" w:rsidR="00A11D3D">
        <w:t xml:space="preserve"> </w:t>
      </w:r>
      <w:r w:rsidRPr="00021E0C">
        <w:t>collection, explain the reasons that display would be inappropriate.</w:t>
      </w:r>
    </w:p>
    <w:p w:rsidR="00727800" w:rsidRPr="00021E0C" w:rsidP="002B15D5" w14:paraId="6F5E706A" w14:textId="150B7E55">
      <w:pPr>
        <w:pStyle w:val="NoSpacing"/>
        <w:rPr>
          <w:rFonts w:ascii="Times New Roman" w:hAnsi="Times New Roman" w:cs="Times New Roman"/>
          <w:sz w:val="24"/>
          <w:szCs w:val="24"/>
        </w:rPr>
      </w:pPr>
    </w:p>
    <w:p w:rsidR="00727800" w:rsidRPr="00021E0C" w:rsidP="00727800" w14:paraId="74FA450A" w14:textId="59D6891D">
      <w:pPr>
        <w:pStyle w:val="NoSpacing"/>
        <w:ind w:left="720"/>
        <w:rPr>
          <w:rFonts w:ascii="Times New Roman" w:hAnsi="Times New Roman" w:cs="Times New Roman"/>
          <w:sz w:val="24"/>
          <w:szCs w:val="24"/>
        </w:rPr>
      </w:pPr>
      <w:r w:rsidRPr="00021E0C">
        <w:rPr>
          <w:rFonts w:ascii="Times New Roman" w:hAnsi="Times New Roman" w:cs="Times New Roman"/>
          <w:sz w:val="24"/>
          <w:szCs w:val="24"/>
        </w:rPr>
        <w:t xml:space="preserve">The expiration date of the information collection approval will be publicly available on OMB’s website.  </w:t>
      </w:r>
    </w:p>
    <w:p w:rsidR="00405F4F" w:rsidRPr="00021E0C" w:rsidP="00405F4F" w14:paraId="41331C5C" w14:textId="0B2D07B1">
      <w:pPr>
        <w:pStyle w:val="NoSpacing"/>
        <w:rPr>
          <w:rFonts w:ascii="Times New Roman" w:hAnsi="Times New Roman" w:cs="Times New Roman"/>
          <w:sz w:val="24"/>
          <w:szCs w:val="24"/>
        </w:rPr>
      </w:pPr>
    </w:p>
    <w:p w:rsidR="00405F4F" w:rsidRPr="00021E0C" w:rsidP="00405F4F" w14:paraId="598CCB98" w14:textId="096B6C33">
      <w:pPr>
        <w:pStyle w:val="NoSpacing"/>
        <w:rPr>
          <w:rFonts w:ascii="Times New Roman" w:hAnsi="Times New Roman" w:cs="Times New Roman"/>
          <w:sz w:val="24"/>
          <w:szCs w:val="24"/>
        </w:rPr>
      </w:pPr>
    </w:p>
    <w:p w:rsidR="002B15D5" w:rsidRPr="00021E0C" w:rsidP="002B15D5" w14:paraId="0408FE1A" w14:textId="04DAF179">
      <w:pPr>
        <w:pStyle w:val="NoSpacing"/>
        <w:rPr>
          <w:rFonts w:ascii="Times New Roman" w:hAnsi="Times New Roman" w:cs="Times New Roman"/>
          <w:b/>
          <w:bCs/>
          <w:sz w:val="24"/>
          <w:szCs w:val="24"/>
        </w:rPr>
      </w:pPr>
      <w:r w:rsidRPr="00021E0C">
        <w:rPr>
          <w:rFonts w:ascii="Times New Roman" w:hAnsi="Times New Roman" w:cs="Times New Roman"/>
          <w:b/>
          <w:bCs/>
          <w:sz w:val="24"/>
          <w:szCs w:val="24"/>
        </w:rPr>
        <w:t>18.Explain each exception to the topics of the certification statement identified in “Certification</w:t>
      </w:r>
      <w:r w:rsidRPr="00021E0C" w:rsidR="00A11D3D">
        <w:rPr>
          <w:rFonts w:ascii="Times New Roman" w:hAnsi="Times New Roman" w:cs="Times New Roman"/>
          <w:b/>
          <w:bCs/>
          <w:sz w:val="24"/>
          <w:szCs w:val="24"/>
        </w:rPr>
        <w:t xml:space="preserve"> </w:t>
      </w:r>
      <w:r w:rsidRPr="00021E0C">
        <w:rPr>
          <w:rFonts w:ascii="Times New Roman" w:hAnsi="Times New Roman" w:cs="Times New Roman"/>
          <w:b/>
          <w:bCs/>
          <w:sz w:val="24"/>
          <w:szCs w:val="24"/>
        </w:rPr>
        <w:t>for Paperwork Reduction Act Submissions.”</w:t>
      </w:r>
    </w:p>
    <w:p w:rsidR="00272EED" w:rsidRPr="00021E0C" w:rsidP="002B15D5" w14:paraId="140B6D23" w14:textId="15669DA0">
      <w:pPr>
        <w:pStyle w:val="NoSpacing"/>
        <w:rPr>
          <w:rFonts w:ascii="Times New Roman" w:hAnsi="Times New Roman" w:cs="Times New Roman"/>
          <w:sz w:val="24"/>
          <w:szCs w:val="24"/>
        </w:rPr>
      </w:pPr>
    </w:p>
    <w:p w:rsidR="00272EED" w:rsidRPr="00021E0C" w:rsidP="00F2309F" w14:paraId="41E6E08E" w14:textId="078275C8">
      <w:pPr>
        <w:pStyle w:val="NoSpacing"/>
        <w:ind w:left="720"/>
        <w:rPr>
          <w:rFonts w:ascii="Times New Roman" w:hAnsi="Times New Roman" w:cs="Times New Roman"/>
          <w:sz w:val="24"/>
          <w:szCs w:val="24"/>
        </w:rPr>
      </w:pPr>
      <w:r w:rsidRPr="00021E0C">
        <w:rPr>
          <w:rFonts w:ascii="Times New Roman" w:hAnsi="Times New Roman" w:cs="Times New Roman"/>
          <w:sz w:val="24"/>
          <w:szCs w:val="24"/>
        </w:rPr>
        <w:t>EPA does not request an exception to the certification of this information collection.</w:t>
      </w:r>
    </w:p>
    <w:p w:rsidR="00E30B44" w:rsidRPr="00021E0C" w:rsidP="00E30B44" w14:paraId="66DA6A92" w14:textId="77777777">
      <w:pPr>
        <w:pStyle w:val="NoSpacing"/>
        <w:rPr>
          <w:rFonts w:ascii="Times New Roman" w:hAnsi="Times New Roman" w:cs="Times New Roman"/>
          <w:sz w:val="24"/>
          <w:szCs w:val="24"/>
        </w:rPr>
      </w:pPr>
    </w:p>
    <w:p w:rsidR="00E30B44" w:rsidRPr="00021E0C" w:rsidP="00E30B44" w14:paraId="2E7C9D5D" w14:textId="77777777">
      <w:pPr>
        <w:pStyle w:val="NoSpacing"/>
        <w:rPr>
          <w:rFonts w:ascii="Times New Roman" w:hAnsi="Times New Roman" w:cs="Times New Roman"/>
          <w:sz w:val="24"/>
          <w:szCs w:val="24"/>
        </w:rPr>
      </w:pPr>
    </w:p>
    <w:p w:rsidR="00E30B44" w:rsidRPr="00021E0C" w:rsidP="00E30B44" w14:paraId="0D62793C" w14:textId="77777777">
      <w:pPr>
        <w:pStyle w:val="NoSpacing"/>
        <w:rPr>
          <w:rFonts w:ascii="Times New Roman" w:hAnsi="Times New Roman" w:cs="Times New Roman"/>
          <w:sz w:val="24"/>
          <w:szCs w:val="24"/>
        </w:rPr>
      </w:pPr>
    </w:p>
    <w:p w:rsidR="00BB6BCC" w:rsidRPr="00021E0C" w14:paraId="4C5FCC7C" w14:textId="77777777">
      <w:pPr>
        <w:autoSpaceDE/>
        <w:autoSpaceDN/>
        <w:adjustRightInd/>
        <w:spacing w:after="160" w:line="259" w:lineRule="auto"/>
        <w:rPr>
          <w:rFonts w:eastAsiaTheme="majorEastAsia" w:cstheme="majorBidi"/>
          <w:b/>
          <w:color w:val="000000" w:themeColor="text1"/>
        </w:rPr>
      </w:pPr>
      <w:r w:rsidRPr="00021E0C">
        <w:br w:type="page"/>
      </w:r>
    </w:p>
    <w:p w:rsidR="00E30B44" w:rsidRPr="00021E0C" w:rsidP="000A0844" w14:paraId="2951812B" w14:textId="3BFF4DFE">
      <w:pPr>
        <w:pStyle w:val="ICR2"/>
      </w:pPr>
      <w:r w:rsidRPr="00021E0C">
        <w:t>SUPPLEMENTAL INFORMATION</w:t>
      </w:r>
    </w:p>
    <w:p w:rsidR="003D76D6" w:rsidRPr="00021E0C" w:rsidP="00E30B44" w14:paraId="330BE5F5" w14:textId="77777777">
      <w:pPr>
        <w:pStyle w:val="NoSpacing"/>
        <w:rPr>
          <w:rFonts w:ascii="Times New Roman" w:hAnsi="Times New Roman" w:cs="Times New Roman"/>
          <w:b/>
          <w:bCs/>
          <w:sz w:val="24"/>
          <w:szCs w:val="24"/>
        </w:rPr>
      </w:pPr>
    </w:p>
    <w:p w:rsidR="00E43285" w:rsidRPr="00021E0C" w:rsidP="001543EF" w14:paraId="37E56C25" w14:textId="44D9218D">
      <w:pPr>
        <w:pStyle w:val="ICR3"/>
      </w:pPr>
      <w:r w:rsidRPr="00021E0C">
        <w:t>1.</w:t>
      </w:r>
      <w:r w:rsidRPr="00021E0C" w:rsidR="003D76D6">
        <w:t xml:space="preserve"> </w:t>
      </w:r>
      <w:r w:rsidRPr="00021E0C">
        <w:t>Statutory Authorities</w:t>
      </w:r>
    </w:p>
    <w:p w:rsidR="00E43285" w:rsidRPr="00021E0C" w:rsidP="00E43285" w14:paraId="77729297" w14:textId="77777777">
      <w:pPr>
        <w:pStyle w:val="NoSpacing"/>
        <w:ind w:left="720"/>
        <w:rPr>
          <w:rFonts w:ascii="Times New Roman" w:hAnsi="Times New Roman" w:cs="Times New Roman"/>
          <w:b/>
          <w:bCs/>
          <w:sz w:val="24"/>
          <w:szCs w:val="24"/>
        </w:rPr>
      </w:pPr>
    </w:p>
    <w:p w:rsidR="00E43285" w:rsidRPr="00021E0C" w:rsidP="00E43285" w14:paraId="016EB22E" w14:textId="77777777">
      <w:pPr>
        <w:pStyle w:val="NoSpacing"/>
        <w:ind w:left="720"/>
        <w:rPr>
          <w:rFonts w:ascii="Times New Roman" w:hAnsi="Times New Roman" w:cs="Times New Roman"/>
          <w:sz w:val="24"/>
          <w:szCs w:val="24"/>
        </w:rPr>
      </w:pPr>
      <w:r w:rsidRPr="00021E0C">
        <w:rPr>
          <w:rFonts w:ascii="Times New Roman" w:hAnsi="Times New Roman" w:cs="Times New Roman"/>
          <w:sz w:val="24"/>
          <w:szCs w:val="24"/>
        </w:rPr>
        <w:t>The sections of the CAA that provide statutory authority for the requirements contained in this proposed rule are 202, 203, 206, 207, 208, 213, 216, and 301 (42 U.S.C. 7521, 7522, 7525, 7541, 7542, 7547, 7550, and 7601).</w:t>
      </w:r>
    </w:p>
    <w:p w:rsidR="00E43285" w:rsidRPr="00021E0C" w:rsidP="00E43285" w14:paraId="0EB643FD" w14:textId="77777777">
      <w:pPr>
        <w:pStyle w:val="NoSpacing"/>
        <w:rPr>
          <w:rFonts w:ascii="Times New Roman" w:hAnsi="Times New Roman" w:cs="Times New Roman"/>
          <w:sz w:val="24"/>
          <w:szCs w:val="24"/>
        </w:rPr>
      </w:pPr>
    </w:p>
    <w:p w:rsidR="00E43285" w:rsidRPr="00021E0C" w:rsidP="00E43285" w14:paraId="015AFA03" w14:textId="77777777">
      <w:pPr>
        <w:pStyle w:val="NoSpacing"/>
        <w:ind w:left="720"/>
        <w:rPr>
          <w:rFonts w:ascii="Times New Roman" w:hAnsi="Times New Roman" w:cs="Times New Roman"/>
          <w:b/>
          <w:bCs/>
          <w:sz w:val="24"/>
          <w:szCs w:val="24"/>
        </w:rPr>
      </w:pPr>
    </w:p>
    <w:p w:rsidR="003D76D6" w:rsidRPr="00021E0C" w:rsidP="001543EF" w14:paraId="10784B93" w14:textId="4C46AAF0">
      <w:pPr>
        <w:pStyle w:val="ICR3"/>
      </w:pPr>
      <w:r w:rsidRPr="00021E0C">
        <w:t xml:space="preserve">2. </w:t>
      </w:r>
      <w:r w:rsidRPr="00021E0C">
        <w:t>Affected CFR Regulations</w:t>
      </w:r>
    </w:p>
    <w:p w:rsidR="00FB1C7F" w:rsidRPr="00021E0C" w:rsidP="00FB1C7F" w14:paraId="32F15676" w14:textId="77777777">
      <w:pPr>
        <w:pStyle w:val="NoSpacing"/>
        <w:ind w:left="720"/>
        <w:rPr>
          <w:rFonts w:ascii="Times New Roman" w:hAnsi="Times New Roman" w:cs="Times New Roman"/>
          <w:b/>
          <w:bCs/>
          <w:sz w:val="24"/>
          <w:szCs w:val="24"/>
        </w:rPr>
      </w:pPr>
    </w:p>
    <w:p w:rsidR="00FB1C7F" w:rsidRPr="00021E0C" w:rsidP="000665F1" w14:paraId="1A1D02E7" w14:textId="24B622B3">
      <w:pPr>
        <w:pStyle w:val="NoSpacing"/>
        <w:ind w:firstLine="720"/>
        <w:rPr>
          <w:rFonts w:ascii="Times New Roman" w:hAnsi="Times New Roman" w:cs="Times New Roman"/>
          <w:sz w:val="24"/>
          <w:szCs w:val="24"/>
        </w:rPr>
      </w:pPr>
      <w:r w:rsidRPr="00021E0C">
        <w:rPr>
          <w:rFonts w:ascii="Times New Roman" w:hAnsi="Times New Roman" w:cs="Times New Roman"/>
          <w:sz w:val="24"/>
          <w:szCs w:val="24"/>
        </w:rPr>
        <w:t xml:space="preserve">The </w:t>
      </w:r>
      <w:r w:rsidRPr="00021E0C" w:rsidR="009C2950">
        <w:rPr>
          <w:rFonts w:ascii="Times New Roman" w:hAnsi="Times New Roman" w:cs="Times New Roman"/>
          <w:sz w:val="24"/>
          <w:szCs w:val="24"/>
        </w:rPr>
        <w:t xml:space="preserve">provisions in the Code of Federal Regulations (CFR) </w:t>
      </w:r>
      <w:r w:rsidRPr="00021E0C">
        <w:rPr>
          <w:rFonts w:ascii="Times New Roman" w:hAnsi="Times New Roman" w:cs="Times New Roman"/>
          <w:sz w:val="24"/>
          <w:szCs w:val="24"/>
        </w:rPr>
        <w:t xml:space="preserve">regulations affected by the rule are </w:t>
      </w:r>
      <w:r w:rsidRPr="00021E0C" w:rsidR="009C2950">
        <w:rPr>
          <w:rFonts w:ascii="Times New Roman" w:hAnsi="Times New Roman" w:cs="Times New Roman"/>
          <w:sz w:val="24"/>
          <w:szCs w:val="24"/>
        </w:rPr>
        <w:t>set out in Table 4</w:t>
      </w:r>
      <w:r w:rsidRPr="00021E0C">
        <w:rPr>
          <w:rFonts w:ascii="Times New Roman" w:hAnsi="Times New Roman" w:cs="Times New Roman"/>
          <w:sz w:val="24"/>
          <w:szCs w:val="24"/>
        </w:rPr>
        <w:t xml:space="preserve">:  </w:t>
      </w:r>
    </w:p>
    <w:p w:rsidR="00FB1C7F" w:rsidRPr="00021E0C" w:rsidP="00FB1C7F" w14:paraId="66051129" w14:textId="77777777">
      <w:pPr>
        <w:pStyle w:val="NoSpacing"/>
        <w:rPr>
          <w:rFonts w:ascii="Times New Roman" w:hAnsi="Times New Roman" w:cs="Times New Roman"/>
          <w:sz w:val="24"/>
          <w:szCs w:val="24"/>
        </w:rPr>
      </w:pPr>
    </w:p>
    <w:p w:rsidR="009812C1" w:rsidRPr="00021E0C" w:rsidP="00E43285" w14:paraId="0BA60F9C" w14:textId="106C0A97">
      <w:pPr>
        <w:pStyle w:val="Caption"/>
        <w:keepNext/>
        <w:jc w:val="center"/>
        <w:rPr>
          <w:sz w:val="24"/>
          <w:szCs w:val="24"/>
        </w:rPr>
      </w:pPr>
      <w:r w:rsidRPr="00021E0C">
        <w:rPr>
          <w:sz w:val="24"/>
          <w:szCs w:val="24"/>
        </w:rPr>
        <w:t xml:space="preserve">Table </w:t>
      </w:r>
      <w:r w:rsidRPr="00021E0C" w:rsidR="005E7F5D">
        <w:rPr>
          <w:sz w:val="24"/>
          <w:szCs w:val="24"/>
        </w:rPr>
        <w:fldChar w:fldCharType="begin"/>
      </w:r>
      <w:r w:rsidRPr="00021E0C" w:rsidR="005E7F5D">
        <w:rPr>
          <w:sz w:val="24"/>
          <w:szCs w:val="24"/>
        </w:rPr>
        <w:instrText xml:space="preserve"> SEQ Table \* ARABIC </w:instrText>
      </w:r>
      <w:r w:rsidRPr="00021E0C" w:rsidR="005E7F5D">
        <w:rPr>
          <w:sz w:val="24"/>
          <w:szCs w:val="24"/>
        </w:rPr>
        <w:fldChar w:fldCharType="separate"/>
      </w:r>
      <w:r w:rsidRPr="00021E0C" w:rsidR="00BB757D">
        <w:rPr>
          <w:noProof/>
          <w:sz w:val="24"/>
          <w:szCs w:val="24"/>
        </w:rPr>
        <w:t>4</w:t>
      </w:r>
      <w:r w:rsidRPr="00021E0C" w:rsidR="005E7F5D">
        <w:rPr>
          <w:noProof/>
          <w:sz w:val="24"/>
          <w:szCs w:val="24"/>
        </w:rPr>
        <w:fldChar w:fldCharType="end"/>
      </w:r>
      <w:r w:rsidRPr="00021E0C">
        <w:rPr>
          <w:sz w:val="24"/>
          <w:szCs w:val="24"/>
        </w:rPr>
        <w:t xml:space="preserve"> - Regulations </w:t>
      </w:r>
      <w:r w:rsidRPr="00021E0C" w:rsidR="00400260">
        <w:rPr>
          <w:sz w:val="24"/>
          <w:szCs w:val="24"/>
        </w:rPr>
        <w:t>Affected by Waiver from Tier 4 Emission Standards for Marine Diesel Engines</w:t>
      </w:r>
    </w:p>
    <w:tbl>
      <w:tblPr>
        <w:tblW w:w="604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739"/>
        <w:gridCol w:w="1305"/>
      </w:tblGrid>
      <w:tr w14:paraId="2D4C8840" w14:textId="77777777">
        <w:tblPrEx>
          <w:tblW w:w="604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jc w:val="center"/>
        </w:trPr>
        <w:tc>
          <w:tcPr>
            <w:tcW w:w="4739" w:type="dxa"/>
            <w:tcBorders>
              <w:top w:val="single" w:sz="8" w:space="0" w:color="auto"/>
              <w:left w:val="single" w:sz="8" w:space="0" w:color="auto"/>
              <w:bottom w:val="single" w:sz="8" w:space="0" w:color="auto"/>
              <w:right w:val="single" w:sz="8" w:space="0" w:color="auto"/>
            </w:tcBorders>
            <w:shd w:val="clear" w:color="auto" w:fill="B4C6E7"/>
            <w:vAlign w:val="bottom"/>
            <w:hideMark/>
          </w:tcPr>
          <w:p w:rsidR="00D17B28" w:rsidRPr="00021E0C" w14:paraId="39CEB53A" w14:textId="77777777">
            <w:pPr>
              <w:spacing w:line="252" w:lineRule="auto"/>
              <w:jc w:val="center"/>
              <w:textAlignment w:val="baseline"/>
            </w:pPr>
            <w:r w:rsidRPr="00021E0C">
              <w:rPr>
                <w:color w:val="000000"/>
              </w:rPr>
              <w:t>Industry</w:t>
            </w:r>
          </w:p>
        </w:tc>
        <w:tc>
          <w:tcPr>
            <w:tcW w:w="1305" w:type="dxa"/>
            <w:tcBorders>
              <w:top w:val="single" w:sz="8" w:space="0" w:color="auto"/>
              <w:left w:val="nil"/>
              <w:bottom w:val="single" w:sz="8" w:space="0" w:color="auto"/>
              <w:right w:val="single" w:sz="8" w:space="0" w:color="auto"/>
            </w:tcBorders>
            <w:shd w:val="clear" w:color="auto" w:fill="B4C6E7"/>
            <w:vAlign w:val="bottom"/>
            <w:hideMark/>
          </w:tcPr>
          <w:p w:rsidR="00D17B28" w:rsidRPr="00021E0C" w14:paraId="4A0B446B" w14:textId="77777777">
            <w:pPr>
              <w:spacing w:line="252" w:lineRule="auto"/>
              <w:jc w:val="center"/>
              <w:textAlignment w:val="baseline"/>
            </w:pPr>
            <w:r w:rsidRPr="00021E0C">
              <w:rPr>
                <w:color w:val="000000"/>
              </w:rPr>
              <w:t>40 CFR</w:t>
            </w:r>
            <w:r>
              <w:rPr>
                <w:rStyle w:val="FootnoteReference"/>
                <w:color w:val="000000"/>
              </w:rPr>
              <w:footnoteReference w:customMarkFollows="1" w:id="3"/>
              <w:t xml:space="preserve">[1]</w:t>
            </w:r>
            <w:r w:rsidRPr="00021E0C">
              <w:rPr>
                <w:color w:val="000000"/>
              </w:rPr>
              <w:t xml:space="preserve"> Part</w:t>
            </w:r>
          </w:p>
        </w:tc>
      </w:tr>
      <w:tr w14:paraId="51E3E605" w14:textId="77777777" w:rsidTr="00447561">
        <w:tblPrEx>
          <w:tblW w:w="6044" w:type="dxa"/>
          <w:jc w:val="center"/>
          <w:tblCellMar>
            <w:left w:w="0" w:type="dxa"/>
            <w:right w:w="0" w:type="dxa"/>
          </w:tblCellMar>
          <w:tblLook w:val="04A0"/>
        </w:tblPrEx>
        <w:trPr>
          <w:jc w:val="center"/>
        </w:trPr>
        <w:tc>
          <w:tcPr>
            <w:tcW w:w="4739" w:type="dxa"/>
            <w:tcBorders>
              <w:top w:val="nil"/>
              <w:left w:val="single" w:sz="8" w:space="0" w:color="auto"/>
              <w:bottom w:val="single" w:sz="4" w:space="0" w:color="auto"/>
              <w:right w:val="single" w:sz="8" w:space="0" w:color="auto"/>
            </w:tcBorders>
            <w:vAlign w:val="bottom"/>
            <w:hideMark/>
          </w:tcPr>
          <w:p w:rsidR="00D17B28" w:rsidRPr="00021E0C" w14:paraId="6C13CEBF" w14:textId="3B204184">
            <w:pPr>
              <w:spacing w:line="252" w:lineRule="auto"/>
              <w:textAlignment w:val="baseline"/>
            </w:pPr>
            <w:r w:rsidRPr="00021E0C">
              <w:t>Control of Emissions from New and In-Use Marine Compression-Ignition Engines and Vessels</w:t>
            </w:r>
          </w:p>
        </w:tc>
        <w:tc>
          <w:tcPr>
            <w:tcW w:w="1305" w:type="dxa"/>
            <w:tcBorders>
              <w:top w:val="nil"/>
              <w:left w:val="nil"/>
              <w:bottom w:val="single" w:sz="8" w:space="0" w:color="auto"/>
              <w:right w:val="single" w:sz="8" w:space="0" w:color="auto"/>
            </w:tcBorders>
            <w:vAlign w:val="center"/>
            <w:hideMark/>
          </w:tcPr>
          <w:p w:rsidR="00D17B28" w:rsidRPr="00021E0C" w:rsidP="005F2121" w14:paraId="4EEF6AE0" w14:textId="14FFAE03">
            <w:pPr>
              <w:spacing w:line="252" w:lineRule="auto"/>
              <w:jc w:val="center"/>
              <w:textAlignment w:val="baseline"/>
            </w:pPr>
            <w:r w:rsidRPr="00021E0C">
              <w:t>1042</w:t>
            </w:r>
          </w:p>
        </w:tc>
      </w:tr>
    </w:tbl>
    <w:p w:rsidR="00FB1C7F" w:rsidRPr="00021E0C" w:rsidP="00FB1C7F" w14:paraId="5047E382" w14:textId="77777777">
      <w:pPr>
        <w:pStyle w:val="NoSpacing"/>
        <w:ind w:left="720"/>
        <w:rPr>
          <w:rFonts w:ascii="Times New Roman" w:hAnsi="Times New Roman" w:cs="Times New Roman"/>
          <w:b/>
          <w:bCs/>
          <w:sz w:val="24"/>
          <w:szCs w:val="24"/>
        </w:rPr>
      </w:pPr>
    </w:p>
    <w:p w:rsidR="00FB1C7F" w:rsidRPr="00021E0C" w:rsidP="00FB1C7F" w14:paraId="0D914BFE" w14:textId="77777777">
      <w:pPr>
        <w:pStyle w:val="NoSpacing"/>
        <w:ind w:left="720"/>
        <w:rPr>
          <w:rFonts w:ascii="Times New Roman" w:hAnsi="Times New Roman" w:cs="Times New Roman"/>
          <w:b/>
          <w:bCs/>
          <w:sz w:val="24"/>
          <w:szCs w:val="24"/>
        </w:rPr>
      </w:pPr>
    </w:p>
    <w:p w:rsidR="00E46ADB" w:rsidRPr="00021E0C" w:rsidP="00FB1C7F" w14:paraId="6C98244B" w14:textId="77777777">
      <w:pPr>
        <w:pStyle w:val="NoSpacing"/>
        <w:ind w:left="720"/>
        <w:rPr>
          <w:rFonts w:ascii="Times New Roman" w:hAnsi="Times New Roman" w:cs="Times New Roman"/>
          <w:b/>
          <w:bCs/>
          <w:sz w:val="24"/>
          <w:szCs w:val="24"/>
        </w:rPr>
      </w:pPr>
    </w:p>
    <w:p w:rsidR="008D2443" w:rsidRPr="00021E0C" w:rsidP="001543EF" w14:paraId="5C6C96F7" w14:textId="055C400A">
      <w:pPr>
        <w:pStyle w:val="ICR3"/>
      </w:pPr>
      <w:r w:rsidRPr="00021E0C">
        <w:t xml:space="preserve">3. </w:t>
      </w:r>
      <w:r w:rsidRPr="00021E0C">
        <w:t>Industries affected</w:t>
      </w:r>
    </w:p>
    <w:p w:rsidR="00FB1C7F" w:rsidRPr="00021E0C" w:rsidP="00FB1C7F" w14:paraId="6861C304" w14:textId="77777777">
      <w:pPr>
        <w:pStyle w:val="NoSpacing"/>
        <w:ind w:left="720"/>
        <w:rPr>
          <w:rFonts w:ascii="Times New Roman" w:hAnsi="Times New Roman" w:cs="Times New Roman"/>
          <w:b/>
          <w:bCs/>
          <w:sz w:val="24"/>
          <w:szCs w:val="24"/>
        </w:rPr>
      </w:pPr>
    </w:p>
    <w:p w:rsidR="008416C9" w:rsidRPr="00021E0C" w:rsidP="008416C9" w14:paraId="0DA04B30" w14:textId="2E22985F">
      <w:pPr>
        <w:pStyle w:val="NoSpacing"/>
        <w:ind w:left="720"/>
        <w:rPr>
          <w:rFonts w:ascii="Times New Roman" w:hAnsi="Times New Roman" w:cs="Times New Roman"/>
          <w:sz w:val="24"/>
          <w:szCs w:val="24"/>
        </w:rPr>
      </w:pPr>
      <w:r w:rsidRPr="00021E0C">
        <w:rPr>
          <w:rFonts w:ascii="Times New Roman" w:hAnsi="Times New Roman" w:cs="Times New Roman"/>
          <w:sz w:val="24"/>
          <w:szCs w:val="24"/>
        </w:rPr>
        <w:t xml:space="preserve">Respondents are manufacturers that sell or import into the United States new </w:t>
      </w:r>
      <w:r w:rsidRPr="00021E0C" w:rsidR="00542057">
        <w:rPr>
          <w:rFonts w:ascii="Times New Roman" w:hAnsi="Times New Roman" w:cs="Times New Roman"/>
          <w:sz w:val="24"/>
          <w:szCs w:val="24"/>
        </w:rPr>
        <w:t xml:space="preserve">marine diesel engines and manufactures that produce for sale in the United States certain high-speed marine vessels.  </w:t>
      </w:r>
      <w:r w:rsidRPr="00021E0C">
        <w:rPr>
          <w:rFonts w:ascii="Times New Roman" w:hAnsi="Times New Roman" w:cs="Times New Roman"/>
          <w:sz w:val="24"/>
          <w:szCs w:val="24"/>
        </w:rPr>
        <w:t xml:space="preserve">Respondents affected by the </w:t>
      </w:r>
      <w:r w:rsidRPr="00021E0C" w:rsidR="00225EFE">
        <w:rPr>
          <w:rFonts w:ascii="Times New Roman" w:hAnsi="Times New Roman" w:cs="Times New Roman"/>
          <w:sz w:val="24"/>
          <w:szCs w:val="24"/>
        </w:rPr>
        <w:t>proposal</w:t>
      </w:r>
      <w:r w:rsidRPr="00021E0C">
        <w:rPr>
          <w:rFonts w:ascii="Times New Roman" w:hAnsi="Times New Roman" w:cs="Times New Roman"/>
          <w:sz w:val="24"/>
          <w:szCs w:val="24"/>
        </w:rPr>
        <w:t xml:space="preserve"> are classified in the North American Industry Classification System codes (NAICS) listed </w:t>
      </w:r>
      <w:r w:rsidRPr="00021E0C" w:rsidR="009C2950">
        <w:rPr>
          <w:rFonts w:ascii="Times New Roman" w:hAnsi="Times New Roman" w:cs="Times New Roman"/>
          <w:sz w:val="24"/>
          <w:szCs w:val="24"/>
        </w:rPr>
        <w:t>in Table 5</w:t>
      </w:r>
      <w:r w:rsidRPr="00021E0C">
        <w:rPr>
          <w:rFonts w:ascii="Times New Roman" w:hAnsi="Times New Roman" w:cs="Times New Roman"/>
          <w:sz w:val="24"/>
          <w:szCs w:val="24"/>
        </w:rPr>
        <w:t>.</w:t>
      </w:r>
      <w:r w:rsidRPr="00021E0C">
        <w:rPr>
          <w:rFonts w:ascii="Times New Roman" w:hAnsi="Times New Roman" w:cs="Times New Roman"/>
          <w:sz w:val="24"/>
          <w:szCs w:val="24"/>
        </w:rPr>
        <w:t xml:space="preserve">  </w:t>
      </w:r>
    </w:p>
    <w:p w:rsidR="008416C9" w:rsidRPr="00021E0C" w:rsidP="008416C9" w14:paraId="59711D8B" w14:textId="77777777">
      <w:pPr>
        <w:pStyle w:val="NoSpacing"/>
        <w:ind w:left="720"/>
        <w:rPr>
          <w:rFonts w:ascii="Times New Roman" w:hAnsi="Times New Roman" w:cs="Times New Roman"/>
          <w:sz w:val="24"/>
          <w:szCs w:val="24"/>
        </w:rPr>
      </w:pPr>
    </w:p>
    <w:p w:rsidR="008416C9" w:rsidRPr="00021E0C" w:rsidP="008416C9" w14:paraId="72F91DEF" w14:textId="77777777">
      <w:pPr>
        <w:widowControl w:val="0"/>
        <w:autoSpaceDE/>
        <w:autoSpaceDN/>
        <w:adjustRightInd/>
        <w:jc w:val="center"/>
        <w:rPr>
          <w:b/>
          <w:bCs/>
        </w:rPr>
      </w:pPr>
    </w:p>
    <w:p w:rsidR="008416C9" w:rsidRPr="00021E0C" w:rsidP="008416C9" w14:paraId="7BF26C92" w14:textId="5935E26B">
      <w:pPr>
        <w:pStyle w:val="Caption"/>
        <w:keepNext/>
        <w:jc w:val="center"/>
        <w:rPr>
          <w:sz w:val="24"/>
          <w:szCs w:val="24"/>
        </w:rPr>
      </w:pPr>
      <w:r w:rsidRPr="00021E0C">
        <w:rPr>
          <w:sz w:val="24"/>
          <w:szCs w:val="24"/>
        </w:rPr>
        <w:t xml:space="preserve">Table </w:t>
      </w:r>
      <w:r w:rsidRPr="00021E0C" w:rsidR="005E7F5D">
        <w:rPr>
          <w:sz w:val="24"/>
          <w:szCs w:val="24"/>
        </w:rPr>
        <w:fldChar w:fldCharType="begin"/>
      </w:r>
      <w:r w:rsidRPr="00021E0C" w:rsidR="005E7F5D">
        <w:rPr>
          <w:sz w:val="24"/>
          <w:szCs w:val="24"/>
        </w:rPr>
        <w:instrText xml:space="preserve"> SEQ Table \* ARABIC </w:instrText>
      </w:r>
      <w:r w:rsidRPr="00021E0C" w:rsidR="005E7F5D">
        <w:rPr>
          <w:sz w:val="24"/>
          <w:szCs w:val="24"/>
        </w:rPr>
        <w:fldChar w:fldCharType="separate"/>
      </w:r>
      <w:r w:rsidRPr="00021E0C" w:rsidR="00BB757D">
        <w:rPr>
          <w:noProof/>
          <w:sz w:val="24"/>
          <w:szCs w:val="24"/>
        </w:rPr>
        <w:t>5</w:t>
      </w:r>
      <w:r w:rsidRPr="00021E0C" w:rsidR="005E7F5D">
        <w:rPr>
          <w:noProof/>
          <w:sz w:val="24"/>
          <w:szCs w:val="24"/>
        </w:rPr>
        <w:fldChar w:fldCharType="end"/>
      </w:r>
      <w:r w:rsidRPr="00021E0C">
        <w:rPr>
          <w:sz w:val="24"/>
          <w:szCs w:val="24"/>
        </w:rPr>
        <w:t xml:space="preserve"> - Respondents North American Industry Classification Codes</w:t>
      </w:r>
      <w:r>
        <w:rPr>
          <w:rStyle w:val="FootnoteReference"/>
          <w:sz w:val="24"/>
          <w:szCs w:val="24"/>
        </w:rPr>
        <w:footnoteReference w:id="4"/>
      </w:r>
    </w:p>
    <w:tbl>
      <w:tblPr>
        <w:tblW w:w="0" w:type="auto"/>
        <w:jc w:val="center"/>
        <w:tblLook w:val="04A0"/>
      </w:tblPr>
      <w:tblGrid>
        <w:gridCol w:w="1650"/>
        <w:gridCol w:w="5603"/>
      </w:tblGrid>
      <w:tr w14:paraId="17C19CB6" w14:textId="77777777" w:rsidTr="00171736">
        <w:tblPrEx>
          <w:tblW w:w="0" w:type="auto"/>
          <w:jc w:val="center"/>
          <w:tblLook w:val="04A0"/>
        </w:tblPrEx>
        <w:trPr>
          <w:trHeight w:val="330"/>
          <w:tblHeader/>
          <w:jc w:val="center"/>
        </w:trPr>
        <w:tc>
          <w:tcPr>
            <w:tcW w:w="0" w:type="auto"/>
            <w:tcBorders>
              <w:top w:val="single" w:sz="4" w:space="0" w:color="auto"/>
              <w:left w:val="single" w:sz="4" w:space="0" w:color="auto"/>
              <w:bottom w:val="single" w:sz="4" w:space="0" w:color="auto"/>
              <w:right w:val="single" w:sz="4" w:space="0" w:color="auto"/>
            </w:tcBorders>
            <w:shd w:val="clear" w:color="000000" w:fill="D9E1F2"/>
            <w:vAlign w:val="bottom"/>
            <w:hideMark/>
          </w:tcPr>
          <w:p w:rsidR="008416C9" w:rsidRPr="00021E0C" w14:paraId="59FE445F" w14:textId="77777777">
            <w:pPr>
              <w:autoSpaceDE/>
              <w:autoSpaceDN/>
              <w:adjustRightInd/>
              <w:jc w:val="center"/>
              <w:rPr>
                <w:b/>
                <w:bCs/>
              </w:rPr>
            </w:pPr>
            <w:r w:rsidRPr="00021E0C">
              <w:rPr>
                <w:b/>
                <w:bCs/>
              </w:rPr>
              <w:t>NAICS Codes</w:t>
            </w:r>
          </w:p>
        </w:tc>
        <w:tc>
          <w:tcPr>
            <w:tcW w:w="5603" w:type="dxa"/>
            <w:tcBorders>
              <w:top w:val="single" w:sz="4" w:space="0" w:color="auto"/>
              <w:left w:val="nil"/>
              <w:bottom w:val="single" w:sz="4" w:space="0" w:color="auto"/>
              <w:right w:val="single" w:sz="4" w:space="0" w:color="auto"/>
            </w:tcBorders>
            <w:shd w:val="clear" w:color="000000" w:fill="D9E1F2"/>
            <w:vAlign w:val="bottom"/>
            <w:hideMark/>
          </w:tcPr>
          <w:p w:rsidR="008416C9" w:rsidRPr="00021E0C" w14:paraId="0A91D5BE" w14:textId="77777777">
            <w:pPr>
              <w:autoSpaceDE/>
              <w:autoSpaceDN/>
              <w:adjustRightInd/>
              <w:jc w:val="center"/>
              <w:rPr>
                <w:b/>
                <w:bCs/>
              </w:rPr>
            </w:pPr>
            <w:r w:rsidRPr="00021E0C">
              <w:rPr>
                <w:b/>
                <w:bCs/>
              </w:rPr>
              <w:t>NAICS Title</w:t>
            </w:r>
          </w:p>
        </w:tc>
      </w:tr>
      <w:tr w14:paraId="41849843" w14:textId="77777777" w:rsidTr="00171736">
        <w:tblPrEx>
          <w:tblW w:w="0" w:type="auto"/>
          <w:jc w:val="center"/>
          <w:tblLook w:val="04A0"/>
        </w:tblPrEx>
        <w:trPr>
          <w:trHeight w:val="263"/>
          <w:jc w:val="center"/>
        </w:trPr>
        <w:tc>
          <w:tcPr>
            <w:tcW w:w="0" w:type="auto"/>
            <w:tcBorders>
              <w:top w:val="nil"/>
              <w:left w:val="single" w:sz="4" w:space="0" w:color="auto"/>
              <w:bottom w:val="single" w:sz="4" w:space="0" w:color="auto"/>
              <w:right w:val="single" w:sz="4" w:space="0" w:color="auto"/>
            </w:tcBorders>
            <w:shd w:val="clear" w:color="auto" w:fill="auto"/>
          </w:tcPr>
          <w:p w:rsidR="00171736" w:rsidRPr="00021E0C" w:rsidP="00171736" w14:paraId="79A5BEEA" w14:textId="257FC278">
            <w:pPr>
              <w:autoSpaceDE/>
              <w:autoSpaceDN/>
              <w:adjustRightInd/>
              <w:jc w:val="center"/>
            </w:pPr>
            <w:r w:rsidRPr="00021E0C">
              <w:t>333618</w:t>
            </w:r>
          </w:p>
        </w:tc>
        <w:tc>
          <w:tcPr>
            <w:tcW w:w="5603" w:type="dxa"/>
            <w:tcBorders>
              <w:top w:val="nil"/>
              <w:left w:val="nil"/>
              <w:bottom w:val="single" w:sz="4" w:space="0" w:color="auto"/>
              <w:right w:val="single" w:sz="4" w:space="0" w:color="auto"/>
            </w:tcBorders>
            <w:shd w:val="clear" w:color="auto" w:fill="auto"/>
            <w:hideMark/>
          </w:tcPr>
          <w:p w:rsidR="00171736" w:rsidRPr="00021E0C" w:rsidP="00171736" w14:paraId="669A1E2D" w14:textId="79A2F8AF">
            <w:pPr>
              <w:autoSpaceDE/>
              <w:autoSpaceDN/>
              <w:adjustRightInd/>
            </w:pPr>
            <w:r w:rsidRPr="00021E0C">
              <w:t>Other Engine Equipment Manufacturing</w:t>
            </w:r>
          </w:p>
        </w:tc>
      </w:tr>
      <w:tr w14:paraId="5DA63919" w14:textId="77777777" w:rsidTr="00171736">
        <w:tblPrEx>
          <w:tblW w:w="0" w:type="auto"/>
          <w:jc w:val="center"/>
          <w:tblLook w:val="04A0"/>
        </w:tblPrEx>
        <w:trPr>
          <w:trHeight w:val="263"/>
          <w:jc w:val="center"/>
        </w:trPr>
        <w:tc>
          <w:tcPr>
            <w:tcW w:w="0" w:type="auto"/>
            <w:tcBorders>
              <w:top w:val="nil"/>
              <w:left w:val="single" w:sz="4" w:space="0" w:color="auto"/>
              <w:bottom w:val="single" w:sz="4" w:space="0" w:color="auto"/>
              <w:right w:val="single" w:sz="4" w:space="0" w:color="auto"/>
            </w:tcBorders>
            <w:shd w:val="clear" w:color="auto" w:fill="auto"/>
          </w:tcPr>
          <w:p w:rsidR="00171736" w:rsidRPr="00021E0C" w:rsidP="00171736" w14:paraId="16D21C1B" w14:textId="7449914D">
            <w:pPr>
              <w:autoSpaceDE/>
              <w:autoSpaceDN/>
              <w:adjustRightInd/>
              <w:jc w:val="center"/>
            </w:pPr>
            <w:r w:rsidRPr="00021E0C">
              <w:t>33611</w:t>
            </w:r>
            <w:r w:rsidRPr="00021E0C" w:rsidR="001735AC">
              <w:t>1</w:t>
            </w:r>
          </w:p>
        </w:tc>
        <w:tc>
          <w:tcPr>
            <w:tcW w:w="5603" w:type="dxa"/>
            <w:tcBorders>
              <w:top w:val="nil"/>
              <w:left w:val="nil"/>
              <w:bottom w:val="single" w:sz="4" w:space="0" w:color="auto"/>
              <w:right w:val="single" w:sz="4" w:space="0" w:color="auto"/>
            </w:tcBorders>
            <w:shd w:val="clear" w:color="auto" w:fill="auto"/>
            <w:hideMark/>
          </w:tcPr>
          <w:p w:rsidR="00171736" w:rsidRPr="00021E0C" w:rsidP="00171736" w14:paraId="158D0284" w14:textId="722A378D">
            <w:pPr>
              <w:autoSpaceDE/>
              <w:autoSpaceDN/>
              <w:adjustRightInd/>
            </w:pPr>
            <w:r w:rsidRPr="00021E0C">
              <w:t>Manufacturers of Marine Vessels</w:t>
            </w:r>
          </w:p>
        </w:tc>
      </w:tr>
    </w:tbl>
    <w:p w:rsidR="008416C9" w:rsidRPr="00021E0C" w:rsidP="008416C9" w14:paraId="72A954DD" w14:textId="77777777">
      <w:pPr>
        <w:widowControl w:val="0"/>
        <w:autoSpaceDE/>
        <w:autoSpaceDN/>
        <w:adjustRightInd/>
        <w:jc w:val="center"/>
        <w:rPr>
          <w:b/>
          <w:bCs/>
        </w:rPr>
      </w:pPr>
    </w:p>
    <w:p w:rsidR="008416C9" w:rsidRPr="00021E0C" w:rsidP="008416C9" w14:paraId="6529A602" w14:textId="77777777">
      <w:pPr>
        <w:widowControl w:val="0"/>
        <w:autoSpaceDE/>
        <w:autoSpaceDN/>
        <w:adjustRightInd/>
        <w:rPr>
          <w:highlight w:val="yellow"/>
        </w:rPr>
      </w:pPr>
    </w:p>
    <w:p w:rsidR="008416C9" w:rsidRPr="00021E0C" w:rsidP="00FB1C7F" w14:paraId="623B079F" w14:textId="77777777">
      <w:pPr>
        <w:pStyle w:val="NoSpacing"/>
        <w:ind w:left="720"/>
        <w:rPr>
          <w:rFonts w:ascii="Times New Roman" w:hAnsi="Times New Roman" w:cs="Times New Roman"/>
          <w:b/>
          <w:bCs/>
          <w:sz w:val="24"/>
          <w:szCs w:val="24"/>
        </w:rPr>
      </w:pPr>
    </w:p>
    <w:p w:rsidR="00FB1C7F" w:rsidRPr="00021E0C" w:rsidP="00FB1C7F" w14:paraId="12A82D27" w14:textId="77777777">
      <w:pPr>
        <w:pStyle w:val="NoSpacing"/>
        <w:ind w:left="720"/>
        <w:rPr>
          <w:rFonts w:ascii="Times New Roman" w:hAnsi="Times New Roman" w:cs="Times New Roman"/>
          <w:b/>
          <w:bCs/>
          <w:sz w:val="24"/>
          <w:szCs w:val="24"/>
        </w:rPr>
      </w:pPr>
    </w:p>
    <w:p w:rsidR="0040012C" w:rsidRPr="00021E0C" w:rsidP="001543EF" w14:paraId="7DBE492D" w14:textId="73CC8E43">
      <w:pPr>
        <w:pStyle w:val="ICR3"/>
      </w:pPr>
      <w:r w:rsidRPr="00021E0C">
        <w:t xml:space="preserve">4. </w:t>
      </w:r>
      <w:r w:rsidRPr="00021E0C">
        <w:t>Number of Respondents</w:t>
      </w:r>
    </w:p>
    <w:p w:rsidR="0040012C" w:rsidRPr="00021E0C" w:rsidP="0040012C" w14:paraId="2B2B7126" w14:textId="77777777">
      <w:pPr>
        <w:pStyle w:val="NoSpacing"/>
        <w:ind w:left="720"/>
        <w:rPr>
          <w:rFonts w:ascii="Times New Roman" w:hAnsi="Times New Roman" w:cs="Times New Roman"/>
          <w:b/>
          <w:bCs/>
          <w:sz w:val="24"/>
          <w:szCs w:val="24"/>
        </w:rPr>
      </w:pPr>
    </w:p>
    <w:p w:rsidR="005E6D26" w:rsidRPr="00021E0C" w:rsidP="005E6D26" w14:paraId="50E6E638" w14:textId="18D5E7BB">
      <w:pPr>
        <w:pStyle w:val="NoSpacing"/>
        <w:ind w:left="720"/>
        <w:rPr>
          <w:rFonts w:ascii="Times New Roman" w:hAnsi="Times New Roman" w:cs="Times New Roman"/>
          <w:sz w:val="24"/>
          <w:szCs w:val="24"/>
        </w:rPr>
      </w:pPr>
      <w:r w:rsidRPr="00021E0C">
        <w:rPr>
          <w:rFonts w:ascii="Times New Roman" w:hAnsi="Times New Roman" w:cs="Times New Roman"/>
          <w:sz w:val="24"/>
          <w:szCs w:val="24"/>
        </w:rPr>
        <w:t>T</w:t>
      </w:r>
      <w:r w:rsidRPr="00021E0C" w:rsidR="005D1922">
        <w:rPr>
          <w:rFonts w:ascii="Times New Roman" w:hAnsi="Times New Roman" w:cs="Times New Roman"/>
          <w:sz w:val="24"/>
          <w:szCs w:val="24"/>
        </w:rPr>
        <w:t xml:space="preserve">he number </w:t>
      </w:r>
      <w:r w:rsidRPr="00021E0C">
        <w:rPr>
          <w:rFonts w:ascii="Times New Roman" w:hAnsi="Times New Roman" w:cs="Times New Roman"/>
          <w:sz w:val="24"/>
          <w:szCs w:val="24"/>
        </w:rPr>
        <w:t>of respondents</w:t>
      </w:r>
      <w:r w:rsidRPr="00021E0C" w:rsidR="00034206">
        <w:rPr>
          <w:rFonts w:ascii="Times New Roman" w:hAnsi="Times New Roman" w:cs="Times New Roman"/>
          <w:sz w:val="24"/>
          <w:szCs w:val="24"/>
        </w:rPr>
        <w:t xml:space="preserve"> </w:t>
      </w:r>
      <w:r w:rsidRPr="00021E0C" w:rsidR="005D1922">
        <w:rPr>
          <w:rFonts w:ascii="Times New Roman" w:hAnsi="Times New Roman" w:cs="Times New Roman"/>
          <w:sz w:val="24"/>
          <w:szCs w:val="24"/>
        </w:rPr>
        <w:t>affected by this I</w:t>
      </w:r>
      <w:r w:rsidRPr="00021E0C" w:rsidR="00034206">
        <w:rPr>
          <w:rFonts w:ascii="Times New Roman" w:hAnsi="Times New Roman" w:cs="Times New Roman"/>
          <w:sz w:val="24"/>
          <w:szCs w:val="24"/>
        </w:rPr>
        <w:t xml:space="preserve">nformation </w:t>
      </w:r>
      <w:r w:rsidRPr="00021E0C" w:rsidR="005D1922">
        <w:rPr>
          <w:rFonts w:ascii="Times New Roman" w:hAnsi="Times New Roman" w:cs="Times New Roman"/>
          <w:sz w:val="24"/>
          <w:szCs w:val="24"/>
        </w:rPr>
        <w:t>C</w:t>
      </w:r>
      <w:r w:rsidRPr="00021E0C" w:rsidR="00034206">
        <w:rPr>
          <w:rFonts w:ascii="Times New Roman" w:hAnsi="Times New Roman" w:cs="Times New Roman"/>
          <w:sz w:val="24"/>
          <w:szCs w:val="24"/>
        </w:rPr>
        <w:t xml:space="preserve">ollection </w:t>
      </w:r>
      <w:r w:rsidRPr="00021E0C" w:rsidR="005D1922">
        <w:rPr>
          <w:rFonts w:ascii="Times New Roman" w:hAnsi="Times New Roman" w:cs="Times New Roman"/>
          <w:sz w:val="24"/>
          <w:szCs w:val="24"/>
        </w:rPr>
        <w:t>R</w:t>
      </w:r>
      <w:r w:rsidRPr="00021E0C" w:rsidR="00034206">
        <w:rPr>
          <w:rFonts w:ascii="Times New Roman" w:hAnsi="Times New Roman" w:cs="Times New Roman"/>
          <w:sz w:val="24"/>
          <w:szCs w:val="24"/>
        </w:rPr>
        <w:t>equest</w:t>
      </w:r>
      <w:r w:rsidRPr="00021E0C" w:rsidR="005D1922">
        <w:rPr>
          <w:rFonts w:ascii="Times New Roman" w:hAnsi="Times New Roman" w:cs="Times New Roman"/>
          <w:sz w:val="24"/>
          <w:szCs w:val="24"/>
        </w:rPr>
        <w:t xml:space="preserve"> is set out in Table 6</w:t>
      </w:r>
      <w:r w:rsidRPr="00021E0C" w:rsidR="004B4837">
        <w:rPr>
          <w:rFonts w:ascii="Times New Roman" w:hAnsi="Times New Roman" w:cs="Times New Roman"/>
          <w:sz w:val="24"/>
          <w:szCs w:val="24"/>
        </w:rPr>
        <w:t>, by category of company</w:t>
      </w:r>
      <w:r w:rsidRPr="00021E0C">
        <w:rPr>
          <w:rFonts w:ascii="Times New Roman" w:hAnsi="Times New Roman" w:cs="Times New Roman"/>
          <w:sz w:val="24"/>
          <w:szCs w:val="24"/>
        </w:rPr>
        <w:t xml:space="preserve">. </w:t>
      </w:r>
      <w:r w:rsidRPr="00021E0C" w:rsidR="004B4837">
        <w:rPr>
          <w:rFonts w:ascii="Times New Roman" w:hAnsi="Times New Roman" w:cs="Times New Roman"/>
          <w:sz w:val="24"/>
          <w:szCs w:val="24"/>
        </w:rPr>
        <w:t xml:space="preserve"> </w:t>
      </w:r>
      <w:r w:rsidRPr="00021E0C" w:rsidR="008A5328">
        <w:rPr>
          <w:rFonts w:ascii="Times New Roman" w:hAnsi="Times New Roman" w:cs="Times New Roman"/>
          <w:sz w:val="24"/>
          <w:szCs w:val="24"/>
        </w:rPr>
        <w:t xml:space="preserve">This is the maximum number of companies that produce the types of boats eligible for the waiver.  However, EPA does not expect that each of these companies will, in fact, request a waiver as suitable engines are expected to become commercially available.  </w:t>
      </w:r>
      <w:r w:rsidRPr="00021E0C">
        <w:rPr>
          <w:rFonts w:ascii="Times New Roman" w:hAnsi="Times New Roman" w:cs="Times New Roman"/>
          <w:sz w:val="24"/>
          <w:szCs w:val="24"/>
        </w:rPr>
        <w:t xml:space="preserve"> </w:t>
      </w:r>
    </w:p>
    <w:p w:rsidR="005E6D26" w:rsidRPr="00021E0C" w:rsidP="005E6D26" w14:paraId="451AD2B4" w14:textId="77777777">
      <w:pPr>
        <w:pStyle w:val="NoSpacing"/>
        <w:ind w:left="720"/>
        <w:rPr>
          <w:rFonts w:ascii="Times New Roman" w:hAnsi="Times New Roman" w:cs="Times New Roman"/>
          <w:sz w:val="24"/>
          <w:szCs w:val="24"/>
        </w:rPr>
      </w:pPr>
    </w:p>
    <w:p w:rsidR="005E6D26" w:rsidRPr="00021E0C" w:rsidP="005E6D26" w14:paraId="3CE43229" w14:textId="77777777">
      <w:pPr>
        <w:pStyle w:val="NoSpacing"/>
        <w:ind w:left="720"/>
        <w:rPr>
          <w:b/>
          <w:bCs/>
          <w:sz w:val="24"/>
          <w:szCs w:val="24"/>
          <w:lang w:val="en-CA"/>
        </w:rPr>
      </w:pPr>
    </w:p>
    <w:p w:rsidR="00DA631C" w:rsidRPr="00021E0C" w:rsidP="00DA631C" w14:paraId="7E7F1941" w14:textId="3F3D95D2">
      <w:pPr>
        <w:pStyle w:val="Caption"/>
        <w:keepNext/>
        <w:jc w:val="center"/>
        <w:rPr>
          <w:sz w:val="24"/>
          <w:szCs w:val="24"/>
        </w:rPr>
      </w:pPr>
      <w:r w:rsidRPr="00021E0C">
        <w:rPr>
          <w:sz w:val="24"/>
          <w:szCs w:val="24"/>
        </w:rPr>
        <w:t xml:space="preserve">Table </w:t>
      </w:r>
      <w:r w:rsidRPr="00021E0C">
        <w:rPr>
          <w:sz w:val="24"/>
          <w:szCs w:val="24"/>
        </w:rPr>
        <w:fldChar w:fldCharType="begin"/>
      </w:r>
      <w:r w:rsidRPr="00021E0C">
        <w:rPr>
          <w:sz w:val="24"/>
          <w:szCs w:val="24"/>
        </w:rPr>
        <w:instrText xml:space="preserve"> SEQ Table \* ARABIC </w:instrText>
      </w:r>
      <w:r w:rsidRPr="00021E0C">
        <w:rPr>
          <w:sz w:val="24"/>
          <w:szCs w:val="24"/>
        </w:rPr>
        <w:fldChar w:fldCharType="separate"/>
      </w:r>
      <w:r w:rsidRPr="00021E0C" w:rsidR="00BB757D">
        <w:rPr>
          <w:noProof/>
          <w:sz w:val="24"/>
          <w:szCs w:val="24"/>
        </w:rPr>
        <w:t>6</w:t>
      </w:r>
      <w:r w:rsidRPr="00021E0C">
        <w:rPr>
          <w:sz w:val="24"/>
          <w:szCs w:val="24"/>
        </w:rPr>
        <w:fldChar w:fldCharType="end"/>
      </w:r>
      <w:r w:rsidRPr="00021E0C">
        <w:rPr>
          <w:sz w:val="24"/>
          <w:szCs w:val="24"/>
        </w:rPr>
        <w:t xml:space="preserve"> - Number of Respondents per Category</w:t>
      </w:r>
    </w:p>
    <w:tbl>
      <w:tblPr>
        <w:tblW w:w="7713" w:type="dxa"/>
        <w:jc w:val="center"/>
        <w:tblLayout w:type="fixed"/>
        <w:tblLook w:val="04A0"/>
      </w:tblPr>
      <w:tblGrid>
        <w:gridCol w:w="5550"/>
        <w:gridCol w:w="2163"/>
      </w:tblGrid>
      <w:tr w14:paraId="0DCF7647" w14:textId="77777777" w:rsidTr="00DB6A2B">
        <w:tblPrEx>
          <w:tblW w:w="7713" w:type="dxa"/>
          <w:jc w:val="center"/>
          <w:tblLayout w:type="fixed"/>
          <w:tblLook w:val="04A0"/>
        </w:tblPrEx>
        <w:trPr>
          <w:trHeight w:val="770"/>
          <w:jc w:val="center"/>
        </w:trPr>
        <w:tc>
          <w:tcPr>
            <w:tcW w:w="5550" w:type="dxa"/>
            <w:tcBorders>
              <w:top w:val="single" w:sz="4" w:space="0" w:color="auto"/>
              <w:left w:val="single" w:sz="4" w:space="0" w:color="auto"/>
              <w:bottom w:val="nil"/>
              <w:right w:val="single" w:sz="4" w:space="0" w:color="auto"/>
            </w:tcBorders>
            <w:shd w:val="clear" w:color="auto" w:fill="B4C6E7" w:themeFill="accent1" w:themeFillTint="66"/>
            <w:noWrap/>
            <w:vAlign w:val="bottom"/>
            <w:hideMark/>
          </w:tcPr>
          <w:p w:rsidR="005E6D26" w:rsidRPr="00021E0C" w:rsidP="005E6D26" w14:paraId="19651B2D" w14:textId="77777777">
            <w:pPr>
              <w:autoSpaceDE/>
              <w:autoSpaceDN/>
              <w:adjustRightInd/>
              <w:jc w:val="center"/>
            </w:pPr>
            <w:r w:rsidRPr="00021E0C">
              <w:t>Industry</w:t>
            </w:r>
          </w:p>
        </w:tc>
        <w:tc>
          <w:tcPr>
            <w:tcW w:w="2163" w:type="dxa"/>
            <w:tcBorders>
              <w:top w:val="single" w:sz="4" w:space="0" w:color="auto"/>
              <w:left w:val="nil"/>
              <w:bottom w:val="nil"/>
              <w:right w:val="single" w:sz="4" w:space="0" w:color="auto"/>
            </w:tcBorders>
            <w:shd w:val="clear" w:color="auto" w:fill="B4C6E7" w:themeFill="accent1" w:themeFillTint="66"/>
            <w:vAlign w:val="bottom"/>
            <w:hideMark/>
          </w:tcPr>
          <w:p w:rsidR="005E6D26" w:rsidRPr="00021E0C" w:rsidP="00DB6A2B" w14:paraId="56D03D60" w14:textId="77777777">
            <w:pPr>
              <w:pStyle w:val="NoSpacing"/>
              <w:ind w:left="101"/>
              <w:rPr>
                <w:rFonts w:ascii="Times New Roman" w:hAnsi="Times New Roman" w:cs="Times New Roman"/>
                <w:sz w:val="24"/>
                <w:szCs w:val="24"/>
              </w:rPr>
            </w:pPr>
            <w:r w:rsidRPr="00021E0C">
              <w:rPr>
                <w:rFonts w:ascii="Times New Roman" w:hAnsi="Times New Roman" w:cs="Times New Roman"/>
                <w:sz w:val="24"/>
                <w:szCs w:val="24"/>
              </w:rPr>
              <w:t xml:space="preserve">Number of Respondents </w:t>
            </w:r>
          </w:p>
        </w:tc>
      </w:tr>
      <w:tr w14:paraId="65676D22" w14:textId="77777777" w:rsidTr="00DB6A2B">
        <w:tblPrEx>
          <w:tblW w:w="7713" w:type="dxa"/>
          <w:jc w:val="center"/>
          <w:tblLayout w:type="fixed"/>
          <w:tblLook w:val="04A0"/>
        </w:tblPrEx>
        <w:trPr>
          <w:trHeight w:val="20"/>
          <w:jc w:val="center"/>
        </w:trPr>
        <w:tc>
          <w:tcPr>
            <w:tcW w:w="5550" w:type="dxa"/>
            <w:tcBorders>
              <w:top w:val="single" w:sz="4" w:space="0" w:color="auto"/>
              <w:left w:val="single" w:sz="4" w:space="0" w:color="auto"/>
              <w:bottom w:val="single" w:sz="4" w:space="0" w:color="auto"/>
              <w:right w:val="single" w:sz="4" w:space="0" w:color="auto"/>
            </w:tcBorders>
            <w:shd w:val="clear" w:color="auto" w:fill="auto"/>
            <w:hideMark/>
          </w:tcPr>
          <w:p w:rsidR="005E6D26" w:rsidRPr="00021E0C" w:rsidP="00DB6A2B" w14:paraId="6AF93292" w14:textId="21699C24">
            <w:pPr>
              <w:pStyle w:val="NoSpacing"/>
              <w:ind w:left="67"/>
              <w:rPr>
                <w:rFonts w:ascii="Times New Roman" w:hAnsi="Times New Roman" w:cs="Times New Roman"/>
                <w:sz w:val="24"/>
                <w:szCs w:val="24"/>
              </w:rPr>
            </w:pPr>
            <w:r w:rsidRPr="00021E0C">
              <w:rPr>
                <w:rFonts w:ascii="Times New Roman" w:hAnsi="Times New Roman" w:cs="Times New Roman"/>
                <w:sz w:val="24"/>
                <w:szCs w:val="24"/>
              </w:rPr>
              <w:t>Manufacturers of qualifying marine vessels (vessels with a single propulsion engine with maximum power output up to 1,000 kW and power density of at least 35.0 kW per liter displacement, where the vessel is made with a nonmetal hull and has a maximum length of 50 feet)</w:t>
            </w:r>
          </w:p>
        </w:tc>
        <w:tc>
          <w:tcPr>
            <w:tcW w:w="2163" w:type="dxa"/>
            <w:tcBorders>
              <w:top w:val="single" w:sz="4" w:space="0" w:color="auto"/>
              <w:left w:val="nil"/>
              <w:bottom w:val="single" w:sz="4" w:space="0" w:color="auto"/>
              <w:right w:val="single" w:sz="4" w:space="0" w:color="auto"/>
            </w:tcBorders>
            <w:shd w:val="clear" w:color="auto" w:fill="auto"/>
            <w:noWrap/>
            <w:hideMark/>
          </w:tcPr>
          <w:p w:rsidR="005E6D26" w:rsidRPr="00021E0C" w:rsidP="005E6D26" w14:paraId="7515EE64" w14:textId="40B5ADC7">
            <w:pPr>
              <w:pStyle w:val="NoSpacing"/>
              <w:ind w:left="720"/>
              <w:rPr>
                <w:rFonts w:ascii="Times New Roman" w:hAnsi="Times New Roman" w:cs="Times New Roman"/>
                <w:sz w:val="24"/>
                <w:szCs w:val="24"/>
              </w:rPr>
            </w:pPr>
            <w:r w:rsidRPr="00021E0C">
              <w:rPr>
                <w:rFonts w:ascii="Times New Roman" w:hAnsi="Times New Roman" w:cs="Times New Roman"/>
                <w:sz w:val="24"/>
                <w:szCs w:val="24"/>
              </w:rPr>
              <w:t>20</w:t>
            </w:r>
          </w:p>
        </w:tc>
      </w:tr>
    </w:tbl>
    <w:p w:rsidR="005E6D26" w:rsidRPr="00021E0C" w:rsidP="005E6D26" w14:paraId="4D41D6EB" w14:textId="77777777">
      <w:pPr>
        <w:pStyle w:val="NoSpacing"/>
        <w:ind w:left="720"/>
        <w:rPr>
          <w:b/>
          <w:bCs/>
          <w:sz w:val="24"/>
          <w:szCs w:val="24"/>
        </w:rPr>
      </w:pPr>
    </w:p>
    <w:p w:rsidR="005E6D26" w:rsidRPr="00021E0C" w:rsidP="005E6D26" w14:paraId="71DED68D" w14:textId="77777777">
      <w:pPr>
        <w:pStyle w:val="NoSpacing"/>
        <w:ind w:left="720"/>
        <w:rPr>
          <w:b/>
          <w:bCs/>
          <w:sz w:val="24"/>
          <w:szCs w:val="24"/>
        </w:rPr>
      </w:pPr>
    </w:p>
    <w:p w:rsidR="0040012C" w:rsidRPr="00021E0C" w:rsidP="0040012C" w14:paraId="08E6903A" w14:textId="77777777">
      <w:pPr>
        <w:pStyle w:val="NoSpacing"/>
        <w:ind w:left="720"/>
        <w:rPr>
          <w:rFonts w:ascii="Times New Roman" w:hAnsi="Times New Roman" w:cs="Times New Roman"/>
          <w:b/>
          <w:bCs/>
          <w:sz w:val="24"/>
          <w:szCs w:val="24"/>
        </w:rPr>
      </w:pPr>
    </w:p>
    <w:p w:rsidR="0040012C" w:rsidRPr="00021E0C" w:rsidP="0040012C" w14:paraId="469453D2" w14:textId="77777777">
      <w:pPr>
        <w:pStyle w:val="NoSpacing"/>
        <w:ind w:left="720"/>
        <w:rPr>
          <w:rFonts w:ascii="Times New Roman" w:hAnsi="Times New Roman" w:cs="Times New Roman"/>
          <w:b/>
          <w:bCs/>
          <w:sz w:val="24"/>
          <w:szCs w:val="24"/>
        </w:rPr>
      </w:pPr>
    </w:p>
    <w:p w:rsidR="008D2443" w:rsidRPr="00021E0C" w:rsidP="001543EF" w14:paraId="20836061" w14:textId="104C518E">
      <w:pPr>
        <w:pStyle w:val="ICR3"/>
      </w:pPr>
      <w:r w:rsidRPr="00021E0C">
        <w:t>5. Re</w:t>
      </w:r>
      <w:r w:rsidRPr="00021E0C">
        <w:t>spondent Activities</w:t>
      </w:r>
    </w:p>
    <w:p w:rsidR="008416C9" w:rsidRPr="00021E0C" w:rsidP="008416C9" w14:paraId="5B16AA5A" w14:textId="77777777">
      <w:pPr>
        <w:pStyle w:val="NoSpacing"/>
        <w:rPr>
          <w:rFonts w:ascii="Times New Roman" w:hAnsi="Times New Roman" w:cs="Times New Roman"/>
          <w:b/>
          <w:bCs/>
          <w:sz w:val="24"/>
          <w:szCs w:val="24"/>
        </w:rPr>
      </w:pPr>
    </w:p>
    <w:p w:rsidR="00A25815" w:rsidRPr="00021E0C" w:rsidP="00A25815" w14:paraId="28D82019" w14:textId="7CDDD03E">
      <w:pPr>
        <w:pStyle w:val="NoSpacing"/>
        <w:ind w:left="720"/>
        <w:rPr>
          <w:rFonts w:ascii="Times New Roman" w:hAnsi="Times New Roman" w:cs="Times New Roman"/>
          <w:sz w:val="24"/>
          <w:szCs w:val="24"/>
        </w:rPr>
      </w:pPr>
      <w:r w:rsidRPr="00021E0C">
        <w:rPr>
          <w:rFonts w:ascii="Times New Roman" w:hAnsi="Times New Roman" w:cs="Times New Roman"/>
          <w:sz w:val="24"/>
          <w:szCs w:val="24"/>
        </w:rPr>
        <w:t xml:space="preserve">Respondent activities are: </w:t>
      </w:r>
    </w:p>
    <w:p w:rsidR="00A25815" w:rsidRPr="00021E0C" w:rsidP="00A25815" w14:paraId="065419FB" w14:textId="77777777">
      <w:pPr>
        <w:pStyle w:val="NoSpacing"/>
        <w:ind w:left="720"/>
        <w:rPr>
          <w:rFonts w:ascii="Times New Roman" w:hAnsi="Times New Roman" w:cs="Times New Roman"/>
          <w:sz w:val="24"/>
          <w:szCs w:val="24"/>
        </w:rPr>
      </w:pPr>
    </w:p>
    <w:p w:rsidR="00A25815" w:rsidRPr="00021E0C" w:rsidP="00A25815" w14:paraId="63755CD1" w14:textId="66C21D4D">
      <w:pPr>
        <w:pStyle w:val="NoSpacing"/>
        <w:numPr>
          <w:ilvl w:val="1"/>
          <w:numId w:val="12"/>
        </w:numPr>
        <w:rPr>
          <w:rFonts w:ascii="Times New Roman" w:hAnsi="Times New Roman" w:cs="Times New Roman"/>
          <w:sz w:val="24"/>
          <w:szCs w:val="24"/>
        </w:rPr>
      </w:pPr>
      <w:r w:rsidRPr="00021E0C">
        <w:rPr>
          <w:rFonts w:ascii="Times New Roman" w:hAnsi="Times New Roman" w:cs="Times New Roman"/>
          <w:sz w:val="24"/>
          <w:szCs w:val="24"/>
        </w:rPr>
        <w:t>Review the regulations and guidance documents</w:t>
      </w:r>
    </w:p>
    <w:p w:rsidR="001A3C96" w:rsidRPr="00021E0C" w:rsidP="00F377EE" w14:paraId="0F3061EB" w14:textId="59FCE84B">
      <w:pPr>
        <w:pStyle w:val="NoSpacing"/>
        <w:numPr>
          <w:ilvl w:val="1"/>
          <w:numId w:val="12"/>
        </w:numPr>
        <w:rPr>
          <w:rFonts w:ascii="Times New Roman" w:hAnsi="Times New Roman" w:cs="Times New Roman"/>
          <w:sz w:val="24"/>
          <w:szCs w:val="24"/>
        </w:rPr>
      </w:pPr>
      <w:r w:rsidRPr="00021E0C">
        <w:rPr>
          <w:rFonts w:ascii="Times New Roman" w:hAnsi="Times New Roman" w:cs="Times New Roman"/>
          <w:sz w:val="24"/>
          <w:szCs w:val="24"/>
        </w:rPr>
        <w:t xml:space="preserve">Prepare and submit </w:t>
      </w:r>
      <w:r w:rsidRPr="00021E0C" w:rsidR="00FC2E71">
        <w:rPr>
          <w:rFonts w:ascii="Times New Roman" w:hAnsi="Times New Roman" w:cs="Times New Roman"/>
          <w:sz w:val="24"/>
          <w:szCs w:val="24"/>
        </w:rPr>
        <w:t>waiver application</w:t>
      </w:r>
    </w:p>
    <w:p w:rsidR="00A25815" w:rsidRPr="00021E0C" w:rsidP="00A25815" w14:paraId="77048456" w14:textId="7956A996">
      <w:pPr>
        <w:pStyle w:val="NoSpacing"/>
        <w:numPr>
          <w:ilvl w:val="1"/>
          <w:numId w:val="12"/>
        </w:numPr>
        <w:rPr>
          <w:rFonts w:ascii="Times New Roman" w:hAnsi="Times New Roman" w:cs="Times New Roman"/>
          <w:sz w:val="24"/>
          <w:szCs w:val="24"/>
        </w:rPr>
      </w:pPr>
      <w:r w:rsidRPr="00021E0C">
        <w:rPr>
          <w:rFonts w:ascii="Times New Roman" w:hAnsi="Times New Roman" w:cs="Times New Roman"/>
          <w:sz w:val="24"/>
          <w:szCs w:val="24"/>
        </w:rPr>
        <w:t>Store, file and maintain records</w:t>
      </w:r>
    </w:p>
    <w:p w:rsidR="008416C9" w:rsidRPr="00021E0C" w:rsidP="00A25815" w14:paraId="72B5B216" w14:textId="77777777">
      <w:pPr>
        <w:pStyle w:val="NoSpacing"/>
        <w:ind w:left="720"/>
        <w:rPr>
          <w:rFonts w:ascii="Times New Roman" w:hAnsi="Times New Roman" w:cs="Times New Roman"/>
          <w:sz w:val="24"/>
          <w:szCs w:val="24"/>
        </w:rPr>
      </w:pPr>
    </w:p>
    <w:p w:rsidR="00FB1C7F" w:rsidRPr="00021E0C" w:rsidP="00FB1C7F" w14:paraId="17CD7151" w14:textId="77777777">
      <w:pPr>
        <w:pStyle w:val="NoSpacing"/>
        <w:ind w:left="720"/>
        <w:rPr>
          <w:rFonts w:ascii="Times New Roman" w:hAnsi="Times New Roman" w:cs="Times New Roman"/>
          <w:b/>
          <w:bCs/>
          <w:sz w:val="24"/>
          <w:szCs w:val="24"/>
        </w:rPr>
      </w:pPr>
    </w:p>
    <w:p w:rsidR="008D2443" w:rsidRPr="00021E0C" w:rsidP="001543EF" w14:paraId="738D78BB" w14:textId="7E75A789">
      <w:pPr>
        <w:pStyle w:val="ICR3"/>
      </w:pPr>
      <w:r w:rsidRPr="00021E0C">
        <w:t xml:space="preserve">6. </w:t>
      </w:r>
      <w:r w:rsidRPr="00021E0C">
        <w:t>Agency Activities</w:t>
      </w:r>
    </w:p>
    <w:p w:rsidR="003D76D6" w:rsidRPr="00021E0C" w:rsidP="003D76D6" w14:paraId="2CA9E4DA" w14:textId="77777777">
      <w:pPr>
        <w:pStyle w:val="NoSpacing"/>
        <w:ind w:left="720"/>
        <w:rPr>
          <w:rFonts w:ascii="Times New Roman" w:hAnsi="Times New Roman" w:cs="Times New Roman"/>
          <w:b/>
          <w:bCs/>
          <w:sz w:val="24"/>
          <w:szCs w:val="24"/>
        </w:rPr>
      </w:pPr>
    </w:p>
    <w:p w:rsidR="00CF707E" w:rsidRPr="00021E0C" w:rsidP="28A58A00" w14:paraId="71EABBEA" w14:textId="648ADD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eastAsiaTheme="minorEastAsia"/>
        </w:rPr>
      </w:pPr>
      <w:r w:rsidRPr="00021E0C">
        <w:rPr>
          <w:lang w:val="en"/>
        </w:rPr>
        <w:t>Agency activities are</w:t>
      </w:r>
      <w:r w:rsidRPr="00021E0C">
        <w:t>:</w:t>
      </w:r>
    </w:p>
    <w:p w:rsidR="00CF707E" w:rsidRPr="00021E0C" w:rsidP="00CF707E" w14:paraId="5538029B"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Theme="minorHAnsi"/>
        </w:rPr>
      </w:pPr>
    </w:p>
    <w:p w:rsidR="00FD4C96" w:rsidRPr="00021E0C" w:rsidP="00725B4E" w14:paraId="71E79EC1" w14:textId="1A60377B">
      <w:pPr>
        <w:pStyle w:val="ListParagraph"/>
        <w:numPr>
          <w:ilvl w:val="0"/>
          <w:numId w:val="14"/>
        </w:numPr>
        <w:rPr>
          <w:rFonts w:eastAsiaTheme="minorHAnsi"/>
          <w:sz w:val="24"/>
          <w:szCs w:val="24"/>
        </w:rPr>
      </w:pPr>
      <w:bookmarkStart w:id="3" w:name="_Hlk520669451"/>
      <w:r w:rsidRPr="00021E0C">
        <w:rPr>
          <w:rFonts w:eastAsiaTheme="minorHAnsi"/>
          <w:sz w:val="24"/>
          <w:szCs w:val="24"/>
        </w:rPr>
        <w:t xml:space="preserve">Review </w:t>
      </w:r>
      <w:r w:rsidRPr="00021E0C" w:rsidR="009930C6">
        <w:rPr>
          <w:rFonts w:eastAsiaTheme="minorHAnsi"/>
          <w:sz w:val="24"/>
          <w:szCs w:val="24"/>
        </w:rPr>
        <w:t>the information submitted in a waiver request and evaluate (1) whether the boat builder described efforts taken to identify available engines certified to the Tier 4 standards and design efforts for installing engines in the subject vessels, and (2) whether the boat builder identified the number of vessels needing exempt engines</w:t>
      </w:r>
    </w:p>
    <w:p w:rsidR="009930C6" w:rsidRPr="00021E0C" w:rsidP="00725B4E" w14:paraId="18D29D1A" w14:textId="12597986">
      <w:pPr>
        <w:pStyle w:val="ListParagraph"/>
        <w:numPr>
          <w:ilvl w:val="0"/>
          <w:numId w:val="14"/>
        </w:numPr>
        <w:rPr>
          <w:rFonts w:eastAsiaTheme="minorHAnsi"/>
          <w:sz w:val="24"/>
          <w:szCs w:val="24"/>
        </w:rPr>
      </w:pPr>
      <w:r w:rsidRPr="00021E0C">
        <w:rPr>
          <w:rFonts w:eastAsiaTheme="minorHAnsi"/>
          <w:sz w:val="24"/>
          <w:szCs w:val="24"/>
        </w:rPr>
        <w:t xml:space="preserve">Notify the applicant </w:t>
      </w:r>
      <w:r w:rsidRPr="00021E0C">
        <w:rPr>
          <w:rFonts w:eastAsiaTheme="minorHAnsi"/>
          <w:sz w:val="24"/>
          <w:szCs w:val="24"/>
        </w:rPr>
        <w:t>whether the request is approved</w:t>
      </w:r>
    </w:p>
    <w:p w:rsidR="00CF707E" w:rsidRPr="00021E0C" w:rsidP="00CF707E" w14:paraId="34EC4665" w14:textId="77777777">
      <w:pPr>
        <w:pStyle w:val="ListParagraph"/>
        <w:numPr>
          <w:ilvl w:val="0"/>
          <w:numId w:val="14"/>
        </w:numPr>
        <w:rPr>
          <w:rFonts w:eastAsiaTheme="minorHAnsi"/>
          <w:sz w:val="24"/>
          <w:szCs w:val="24"/>
        </w:rPr>
      </w:pPr>
      <w:r w:rsidRPr="00021E0C">
        <w:rPr>
          <w:rFonts w:eastAsiaTheme="minorHAnsi"/>
          <w:sz w:val="24"/>
          <w:szCs w:val="24"/>
        </w:rPr>
        <w:t>Store, file and maintain data</w:t>
      </w:r>
    </w:p>
    <w:p w:rsidR="00CF707E" w:rsidRPr="00021E0C" w:rsidP="00CF707E" w14:paraId="6755607D" w14:textId="77777777">
      <w:pPr>
        <w:pStyle w:val="ListParagraph"/>
        <w:numPr>
          <w:ilvl w:val="0"/>
          <w:numId w:val="14"/>
        </w:numPr>
        <w:rPr>
          <w:rFonts w:eastAsiaTheme="minorHAnsi"/>
          <w:sz w:val="24"/>
          <w:szCs w:val="24"/>
        </w:rPr>
      </w:pPr>
      <w:r w:rsidRPr="00021E0C">
        <w:rPr>
          <w:rFonts w:eastAsiaTheme="minorHAnsi"/>
          <w:sz w:val="24"/>
          <w:szCs w:val="24"/>
        </w:rPr>
        <w:t xml:space="preserve">Answer questions from manufacturers, other government agencies, Congress, and the public </w:t>
      </w:r>
    </w:p>
    <w:p w:rsidR="00CF707E" w:rsidRPr="00021E0C" w:rsidP="00CF707E" w14:paraId="72282C4E" w14:textId="77777777">
      <w:pPr>
        <w:pStyle w:val="ListParagraph"/>
        <w:numPr>
          <w:ilvl w:val="0"/>
          <w:numId w:val="14"/>
        </w:numPr>
        <w:rPr>
          <w:rFonts w:eastAsiaTheme="minorHAnsi"/>
          <w:sz w:val="24"/>
          <w:szCs w:val="24"/>
        </w:rPr>
      </w:pPr>
      <w:r w:rsidRPr="00021E0C">
        <w:rPr>
          <w:rFonts w:eastAsiaTheme="minorHAnsi"/>
          <w:sz w:val="24"/>
          <w:szCs w:val="24"/>
        </w:rPr>
        <w:t xml:space="preserve">Make data available to the public and maintain public websites </w:t>
      </w:r>
    </w:p>
    <w:p w:rsidR="00CF707E" w:rsidRPr="00021E0C" w:rsidP="00CF707E" w14:paraId="0A389517" w14:textId="77777777">
      <w:pPr>
        <w:pStyle w:val="ListParagraph"/>
        <w:numPr>
          <w:ilvl w:val="0"/>
          <w:numId w:val="14"/>
        </w:numPr>
        <w:rPr>
          <w:rFonts w:eastAsiaTheme="minorHAnsi"/>
          <w:sz w:val="24"/>
          <w:szCs w:val="24"/>
        </w:rPr>
      </w:pPr>
      <w:r w:rsidRPr="00021E0C">
        <w:rPr>
          <w:rFonts w:eastAsiaTheme="minorHAnsi"/>
          <w:sz w:val="24"/>
          <w:szCs w:val="24"/>
        </w:rPr>
        <w:t>Answer FOIA requests, including analyzing and managing requests for confidentiality</w:t>
      </w:r>
    </w:p>
    <w:p w:rsidR="00CF707E" w:rsidRPr="00021E0C" w:rsidP="00F377EE" w14:paraId="33F3E40A" w14:textId="3CB553F2">
      <w:pPr>
        <w:pStyle w:val="ListParagraph"/>
        <w:numPr>
          <w:ilvl w:val="0"/>
          <w:numId w:val="14"/>
        </w:numPr>
        <w:rPr>
          <w:b/>
          <w:bCs/>
          <w:sz w:val="24"/>
          <w:szCs w:val="24"/>
        </w:rPr>
      </w:pPr>
      <w:r w:rsidRPr="00021E0C">
        <w:rPr>
          <w:rFonts w:eastAsiaTheme="minorHAnsi"/>
          <w:sz w:val="24"/>
          <w:szCs w:val="24"/>
        </w:rPr>
        <w:t>Collaborate with each other, including sharing data and providing access to databases</w:t>
      </w:r>
      <w:bookmarkEnd w:id="3"/>
      <w:r w:rsidRPr="00021E0C" w:rsidR="00770C29">
        <w:rPr>
          <w:rFonts w:eastAsiaTheme="minorHAnsi"/>
          <w:sz w:val="24"/>
          <w:szCs w:val="24"/>
        </w:rPr>
        <w:t>`</w:t>
      </w:r>
    </w:p>
    <w:p w:rsidR="00BB6BCC" w:rsidRPr="00021E0C" w14:paraId="045C5CAB" w14:textId="77777777">
      <w:pPr>
        <w:autoSpaceDE/>
        <w:autoSpaceDN/>
        <w:adjustRightInd/>
        <w:spacing w:after="160" w:line="259" w:lineRule="auto"/>
        <w:rPr>
          <w:rFonts w:eastAsiaTheme="majorEastAsia" w:cstheme="majorBidi"/>
          <w:b/>
          <w:color w:val="000000" w:themeColor="text1"/>
        </w:rPr>
      </w:pPr>
      <w:r w:rsidRPr="00021E0C">
        <w:br w:type="page"/>
      </w:r>
    </w:p>
    <w:p w:rsidR="00E30B44" w:rsidRPr="00021E0C" w:rsidP="001543EF" w14:paraId="3C0D7FA3" w14:textId="12348844">
      <w:pPr>
        <w:pStyle w:val="ICR2"/>
      </w:pPr>
      <w:r w:rsidRPr="00021E0C">
        <w:t>LIST OF ATTACHMENTS</w:t>
      </w:r>
    </w:p>
    <w:p w:rsidR="001E5168" w:rsidRPr="00021E0C" w:rsidP="00FB1C7F" w14:paraId="2F6CA3EE" w14:textId="0BD041B2">
      <w:pPr>
        <w:pStyle w:val="NoSpacing"/>
        <w:rPr>
          <w:rFonts w:ascii="Times New Roman" w:hAnsi="Times New Roman" w:cs="Times New Roman"/>
          <w:sz w:val="24"/>
          <w:szCs w:val="24"/>
        </w:rPr>
      </w:pPr>
      <w:r w:rsidRPr="00021E0C">
        <w:rPr>
          <w:rFonts w:ascii="Times New Roman" w:hAnsi="Times New Roman" w:cs="Times New Roman"/>
          <w:sz w:val="24"/>
          <w:szCs w:val="24"/>
        </w:rPr>
        <w:tab/>
      </w:r>
    </w:p>
    <w:p w:rsidR="001E5168" w:rsidRPr="00021E0C" w:rsidP="00E30B44" w14:paraId="5BDABE5A" w14:textId="14C886DB">
      <w:pPr>
        <w:pStyle w:val="NoSpacing"/>
        <w:rPr>
          <w:rFonts w:ascii="Times New Roman" w:hAnsi="Times New Roman" w:cs="Times New Roman"/>
          <w:sz w:val="24"/>
          <w:szCs w:val="24"/>
        </w:rPr>
      </w:pPr>
      <w:r w:rsidRPr="00021E0C">
        <w:rPr>
          <w:rFonts w:ascii="Times New Roman" w:hAnsi="Times New Roman" w:cs="Times New Roman"/>
          <w:sz w:val="24"/>
          <w:szCs w:val="24"/>
        </w:rPr>
        <w:tab/>
      </w:r>
      <w:r w:rsidRPr="00021E0C" w:rsidR="00CF707E">
        <w:rPr>
          <w:rFonts w:ascii="Times New Roman" w:hAnsi="Times New Roman" w:cs="Times New Roman"/>
          <w:sz w:val="24"/>
          <w:szCs w:val="24"/>
        </w:rPr>
        <w:t>[No attachments]</w:t>
      </w:r>
    </w:p>
    <w:sectPr w:rsidSect="002365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2251067"/>
      <w:docPartObj>
        <w:docPartGallery w:val="Page Numbers (Bottom of Page)"/>
        <w:docPartUnique/>
      </w:docPartObj>
    </w:sdtPr>
    <w:sdtEndPr>
      <w:rPr>
        <w:noProof/>
      </w:rPr>
    </w:sdtEndPr>
    <w:sdtContent>
      <w:p w:rsidR="00405F4F" w14:paraId="4A91918F" w14:textId="41808F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05F4F" w14:paraId="4968368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D6EBC" w:rsidP="00405F4F" w14:paraId="620F03CB" w14:textId="77777777">
      <w:r>
        <w:separator/>
      </w:r>
    </w:p>
  </w:footnote>
  <w:footnote w:type="continuationSeparator" w:id="1">
    <w:p w:rsidR="00AD6EBC" w:rsidP="00405F4F" w14:paraId="38DCD85A" w14:textId="77777777">
      <w:r>
        <w:continuationSeparator/>
      </w:r>
    </w:p>
  </w:footnote>
  <w:footnote w:type="continuationNotice" w:id="2">
    <w:p w:rsidR="00AD6EBC" w14:paraId="32D04C69" w14:textId="77777777"/>
  </w:footnote>
  <w:footnote w:id="3">
    <w:p w:rsidR="00D17B28" w:rsidP="00D17B28" w14:paraId="5C1F23F9" w14:textId="77777777">
      <w:pPr>
        <w:pStyle w:val="FootnoteText"/>
        <w:rPr>
          <w:sz w:val="16"/>
          <w:szCs w:val="16"/>
        </w:rPr>
      </w:pPr>
      <w:r>
        <w:rPr>
          <w:rStyle w:val="FootnoteReference"/>
        </w:rPr>
        <w:t>[1]</w:t>
      </w:r>
      <w:r>
        <w:t xml:space="preserve"> </w:t>
      </w:r>
      <w:r>
        <w:rPr>
          <w:sz w:val="16"/>
          <w:szCs w:val="16"/>
        </w:rPr>
        <w:t xml:space="preserve">Code of Federal Regulations, </w:t>
      </w:r>
      <w:hyperlink r:id="rId1" w:history="1">
        <w:r>
          <w:rPr>
            <w:rStyle w:val="Hyperlink"/>
            <w:sz w:val="16"/>
            <w:szCs w:val="16"/>
          </w:rPr>
          <w:t>https://www.ecfr.gov/</w:t>
        </w:r>
      </w:hyperlink>
      <w:r>
        <w:rPr>
          <w:sz w:val="16"/>
          <w:szCs w:val="16"/>
        </w:rPr>
        <w:t>. EPA emissions regulations are found in Title 40.</w:t>
      </w:r>
    </w:p>
  </w:footnote>
  <w:footnote w:id="4">
    <w:p w:rsidR="00171736" w14:paraId="033C1331" w14:textId="7B6E4AF3">
      <w:pPr>
        <w:pStyle w:val="FootnoteText"/>
      </w:pPr>
      <w:r>
        <w:rPr>
          <w:rStyle w:val="FootnoteReference"/>
        </w:rPr>
        <w:footnoteRef/>
      </w:r>
      <w:r>
        <w:t xml:space="preserve"> </w:t>
      </w:r>
      <w:r w:rsidRPr="004540EF" w:rsidR="004540EF">
        <w:t xml:space="preserve">North American Industry Classification System, United States, 2022.  Executive Office of the President, Office of Management and Budget.  Downloaded 2/10/23.  The official OMB publication is available at </w:t>
      </w:r>
      <w:hyperlink r:id="rId2" w:history="1">
        <w:r w:rsidRPr="0015421E" w:rsidR="004540EF">
          <w:rPr>
            <w:rStyle w:val="Hyperlink"/>
          </w:rPr>
          <w:t>https://www.census.gov/naics/reference_files_tools/2022_NAICS_Manual.pdf</w:t>
        </w:r>
      </w:hyperlink>
      <w:r w:rsidRPr="004540EF" w:rsidR="004540EF">
        <w:t>.</w:t>
      </w:r>
      <w:r w:rsidR="004540EF">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3142A"/>
    <w:multiLevelType w:val="hybridMultilevel"/>
    <w:tmpl w:val="633A402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0A5649B"/>
    <w:multiLevelType w:val="hybridMultilevel"/>
    <w:tmpl w:val="D78A8AF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31201C4"/>
    <w:multiLevelType w:val="hybridMultilevel"/>
    <w:tmpl w:val="82626A7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9355534"/>
    <w:multiLevelType w:val="hybridMultilevel"/>
    <w:tmpl w:val="FF5C03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2087B0B"/>
    <w:multiLevelType w:val="hybridMultilevel"/>
    <w:tmpl w:val="D1ECB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9AA3541"/>
    <w:multiLevelType w:val="hybridMultilevel"/>
    <w:tmpl w:val="878C96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9AC6739"/>
    <w:multiLevelType w:val="hybridMultilevel"/>
    <w:tmpl w:val="956E1FE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35A775D9"/>
    <w:multiLevelType w:val="multilevel"/>
    <w:tmpl w:val="8EE4515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8">
    <w:nsid w:val="390827A5"/>
    <w:multiLevelType w:val="hybridMultilevel"/>
    <w:tmpl w:val="561AB9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CF11DD2"/>
    <w:multiLevelType w:val="hybridMultilevel"/>
    <w:tmpl w:val="82989AFE"/>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3EC832F1"/>
    <w:multiLevelType w:val="hybridMultilevel"/>
    <w:tmpl w:val="7FD46668"/>
    <w:lvl w:ilvl="0">
      <w:start w:val="1"/>
      <w:numFmt w:val="decimal"/>
      <w:lvlText w:val="%1."/>
      <w:lvlJc w:val="left"/>
      <w:pPr>
        <w:ind w:left="720" w:hanging="360"/>
      </w:pPr>
      <w:rPr>
        <w:rFonts w:hint="default"/>
      </w:rPr>
    </w:lvl>
    <w:lvl w:ilvl="1">
      <w:start w:val="0"/>
      <w:numFmt w:val="bullet"/>
      <w:lvlText w:val="•"/>
      <w:lvlJc w:val="left"/>
      <w:pPr>
        <w:ind w:left="1800" w:hanging="720"/>
      </w:pPr>
      <w:rPr>
        <w:rFonts w:ascii="Times New Roman" w:hAnsi="Times New Roman" w:eastAsiaTheme="minorHAnsi"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2C366EF"/>
    <w:multiLevelType w:val="hybridMultilevel"/>
    <w:tmpl w:val="67F47FD2"/>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65D1667"/>
    <w:multiLevelType w:val="hybridMultilevel"/>
    <w:tmpl w:val="66204A4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C406EFE"/>
    <w:multiLevelType w:val="hybridMultilevel"/>
    <w:tmpl w:val="3FB8C15C"/>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CB456BE"/>
    <w:multiLevelType w:val="hybridMultilevel"/>
    <w:tmpl w:val="165E69A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50843158"/>
    <w:multiLevelType w:val="hybridMultilevel"/>
    <w:tmpl w:val="59DEED7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C527F15"/>
    <w:multiLevelType w:val="hybridMultilevel"/>
    <w:tmpl w:val="5DC2657E"/>
    <w:lvl w:ilvl="0">
      <w:start w:val="1"/>
      <w:numFmt w:val="decimal"/>
      <w:pStyle w:val="Heading2"/>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9A3672A"/>
    <w:multiLevelType w:val="hybridMultilevel"/>
    <w:tmpl w:val="4AD2D42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F8E6340"/>
    <w:multiLevelType w:val="hybridMultilevel"/>
    <w:tmpl w:val="0386925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72EE6442"/>
    <w:multiLevelType w:val="hybridMultilevel"/>
    <w:tmpl w:val="FF38AF3A"/>
    <w:lvl w:ilvl="0">
      <w:start w:val="5"/>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77B535D0"/>
    <w:multiLevelType w:val="multilevel"/>
    <w:tmpl w:val="515223E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1">
    <w:nsid w:val="7C4954C0"/>
    <w:multiLevelType w:val="hybridMultilevel"/>
    <w:tmpl w:val="306E3F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E444B1C"/>
    <w:multiLevelType w:val="hybridMultilevel"/>
    <w:tmpl w:val="7FD820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79965446">
    <w:abstractNumId w:val="18"/>
  </w:num>
  <w:num w:numId="2" w16cid:durableId="346253946">
    <w:abstractNumId w:val="4"/>
  </w:num>
  <w:num w:numId="3" w16cid:durableId="773330637">
    <w:abstractNumId w:val="3"/>
  </w:num>
  <w:num w:numId="4" w16cid:durableId="2062557524">
    <w:abstractNumId w:val="1"/>
  </w:num>
  <w:num w:numId="5" w16cid:durableId="567611303">
    <w:abstractNumId w:val="22"/>
  </w:num>
  <w:num w:numId="6" w16cid:durableId="240796885">
    <w:abstractNumId w:val="5"/>
  </w:num>
  <w:num w:numId="7" w16cid:durableId="1978218679">
    <w:abstractNumId w:val="12"/>
  </w:num>
  <w:num w:numId="8" w16cid:durableId="427585954">
    <w:abstractNumId w:val="2"/>
  </w:num>
  <w:num w:numId="9" w16cid:durableId="1998336894">
    <w:abstractNumId w:val="20"/>
  </w:num>
  <w:num w:numId="10" w16cid:durableId="532573827">
    <w:abstractNumId w:val="7"/>
  </w:num>
  <w:num w:numId="11" w16cid:durableId="1293943821">
    <w:abstractNumId w:val="17"/>
  </w:num>
  <w:num w:numId="12" w16cid:durableId="1128549673">
    <w:abstractNumId w:val="10"/>
  </w:num>
  <w:num w:numId="13" w16cid:durableId="890188423">
    <w:abstractNumId w:val="6"/>
  </w:num>
  <w:num w:numId="14" w16cid:durableId="1148285752">
    <w:abstractNumId w:val="0"/>
  </w:num>
  <w:num w:numId="15" w16cid:durableId="4676797">
    <w:abstractNumId w:val="16"/>
  </w:num>
  <w:num w:numId="16" w16cid:durableId="1092362338">
    <w:abstractNumId w:val="9"/>
  </w:num>
  <w:num w:numId="17" w16cid:durableId="1387995503">
    <w:abstractNumId w:val="11"/>
  </w:num>
  <w:num w:numId="18" w16cid:durableId="554631525">
    <w:abstractNumId w:val="15"/>
  </w:num>
  <w:num w:numId="19" w16cid:durableId="633143643">
    <w:abstractNumId w:val="13"/>
  </w:num>
  <w:num w:numId="20" w16cid:durableId="642586191">
    <w:abstractNumId w:val="19"/>
  </w:num>
  <w:num w:numId="21" w16cid:durableId="1878346995">
    <w:abstractNumId w:val="8"/>
  </w:num>
  <w:num w:numId="22" w16cid:durableId="361319293">
    <w:abstractNumId w:val="14"/>
  </w:num>
  <w:num w:numId="23" w16cid:durableId="12762503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5D5"/>
    <w:rsid w:val="00001990"/>
    <w:rsid w:val="00007DC7"/>
    <w:rsid w:val="00016664"/>
    <w:rsid w:val="000202A7"/>
    <w:rsid w:val="00021E0C"/>
    <w:rsid w:val="00023653"/>
    <w:rsid w:val="000240B0"/>
    <w:rsid w:val="00025391"/>
    <w:rsid w:val="00033495"/>
    <w:rsid w:val="00034206"/>
    <w:rsid w:val="00034405"/>
    <w:rsid w:val="00034BA5"/>
    <w:rsid w:val="00040F4B"/>
    <w:rsid w:val="000426BC"/>
    <w:rsid w:val="00051282"/>
    <w:rsid w:val="00052BD1"/>
    <w:rsid w:val="00055205"/>
    <w:rsid w:val="0006067A"/>
    <w:rsid w:val="00061F8B"/>
    <w:rsid w:val="00062309"/>
    <w:rsid w:val="00064127"/>
    <w:rsid w:val="000648C5"/>
    <w:rsid w:val="000665F1"/>
    <w:rsid w:val="000723CB"/>
    <w:rsid w:val="00072E0F"/>
    <w:rsid w:val="000778C7"/>
    <w:rsid w:val="00083F37"/>
    <w:rsid w:val="00086B0C"/>
    <w:rsid w:val="00086F1A"/>
    <w:rsid w:val="00087DE9"/>
    <w:rsid w:val="00092B9C"/>
    <w:rsid w:val="00092C52"/>
    <w:rsid w:val="00093E9B"/>
    <w:rsid w:val="00095604"/>
    <w:rsid w:val="000960BC"/>
    <w:rsid w:val="00096EE3"/>
    <w:rsid w:val="00097991"/>
    <w:rsid w:val="000A00ED"/>
    <w:rsid w:val="000A0844"/>
    <w:rsid w:val="000A1488"/>
    <w:rsid w:val="000A2131"/>
    <w:rsid w:val="000A78B1"/>
    <w:rsid w:val="000B0BA5"/>
    <w:rsid w:val="000B15F4"/>
    <w:rsid w:val="000C6544"/>
    <w:rsid w:val="000D2689"/>
    <w:rsid w:val="000D66DA"/>
    <w:rsid w:val="000E02DA"/>
    <w:rsid w:val="000E0FDC"/>
    <w:rsid w:val="000E69F1"/>
    <w:rsid w:val="000F5F96"/>
    <w:rsid w:val="001015A2"/>
    <w:rsid w:val="001068D5"/>
    <w:rsid w:val="0011064C"/>
    <w:rsid w:val="00111862"/>
    <w:rsid w:val="001121D3"/>
    <w:rsid w:val="001126BD"/>
    <w:rsid w:val="00113F6E"/>
    <w:rsid w:val="00114EB9"/>
    <w:rsid w:val="0012346B"/>
    <w:rsid w:val="00125548"/>
    <w:rsid w:val="00127035"/>
    <w:rsid w:val="0013049B"/>
    <w:rsid w:val="00136EA0"/>
    <w:rsid w:val="00142188"/>
    <w:rsid w:val="00142937"/>
    <w:rsid w:val="00142E85"/>
    <w:rsid w:val="00145522"/>
    <w:rsid w:val="00151332"/>
    <w:rsid w:val="001515B5"/>
    <w:rsid w:val="0015243C"/>
    <w:rsid w:val="0015285E"/>
    <w:rsid w:val="001541B6"/>
    <w:rsid w:val="0015421E"/>
    <w:rsid w:val="001543EF"/>
    <w:rsid w:val="00155F84"/>
    <w:rsid w:val="001577E6"/>
    <w:rsid w:val="00164186"/>
    <w:rsid w:val="00164295"/>
    <w:rsid w:val="00164C67"/>
    <w:rsid w:val="00170B9B"/>
    <w:rsid w:val="00170FF7"/>
    <w:rsid w:val="00171736"/>
    <w:rsid w:val="00171E17"/>
    <w:rsid w:val="001735AC"/>
    <w:rsid w:val="001737EF"/>
    <w:rsid w:val="001746C0"/>
    <w:rsid w:val="00176F14"/>
    <w:rsid w:val="001825AB"/>
    <w:rsid w:val="00182D1A"/>
    <w:rsid w:val="001843FF"/>
    <w:rsid w:val="00185A9F"/>
    <w:rsid w:val="0019016A"/>
    <w:rsid w:val="001915D8"/>
    <w:rsid w:val="00197666"/>
    <w:rsid w:val="001A0389"/>
    <w:rsid w:val="001A3C96"/>
    <w:rsid w:val="001A43B6"/>
    <w:rsid w:val="001A5666"/>
    <w:rsid w:val="001A6181"/>
    <w:rsid w:val="001B1731"/>
    <w:rsid w:val="001B70B0"/>
    <w:rsid w:val="001C0B54"/>
    <w:rsid w:val="001C25D2"/>
    <w:rsid w:val="001C2A22"/>
    <w:rsid w:val="001C52BC"/>
    <w:rsid w:val="001C6D3C"/>
    <w:rsid w:val="001D2116"/>
    <w:rsid w:val="001D458E"/>
    <w:rsid w:val="001D6E73"/>
    <w:rsid w:val="001E19E4"/>
    <w:rsid w:val="001E5168"/>
    <w:rsid w:val="001F54EF"/>
    <w:rsid w:val="002027A4"/>
    <w:rsid w:val="002058B3"/>
    <w:rsid w:val="00211817"/>
    <w:rsid w:val="002121D3"/>
    <w:rsid w:val="00213F5F"/>
    <w:rsid w:val="0021570D"/>
    <w:rsid w:val="00222857"/>
    <w:rsid w:val="002241B3"/>
    <w:rsid w:val="00224426"/>
    <w:rsid w:val="00224F46"/>
    <w:rsid w:val="00225EFE"/>
    <w:rsid w:val="002265AC"/>
    <w:rsid w:val="00230980"/>
    <w:rsid w:val="00231FF1"/>
    <w:rsid w:val="0023321A"/>
    <w:rsid w:val="00234AD0"/>
    <w:rsid w:val="0023657A"/>
    <w:rsid w:val="00241E24"/>
    <w:rsid w:val="0024305B"/>
    <w:rsid w:val="00245470"/>
    <w:rsid w:val="00247AA4"/>
    <w:rsid w:val="0025671E"/>
    <w:rsid w:val="00257264"/>
    <w:rsid w:val="00264955"/>
    <w:rsid w:val="002668B7"/>
    <w:rsid w:val="002672C6"/>
    <w:rsid w:val="002712C8"/>
    <w:rsid w:val="00271419"/>
    <w:rsid w:val="00272493"/>
    <w:rsid w:val="00272EED"/>
    <w:rsid w:val="00280867"/>
    <w:rsid w:val="00282E5D"/>
    <w:rsid w:val="002850F4"/>
    <w:rsid w:val="0028706D"/>
    <w:rsid w:val="0028753B"/>
    <w:rsid w:val="00292CD9"/>
    <w:rsid w:val="002950FD"/>
    <w:rsid w:val="002954D1"/>
    <w:rsid w:val="00297054"/>
    <w:rsid w:val="00297D04"/>
    <w:rsid w:val="002A2BD1"/>
    <w:rsid w:val="002A5067"/>
    <w:rsid w:val="002A5A1C"/>
    <w:rsid w:val="002B15D5"/>
    <w:rsid w:val="002B2F6F"/>
    <w:rsid w:val="002C0E28"/>
    <w:rsid w:val="002C1B36"/>
    <w:rsid w:val="002C5F38"/>
    <w:rsid w:val="002C6027"/>
    <w:rsid w:val="002D1A47"/>
    <w:rsid w:val="002D1BA9"/>
    <w:rsid w:val="002D3A85"/>
    <w:rsid w:val="002D4A57"/>
    <w:rsid w:val="002D5D05"/>
    <w:rsid w:val="002D5D3A"/>
    <w:rsid w:val="002D76BF"/>
    <w:rsid w:val="002E0B6C"/>
    <w:rsid w:val="002E0E12"/>
    <w:rsid w:val="002E1674"/>
    <w:rsid w:val="002E6508"/>
    <w:rsid w:val="002E73D2"/>
    <w:rsid w:val="002F294A"/>
    <w:rsid w:val="002F2CEB"/>
    <w:rsid w:val="002F7706"/>
    <w:rsid w:val="003019F5"/>
    <w:rsid w:val="00302CCE"/>
    <w:rsid w:val="0031089D"/>
    <w:rsid w:val="0031125F"/>
    <w:rsid w:val="0031151E"/>
    <w:rsid w:val="0032249C"/>
    <w:rsid w:val="0032681E"/>
    <w:rsid w:val="00326E1E"/>
    <w:rsid w:val="00327390"/>
    <w:rsid w:val="00334A95"/>
    <w:rsid w:val="0033565B"/>
    <w:rsid w:val="00335C52"/>
    <w:rsid w:val="003364B2"/>
    <w:rsid w:val="00347AE4"/>
    <w:rsid w:val="00352739"/>
    <w:rsid w:val="0035381B"/>
    <w:rsid w:val="00356A75"/>
    <w:rsid w:val="00361265"/>
    <w:rsid w:val="00361305"/>
    <w:rsid w:val="003619BC"/>
    <w:rsid w:val="003639ED"/>
    <w:rsid w:val="003663BB"/>
    <w:rsid w:val="00367DDD"/>
    <w:rsid w:val="00373DF4"/>
    <w:rsid w:val="00380395"/>
    <w:rsid w:val="003803F9"/>
    <w:rsid w:val="00381F24"/>
    <w:rsid w:val="00384A9C"/>
    <w:rsid w:val="003901CE"/>
    <w:rsid w:val="00390687"/>
    <w:rsid w:val="00390959"/>
    <w:rsid w:val="00390BD8"/>
    <w:rsid w:val="003931E2"/>
    <w:rsid w:val="003946A3"/>
    <w:rsid w:val="00394B0B"/>
    <w:rsid w:val="003A4451"/>
    <w:rsid w:val="003A4A78"/>
    <w:rsid w:val="003B0948"/>
    <w:rsid w:val="003B0D08"/>
    <w:rsid w:val="003B0E81"/>
    <w:rsid w:val="003B26CA"/>
    <w:rsid w:val="003B2EC4"/>
    <w:rsid w:val="003B3F3D"/>
    <w:rsid w:val="003B42BD"/>
    <w:rsid w:val="003B49B4"/>
    <w:rsid w:val="003C6A1B"/>
    <w:rsid w:val="003D11E6"/>
    <w:rsid w:val="003D263B"/>
    <w:rsid w:val="003D3B04"/>
    <w:rsid w:val="003D652D"/>
    <w:rsid w:val="003D69AF"/>
    <w:rsid w:val="003D76D6"/>
    <w:rsid w:val="003E1109"/>
    <w:rsid w:val="003E1325"/>
    <w:rsid w:val="003E6670"/>
    <w:rsid w:val="003F5157"/>
    <w:rsid w:val="0040012C"/>
    <w:rsid w:val="00400260"/>
    <w:rsid w:val="004010FB"/>
    <w:rsid w:val="00403C99"/>
    <w:rsid w:val="0040517B"/>
    <w:rsid w:val="00405F4F"/>
    <w:rsid w:val="0040796F"/>
    <w:rsid w:val="00412288"/>
    <w:rsid w:val="004226B6"/>
    <w:rsid w:val="004259D0"/>
    <w:rsid w:val="00431032"/>
    <w:rsid w:val="00432BC4"/>
    <w:rsid w:val="00433630"/>
    <w:rsid w:val="00433748"/>
    <w:rsid w:val="0043560D"/>
    <w:rsid w:val="00437A6D"/>
    <w:rsid w:val="00440724"/>
    <w:rsid w:val="00440CB3"/>
    <w:rsid w:val="00446B31"/>
    <w:rsid w:val="00447561"/>
    <w:rsid w:val="004517AB"/>
    <w:rsid w:val="00452E13"/>
    <w:rsid w:val="00453A0F"/>
    <w:rsid w:val="004540EF"/>
    <w:rsid w:val="0045642F"/>
    <w:rsid w:val="00457D28"/>
    <w:rsid w:val="00461D64"/>
    <w:rsid w:val="00467636"/>
    <w:rsid w:val="00467E67"/>
    <w:rsid w:val="00470083"/>
    <w:rsid w:val="00470C7F"/>
    <w:rsid w:val="00471275"/>
    <w:rsid w:val="004802A0"/>
    <w:rsid w:val="00485281"/>
    <w:rsid w:val="00485361"/>
    <w:rsid w:val="0048536C"/>
    <w:rsid w:val="004862CA"/>
    <w:rsid w:val="0049261C"/>
    <w:rsid w:val="004931CC"/>
    <w:rsid w:val="0049405F"/>
    <w:rsid w:val="004A1795"/>
    <w:rsid w:val="004A3B5E"/>
    <w:rsid w:val="004B2E2A"/>
    <w:rsid w:val="004B36A1"/>
    <w:rsid w:val="004B4837"/>
    <w:rsid w:val="004B574B"/>
    <w:rsid w:val="004C133A"/>
    <w:rsid w:val="004C739B"/>
    <w:rsid w:val="004C7FAE"/>
    <w:rsid w:val="004E260C"/>
    <w:rsid w:val="004E3986"/>
    <w:rsid w:val="004E6616"/>
    <w:rsid w:val="004F0020"/>
    <w:rsid w:val="004F1594"/>
    <w:rsid w:val="004F2679"/>
    <w:rsid w:val="004F480C"/>
    <w:rsid w:val="004F5C55"/>
    <w:rsid w:val="004F7F01"/>
    <w:rsid w:val="00501821"/>
    <w:rsid w:val="0050254C"/>
    <w:rsid w:val="00512E5C"/>
    <w:rsid w:val="005145CA"/>
    <w:rsid w:val="00514991"/>
    <w:rsid w:val="0051676E"/>
    <w:rsid w:val="00520351"/>
    <w:rsid w:val="00520AC5"/>
    <w:rsid w:val="005238CF"/>
    <w:rsid w:val="00526401"/>
    <w:rsid w:val="00536CD8"/>
    <w:rsid w:val="00542057"/>
    <w:rsid w:val="00543016"/>
    <w:rsid w:val="0054564D"/>
    <w:rsid w:val="005614CC"/>
    <w:rsid w:val="00562642"/>
    <w:rsid w:val="005626A2"/>
    <w:rsid w:val="005653CD"/>
    <w:rsid w:val="0056546B"/>
    <w:rsid w:val="00571AD4"/>
    <w:rsid w:val="00573072"/>
    <w:rsid w:val="00573274"/>
    <w:rsid w:val="00580302"/>
    <w:rsid w:val="0058441A"/>
    <w:rsid w:val="00586B4C"/>
    <w:rsid w:val="00593C42"/>
    <w:rsid w:val="00595C5D"/>
    <w:rsid w:val="0059724A"/>
    <w:rsid w:val="005973F2"/>
    <w:rsid w:val="005A2A77"/>
    <w:rsid w:val="005A4A10"/>
    <w:rsid w:val="005B5DE1"/>
    <w:rsid w:val="005B7724"/>
    <w:rsid w:val="005D0775"/>
    <w:rsid w:val="005D1922"/>
    <w:rsid w:val="005D6EB5"/>
    <w:rsid w:val="005D76E4"/>
    <w:rsid w:val="005E07DD"/>
    <w:rsid w:val="005E1637"/>
    <w:rsid w:val="005E3118"/>
    <w:rsid w:val="005E6D26"/>
    <w:rsid w:val="005E79FF"/>
    <w:rsid w:val="005E7F5D"/>
    <w:rsid w:val="005F2121"/>
    <w:rsid w:val="005F357C"/>
    <w:rsid w:val="006012CD"/>
    <w:rsid w:val="00601452"/>
    <w:rsid w:val="0060732E"/>
    <w:rsid w:val="00610667"/>
    <w:rsid w:val="00615481"/>
    <w:rsid w:val="00633B3A"/>
    <w:rsid w:val="00634D93"/>
    <w:rsid w:val="0063631E"/>
    <w:rsid w:val="00636506"/>
    <w:rsid w:val="00641171"/>
    <w:rsid w:val="00646154"/>
    <w:rsid w:val="00646E7A"/>
    <w:rsid w:val="00651902"/>
    <w:rsid w:val="00653206"/>
    <w:rsid w:val="00654532"/>
    <w:rsid w:val="006559A1"/>
    <w:rsid w:val="006568ED"/>
    <w:rsid w:val="006651F0"/>
    <w:rsid w:val="0067400B"/>
    <w:rsid w:val="0067676E"/>
    <w:rsid w:val="006767E9"/>
    <w:rsid w:val="006775FB"/>
    <w:rsid w:val="00682114"/>
    <w:rsid w:val="0069053B"/>
    <w:rsid w:val="006A3DE7"/>
    <w:rsid w:val="006A5168"/>
    <w:rsid w:val="006A5A46"/>
    <w:rsid w:val="006A6FF6"/>
    <w:rsid w:val="006B0423"/>
    <w:rsid w:val="006B28FD"/>
    <w:rsid w:val="006B47EF"/>
    <w:rsid w:val="006B7079"/>
    <w:rsid w:val="006C20B2"/>
    <w:rsid w:val="006C2C00"/>
    <w:rsid w:val="006C690C"/>
    <w:rsid w:val="006C7013"/>
    <w:rsid w:val="006D3F8F"/>
    <w:rsid w:val="006D3FAD"/>
    <w:rsid w:val="006D4F84"/>
    <w:rsid w:val="006D5945"/>
    <w:rsid w:val="006D71BE"/>
    <w:rsid w:val="006D7D55"/>
    <w:rsid w:val="006E362A"/>
    <w:rsid w:val="006E3EB5"/>
    <w:rsid w:val="006E41CC"/>
    <w:rsid w:val="006E51AC"/>
    <w:rsid w:val="006F1AC8"/>
    <w:rsid w:val="006F6110"/>
    <w:rsid w:val="006F7490"/>
    <w:rsid w:val="007035EA"/>
    <w:rsid w:val="007064C3"/>
    <w:rsid w:val="007145CF"/>
    <w:rsid w:val="00720178"/>
    <w:rsid w:val="00721362"/>
    <w:rsid w:val="00721C55"/>
    <w:rsid w:val="00725B4E"/>
    <w:rsid w:val="007263DC"/>
    <w:rsid w:val="007272EB"/>
    <w:rsid w:val="00727800"/>
    <w:rsid w:val="0073587B"/>
    <w:rsid w:val="007368DF"/>
    <w:rsid w:val="00744E04"/>
    <w:rsid w:val="007548C5"/>
    <w:rsid w:val="00756267"/>
    <w:rsid w:val="00770C29"/>
    <w:rsid w:val="00772D15"/>
    <w:rsid w:val="00774B88"/>
    <w:rsid w:val="0078455C"/>
    <w:rsid w:val="007957F6"/>
    <w:rsid w:val="007A3CB2"/>
    <w:rsid w:val="007A6AA0"/>
    <w:rsid w:val="007B195A"/>
    <w:rsid w:val="007C1C9F"/>
    <w:rsid w:val="007C7F6C"/>
    <w:rsid w:val="007D0DEB"/>
    <w:rsid w:val="007D1245"/>
    <w:rsid w:val="007D3A91"/>
    <w:rsid w:val="007D4CCF"/>
    <w:rsid w:val="007D5BE7"/>
    <w:rsid w:val="007D64AD"/>
    <w:rsid w:val="007E335F"/>
    <w:rsid w:val="007E5104"/>
    <w:rsid w:val="007E64A9"/>
    <w:rsid w:val="007F018D"/>
    <w:rsid w:val="007F1FB7"/>
    <w:rsid w:val="007F3599"/>
    <w:rsid w:val="007F555C"/>
    <w:rsid w:val="007F7466"/>
    <w:rsid w:val="00800B41"/>
    <w:rsid w:val="0080259E"/>
    <w:rsid w:val="0080427A"/>
    <w:rsid w:val="00810785"/>
    <w:rsid w:val="00813A8F"/>
    <w:rsid w:val="008155D6"/>
    <w:rsid w:val="008172FA"/>
    <w:rsid w:val="00817C94"/>
    <w:rsid w:val="00821D7F"/>
    <w:rsid w:val="0082398D"/>
    <w:rsid w:val="00825739"/>
    <w:rsid w:val="008273BB"/>
    <w:rsid w:val="0082740A"/>
    <w:rsid w:val="00830118"/>
    <w:rsid w:val="008349D6"/>
    <w:rsid w:val="00834F0F"/>
    <w:rsid w:val="0084144A"/>
    <w:rsid w:val="008416C9"/>
    <w:rsid w:val="0084306A"/>
    <w:rsid w:val="00843F69"/>
    <w:rsid w:val="00845B84"/>
    <w:rsid w:val="00846D66"/>
    <w:rsid w:val="008546BD"/>
    <w:rsid w:val="00856CEE"/>
    <w:rsid w:val="00864840"/>
    <w:rsid w:val="00866584"/>
    <w:rsid w:val="008673CB"/>
    <w:rsid w:val="00867DBA"/>
    <w:rsid w:val="00875A4D"/>
    <w:rsid w:val="008768AE"/>
    <w:rsid w:val="0088306E"/>
    <w:rsid w:val="00891CE8"/>
    <w:rsid w:val="008A0306"/>
    <w:rsid w:val="008A20C1"/>
    <w:rsid w:val="008A2711"/>
    <w:rsid w:val="008A4F2E"/>
    <w:rsid w:val="008A5328"/>
    <w:rsid w:val="008A68BA"/>
    <w:rsid w:val="008A6FBF"/>
    <w:rsid w:val="008B5A33"/>
    <w:rsid w:val="008C0A79"/>
    <w:rsid w:val="008C3769"/>
    <w:rsid w:val="008C5416"/>
    <w:rsid w:val="008C5822"/>
    <w:rsid w:val="008D228E"/>
    <w:rsid w:val="008D2443"/>
    <w:rsid w:val="008D2CFB"/>
    <w:rsid w:val="008D6966"/>
    <w:rsid w:val="008D72A3"/>
    <w:rsid w:val="008D795C"/>
    <w:rsid w:val="008E0643"/>
    <w:rsid w:val="008E728E"/>
    <w:rsid w:val="008F12F4"/>
    <w:rsid w:val="008F1F1B"/>
    <w:rsid w:val="008F3246"/>
    <w:rsid w:val="008F4328"/>
    <w:rsid w:val="00900662"/>
    <w:rsid w:val="009013D3"/>
    <w:rsid w:val="0090335A"/>
    <w:rsid w:val="00923169"/>
    <w:rsid w:val="00924FDE"/>
    <w:rsid w:val="00932105"/>
    <w:rsid w:val="009352F5"/>
    <w:rsid w:val="0093799D"/>
    <w:rsid w:val="00941738"/>
    <w:rsid w:val="00942A24"/>
    <w:rsid w:val="00943382"/>
    <w:rsid w:val="00947F60"/>
    <w:rsid w:val="00950829"/>
    <w:rsid w:val="00951871"/>
    <w:rsid w:val="00953513"/>
    <w:rsid w:val="009557AD"/>
    <w:rsid w:val="00957C40"/>
    <w:rsid w:val="00970CEF"/>
    <w:rsid w:val="0097180F"/>
    <w:rsid w:val="0097288D"/>
    <w:rsid w:val="00976F98"/>
    <w:rsid w:val="009812C1"/>
    <w:rsid w:val="00982A7D"/>
    <w:rsid w:val="0098340F"/>
    <w:rsid w:val="0098567B"/>
    <w:rsid w:val="00986814"/>
    <w:rsid w:val="0099084E"/>
    <w:rsid w:val="00991D4E"/>
    <w:rsid w:val="00992D0A"/>
    <w:rsid w:val="009930C6"/>
    <w:rsid w:val="00993560"/>
    <w:rsid w:val="009960A7"/>
    <w:rsid w:val="00996942"/>
    <w:rsid w:val="0099797A"/>
    <w:rsid w:val="009A18ED"/>
    <w:rsid w:val="009A6C9C"/>
    <w:rsid w:val="009B046A"/>
    <w:rsid w:val="009B22D5"/>
    <w:rsid w:val="009B334A"/>
    <w:rsid w:val="009B41AD"/>
    <w:rsid w:val="009B4AF2"/>
    <w:rsid w:val="009B5B0A"/>
    <w:rsid w:val="009B67A7"/>
    <w:rsid w:val="009B7B9F"/>
    <w:rsid w:val="009C228A"/>
    <w:rsid w:val="009C2950"/>
    <w:rsid w:val="009C58EC"/>
    <w:rsid w:val="009C5A85"/>
    <w:rsid w:val="009D1A9A"/>
    <w:rsid w:val="009D1D9C"/>
    <w:rsid w:val="009D4855"/>
    <w:rsid w:val="009D4C58"/>
    <w:rsid w:val="009E0F80"/>
    <w:rsid w:val="009E12FF"/>
    <w:rsid w:val="009E2DD7"/>
    <w:rsid w:val="009E4E59"/>
    <w:rsid w:val="009F1C5E"/>
    <w:rsid w:val="009F41E6"/>
    <w:rsid w:val="00A03550"/>
    <w:rsid w:val="00A11989"/>
    <w:rsid w:val="00A11D3D"/>
    <w:rsid w:val="00A1298A"/>
    <w:rsid w:val="00A1408A"/>
    <w:rsid w:val="00A16DCD"/>
    <w:rsid w:val="00A25815"/>
    <w:rsid w:val="00A25E26"/>
    <w:rsid w:val="00A300E0"/>
    <w:rsid w:val="00A37574"/>
    <w:rsid w:val="00A3760C"/>
    <w:rsid w:val="00A42BFF"/>
    <w:rsid w:val="00A436B3"/>
    <w:rsid w:val="00A44454"/>
    <w:rsid w:val="00A52587"/>
    <w:rsid w:val="00A5627A"/>
    <w:rsid w:val="00A564B5"/>
    <w:rsid w:val="00A61B63"/>
    <w:rsid w:val="00A62049"/>
    <w:rsid w:val="00A66298"/>
    <w:rsid w:val="00A66DF2"/>
    <w:rsid w:val="00A743C3"/>
    <w:rsid w:val="00A75281"/>
    <w:rsid w:val="00A757D8"/>
    <w:rsid w:val="00A8201C"/>
    <w:rsid w:val="00A84B10"/>
    <w:rsid w:val="00A90133"/>
    <w:rsid w:val="00A9130D"/>
    <w:rsid w:val="00A97CF8"/>
    <w:rsid w:val="00AA266A"/>
    <w:rsid w:val="00AB6030"/>
    <w:rsid w:val="00AC0A31"/>
    <w:rsid w:val="00AC2610"/>
    <w:rsid w:val="00AC697B"/>
    <w:rsid w:val="00AC6A98"/>
    <w:rsid w:val="00AD0DF0"/>
    <w:rsid w:val="00AD3A6F"/>
    <w:rsid w:val="00AD6EBC"/>
    <w:rsid w:val="00AD72A0"/>
    <w:rsid w:val="00AE127E"/>
    <w:rsid w:val="00AE1DC7"/>
    <w:rsid w:val="00AE340E"/>
    <w:rsid w:val="00AE4A9E"/>
    <w:rsid w:val="00AF4A0B"/>
    <w:rsid w:val="00B01E71"/>
    <w:rsid w:val="00B04488"/>
    <w:rsid w:val="00B0713D"/>
    <w:rsid w:val="00B074CC"/>
    <w:rsid w:val="00B0792A"/>
    <w:rsid w:val="00B159C7"/>
    <w:rsid w:val="00B16114"/>
    <w:rsid w:val="00B224A2"/>
    <w:rsid w:val="00B2299B"/>
    <w:rsid w:val="00B24FDC"/>
    <w:rsid w:val="00B31C40"/>
    <w:rsid w:val="00B43BA8"/>
    <w:rsid w:val="00B451FF"/>
    <w:rsid w:val="00B46719"/>
    <w:rsid w:val="00B47BF3"/>
    <w:rsid w:val="00B50015"/>
    <w:rsid w:val="00B54E52"/>
    <w:rsid w:val="00B5657C"/>
    <w:rsid w:val="00B57123"/>
    <w:rsid w:val="00B57876"/>
    <w:rsid w:val="00B630E7"/>
    <w:rsid w:val="00B6319B"/>
    <w:rsid w:val="00B647A1"/>
    <w:rsid w:val="00B70B99"/>
    <w:rsid w:val="00B719DE"/>
    <w:rsid w:val="00B75CDC"/>
    <w:rsid w:val="00B80D45"/>
    <w:rsid w:val="00B8516D"/>
    <w:rsid w:val="00B938EB"/>
    <w:rsid w:val="00B95C2D"/>
    <w:rsid w:val="00B97B06"/>
    <w:rsid w:val="00BA0606"/>
    <w:rsid w:val="00BA147E"/>
    <w:rsid w:val="00BA1DD0"/>
    <w:rsid w:val="00BA211F"/>
    <w:rsid w:val="00BA2370"/>
    <w:rsid w:val="00BA348F"/>
    <w:rsid w:val="00BA4767"/>
    <w:rsid w:val="00BA7020"/>
    <w:rsid w:val="00BB057D"/>
    <w:rsid w:val="00BB3301"/>
    <w:rsid w:val="00BB6BCC"/>
    <w:rsid w:val="00BB6F15"/>
    <w:rsid w:val="00BB757D"/>
    <w:rsid w:val="00BB7687"/>
    <w:rsid w:val="00BC11FE"/>
    <w:rsid w:val="00BC2CA6"/>
    <w:rsid w:val="00BC44B8"/>
    <w:rsid w:val="00BC487B"/>
    <w:rsid w:val="00BC495C"/>
    <w:rsid w:val="00BC76C1"/>
    <w:rsid w:val="00BD0159"/>
    <w:rsid w:val="00BD1DEA"/>
    <w:rsid w:val="00BD2E55"/>
    <w:rsid w:val="00BE7235"/>
    <w:rsid w:val="00BF1F6A"/>
    <w:rsid w:val="00BF7E6F"/>
    <w:rsid w:val="00C0203A"/>
    <w:rsid w:val="00C0232F"/>
    <w:rsid w:val="00C03394"/>
    <w:rsid w:val="00C034B4"/>
    <w:rsid w:val="00C03753"/>
    <w:rsid w:val="00C04C9C"/>
    <w:rsid w:val="00C04E89"/>
    <w:rsid w:val="00C108DD"/>
    <w:rsid w:val="00C11EAA"/>
    <w:rsid w:val="00C12A33"/>
    <w:rsid w:val="00C12CC9"/>
    <w:rsid w:val="00C12F46"/>
    <w:rsid w:val="00C14123"/>
    <w:rsid w:val="00C14CB3"/>
    <w:rsid w:val="00C16F2F"/>
    <w:rsid w:val="00C238F1"/>
    <w:rsid w:val="00C26F3C"/>
    <w:rsid w:val="00C3365E"/>
    <w:rsid w:val="00C34B36"/>
    <w:rsid w:val="00C35E38"/>
    <w:rsid w:val="00C36831"/>
    <w:rsid w:val="00C3738F"/>
    <w:rsid w:val="00C4056B"/>
    <w:rsid w:val="00C4126D"/>
    <w:rsid w:val="00C41F1F"/>
    <w:rsid w:val="00C4407C"/>
    <w:rsid w:val="00C447F1"/>
    <w:rsid w:val="00C44D60"/>
    <w:rsid w:val="00C4572A"/>
    <w:rsid w:val="00C51AF9"/>
    <w:rsid w:val="00C63EB3"/>
    <w:rsid w:val="00C71FCB"/>
    <w:rsid w:val="00C721FD"/>
    <w:rsid w:val="00C74E21"/>
    <w:rsid w:val="00C862BB"/>
    <w:rsid w:val="00C952F1"/>
    <w:rsid w:val="00CA735A"/>
    <w:rsid w:val="00CA7520"/>
    <w:rsid w:val="00CA77A0"/>
    <w:rsid w:val="00CA77F6"/>
    <w:rsid w:val="00CB10CC"/>
    <w:rsid w:val="00CB2374"/>
    <w:rsid w:val="00CB242C"/>
    <w:rsid w:val="00CB3707"/>
    <w:rsid w:val="00CB3AE0"/>
    <w:rsid w:val="00CB478B"/>
    <w:rsid w:val="00CB5015"/>
    <w:rsid w:val="00CB6622"/>
    <w:rsid w:val="00CB759D"/>
    <w:rsid w:val="00CB7719"/>
    <w:rsid w:val="00CB7CE4"/>
    <w:rsid w:val="00CC2469"/>
    <w:rsid w:val="00CC588E"/>
    <w:rsid w:val="00CC6BD3"/>
    <w:rsid w:val="00CD6BB9"/>
    <w:rsid w:val="00CDCC28"/>
    <w:rsid w:val="00CE11EF"/>
    <w:rsid w:val="00CE21C5"/>
    <w:rsid w:val="00CF0949"/>
    <w:rsid w:val="00CF6606"/>
    <w:rsid w:val="00CF6F15"/>
    <w:rsid w:val="00CF707E"/>
    <w:rsid w:val="00D00944"/>
    <w:rsid w:val="00D0365F"/>
    <w:rsid w:val="00D07A80"/>
    <w:rsid w:val="00D10F4E"/>
    <w:rsid w:val="00D17B28"/>
    <w:rsid w:val="00D17E3F"/>
    <w:rsid w:val="00D24098"/>
    <w:rsid w:val="00D24214"/>
    <w:rsid w:val="00D2495C"/>
    <w:rsid w:val="00D30227"/>
    <w:rsid w:val="00D321DD"/>
    <w:rsid w:val="00D32C2A"/>
    <w:rsid w:val="00D446CC"/>
    <w:rsid w:val="00D52DB6"/>
    <w:rsid w:val="00D54E6D"/>
    <w:rsid w:val="00D54FF4"/>
    <w:rsid w:val="00D5552E"/>
    <w:rsid w:val="00D55A5C"/>
    <w:rsid w:val="00D55D60"/>
    <w:rsid w:val="00D56EC3"/>
    <w:rsid w:val="00D63E8A"/>
    <w:rsid w:val="00D64BB6"/>
    <w:rsid w:val="00D66D61"/>
    <w:rsid w:val="00D72393"/>
    <w:rsid w:val="00D7524C"/>
    <w:rsid w:val="00D755A8"/>
    <w:rsid w:val="00D77288"/>
    <w:rsid w:val="00D819AA"/>
    <w:rsid w:val="00D8496B"/>
    <w:rsid w:val="00D84A8B"/>
    <w:rsid w:val="00D85166"/>
    <w:rsid w:val="00D93755"/>
    <w:rsid w:val="00D95938"/>
    <w:rsid w:val="00DA07BF"/>
    <w:rsid w:val="00DA30AE"/>
    <w:rsid w:val="00DA614B"/>
    <w:rsid w:val="00DA631C"/>
    <w:rsid w:val="00DB3CAE"/>
    <w:rsid w:val="00DB62D0"/>
    <w:rsid w:val="00DB6A2B"/>
    <w:rsid w:val="00DB6A2F"/>
    <w:rsid w:val="00DC1587"/>
    <w:rsid w:val="00DC3CE4"/>
    <w:rsid w:val="00DC3E73"/>
    <w:rsid w:val="00DD0106"/>
    <w:rsid w:val="00DE2565"/>
    <w:rsid w:val="00DE2DFF"/>
    <w:rsid w:val="00DF0481"/>
    <w:rsid w:val="00DF2D61"/>
    <w:rsid w:val="00DF612E"/>
    <w:rsid w:val="00E00023"/>
    <w:rsid w:val="00E01494"/>
    <w:rsid w:val="00E02925"/>
    <w:rsid w:val="00E04F96"/>
    <w:rsid w:val="00E07182"/>
    <w:rsid w:val="00E073B5"/>
    <w:rsid w:val="00E11293"/>
    <w:rsid w:val="00E114A6"/>
    <w:rsid w:val="00E25E0C"/>
    <w:rsid w:val="00E307D4"/>
    <w:rsid w:val="00E30B44"/>
    <w:rsid w:val="00E31E57"/>
    <w:rsid w:val="00E36944"/>
    <w:rsid w:val="00E36D82"/>
    <w:rsid w:val="00E41036"/>
    <w:rsid w:val="00E41580"/>
    <w:rsid w:val="00E42300"/>
    <w:rsid w:val="00E43285"/>
    <w:rsid w:val="00E46ADB"/>
    <w:rsid w:val="00E51849"/>
    <w:rsid w:val="00E52B09"/>
    <w:rsid w:val="00E54D16"/>
    <w:rsid w:val="00E55438"/>
    <w:rsid w:val="00E57141"/>
    <w:rsid w:val="00E57A07"/>
    <w:rsid w:val="00E61223"/>
    <w:rsid w:val="00E63504"/>
    <w:rsid w:val="00E63A30"/>
    <w:rsid w:val="00E729CE"/>
    <w:rsid w:val="00E74E46"/>
    <w:rsid w:val="00E80A8E"/>
    <w:rsid w:val="00E81D3D"/>
    <w:rsid w:val="00E86315"/>
    <w:rsid w:val="00E95FB8"/>
    <w:rsid w:val="00EA2786"/>
    <w:rsid w:val="00EA79E2"/>
    <w:rsid w:val="00EB07D4"/>
    <w:rsid w:val="00EB1722"/>
    <w:rsid w:val="00EB1F50"/>
    <w:rsid w:val="00EC2440"/>
    <w:rsid w:val="00EC52F1"/>
    <w:rsid w:val="00EC6757"/>
    <w:rsid w:val="00EC6931"/>
    <w:rsid w:val="00ED17CF"/>
    <w:rsid w:val="00ED3FB6"/>
    <w:rsid w:val="00ED4083"/>
    <w:rsid w:val="00ED6C42"/>
    <w:rsid w:val="00EE2DA8"/>
    <w:rsid w:val="00EE4333"/>
    <w:rsid w:val="00EE69CF"/>
    <w:rsid w:val="00EE7250"/>
    <w:rsid w:val="00EF2099"/>
    <w:rsid w:val="00EF4B77"/>
    <w:rsid w:val="00F0108A"/>
    <w:rsid w:val="00F02415"/>
    <w:rsid w:val="00F029D8"/>
    <w:rsid w:val="00F04B96"/>
    <w:rsid w:val="00F05AF7"/>
    <w:rsid w:val="00F074CC"/>
    <w:rsid w:val="00F13009"/>
    <w:rsid w:val="00F14507"/>
    <w:rsid w:val="00F212E5"/>
    <w:rsid w:val="00F21D09"/>
    <w:rsid w:val="00F22490"/>
    <w:rsid w:val="00F22CE5"/>
    <w:rsid w:val="00F2309F"/>
    <w:rsid w:val="00F27F1C"/>
    <w:rsid w:val="00F33ABF"/>
    <w:rsid w:val="00F3592F"/>
    <w:rsid w:val="00F377EE"/>
    <w:rsid w:val="00F37922"/>
    <w:rsid w:val="00F37A64"/>
    <w:rsid w:val="00F41989"/>
    <w:rsid w:val="00F43D23"/>
    <w:rsid w:val="00F4656E"/>
    <w:rsid w:val="00F54B5E"/>
    <w:rsid w:val="00F55583"/>
    <w:rsid w:val="00F57E0B"/>
    <w:rsid w:val="00F6042F"/>
    <w:rsid w:val="00F60F30"/>
    <w:rsid w:val="00F62AAA"/>
    <w:rsid w:val="00F6367D"/>
    <w:rsid w:val="00F665AB"/>
    <w:rsid w:val="00F72A9E"/>
    <w:rsid w:val="00F7343A"/>
    <w:rsid w:val="00F73BDD"/>
    <w:rsid w:val="00F8053E"/>
    <w:rsid w:val="00F80DCC"/>
    <w:rsid w:val="00F81BB3"/>
    <w:rsid w:val="00F81FD0"/>
    <w:rsid w:val="00F83D85"/>
    <w:rsid w:val="00F930AC"/>
    <w:rsid w:val="00F969F4"/>
    <w:rsid w:val="00F97A9F"/>
    <w:rsid w:val="00FB1C7F"/>
    <w:rsid w:val="00FB2028"/>
    <w:rsid w:val="00FB31DE"/>
    <w:rsid w:val="00FB3456"/>
    <w:rsid w:val="00FC22D1"/>
    <w:rsid w:val="00FC26B9"/>
    <w:rsid w:val="00FC2E71"/>
    <w:rsid w:val="00FC317A"/>
    <w:rsid w:val="00FC46C5"/>
    <w:rsid w:val="00FC6F76"/>
    <w:rsid w:val="00FC714D"/>
    <w:rsid w:val="00FD15E6"/>
    <w:rsid w:val="00FD2674"/>
    <w:rsid w:val="00FD281D"/>
    <w:rsid w:val="00FD4C96"/>
    <w:rsid w:val="00FE05CD"/>
    <w:rsid w:val="00FE2D55"/>
    <w:rsid w:val="00FE63DB"/>
    <w:rsid w:val="00FE6BFD"/>
    <w:rsid w:val="00FF1E90"/>
    <w:rsid w:val="038F4724"/>
    <w:rsid w:val="03D4FBAF"/>
    <w:rsid w:val="040804C0"/>
    <w:rsid w:val="0602C62B"/>
    <w:rsid w:val="06B09CEF"/>
    <w:rsid w:val="0710B048"/>
    <w:rsid w:val="074EE770"/>
    <w:rsid w:val="09A118B3"/>
    <w:rsid w:val="0ADDC3DD"/>
    <w:rsid w:val="0B7EB48B"/>
    <w:rsid w:val="0BD823C7"/>
    <w:rsid w:val="0BDEF7C3"/>
    <w:rsid w:val="0C3CFDF0"/>
    <w:rsid w:val="0CE133CB"/>
    <w:rsid w:val="0CF38C21"/>
    <w:rsid w:val="0D027DA9"/>
    <w:rsid w:val="0D4DAFAE"/>
    <w:rsid w:val="0DBFA5F4"/>
    <w:rsid w:val="0FF301C1"/>
    <w:rsid w:val="102E0116"/>
    <w:rsid w:val="10917604"/>
    <w:rsid w:val="10D48FF2"/>
    <w:rsid w:val="119C225E"/>
    <w:rsid w:val="11AEA47C"/>
    <w:rsid w:val="11C15C05"/>
    <w:rsid w:val="124906CC"/>
    <w:rsid w:val="13D1F71C"/>
    <w:rsid w:val="142BB5B2"/>
    <w:rsid w:val="1487387D"/>
    <w:rsid w:val="15CAB7D9"/>
    <w:rsid w:val="1614CA87"/>
    <w:rsid w:val="16CD7BF1"/>
    <w:rsid w:val="174B2689"/>
    <w:rsid w:val="186312AC"/>
    <w:rsid w:val="186B1C9D"/>
    <w:rsid w:val="1A3BA108"/>
    <w:rsid w:val="1A53C361"/>
    <w:rsid w:val="1B630656"/>
    <w:rsid w:val="1C565D16"/>
    <w:rsid w:val="1D435E6E"/>
    <w:rsid w:val="1D8D4D12"/>
    <w:rsid w:val="1E649EA2"/>
    <w:rsid w:val="1F56386E"/>
    <w:rsid w:val="203887D1"/>
    <w:rsid w:val="228CE0BE"/>
    <w:rsid w:val="26B93CE5"/>
    <w:rsid w:val="27186695"/>
    <w:rsid w:val="2724E46D"/>
    <w:rsid w:val="275C126B"/>
    <w:rsid w:val="28550D46"/>
    <w:rsid w:val="28A58A00"/>
    <w:rsid w:val="2AA44866"/>
    <w:rsid w:val="2AB900DA"/>
    <w:rsid w:val="2ACB3373"/>
    <w:rsid w:val="2B6DF200"/>
    <w:rsid w:val="2B8CAE08"/>
    <w:rsid w:val="2C67E016"/>
    <w:rsid w:val="2C979034"/>
    <w:rsid w:val="2DA58994"/>
    <w:rsid w:val="2E043EE1"/>
    <w:rsid w:val="2EA79674"/>
    <w:rsid w:val="2EF9C301"/>
    <w:rsid w:val="301527D8"/>
    <w:rsid w:val="304BCB39"/>
    <w:rsid w:val="30BAEFD7"/>
    <w:rsid w:val="30E35ADF"/>
    <w:rsid w:val="31101A1F"/>
    <w:rsid w:val="31125373"/>
    <w:rsid w:val="3112ADC0"/>
    <w:rsid w:val="334D21E4"/>
    <w:rsid w:val="3423CFE1"/>
    <w:rsid w:val="349406E3"/>
    <w:rsid w:val="360ECEC3"/>
    <w:rsid w:val="36189E61"/>
    <w:rsid w:val="367B0CB2"/>
    <w:rsid w:val="37D44BEA"/>
    <w:rsid w:val="37DC7318"/>
    <w:rsid w:val="380A3CFB"/>
    <w:rsid w:val="385F51DF"/>
    <w:rsid w:val="388E9BE5"/>
    <w:rsid w:val="38DDF64D"/>
    <w:rsid w:val="38E4C10C"/>
    <w:rsid w:val="39C982BE"/>
    <w:rsid w:val="39ECE0A2"/>
    <w:rsid w:val="39F1D8B0"/>
    <w:rsid w:val="3A29DFEA"/>
    <w:rsid w:val="3AB0CD68"/>
    <w:rsid w:val="3ADD370C"/>
    <w:rsid w:val="3B1490B2"/>
    <w:rsid w:val="3D5C3AB2"/>
    <w:rsid w:val="3E3E9521"/>
    <w:rsid w:val="3E49C796"/>
    <w:rsid w:val="3FBA201A"/>
    <w:rsid w:val="40F117EB"/>
    <w:rsid w:val="43E4B5B4"/>
    <w:rsid w:val="44167884"/>
    <w:rsid w:val="453AB295"/>
    <w:rsid w:val="47AD30A5"/>
    <w:rsid w:val="49E4FAFF"/>
    <w:rsid w:val="4A715EC3"/>
    <w:rsid w:val="4ABA876E"/>
    <w:rsid w:val="4AE6491A"/>
    <w:rsid w:val="4C2253B7"/>
    <w:rsid w:val="4D685CB7"/>
    <w:rsid w:val="4E443FC3"/>
    <w:rsid w:val="4FD1C218"/>
    <w:rsid w:val="4FF4CADA"/>
    <w:rsid w:val="50B0A7FE"/>
    <w:rsid w:val="50C777EA"/>
    <w:rsid w:val="5287DD8A"/>
    <w:rsid w:val="52E373AF"/>
    <w:rsid w:val="53982657"/>
    <w:rsid w:val="53AF8E3D"/>
    <w:rsid w:val="56CFD570"/>
    <w:rsid w:val="57AAF718"/>
    <w:rsid w:val="5811AE3B"/>
    <w:rsid w:val="583D4C4F"/>
    <w:rsid w:val="5845EDA2"/>
    <w:rsid w:val="58748300"/>
    <w:rsid w:val="59454889"/>
    <w:rsid w:val="59936473"/>
    <w:rsid w:val="5A65A8EB"/>
    <w:rsid w:val="5B665914"/>
    <w:rsid w:val="5B6B150D"/>
    <w:rsid w:val="5C3739DE"/>
    <w:rsid w:val="5CBE2124"/>
    <w:rsid w:val="5DF7C17A"/>
    <w:rsid w:val="5EEAADE2"/>
    <w:rsid w:val="6049E49B"/>
    <w:rsid w:val="6208DBC7"/>
    <w:rsid w:val="630CDCFA"/>
    <w:rsid w:val="6381670F"/>
    <w:rsid w:val="63BCFC9C"/>
    <w:rsid w:val="64798F50"/>
    <w:rsid w:val="6537CFC3"/>
    <w:rsid w:val="6560CADC"/>
    <w:rsid w:val="66945F3C"/>
    <w:rsid w:val="6754CABE"/>
    <w:rsid w:val="67F7029C"/>
    <w:rsid w:val="6902DCAD"/>
    <w:rsid w:val="6CE7135B"/>
    <w:rsid w:val="6D14B638"/>
    <w:rsid w:val="6D5A9E7D"/>
    <w:rsid w:val="6D7022E4"/>
    <w:rsid w:val="6F23A551"/>
    <w:rsid w:val="700251CA"/>
    <w:rsid w:val="704B9F76"/>
    <w:rsid w:val="738BEDCB"/>
    <w:rsid w:val="73AC9D1A"/>
    <w:rsid w:val="74D97A83"/>
    <w:rsid w:val="75A1F135"/>
    <w:rsid w:val="75EDAFC9"/>
    <w:rsid w:val="75F9D489"/>
    <w:rsid w:val="78887BE1"/>
    <w:rsid w:val="78B19C20"/>
    <w:rsid w:val="7A18D5CC"/>
    <w:rsid w:val="7ABCBE5E"/>
    <w:rsid w:val="7B32D6A6"/>
    <w:rsid w:val="7B331732"/>
    <w:rsid w:val="7B8C0BAB"/>
    <w:rsid w:val="7C22E59D"/>
    <w:rsid w:val="7C588EBF"/>
    <w:rsid w:val="7CA921FC"/>
    <w:rsid w:val="7CF0BB35"/>
    <w:rsid w:val="7D6BAE8B"/>
    <w:rsid w:val="7DD2CBA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57FFD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1FD0"/>
    <w:pPr>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2">
    <w:name w:val="heading 2"/>
    <w:basedOn w:val="ListParagraph"/>
    <w:next w:val="Normal"/>
    <w:link w:val="Heading2Char"/>
    <w:uiPriority w:val="9"/>
    <w:unhideWhenUsed/>
    <w:qFormat/>
    <w:rsid w:val="00F72A9E"/>
    <w:pPr>
      <w:widowControl/>
      <w:numPr>
        <w:numId w:val="15"/>
      </w:numPr>
      <w:pBdr>
        <w:top w:val="single" w:sz="4" w:space="1" w:color="auto"/>
      </w:pBdr>
      <w:tabs>
        <w:tab w:val="left" w:pos="1080"/>
      </w:tabs>
      <w:spacing w:after="200"/>
      <w:ind w:left="360"/>
      <w:contextualSpacing w:val="0"/>
      <w:outlineLvl w:val="1"/>
    </w:pPr>
    <w:rPr>
      <w:rFonts w:ascii="Arial" w:hAnsi="Arial" w:eastAsiaTheme="majorEastAsia" w:cstheme="majorBidi"/>
      <w:b/>
      <w:bCs/>
      <w:sz w:val="24"/>
      <w:szCs w:val="26"/>
      <w:lang w:bidi="en-US"/>
    </w:rPr>
  </w:style>
  <w:style w:type="paragraph" w:styleId="Heading3">
    <w:name w:val="heading 3"/>
    <w:basedOn w:val="Normal"/>
    <w:next w:val="Normal"/>
    <w:link w:val="Heading3Char"/>
    <w:uiPriority w:val="9"/>
    <w:unhideWhenUsed/>
    <w:qFormat/>
    <w:rsid w:val="00467E67"/>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FD267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B15D5"/>
    <w:pPr>
      <w:spacing w:after="0" w:line="240" w:lineRule="auto"/>
    </w:pPr>
  </w:style>
  <w:style w:type="character" w:styleId="CommentReference">
    <w:name w:val="annotation reference"/>
    <w:basedOn w:val="DefaultParagraphFont"/>
    <w:uiPriority w:val="99"/>
    <w:semiHidden/>
    <w:unhideWhenUsed/>
    <w:rsid w:val="00485281"/>
    <w:rPr>
      <w:sz w:val="16"/>
      <w:szCs w:val="16"/>
    </w:rPr>
  </w:style>
  <w:style w:type="paragraph" w:styleId="CommentText">
    <w:name w:val="annotation text"/>
    <w:basedOn w:val="Normal"/>
    <w:link w:val="CommentTextChar"/>
    <w:uiPriority w:val="99"/>
    <w:unhideWhenUsed/>
    <w:rsid w:val="00485281"/>
    <w:rPr>
      <w:sz w:val="20"/>
      <w:szCs w:val="20"/>
    </w:rPr>
  </w:style>
  <w:style w:type="character" w:customStyle="1" w:styleId="CommentTextChar">
    <w:name w:val="Comment Text Char"/>
    <w:basedOn w:val="DefaultParagraphFont"/>
    <w:link w:val="CommentText"/>
    <w:uiPriority w:val="99"/>
    <w:rsid w:val="0048528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5281"/>
    <w:rPr>
      <w:b/>
      <w:bCs/>
    </w:rPr>
  </w:style>
  <w:style w:type="character" w:customStyle="1" w:styleId="CommentSubjectChar">
    <w:name w:val="Comment Subject Char"/>
    <w:basedOn w:val="CommentTextChar"/>
    <w:link w:val="CommentSubject"/>
    <w:uiPriority w:val="99"/>
    <w:semiHidden/>
    <w:rsid w:val="00485281"/>
    <w:rPr>
      <w:rFonts w:ascii="Times New Roman" w:eastAsia="Times New Roman" w:hAnsi="Times New Roman" w:cs="Times New Roman"/>
      <w:b/>
      <w:bCs/>
      <w:sz w:val="20"/>
      <w:szCs w:val="20"/>
    </w:rPr>
  </w:style>
  <w:style w:type="character" w:styleId="Hyperlink">
    <w:name w:val="Hyperlink"/>
    <w:basedOn w:val="DefaultParagraphFont"/>
    <w:uiPriority w:val="99"/>
    <w:rsid w:val="00536CD8"/>
    <w:rPr>
      <w:color w:val="0000FF"/>
      <w:u w:val="single"/>
    </w:rPr>
  </w:style>
  <w:style w:type="paragraph" w:styleId="ListParagraph">
    <w:name w:val="List Paragraph"/>
    <w:basedOn w:val="Normal"/>
    <w:link w:val="ListParagraphChar"/>
    <w:uiPriority w:val="34"/>
    <w:qFormat/>
    <w:rsid w:val="00384A9C"/>
    <w:pPr>
      <w:widowControl w:val="0"/>
      <w:autoSpaceDE/>
      <w:autoSpaceDN/>
      <w:adjustRightInd/>
      <w:ind w:left="720"/>
      <w:contextualSpacing/>
    </w:pPr>
    <w:rPr>
      <w:sz w:val="20"/>
      <w:szCs w:val="20"/>
    </w:rPr>
  </w:style>
  <w:style w:type="character" w:customStyle="1" w:styleId="ListParagraphChar">
    <w:name w:val="List Paragraph Char"/>
    <w:basedOn w:val="DefaultParagraphFont"/>
    <w:link w:val="ListParagraph"/>
    <w:uiPriority w:val="34"/>
    <w:rsid w:val="00384A9C"/>
    <w:rPr>
      <w:rFonts w:ascii="Times New Roman" w:eastAsia="Times New Roman" w:hAnsi="Times New Roman" w:cs="Times New Roman"/>
      <w:sz w:val="20"/>
      <w:szCs w:val="20"/>
    </w:rPr>
  </w:style>
  <w:style w:type="paragraph" w:styleId="NormalWeb">
    <w:name w:val="Normal (Web)"/>
    <w:basedOn w:val="Normal"/>
    <w:uiPriority w:val="99"/>
    <w:semiHidden/>
    <w:unhideWhenUsed/>
    <w:rsid w:val="0060732E"/>
    <w:pPr>
      <w:autoSpaceDE/>
      <w:autoSpaceDN/>
      <w:adjustRightInd/>
      <w:spacing w:before="100" w:beforeAutospacing="1" w:after="100" w:afterAutospacing="1"/>
    </w:pPr>
  </w:style>
  <w:style w:type="paragraph" w:styleId="Header">
    <w:name w:val="header"/>
    <w:basedOn w:val="Normal"/>
    <w:link w:val="HeaderChar"/>
    <w:uiPriority w:val="99"/>
    <w:unhideWhenUsed/>
    <w:rsid w:val="00405F4F"/>
    <w:pPr>
      <w:tabs>
        <w:tab w:val="center" w:pos="4680"/>
        <w:tab w:val="right" w:pos="9360"/>
      </w:tabs>
    </w:pPr>
  </w:style>
  <w:style w:type="character" w:customStyle="1" w:styleId="HeaderChar">
    <w:name w:val="Header Char"/>
    <w:basedOn w:val="DefaultParagraphFont"/>
    <w:link w:val="Header"/>
    <w:uiPriority w:val="99"/>
    <w:rsid w:val="00405F4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5F4F"/>
    <w:pPr>
      <w:tabs>
        <w:tab w:val="center" w:pos="4680"/>
        <w:tab w:val="right" w:pos="9360"/>
      </w:tabs>
    </w:pPr>
  </w:style>
  <w:style w:type="character" w:customStyle="1" w:styleId="FooterChar">
    <w:name w:val="Footer Char"/>
    <w:basedOn w:val="DefaultParagraphFont"/>
    <w:link w:val="Footer"/>
    <w:uiPriority w:val="99"/>
    <w:rsid w:val="00405F4F"/>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D5552E"/>
    <w:pPr>
      <w:spacing w:after="200"/>
    </w:pPr>
    <w:rPr>
      <w:i/>
      <w:iCs/>
      <w:color w:val="44546A" w:themeColor="text2"/>
      <w:sz w:val="18"/>
      <w:szCs w:val="18"/>
    </w:rPr>
  </w:style>
  <w:style w:type="paragraph" w:styleId="FootnoteText">
    <w:name w:val="footnote text"/>
    <w:aliases w:val=" Char,Char,Char1,Char11,Char12,Char2,Char21,Char3,Char4,Char5,Char6,Char7,Footnote Text - Preamble,Footnote Text - Preamble1,Footnote Text - Preamble11,Footnote Text - Preamble2,Footnote Text - Preamble3,Footnote Text - Preamble4,if needed"/>
    <w:basedOn w:val="Normal"/>
    <w:link w:val="FootnoteTextChar"/>
    <w:uiPriority w:val="99"/>
    <w:qFormat/>
    <w:rsid w:val="009812C1"/>
    <w:pPr>
      <w:widowControl w:val="0"/>
      <w:autoSpaceDE/>
      <w:autoSpaceDN/>
      <w:adjustRightInd/>
    </w:pPr>
    <w:rPr>
      <w:sz w:val="20"/>
      <w:szCs w:val="20"/>
    </w:rPr>
  </w:style>
  <w:style w:type="character" w:customStyle="1" w:styleId="FootnoteTextChar">
    <w:name w:val="Footnote Text Char"/>
    <w:aliases w:val="Char Char,Char11 Char,Char2 Char,Char21 Char,Char3 Char,Char4 Char,Char5 Char,Footnote Text - Preamble Char,Footnote Text - Preamble1 Char,Footnote Text - Preamble11 Char,Footnote Text - Preamble2 Char,Footnote Text - Preamble3 Char"/>
    <w:basedOn w:val="DefaultParagraphFont"/>
    <w:link w:val="FootnoteText"/>
    <w:uiPriority w:val="99"/>
    <w:rsid w:val="009812C1"/>
    <w:rPr>
      <w:rFonts w:ascii="Times New Roman" w:eastAsia="Times New Roman" w:hAnsi="Times New Roman" w:cs="Times New Roman"/>
      <w:sz w:val="20"/>
      <w:szCs w:val="20"/>
    </w:rPr>
  </w:style>
  <w:style w:type="character" w:styleId="FootnoteReference">
    <w:name w:val="footnote reference"/>
    <w:aliases w:val="FR Footnote Reference,TSD Footnote Reference"/>
    <w:basedOn w:val="DefaultParagraphFont"/>
    <w:uiPriority w:val="99"/>
    <w:qFormat/>
    <w:rsid w:val="009812C1"/>
    <w:rPr>
      <w:vertAlign w:val="superscript"/>
    </w:rPr>
  </w:style>
  <w:style w:type="character" w:customStyle="1" w:styleId="Heading2Char">
    <w:name w:val="Heading 2 Char"/>
    <w:basedOn w:val="DefaultParagraphFont"/>
    <w:link w:val="Heading2"/>
    <w:uiPriority w:val="9"/>
    <w:rsid w:val="00F72A9E"/>
    <w:rPr>
      <w:rFonts w:ascii="Arial" w:hAnsi="Arial" w:eastAsiaTheme="majorEastAsia" w:cstheme="majorBidi"/>
      <w:b/>
      <w:bCs/>
      <w:sz w:val="24"/>
      <w:szCs w:val="26"/>
      <w:lang w:bidi="en-US"/>
    </w:rPr>
  </w:style>
  <w:style w:type="paragraph" w:customStyle="1" w:styleId="ICR1">
    <w:name w:val="ICR 1"/>
    <w:basedOn w:val="NoSpacing"/>
    <w:link w:val="ICR1Char"/>
    <w:rsid w:val="006B28FD"/>
    <w:rPr>
      <w:rFonts w:ascii="Times New Roman" w:hAnsi="Times New Roman" w:cs="Times New Roman"/>
      <w:b/>
      <w:bCs/>
      <w:sz w:val="24"/>
      <w:szCs w:val="24"/>
    </w:rPr>
  </w:style>
  <w:style w:type="character" w:customStyle="1" w:styleId="Heading3Char">
    <w:name w:val="Heading 3 Char"/>
    <w:basedOn w:val="DefaultParagraphFont"/>
    <w:link w:val="Heading3"/>
    <w:uiPriority w:val="9"/>
    <w:rsid w:val="00467E67"/>
    <w:rPr>
      <w:rFonts w:asciiTheme="majorHAnsi" w:eastAsiaTheme="majorEastAsia" w:hAnsiTheme="majorHAnsi" w:cstheme="majorBidi"/>
      <w:color w:val="1F3763" w:themeColor="accent1" w:themeShade="7F"/>
      <w:sz w:val="24"/>
      <w:szCs w:val="24"/>
    </w:rPr>
  </w:style>
  <w:style w:type="character" w:customStyle="1" w:styleId="NoSpacingChar">
    <w:name w:val="No Spacing Char"/>
    <w:basedOn w:val="DefaultParagraphFont"/>
    <w:link w:val="NoSpacing"/>
    <w:uiPriority w:val="1"/>
    <w:rsid w:val="006B28FD"/>
  </w:style>
  <w:style w:type="character" w:customStyle="1" w:styleId="ICR1Char">
    <w:name w:val="ICR 1 Char"/>
    <w:basedOn w:val="NoSpacingChar"/>
    <w:link w:val="ICR1"/>
    <w:rsid w:val="006B28FD"/>
    <w:rPr>
      <w:rFonts w:ascii="Times New Roman" w:hAnsi="Times New Roman" w:cs="Times New Roman"/>
      <w:b/>
      <w:bCs/>
      <w:sz w:val="24"/>
      <w:szCs w:val="24"/>
    </w:rPr>
  </w:style>
  <w:style w:type="paragraph" w:customStyle="1" w:styleId="ICR2">
    <w:name w:val="ICR 2"/>
    <w:basedOn w:val="Heading3"/>
    <w:link w:val="ICR2Char"/>
    <w:qFormat/>
    <w:rsid w:val="009E4E59"/>
    <w:rPr>
      <w:rFonts w:ascii="Times New Roman" w:hAnsi="Times New Roman"/>
      <w:b/>
      <w:color w:val="000000" w:themeColor="text1"/>
    </w:rPr>
  </w:style>
  <w:style w:type="character" w:customStyle="1" w:styleId="Heading4Char">
    <w:name w:val="Heading 4 Char"/>
    <w:basedOn w:val="DefaultParagraphFont"/>
    <w:link w:val="Heading4"/>
    <w:uiPriority w:val="9"/>
    <w:rsid w:val="00FD2674"/>
    <w:rPr>
      <w:rFonts w:asciiTheme="majorHAnsi" w:eastAsiaTheme="majorEastAsia" w:hAnsiTheme="majorHAnsi" w:cstheme="majorBidi"/>
      <w:i/>
      <w:iCs/>
      <w:color w:val="2F5496" w:themeColor="accent1" w:themeShade="BF"/>
      <w:sz w:val="24"/>
      <w:szCs w:val="24"/>
    </w:rPr>
  </w:style>
  <w:style w:type="character" w:customStyle="1" w:styleId="ICR2Char">
    <w:name w:val="ICR 2 Char"/>
    <w:basedOn w:val="Heading3Char"/>
    <w:link w:val="ICR2"/>
    <w:rsid w:val="009E4E59"/>
    <w:rPr>
      <w:rFonts w:ascii="Times New Roman" w:hAnsi="Times New Roman" w:eastAsiaTheme="majorEastAsia" w:cstheme="majorBidi"/>
      <w:b/>
      <w:color w:val="000000" w:themeColor="text1"/>
      <w:sz w:val="24"/>
      <w:szCs w:val="24"/>
    </w:rPr>
  </w:style>
  <w:style w:type="paragraph" w:customStyle="1" w:styleId="ICR3">
    <w:name w:val="ICR 3"/>
    <w:basedOn w:val="Heading4"/>
    <w:link w:val="ICR3Char"/>
    <w:qFormat/>
    <w:rsid w:val="000A0844"/>
    <w:rPr>
      <w:rFonts w:ascii="Times New Roman" w:hAnsi="Times New Roman"/>
      <w:b/>
      <w:i w:val="0"/>
      <w:color w:val="000000" w:themeColor="text1"/>
    </w:rPr>
  </w:style>
  <w:style w:type="character" w:customStyle="1" w:styleId="ICR3Char">
    <w:name w:val="ICR 3 Char"/>
    <w:basedOn w:val="Heading4Char"/>
    <w:link w:val="ICR3"/>
    <w:rsid w:val="000A0844"/>
    <w:rPr>
      <w:rFonts w:ascii="Times New Roman" w:hAnsi="Times New Roman" w:eastAsiaTheme="majorEastAsia" w:cstheme="majorBidi"/>
      <w:b/>
      <w:i w:val="0"/>
      <w:iCs/>
      <w:color w:val="000000" w:themeColor="text1"/>
      <w:sz w:val="24"/>
      <w:szCs w:val="24"/>
    </w:rPr>
  </w:style>
  <w:style w:type="paragraph" w:customStyle="1" w:styleId="TSDBodyText">
    <w:name w:val="TSD Body Text"/>
    <w:qFormat/>
    <w:rsid w:val="000E02DA"/>
    <w:pPr>
      <w:spacing w:line="240" w:lineRule="auto"/>
      <w:ind w:firstLine="288"/>
    </w:pPr>
    <w:rPr>
      <w:rFonts w:ascii="Times New Roman" w:hAnsi="Times New Roman"/>
      <w:sz w:val="24"/>
    </w:rPr>
  </w:style>
  <w:style w:type="character" w:styleId="UnresolvedMention">
    <w:name w:val="Unresolved Mention"/>
    <w:basedOn w:val="DefaultParagraphFont"/>
    <w:uiPriority w:val="99"/>
    <w:unhideWhenUsed/>
    <w:rsid w:val="004540EF"/>
    <w:rPr>
      <w:color w:val="605E5C"/>
      <w:shd w:val="clear" w:color="auto" w:fill="E1DFDD"/>
    </w:rPr>
  </w:style>
  <w:style w:type="paragraph" w:styleId="BodyText">
    <w:name w:val="Body Text"/>
    <w:basedOn w:val="Normal"/>
    <w:link w:val="BodyTextChar"/>
    <w:qFormat/>
    <w:rsid w:val="00615481"/>
    <w:pPr>
      <w:autoSpaceDE/>
      <w:autoSpaceDN/>
      <w:adjustRightInd/>
      <w:spacing w:after="120"/>
      <w:ind w:firstLine="288"/>
      <w:contextualSpacing/>
    </w:pPr>
    <w:rPr>
      <w:rFonts w:eastAsiaTheme="minorHAnsi" w:cstheme="minorBidi"/>
      <w:szCs w:val="22"/>
    </w:rPr>
  </w:style>
  <w:style w:type="character" w:customStyle="1" w:styleId="BodyTextChar">
    <w:name w:val="Body Text Char"/>
    <w:basedOn w:val="DefaultParagraphFont"/>
    <w:link w:val="BodyText"/>
    <w:rsid w:val="00615481"/>
    <w:rPr>
      <w:rFonts w:ascii="Times New Roman" w:hAnsi="Times New Roman"/>
      <w:sz w:val="24"/>
    </w:rPr>
  </w:style>
  <w:style w:type="table" w:customStyle="1" w:styleId="TSDTable">
    <w:name w:val="TSD Table"/>
    <w:uiPriority w:val="99"/>
    <w:rsid w:val="00615481"/>
    <w:pPr>
      <w:spacing w:after="0" w:line="240" w:lineRule="auto"/>
    </w:pPr>
    <w:rPr>
      <w:rFonts w:ascii="Times New Roman" w:hAnsi="Times New Roman"/>
      <w:sz w:val="20"/>
      <w:szCs w:val="20"/>
      <w:lang w:eastAsia="ja-JP"/>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2" w:type="dxa"/>
        <w:bottom w:w="0" w:type="dxa"/>
        <w:right w:w="72" w:type="dxa"/>
      </w:tblCellMar>
    </w:tblPr>
    <w:trPr>
      <w:jc w:val="center"/>
    </w:trPr>
    <w:tcPr>
      <w:vAlign w:val="center"/>
    </w:tcPr>
    <w:tblStylePr w:type="firstRow">
      <w:rPr>
        <w:b/>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Revision">
    <w:name w:val="Revision"/>
    <w:hidden/>
    <w:uiPriority w:val="99"/>
    <w:semiHidden/>
    <w:rsid w:val="00615481"/>
    <w:pPr>
      <w:spacing w:after="0"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9B7B9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complianceinfo@epa.gov" TargetMode="External" /><Relationship Id="rId11" Type="http://schemas.openxmlformats.org/officeDocument/2006/relationships/hyperlink" Target="https://www.bls.gov/oes/2016/may/naics4_333600.htm"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gcc02.safelinks.protection.outlook.com/?url=https%3A%2F%2Fwww.ecfr.gov%2F&amp;data=05%7C01%7Cstout.alan%40epa.gov%7C476498b4bf894525962c08db1b465b04%7C88b378b367484867acf976aacbeca6a7%7C0%7C0%7C638133761204217275%7CUnknown%7CTWFpbGZsb3d8eyJWIjoiMC4wLjAwMDAiLCJQIjoiV2luMzIiLCJBTiI6Ik1haWwiLCJXVCI6Mn0%3D%7C3000%7C%7C%7C&amp;sdata=wUmYqJTxjqocxAi9zhbzHvP%2BKgQC7Sm%2Fw1IOqI43%2BeE%3D&amp;reserved=0" TargetMode="External" /><Relationship Id="rId2" Type="http://schemas.openxmlformats.org/officeDocument/2006/relationships/hyperlink" Target="https://www.census.gov/naics/reference_files_tools/2022_NAICS_Manual.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D6E2DF1029CC1E4EB2703D33D6DC3FC3" ma:contentTypeVersion="8" ma:contentTypeDescription="Create a new document." ma:contentTypeScope="" ma:versionID="29f15d5e725ab78e877a1d144284615d">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a628500e-1a74-408d-b051-60a90b34e1ac" xmlns:ns6="6befd5a6-9349-476d-84fa-6164e2487445" targetNamespace="http://schemas.microsoft.com/office/2006/metadata/properties" ma:root="true" ma:fieldsID="48309402bc0a8b456a6113719a2d9767" ns1:_="" ns2:_="" ns3:_="" ns4:_="" ns5:_="" ns6:_="">
    <xsd:import namespace="http://schemas.microsoft.com/sharepoint/v3"/>
    <xsd:import namespace="4ffa91fb-a0ff-4ac5-b2db-65c790d184a4"/>
    <xsd:import namespace="http://schemas.microsoft.com/sharepoint.v3"/>
    <xsd:import namespace="http://schemas.microsoft.com/sharepoint/v3/fields"/>
    <xsd:import namespace="a628500e-1a74-408d-b051-60a90b34e1ac"/>
    <xsd:import namespace="6befd5a6-9349-476d-84fa-6164e2487445"/>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e49ab1f9-aa58-46a0-b2de-0860b880e0de}" ma:internalName="TaxCatchAllLabel" ma:readOnly="true" ma:showField="CatchAllDataLabel" ma:web="6befd5a6-9349-476d-84fa-6164e2487445">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e49ab1f9-aa58-46a0-b2de-0860b880e0de}" ma:internalName="TaxCatchAll" ma:showField="CatchAllData" ma:web="6befd5a6-9349-476d-84fa-6164e248744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28500e-1a74-408d-b051-60a90b34e1ac"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efd5a6-9349-476d-84fa-6164e2487445"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Coverage xmlns="http://schemas.microsoft.com/sharepoint/v3/fields" xsi:nil="true"/>
    <Record xmlns="4ffa91fb-a0ff-4ac5-b2db-65c790d184a4">Shared</Record>
    <EPA_x0020_Office xmlns="4ffa91fb-a0ff-4ac5-b2db-65c790d184a4" xsi:nil="true"/>
    <Document_x0020_Creation_x0020_Date xmlns="4ffa91fb-a0ff-4ac5-b2db-65c790d184a4">2023-01-23T17:29:36+00:00</Document_x0020_Creation_x0020_Date>
    <EPA_x0020_Related_x0020_Documents xmlns="4ffa91fb-a0ff-4ac5-b2db-65c790d184a4" xsi:nil="true"/>
    <_Source xmlns="http://schemas.microsoft.com/sharepoint/v3/fields" xsi:nil="true"/>
    <CategoryDescription xmlns="http://schemas.microsoft.com/sharepoint.v3" xsi:nil="true"/>
    <EPA_x0020_Contributor xmlns="4ffa91fb-a0ff-4ac5-b2db-65c790d184a4">
      <UserInfo>
        <DisplayName/>
        <AccountId xsi:nil="true"/>
        <AccountType/>
      </UserInfo>
    </EPA_x0020_Contributor>
    <TaxKeywordTaxHTField xmlns="4ffa91fb-a0ff-4ac5-b2db-65c790d184a4">
      <Terms xmlns="http://schemas.microsoft.com/office/infopath/2007/PartnerControls"/>
    </TaxKeywordTaxHTField>
    <Rights xmlns="4ffa91fb-a0ff-4ac5-b2db-65c790d184a4" xsi:nil="true"/>
    <Identifier xmlns="4ffa91fb-a0ff-4ac5-b2db-65c790d184a4" xsi:nil="true"/>
    <Creator xmlns="4ffa91fb-a0ff-4ac5-b2db-65c790d184a4">
      <UserInfo>
        <DisplayName/>
        <AccountId xsi:nil="true"/>
        <AccountType/>
      </UserInfo>
    </Creator>
    <Language xmlns="http://schemas.microsoft.com/sharepoint/v3">English</Language>
    <j747ac98061d40f0aa7bd47e1db5675d xmlns="4ffa91fb-a0ff-4ac5-b2db-65c790d184a4">
      <Terms xmlns="http://schemas.microsoft.com/office/infopath/2007/PartnerControls"/>
    </j747ac98061d40f0aa7bd47e1db5675d>
    <SharedWithUsers xmlns="6befd5a6-9349-476d-84fa-6164e2487445">
      <UserInfo>
        <DisplayName/>
        <AccountId xsi:nil="true"/>
        <AccountType/>
      </UserInfo>
    </SharedWithUsers>
    <TaxCatchAll xmlns="4ffa91fb-a0ff-4ac5-b2db-65c790d184a4" xsi:nil="true"/>
    <External_x0020_Contributor xmlns="4ffa91fb-a0ff-4ac5-b2db-65c790d184a4" xsi:nil="true"/>
  </documentManagement>
</p:properties>
</file>

<file path=customXml/itemProps1.xml><?xml version="1.0" encoding="utf-8"?>
<ds:datastoreItem xmlns:ds="http://schemas.openxmlformats.org/officeDocument/2006/customXml" ds:itemID="{D3EE1597-4890-4BCD-89E4-9B590ABFFFB6}">
  <ds:schemaRefs>
    <ds:schemaRef ds:uri="http://schemas.microsoft.com/sharepoint/v3/contenttype/forms"/>
  </ds:schemaRefs>
</ds:datastoreItem>
</file>

<file path=customXml/itemProps2.xml><?xml version="1.0" encoding="utf-8"?>
<ds:datastoreItem xmlns:ds="http://schemas.openxmlformats.org/officeDocument/2006/customXml" ds:itemID="{BEA2F51E-F838-4BBC-A208-8AD6B1FC365E}">
  <ds:schemaRefs>
    <ds:schemaRef ds:uri="Microsoft.SharePoint.Taxonomy.ContentTypeSync"/>
  </ds:schemaRefs>
</ds:datastoreItem>
</file>

<file path=customXml/itemProps3.xml><?xml version="1.0" encoding="utf-8"?>
<ds:datastoreItem xmlns:ds="http://schemas.openxmlformats.org/officeDocument/2006/customXml" ds:itemID="{D0B4A81B-BB9E-4C32-AB91-C7D8669D21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a628500e-1a74-408d-b051-60a90b34e1ac"/>
    <ds:schemaRef ds:uri="6befd5a6-9349-476d-84fa-6164e2487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E4D916-8167-4A8C-82A9-429CB281EF30}">
  <ds:schemaRefs>
    <ds:schemaRef ds:uri="http://schemas.openxmlformats.org/officeDocument/2006/bibliography"/>
  </ds:schemaRefs>
</ds:datastoreItem>
</file>

<file path=customXml/itemProps5.xml><?xml version="1.0" encoding="utf-8"?>
<ds:datastoreItem xmlns:ds="http://schemas.openxmlformats.org/officeDocument/2006/customXml" ds:itemID="{4AC8F3FA-0FF1-45B5-9020-3DCA986FF816}">
  <ds:schemaRefs>
    <ds:schemaRef ds:uri="http://purl.org/dc/dcmitype/"/>
    <ds:schemaRef ds:uri="http://purl.org/dc/elements/1.1/"/>
    <ds:schemaRef ds:uri="4ffa91fb-a0ff-4ac5-b2db-65c790d184a4"/>
    <ds:schemaRef ds:uri="http://schemas.microsoft.com/office/2006/metadata/properties"/>
    <ds:schemaRef ds:uri="a628500e-1a74-408d-b051-60a90b34e1ac"/>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schemas.microsoft.com/sharepoint.v3"/>
    <ds:schemaRef ds:uri="http://purl.org/dc/terms/"/>
    <ds:schemaRef ds:uri="6befd5a6-9349-476d-84fa-6164e2487445"/>
    <ds:schemaRef ds:uri="http://schemas.microsoft.com/sharepoint/v3/field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4300</Words>
  <Characters>23680</Characters>
  <Application>Microsoft Office Word</Application>
  <DocSecurity>0</DocSecurity>
  <Lines>687</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2024-01-25T03:40:00Z</dcterms:created>
  <dcterms:modified xsi:type="dcterms:W3CDTF">2024-01-25T03:41:00Z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0x010100D6E2DF1029CC1E4EB2703D33D6DC3FC3</vt:lpwstr>
  </property>
  <property fmtid="{D5CDD505-2E9C-101B-9397-08002B2CF9AE}" pid="4" name="Document Type">
    <vt:lpwstr/>
  </property>
  <property fmtid="{D5CDD505-2E9C-101B-9397-08002B2CF9AE}" pid="5" name="e3f09c3df709400db2417a7161762d62">
    <vt:lpwstr/>
  </property>
  <property fmtid="{D5CDD505-2E9C-101B-9397-08002B2CF9AE}" pid="6" name="EPA Subject">
    <vt:lpwstr/>
  </property>
  <property fmtid="{D5CDD505-2E9C-101B-9397-08002B2CF9AE}" pid="7" name="GrammarlyDocumentId">
    <vt:lpwstr>eb884861b84d1b24eb27a6379ab47415447b59ad8eec9434b92cb02161314b2d</vt:lpwstr>
  </property>
  <property fmtid="{D5CDD505-2E9C-101B-9397-08002B2CF9AE}" pid="8" name="MediaServiceImageTags">
    <vt:lpwstr/>
  </property>
  <property fmtid="{D5CDD505-2E9C-101B-9397-08002B2CF9AE}" pid="9" name="TaxKeyword">
    <vt:lpwstr/>
  </property>
  <property fmtid="{D5CDD505-2E9C-101B-9397-08002B2CF9AE}" pid="10" name="TemplateUrl">
    <vt:lpwstr/>
  </property>
  <property fmtid="{D5CDD505-2E9C-101B-9397-08002B2CF9AE}" pid="11" name="TriggerFlowInfo">
    <vt:lpwstr/>
  </property>
  <property fmtid="{D5CDD505-2E9C-101B-9397-08002B2CF9AE}" pid="12" name="xd_ProgID">
    <vt:lpwstr/>
  </property>
  <property fmtid="{D5CDD505-2E9C-101B-9397-08002B2CF9AE}" pid="13" name="xd_Signature">
    <vt:bool>false</vt:bool>
  </property>
  <property fmtid="{D5CDD505-2E9C-101B-9397-08002B2CF9AE}" pid="14" name="_ColorHex">
    <vt:lpwstr/>
  </property>
  <property fmtid="{D5CDD505-2E9C-101B-9397-08002B2CF9AE}" pid="15" name="_ColorTag">
    <vt:lpwstr/>
  </property>
  <property fmtid="{D5CDD505-2E9C-101B-9397-08002B2CF9AE}" pid="16" name="_Emoji">
    <vt:lpwstr/>
  </property>
  <property fmtid="{D5CDD505-2E9C-101B-9397-08002B2CF9AE}" pid="17" name="_ExtendedDescription">
    <vt:lpwstr/>
  </property>
</Properties>
</file>