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56FE" w:rsidRPr="007B231B" w:rsidP="004456FE" w14:paraId="758A91B4" w14:textId="77777777">
      <w:pPr>
        <w:rPr>
          <w:b/>
          <w:bCs/>
          <w:szCs w:val="24"/>
        </w:rPr>
      </w:pPr>
      <w:r w:rsidRPr="007B231B">
        <w:rPr>
          <w:b/>
          <w:bCs/>
          <w:szCs w:val="24"/>
        </w:rPr>
        <w:t>Summary</w:t>
      </w:r>
    </w:p>
    <w:p w:rsidR="00BE4573" w:rsidP="00BE4573" w14:paraId="3695854C" w14:textId="77777777">
      <w:pPr>
        <w:ind w:firstLine="720"/>
        <w:rPr>
          <w:szCs w:val="24"/>
        </w:rPr>
      </w:pPr>
    </w:p>
    <w:p w:rsidR="004456FE" w:rsidRPr="007B231B" w:rsidP="00BE4573" w14:paraId="60048B9E" w14:textId="0AEB1086">
      <w:pPr>
        <w:ind w:firstLine="720"/>
        <w:rPr>
          <w:szCs w:val="24"/>
        </w:rPr>
      </w:pPr>
      <w:r w:rsidRPr="007B231B">
        <w:rPr>
          <w:szCs w:val="24"/>
        </w:rPr>
        <w:t xml:space="preserve">The </w:t>
      </w:r>
      <w:r>
        <w:rPr>
          <w:szCs w:val="24"/>
        </w:rPr>
        <w:t>Department of Transportation’s Office of Aviation Consumer Protection (OACP)</w:t>
      </w:r>
      <w:r w:rsidR="006F60D1">
        <w:rPr>
          <w:szCs w:val="24"/>
        </w:rPr>
        <w:t xml:space="preserve"> </w:t>
      </w:r>
      <w:r w:rsidRPr="007B231B">
        <w:rPr>
          <w:szCs w:val="24"/>
        </w:rPr>
        <w:t xml:space="preserve">seeks </w:t>
      </w:r>
      <w:r>
        <w:rPr>
          <w:szCs w:val="24"/>
        </w:rPr>
        <w:t xml:space="preserve">emergency </w:t>
      </w:r>
      <w:r w:rsidR="00171E70">
        <w:rPr>
          <w:szCs w:val="24"/>
        </w:rPr>
        <w:t xml:space="preserve">clearance to </w:t>
      </w:r>
      <w:r w:rsidRPr="00171E70" w:rsidR="00171E70">
        <w:rPr>
          <w:szCs w:val="24"/>
        </w:rPr>
        <w:t xml:space="preserve">extend </w:t>
      </w:r>
      <w:r w:rsidR="004B0B54">
        <w:rPr>
          <w:szCs w:val="24"/>
        </w:rPr>
        <w:t xml:space="preserve">the </w:t>
      </w:r>
      <w:r w:rsidR="00171E70">
        <w:rPr>
          <w:szCs w:val="24"/>
        </w:rPr>
        <w:t xml:space="preserve">information </w:t>
      </w:r>
      <w:r w:rsidRPr="00171E70" w:rsidR="00171E70">
        <w:rPr>
          <w:szCs w:val="24"/>
        </w:rPr>
        <w:t>collect</w:t>
      </w:r>
      <w:r w:rsidR="00171E70">
        <w:rPr>
          <w:szCs w:val="24"/>
        </w:rPr>
        <w:t>ion</w:t>
      </w:r>
      <w:r w:rsidRPr="00171E70" w:rsidR="00171E70">
        <w:rPr>
          <w:szCs w:val="24"/>
        </w:rPr>
        <w:t xml:space="preserve"> </w:t>
      </w:r>
      <w:r w:rsidR="00951E7D">
        <w:rPr>
          <w:szCs w:val="24"/>
        </w:rPr>
        <w:t xml:space="preserve">request (ICR) </w:t>
      </w:r>
      <w:r w:rsidRPr="006F60D1" w:rsidR="006F60D1">
        <w:rPr>
          <w:szCs w:val="24"/>
        </w:rPr>
        <w:t>under OMB Control N</w:t>
      </w:r>
      <w:r w:rsidR="006F60D1">
        <w:rPr>
          <w:szCs w:val="24"/>
        </w:rPr>
        <w:t>umber</w:t>
      </w:r>
      <w:r w:rsidRPr="006F60D1" w:rsidR="006F60D1">
        <w:rPr>
          <w:szCs w:val="24"/>
        </w:rPr>
        <w:t xml:space="preserve"> 2105-2576 related to the </w:t>
      </w:r>
      <w:r>
        <w:rPr>
          <w:szCs w:val="24"/>
        </w:rPr>
        <w:t>forms that</w:t>
      </w:r>
      <w:r w:rsidRPr="006F60D1" w:rsidR="006F60D1">
        <w:rPr>
          <w:szCs w:val="24"/>
        </w:rPr>
        <w:t xml:space="preserve"> airlines</w:t>
      </w:r>
      <w:r>
        <w:rPr>
          <w:szCs w:val="24"/>
        </w:rPr>
        <w:t xml:space="preserve"> are permitted to</w:t>
      </w:r>
      <w:r w:rsidRPr="006F60D1" w:rsidR="006F60D1">
        <w:rPr>
          <w:szCs w:val="24"/>
        </w:rPr>
        <w:t xml:space="preserve"> require</w:t>
      </w:r>
      <w:r>
        <w:rPr>
          <w:szCs w:val="24"/>
        </w:rPr>
        <w:t xml:space="preserve"> from</w:t>
      </w:r>
      <w:r w:rsidRPr="006F60D1" w:rsidR="006F60D1">
        <w:rPr>
          <w:szCs w:val="24"/>
        </w:rPr>
        <w:t xml:space="preserve"> passengers </w:t>
      </w:r>
      <w:r>
        <w:rPr>
          <w:szCs w:val="24"/>
        </w:rPr>
        <w:t xml:space="preserve">with disabilities </w:t>
      </w:r>
      <w:r w:rsidRPr="006F60D1" w:rsidR="006F60D1">
        <w:rPr>
          <w:szCs w:val="24"/>
        </w:rPr>
        <w:t xml:space="preserve">traveling </w:t>
      </w:r>
      <w:r>
        <w:rPr>
          <w:szCs w:val="24"/>
        </w:rPr>
        <w:t xml:space="preserve">by air </w:t>
      </w:r>
      <w:r w:rsidRPr="006F60D1" w:rsidR="006F60D1">
        <w:rPr>
          <w:szCs w:val="24"/>
        </w:rPr>
        <w:t>with a service animal</w:t>
      </w:r>
      <w:r>
        <w:rPr>
          <w:szCs w:val="24"/>
        </w:rPr>
        <w:t xml:space="preserve">.  The </w:t>
      </w:r>
      <w:r w:rsidR="00951E7D">
        <w:rPr>
          <w:szCs w:val="24"/>
        </w:rPr>
        <w:t>ICR</w:t>
      </w:r>
      <w:r>
        <w:rPr>
          <w:szCs w:val="24"/>
        </w:rPr>
        <w:t xml:space="preserve"> </w:t>
      </w:r>
      <w:r w:rsidR="00384624">
        <w:rPr>
          <w:szCs w:val="24"/>
        </w:rPr>
        <w:t xml:space="preserve">will </w:t>
      </w:r>
      <w:r>
        <w:rPr>
          <w:szCs w:val="24"/>
        </w:rPr>
        <w:t xml:space="preserve">expire on </w:t>
      </w:r>
      <w:r w:rsidR="006F60D1">
        <w:rPr>
          <w:szCs w:val="24"/>
        </w:rPr>
        <w:t>December 31, 2023</w:t>
      </w:r>
      <w:r>
        <w:rPr>
          <w:szCs w:val="24"/>
        </w:rPr>
        <w:t xml:space="preserve">.  We are seeking emergency </w:t>
      </w:r>
      <w:r w:rsidR="00171E70">
        <w:rPr>
          <w:szCs w:val="24"/>
        </w:rPr>
        <w:t xml:space="preserve">clearance to </w:t>
      </w:r>
      <w:r w:rsidR="00951E7D">
        <w:rPr>
          <w:szCs w:val="24"/>
        </w:rPr>
        <w:t xml:space="preserve">temporarily </w:t>
      </w:r>
      <w:r w:rsidRPr="00171E70" w:rsidR="00171E70">
        <w:rPr>
          <w:szCs w:val="24"/>
        </w:rPr>
        <w:t xml:space="preserve">extend </w:t>
      </w:r>
      <w:r w:rsidR="00171E70">
        <w:rPr>
          <w:szCs w:val="24"/>
        </w:rPr>
        <w:t xml:space="preserve">the </w:t>
      </w:r>
      <w:r w:rsidR="00951E7D">
        <w:rPr>
          <w:szCs w:val="24"/>
        </w:rPr>
        <w:t>ICR</w:t>
      </w:r>
      <w:r w:rsidR="00766B82">
        <w:rPr>
          <w:szCs w:val="24"/>
        </w:rPr>
        <w:t xml:space="preserve"> to ensure that airlines may continue to collect service animal forms from passengers with disabilities, which provide assurances to the airline that the service animal do</w:t>
      </w:r>
      <w:r w:rsidR="004B0B54">
        <w:rPr>
          <w:szCs w:val="24"/>
        </w:rPr>
        <w:t>es</w:t>
      </w:r>
      <w:r w:rsidR="00766B82">
        <w:rPr>
          <w:szCs w:val="24"/>
        </w:rPr>
        <w:t xml:space="preserve"> not pose a safety threat to passengers and crew onboard aircraft</w:t>
      </w:r>
      <w:r w:rsidR="00951E7D">
        <w:rPr>
          <w:szCs w:val="24"/>
        </w:rPr>
        <w:t>, while OACP completes the regular ICR renewal process</w:t>
      </w:r>
      <w:r w:rsidR="00766B82">
        <w:rPr>
          <w:szCs w:val="24"/>
        </w:rPr>
        <w:t xml:space="preserve">.  </w:t>
      </w:r>
    </w:p>
    <w:p w:rsidR="00766B82" w:rsidP="004456FE" w14:paraId="5B307666" w14:textId="77777777">
      <w:pPr>
        <w:rPr>
          <w:b/>
          <w:bCs/>
          <w:szCs w:val="24"/>
        </w:rPr>
      </w:pPr>
    </w:p>
    <w:p w:rsidR="004456FE" w:rsidRPr="007B231B" w:rsidP="004456FE" w14:paraId="296D1586" w14:textId="42373671">
      <w:pPr>
        <w:rPr>
          <w:b/>
          <w:bCs/>
          <w:szCs w:val="24"/>
        </w:rPr>
      </w:pPr>
      <w:r w:rsidRPr="007B231B">
        <w:rPr>
          <w:b/>
          <w:bCs/>
          <w:szCs w:val="24"/>
        </w:rPr>
        <w:t>Background</w:t>
      </w:r>
    </w:p>
    <w:p w:rsidR="00384624" w:rsidP="00BE4573" w14:paraId="0E0D9192" w14:textId="799F2B82">
      <w:pPr>
        <w:pStyle w:val="paragraph"/>
        <w:ind w:firstLine="720"/>
        <w:textAlignment w:val="baseline"/>
        <w:rPr>
          <w:rStyle w:val="normaltextrun"/>
        </w:rPr>
      </w:pPr>
      <w:r>
        <w:rPr>
          <w:rStyle w:val="normaltextrun"/>
        </w:rPr>
        <w:t>DOT’s</w:t>
      </w:r>
      <w:r w:rsidRPr="00766B82">
        <w:rPr>
          <w:rStyle w:val="normaltextrun"/>
        </w:rPr>
        <w:t xml:space="preserve"> rule </w:t>
      </w:r>
      <w:r>
        <w:rPr>
          <w:rStyle w:val="normaltextrun"/>
        </w:rPr>
        <w:t>in the Depar</w:t>
      </w:r>
      <w:r w:rsidRPr="00766B82">
        <w:rPr>
          <w:rStyle w:val="normaltextrun"/>
        </w:rPr>
        <w:t>tment’s Air Carrier Access Act (ACAA) regulation on the transport of service animals by air</w:t>
      </w:r>
      <w:r w:rsidR="009A7CF3">
        <w:rPr>
          <w:rStyle w:val="normaltextrun"/>
        </w:rPr>
        <w:t xml:space="preserve">, which </w:t>
      </w:r>
      <w:r>
        <w:rPr>
          <w:rStyle w:val="normaltextrun"/>
        </w:rPr>
        <w:t xml:space="preserve">was published </w:t>
      </w:r>
      <w:r w:rsidRPr="00766B82">
        <w:rPr>
          <w:rStyle w:val="normaltextrun"/>
        </w:rPr>
        <w:t>in the Federal Register on December 10, 2020 (85 FR 79742)</w:t>
      </w:r>
      <w:r w:rsidR="009A7CF3">
        <w:rPr>
          <w:rStyle w:val="normaltextrun"/>
        </w:rPr>
        <w:t xml:space="preserve">, </w:t>
      </w:r>
      <w:r w:rsidRPr="00766B82">
        <w:rPr>
          <w:rStyle w:val="normaltextrun"/>
        </w:rPr>
        <w:t xml:space="preserve">allows airlines to require passengers traveling with service animals to provide carriers with </w:t>
      </w:r>
      <w:r>
        <w:rPr>
          <w:rStyle w:val="normaltextrun"/>
        </w:rPr>
        <w:t>two DOT forms.  The first form, t</w:t>
      </w:r>
      <w:r w:rsidRPr="00766B82">
        <w:rPr>
          <w:rStyle w:val="normaltextrun"/>
        </w:rPr>
        <w:t>he U.S. Department of Transportation Service Animal Air Transportation Form (“Behavior and Health Attestation Form”),</w:t>
      </w:r>
      <w:r>
        <w:rPr>
          <w:rStyle w:val="normaltextrun"/>
        </w:rPr>
        <w:t xml:space="preserve"> </w:t>
      </w:r>
      <w:r w:rsidRPr="00766B82">
        <w:rPr>
          <w:rStyle w:val="normaltextrun"/>
        </w:rPr>
        <w:t>is designed to ensure and inform airlines of the service animal’s good health, disability-related training, and good behavior</w:t>
      </w:r>
      <w:r>
        <w:rPr>
          <w:rStyle w:val="normaltextrun"/>
        </w:rPr>
        <w:t xml:space="preserve">.  The second form, </w:t>
      </w:r>
      <w:r w:rsidRPr="00766B82">
        <w:rPr>
          <w:rStyle w:val="normaltextrun"/>
        </w:rPr>
        <w:t>the U.S. Department of Transportation Service Animal Relief Attestation Form (“Relief Attestation Form”)</w:t>
      </w:r>
      <w:r>
        <w:rPr>
          <w:rStyle w:val="normaltextrun"/>
        </w:rPr>
        <w:t>, is only required for flights that are eight or more hours and is designed to ensure that the service animal will not relieve itself on the flight,</w:t>
      </w:r>
      <w:r w:rsidR="00BE4573">
        <w:rPr>
          <w:rStyle w:val="normaltextrun"/>
        </w:rPr>
        <w:t xml:space="preserve"> </w:t>
      </w:r>
      <w:r>
        <w:rPr>
          <w:rStyle w:val="normaltextrun"/>
        </w:rPr>
        <w:t>or can relieve itself in a sanitary manner</w:t>
      </w:r>
      <w:r w:rsidRPr="00766B82">
        <w:rPr>
          <w:rStyle w:val="normaltextrun"/>
        </w:rPr>
        <w:t xml:space="preserve">. </w:t>
      </w:r>
    </w:p>
    <w:p w:rsidR="004456FE" w:rsidP="00BE4573" w14:paraId="12A8DD77" w14:textId="39965752">
      <w:pPr>
        <w:pStyle w:val="paragraph"/>
        <w:ind w:firstLine="720"/>
        <w:textAlignment w:val="baseline"/>
        <w:rPr>
          <w:rStyle w:val="normaltextrun"/>
        </w:rPr>
      </w:pPr>
      <w:r>
        <w:rPr>
          <w:rStyle w:val="normaltextrun"/>
        </w:rPr>
        <w:t>In the</w:t>
      </w:r>
      <w:r w:rsidR="009A7CF3">
        <w:rPr>
          <w:rStyle w:val="normaltextrun"/>
        </w:rPr>
        <w:t xml:space="preserve"> </w:t>
      </w:r>
      <w:r w:rsidRPr="00766B82" w:rsidR="009A7CF3">
        <w:rPr>
          <w:rStyle w:val="normaltextrun"/>
        </w:rPr>
        <w:t>Behavior and Health Attestation Form</w:t>
      </w:r>
      <w:r w:rsidR="00384624">
        <w:rPr>
          <w:rStyle w:val="normaltextrun"/>
        </w:rPr>
        <w:t>,</w:t>
      </w:r>
      <w:r w:rsidR="009A7CF3">
        <w:rPr>
          <w:rStyle w:val="normaltextrun"/>
        </w:rPr>
        <w:t xml:space="preserve"> the passenger must attest that their service animal is currently vaccinated, has been trained to behave in a public setting, and that the animal has not behaved aggressively or caused serious injury to another person or animal.  The </w:t>
      </w:r>
      <w:r w:rsidRPr="00766B82" w:rsidR="00766B82">
        <w:rPr>
          <w:rStyle w:val="normaltextrun"/>
        </w:rPr>
        <w:t xml:space="preserve">purpose </w:t>
      </w:r>
      <w:r w:rsidRPr="00766B82" w:rsidR="00766B82">
        <w:rPr>
          <w:rStyle w:val="normaltextrun"/>
        </w:rPr>
        <w:t>of this form is to</w:t>
      </w:r>
      <w:r w:rsidR="009A7CF3">
        <w:rPr>
          <w:rStyle w:val="normaltextrun"/>
        </w:rPr>
        <w:t xml:space="preserve"> ensure that the service animal does not pose a direct threat to the health and safety of passengers, crew, and other during air transportation.  </w:t>
      </w:r>
      <w:r w:rsidRPr="00766B82" w:rsidR="00766B82">
        <w:rPr>
          <w:rStyle w:val="normaltextrun"/>
        </w:rPr>
        <w:t xml:space="preserve"> </w:t>
      </w:r>
    </w:p>
    <w:p w:rsidR="004456FE" w:rsidRPr="007B231B" w:rsidP="004456FE" w14:paraId="7344EC27" w14:textId="77777777">
      <w:pPr>
        <w:pStyle w:val="paragraph"/>
        <w:textAlignment w:val="baseline"/>
        <w:rPr>
          <w:rStyle w:val="eop"/>
          <w:b/>
          <w:bCs/>
        </w:rPr>
      </w:pPr>
      <w:r w:rsidRPr="007B231B">
        <w:rPr>
          <w:rStyle w:val="eop"/>
          <w:b/>
          <w:bCs/>
        </w:rPr>
        <w:t>The Data Collection</w:t>
      </w:r>
    </w:p>
    <w:p w:rsidR="00C526AE" w:rsidP="004B0B54" w14:paraId="0EDCA3E0" w14:textId="24BDB081">
      <w:pPr>
        <w:autoSpaceDE w:val="0"/>
        <w:autoSpaceDN w:val="0"/>
        <w:adjustRightInd w:val="0"/>
        <w:ind w:firstLine="720"/>
      </w:pPr>
      <w:r>
        <w:t xml:space="preserve">The Department allows airlines to require a </w:t>
      </w:r>
      <w:r w:rsidRPr="001C726B">
        <w:t>U.S. Department of Transportation Service Animal Air Transportation Form and, if applicable, a U.S. Department of Transportation Service Animal Relief Attestation</w:t>
      </w:r>
      <w:r>
        <w:t xml:space="preserve"> </w:t>
      </w:r>
      <w:r w:rsidR="004B0B54">
        <w:t xml:space="preserve">Form </w:t>
      </w:r>
      <w:r>
        <w:t>from passengers traveling with service animals as a condition of transport.  These information collections allow airlines to receive direct assurances from service animal users of their animal’s good health, behavior, training, and ability to hold its relief functions or relieve itself in a sanitary manner on long flights.  These form(s) also serve as an instrument to educate passengers traveling with service animals on how service animals in air transportation are expected to behave, and that the airline could charge passengers for damage caused by a service animal, so long as the airline had a policy of charging other passengers for similar kinds of damage.  Finally, the forms serve as a deterrent for individuals who might otherwise seek to claim falsely that their pets are service animals, as those individuals may be less likely to falsify a Federal form and thus risk the potential for criminal prosecution.</w:t>
      </w:r>
    </w:p>
    <w:p w:rsidR="004456FE" w:rsidRPr="007B231B" w:rsidP="004456FE" w14:paraId="0712B99E" w14:textId="77777777">
      <w:pPr>
        <w:pStyle w:val="paragraph"/>
        <w:textAlignment w:val="baseline"/>
        <w:rPr>
          <w:b/>
          <w:bCs/>
        </w:rPr>
      </w:pPr>
      <w:r w:rsidRPr="007B231B">
        <w:rPr>
          <w:b/>
          <w:bCs/>
        </w:rPr>
        <w:t>Request for Emergency Clearance</w:t>
      </w:r>
    </w:p>
    <w:p w:rsidR="000A43CC" w:rsidP="00BE4573" w14:paraId="64DF17D3" w14:textId="0184BBD4">
      <w:pPr>
        <w:pStyle w:val="paragraph"/>
        <w:ind w:firstLine="720"/>
        <w:textAlignment w:val="baseline"/>
      </w:pPr>
      <w:r>
        <w:t>Th</w:t>
      </w:r>
      <w:r w:rsidR="00951E7D">
        <w:t xml:space="preserve">is ICR </w:t>
      </w:r>
      <w:r>
        <w:t xml:space="preserve">expires on December 31, 2023.  Although </w:t>
      </w:r>
      <w:r w:rsidR="004B07D5">
        <w:t xml:space="preserve">the </w:t>
      </w:r>
      <w:r>
        <w:t xml:space="preserve">60-day notice to reinstate </w:t>
      </w:r>
      <w:r w:rsidR="004B07D5">
        <w:t xml:space="preserve">OMB Control Number 2105-0576 </w:t>
      </w:r>
      <w:r>
        <w:t xml:space="preserve">was published in the Federal Register on November 13, 2023, the comment period </w:t>
      </w:r>
      <w:r w:rsidR="004B07D5">
        <w:t>in</w:t>
      </w:r>
      <w:r>
        <w:t xml:space="preserve"> the notice does not end until January 12, 2024, approximately two weeks after the </w:t>
      </w:r>
      <w:r w:rsidR="004B07D5">
        <w:t xml:space="preserve">expiration date of the OMB Control Number.  </w:t>
      </w:r>
    </w:p>
    <w:p w:rsidR="004B07D5" w:rsidP="00BE4573" w14:paraId="79AD4246" w14:textId="603F8C26">
      <w:pPr>
        <w:pStyle w:val="paragraph"/>
        <w:ind w:firstLine="720"/>
        <w:textAlignment w:val="baseline"/>
        <w:rPr>
          <w:rStyle w:val="normaltextrun"/>
        </w:rPr>
      </w:pPr>
      <w:r>
        <w:t xml:space="preserve">If the </w:t>
      </w:r>
      <w:r w:rsidR="00951E7D">
        <w:t>ICR</w:t>
      </w:r>
      <w:r>
        <w:t xml:space="preserve"> were to expire, airlines would not </w:t>
      </w:r>
      <w:r w:rsidR="00BE4573">
        <w:t xml:space="preserve">be </w:t>
      </w:r>
      <w:r>
        <w:t xml:space="preserve">legally permitted to collect the DOT </w:t>
      </w:r>
      <w:r w:rsidRPr="00766B82">
        <w:rPr>
          <w:rStyle w:val="normaltextrun"/>
        </w:rPr>
        <w:t>Behavior and Health Attestation Form</w:t>
      </w:r>
      <w:r>
        <w:rPr>
          <w:rStyle w:val="normaltextrun"/>
        </w:rPr>
        <w:t xml:space="preserve"> from passengers traveling with service animals on aircraft</w:t>
      </w:r>
      <w:r w:rsidR="000A43CC">
        <w:rPr>
          <w:rStyle w:val="normaltextrun"/>
        </w:rPr>
        <w:t>, which would cause significant public harm</w:t>
      </w:r>
      <w:r>
        <w:rPr>
          <w:rStyle w:val="normaltextrun"/>
        </w:rPr>
        <w:t xml:space="preserve">.  </w:t>
      </w:r>
      <w:r w:rsidR="000A43CC">
        <w:rPr>
          <w:rStyle w:val="normaltextrun"/>
        </w:rPr>
        <w:t xml:space="preserve">Service animals are transported in the aircraft cabin and airlines are not permitted to require service animals to be transported in a pet carrier. </w:t>
      </w:r>
      <w:r>
        <w:rPr>
          <w:rStyle w:val="normaltextrun"/>
        </w:rPr>
        <w:t xml:space="preserve">The </w:t>
      </w:r>
      <w:r w:rsidR="000A43CC">
        <w:rPr>
          <w:rStyle w:val="normaltextrun"/>
        </w:rPr>
        <w:t xml:space="preserve">health and behavior safety information in the DOT </w:t>
      </w:r>
      <w:r w:rsidRPr="00766B82" w:rsidR="000A43CC">
        <w:rPr>
          <w:rStyle w:val="normaltextrun"/>
        </w:rPr>
        <w:t>Behavior and Health Attestation</w:t>
      </w:r>
      <w:r w:rsidR="000A43CC">
        <w:rPr>
          <w:rStyle w:val="normaltextrun"/>
        </w:rPr>
        <w:t xml:space="preserve"> is vital</w:t>
      </w:r>
      <w:r>
        <w:rPr>
          <w:rStyle w:val="normaltextrun"/>
        </w:rPr>
        <w:t xml:space="preserve"> </w:t>
      </w:r>
      <w:r w:rsidR="000A43CC">
        <w:rPr>
          <w:rStyle w:val="normaltextrun"/>
        </w:rPr>
        <w:t xml:space="preserve">for airlines to </w:t>
      </w:r>
      <w:r>
        <w:rPr>
          <w:rStyle w:val="normaltextrun"/>
        </w:rPr>
        <w:t xml:space="preserve">verify </w:t>
      </w:r>
      <w:r w:rsidR="000A43CC">
        <w:rPr>
          <w:rStyle w:val="normaltextrun"/>
        </w:rPr>
        <w:t xml:space="preserve">that a </w:t>
      </w:r>
      <w:r w:rsidR="00C526AE">
        <w:rPr>
          <w:rStyle w:val="normaltextrun"/>
        </w:rPr>
        <w:t>service</w:t>
      </w:r>
      <w:r w:rsidR="000A43CC">
        <w:rPr>
          <w:rStyle w:val="normaltextrun"/>
        </w:rPr>
        <w:t xml:space="preserve"> animal is </w:t>
      </w:r>
      <w:r w:rsidR="00C526AE">
        <w:rPr>
          <w:rStyle w:val="normaltextrun"/>
        </w:rPr>
        <w:t xml:space="preserve">safe to transport in the cabin </w:t>
      </w:r>
      <w:r w:rsidR="00BE4573">
        <w:rPr>
          <w:rStyle w:val="normaltextrun"/>
        </w:rPr>
        <w:t xml:space="preserve">and that the animal </w:t>
      </w:r>
      <w:r w:rsidR="00C526AE">
        <w:rPr>
          <w:rStyle w:val="normaltextrun"/>
        </w:rPr>
        <w:t>does not</w:t>
      </w:r>
      <w:r>
        <w:rPr>
          <w:rStyle w:val="normaltextrun"/>
        </w:rPr>
        <w:t xml:space="preserve"> pose a threat to the health and safety of passengers, crew, and other during air transportation.  </w:t>
      </w:r>
    </w:p>
    <w:p w:rsidR="004456FE" w:rsidRPr="00FA058E" w:rsidP="004456FE" w14:paraId="453560D0" w14:textId="5BF0E7AF">
      <w:pPr>
        <w:pStyle w:val="paragraph"/>
        <w:textAlignment w:val="baseline"/>
      </w:pPr>
      <w:r w:rsidRPr="007B231B">
        <w:t xml:space="preserve">We have reviewed the requirements for emergency clearance outlined in 5 CFS 1320.13 and </w:t>
      </w:r>
      <w:r w:rsidR="003A1F90">
        <w:t xml:space="preserve">given the substantial public harm that would occur should </w:t>
      </w:r>
      <w:r w:rsidR="00951E7D">
        <w:t xml:space="preserve">this ICR </w:t>
      </w:r>
      <w:r w:rsidR="003A1F90">
        <w:t xml:space="preserve">expire, we </w:t>
      </w:r>
      <w:r w:rsidRPr="007B231B">
        <w:t>believe that the situation meets the criteria outlined therein</w:t>
      </w:r>
      <w:r>
        <w:rPr>
          <w:rStyle w:val="normaltextrun"/>
        </w:rPr>
        <w:t>.  We thus request</w:t>
      </w:r>
      <w:r w:rsidRPr="003A1F90" w:rsidR="003A1F90">
        <w:t xml:space="preserve"> </w:t>
      </w:r>
      <w:r w:rsidR="003A1F90">
        <w:t xml:space="preserve">emergency clearance to </w:t>
      </w:r>
      <w:r w:rsidRPr="00171E70" w:rsidR="003A1F90">
        <w:t>extend</w:t>
      </w:r>
      <w:r w:rsidR="003A1F90">
        <w:t>,</w:t>
      </w:r>
      <w:r w:rsidRPr="00171E70" w:rsidR="003A1F90">
        <w:t xml:space="preserve"> </w:t>
      </w:r>
      <w:r w:rsidR="003A1F90">
        <w:t xml:space="preserve">for six months, </w:t>
      </w:r>
      <w:r w:rsidRPr="00171E70" w:rsidR="003A1F90">
        <w:t xml:space="preserve">the existing </w:t>
      </w:r>
      <w:r w:rsidR="003A1F90">
        <w:t xml:space="preserve">information </w:t>
      </w:r>
      <w:r w:rsidRPr="00171E70" w:rsidR="003A1F90">
        <w:t>collect</w:t>
      </w:r>
      <w:r w:rsidR="003A1F90">
        <w:t>ion</w:t>
      </w:r>
      <w:r w:rsidRPr="00171E70" w:rsidR="003A1F90">
        <w:t xml:space="preserve"> </w:t>
      </w:r>
      <w:r w:rsidRPr="006F60D1" w:rsidR="003A1F90">
        <w:t>under OMB Control N</w:t>
      </w:r>
      <w:r w:rsidR="003A1F90">
        <w:t>umber</w:t>
      </w:r>
      <w:r w:rsidRPr="006F60D1" w:rsidR="003A1F90">
        <w:t xml:space="preserve"> 2105-2576</w:t>
      </w:r>
      <w:r w:rsidR="00C526AE">
        <w:t xml:space="preserve">.  </w:t>
      </w:r>
      <w:r w:rsidR="00C526AE">
        <w:rPr>
          <w:rStyle w:val="normaltextrun"/>
        </w:rPr>
        <w:t xml:space="preserve"> </w:t>
      </w:r>
    </w:p>
    <w:p w:rsidR="00D535EA" w:rsidRPr="004456FE" w:rsidP="004456FE" w14:paraId="551C542E" w14:textId="75B68148"/>
    <w:sectPr w:rsidSect="00D535EA">
      <w:headerReference w:type="even" r:id="rId5"/>
      <w:footerReference w:type="even" r:id="rId6"/>
      <w:headerReference w:type="first" r:id="rId7"/>
      <w:footerReference w:type="first" r:id="rId8"/>
      <w:pgSz w:w="12240" w:h="15840" w:code="1"/>
      <w:pgMar w:top="1440" w:right="1440" w:bottom="180" w:left="1440" w:header="965" w:footer="96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B34" w14:paraId="375306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15B34" w14:paraId="071FC5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B34" w14:paraId="42C9B035" w14:textId="77777777">
    <w:pPr>
      <w:pStyle w:val="Footer"/>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B34" w14:paraId="1F4F9969" w14:textId="77777777">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5B34" w14:paraId="4BBD206B"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B34" w14:paraId="3A02F67E" w14:textId="77777777">
    <w:pPr>
      <w:pStyle w:val="Header"/>
      <w:ind w:left="-720" w:right="-720"/>
      <w:jc w:val="center"/>
    </w:pPr>
    <w:r>
      <w:rPr>
        <w:noProof/>
        <w:lang w:eastAsia="zh-CN" w:bidi="th-TH"/>
      </w:rPr>
      <mc:AlternateContent>
        <mc:Choice Requires="wpc">
          <w:drawing>
            <wp:inline distT="0" distB="0" distL="0" distR="0">
              <wp:extent cx="5895975" cy="962025"/>
              <wp:effectExtent l="0" t="0" r="0" b="0"/>
              <wp:docPr id="25"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pic:pic xmlns:pic="http://schemas.openxmlformats.org/drawingml/2006/picture">
                      <pic:nvPicPr>
                        <pic:cNvPr id="2" name="Picture 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1482725" y="0"/>
                          <a:ext cx="147129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7"/>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2954020" y="0"/>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4436745" y="0"/>
                          <a:ext cx="1459230"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180340"/>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0"/>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1482725" y="180340"/>
                          <a:ext cx="147129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2954020" y="180340"/>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436745" y="180340"/>
                          <a:ext cx="1459230"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360680"/>
                          <a:ext cx="1482725" cy="1924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4"/>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1482725" y="360680"/>
                          <a:ext cx="1471295" cy="1924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2954020" y="360680"/>
                          <a:ext cx="1482725" cy="1924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436745" y="360680"/>
                          <a:ext cx="1459230" cy="1924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553085"/>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1482725" y="553085"/>
                          <a:ext cx="147129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2954020" y="553085"/>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436745" y="553085"/>
                          <a:ext cx="1459230"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733425"/>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2"/>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1482725" y="733425"/>
                          <a:ext cx="147129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3"/>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2954020" y="733425"/>
                          <a:ext cx="1482725"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436745" y="733425"/>
                          <a:ext cx="1459230" cy="1803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913765"/>
                          <a:ext cx="1482725" cy="482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1482725" y="913765"/>
                          <a:ext cx="1471295" cy="482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954020" y="913765"/>
                          <a:ext cx="1482725" cy="482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3417234" name="Picture 2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436745" y="913765"/>
                          <a:ext cx="1459230" cy="482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c:wpc>
                </a:graphicData>
              </a:graphic>
            </wp:inline>
          </w:drawing>
        </mc:Choice>
        <mc:Fallback>
          <w:pict>
            <v:group id="Canvas 4" o:spid="_x0000_i2049" editas="canvas" style="width:464.25pt;height:75.75pt;mso-position-horizontal-relative:char;mso-position-vertical-relative:line" coordsize="58959,9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58959;height:9620;mso-wrap-style:square;position:absolute;visibility:visible">
                <v:fill o:detectmouseclick="t"/>
              </v:shape>
              <v:shape id="Picture 5" o:spid="_x0000_s2051" type="#_x0000_t75" style="width:14827;height:1803;mso-wrap-style:square;position:absolute;visibility:visible">
                <v:imagedata r:id="rId1" o:title=""/>
              </v:shape>
              <v:shape id="Picture 6" o:spid="_x0000_s2052" type="#_x0000_t75" style="width:14713;height:1803;left:14827;mso-wrap-style:square;position:absolute;visibility:visible">
                <v:imagedata r:id="rId2" o:title=""/>
              </v:shape>
              <v:shape id="Picture 7" o:spid="_x0000_s2053" type="#_x0000_t75" style="width:14827;height:1803;left:29540;mso-wrap-style:square;position:absolute;visibility:visible">
                <v:imagedata r:id="rId3" o:title=""/>
              </v:shape>
              <v:shape id="Picture 8" o:spid="_x0000_s2054" type="#_x0000_t75" style="width:14592;height:1803;left:44367;mso-wrap-style:square;position:absolute;visibility:visible">
                <v:imagedata r:id="rId4" o:title=""/>
              </v:shape>
              <v:shape id="Picture 9" o:spid="_x0000_s2055" type="#_x0000_t75" style="width:14827;height:1803;mso-wrap-style:square;position:absolute;top:1803;visibility:visible">
                <v:imagedata r:id="rId5" o:title=""/>
              </v:shape>
              <v:shape id="Picture 10" o:spid="_x0000_s2056" type="#_x0000_t75" style="width:14713;height:1803;left:14827;mso-wrap-style:square;position:absolute;top:1803;visibility:visible">
                <v:imagedata r:id="rId2" o:title=""/>
              </v:shape>
              <v:shape id="Picture 11" o:spid="_x0000_s2057" type="#_x0000_t75" style="width:14827;height:1803;left:29540;mso-wrap-style:square;position:absolute;top:1803;visibility:visible">
                <v:imagedata r:id="rId6" o:title=""/>
              </v:shape>
              <v:shape id="Picture 12" o:spid="_x0000_s2058" type="#_x0000_t75" style="width:14592;height:1803;left:44367;mso-wrap-style:square;position:absolute;top:1803;visibility:visible">
                <v:imagedata r:id="rId7" o:title=""/>
              </v:shape>
              <v:shape id="Picture 13" o:spid="_x0000_s2059" type="#_x0000_t75" style="width:14827;height:1924;mso-wrap-style:square;position:absolute;top:3606;visibility:visible">
                <v:imagedata r:id="rId8" o:title=""/>
              </v:shape>
              <v:shape id="Picture 14" o:spid="_x0000_s2060" type="#_x0000_t75" style="width:14713;height:1924;left:14827;mso-wrap-style:square;position:absolute;top:3606;visibility:visible">
                <v:imagedata r:id="rId2" o:title=""/>
              </v:shape>
              <v:shape id="Picture 15" o:spid="_x0000_s2061" type="#_x0000_t75" style="width:14827;height:1924;left:29540;mso-wrap-style:square;position:absolute;top:3606;visibility:visible">
                <v:imagedata r:id="rId2" o:title=""/>
              </v:shape>
              <v:shape id="Picture 16" o:spid="_x0000_s2062" type="#_x0000_t75" style="width:14592;height:1924;left:44367;mso-wrap-style:square;position:absolute;top:3606;visibility:visible">
                <v:imagedata r:id="rId9" o:title=""/>
              </v:shape>
              <v:shape id="Picture 17" o:spid="_x0000_s2063" type="#_x0000_t75" style="width:14827;height:1804;mso-wrap-style:square;position:absolute;top:5530;visibility:visible">
                <v:imagedata r:id="rId10" o:title=""/>
              </v:shape>
              <v:shape id="Picture 18" o:spid="_x0000_s2064" type="#_x0000_t75" style="width:14713;height:1804;left:14827;mso-wrap-style:square;position:absolute;top:5530;visibility:visible">
                <v:imagedata r:id="rId2" o:title=""/>
              </v:shape>
              <v:shape id="Picture 19" o:spid="_x0000_s2065" type="#_x0000_t75" style="width:14827;height:1804;left:29540;mso-wrap-style:square;position:absolute;top:5530;visibility:visible">
                <v:imagedata r:id="rId2" o:title=""/>
              </v:shape>
              <v:shape id="Picture 20" o:spid="_x0000_s2066" type="#_x0000_t75" style="width:14592;height:1804;left:44367;mso-wrap-style:square;position:absolute;top:5530;visibility:visible">
                <v:imagedata r:id="rId9" o:title=""/>
              </v:shape>
              <v:shape id="Picture 21" o:spid="_x0000_s2067" type="#_x0000_t75" style="width:14827;height:1803;mso-wrap-style:square;position:absolute;top:7334;visibility:visible">
                <v:imagedata r:id="rId11" o:title=""/>
              </v:shape>
              <v:shape id="Picture 22" o:spid="_x0000_s2068" type="#_x0000_t75" style="width:14713;height:1803;left:14827;mso-wrap-style:square;position:absolute;top:7334;visibility:visible">
                <v:imagedata r:id="rId2" o:title=""/>
              </v:shape>
              <v:shape id="Picture 23" o:spid="_x0000_s2069" type="#_x0000_t75" style="width:14827;height:1803;left:29540;mso-wrap-style:square;position:absolute;top:7334;visibility:visible">
                <v:imagedata r:id="rId2" o:title=""/>
              </v:shape>
              <v:shape id="Picture 24" o:spid="_x0000_s2070" type="#_x0000_t75" style="width:14592;height:1803;left:44367;mso-wrap-style:square;position:absolute;top:7334;visibility:visible">
                <v:imagedata r:id="rId9" o:title=""/>
              </v:shape>
              <v:shape id="Picture 25" o:spid="_x0000_s2071" type="#_x0000_t75" style="width:14827;height:483;mso-wrap-style:square;position:absolute;top:9137;visibility:visible">
                <v:imagedata r:id="rId15" o:title=""/>
              </v:shape>
              <v:shape id="Picture 26" o:spid="_x0000_s2072" type="#_x0000_t75" style="width:14713;height:483;left:14827;mso-wrap-style:square;position:absolute;top:9137;visibility:visible">
                <v:imagedata r:id="rId16" o:title=""/>
              </v:shape>
              <v:shape id="Picture 27" o:spid="_x0000_s2073" type="#_x0000_t75" style="width:14827;height:483;left:29540;mso-wrap-style:square;position:absolute;top:9137;visibility:visible">
                <v:imagedata r:id="rId16" o:title=""/>
              </v:shape>
              <v:shape id="Picture 28" o:spid="_x0000_s2074" type="#_x0000_t75" style="width:14592;height:483;left:44367;mso-wrap-style:square;position:absolute;top:9137;visibility:visible">
                <v:imagedata r:id="rId17" o:title=""/>
              </v:shape>
              <w10:wrap type="none"/>
              <w10:anchorlock/>
            </v:group>
          </w:pict>
        </mc:Fallback>
      </mc:AlternateContent>
    </w:r>
  </w:p>
  <w:p w:rsidR="00315B34" w14:paraId="1EB72514" w14:textId="77777777">
    <w:pPr>
      <w:pBdr>
        <w:bottom w:val="single" w:sz="6" w:space="1" w:color="auto"/>
      </w:pBdr>
      <w:ind w:left="-270" w:right="-270"/>
    </w:pPr>
  </w:p>
  <w:p w:rsidR="00315B34" w14:paraId="731639EB" w14:textId="77777777">
    <w:pPr>
      <w:pStyle w:val="Header"/>
      <w:ind w:right="-720"/>
    </w:pPr>
  </w:p>
  <w:tbl>
    <w:tblPr>
      <w:tblW w:w="9612" w:type="dxa"/>
      <w:tblLayout w:type="fixed"/>
      <w:tblCellMar>
        <w:left w:w="72" w:type="dxa"/>
        <w:bottom w:w="288" w:type="dxa"/>
        <w:right w:w="72" w:type="dxa"/>
      </w:tblCellMar>
      <w:tblLook w:val="01E0"/>
    </w:tblPr>
    <w:tblGrid>
      <w:gridCol w:w="800"/>
      <w:gridCol w:w="5392"/>
      <w:gridCol w:w="990"/>
      <w:gridCol w:w="2430"/>
    </w:tblGrid>
    <w:tr w14:paraId="1989960B" w14:textId="77777777" w:rsidTr="00A057A4">
      <w:tblPrEx>
        <w:tblW w:w="9612" w:type="dxa"/>
        <w:tblLayout w:type="fixed"/>
        <w:tblCellMar>
          <w:left w:w="72" w:type="dxa"/>
          <w:bottom w:w="288" w:type="dxa"/>
          <w:right w:w="72" w:type="dxa"/>
        </w:tblCellMar>
        <w:tblLook w:val="01E0"/>
      </w:tblPrEx>
      <w:tc>
        <w:tcPr>
          <w:tcW w:w="800" w:type="dxa"/>
        </w:tcPr>
        <w:p w:rsidR="00315B34" w:rsidRPr="00A057A4" w:rsidP="00A057A4" w14:paraId="36B8DB6A" w14:textId="77777777">
          <w:pPr>
            <w:jc w:val="right"/>
            <w:rPr>
              <w:sz w:val="20"/>
            </w:rPr>
          </w:pPr>
          <w:r w:rsidRPr="00A057A4">
            <w:rPr>
              <w:sz w:val="20"/>
            </w:rPr>
            <w:t>Subject:</w:t>
          </w:r>
        </w:p>
      </w:tc>
      <w:tc>
        <w:tcPr>
          <w:tcW w:w="5392" w:type="dxa"/>
        </w:tcPr>
        <w:p w:rsidR="00315B34" w:rsidRPr="00A057A4" w14:paraId="6CC652D6" w14:textId="11416DFA">
          <w:pPr>
            <w:rPr>
              <w:szCs w:val="24"/>
            </w:rPr>
          </w:pPr>
          <w:r>
            <w:rPr>
              <w:szCs w:val="24"/>
            </w:rPr>
            <w:t>Service Animal Forms Data Collection</w:t>
          </w:r>
        </w:p>
        <w:p w:rsidR="00315B34" w:rsidRPr="00A057A4" w:rsidP="00AB2862" w14:paraId="0F64DA13" w14:textId="4A384C92">
          <w:pPr>
            <w:rPr>
              <w:szCs w:val="24"/>
            </w:rPr>
          </w:pPr>
          <w:r>
            <w:t>Request for Emergency</w:t>
          </w:r>
          <w:r w:rsidR="00384624">
            <w:t xml:space="preserve"> Clearance to Extend the Information Collection</w:t>
          </w:r>
        </w:p>
      </w:tc>
      <w:tc>
        <w:tcPr>
          <w:tcW w:w="990" w:type="dxa"/>
        </w:tcPr>
        <w:p w:rsidR="00315B34" w:rsidRPr="00A057A4" w:rsidP="00A057A4" w14:paraId="2B0EC7F8" w14:textId="77777777">
          <w:pPr>
            <w:jc w:val="right"/>
            <w:rPr>
              <w:sz w:val="20"/>
            </w:rPr>
          </w:pPr>
          <w:r w:rsidRPr="00A057A4">
            <w:rPr>
              <w:sz w:val="20"/>
            </w:rPr>
            <w:t>Date:</w:t>
          </w:r>
        </w:p>
      </w:tc>
      <w:tc>
        <w:tcPr>
          <w:tcW w:w="2430" w:type="dxa"/>
        </w:tcPr>
        <w:p w:rsidR="00315B34" w:rsidRPr="00A057A4" w:rsidP="004B0757" w14:paraId="711A505B" w14:textId="3D455AB8">
          <w:pPr>
            <w:rPr>
              <w:szCs w:val="24"/>
            </w:rPr>
          </w:pPr>
          <w:r>
            <w:rPr>
              <w:szCs w:val="24"/>
            </w:rPr>
            <w:t>December</w:t>
          </w:r>
          <w:r w:rsidR="004C0006">
            <w:rPr>
              <w:szCs w:val="24"/>
            </w:rPr>
            <w:t xml:space="preserve"> XX, 202</w:t>
          </w:r>
          <w:r>
            <w:rPr>
              <w:szCs w:val="24"/>
            </w:rPr>
            <w:t>3</w:t>
          </w:r>
        </w:p>
      </w:tc>
    </w:tr>
    <w:tr w14:paraId="49B9A155" w14:textId="77777777" w:rsidTr="00A057A4">
      <w:tblPrEx>
        <w:tblW w:w="9612" w:type="dxa"/>
        <w:tblLayout w:type="fixed"/>
        <w:tblCellMar>
          <w:left w:w="72" w:type="dxa"/>
          <w:bottom w:w="288" w:type="dxa"/>
          <w:right w:w="72" w:type="dxa"/>
        </w:tblCellMar>
        <w:tblLook w:val="01E0"/>
      </w:tblPrEx>
      <w:tc>
        <w:tcPr>
          <w:tcW w:w="800" w:type="dxa"/>
        </w:tcPr>
        <w:p w:rsidR="00315B34" w:rsidRPr="00A057A4" w:rsidP="00A057A4" w14:paraId="4E4DD586" w14:textId="77777777">
          <w:pPr>
            <w:jc w:val="right"/>
            <w:rPr>
              <w:sz w:val="20"/>
            </w:rPr>
          </w:pPr>
          <w:r w:rsidRPr="00A057A4">
            <w:rPr>
              <w:sz w:val="20"/>
            </w:rPr>
            <w:t>From:</w:t>
          </w:r>
        </w:p>
      </w:tc>
      <w:tc>
        <w:tcPr>
          <w:tcW w:w="5392" w:type="dxa"/>
          <w:tcMar>
            <w:bottom w:w="0" w:type="dxa"/>
          </w:tcMar>
        </w:tcPr>
        <w:p w:rsidR="00315B34" w:rsidRPr="00A057A4" w14:paraId="1B0551FE" w14:textId="2CFE9DBF">
          <w:pPr>
            <w:rPr>
              <w:szCs w:val="24"/>
            </w:rPr>
          </w:pPr>
          <w:r>
            <w:rPr>
              <w:szCs w:val="24"/>
            </w:rPr>
            <w:t>Livaughn Chapman, Jr.</w:t>
          </w:r>
        </w:p>
        <w:p w:rsidR="004C0006" w:rsidP="00A057A4" w14:paraId="36274EB9" w14:textId="053D9850">
          <w:pPr>
            <w:ind w:left="280" w:hanging="280"/>
            <w:rPr>
              <w:szCs w:val="24"/>
            </w:rPr>
          </w:pPr>
          <w:r>
            <w:rPr>
              <w:szCs w:val="24"/>
            </w:rPr>
            <w:t>Deputy Assistant General Counsel</w:t>
          </w:r>
        </w:p>
        <w:p w:rsidR="00315B34" w:rsidRPr="00A057A4" w:rsidP="004C0006" w14:paraId="1D03D3B2" w14:textId="173170C5">
          <w:pPr>
            <w:ind w:left="280" w:hanging="280"/>
            <w:rPr>
              <w:szCs w:val="24"/>
            </w:rPr>
          </w:pPr>
          <w:r>
            <w:rPr>
              <w:szCs w:val="24"/>
            </w:rPr>
            <w:t xml:space="preserve">  Office of </w:t>
          </w:r>
          <w:r w:rsidRPr="00A057A4">
            <w:rPr>
              <w:szCs w:val="24"/>
            </w:rPr>
            <w:t xml:space="preserve">Aviation </w:t>
          </w:r>
          <w:r>
            <w:rPr>
              <w:szCs w:val="24"/>
            </w:rPr>
            <w:t>Consumer Protection</w:t>
          </w:r>
        </w:p>
      </w:tc>
      <w:tc>
        <w:tcPr>
          <w:tcW w:w="990" w:type="dxa"/>
          <w:vMerge w:val="restart"/>
          <w:tcMar>
            <w:bottom w:w="0" w:type="dxa"/>
          </w:tcMar>
        </w:tcPr>
        <w:p w:rsidR="00315B34" w:rsidRPr="00A057A4" w:rsidP="00A057A4" w14:paraId="36DD07E4" w14:textId="77777777">
          <w:pPr>
            <w:jc w:val="right"/>
            <w:rPr>
              <w:sz w:val="20"/>
            </w:rPr>
          </w:pPr>
          <w:r w:rsidRPr="00A057A4">
            <w:rPr>
              <w:sz w:val="20"/>
            </w:rPr>
            <w:t>Reply to:</w:t>
          </w:r>
        </w:p>
      </w:tc>
      <w:tc>
        <w:tcPr>
          <w:tcW w:w="2430" w:type="dxa"/>
          <w:vMerge w:val="restart"/>
          <w:tcMar>
            <w:bottom w:w="0" w:type="dxa"/>
          </w:tcMar>
        </w:tcPr>
        <w:p w:rsidR="00315B34" w:rsidRPr="00A057A4" w14:paraId="58848075" w14:textId="52655DDB">
          <w:pPr>
            <w:rPr>
              <w:szCs w:val="24"/>
            </w:rPr>
          </w:pPr>
          <w:r>
            <w:rPr>
              <w:szCs w:val="24"/>
            </w:rPr>
            <w:t>Maegan</w:t>
          </w:r>
          <w:r w:rsidR="00D535EA">
            <w:rPr>
              <w:szCs w:val="24"/>
            </w:rPr>
            <w:t xml:space="preserve"> </w:t>
          </w:r>
          <w:r>
            <w:rPr>
              <w:szCs w:val="24"/>
            </w:rPr>
            <w:t>Johnson</w:t>
          </w:r>
        </w:p>
        <w:p w:rsidR="00315B34" w:rsidRPr="00A057A4" w:rsidP="00D535EA" w14:paraId="6E40DF0B" w14:textId="5920DF64">
          <w:pPr>
            <w:rPr>
              <w:szCs w:val="24"/>
            </w:rPr>
          </w:pPr>
          <w:r>
            <w:rPr>
              <w:szCs w:val="24"/>
            </w:rPr>
            <w:t>C-70</w:t>
          </w:r>
        </w:p>
      </w:tc>
    </w:tr>
    <w:tr w14:paraId="6269A890" w14:textId="77777777" w:rsidTr="00A057A4">
      <w:tblPrEx>
        <w:tblW w:w="9612" w:type="dxa"/>
        <w:tblLayout w:type="fixed"/>
        <w:tblCellMar>
          <w:left w:w="72" w:type="dxa"/>
          <w:bottom w:w="288" w:type="dxa"/>
          <w:right w:w="72" w:type="dxa"/>
        </w:tblCellMar>
        <w:tblLook w:val="01E0"/>
      </w:tblPrEx>
      <w:trPr>
        <w:trHeight w:val="80"/>
      </w:trPr>
      <w:tc>
        <w:tcPr>
          <w:tcW w:w="800" w:type="dxa"/>
        </w:tcPr>
        <w:p w:rsidR="00315B34" w:rsidRPr="00A057A4" w:rsidP="00A057A4" w14:paraId="716F08ED" w14:textId="77777777">
          <w:pPr>
            <w:jc w:val="right"/>
            <w:rPr>
              <w:sz w:val="20"/>
            </w:rPr>
          </w:pPr>
          <w:r w:rsidRPr="00A057A4">
            <w:rPr>
              <w:sz w:val="20"/>
            </w:rPr>
            <w:t>To:</w:t>
          </w:r>
        </w:p>
      </w:tc>
      <w:tc>
        <w:tcPr>
          <w:tcW w:w="5392" w:type="dxa"/>
        </w:tcPr>
        <w:p w:rsidR="004C0006" w:rsidRPr="00A057A4" w:rsidP="004C0006" w14:paraId="4BB65E23" w14:textId="186069AE">
          <w:pPr>
            <w:rPr>
              <w:szCs w:val="24"/>
            </w:rPr>
          </w:pPr>
          <w:r>
            <w:t>Joseph Nye</w:t>
          </w:r>
        </w:p>
        <w:p w:rsidR="006F60D1" w:rsidP="004C0006" w14:paraId="73342042" w14:textId="77777777">
          <w:pPr>
            <w:rPr>
              <w:szCs w:val="24"/>
            </w:rPr>
          </w:pPr>
          <w:r>
            <w:t>Desk Officer</w:t>
          </w:r>
          <w:r>
            <w:rPr>
              <w:szCs w:val="24"/>
            </w:rPr>
            <w:t xml:space="preserve"> </w:t>
          </w:r>
        </w:p>
        <w:p w:rsidR="006F60D1" w:rsidP="004C0006" w14:paraId="493799C3" w14:textId="77777777">
          <w:pPr>
            <w:rPr>
              <w:szCs w:val="24"/>
            </w:rPr>
          </w:pPr>
          <w:r>
            <w:t>Office of Information and Regulatory Affairs</w:t>
          </w:r>
          <w:r>
            <w:rPr>
              <w:szCs w:val="24"/>
            </w:rPr>
            <w:t xml:space="preserve"> </w:t>
          </w:r>
        </w:p>
        <w:p w:rsidR="00315B34" w:rsidRPr="00A057A4" w:rsidP="004C0006" w14:paraId="5FCF543A" w14:textId="2F523BFE">
          <w:pPr>
            <w:rPr>
              <w:szCs w:val="24"/>
            </w:rPr>
          </w:pPr>
          <w:r>
            <w:t>Office of Management and Budget</w:t>
          </w:r>
        </w:p>
      </w:tc>
      <w:tc>
        <w:tcPr>
          <w:tcW w:w="990" w:type="dxa"/>
          <w:vMerge/>
        </w:tcPr>
        <w:p w:rsidR="00315B34" w14:paraId="2FDF0DB6" w14:textId="77777777"/>
      </w:tc>
      <w:tc>
        <w:tcPr>
          <w:tcW w:w="2430" w:type="dxa"/>
          <w:vMerge/>
        </w:tcPr>
        <w:p w:rsidR="00315B34" w14:paraId="1B1DD463" w14:textId="77777777"/>
      </w:tc>
    </w:tr>
  </w:tbl>
  <w:p w:rsidR="00315B34" w14:paraId="0A748AE9" w14:textId="77777777">
    <w:pPr>
      <w:pStyle w:val="Header"/>
      <w:ind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7B6E"/>
    <w:multiLevelType w:val="hybridMultilevel"/>
    <w:tmpl w:val="D772E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5A19C5"/>
    <w:multiLevelType w:val="hybridMultilevel"/>
    <w:tmpl w:val="8A905DFE"/>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A225BF1"/>
    <w:multiLevelType w:val="hybridMultilevel"/>
    <w:tmpl w:val="B1F82E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8120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817640">
    <w:abstractNumId w:val="2"/>
  </w:num>
  <w:num w:numId="3" w16cid:durableId="1992362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5C"/>
    <w:rsid w:val="0001523E"/>
    <w:rsid w:val="0003426A"/>
    <w:rsid w:val="00036ACA"/>
    <w:rsid w:val="00080F92"/>
    <w:rsid w:val="000967F3"/>
    <w:rsid w:val="000A199B"/>
    <w:rsid w:val="000A43CC"/>
    <w:rsid w:val="000A794F"/>
    <w:rsid w:val="000D0559"/>
    <w:rsid w:val="000D39BD"/>
    <w:rsid w:val="000D3C7D"/>
    <w:rsid w:val="000E4A24"/>
    <w:rsid w:val="001164A4"/>
    <w:rsid w:val="00136006"/>
    <w:rsid w:val="00151DF8"/>
    <w:rsid w:val="00154A0E"/>
    <w:rsid w:val="00161E76"/>
    <w:rsid w:val="00162292"/>
    <w:rsid w:val="00171D58"/>
    <w:rsid w:val="00171E70"/>
    <w:rsid w:val="00173741"/>
    <w:rsid w:val="00190ADC"/>
    <w:rsid w:val="001A3E1F"/>
    <w:rsid w:val="001B06C2"/>
    <w:rsid w:val="001C1E18"/>
    <w:rsid w:val="001C339C"/>
    <w:rsid w:val="001C726B"/>
    <w:rsid w:val="001D100E"/>
    <w:rsid w:val="001E7673"/>
    <w:rsid w:val="001F4623"/>
    <w:rsid w:val="001F690B"/>
    <w:rsid w:val="001F74A7"/>
    <w:rsid w:val="001F74AB"/>
    <w:rsid w:val="00201B9A"/>
    <w:rsid w:val="00211111"/>
    <w:rsid w:val="0022089E"/>
    <w:rsid w:val="002262A4"/>
    <w:rsid w:val="0023783C"/>
    <w:rsid w:val="00240770"/>
    <w:rsid w:val="00242143"/>
    <w:rsid w:val="00257298"/>
    <w:rsid w:val="00261897"/>
    <w:rsid w:val="00263C05"/>
    <w:rsid w:val="00264014"/>
    <w:rsid w:val="00274BB3"/>
    <w:rsid w:val="00285889"/>
    <w:rsid w:val="0028671A"/>
    <w:rsid w:val="0029005E"/>
    <w:rsid w:val="002971A8"/>
    <w:rsid w:val="002A1542"/>
    <w:rsid w:val="002C3D59"/>
    <w:rsid w:val="002F3521"/>
    <w:rsid w:val="00310EB7"/>
    <w:rsid w:val="00315B34"/>
    <w:rsid w:val="0034289B"/>
    <w:rsid w:val="00343997"/>
    <w:rsid w:val="00355982"/>
    <w:rsid w:val="003619D7"/>
    <w:rsid w:val="0037280B"/>
    <w:rsid w:val="00375417"/>
    <w:rsid w:val="0037646F"/>
    <w:rsid w:val="00384624"/>
    <w:rsid w:val="003903E3"/>
    <w:rsid w:val="00390F98"/>
    <w:rsid w:val="00397A7A"/>
    <w:rsid w:val="003A1F90"/>
    <w:rsid w:val="003A7923"/>
    <w:rsid w:val="003C22DF"/>
    <w:rsid w:val="003C3517"/>
    <w:rsid w:val="003C5B54"/>
    <w:rsid w:val="003E16F2"/>
    <w:rsid w:val="003E4BF7"/>
    <w:rsid w:val="00405229"/>
    <w:rsid w:val="00410908"/>
    <w:rsid w:val="00435B4A"/>
    <w:rsid w:val="004456FE"/>
    <w:rsid w:val="0044636D"/>
    <w:rsid w:val="00452132"/>
    <w:rsid w:val="00456650"/>
    <w:rsid w:val="0046717E"/>
    <w:rsid w:val="00482A7D"/>
    <w:rsid w:val="004871BB"/>
    <w:rsid w:val="00495CF9"/>
    <w:rsid w:val="004B0757"/>
    <w:rsid w:val="004B07D5"/>
    <w:rsid w:val="004B0B54"/>
    <w:rsid w:val="004B7E74"/>
    <w:rsid w:val="004C0006"/>
    <w:rsid w:val="004C16E1"/>
    <w:rsid w:val="004D01FE"/>
    <w:rsid w:val="004D6D6F"/>
    <w:rsid w:val="004D6E44"/>
    <w:rsid w:val="004E2769"/>
    <w:rsid w:val="004E2F67"/>
    <w:rsid w:val="004E3D14"/>
    <w:rsid w:val="004E463B"/>
    <w:rsid w:val="0050385F"/>
    <w:rsid w:val="00505CEA"/>
    <w:rsid w:val="00523C57"/>
    <w:rsid w:val="00531ECA"/>
    <w:rsid w:val="00540257"/>
    <w:rsid w:val="00540DB1"/>
    <w:rsid w:val="005447B6"/>
    <w:rsid w:val="00551CE6"/>
    <w:rsid w:val="005677B1"/>
    <w:rsid w:val="00571874"/>
    <w:rsid w:val="0058539D"/>
    <w:rsid w:val="00586688"/>
    <w:rsid w:val="0058702C"/>
    <w:rsid w:val="005924A6"/>
    <w:rsid w:val="005B6EA0"/>
    <w:rsid w:val="005B74B7"/>
    <w:rsid w:val="005C5658"/>
    <w:rsid w:val="005C6136"/>
    <w:rsid w:val="005F77C3"/>
    <w:rsid w:val="00611DAA"/>
    <w:rsid w:val="006409C9"/>
    <w:rsid w:val="006428F3"/>
    <w:rsid w:val="0065430A"/>
    <w:rsid w:val="00664622"/>
    <w:rsid w:val="00692226"/>
    <w:rsid w:val="00696147"/>
    <w:rsid w:val="00697556"/>
    <w:rsid w:val="006A40B8"/>
    <w:rsid w:val="006A625C"/>
    <w:rsid w:val="006F60D1"/>
    <w:rsid w:val="006F709C"/>
    <w:rsid w:val="00712765"/>
    <w:rsid w:val="0071388D"/>
    <w:rsid w:val="00715FAC"/>
    <w:rsid w:val="00724FBD"/>
    <w:rsid w:val="0075194D"/>
    <w:rsid w:val="00766B82"/>
    <w:rsid w:val="007853A2"/>
    <w:rsid w:val="00796360"/>
    <w:rsid w:val="007A43D8"/>
    <w:rsid w:val="007B231B"/>
    <w:rsid w:val="007B7E8A"/>
    <w:rsid w:val="007C58F7"/>
    <w:rsid w:val="007D678F"/>
    <w:rsid w:val="007D77C2"/>
    <w:rsid w:val="007F32D6"/>
    <w:rsid w:val="008342F7"/>
    <w:rsid w:val="00835D5C"/>
    <w:rsid w:val="008465F0"/>
    <w:rsid w:val="008550C1"/>
    <w:rsid w:val="00857436"/>
    <w:rsid w:val="00857D6C"/>
    <w:rsid w:val="00887B16"/>
    <w:rsid w:val="008A4343"/>
    <w:rsid w:val="008B753D"/>
    <w:rsid w:val="008F4E1D"/>
    <w:rsid w:val="009109AB"/>
    <w:rsid w:val="00912C6B"/>
    <w:rsid w:val="00925175"/>
    <w:rsid w:val="00937AEE"/>
    <w:rsid w:val="00951E7D"/>
    <w:rsid w:val="009555DF"/>
    <w:rsid w:val="00955CC5"/>
    <w:rsid w:val="009601C0"/>
    <w:rsid w:val="009631BE"/>
    <w:rsid w:val="009707D3"/>
    <w:rsid w:val="0099620E"/>
    <w:rsid w:val="009A7CF3"/>
    <w:rsid w:val="009C6251"/>
    <w:rsid w:val="009E0E2F"/>
    <w:rsid w:val="009F1D94"/>
    <w:rsid w:val="009F4A3B"/>
    <w:rsid w:val="009F5B43"/>
    <w:rsid w:val="00A0510D"/>
    <w:rsid w:val="00A057A4"/>
    <w:rsid w:val="00A12567"/>
    <w:rsid w:val="00A14254"/>
    <w:rsid w:val="00A27FCC"/>
    <w:rsid w:val="00A32B96"/>
    <w:rsid w:val="00A35674"/>
    <w:rsid w:val="00A41414"/>
    <w:rsid w:val="00A44A3F"/>
    <w:rsid w:val="00A459AE"/>
    <w:rsid w:val="00A5258D"/>
    <w:rsid w:val="00A67308"/>
    <w:rsid w:val="00A71DEA"/>
    <w:rsid w:val="00A92A6E"/>
    <w:rsid w:val="00AA23C8"/>
    <w:rsid w:val="00AA32DD"/>
    <w:rsid w:val="00AB2862"/>
    <w:rsid w:val="00AC13AA"/>
    <w:rsid w:val="00AD1E29"/>
    <w:rsid w:val="00AE2C85"/>
    <w:rsid w:val="00AE70D5"/>
    <w:rsid w:val="00B01037"/>
    <w:rsid w:val="00B04738"/>
    <w:rsid w:val="00B06459"/>
    <w:rsid w:val="00B125E6"/>
    <w:rsid w:val="00B20487"/>
    <w:rsid w:val="00B33ABD"/>
    <w:rsid w:val="00B371C4"/>
    <w:rsid w:val="00B4245D"/>
    <w:rsid w:val="00B55DB8"/>
    <w:rsid w:val="00B84DE7"/>
    <w:rsid w:val="00B920E8"/>
    <w:rsid w:val="00B9577A"/>
    <w:rsid w:val="00B97D7A"/>
    <w:rsid w:val="00BA1224"/>
    <w:rsid w:val="00BA30A3"/>
    <w:rsid w:val="00BA7C20"/>
    <w:rsid w:val="00BB7019"/>
    <w:rsid w:val="00BB7254"/>
    <w:rsid w:val="00BC4973"/>
    <w:rsid w:val="00BD62E0"/>
    <w:rsid w:val="00BE4573"/>
    <w:rsid w:val="00BE5DB9"/>
    <w:rsid w:val="00BE7AB0"/>
    <w:rsid w:val="00BF355E"/>
    <w:rsid w:val="00C1148A"/>
    <w:rsid w:val="00C17B94"/>
    <w:rsid w:val="00C40DA8"/>
    <w:rsid w:val="00C526AE"/>
    <w:rsid w:val="00C55A9F"/>
    <w:rsid w:val="00C670F9"/>
    <w:rsid w:val="00C734AB"/>
    <w:rsid w:val="00C7417C"/>
    <w:rsid w:val="00C768FC"/>
    <w:rsid w:val="00C85314"/>
    <w:rsid w:val="00CC13A0"/>
    <w:rsid w:val="00CC3FF0"/>
    <w:rsid w:val="00CE01D6"/>
    <w:rsid w:val="00CF0AD8"/>
    <w:rsid w:val="00CF1D73"/>
    <w:rsid w:val="00CF2E3E"/>
    <w:rsid w:val="00D0146A"/>
    <w:rsid w:val="00D021B9"/>
    <w:rsid w:val="00D10A40"/>
    <w:rsid w:val="00D10F85"/>
    <w:rsid w:val="00D44B91"/>
    <w:rsid w:val="00D5220F"/>
    <w:rsid w:val="00D535EA"/>
    <w:rsid w:val="00D65E2D"/>
    <w:rsid w:val="00D72317"/>
    <w:rsid w:val="00D7403A"/>
    <w:rsid w:val="00D80A32"/>
    <w:rsid w:val="00D8251F"/>
    <w:rsid w:val="00D97305"/>
    <w:rsid w:val="00DC1F1D"/>
    <w:rsid w:val="00DC37D8"/>
    <w:rsid w:val="00DD6C1D"/>
    <w:rsid w:val="00DE0AB7"/>
    <w:rsid w:val="00DF3950"/>
    <w:rsid w:val="00E017EF"/>
    <w:rsid w:val="00E01E33"/>
    <w:rsid w:val="00E025B5"/>
    <w:rsid w:val="00E204A0"/>
    <w:rsid w:val="00E21A23"/>
    <w:rsid w:val="00E27176"/>
    <w:rsid w:val="00E360A6"/>
    <w:rsid w:val="00E40EBC"/>
    <w:rsid w:val="00E458D5"/>
    <w:rsid w:val="00E50CCB"/>
    <w:rsid w:val="00E5479B"/>
    <w:rsid w:val="00E819E2"/>
    <w:rsid w:val="00E84E8F"/>
    <w:rsid w:val="00EA1EFA"/>
    <w:rsid w:val="00EA32C7"/>
    <w:rsid w:val="00EA50D7"/>
    <w:rsid w:val="00EB374F"/>
    <w:rsid w:val="00EB5404"/>
    <w:rsid w:val="00EC2338"/>
    <w:rsid w:val="00EC45B5"/>
    <w:rsid w:val="00ED6CFA"/>
    <w:rsid w:val="00EE0B5E"/>
    <w:rsid w:val="00EF4EAB"/>
    <w:rsid w:val="00F05E87"/>
    <w:rsid w:val="00F13AAA"/>
    <w:rsid w:val="00F14B10"/>
    <w:rsid w:val="00F54A89"/>
    <w:rsid w:val="00F62555"/>
    <w:rsid w:val="00F64A9D"/>
    <w:rsid w:val="00F67B23"/>
    <w:rsid w:val="00F91F34"/>
    <w:rsid w:val="00F94113"/>
    <w:rsid w:val="00F96F78"/>
    <w:rsid w:val="00FA058E"/>
    <w:rsid w:val="00FA7042"/>
    <w:rsid w:val="00FB173B"/>
    <w:rsid w:val="00FD0760"/>
    <w:rsid w:val="00FD20E2"/>
    <w:rsid w:val="00FD4227"/>
    <w:rsid w:val="00FE17B3"/>
    <w:rsid w:val="00FE2A40"/>
    <w:rsid w:val="00FF2813"/>
    <w:rsid w:val="00FF31C7"/>
    <w:rsid w:val="00FF7EC4"/>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14:docId w14:val="6E0DA106"/>
  <w15:docId w15:val="{718BE314-83DC-4EDB-9D56-263497EC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6ACA"/>
    <w:rPr>
      <w:sz w:val="24"/>
    </w:rPr>
  </w:style>
  <w:style w:type="paragraph" w:styleId="Heading1">
    <w:name w:val="heading 1"/>
    <w:basedOn w:val="BodyText"/>
    <w:next w:val="BodyText"/>
    <w:qFormat/>
    <w:rsid w:val="00036ACA"/>
    <w:pPr>
      <w:keepNext/>
      <w:keepLines/>
      <w:ind w:firstLine="0"/>
      <w:outlineLvl w:val="0"/>
    </w:pPr>
    <w:rPr>
      <w:b/>
      <w:caps/>
    </w:rPr>
  </w:style>
  <w:style w:type="paragraph" w:styleId="Heading2">
    <w:name w:val="heading 2"/>
    <w:basedOn w:val="BodyText"/>
    <w:next w:val="BodyText"/>
    <w:qFormat/>
    <w:rsid w:val="00036ACA"/>
    <w:pPr>
      <w:keepNext/>
      <w:keepLines/>
      <w:ind w:firstLine="0"/>
      <w:outlineLvl w:val="1"/>
    </w:pPr>
    <w:rPr>
      <w:b/>
    </w:rPr>
  </w:style>
  <w:style w:type="paragraph" w:styleId="Heading3">
    <w:name w:val="heading 3"/>
    <w:basedOn w:val="Normal"/>
    <w:next w:val="BodyText"/>
    <w:qFormat/>
    <w:rsid w:val="00036ACA"/>
    <w:pPr>
      <w:keepNext/>
      <w:keepLines/>
      <w:spacing w:after="240"/>
      <w:jc w:val="both"/>
      <w:outlineLvl w:val="2"/>
    </w:pPr>
    <w:rPr>
      <w:b/>
      <w:i/>
    </w:rPr>
  </w:style>
  <w:style w:type="paragraph" w:styleId="Heading4">
    <w:name w:val="heading 4"/>
    <w:basedOn w:val="BodyText"/>
    <w:next w:val="BodyText"/>
    <w:qFormat/>
    <w:rsid w:val="00036ACA"/>
    <w:pPr>
      <w:keepNext/>
      <w:keepLines/>
      <w:ind w:firstLine="0"/>
      <w:outlineLvl w:val="3"/>
    </w:pPr>
    <w:rPr>
      <w:i/>
    </w:rPr>
  </w:style>
  <w:style w:type="paragraph" w:styleId="Heading5">
    <w:name w:val="heading 5"/>
    <w:basedOn w:val="BodyText"/>
    <w:next w:val="BodyText"/>
    <w:qFormat/>
    <w:rsid w:val="00036ACA"/>
    <w:pPr>
      <w:keepNext/>
      <w:keepLines/>
      <w:ind w:firstLine="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6ACA"/>
    <w:pPr>
      <w:spacing w:after="240"/>
      <w:ind w:firstLine="720"/>
      <w:jc w:val="both"/>
    </w:pPr>
  </w:style>
  <w:style w:type="paragraph" w:styleId="BlockText">
    <w:name w:val="Block Text"/>
    <w:basedOn w:val="BodyText"/>
    <w:rsid w:val="00036ACA"/>
    <w:pPr>
      <w:ind w:left="720" w:right="720"/>
    </w:pPr>
  </w:style>
  <w:style w:type="paragraph" w:customStyle="1" w:styleId="Enclosure">
    <w:name w:val="Enclosure"/>
    <w:basedOn w:val="BodyText"/>
    <w:next w:val="Normal"/>
    <w:rsid w:val="00036ACA"/>
    <w:pPr>
      <w:keepLines/>
      <w:spacing w:before="220"/>
      <w:ind w:firstLine="0"/>
    </w:pPr>
  </w:style>
  <w:style w:type="paragraph" w:styleId="Footer">
    <w:name w:val="footer"/>
    <w:basedOn w:val="Normal"/>
    <w:rsid w:val="00036ACA"/>
    <w:pPr>
      <w:tabs>
        <w:tab w:val="left" w:pos="360"/>
      </w:tabs>
      <w:jc w:val="both"/>
    </w:pPr>
  </w:style>
  <w:style w:type="paragraph" w:styleId="Header">
    <w:name w:val="header"/>
    <w:basedOn w:val="Normal"/>
    <w:link w:val="HeaderChar"/>
    <w:uiPriority w:val="99"/>
    <w:rsid w:val="00036ACA"/>
    <w:pPr>
      <w:keepLines/>
      <w:jc w:val="both"/>
    </w:pPr>
  </w:style>
  <w:style w:type="paragraph" w:styleId="MessageHeader">
    <w:name w:val="Message Header"/>
    <w:basedOn w:val="BodyText"/>
    <w:rsid w:val="00036ACA"/>
    <w:pPr>
      <w:keepLines/>
      <w:spacing w:after="120"/>
      <w:ind w:left="1440" w:hanging="1440"/>
      <w:jc w:val="left"/>
    </w:pPr>
    <w:rPr>
      <w:kern w:val="20"/>
    </w:rPr>
  </w:style>
  <w:style w:type="table" w:styleId="TableGrid">
    <w:name w:val="Table Grid"/>
    <w:basedOn w:val="TableNormal"/>
    <w:rsid w:val="0003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036ACA"/>
    <w:pPr>
      <w:ind w:left="720"/>
    </w:pPr>
  </w:style>
  <w:style w:type="character" w:styleId="PageNumber">
    <w:name w:val="page number"/>
    <w:rsid w:val="00036ACA"/>
  </w:style>
  <w:style w:type="paragraph" w:styleId="Signature">
    <w:name w:val="Signature"/>
    <w:basedOn w:val="BodyText"/>
    <w:next w:val="Normal"/>
    <w:rsid w:val="00036ACA"/>
    <w:pPr>
      <w:keepNext/>
      <w:keepLines/>
      <w:spacing w:before="660" w:after="0"/>
    </w:pPr>
  </w:style>
  <w:style w:type="paragraph" w:customStyle="1" w:styleId="SignatureJobTitle">
    <w:name w:val="Signature Job Title"/>
    <w:basedOn w:val="Signature"/>
    <w:next w:val="Normal"/>
    <w:rsid w:val="00036ACA"/>
    <w:pPr>
      <w:spacing w:before="0"/>
      <w:ind w:firstLine="0"/>
    </w:pPr>
  </w:style>
  <w:style w:type="paragraph" w:customStyle="1" w:styleId="SignatureName">
    <w:name w:val="Signature Name"/>
    <w:basedOn w:val="Signature"/>
    <w:next w:val="SignatureJobTitle"/>
    <w:rsid w:val="00036ACA"/>
    <w:pPr>
      <w:ind w:firstLine="0"/>
    </w:pPr>
  </w:style>
  <w:style w:type="paragraph" w:styleId="FootnoteText">
    <w:name w:val="footnote text"/>
    <w:basedOn w:val="Normal"/>
    <w:link w:val="FootnoteTextChar"/>
    <w:uiPriority w:val="99"/>
    <w:rsid w:val="00036ACA"/>
    <w:pPr>
      <w:jc w:val="both"/>
    </w:pPr>
    <w:rPr>
      <w:sz w:val="20"/>
    </w:rPr>
  </w:style>
  <w:style w:type="character" w:styleId="FootnoteReference">
    <w:name w:val="footnote reference"/>
    <w:aliases w:val="Footd"/>
    <w:basedOn w:val="DefaultParagraphFont"/>
    <w:uiPriority w:val="99"/>
    <w:rsid w:val="00036ACA"/>
    <w:rPr>
      <w:vertAlign w:val="superscript"/>
    </w:rPr>
  </w:style>
  <w:style w:type="paragraph" w:styleId="BalloonText">
    <w:name w:val="Balloon Text"/>
    <w:basedOn w:val="Normal"/>
    <w:semiHidden/>
    <w:rsid w:val="00925175"/>
    <w:rPr>
      <w:rFonts w:ascii="Tahoma" w:hAnsi="Tahoma" w:cs="Tahoma"/>
      <w:sz w:val="16"/>
      <w:szCs w:val="16"/>
    </w:rPr>
  </w:style>
  <w:style w:type="paragraph" w:styleId="ListParagraph">
    <w:name w:val="List Paragraph"/>
    <w:basedOn w:val="Normal"/>
    <w:uiPriority w:val="99"/>
    <w:qFormat/>
    <w:rsid w:val="00DD6C1D"/>
    <w:pPr>
      <w:ind w:left="720"/>
    </w:pPr>
    <w:rPr>
      <w:rFonts w:ascii="Calibri" w:hAnsi="Calibri" w:eastAsiaTheme="minorHAnsi" w:cs="Calibri"/>
      <w:sz w:val="22"/>
      <w:szCs w:val="22"/>
    </w:rPr>
  </w:style>
  <w:style w:type="paragraph" w:styleId="NoSpacing">
    <w:name w:val="No Spacing"/>
    <w:basedOn w:val="Normal"/>
    <w:uiPriority w:val="1"/>
    <w:qFormat/>
    <w:rsid w:val="001164A4"/>
    <w:rPr>
      <w:rFonts w:ascii="Calibri" w:hAnsi="Calibri" w:eastAsiaTheme="minorEastAsia"/>
      <w:sz w:val="22"/>
      <w:szCs w:val="22"/>
    </w:rPr>
  </w:style>
  <w:style w:type="character" w:customStyle="1" w:styleId="DeltaViewInsertion">
    <w:name w:val="DeltaView Insertion"/>
    <w:uiPriority w:val="99"/>
    <w:rsid w:val="001B06C2"/>
    <w:rPr>
      <w:color w:val="0000FF"/>
      <w:u w:val="double"/>
    </w:rPr>
  </w:style>
  <w:style w:type="character" w:customStyle="1" w:styleId="HeaderChar">
    <w:name w:val="Header Char"/>
    <w:basedOn w:val="DefaultParagraphFont"/>
    <w:link w:val="Header"/>
    <w:uiPriority w:val="99"/>
    <w:locked/>
    <w:rsid w:val="00274BB3"/>
    <w:rPr>
      <w:sz w:val="24"/>
    </w:rPr>
  </w:style>
  <w:style w:type="character" w:customStyle="1" w:styleId="FootnoteTextChar">
    <w:name w:val="Footnote Text Char"/>
    <w:basedOn w:val="DefaultParagraphFont"/>
    <w:link w:val="FootnoteText"/>
    <w:uiPriority w:val="99"/>
    <w:locked/>
    <w:rsid w:val="00274BB3"/>
  </w:style>
  <w:style w:type="paragraph" w:styleId="PlainText">
    <w:name w:val="Plain Text"/>
    <w:basedOn w:val="Normal"/>
    <w:link w:val="PlainTextChar"/>
    <w:uiPriority w:val="99"/>
    <w:rsid w:val="00274BB3"/>
    <w:rPr>
      <w:rFonts w:ascii="Courier New" w:hAnsi="Courier New" w:cs="Courier New"/>
      <w:sz w:val="20"/>
    </w:rPr>
  </w:style>
  <w:style w:type="character" w:customStyle="1" w:styleId="PlainTextChar">
    <w:name w:val="Plain Text Char"/>
    <w:basedOn w:val="DefaultParagraphFont"/>
    <w:link w:val="PlainText"/>
    <w:uiPriority w:val="99"/>
    <w:rsid w:val="00274BB3"/>
    <w:rPr>
      <w:rFonts w:ascii="Courier New" w:hAnsi="Courier New" w:cs="Courier New"/>
    </w:rPr>
  </w:style>
  <w:style w:type="character" w:styleId="Hyperlink">
    <w:name w:val="Hyperlink"/>
    <w:basedOn w:val="DefaultParagraphFont"/>
    <w:uiPriority w:val="99"/>
    <w:rsid w:val="00274BB3"/>
    <w:rPr>
      <w:color w:val="0000FF"/>
      <w:u w:val="single"/>
    </w:rPr>
  </w:style>
  <w:style w:type="paragraph" w:customStyle="1" w:styleId="Default">
    <w:name w:val="Default"/>
    <w:rsid w:val="00274BB3"/>
    <w:pPr>
      <w:widowControl w:val="0"/>
      <w:autoSpaceDE w:val="0"/>
      <w:autoSpaceDN w:val="0"/>
      <w:adjustRightInd w:val="0"/>
    </w:pPr>
    <w:rPr>
      <w:rFonts w:ascii="New York" w:hAnsi="New York" w:cs="New York"/>
      <w:color w:val="000000"/>
      <w:sz w:val="24"/>
      <w:szCs w:val="24"/>
    </w:rPr>
  </w:style>
  <w:style w:type="paragraph" w:customStyle="1" w:styleId="paragraph">
    <w:name w:val="paragraph"/>
    <w:basedOn w:val="Normal"/>
    <w:rsid w:val="004456FE"/>
    <w:pPr>
      <w:spacing w:before="100" w:beforeAutospacing="1" w:after="100" w:afterAutospacing="1"/>
    </w:pPr>
    <w:rPr>
      <w:szCs w:val="24"/>
    </w:rPr>
  </w:style>
  <w:style w:type="character" w:customStyle="1" w:styleId="normaltextrun">
    <w:name w:val="normaltextrun"/>
    <w:basedOn w:val="DefaultParagraphFont"/>
    <w:rsid w:val="004456FE"/>
  </w:style>
  <w:style w:type="character" w:customStyle="1" w:styleId="eop">
    <w:name w:val="eop"/>
    <w:basedOn w:val="DefaultParagraphFont"/>
    <w:rsid w:val="004456FE"/>
  </w:style>
  <w:style w:type="paragraph" w:styleId="Revision">
    <w:name w:val="Revision"/>
    <w:hidden/>
    <w:uiPriority w:val="99"/>
    <w:semiHidden/>
    <w:rsid w:val="00951E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10" Type="http://schemas.openxmlformats.org/officeDocument/2006/relationships/image" Target="media/image10.png" /><Relationship Id="rId11" Type="http://schemas.openxmlformats.org/officeDocument/2006/relationships/image" Target="media/image11.png" /><Relationship Id="rId12" Type="http://schemas.openxmlformats.org/officeDocument/2006/relationships/image" Target="media/image12.gif" /><Relationship Id="rId13" Type="http://schemas.openxmlformats.org/officeDocument/2006/relationships/image" Target="media/image13.gif" /><Relationship Id="rId14" Type="http://schemas.openxmlformats.org/officeDocument/2006/relationships/image" Target="media/image14.gif" /><Relationship Id="rId15" Type="http://schemas.openxmlformats.org/officeDocument/2006/relationships/image" Target="media/image15.png" /><Relationship Id="rId16" Type="http://schemas.openxmlformats.org/officeDocument/2006/relationships/image" Target="media/image16.png" /><Relationship Id="rId17" Type="http://schemas.openxmlformats.org/officeDocument/2006/relationships/image" Target="media/image17.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 Id="rId7" Type="http://schemas.openxmlformats.org/officeDocument/2006/relationships/image" Target="media/image7.png" /><Relationship Id="rId8" Type="http://schemas.openxmlformats.org/officeDocument/2006/relationships/image" Target="media/image8.png" /><Relationship Id="rId9" Type="http://schemas.openxmlformats.org/officeDocument/2006/relationships/image" Target="media/image9.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avid.foss\Application%20Data\Microsoft\Templates\DOT%20C-10%20Memo.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8741-138A-4A84-8519-A1902B9C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C-10 Memo.dot</Template>
  <TotalTime>7</TotalTime>
  <Pages>2</Pages>
  <Words>722</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DOT Memo</vt:lpstr>
    </vt:vector>
  </TitlesOfParts>
  <Company>DOT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Memo</dc:title>
  <dc:subject>Department of Transportation Memorandum</dc:subject>
  <dc:creator>David.Foss</dc:creator>
  <cp:lastModifiedBy>Chapman, Livaughn (OST)</cp:lastModifiedBy>
  <cp:revision>2</cp:revision>
  <cp:lastPrinted>2023-12-20T22:17:00Z</cp:lastPrinted>
  <dcterms:created xsi:type="dcterms:W3CDTF">2023-12-20T22:24:00Z</dcterms:created>
  <dcterms:modified xsi:type="dcterms:W3CDTF">2023-12-20T22:24:00Z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1033</vt:i4>
  </property>
  <property fmtid="{D5CDD505-2E9C-101B-9397-08002B2CF9AE}" pid="3" name="UseDefaultLanguage">
    <vt:bool>true</vt:bool>
  </property>
  <property fmtid="{D5CDD505-2E9C-101B-9397-08002B2CF9AE}" pid="4" name="Version">
    <vt:i4>99022200</vt:i4>
  </property>
</Properties>
</file>