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4390" w:rsidRPr="00AB74A8" w:rsidP="00674390" w14:paraId="6B1BE145" w14:textId="5DD7ABAE">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Pr="00AB74A8">
        <w:rPr>
          <w:b/>
        </w:rPr>
        <w:t>2700-0159</w:t>
      </w:r>
      <w:r w:rsidR="009F0C65">
        <w:rPr>
          <w:b/>
        </w:rPr>
        <w:t>, expiration 0</w:t>
      </w:r>
      <w:r w:rsidR="0040717D">
        <w:rPr>
          <w:b/>
        </w:rPr>
        <w:t>9</w:t>
      </w:r>
      <w:r w:rsidR="009F0C65">
        <w:rPr>
          <w:b/>
        </w:rPr>
        <w:t>/30</w:t>
      </w:r>
      <w:r w:rsidR="00546DEB">
        <w:rPr>
          <w:b/>
        </w:rPr>
        <w:t>/20</w:t>
      </w:r>
      <w:r w:rsidR="009F0C65">
        <w:rPr>
          <w:b/>
        </w:rPr>
        <w:t>2</w:t>
      </w:r>
      <w:r w:rsidR="0040717D">
        <w:rPr>
          <w:b/>
        </w:rPr>
        <w:t>4</w:t>
      </w:r>
    </w:p>
    <w:p w:rsidR="00674390" w:rsidRPr="00AB74A8" w:rsidP="00674390" w14:paraId="279E14CC" w14:textId="77777777">
      <w:r w:rsidRPr="00AB74A8">
        <w:t>_____________________________________________________________________________________</w:t>
      </w:r>
    </w:p>
    <w:p w:rsidR="002B2B85" w:rsidRPr="002B2B85" w:rsidP="002B2B85" w14:paraId="76908BFB" w14:textId="77777777">
      <w:pPr>
        <w:pStyle w:val="ListParagraph"/>
        <w:ind w:left="288"/>
        <w:rPr>
          <w:rFonts w:ascii="ArialMT" w:hAnsi="ArialMT" w:cs="ArialMT"/>
          <w:sz w:val="17"/>
          <w:szCs w:val="17"/>
        </w:rPr>
      </w:pPr>
    </w:p>
    <w:p w:rsidR="00CB2B53" w:rsidRPr="00CB2B53" w:rsidP="00BF134E" w14:paraId="22570D07" w14:textId="77777777">
      <w:pPr>
        <w:pStyle w:val="ListParagraph"/>
        <w:numPr>
          <w:ilvl w:val="0"/>
          <w:numId w:val="3"/>
        </w:numPr>
        <w:rPr>
          <w:rFonts w:asciiTheme="minorHAnsi" w:hAnsiTheme="minorHAnsi" w:cs="ArialMT"/>
        </w:rPr>
      </w:pPr>
      <w:r w:rsidRPr="007C21DC">
        <w:rPr>
          <w:b/>
        </w:rPr>
        <w:t>TITLE OF INFORMATION COLLECTION:</w:t>
      </w:r>
      <w:r w:rsidR="0088545C">
        <w:rPr>
          <w:b/>
        </w:rPr>
        <w:t xml:space="preserve"> </w:t>
      </w:r>
    </w:p>
    <w:p w:rsidR="0073262B" w:rsidP="00CB2B53" w14:paraId="009B8E4D" w14:textId="22F77012">
      <w:pPr>
        <w:pStyle w:val="ListParagraph"/>
        <w:ind w:left="288"/>
        <w:rPr>
          <w:rFonts w:asciiTheme="minorHAnsi" w:hAnsiTheme="minorHAnsi" w:cs="ArialMT"/>
        </w:rPr>
      </w:pPr>
      <w:r w:rsidRPr="007F37B8">
        <w:rPr>
          <w:rFonts w:asciiTheme="minorHAnsi" w:hAnsiTheme="minorHAnsi"/>
        </w:rPr>
        <w:t xml:space="preserve">NASA </w:t>
      </w:r>
      <w:r w:rsidR="004E51EC">
        <w:rPr>
          <w:rFonts w:asciiTheme="minorHAnsi" w:hAnsiTheme="minorHAnsi" w:cs="ArialMT"/>
        </w:rPr>
        <w:t>MUREP</w:t>
      </w:r>
      <w:r w:rsidR="00E36C52">
        <w:rPr>
          <w:rFonts w:asciiTheme="minorHAnsi" w:hAnsiTheme="minorHAnsi" w:cs="ArialMT"/>
        </w:rPr>
        <w:t xml:space="preserve"> Outcome </w:t>
      </w:r>
      <w:r w:rsidR="004C33A6">
        <w:rPr>
          <w:rFonts w:asciiTheme="minorHAnsi" w:hAnsiTheme="minorHAnsi" w:cs="ArialMT"/>
        </w:rPr>
        <w:t xml:space="preserve"> Suite of </w:t>
      </w:r>
      <w:r w:rsidR="00E36C52">
        <w:rPr>
          <w:rFonts w:asciiTheme="minorHAnsi" w:hAnsiTheme="minorHAnsi" w:cs="ArialMT"/>
        </w:rPr>
        <w:t>Surveys</w:t>
      </w:r>
      <w:r w:rsidR="005E2FAC">
        <w:rPr>
          <w:rFonts w:asciiTheme="minorHAnsi" w:hAnsiTheme="minorHAnsi" w:cs="ArialMT"/>
        </w:rPr>
        <w:t xml:space="preserve"> (NASA </w:t>
      </w:r>
      <w:r w:rsidR="004E51EC">
        <w:rPr>
          <w:rFonts w:asciiTheme="minorHAnsi" w:hAnsiTheme="minorHAnsi" w:cs="ArialMT"/>
        </w:rPr>
        <w:t>MUREP Student</w:t>
      </w:r>
      <w:r w:rsidR="004F6107">
        <w:rPr>
          <w:rFonts w:asciiTheme="minorHAnsi" w:hAnsiTheme="minorHAnsi" w:cs="ArialMT"/>
        </w:rPr>
        <w:t xml:space="preserve"> </w:t>
      </w:r>
      <w:r w:rsidR="005E2FAC">
        <w:rPr>
          <w:rFonts w:asciiTheme="minorHAnsi" w:hAnsiTheme="minorHAnsi" w:cs="ArialMT"/>
        </w:rPr>
        <w:t>Survey</w:t>
      </w:r>
      <w:r w:rsidR="004E51EC">
        <w:rPr>
          <w:rFonts w:asciiTheme="minorHAnsi" w:hAnsiTheme="minorHAnsi" w:cs="ArialMT"/>
        </w:rPr>
        <w:t xml:space="preserve"> and NASA MUREP PI </w:t>
      </w:r>
      <w:r w:rsidR="005E2FAC">
        <w:rPr>
          <w:rFonts w:asciiTheme="minorHAnsi" w:hAnsiTheme="minorHAnsi" w:cs="ArialMT"/>
        </w:rPr>
        <w:t>Survey)</w:t>
      </w:r>
    </w:p>
    <w:p w:rsidR="00674390" w:rsidRPr="00C5766E" w:rsidP="00C5766E" w14:paraId="6AAEE1C2" w14:textId="77777777">
      <w:pPr>
        <w:rPr>
          <w:b/>
        </w:rPr>
      </w:pPr>
    </w:p>
    <w:p w:rsidR="00674390" w:rsidRPr="00AB74A8" w:rsidP="00BF134E" w14:paraId="5217BBC0" w14:textId="77777777">
      <w:pPr>
        <w:pStyle w:val="ListParagraph"/>
        <w:numPr>
          <w:ilvl w:val="0"/>
          <w:numId w:val="3"/>
        </w:numPr>
      </w:pPr>
      <w:r w:rsidRPr="007C21DC">
        <w:rPr>
          <w:b/>
        </w:rPr>
        <w:t>TYPE OF COLLECTION</w:t>
      </w:r>
      <w:r w:rsidRPr="00AB74A8">
        <w:t>:</w:t>
      </w:r>
      <w:r w:rsidRPr="00AB74A8">
        <w:t xml:space="preserve">  </w:t>
      </w:r>
    </w:p>
    <w:tbl>
      <w:tblPr>
        <w:tblStyle w:val="TableGrid"/>
        <w:tblW w:w="0" w:type="auto"/>
        <w:jc w:val="center"/>
        <w:tblLook w:val="04A0"/>
      </w:tblPr>
      <w:tblGrid>
        <w:gridCol w:w="450"/>
        <w:gridCol w:w="8550"/>
      </w:tblGrid>
      <w:tr w14:paraId="5A182D55" w14:textId="77777777" w:rsidTr="00062EC4">
        <w:tblPrEx>
          <w:tblW w:w="0" w:type="auto"/>
          <w:jc w:val="center"/>
          <w:tblLook w:val="04A0"/>
        </w:tblPrEx>
        <w:trPr>
          <w:jc w:val="center"/>
        </w:trPr>
        <w:tc>
          <w:tcPr>
            <w:tcW w:w="450" w:type="dxa"/>
            <w:tcBorders>
              <w:top w:val="single" w:sz="12" w:space="0" w:color="auto"/>
              <w:left w:val="nil"/>
              <w:bottom w:val="nil"/>
              <w:right w:val="nil"/>
            </w:tcBorders>
          </w:tcPr>
          <w:p w:rsidR="002C2DEA" w:rsidRPr="00AB74A8" w:rsidP="00674390" w14:paraId="738A85BF" w14:textId="77777777">
            <w:pPr>
              <w:pStyle w:val="ListParagraph"/>
              <w:ind w:left="0"/>
            </w:pPr>
            <w:r>
              <w:rPr>
                <w:rFonts w:ascii="Wingdings" w:hAnsi="Wingdings"/>
              </w:rPr>
              <w:sym w:font="Wingdings" w:char="F0FE"/>
            </w:r>
          </w:p>
        </w:tc>
        <w:tc>
          <w:tcPr>
            <w:tcW w:w="8550" w:type="dxa"/>
            <w:tcBorders>
              <w:top w:val="single" w:sz="12" w:space="0" w:color="auto"/>
              <w:left w:val="nil"/>
              <w:bottom w:val="nil"/>
              <w:right w:val="nil"/>
            </w:tcBorders>
          </w:tcPr>
          <w:p w:rsidR="002C2DEA" w:rsidRPr="00ED2ADA" w:rsidP="00062EC4" w14:paraId="2439D7CA" w14:textId="77777777">
            <w:pPr>
              <w:pStyle w:val="ListParagraph"/>
              <w:ind w:left="0"/>
            </w:pPr>
            <w:r w:rsidRPr="00062EC4">
              <w:t xml:space="preserve">Attitude/Behavior Scale </w:t>
            </w:r>
          </w:p>
        </w:tc>
      </w:tr>
      <w:tr w14:paraId="77D803E9"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6C90049F" w14:textId="77777777">
            <w:pPr>
              <w:pStyle w:val="ListParagraph"/>
              <w:ind w:left="0"/>
            </w:pPr>
            <w:r>
              <w:rPr>
                <w:rFonts w:ascii="Wingdings" w:hAnsi="Wingdings"/>
              </w:rPr>
              <w:sym w:font="Wingdings" w:char="F06F"/>
            </w:r>
          </w:p>
        </w:tc>
        <w:tc>
          <w:tcPr>
            <w:tcW w:w="8550" w:type="dxa"/>
            <w:tcBorders>
              <w:top w:val="nil"/>
              <w:left w:val="nil"/>
              <w:bottom w:val="nil"/>
              <w:right w:val="nil"/>
            </w:tcBorders>
          </w:tcPr>
          <w:p w:rsidR="00062EC4" w:rsidRPr="00062EC4" w:rsidP="00062EC4" w14:paraId="6C0E336E" w14:textId="77777777">
            <w:pPr>
              <w:pStyle w:val="ListParagraph"/>
              <w:ind w:left="0"/>
            </w:pPr>
            <w:r w:rsidRPr="00E92329">
              <w:t>Baseline Survey</w:t>
            </w:r>
          </w:p>
        </w:tc>
      </w:tr>
      <w:tr w14:paraId="12C08736"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351AF2B6" w14:textId="77777777">
            <w:pPr>
              <w:pStyle w:val="ListParagraph"/>
              <w:ind w:left="0"/>
            </w:pPr>
            <w:r>
              <w:rPr>
                <w:rFonts w:ascii="Wingdings" w:hAnsi="Wingdings"/>
              </w:rPr>
              <w:sym w:font="Wingdings" w:char="F06F"/>
            </w:r>
          </w:p>
        </w:tc>
        <w:tc>
          <w:tcPr>
            <w:tcW w:w="8550" w:type="dxa"/>
            <w:tcBorders>
              <w:top w:val="nil"/>
              <w:left w:val="nil"/>
              <w:bottom w:val="nil"/>
              <w:right w:val="nil"/>
            </w:tcBorders>
          </w:tcPr>
          <w:p w:rsidR="00062EC4" w:rsidRPr="00062EC4" w:rsidP="00062EC4" w14:paraId="65DE0DB3" w14:textId="77777777">
            <w:pPr>
              <w:pStyle w:val="ListParagraph"/>
              <w:ind w:left="0"/>
            </w:pPr>
            <w:r w:rsidRPr="00ED2ADA">
              <w:t>Cognitive Interview Protocol</w:t>
            </w:r>
          </w:p>
        </w:tc>
      </w:tr>
      <w:tr w14:paraId="1D26135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7F0FEDC4" w14:textId="1AC7B726">
            <w:pPr>
              <w:pStyle w:val="ListParagraph"/>
              <w:ind w:left="0"/>
            </w:pPr>
            <w:r>
              <w:rPr>
                <w:rFonts w:ascii="Wingdings" w:hAnsi="Wingdings"/>
              </w:rPr>
              <w:sym w:font="Wingdings" w:char="F06F"/>
            </w:r>
          </w:p>
        </w:tc>
        <w:tc>
          <w:tcPr>
            <w:tcW w:w="8550" w:type="dxa"/>
            <w:tcBorders>
              <w:top w:val="nil"/>
              <w:left w:val="nil"/>
              <w:bottom w:val="nil"/>
              <w:right w:val="nil"/>
            </w:tcBorders>
          </w:tcPr>
          <w:p w:rsidR="00062EC4" w:rsidRPr="00062EC4" w:rsidP="00062EC4" w14:paraId="21217F87" w14:textId="77777777">
            <w:pPr>
              <w:pStyle w:val="ListParagraph"/>
              <w:ind w:left="0"/>
            </w:pPr>
            <w:r w:rsidRPr="0043348E">
              <w:t>Consent Form</w:t>
            </w:r>
          </w:p>
        </w:tc>
      </w:tr>
      <w:tr w14:paraId="21620011" w14:textId="77777777" w:rsidTr="005C6E95">
        <w:tblPrEx>
          <w:tblW w:w="0" w:type="auto"/>
          <w:jc w:val="center"/>
          <w:tblLook w:val="04A0"/>
        </w:tblPrEx>
        <w:trPr>
          <w:jc w:val="center"/>
        </w:trPr>
        <w:tc>
          <w:tcPr>
            <w:tcW w:w="450" w:type="dxa"/>
            <w:tcBorders>
              <w:top w:val="nil"/>
              <w:left w:val="nil"/>
              <w:bottom w:val="nil"/>
              <w:right w:val="nil"/>
            </w:tcBorders>
          </w:tcPr>
          <w:p w:rsidR="00062EC4" w:rsidP="00062EC4" w14:paraId="58BFE9E2" w14:textId="430191C7">
            <w:pPr>
              <w:pStyle w:val="ListParagraph"/>
              <w:ind w:left="0"/>
            </w:pPr>
            <w:r>
              <w:rPr>
                <w:rFonts w:ascii="Wingdings" w:hAnsi="Wingdings"/>
              </w:rPr>
              <w:sym w:font="Wingdings" w:char="F06F"/>
            </w:r>
          </w:p>
        </w:tc>
        <w:tc>
          <w:tcPr>
            <w:tcW w:w="8550" w:type="dxa"/>
            <w:tcBorders>
              <w:top w:val="nil"/>
              <w:left w:val="nil"/>
              <w:bottom w:val="nil"/>
              <w:right w:val="nil"/>
            </w:tcBorders>
          </w:tcPr>
          <w:p w:rsidR="00062EC4" w:rsidRPr="00062EC4" w:rsidP="00062EC4" w14:paraId="557C6CAD" w14:textId="77777777">
            <w:pPr>
              <w:pStyle w:val="ListParagraph"/>
              <w:ind w:left="0"/>
            </w:pPr>
            <w:r w:rsidRPr="00062EC4">
              <w:t>Focus Group Protocol</w:t>
            </w:r>
          </w:p>
        </w:tc>
      </w:tr>
      <w:tr w14:paraId="12D1D1F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47A95023" w14:textId="77777777">
            <w:pPr>
              <w:pStyle w:val="ListParagraph"/>
              <w:ind w:left="0"/>
            </w:pPr>
            <w:r>
              <w:rPr>
                <w:rFonts w:ascii="Wingdings" w:hAnsi="Wingdings"/>
              </w:rPr>
              <w:sym w:font="Wingdings" w:char="F06F"/>
            </w:r>
          </w:p>
        </w:tc>
        <w:tc>
          <w:tcPr>
            <w:tcW w:w="8550" w:type="dxa"/>
            <w:tcBorders>
              <w:top w:val="nil"/>
              <w:left w:val="nil"/>
              <w:bottom w:val="nil"/>
              <w:right w:val="nil"/>
            </w:tcBorders>
          </w:tcPr>
          <w:p w:rsidR="00062EC4" w:rsidRPr="00062EC4" w:rsidP="00062EC4" w14:paraId="45741EE3" w14:textId="77777777">
            <w:pPr>
              <w:pStyle w:val="ListParagraph"/>
              <w:ind w:left="0"/>
            </w:pPr>
            <w:r w:rsidRPr="00ED2ADA">
              <w:t>Follow-up Survey</w:t>
            </w:r>
          </w:p>
        </w:tc>
      </w:tr>
      <w:tr w14:paraId="622E0606" w14:textId="77777777" w:rsidTr="00062EC4">
        <w:tblPrEx>
          <w:tblW w:w="0" w:type="auto"/>
          <w:jc w:val="center"/>
          <w:tblLook w:val="04A0"/>
        </w:tblPrEx>
        <w:trPr>
          <w:jc w:val="center"/>
        </w:trPr>
        <w:tc>
          <w:tcPr>
            <w:tcW w:w="450" w:type="dxa"/>
            <w:tcBorders>
              <w:top w:val="nil"/>
              <w:left w:val="nil"/>
              <w:bottom w:val="nil"/>
              <w:right w:val="nil"/>
            </w:tcBorders>
          </w:tcPr>
          <w:p w:rsidR="00D826C6" w:rsidP="00062EC4" w14:paraId="166FDE79" w14:textId="77777777">
            <w:pPr>
              <w:pStyle w:val="ListParagraph"/>
              <w:ind w:left="0"/>
            </w:pPr>
            <w:r>
              <w:rPr>
                <w:rFonts w:ascii="Wingdings" w:hAnsi="Wingdings"/>
              </w:rPr>
              <w:sym w:font="Wingdings" w:char="F0FE"/>
            </w:r>
          </w:p>
        </w:tc>
        <w:tc>
          <w:tcPr>
            <w:tcW w:w="8550" w:type="dxa"/>
            <w:tcBorders>
              <w:top w:val="nil"/>
              <w:left w:val="nil"/>
              <w:bottom w:val="nil"/>
              <w:right w:val="nil"/>
            </w:tcBorders>
          </w:tcPr>
          <w:p w:rsidR="00D826C6" w:rsidRPr="00ED2ADA" w:rsidP="00062EC4" w14:paraId="5CB68C37" w14:textId="77777777">
            <w:pPr>
              <w:pStyle w:val="ListParagraph"/>
              <w:ind w:left="0"/>
            </w:pPr>
            <w:r w:rsidRPr="00D826C6">
              <w:t>Instructions</w:t>
            </w:r>
          </w:p>
        </w:tc>
      </w:tr>
      <w:tr w14:paraId="17152FFA"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1AAA118A" w14:textId="77777777">
            <w:pPr>
              <w:pStyle w:val="ListParagraph"/>
              <w:ind w:left="0"/>
            </w:pPr>
            <w:r>
              <w:rPr>
                <w:rFonts w:ascii="Wingdings" w:hAnsi="Wingdings"/>
              </w:rPr>
              <w:sym w:font="Wingdings" w:char="F0FE"/>
            </w:r>
          </w:p>
        </w:tc>
        <w:tc>
          <w:tcPr>
            <w:tcW w:w="8550" w:type="dxa"/>
            <w:tcBorders>
              <w:top w:val="nil"/>
              <w:left w:val="nil"/>
              <w:bottom w:val="nil"/>
              <w:right w:val="nil"/>
            </w:tcBorders>
          </w:tcPr>
          <w:p w:rsidR="00062EC4" w:rsidRPr="00062EC4" w:rsidP="00062EC4" w14:paraId="096F8A31" w14:textId="77777777">
            <w:pPr>
              <w:pStyle w:val="ListParagraph"/>
              <w:ind w:left="0"/>
            </w:pPr>
            <w:r w:rsidRPr="00ED2ADA">
              <w:t>Satisfaction Survey</w:t>
            </w:r>
          </w:p>
        </w:tc>
      </w:tr>
      <w:tr w14:paraId="7136DD49" w14:textId="77777777" w:rsidTr="00062EC4">
        <w:tblPrEx>
          <w:tblW w:w="0" w:type="auto"/>
          <w:jc w:val="center"/>
          <w:tblLook w:val="04A0"/>
        </w:tblPrEx>
        <w:trPr>
          <w:jc w:val="center"/>
        </w:trPr>
        <w:tc>
          <w:tcPr>
            <w:tcW w:w="450" w:type="dxa"/>
            <w:tcBorders>
              <w:top w:val="nil"/>
              <w:left w:val="nil"/>
              <w:bottom w:val="single" w:sz="12" w:space="0" w:color="auto"/>
              <w:right w:val="nil"/>
            </w:tcBorders>
          </w:tcPr>
          <w:p w:rsidR="00062EC4" w:rsidRPr="00AB74A8" w:rsidP="00062EC4" w14:paraId="22DE49D0" w14:textId="77777777">
            <w:pPr>
              <w:pStyle w:val="ListParagraph"/>
              <w:ind w:left="0"/>
            </w:pPr>
            <w:r>
              <w:rPr>
                <w:rFonts w:ascii="Wingdings" w:hAnsi="Wingdings"/>
              </w:rPr>
              <w:sym w:font="Wingdings" w:char="F06F"/>
            </w:r>
          </w:p>
        </w:tc>
        <w:tc>
          <w:tcPr>
            <w:tcW w:w="8550" w:type="dxa"/>
            <w:tcBorders>
              <w:top w:val="nil"/>
              <w:left w:val="nil"/>
              <w:bottom w:val="single" w:sz="12" w:space="0" w:color="auto"/>
              <w:right w:val="nil"/>
            </w:tcBorders>
          </w:tcPr>
          <w:p w:rsidR="00062EC4" w:rsidRPr="00ED2ADA" w:rsidP="00062EC4" w14:paraId="44C268AF" w14:textId="77777777">
            <w:pPr>
              <w:pStyle w:val="ListParagraph"/>
              <w:ind w:left="0"/>
            </w:pPr>
            <w:r w:rsidRPr="00ED2ADA">
              <w:t>Usability Protocol</w:t>
            </w:r>
          </w:p>
        </w:tc>
      </w:tr>
    </w:tbl>
    <w:p w:rsidR="00674390" w:rsidRPr="00AB74A8" w:rsidP="00674390" w14:paraId="60D41FF2" w14:textId="77777777">
      <w:pPr>
        <w:rPr>
          <w:b/>
        </w:rPr>
      </w:pPr>
    </w:p>
    <w:p w:rsidR="00114C2A" w:rsidP="00114C2A" w14:paraId="44DA6C71" w14:textId="77777777">
      <w:pPr>
        <w:autoSpaceDE w:val="0"/>
        <w:autoSpaceDN w:val="0"/>
        <w:adjustRightInd w:val="0"/>
        <w:ind w:left="288"/>
      </w:pPr>
      <w:r w:rsidRPr="00CE1F5E">
        <w:rPr>
          <w:b/>
        </w:rPr>
        <w:t>GENERAL OVERVIEW:</w:t>
      </w:r>
      <w:r w:rsidRPr="00CE1F5E" w:rsidR="00EE1FDF">
        <w:rPr>
          <w:b/>
        </w:rPr>
        <w:t xml:space="preserve"> </w:t>
      </w:r>
      <w:r w:rsidR="001B794C">
        <w:t xml:space="preserve">NASA </w:t>
      </w:r>
      <w:r w:rsidRPr="004852B2" w:rsidR="001B794C">
        <w:t>S</w:t>
      </w:r>
      <w:r w:rsidR="001B794C">
        <w:t>cience, Technology, Engineering, and Mathematics (STEM) Engagement is comprised of a broad and diverse set of programs, projects, activities and products developed and implemented by HQ functional Offices, Mission Directorates and Centers.</w:t>
      </w:r>
      <w:r w:rsidR="005B2454">
        <w:t xml:space="preserve"> These investments are designed to attract, engage, and educate students, and to support educators, and educational institutions. </w:t>
      </w:r>
      <w:r w:rsidRPr="00114C2A">
        <w:t>NASA</w:t>
      </w:r>
      <w:r>
        <w:t xml:space="preserve">’s Office of </w:t>
      </w:r>
      <w:r w:rsidR="001B794C">
        <w:t xml:space="preserve">STEM </w:t>
      </w:r>
      <w:r>
        <w:t xml:space="preserve">Engagement </w:t>
      </w:r>
      <w:r w:rsidR="00640EDC">
        <w:t xml:space="preserve">(OSTEM) </w:t>
      </w:r>
      <w:r w:rsidRPr="00114C2A">
        <w:t>deliver</w:t>
      </w:r>
      <w:r>
        <w:t>s</w:t>
      </w:r>
      <w:r w:rsidR="00A82512">
        <w:t xml:space="preserve"> </w:t>
      </w:r>
      <w:r w:rsidR="001B794C">
        <w:t xml:space="preserve">participatory, </w:t>
      </w:r>
      <w:r w:rsidRPr="004852B2" w:rsidR="00A82512">
        <w:t>experiential learning</w:t>
      </w:r>
      <w:r w:rsidR="001B794C">
        <w:t xml:space="preserve"> and STEM challenge</w:t>
      </w:r>
      <w:r w:rsidRPr="004852B2" w:rsidR="00A82512">
        <w:t xml:space="preserve"> activities</w:t>
      </w:r>
      <w:r w:rsidRPr="00114C2A" w:rsidR="00A82512">
        <w:t xml:space="preserve"> </w:t>
      </w:r>
      <w:r w:rsidRPr="00114C2A">
        <w:t>for young Americans and educators to learn and succeed</w:t>
      </w:r>
      <w:r>
        <w:t xml:space="preserve">. </w:t>
      </w:r>
      <w:r w:rsidR="00640EDC">
        <w:t xml:space="preserve">NASA </w:t>
      </w:r>
      <w:r w:rsidR="00A82512">
        <w:t>STEM Engagement</w:t>
      </w:r>
      <w:r w:rsidR="00640EDC">
        <w:t xml:space="preserve"> seeks </w:t>
      </w:r>
      <w:r w:rsidRPr="00114C2A">
        <w:t>to:</w:t>
      </w:r>
    </w:p>
    <w:p w:rsidR="00114C2A" w:rsidRPr="00114C2A" w:rsidP="00114C2A" w14:paraId="0A7F099D" w14:textId="77777777">
      <w:pPr>
        <w:autoSpaceDE w:val="0"/>
        <w:autoSpaceDN w:val="0"/>
        <w:adjustRightInd w:val="0"/>
        <w:ind w:left="288"/>
      </w:pPr>
    </w:p>
    <w:p w:rsidR="00114C2A" w:rsidP="00724D0A" w14:paraId="46A0885A" w14:textId="77777777">
      <w:pPr>
        <w:pStyle w:val="ListParagraph"/>
        <w:numPr>
          <w:ilvl w:val="0"/>
          <w:numId w:val="7"/>
        </w:numPr>
        <w:autoSpaceDE w:val="0"/>
        <w:autoSpaceDN w:val="0"/>
        <w:adjustRightInd w:val="0"/>
      </w:pPr>
      <w:r w:rsidRPr="00114C2A">
        <w:t>Create unique opportunities for students and the public to contribute to NASA’s work in exploration and discovery.</w:t>
      </w:r>
    </w:p>
    <w:p w:rsidR="00114C2A" w:rsidP="00724D0A" w14:paraId="179BC701" w14:textId="77777777">
      <w:pPr>
        <w:pStyle w:val="ListParagraph"/>
        <w:numPr>
          <w:ilvl w:val="0"/>
          <w:numId w:val="7"/>
        </w:numPr>
        <w:autoSpaceDE w:val="0"/>
        <w:autoSpaceDN w:val="0"/>
        <w:adjustRightInd w:val="0"/>
      </w:pPr>
      <w:r w:rsidRPr="00114C2A">
        <w:t>Build a diverse future STEM workforce by engaging students in authentic learning experiences with NASA people, content, and facilities.</w:t>
      </w:r>
    </w:p>
    <w:p w:rsidR="00114C2A" w:rsidRPr="00114C2A" w:rsidP="00724D0A" w14:paraId="4E2E30D4" w14:textId="77777777">
      <w:pPr>
        <w:pStyle w:val="ListParagraph"/>
        <w:numPr>
          <w:ilvl w:val="0"/>
          <w:numId w:val="7"/>
        </w:numPr>
        <w:autoSpaceDE w:val="0"/>
        <w:autoSpaceDN w:val="0"/>
        <w:adjustRightInd w:val="0"/>
      </w:pPr>
      <w:r w:rsidRPr="00114C2A">
        <w:t>Strengthen public understanding by enabling powerful connections to NASA’s mission and work.</w:t>
      </w:r>
    </w:p>
    <w:p w:rsidR="00114C2A" w:rsidRPr="00114C2A" w:rsidP="00114C2A" w14:paraId="5D140915" w14:textId="77777777">
      <w:pPr>
        <w:autoSpaceDE w:val="0"/>
        <w:autoSpaceDN w:val="0"/>
        <w:adjustRightInd w:val="0"/>
        <w:ind w:left="288"/>
      </w:pPr>
    </w:p>
    <w:p w:rsidR="00B640E2" w:rsidP="00B640E2" w14:paraId="7E012905" w14:textId="22BE4778">
      <w:pPr>
        <w:autoSpaceDE w:val="0"/>
        <w:autoSpaceDN w:val="0"/>
        <w:adjustRightInd w:val="0"/>
        <w:ind w:left="288"/>
        <w:jc w:val="both"/>
      </w:pPr>
      <w:r w:rsidRPr="00114C2A">
        <w:t>To achieve these goals, N</w:t>
      </w:r>
      <w:r w:rsidRPr="004E51EC" w:rsidR="004E51EC">
        <w:t>ASA makes vital investments toward building a future diverse STEM workforce</w:t>
      </w:r>
      <w:r w:rsidR="00F45F13">
        <w:t xml:space="preserve"> across its portfolio of projects including the Minority University Research and Education Project (MUREP). N</w:t>
      </w:r>
      <w:r w:rsidRPr="00114C2A">
        <w:t>ASA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rsidR="004E51EC" w:rsidP="00B640E2" w14:paraId="5337A30E" w14:textId="18773C36">
      <w:pPr>
        <w:autoSpaceDE w:val="0"/>
        <w:autoSpaceDN w:val="0"/>
        <w:adjustRightInd w:val="0"/>
        <w:ind w:left="288"/>
        <w:jc w:val="both"/>
      </w:pPr>
    </w:p>
    <w:p w:rsidR="004E51EC" w:rsidRPr="004E51EC" w:rsidP="00F45F13" w14:paraId="0D9A9085" w14:textId="758D47F1">
      <w:pPr>
        <w:autoSpaceDE w:val="0"/>
        <w:autoSpaceDN w:val="0"/>
        <w:adjustRightInd w:val="0"/>
        <w:ind w:left="288"/>
        <w:jc w:val="both"/>
      </w:pPr>
      <w:r w:rsidRPr="004E51EC">
        <w:t>The Minority University Research and Education Project (MUREP) is administered through </w:t>
      </w:r>
      <w:hyperlink r:id="rId8" w:history="1">
        <w:r w:rsidRPr="004E51EC">
          <w:rPr>
            <w:rStyle w:val="Hyperlink"/>
          </w:rPr>
          <w:t>NASA's Office of STEM Engagement</w:t>
        </w:r>
      </w:hyperlink>
      <w:r w:rsidRPr="004E51EC">
        <w:t xml:space="preserve">. Through MUREP, NASA provides financial assistance via competitive awards to Minority Serving Institutions, including Historically Black Colleges and Universities, Hispanic Serving Institutions, Asian American and Native American Pacific Islander Serving Institutions, Alaska Native and Native Hawaiian-Serving Institutions, American Indian Tribal Colleges and Universities, Native American-Serving Nontribal Institutions and other MSIs, as required by the MSI-focused Executive Orders. These institutions recruit and retain underrepresented and underserved students, including women and girls, and persons with disabilities, into science, technology, engineering and </w:t>
      </w:r>
      <w:r w:rsidRPr="004E51EC">
        <w:t>mathematics (STEM) fields.</w:t>
      </w:r>
      <w:r w:rsidR="00F45F13">
        <w:t xml:space="preserve"> </w:t>
      </w:r>
      <w:r w:rsidRPr="004E51EC">
        <w:t>MUREP investments enhance the research, academic and technology capabilities of MSIs through multiyear cooperative agreements. Awards assist faculty and students in research and provide authentic STEM engagement related to NASA missions. Additionally, awards provide NASA-specific knowledge and skills to learners who have historically been underrepresented and underserved in STEM. MUREP investments assist NASA in meeting the goal of a diverse workforce through student participation in internships and fellowships at NASA centers and the Jet Propulsion Laboratory (JPL).</w:t>
      </w:r>
    </w:p>
    <w:p w:rsidR="00B640E2" w:rsidP="00B640E2" w14:paraId="0D8F954A" w14:textId="77777777">
      <w:pPr>
        <w:autoSpaceDE w:val="0"/>
        <w:autoSpaceDN w:val="0"/>
        <w:adjustRightInd w:val="0"/>
        <w:ind w:left="288"/>
        <w:jc w:val="both"/>
      </w:pPr>
    </w:p>
    <w:p w:rsidR="000F5EB8" w:rsidP="0004289B" w14:paraId="0D494C80" w14:textId="3A8B5A24">
      <w:pPr>
        <w:autoSpaceDE w:val="0"/>
        <w:autoSpaceDN w:val="0"/>
        <w:adjustRightInd w:val="0"/>
        <w:ind w:left="288"/>
        <w:rPr>
          <w:bCs/>
        </w:rPr>
      </w:pPr>
      <w:r w:rsidRPr="001A09E4">
        <w:rPr>
          <w:bCs/>
        </w:rPr>
        <w:t xml:space="preserve">The overarching purpose of this outcome assessment is to help NASA understand the outcomes the MUREP project and its activities are achieving with particular interest in the following areas: student recruitment, strategic partnerships, student STEM persistence, student STEM identity, student sense of belonging, and student academic self-efficacy. This outcome assessment will provide tools and evidence that can be used to better understand what achievements are being realized by MUREP investments to help guide future investment decisions. </w:t>
      </w:r>
    </w:p>
    <w:p w:rsidR="000F5EB8" w:rsidP="00B640E2" w14:paraId="70123A49" w14:textId="77777777">
      <w:pPr>
        <w:autoSpaceDE w:val="0"/>
        <w:autoSpaceDN w:val="0"/>
        <w:adjustRightInd w:val="0"/>
        <w:ind w:left="288"/>
        <w:rPr>
          <w:bCs/>
        </w:rPr>
      </w:pPr>
    </w:p>
    <w:p w:rsidR="001B794C" w:rsidP="00B640E2" w14:paraId="64AD6330" w14:textId="6F711860">
      <w:pPr>
        <w:autoSpaceDE w:val="0"/>
        <w:autoSpaceDN w:val="0"/>
        <w:adjustRightInd w:val="0"/>
        <w:ind w:left="288"/>
      </w:pPr>
      <w:r>
        <w:rPr>
          <w:bCs/>
        </w:rPr>
        <w:t xml:space="preserve">The </w:t>
      </w:r>
      <w:r w:rsidRPr="00543F26" w:rsidR="00543F26">
        <w:rPr>
          <w:bCs/>
        </w:rPr>
        <w:t>t</w:t>
      </w:r>
      <w:r w:rsidR="00F45F13">
        <w:rPr>
          <w:bCs/>
        </w:rPr>
        <w:t xml:space="preserve">wo </w:t>
      </w:r>
      <w:r w:rsidRPr="00543F26" w:rsidR="00543F26">
        <w:rPr>
          <w:bCs/>
        </w:rPr>
        <w:t>instruments (</w:t>
      </w:r>
      <w:r w:rsidR="00F45F13">
        <w:rPr>
          <w:bCs/>
        </w:rPr>
        <w:t>principal investigator survey</w:t>
      </w:r>
      <w:r w:rsidR="00C75F8A">
        <w:rPr>
          <w:bCs/>
        </w:rPr>
        <w:t xml:space="preserve"> and student survey</w:t>
      </w:r>
      <w:r w:rsidR="00F45F13">
        <w:rPr>
          <w:bCs/>
        </w:rPr>
        <w:t>)</w:t>
      </w:r>
      <w:r w:rsidR="00F45F13">
        <w:t xml:space="preserve"> collect stakeholders’ perceptions that can support NASA’s continued improvement of the MUREP portfolio, and </w:t>
      </w:r>
      <w:r w:rsidRPr="00543F26" w:rsidR="00F45F13">
        <w:rPr>
          <w:bCs/>
        </w:rPr>
        <w:t>measur</w:t>
      </w:r>
      <w:r w:rsidR="00C75F8A">
        <w:rPr>
          <w:bCs/>
        </w:rPr>
        <w:t>e</w:t>
      </w:r>
      <w:r w:rsidRPr="00543F26" w:rsidR="00F45F13">
        <w:rPr>
          <w:bCs/>
        </w:rPr>
        <w:t xml:space="preserve"> student outcomes of participation in </w:t>
      </w:r>
      <w:r w:rsidR="00F45F13">
        <w:t>NASA MUREP-funded programs, activities, and/or resources</w:t>
      </w:r>
      <w:r w:rsidR="00B640E2">
        <w:t xml:space="preserve">. </w:t>
      </w:r>
      <w:r w:rsidR="00AB1D79">
        <w:t xml:space="preserve">Recruitment, </w:t>
      </w:r>
      <w:r w:rsidR="005B6365">
        <w:t xml:space="preserve">STEM </w:t>
      </w:r>
      <w:r w:rsidR="00C75F8A">
        <w:t>Identity, Sense of Belonging,</w:t>
      </w:r>
      <w:r w:rsidR="00AB1D79">
        <w:t xml:space="preserve"> Retention</w:t>
      </w:r>
      <w:r w:rsidR="00C75F8A">
        <w:t xml:space="preserve"> and </w:t>
      </w:r>
      <w:r w:rsidR="005B6365">
        <w:t>Self-Efficacy</w:t>
      </w:r>
      <w:r w:rsidR="00B640E2">
        <w:t xml:space="preserve"> are measures of interest.</w:t>
      </w:r>
    </w:p>
    <w:p w:rsidR="001B794C" w:rsidP="00045D57" w14:paraId="57B97E43" w14:textId="33DB9BC6">
      <w:pPr>
        <w:autoSpaceDE w:val="0"/>
        <w:autoSpaceDN w:val="0"/>
        <w:adjustRightInd w:val="0"/>
        <w:ind w:left="288"/>
        <w:jc w:val="both"/>
      </w:pPr>
    </w:p>
    <w:p w:rsidR="001B794C" w:rsidP="001B794C" w14:paraId="022DC515" w14:textId="77777777">
      <w:pPr>
        <w:autoSpaceDE w:val="0"/>
        <w:autoSpaceDN w:val="0"/>
        <w:adjustRightInd w:val="0"/>
        <w:ind w:left="288"/>
        <w:jc w:val="both"/>
      </w:pPr>
    </w:p>
    <w:p w:rsidR="00345D9E" w:rsidRPr="00345D9E" w:rsidP="00345D9E" w14:paraId="30EE69F5" w14:textId="77777777">
      <w:pPr>
        <w:pStyle w:val="ListParagraph"/>
        <w:autoSpaceDE w:val="0"/>
        <w:autoSpaceDN w:val="0"/>
        <w:adjustRightInd w:val="0"/>
        <w:ind w:left="288"/>
        <w:jc w:val="both"/>
        <w:rPr>
          <w:b/>
        </w:rPr>
      </w:pPr>
      <w:r w:rsidRPr="00A14914">
        <w:t xml:space="preserve">  </w:t>
      </w:r>
      <w:r w:rsidR="00B1311F">
        <w:t xml:space="preserve">  </w:t>
      </w:r>
    </w:p>
    <w:p w:rsidR="00F41D34" w:rsidRPr="00F41D34" w:rsidP="00F9794E" w14:paraId="43C02B84" w14:textId="56DB7153">
      <w:pPr>
        <w:pStyle w:val="ListParagraph"/>
        <w:numPr>
          <w:ilvl w:val="0"/>
          <w:numId w:val="3"/>
        </w:numPr>
        <w:autoSpaceDE w:val="0"/>
        <w:autoSpaceDN w:val="0"/>
        <w:adjustRightInd w:val="0"/>
        <w:jc w:val="both"/>
        <w:rPr>
          <w:rFonts w:ascii="Arial" w:hAnsi="Arial" w:cs="Arial"/>
          <w:sz w:val="19"/>
          <w:szCs w:val="17"/>
        </w:rPr>
      </w:pPr>
      <w:r w:rsidRPr="00AF3E10">
        <w:rPr>
          <w:b/>
        </w:rPr>
        <w:t>INTRODUCTION AND PURPOSE:</w:t>
      </w:r>
      <w:r w:rsidRPr="00AF3E10" w:rsidR="00B1311F">
        <w:rPr>
          <w:rFonts w:ascii="Arial" w:hAnsi="Arial" w:cs="Arial"/>
          <w:sz w:val="19"/>
          <w:szCs w:val="17"/>
        </w:rPr>
        <w:t xml:space="preserve"> </w:t>
      </w:r>
      <w:r>
        <w:rPr>
          <w:bCs/>
        </w:rPr>
        <w:t xml:space="preserve">In </w:t>
      </w:r>
      <w:r w:rsidRPr="00CC14E5">
        <w:rPr>
          <w:rFonts w:asciiTheme="minorHAnsi" w:hAnsiTheme="minorHAnsi" w:cstheme="minorHAnsi"/>
        </w:rPr>
        <w:t>FY2</w:t>
      </w:r>
      <w:r>
        <w:rPr>
          <w:rFonts w:asciiTheme="minorHAnsi" w:hAnsiTheme="minorHAnsi" w:cstheme="minorHAnsi"/>
        </w:rPr>
        <w:t>2</w:t>
      </w:r>
      <w:r w:rsidR="005A5EBB">
        <w:rPr>
          <w:rFonts w:asciiTheme="minorHAnsi" w:hAnsiTheme="minorHAnsi" w:cstheme="minorHAnsi"/>
        </w:rPr>
        <w:t>,</w:t>
      </w:r>
      <w:r w:rsidRPr="00CC14E5">
        <w:rPr>
          <w:rFonts w:asciiTheme="minorHAnsi" w:hAnsiTheme="minorHAnsi" w:cstheme="minorHAnsi"/>
        </w:rPr>
        <w:t xml:space="preserve"> </w:t>
      </w:r>
      <w:r>
        <w:rPr>
          <w:rFonts w:asciiTheme="minorHAnsi" w:hAnsiTheme="minorHAnsi" w:cstheme="minorHAnsi"/>
        </w:rPr>
        <w:t xml:space="preserve">a </w:t>
      </w:r>
      <w:r w:rsidRPr="00CC14E5">
        <w:rPr>
          <w:rFonts w:asciiTheme="minorHAnsi" w:hAnsiTheme="minorHAnsi" w:cstheme="minorHAnsi"/>
        </w:rPr>
        <w:t xml:space="preserve">NASA </w:t>
      </w:r>
      <w:r>
        <w:rPr>
          <w:rFonts w:asciiTheme="minorHAnsi" w:hAnsiTheme="minorHAnsi" w:cstheme="minorHAnsi"/>
        </w:rPr>
        <w:t xml:space="preserve">MUREP Outcome Assessment Framework </w:t>
      </w:r>
      <w:r w:rsidR="00DD26F4">
        <w:rPr>
          <w:rFonts w:asciiTheme="minorHAnsi" w:hAnsiTheme="minorHAnsi" w:cstheme="minorHAnsi"/>
        </w:rPr>
        <w:t xml:space="preserve">and Plan </w:t>
      </w:r>
      <w:r>
        <w:rPr>
          <w:rFonts w:asciiTheme="minorHAnsi" w:hAnsiTheme="minorHAnsi" w:cstheme="minorHAnsi"/>
        </w:rPr>
        <w:t xml:space="preserve">was developed </w:t>
      </w:r>
      <w:r>
        <w:rPr>
          <w:bCs/>
        </w:rPr>
        <w:t>in order to help NASA understand the outcomes the MUREP project and its activities are achieving with particular interest in the following constructs: student recruitment and retention and strategic partnerships. This outcome assessment will provide tools and evidence that can be used to better understand what achievements are being realized by MUREP investments to help guide future investment decisions. This evaluation plan address NASA STEM engagement goals and objectives by examining how MUREP and its activities achieve outcomes important to NASA’s work. Further, this evaluation plan will develop outcome assessment tools that MUREP activities may utilize in the future to understand their progress towards achieving NASA OSTEM goals and objectives.</w:t>
      </w:r>
      <w:r w:rsidR="00CE5190">
        <w:rPr>
          <w:bCs/>
        </w:rPr>
        <w:t xml:space="preserve"> </w:t>
      </w:r>
      <w:r w:rsidR="00362A5D">
        <w:rPr>
          <w:bCs/>
        </w:rPr>
        <w:t xml:space="preserve"> </w:t>
      </w:r>
      <w:r w:rsidRPr="004244D2" w:rsidR="004244D2">
        <w:rPr>
          <w:bCs/>
        </w:rPr>
        <w:t xml:space="preserve">Prior to a full-scale administration of the outcome assessment, a small pilot study was conducted </w:t>
      </w:r>
      <w:r w:rsidR="00475EE3">
        <w:rPr>
          <w:bCs/>
        </w:rPr>
        <w:t>in the 1</w:t>
      </w:r>
      <w:r w:rsidRPr="00475EE3" w:rsidR="00475EE3">
        <w:rPr>
          <w:bCs/>
          <w:vertAlign w:val="superscript"/>
        </w:rPr>
        <w:t>st</w:t>
      </w:r>
      <w:r w:rsidR="00475EE3">
        <w:rPr>
          <w:bCs/>
        </w:rPr>
        <w:t xml:space="preserve"> quarter of FY23 </w:t>
      </w:r>
      <w:r w:rsidRPr="004244D2" w:rsidR="004244D2">
        <w:rPr>
          <w:bCs/>
        </w:rPr>
        <w:t>to validate the survey instruments included in the outcome assessment for information collection. The pilot test served to validate t</w:t>
      </w:r>
      <w:r w:rsidR="00475EE3">
        <w:rPr>
          <w:bCs/>
        </w:rPr>
        <w:t xml:space="preserve">wo </w:t>
      </w:r>
      <w:r w:rsidRPr="004244D2" w:rsidR="004244D2">
        <w:rPr>
          <w:bCs/>
        </w:rPr>
        <w:t>surveys as well as assess their robustness through expert review, psychometric analyses, and cognitive interviews. To ensure that the surveys were both valid and robust, a four-step survey validation process was completed: (1) reviewing survey construction; (2) conducting a small pilot test; (3) assessing validity and robustness with psychometric analyses; and (4) conducting cognitive interviews.</w:t>
      </w:r>
    </w:p>
    <w:p w:rsidR="00F41D34" w:rsidP="00F41D34" w14:paraId="65145D8F" w14:textId="77777777">
      <w:pPr>
        <w:pStyle w:val="ListParagraph"/>
        <w:autoSpaceDE w:val="0"/>
        <w:autoSpaceDN w:val="0"/>
        <w:adjustRightInd w:val="0"/>
        <w:ind w:left="288"/>
        <w:jc w:val="both"/>
        <w:rPr>
          <w:rFonts w:asciiTheme="minorHAnsi" w:hAnsiTheme="minorHAnsi" w:cstheme="minorHAnsi"/>
        </w:rPr>
      </w:pPr>
    </w:p>
    <w:p w:rsidR="005A235A" w:rsidP="005A235A" w14:paraId="5F61D52C" w14:textId="32A5768B">
      <w:pPr>
        <w:pStyle w:val="ListParagraph"/>
        <w:autoSpaceDE w:val="0"/>
        <w:autoSpaceDN w:val="0"/>
        <w:adjustRightInd w:val="0"/>
        <w:ind w:left="288"/>
        <w:jc w:val="both"/>
        <w:rPr>
          <w:rFonts w:asciiTheme="minorHAnsi" w:hAnsiTheme="minorHAnsi" w:cstheme="minorHAnsi"/>
        </w:rPr>
      </w:pPr>
      <w:bookmarkStart w:id="0" w:name="_Hlk125639800"/>
      <w:r w:rsidRPr="005A235A">
        <w:rPr>
          <w:rFonts w:asciiTheme="minorHAnsi" w:hAnsiTheme="minorHAnsi" w:cstheme="minorHAnsi"/>
        </w:rPr>
        <w:t xml:space="preserve">This evaluation study will utilize </w:t>
      </w:r>
      <w:r w:rsidR="00A8110E">
        <w:rPr>
          <w:rFonts w:asciiTheme="minorHAnsi" w:hAnsiTheme="minorHAnsi" w:cstheme="minorHAnsi"/>
        </w:rPr>
        <w:t>multiple</w:t>
      </w:r>
      <w:r w:rsidRPr="005A235A">
        <w:rPr>
          <w:rFonts w:asciiTheme="minorHAnsi" w:hAnsiTheme="minorHAnsi" w:cstheme="minorHAnsi"/>
        </w:rPr>
        <w:t xml:space="preserve"> modes of data collection: 1) participant surveys or questionnaires, 2) focus groups or interviews, 3) document analysis (of annual evaluation plans), and 4) student college enrollment and degree data from the National Student Clearinghouse (NSC). </w:t>
      </w:r>
      <w:bookmarkEnd w:id="0"/>
      <w:r w:rsidRPr="005A235A">
        <w:rPr>
          <w:rFonts w:asciiTheme="minorHAnsi" w:hAnsiTheme="minorHAnsi" w:cstheme="minorHAnsi"/>
        </w:rPr>
        <w:t xml:space="preserve">Survey research relies on the technique of self-report to obtain information about such variables as people’s attitudes, opinions, behaviors, and demographic characteristics. Although surveys cannot establish causality, they can explore, describe, classify, and establish associations among variables and the population of interest. There are multiple types of survey studies. This evaluation will use a cross-sectional survey method. That is, survey data will be collected from selected individuals at a single point in time. Cross-sectional designs are effective for providing a snapshot of the current behaviors, </w:t>
      </w:r>
      <w:r w:rsidRPr="005A235A">
        <w:rPr>
          <w:rFonts w:asciiTheme="minorHAnsi" w:hAnsiTheme="minorHAnsi" w:cstheme="minorHAnsi"/>
        </w:rPr>
        <w:t>attitudes, and beliefs in a population. This design also has the advantage of providing data relatively quickly but is limited in understanding trends or development over time (Gay et al., 2012).  </w:t>
      </w:r>
    </w:p>
    <w:p w:rsidR="005A235A" w:rsidRPr="005A235A" w:rsidP="005A235A" w14:paraId="2A947D97" w14:textId="77777777">
      <w:pPr>
        <w:pStyle w:val="ListParagraph"/>
        <w:autoSpaceDE w:val="0"/>
        <w:autoSpaceDN w:val="0"/>
        <w:adjustRightInd w:val="0"/>
        <w:ind w:left="288"/>
        <w:jc w:val="both"/>
        <w:rPr>
          <w:rFonts w:asciiTheme="minorHAnsi" w:hAnsiTheme="minorHAnsi" w:cstheme="minorHAnsi"/>
        </w:rPr>
      </w:pPr>
    </w:p>
    <w:p w:rsidR="00D704D6" w:rsidRPr="00F41D34" w:rsidP="005A235A" w14:paraId="45639FBE" w14:textId="473BDB97">
      <w:pPr>
        <w:pStyle w:val="ListParagraph"/>
        <w:autoSpaceDE w:val="0"/>
        <w:autoSpaceDN w:val="0"/>
        <w:adjustRightInd w:val="0"/>
        <w:ind w:left="288"/>
        <w:jc w:val="both"/>
        <w:rPr>
          <w:rFonts w:ascii="Arial" w:hAnsi="Arial" w:cs="Arial"/>
          <w:sz w:val="19"/>
          <w:szCs w:val="17"/>
        </w:rPr>
      </w:pPr>
      <w:r w:rsidRPr="005A235A">
        <w:rPr>
          <w:rFonts w:asciiTheme="minorHAnsi" w:hAnsiTheme="minorHAnsi" w:cstheme="minorHAnsi"/>
        </w:rPr>
        <w:t>Focus group and/or interviews will allow stakeholders of MUREP activities to characterize the outcomes accomplished using their own perceptions and experiences. Document analysis will help reveal data reported by MUREP activities. Data from the NSC on student college or university enrollment in a STEM program major will allow for the analysis of STEM persistence.</w:t>
      </w:r>
      <w:r w:rsidRPr="00CB7EA8" w:rsidR="007F0605">
        <w:t xml:space="preserve"> </w:t>
      </w:r>
    </w:p>
    <w:p w:rsidR="00A8110E" w:rsidP="00DF301E" w14:paraId="60739F5A" w14:textId="77777777">
      <w:pPr>
        <w:pStyle w:val="ListParagraph"/>
        <w:autoSpaceDE w:val="0"/>
        <w:autoSpaceDN w:val="0"/>
        <w:adjustRightInd w:val="0"/>
        <w:ind w:left="288"/>
        <w:jc w:val="both"/>
      </w:pPr>
    </w:p>
    <w:p w:rsidR="00D704D6" w:rsidRPr="00DF301E" w:rsidP="00DF301E" w14:paraId="4A111ADB" w14:textId="61709165">
      <w:pPr>
        <w:pStyle w:val="ListParagraph"/>
        <w:autoSpaceDE w:val="0"/>
        <w:autoSpaceDN w:val="0"/>
        <w:adjustRightInd w:val="0"/>
        <w:ind w:left="288"/>
        <w:jc w:val="both"/>
        <w:rPr>
          <w:rFonts w:eastAsia="Calibri" w:cstheme="minorHAnsi"/>
          <w:bCs/>
        </w:rPr>
      </w:pPr>
      <w:r w:rsidRPr="00CB2B53">
        <w:t>Our interest is</w:t>
      </w:r>
      <w:r w:rsidR="003C7022">
        <w:t xml:space="preserve"> </w:t>
      </w:r>
      <w:r w:rsidR="003C7022">
        <w:rPr>
          <w:rFonts w:eastAsia="Calibri" w:cstheme="minorHAnsi"/>
          <w:bCs/>
        </w:rPr>
        <w:t xml:space="preserve">to measure students’ immediate outcomes of participating in a </w:t>
      </w:r>
      <w:r w:rsidR="00DF301E">
        <w:rPr>
          <w:rFonts w:eastAsia="Calibri" w:cstheme="minorHAnsi"/>
          <w:bCs/>
        </w:rPr>
        <w:t>NASA MUREP engagement activity</w:t>
      </w:r>
      <w:r w:rsidR="00CB7EA8">
        <w:rPr>
          <w:rFonts w:eastAsia="Calibri" w:cstheme="minorHAnsi"/>
          <w:bCs/>
        </w:rPr>
        <w:t xml:space="preserve"> </w:t>
      </w:r>
      <w:r w:rsidR="003C7022">
        <w:rPr>
          <w:rFonts w:eastAsia="Calibri" w:cstheme="minorHAnsi"/>
          <w:bCs/>
        </w:rPr>
        <w:t xml:space="preserve">and </w:t>
      </w:r>
      <w:r w:rsidR="00BB57ED">
        <w:rPr>
          <w:rFonts w:eastAsia="Calibri" w:cstheme="minorHAnsi"/>
          <w:bCs/>
        </w:rPr>
        <w:t xml:space="preserve">to </w:t>
      </w:r>
      <w:r w:rsidR="003C7022">
        <w:rPr>
          <w:rFonts w:eastAsia="Calibri" w:cstheme="minorHAnsi"/>
          <w:bCs/>
        </w:rPr>
        <w:t xml:space="preserve">assess </w:t>
      </w:r>
      <w:r w:rsidR="009F067B">
        <w:rPr>
          <w:rFonts w:eastAsia="Calibri" w:cstheme="minorHAnsi"/>
          <w:bCs/>
        </w:rPr>
        <w:t xml:space="preserve">what are the </w:t>
      </w:r>
      <w:r w:rsidR="00EE29D6">
        <w:rPr>
          <w:rFonts w:eastAsia="Calibri" w:cstheme="minorHAnsi"/>
          <w:bCs/>
        </w:rPr>
        <w:t xml:space="preserve">psychometric properties of the new constructs developed to measure students’ STEM </w:t>
      </w:r>
      <w:r w:rsidR="00015577">
        <w:rPr>
          <w:rFonts w:eastAsia="Calibri" w:cstheme="minorHAnsi"/>
          <w:bCs/>
        </w:rPr>
        <w:t xml:space="preserve">Identity, </w:t>
      </w:r>
      <w:r w:rsidR="00DF301E">
        <w:rPr>
          <w:rFonts w:eastAsia="Calibri" w:cstheme="minorHAnsi"/>
          <w:bCs/>
        </w:rPr>
        <w:t xml:space="preserve">Sense of Belonging, and </w:t>
      </w:r>
      <w:r w:rsidR="00015577">
        <w:rPr>
          <w:rFonts w:eastAsia="Calibri" w:cstheme="minorHAnsi"/>
          <w:bCs/>
        </w:rPr>
        <w:t>Self-Efficacy</w:t>
      </w:r>
      <w:r w:rsidR="00DF301E">
        <w:rPr>
          <w:rFonts w:eastAsia="Calibri" w:cstheme="minorHAnsi"/>
          <w:bCs/>
        </w:rPr>
        <w:t xml:space="preserve"> and to </w:t>
      </w:r>
      <w:r w:rsidR="00DF301E">
        <w:t xml:space="preserve">collect stakeholders’ perceptions that can support NASA’s continued improvement of the MUREP portfolio. </w:t>
      </w:r>
      <w:r w:rsidRPr="00CB2B53" w:rsidR="001546A8">
        <w:t>Thus, the purpose for testing is to d</w:t>
      </w:r>
      <w:r w:rsidR="001546A8">
        <w:t>evelop valid instrument</w:t>
      </w:r>
      <w:r w:rsidR="00C75F16">
        <w:t>s</w:t>
      </w:r>
      <w:r w:rsidRPr="00CB2B53" w:rsidR="001546A8">
        <w:t xml:space="preserve"> that reliably explain the ways in which </w:t>
      </w:r>
      <w:r w:rsidR="00DF301E">
        <w:t xml:space="preserve">higher education </w:t>
      </w:r>
      <w:r w:rsidRPr="00CB2B53" w:rsidR="001546A8">
        <w:t>participants</w:t>
      </w:r>
      <w:r w:rsidR="00C75F16">
        <w:t xml:space="preserve"> </w:t>
      </w:r>
      <w:r w:rsidRPr="00CB2B53" w:rsidR="001546A8">
        <w:t xml:space="preserve">are impacted by </w:t>
      </w:r>
      <w:r w:rsidR="001546A8">
        <w:t>participation in these activities. G</w:t>
      </w:r>
      <w:r w:rsidRPr="00CB2B53" w:rsidR="001546A8">
        <w:t xml:space="preserve">uided by </w:t>
      </w:r>
      <w:r w:rsidR="001546A8">
        <w:t xml:space="preserve">current STEM education </w:t>
      </w:r>
      <w:r w:rsidRPr="00CB2B53" w:rsidR="001546A8">
        <w:t xml:space="preserve">and measurement methodologies, it is the goal of this rigorous instrument development and testing procedure to provide information that becomes part of the iterative </w:t>
      </w:r>
      <w:r w:rsidR="000A24C2">
        <w:t xml:space="preserve">outcome </w:t>
      </w:r>
      <w:r w:rsidRPr="00CB2B53" w:rsidR="001546A8">
        <w:t>assessment and feedback p</w:t>
      </w:r>
      <w:r w:rsidR="001546A8">
        <w:t xml:space="preserve">rocess for the </w:t>
      </w:r>
      <w:r w:rsidR="00AB4ACE">
        <w:t xml:space="preserve">portfolio of </w:t>
      </w:r>
      <w:r w:rsidR="001546A8">
        <w:t xml:space="preserve">NASA </w:t>
      </w:r>
      <w:r w:rsidR="00DF301E">
        <w:t>MUREP engagement</w:t>
      </w:r>
      <w:r w:rsidR="001546A8">
        <w:t xml:space="preserve"> activities</w:t>
      </w:r>
      <w:r w:rsidRPr="00CB2B53" w:rsidR="001546A8">
        <w:t>.</w:t>
      </w:r>
    </w:p>
    <w:p w:rsidR="00472250" w:rsidP="00273530" w14:paraId="671FCF95" w14:textId="4A6B73C6">
      <w:pPr>
        <w:pStyle w:val="ListParagraph"/>
        <w:autoSpaceDE w:val="0"/>
        <w:autoSpaceDN w:val="0"/>
        <w:adjustRightInd w:val="0"/>
        <w:ind w:left="288"/>
        <w:jc w:val="both"/>
      </w:pPr>
    </w:p>
    <w:p w:rsidR="00EA3E42" w:rsidP="00EA3E42" w14:paraId="76C085BA" w14:textId="1AC7B0F3">
      <w:pPr>
        <w:pStyle w:val="ListParagraph"/>
        <w:autoSpaceDE w:val="0"/>
        <w:autoSpaceDN w:val="0"/>
        <w:adjustRightInd w:val="0"/>
        <w:ind w:left="288"/>
        <w:jc w:val="both"/>
        <w:rPr>
          <w:rFonts w:asciiTheme="minorHAnsi" w:hAnsiTheme="minorHAnsi" w:cstheme="minorHAnsi"/>
        </w:rPr>
      </w:pPr>
      <w:r w:rsidRPr="00D704D6">
        <w:rPr>
          <w:rFonts w:cs="Calibri"/>
          <w:szCs w:val="20"/>
        </w:rPr>
        <w:t>Henc</w:t>
      </w:r>
      <w:r w:rsidRPr="00D704D6">
        <w:rPr>
          <w:rFonts w:cs="Calibri"/>
          <w:spacing w:val="-1"/>
          <w:szCs w:val="20"/>
        </w:rPr>
        <w:t>e</w:t>
      </w:r>
      <w:r w:rsidRPr="00D704D6">
        <w:rPr>
          <w:rFonts w:cs="Calibri"/>
          <w:szCs w:val="20"/>
        </w:rPr>
        <w:t xml:space="preserve">, </w:t>
      </w:r>
      <w:r w:rsidRPr="00D704D6">
        <w:rPr>
          <w:rFonts w:cs="Calibri"/>
          <w:spacing w:val="-2"/>
          <w:szCs w:val="20"/>
        </w:rPr>
        <w:t>t</w:t>
      </w:r>
      <w:r w:rsidRPr="00D704D6">
        <w:rPr>
          <w:rFonts w:cs="Calibri"/>
          <w:szCs w:val="20"/>
        </w:rPr>
        <w:t>he</w:t>
      </w:r>
      <w:r w:rsidRPr="00D704D6">
        <w:rPr>
          <w:rFonts w:cs="Calibri"/>
          <w:spacing w:val="-1"/>
          <w:szCs w:val="20"/>
        </w:rPr>
        <w:t xml:space="preserve"> </w:t>
      </w:r>
      <w:r w:rsidRPr="00D704D6">
        <w:rPr>
          <w:rFonts w:cs="Calibri"/>
          <w:szCs w:val="20"/>
        </w:rPr>
        <w:t>go</w:t>
      </w:r>
      <w:r w:rsidRPr="00D704D6">
        <w:rPr>
          <w:rFonts w:cs="Calibri"/>
          <w:spacing w:val="-1"/>
          <w:szCs w:val="20"/>
        </w:rPr>
        <w:t>a</w:t>
      </w:r>
      <w:r w:rsidRPr="00D704D6">
        <w:rPr>
          <w:rFonts w:cs="Calibri"/>
          <w:szCs w:val="20"/>
        </w:rPr>
        <w:t>ls</w:t>
      </w:r>
      <w:r w:rsidRPr="00D704D6">
        <w:rPr>
          <w:rFonts w:cs="Calibri"/>
          <w:spacing w:val="-1"/>
          <w:szCs w:val="20"/>
        </w:rPr>
        <w:t xml:space="preserve"> </w:t>
      </w:r>
      <w:r w:rsidRPr="00D704D6">
        <w:rPr>
          <w:rFonts w:cs="Calibri"/>
          <w:szCs w:val="20"/>
        </w:rPr>
        <w:t>of this</w:t>
      </w:r>
      <w:r w:rsidRPr="00D704D6">
        <w:rPr>
          <w:rFonts w:cs="Calibri"/>
          <w:spacing w:val="-2"/>
          <w:szCs w:val="20"/>
        </w:rPr>
        <w:t xml:space="preserve"> </w:t>
      </w:r>
      <w:r w:rsidR="0044364D">
        <w:rPr>
          <w:rFonts w:cs="Calibri"/>
          <w:szCs w:val="20"/>
        </w:rPr>
        <w:t>study</w:t>
      </w:r>
      <w:r w:rsidRPr="00D704D6">
        <w:rPr>
          <w:rFonts w:cs="Calibri"/>
          <w:szCs w:val="20"/>
        </w:rPr>
        <w:t xml:space="preserve"> are</w:t>
      </w:r>
      <w:r w:rsidR="008F70BB">
        <w:rPr>
          <w:rFonts w:cs="Calibri"/>
          <w:szCs w:val="20"/>
        </w:rPr>
        <w:t xml:space="preserve"> to </w:t>
      </w:r>
      <w:r>
        <w:t xml:space="preserve">assess outcomes related to participation in MUREP activities or in collaboration with the MUREP program. To assess these short-term outcomes, we will use an outcome (also called effectiveness) evaluation design. It is important to distinguish an outcome evaluation study from an impact evaluation study. The goals of an outcome evaluation study are to identify the results or effects of a program and measure program beneficiaries’ changes in knowledge, attitude(s), and/or behavior(s) that result from participation in a program. Outcome evaluation measures program effects in the target population by assessing the progress in the outcomes or outcome objectives that the program is to achieve. </w:t>
      </w:r>
    </w:p>
    <w:p w:rsidR="00EA3E42" w:rsidP="00EA3E42" w14:paraId="52D72D2D" w14:textId="77777777">
      <w:pPr>
        <w:pStyle w:val="ListParagraph"/>
        <w:autoSpaceDE w:val="0"/>
        <w:autoSpaceDN w:val="0"/>
        <w:adjustRightInd w:val="0"/>
        <w:ind w:left="288"/>
        <w:jc w:val="both"/>
        <w:rPr>
          <w:rFonts w:asciiTheme="minorHAnsi" w:hAnsiTheme="minorHAnsi" w:cstheme="minorHAnsi"/>
        </w:rPr>
      </w:pPr>
    </w:p>
    <w:p w:rsidR="00EA3E42" w:rsidRPr="003F7BE7" w:rsidP="00472250" w14:paraId="3EB9BE26" w14:textId="77777777">
      <w:pPr>
        <w:pStyle w:val="ListParagraph"/>
        <w:autoSpaceDE w:val="0"/>
        <w:autoSpaceDN w:val="0"/>
        <w:adjustRightInd w:val="0"/>
        <w:ind w:left="288"/>
        <w:jc w:val="both"/>
        <w:rPr>
          <w:rFonts w:cs="Calibri"/>
        </w:rPr>
      </w:pPr>
    </w:p>
    <w:p w:rsidR="0091208B" w:rsidP="0091208B" w14:paraId="0405F24E" w14:textId="77777777">
      <w:pPr>
        <w:tabs>
          <w:tab w:val="left" w:pos="1260"/>
        </w:tabs>
        <w:kinsoku w:val="0"/>
        <w:overflowPunct w:val="0"/>
        <w:autoSpaceDE w:val="0"/>
        <w:autoSpaceDN w:val="0"/>
        <w:adjustRightInd w:val="0"/>
        <w:ind w:left="360"/>
        <w:rPr>
          <w:rFonts w:cs="Calibri"/>
          <w:szCs w:val="20"/>
        </w:rPr>
      </w:pPr>
    </w:p>
    <w:p w:rsidR="004C033C" w:rsidP="004C033C" w14:paraId="732D52E7" w14:textId="77777777">
      <w:pPr>
        <w:tabs>
          <w:tab w:val="left" w:pos="1260"/>
        </w:tabs>
        <w:kinsoku w:val="0"/>
        <w:overflowPunct w:val="0"/>
        <w:autoSpaceDE w:val="0"/>
        <w:autoSpaceDN w:val="0"/>
        <w:adjustRightInd w:val="0"/>
        <w:ind w:left="360"/>
        <w:rPr>
          <w:rFonts w:cs="Calibri"/>
          <w:szCs w:val="20"/>
        </w:rPr>
      </w:pPr>
    </w:p>
    <w:p w:rsidR="00AE626D" w:rsidRPr="00AE626D" w:rsidP="00543F26" w14:paraId="27B44C6C" w14:textId="4550AFC7">
      <w:pPr>
        <w:pStyle w:val="ListParagraph"/>
        <w:numPr>
          <w:ilvl w:val="0"/>
          <w:numId w:val="5"/>
        </w:numPr>
        <w:jc w:val="both"/>
        <w:rPr>
          <w:bCs/>
          <w:szCs w:val="24"/>
        </w:rPr>
      </w:pPr>
      <w:r w:rsidRPr="003A5B42">
        <w:rPr>
          <w:b/>
        </w:rPr>
        <w:t>RESEARCH DESIGN OVERVIEW:</w:t>
      </w:r>
      <w:r w:rsidRPr="003A5B42" w:rsidR="00C04C8A">
        <w:rPr>
          <w:szCs w:val="24"/>
        </w:rPr>
        <w:t xml:space="preserve"> </w:t>
      </w:r>
      <w:r w:rsidRPr="00E636A5" w:rsidR="00AB1793">
        <w:rPr>
          <w:szCs w:val="24"/>
        </w:rPr>
        <w:t xml:space="preserve">NASA’s work in STEM Engagement is focused on serving students. </w:t>
      </w:r>
      <w:r w:rsidR="00DF301E">
        <w:t xml:space="preserve">MUREP provides support via competitive opportunities and awards to MSIs. MUREP investments enhance the research, academic, and technology capabilities of MSIs through multiyear cooperative agreements, bolstering their capacity in educating and preparing students for STEM careers. MUREP will continue to expand competitive opportunities to address specific gaps needs while building capacity at institutions. </w:t>
      </w:r>
      <w:r w:rsidRPr="00395FCD" w:rsidR="00DF301E">
        <w:rPr>
          <w:bCs/>
        </w:rPr>
        <w:t xml:space="preserve">The </w:t>
      </w:r>
      <w:r w:rsidRPr="00543F26" w:rsidR="00DF301E">
        <w:rPr>
          <w:bCs/>
        </w:rPr>
        <w:t>t</w:t>
      </w:r>
      <w:r w:rsidR="00DF301E">
        <w:rPr>
          <w:bCs/>
        </w:rPr>
        <w:t xml:space="preserve">wo </w:t>
      </w:r>
      <w:r w:rsidRPr="00543F26" w:rsidR="00DF301E">
        <w:rPr>
          <w:bCs/>
        </w:rPr>
        <w:t>instruments (</w:t>
      </w:r>
      <w:r w:rsidR="00DF301E">
        <w:rPr>
          <w:bCs/>
        </w:rPr>
        <w:t>principal investigator survey and student survey)</w:t>
      </w:r>
      <w:r w:rsidR="00DF301E">
        <w:t xml:space="preserve"> collect stakeholders’ perceptions that can support NASA’s continued improvement of the MUREP portfolio, and </w:t>
      </w:r>
      <w:r w:rsidRPr="00543F26" w:rsidR="00DF301E">
        <w:rPr>
          <w:bCs/>
        </w:rPr>
        <w:t>measur</w:t>
      </w:r>
      <w:r w:rsidR="00DF301E">
        <w:rPr>
          <w:bCs/>
        </w:rPr>
        <w:t>e</w:t>
      </w:r>
      <w:r w:rsidRPr="00543F26" w:rsidR="00DF301E">
        <w:rPr>
          <w:bCs/>
        </w:rPr>
        <w:t xml:space="preserve"> student outcomes of participation in </w:t>
      </w:r>
      <w:r w:rsidR="00DF301E">
        <w:t>NASA MUREP-funded programs, activities, and/or resources. Recruitment, STEM Identity, Sense of Belonging, Retention and Self-Efficacy are measures of interest.</w:t>
      </w:r>
      <w:r w:rsidR="00543F26">
        <w:rPr>
          <w:bCs/>
          <w:color w:val="000000" w:themeColor="text1"/>
        </w:rPr>
        <w:t xml:space="preserve"> </w:t>
      </w:r>
      <w:r w:rsidR="00543F26">
        <w:rPr>
          <w:szCs w:val="24"/>
        </w:rPr>
        <w:t xml:space="preserve">This </w:t>
      </w:r>
      <w:r w:rsidRPr="00AE626D">
        <w:rPr>
          <w:szCs w:val="24"/>
        </w:rPr>
        <w:t xml:space="preserve">study is program evaluation and will be guided by </w:t>
      </w:r>
      <w:r w:rsidR="00C27A3E">
        <w:rPr>
          <w:szCs w:val="24"/>
        </w:rPr>
        <w:t>nine</w:t>
      </w:r>
      <w:r w:rsidRPr="00AE626D">
        <w:rPr>
          <w:szCs w:val="24"/>
        </w:rPr>
        <w:t xml:space="preserve"> </w:t>
      </w:r>
      <w:r w:rsidRPr="00AE626D">
        <w:rPr>
          <w:bCs/>
          <w:szCs w:val="24"/>
        </w:rPr>
        <w:t xml:space="preserve">evaluation questions for the approach and design of this study. Evaluation questions are presented in Figure </w:t>
      </w:r>
      <w:r w:rsidR="00543F26">
        <w:rPr>
          <w:bCs/>
          <w:szCs w:val="24"/>
        </w:rPr>
        <w:t>1</w:t>
      </w:r>
      <w:r w:rsidRPr="00AE626D">
        <w:rPr>
          <w:bCs/>
          <w:szCs w:val="24"/>
        </w:rPr>
        <w:t xml:space="preserve"> below. </w:t>
      </w:r>
    </w:p>
    <w:p w:rsidR="00AE626D" w:rsidRPr="00AE626D" w:rsidP="00543F26" w14:paraId="4AE4A320" w14:textId="5E6288B8">
      <w:pPr>
        <w:pStyle w:val="ListParagraph"/>
        <w:ind w:left="288"/>
        <w:jc w:val="center"/>
        <w:rPr>
          <w:szCs w:val="24"/>
        </w:rPr>
      </w:pPr>
      <w:r w:rsidRPr="00A038E9">
        <w:rPr>
          <w:noProof/>
        </w:rPr>
        <w:t xml:space="preserve"> </w:t>
      </w:r>
      <w:r>
        <w:rPr>
          <w:noProof/>
        </w:rPr>
        <w:drawing>
          <wp:inline distT="0" distB="0" distL="0" distR="0">
            <wp:extent cx="5857875" cy="3495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a:stretch>
                      <a:fillRect/>
                    </a:stretch>
                  </pic:blipFill>
                  <pic:spPr>
                    <a:xfrm>
                      <a:off x="0" y="0"/>
                      <a:ext cx="5857875" cy="3495675"/>
                    </a:xfrm>
                    <a:prstGeom prst="rect">
                      <a:avLst/>
                    </a:prstGeom>
                  </pic:spPr>
                </pic:pic>
              </a:graphicData>
            </a:graphic>
          </wp:inline>
        </w:drawing>
      </w:r>
    </w:p>
    <w:p w:rsidR="00AE626D" w:rsidRPr="00AE626D" w:rsidP="00543F26" w14:paraId="4052DEF0" w14:textId="75F2DB96">
      <w:pPr>
        <w:pStyle w:val="ListParagraph"/>
        <w:ind w:left="288"/>
        <w:jc w:val="center"/>
        <w:rPr>
          <w:b/>
          <w:bCs/>
          <w:i/>
          <w:iCs/>
          <w:szCs w:val="24"/>
        </w:rPr>
      </w:pPr>
      <w:r w:rsidRPr="00AE626D">
        <w:rPr>
          <w:b/>
          <w:bCs/>
          <w:szCs w:val="24"/>
        </w:rPr>
        <w:t xml:space="preserve">Figure </w:t>
      </w:r>
      <w:r w:rsidR="00543F26">
        <w:rPr>
          <w:b/>
          <w:bCs/>
          <w:szCs w:val="24"/>
        </w:rPr>
        <w:t>1</w:t>
      </w:r>
      <w:r w:rsidRPr="00AE626D">
        <w:rPr>
          <w:b/>
          <w:bCs/>
          <w:szCs w:val="24"/>
        </w:rPr>
        <w:t xml:space="preserve">. </w:t>
      </w:r>
      <w:r w:rsidRPr="00AE626D">
        <w:rPr>
          <w:b/>
          <w:bCs/>
          <w:i/>
          <w:iCs/>
          <w:szCs w:val="24"/>
        </w:rPr>
        <w:t>Evaluation Questions</w:t>
      </w:r>
    </w:p>
    <w:p w:rsidR="00AE626D" w:rsidRPr="00AE626D" w:rsidP="00AE626D" w14:paraId="463F6EA2" w14:textId="77777777">
      <w:pPr>
        <w:pStyle w:val="ListParagraph"/>
        <w:ind w:left="288"/>
        <w:jc w:val="both"/>
        <w:rPr>
          <w:b/>
          <w:szCs w:val="24"/>
        </w:rPr>
      </w:pPr>
    </w:p>
    <w:p w:rsidR="00AE626D" w:rsidP="006D6FC6" w14:paraId="4CB1470C" w14:textId="47FF6450">
      <w:pPr>
        <w:pStyle w:val="ListParagraph"/>
        <w:ind w:left="288"/>
        <w:jc w:val="both"/>
        <w:rPr>
          <w:szCs w:val="24"/>
        </w:rPr>
      </w:pPr>
    </w:p>
    <w:p w:rsidR="00AE626D" w:rsidP="006D6FC6" w14:paraId="2BB81972" w14:textId="77777777">
      <w:pPr>
        <w:pStyle w:val="ListParagraph"/>
        <w:ind w:left="288"/>
        <w:jc w:val="both"/>
        <w:rPr>
          <w:szCs w:val="24"/>
        </w:rPr>
      </w:pPr>
    </w:p>
    <w:p w:rsidR="00E570DF" w:rsidP="00E570DF" w14:paraId="17617D45" w14:textId="16B4362E">
      <w:pPr>
        <w:pStyle w:val="ListParagraph"/>
        <w:ind w:left="288"/>
        <w:rPr>
          <w:szCs w:val="24"/>
        </w:rPr>
      </w:pPr>
      <w:r>
        <w:rPr>
          <w:szCs w:val="24"/>
        </w:rPr>
        <w:t>The t</w:t>
      </w:r>
      <w:r w:rsidR="00DF301E">
        <w:rPr>
          <w:szCs w:val="24"/>
        </w:rPr>
        <w:t>wo</w:t>
      </w:r>
      <w:r>
        <w:rPr>
          <w:szCs w:val="24"/>
        </w:rPr>
        <w:t xml:space="preserve"> develop</w:t>
      </w:r>
      <w:r w:rsidRPr="00520CE4" w:rsidR="00520CE4">
        <w:rPr>
          <w:szCs w:val="24"/>
        </w:rPr>
        <w:t xml:space="preserve"> </w:t>
      </w:r>
      <w:r w:rsidR="00DF301E">
        <w:rPr>
          <w:szCs w:val="24"/>
        </w:rPr>
        <w:t xml:space="preserve">instruments </w:t>
      </w:r>
      <w:r w:rsidRPr="00520CE4" w:rsidR="00520CE4">
        <w:rPr>
          <w:szCs w:val="24"/>
        </w:rPr>
        <w:t>will be placed into Survey Monkey online software, and a survey link will be distributed through email to</w:t>
      </w:r>
      <w:r>
        <w:rPr>
          <w:szCs w:val="24"/>
        </w:rPr>
        <w:t xml:space="preserve"> ~</w:t>
      </w:r>
      <w:r w:rsidR="001F33A7">
        <w:rPr>
          <w:szCs w:val="24"/>
        </w:rPr>
        <w:t>500</w:t>
      </w:r>
      <w:r w:rsidRPr="00520CE4" w:rsidR="00F477A0">
        <w:rPr>
          <w:szCs w:val="24"/>
        </w:rPr>
        <w:t xml:space="preserve"> </w:t>
      </w:r>
      <w:r w:rsidRPr="00520CE4" w:rsidR="00520CE4">
        <w:rPr>
          <w:szCs w:val="24"/>
        </w:rPr>
        <w:t xml:space="preserve">NASA </w:t>
      </w:r>
      <w:r w:rsidR="00DF301E">
        <w:rPr>
          <w:szCs w:val="24"/>
        </w:rPr>
        <w:t xml:space="preserve">MUREP </w:t>
      </w:r>
      <w:r w:rsidR="005F0ADF">
        <w:rPr>
          <w:szCs w:val="24"/>
        </w:rPr>
        <w:t>p</w:t>
      </w:r>
      <w:r w:rsidR="00DF301E">
        <w:rPr>
          <w:szCs w:val="24"/>
        </w:rPr>
        <w:t xml:space="preserve">rincipal </w:t>
      </w:r>
      <w:r w:rsidR="005F0ADF">
        <w:rPr>
          <w:szCs w:val="24"/>
        </w:rPr>
        <w:t>i</w:t>
      </w:r>
      <w:r w:rsidR="00DF301E">
        <w:rPr>
          <w:szCs w:val="24"/>
        </w:rPr>
        <w:t xml:space="preserve">nvestigators and </w:t>
      </w:r>
      <w:r w:rsidR="005F0ADF">
        <w:rPr>
          <w:szCs w:val="24"/>
        </w:rPr>
        <w:t>h</w:t>
      </w:r>
      <w:r w:rsidR="00DF301E">
        <w:rPr>
          <w:szCs w:val="24"/>
        </w:rPr>
        <w:t xml:space="preserve">igher </w:t>
      </w:r>
      <w:r w:rsidR="005F0ADF">
        <w:rPr>
          <w:szCs w:val="24"/>
        </w:rPr>
        <w:t>e</w:t>
      </w:r>
      <w:r w:rsidR="00DF301E">
        <w:rPr>
          <w:szCs w:val="24"/>
        </w:rPr>
        <w:t xml:space="preserve">ducation </w:t>
      </w:r>
      <w:r w:rsidR="005F0ADF">
        <w:rPr>
          <w:szCs w:val="24"/>
        </w:rPr>
        <w:t>s</w:t>
      </w:r>
      <w:r w:rsidR="00DF301E">
        <w:rPr>
          <w:szCs w:val="24"/>
        </w:rPr>
        <w:t xml:space="preserve">tudent </w:t>
      </w:r>
      <w:r w:rsidR="005F0ADF">
        <w:rPr>
          <w:szCs w:val="24"/>
        </w:rPr>
        <w:t>p</w:t>
      </w:r>
      <w:r w:rsidRPr="00520CE4" w:rsidR="00520CE4">
        <w:rPr>
          <w:szCs w:val="24"/>
        </w:rPr>
        <w:t xml:space="preserve">articipants. </w:t>
      </w:r>
      <w:r>
        <w:rPr>
          <w:szCs w:val="24"/>
        </w:rPr>
        <w:t xml:space="preserve">Quantitative </w:t>
      </w:r>
      <w:r w:rsidRPr="00E570DF">
        <w:rPr>
          <w:szCs w:val="24"/>
        </w:rPr>
        <w:t xml:space="preserve">and qualitative methods </w:t>
      </w:r>
      <w:r>
        <w:rPr>
          <w:szCs w:val="24"/>
        </w:rPr>
        <w:t xml:space="preserve">will be used </w:t>
      </w:r>
      <w:r w:rsidRPr="00E570DF">
        <w:rPr>
          <w:szCs w:val="24"/>
        </w:rPr>
        <w:t>to analyze survey data. Quantitative data will be summarized using descriptive statistics such as numbers of respondents, frequencies and proportions of responses, average response when responses categories are assigned to a Likert scale (e.g., 1 = “</w:t>
      </w:r>
      <w:r w:rsidR="005F0ADF">
        <w:rPr>
          <w:szCs w:val="24"/>
        </w:rPr>
        <w:t>Strongly Disagree</w:t>
      </w:r>
      <w:r w:rsidRPr="00E570DF">
        <w:rPr>
          <w:szCs w:val="24"/>
        </w:rPr>
        <w:t xml:space="preserve">” to </w:t>
      </w:r>
      <w:r w:rsidR="005F0ADF">
        <w:rPr>
          <w:szCs w:val="24"/>
        </w:rPr>
        <w:t>6</w:t>
      </w:r>
      <w:r w:rsidRPr="00E570DF">
        <w:rPr>
          <w:szCs w:val="24"/>
        </w:rPr>
        <w:t xml:space="preserve"> = “</w:t>
      </w:r>
      <w:r w:rsidR="005F0ADF">
        <w:rPr>
          <w:szCs w:val="24"/>
        </w:rPr>
        <w:t>Strongly Agree</w:t>
      </w:r>
      <w:r w:rsidRPr="00E570DF">
        <w:rPr>
          <w:szCs w:val="24"/>
        </w:rPr>
        <w:t>”), and standard deviations. Emergent coding will be used for the qualitative data to identify the most common themes in responses.</w:t>
      </w:r>
    </w:p>
    <w:p w:rsidR="00E570DF" w:rsidRPr="00E570DF" w:rsidP="00E570DF" w14:paraId="462BA941" w14:textId="77777777">
      <w:pPr>
        <w:pStyle w:val="ListParagraph"/>
        <w:ind w:left="288"/>
        <w:rPr>
          <w:szCs w:val="24"/>
        </w:rPr>
      </w:pPr>
    </w:p>
    <w:p w:rsidR="003F7D2F" w:rsidRPr="003F7D2F" w:rsidP="003F7D2F" w14:paraId="69F45359" w14:textId="0A8712FC">
      <w:pPr>
        <w:pStyle w:val="ListParagraph"/>
        <w:ind w:left="288"/>
        <w:rPr>
          <w:szCs w:val="24"/>
        </w:rPr>
      </w:pPr>
      <w:r w:rsidRPr="003F7D2F">
        <w:rPr>
          <w:szCs w:val="24"/>
        </w:rPr>
        <w:t>The survey instruments to be used in this study have been created based on the research questions proposed. Survey items have either been created specifically for this evaluation or have been identified in existing measures (e.g., the STEM-PIO-1). This evaluation effort proposes three indicators to measure student engagement and one indicator for measuring student retention in the STEM pathway. The first measure of student engagement is the STEM Professional Identity Overlap (STEM-PIO-1) developed by McDonald et al. (2019) which measures students’ perception of the overlap between the image they have of themselves compared to the image they have of STEM professionals. A systematic review of the research literature by Kuchynka et al. (2020) indicates that long-term commitment among students from groups historically underrepresented and underserved in the STEM discipline is associated with the cultivation and incorporation of STEM into one’s self-concept. The STEM-PIO-1 is a single survey item that asks students to respond to a prompt by selecting the image that best describes the current overlap of the image they have of “I” and that of what a STEM professional is.</w:t>
      </w:r>
    </w:p>
    <w:p w:rsidR="003F7D2F" w:rsidRPr="003F7D2F" w:rsidP="003F7D2F" w14:paraId="5D2E7DAF" w14:textId="77777777">
      <w:pPr>
        <w:pStyle w:val="ListParagraph"/>
        <w:ind w:left="288"/>
        <w:rPr>
          <w:szCs w:val="24"/>
        </w:rPr>
      </w:pPr>
    </w:p>
    <w:p w:rsidR="003F7D2F" w:rsidRPr="003F7D2F" w:rsidP="003F7D2F" w14:paraId="5B98822E" w14:textId="062C8284">
      <w:pPr>
        <w:pStyle w:val="ListParagraph"/>
        <w:ind w:left="288"/>
        <w:rPr>
          <w:szCs w:val="24"/>
        </w:rPr>
      </w:pPr>
      <w:r w:rsidRPr="003F7D2F">
        <w:rPr>
          <w:szCs w:val="24"/>
        </w:rPr>
        <w:t>The second measure for student engagement is adapted from the Departmental Sense of Belonging and Involvement (DeSBI) developed by Knetka et al. (20</w:t>
      </w:r>
      <w:r w:rsidR="00887BCD">
        <w:rPr>
          <w:szCs w:val="24"/>
        </w:rPr>
        <w:t>20</w:t>
      </w:r>
      <w:r w:rsidRPr="003F7D2F">
        <w:rPr>
          <w:szCs w:val="24"/>
        </w:rPr>
        <w:t xml:space="preserve">). Although there are many survey instruments measuring school belonging available in the research literature, the DeSBI was selected because it specifically targets students’ sense of belonging to and involvement in university departments which is similar to the context of MUREP-Funded Activities. The original DeSBI will be modified to reflect the context of the current evaluation sites. </w:t>
      </w:r>
    </w:p>
    <w:p w:rsidR="003F7D2F" w:rsidRPr="003F7D2F" w:rsidP="003F7D2F" w14:paraId="04C7163A" w14:textId="77777777">
      <w:pPr>
        <w:pStyle w:val="ListParagraph"/>
        <w:ind w:left="288"/>
        <w:rPr>
          <w:szCs w:val="24"/>
        </w:rPr>
      </w:pPr>
    </w:p>
    <w:p w:rsidR="003F7D2F" w:rsidRPr="003F7D2F" w:rsidP="003F7D2F" w14:paraId="64AC57AE" w14:textId="77777777">
      <w:pPr>
        <w:pStyle w:val="ListParagraph"/>
        <w:ind w:left="288"/>
        <w:rPr>
          <w:szCs w:val="24"/>
        </w:rPr>
      </w:pPr>
      <w:r w:rsidRPr="003F7D2F">
        <w:rPr>
          <w:szCs w:val="24"/>
        </w:rPr>
        <w:t xml:space="preserve">Since the DeBSI consists of 20 survey items, it is possible that students may experience survey fatigue and therefore resulting in decreased response rates and the quality of the data. To address this issue, the DeBSI will be shortened to include a total of 9 items. These 9 items will include 3 items with the highest factor loadings associated with each of the latent constructs examined in the survey. Although this approach will lose some of the psychometric properties associated with the original survey, data collected from the modified DeBSI survey will help inform the development of a new survey that may be more appropriate for the context of the current evaluation efforts. </w:t>
      </w:r>
    </w:p>
    <w:p w:rsidR="003F7D2F" w:rsidRPr="003F7D2F" w:rsidP="003F7D2F" w14:paraId="42AC9949" w14:textId="77777777">
      <w:pPr>
        <w:pStyle w:val="ListParagraph"/>
        <w:ind w:left="288"/>
        <w:rPr>
          <w:szCs w:val="24"/>
        </w:rPr>
      </w:pPr>
    </w:p>
    <w:p w:rsidR="003F7D2F" w:rsidRPr="00887BCD" w:rsidP="003F7D2F" w14:paraId="1DFE8121" w14:textId="72814EA6">
      <w:pPr>
        <w:pStyle w:val="ListParagraph"/>
        <w:ind w:left="288"/>
        <w:rPr>
          <w:szCs w:val="24"/>
        </w:rPr>
      </w:pPr>
      <w:r w:rsidRPr="00887BCD">
        <w:rPr>
          <w:szCs w:val="24"/>
        </w:rPr>
        <w:t>The third measure for student engagement is academic self-efficacy. Self-efficacy is defined as the self-appraisal of one’s ability to successfully execute a course of action to reach a desired goal (Bandura, 1977). This broad definition has been applied across various settings such as smoking cessation therapy (Gwaltney, 2009), work-related performance (Judge et al., 20007), exercise (Schutzer &amp; Graves, 2004), and education (Honicke &amp; Broadbent, 2016), to name a few. To distinguish between academic self-efficacy and general self-efficacy (Scholz et al., 2002), academic self-efficacy is defined as a student’s confidence in his or her ability to complete specific academic tasks. Several longitudinal research studies revealed positive associations between academic self-efficacy and persistence in college (Gore, 2006) as well as course performance (Cassidy, 2012). The survey was modified to fit the contextual circumstances of NASA’s MUREP program and the Office of STEM Engagement goals and objectives.</w:t>
      </w:r>
    </w:p>
    <w:p w:rsidR="00E570DF" w:rsidP="00E570DF" w14:paraId="1228C4A3" w14:textId="77777777">
      <w:pPr>
        <w:pStyle w:val="ListParagraph"/>
        <w:ind w:left="288"/>
        <w:jc w:val="both"/>
        <w:rPr>
          <w:b/>
          <w:bCs/>
          <w:i/>
          <w:iCs/>
          <w:szCs w:val="24"/>
        </w:rPr>
      </w:pPr>
    </w:p>
    <w:p w:rsidR="00D704D6" w:rsidP="00D704D6" w14:paraId="4F988B2C" w14:textId="6E26E517">
      <w:pPr>
        <w:pStyle w:val="ListParagraph"/>
        <w:ind w:left="288"/>
        <w:jc w:val="both"/>
        <w:rPr>
          <w:szCs w:val="24"/>
        </w:rPr>
      </w:pPr>
    </w:p>
    <w:p w:rsidR="00345D9E" w:rsidRPr="00274390" w:rsidP="00AD35CC" w14:paraId="2A2007C1" w14:textId="27BDA8CC">
      <w:pPr>
        <w:pStyle w:val="ListParagraph"/>
        <w:numPr>
          <w:ilvl w:val="0"/>
          <w:numId w:val="3"/>
        </w:numPr>
        <w:jc w:val="both"/>
        <w:rPr>
          <w:b/>
        </w:rPr>
      </w:pPr>
      <w:r w:rsidRPr="00274390">
        <w:rPr>
          <w:b/>
        </w:rPr>
        <w:t>TIMELINE:</w:t>
      </w:r>
      <w:r w:rsidRPr="00274390" w:rsidR="00A77CF4">
        <w:rPr>
          <w:b/>
        </w:rPr>
        <w:t xml:space="preserve">  </w:t>
      </w:r>
      <w:r w:rsidR="00E46F6E">
        <w:t>T</w:t>
      </w:r>
      <w:r w:rsidRPr="002300C0" w:rsidR="00A77CF4">
        <w:t>esting</w:t>
      </w:r>
      <w:r w:rsidRPr="00A77CF4" w:rsidR="00A77CF4">
        <w:t xml:space="preserve"> of </w:t>
      </w:r>
      <w:r w:rsidR="00B95255">
        <w:t xml:space="preserve">the </w:t>
      </w:r>
      <w:r w:rsidR="003F7D2F">
        <w:rPr>
          <w:bCs/>
          <w:color w:val="000000" w:themeColor="text1"/>
        </w:rPr>
        <w:t>two</w:t>
      </w:r>
      <w:r w:rsidRPr="00D56270" w:rsidR="00E63C8B">
        <w:rPr>
          <w:bCs/>
          <w:color w:val="000000" w:themeColor="text1"/>
        </w:rPr>
        <w:t xml:space="preserve"> instruments</w:t>
      </w:r>
      <w:r w:rsidRPr="00A77CF4" w:rsidR="00E63C8B">
        <w:t xml:space="preserve"> </w:t>
      </w:r>
      <w:r w:rsidR="00E63C8B">
        <w:t xml:space="preserve">(NASA </w:t>
      </w:r>
      <w:r w:rsidR="003F7D2F">
        <w:t xml:space="preserve">MUREP Principal Investigator </w:t>
      </w:r>
      <w:r w:rsidR="00E63C8B">
        <w:t>Survey</w:t>
      </w:r>
      <w:r w:rsidR="003F7D2F">
        <w:t xml:space="preserve"> and NASA MUREP Student</w:t>
      </w:r>
      <w:r w:rsidR="00E63C8B">
        <w:t xml:space="preserve"> Survey) </w:t>
      </w:r>
      <w:r w:rsidRPr="00A77CF4" w:rsidR="00A77CF4">
        <w:t xml:space="preserve">will take place </w:t>
      </w:r>
      <w:r w:rsidR="00B95255">
        <w:t xml:space="preserve">in </w:t>
      </w:r>
      <w:r w:rsidR="00324D19">
        <w:t>April</w:t>
      </w:r>
      <w:r w:rsidR="003F7D2F">
        <w:t xml:space="preserve"> </w:t>
      </w:r>
      <w:r w:rsidR="00B4225B">
        <w:t>202</w:t>
      </w:r>
      <w:r w:rsidR="00E74EC4">
        <w:t>3</w:t>
      </w:r>
      <w:r w:rsidR="00B4225B">
        <w:t xml:space="preserve"> – </w:t>
      </w:r>
      <w:r w:rsidR="00E74EC4">
        <w:t>March</w:t>
      </w:r>
      <w:r w:rsidR="00B4225B">
        <w:t xml:space="preserve"> 202</w:t>
      </w:r>
      <w:r w:rsidR="00E74EC4">
        <w:t>4</w:t>
      </w:r>
      <w:r w:rsidR="00B4225B">
        <w:t xml:space="preserve"> </w:t>
      </w:r>
      <w:r w:rsidR="00520CE4">
        <w:t>with</w:t>
      </w:r>
      <w:r w:rsidR="003F7D2F">
        <w:t xml:space="preserve"> principal investigators and </w:t>
      </w:r>
      <w:r w:rsidR="001A788E">
        <w:t xml:space="preserve">higher education </w:t>
      </w:r>
      <w:r w:rsidR="00270C63">
        <w:t xml:space="preserve">student participants </w:t>
      </w:r>
      <w:r w:rsidR="0040053A">
        <w:t xml:space="preserve">from </w:t>
      </w:r>
      <w:r w:rsidR="00F53E91">
        <w:t xml:space="preserve">NASA </w:t>
      </w:r>
      <w:r w:rsidR="003F7D2F">
        <w:t xml:space="preserve">MUREP engagements and </w:t>
      </w:r>
      <w:r w:rsidR="0040053A">
        <w:t>activities</w:t>
      </w:r>
      <w:r w:rsidR="00F53E91">
        <w:t xml:space="preserve"> in</w:t>
      </w:r>
      <w:r w:rsidR="00F93945">
        <w:t xml:space="preserve"> coordinat</w:t>
      </w:r>
      <w:r w:rsidR="00F53E91">
        <w:t>ion</w:t>
      </w:r>
      <w:r w:rsidR="00F93945">
        <w:t xml:space="preserve"> with </w:t>
      </w:r>
      <w:r w:rsidR="00270C63">
        <w:t xml:space="preserve">project </w:t>
      </w:r>
      <w:r w:rsidR="0040053A">
        <w:t>management</w:t>
      </w:r>
      <w:r w:rsidR="008F5833">
        <w:t>.</w:t>
      </w:r>
      <w:r w:rsidRPr="00A77CF4" w:rsidR="00A77CF4">
        <w:t xml:space="preserve"> </w:t>
      </w:r>
    </w:p>
    <w:p w:rsidR="00274390" w:rsidRPr="00274390" w:rsidP="00274390" w14:paraId="29D638C1" w14:textId="77777777">
      <w:pPr>
        <w:pStyle w:val="ListParagraph"/>
        <w:ind w:left="288"/>
        <w:jc w:val="both"/>
        <w:rPr>
          <w:b/>
        </w:rPr>
      </w:pPr>
    </w:p>
    <w:p w:rsidR="00520CE4" w:rsidRPr="00520CE4" w:rsidP="00AD35CC" w14:paraId="1A4BFC16" w14:textId="730E17C5">
      <w:pPr>
        <w:pStyle w:val="ListParagraph"/>
        <w:numPr>
          <w:ilvl w:val="0"/>
          <w:numId w:val="3"/>
        </w:numPr>
        <w:jc w:val="both"/>
      </w:pPr>
      <w:r w:rsidRPr="00ED47F9">
        <w:rPr>
          <w:b/>
        </w:rPr>
        <w:t>SAMPLING STRATEGY:</w:t>
      </w:r>
      <w:r w:rsidRPr="00ED47F9" w:rsidR="00FF5262">
        <w:rPr>
          <w:b/>
        </w:rPr>
        <w:t xml:space="preserve"> </w:t>
      </w:r>
      <w:r w:rsidR="00474322">
        <w:rPr>
          <w:bCs/>
        </w:rPr>
        <w:t xml:space="preserve">The universe of NASA </w:t>
      </w:r>
      <w:r w:rsidR="00C75F8A">
        <w:rPr>
          <w:bCs/>
        </w:rPr>
        <w:t>MUREP Principal Investigators</w:t>
      </w:r>
      <w:r w:rsidR="001A788E">
        <w:rPr>
          <w:bCs/>
        </w:rPr>
        <w:t xml:space="preserve"> (PIs)</w:t>
      </w:r>
      <w:r w:rsidR="00C75F8A">
        <w:rPr>
          <w:bCs/>
        </w:rPr>
        <w:t xml:space="preserve"> and </w:t>
      </w:r>
      <w:r w:rsidR="001A788E">
        <w:rPr>
          <w:bCs/>
        </w:rPr>
        <w:t>higher education s</w:t>
      </w:r>
      <w:r w:rsidR="00C75F8A">
        <w:rPr>
          <w:bCs/>
        </w:rPr>
        <w:t>tudent</w:t>
      </w:r>
      <w:r w:rsidR="00474322">
        <w:rPr>
          <w:bCs/>
        </w:rPr>
        <w:t xml:space="preserve"> participants for testing is </w:t>
      </w:r>
      <w:r w:rsidR="001F33A7">
        <w:rPr>
          <w:bCs/>
        </w:rPr>
        <w:t>500</w:t>
      </w:r>
      <w:r w:rsidR="00474322">
        <w:rPr>
          <w:bCs/>
        </w:rPr>
        <w:t xml:space="preserve"> or below.  I</w:t>
      </w:r>
      <w:r w:rsidRPr="00520CE4" w:rsidR="00474322">
        <w:rPr>
          <w:bCs/>
        </w:rPr>
        <w:t>tems</w:t>
      </w:r>
      <w:r w:rsidR="00474322">
        <w:rPr>
          <w:bCs/>
        </w:rPr>
        <w:t xml:space="preserve"> for the </w:t>
      </w:r>
      <w:r w:rsidR="00C75F8A">
        <w:rPr>
          <w:bCs/>
        </w:rPr>
        <w:t xml:space="preserve">two </w:t>
      </w:r>
      <w:r w:rsidR="00474322">
        <w:rPr>
          <w:bCs/>
        </w:rPr>
        <w:t>instruments (N</w:t>
      </w:r>
      <w:r w:rsidRPr="00520CE4" w:rsidR="00474322">
        <w:rPr>
          <w:bCs/>
        </w:rPr>
        <w:t xml:space="preserve">ASA </w:t>
      </w:r>
      <w:r w:rsidR="00C75F8A">
        <w:rPr>
          <w:bCs/>
        </w:rPr>
        <w:t xml:space="preserve">MUREP PI </w:t>
      </w:r>
      <w:r w:rsidRPr="00520CE4" w:rsidR="00474322">
        <w:rPr>
          <w:bCs/>
        </w:rPr>
        <w:t>Survey</w:t>
      </w:r>
      <w:r w:rsidR="00C75F8A">
        <w:rPr>
          <w:bCs/>
        </w:rPr>
        <w:t xml:space="preserve"> and</w:t>
      </w:r>
      <w:r w:rsidR="00474322">
        <w:rPr>
          <w:bCs/>
        </w:rPr>
        <w:t xml:space="preserve"> NASA </w:t>
      </w:r>
      <w:r w:rsidR="00C75F8A">
        <w:rPr>
          <w:bCs/>
        </w:rPr>
        <w:t>MUREP Student</w:t>
      </w:r>
      <w:r w:rsidR="00474322">
        <w:rPr>
          <w:bCs/>
        </w:rPr>
        <w:t xml:space="preserve"> Survey)</w:t>
      </w:r>
      <w:r w:rsidRPr="00520CE4" w:rsidR="00474322">
        <w:rPr>
          <w:bCs/>
        </w:rPr>
        <w:t xml:space="preserve"> will be placed into Survey Monkey online software, and a survey link will be distributed through email to</w:t>
      </w:r>
      <w:r w:rsidR="003F7D2F">
        <w:rPr>
          <w:bCs/>
        </w:rPr>
        <w:t xml:space="preserve"> </w:t>
      </w:r>
      <w:r w:rsidRPr="00520CE4" w:rsidR="00474322">
        <w:rPr>
          <w:bCs/>
        </w:rPr>
        <w:t xml:space="preserve"> </w:t>
      </w:r>
      <w:r w:rsidR="00474322">
        <w:rPr>
          <w:bCs/>
        </w:rPr>
        <w:t>~</w:t>
      </w:r>
      <w:r w:rsidR="001F33A7">
        <w:rPr>
          <w:bCs/>
        </w:rPr>
        <w:t>500</w:t>
      </w:r>
      <w:r w:rsidR="00474322">
        <w:rPr>
          <w:bCs/>
        </w:rPr>
        <w:t xml:space="preserve"> </w:t>
      </w:r>
      <w:r w:rsidRPr="00520CE4" w:rsidR="00474322">
        <w:rPr>
          <w:bCs/>
        </w:rPr>
        <w:t>NASA</w:t>
      </w:r>
      <w:r w:rsidR="001A788E">
        <w:rPr>
          <w:bCs/>
        </w:rPr>
        <w:t xml:space="preserve"> MUREP Principal Investigators (PIs) and higher education student </w:t>
      </w:r>
      <w:r w:rsidRPr="00520CE4" w:rsidR="00474322">
        <w:rPr>
          <w:bCs/>
        </w:rPr>
        <w:t>participants</w:t>
      </w:r>
      <w:r w:rsidR="00474322">
        <w:rPr>
          <w:bCs/>
        </w:rPr>
        <w:t xml:space="preserve"> </w:t>
      </w:r>
      <w:r w:rsidR="006B62ED">
        <w:rPr>
          <w:bCs/>
        </w:rPr>
        <w:t xml:space="preserve">in the NASA </w:t>
      </w:r>
      <w:r w:rsidR="001A788E">
        <w:rPr>
          <w:bCs/>
        </w:rPr>
        <w:t>MUREP</w:t>
      </w:r>
      <w:r w:rsidR="006B62ED">
        <w:rPr>
          <w:bCs/>
        </w:rPr>
        <w:t xml:space="preserve"> to administer.</w:t>
      </w:r>
    </w:p>
    <w:p w:rsidR="00520CE4" w:rsidP="00FF7702" w14:paraId="166E3EE0" w14:textId="09972D32">
      <w:pPr>
        <w:pStyle w:val="ListParagraph"/>
        <w:tabs>
          <w:tab w:val="left" w:pos="1682"/>
        </w:tabs>
      </w:pPr>
      <w:r>
        <w:tab/>
      </w:r>
    </w:p>
    <w:p w:rsidR="00B0711E" w:rsidRPr="00B0711E" w:rsidP="00B0711E" w14:paraId="1E6ED5CB" w14:textId="77777777">
      <w:pPr>
        <w:pStyle w:val="ListParagraph"/>
        <w:ind w:left="288"/>
        <w:jc w:val="both"/>
        <w:rPr>
          <w:i/>
        </w:rPr>
      </w:pPr>
      <w:r w:rsidRPr="00B0711E">
        <w:t>Table 1</w:t>
      </w:r>
      <w:r w:rsidRPr="00B0711E">
        <w:rPr>
          <w:i/>
        </w:rPr>
        <w:t>. Calculation chart to determine statistically relevant number of respondents</w:t>
      </w:r>
    </w:p>
    <w:tbl>
      <w:tblPr>
        <w:tblStyle w:val="TableGrid"/>
        <w:tblW w:w="0" w:type="auto"/>
        <w:tblLayout w:type="fixed"/>
        <w:tblLook w:val="04A0"/>
      </w:tblPr>
      <w:tblGrid>
        <w:gridCol w:w="1345"/>
        <w:gridCol w:w="991"/>
        <w:gridCol w:w="1169"/>
        <w:gridCol w:w="1169"/>
        <w:gridCol w:w="1441"/>
        <w:gridCol w:w="897"/>
        <w:gridCol w:w="1083"/>
        <w:gridCol w:w="1255"/>
      </w:tblGrid>
      <w:tr w14:paraId="78553FAC" w14:textId="77777777" w:rsidTr="00C04C31">
        <w:tblPrEx>
          <w:tblW w:w="0" w:type="auto"/>
          <w:tblLayout w:type="fixed"/>
          <w:tblLook w:val="04A0"/>
        </w:tblPrEx>
        <w:tc>
          <w:tcPr>
            <w:tcW w:w="1345" w:type="dxa"/>
            <w:shd w:val="clear" w:color="auto" w:fill="A6A6A6" w:themeFill="background1" w:themeFillShade="A6"/>
            <w:vAlign w:val="bottom"/>
          </w:tcPr>
          <w:p w:rsidR="00B0711E" w:rsidRPr="00B0711E" w:rsidP="00B0711E" w14:paraId="1D0C8BFD" w14:textId="77777777">
            <w:pPr>
              <w:pStyle w:val="ListParagraph"/>
              <w:ind w:left="0"/>
              <w:jc w:val="center"/>
              <w:rPr>
                <w:b/>
                <w:sz w:val="18"/>
              </w:rPr>
            </w:pPr>
            <w:r w:rsidRPr="00B0711E">
              <w:rPr>
                <w:b/>
                <w:sz w:val="18"/>
              </w:rPr>
              <w:t>Data Collection Source</w:t>
            </w:r>
          </w:p>
        </w:tc>
        <w:tc>
          <w:tcPr>
            <w:tcW w:w="991" w:type="dxa"/>
            <w:shd w:val="clear" w:color="auto" w:fill="A6A6A6" w:themeFill="background1" w:themeFillShade="A6"/>
            <w:vAlign w:val="bottom"/>
          </w:tcPr>
          <w:p w:rsidR="00B0711E" w:rsidRPr="00B0711E" w:rsidP="00B0711E" w14:paraId="05632814" w14:textId="77777777">
            <w:pPr>
              <w:pStyle w:val="ListParagraph"/>
              <w:ind w:left="0"/>
              <w:jc w:val="center"/>
              <w:rPr>
                <w:b/>
                <w:sz w:val="18"/>
              </w:rPr>
            </w:pPr>
            <w:r w:rsidRPr="00B0711E">
              <w:rPr>
                <w:b/>
                <w:sz w:val="18"/>
              </w:rPr>
              <w:t>(N)</w:t>
            </w:r>
          </w:p>
          <w:p w:rsidR="00B0711E" w:rsidRPr="00B0711E" w:rsidP="00B0711E" w14:paraId="48053F76" w14:textId="77777777">
            <w:pPr>
              <w:pStyle w:val="ListParagraph"/>
              <w:ind w:left="0"/>
              <w:jc w:val="center"/>
              <w:rPr>
                <w:b/>
                <w:sz w:val="18"/>
              </w:rPr>
            </w:pPr>
            <w:r>
              <w:rPr>
                <w:b/>
                <w:sz w:val="18"/>
              </w:rPr>
              <w:t>Population Estimate</w:t>
            </w:r>
          </w:p>
        </w:tc>
        <w:tc>
          <w:tcPr>
            <w:tcW w:w="1169" w:type="dxa"/>
            <w:shd w:val="clear" w:color="auto" w:fill="A6A6A6" w:themeFill="background1" w:themeFillShade="A6"/>
            <w:vAlign w:val="bottom"/>
          </w:tcPr>
          <w:p w:rsidR="00B0711E" w:rsidRPr="00B0711E" w:rsidP="00B0711E" w14:paraId="0C60748D" w14:textId="77777777">
            <w:pPr>
              <w:pStyle w:val="ListParagraph"/>
              <w:ind w:left="0"/>
              <w:jc w:val="center"/>
              <w:rPr>
                <w:b/>
                <w:sz w:val="18"/>
              </w:rPr>
            </w:pPr>
            <w:r w:rsidRPr="00B0711E">
              <w:rPr>
                <w:b/>
                <w:sz w:val="18"/>
              </w:rPr>
              <w:t>(A)</w:t>
            </w:r>
          </w:p>
          <w:p w:rsidR="00B0711E" w:rsidRPr="00B0711E" w:rsidP="00B0711E" w14:paraId="6B64012A" w14:textId="77777777">
            <w:pPr>
              <w:pStyle w:val="ListParagraph"/>
              <w:ind w:left="0"/>
              <w:jc w:val="center"/>
              <w:rPr>
                <w:b/>
                <w:sz w:val="18"/>
              </w:rPr>
            </w:pPr>
            <w:r w:rsidRPr="00B0711E">
              <w:rPr>
                <w:b/>
                <w:sz w:val="18"/>
              </w:rPr>
              <w:t>Sampling Error +/-</w:t>
            </w:r>
          </w:p>
          <w:p w:rsidR="00B0711E" w:rsidRPr="00B0711E" w:rsidP="00B0711E" w14:paraId="768D8E15" w14:textId="77777777">
            <w:pPr>
              <w:pStyle w:val="ListParagraph"/>
              <w:ind w:left="0"/>
              <w:jc w:val="center"/>
              <w:rPr>
                <w:b/>
                <w:sz w:val="18"/>
              </w:rPr>
            </w:pPr>
            <w:r w:rsidRPr="00B0711E">
              <w:rPr>
                <w:b/>
                <w:sz w:val="18"/>
              </w:rPr>
              <w:t>5% (.05)</w:t>
            </w:r>
          </w:p>
        </w:tc>
        <w:tc>
          <w:tcPr>
            <w:tcW w:w="1169" w:type="dxa"/>
            <w:shd w:val="clear" w:color="auto" w:fill="A6A6A6" w:themeFill="background1" w:themeFillShade="A6"/>
            <w:vAlign w:val="bottom"/>
          </w:tcPr>
          <w:p w:rsidR="00B0711E" w:rsidRPr="00B0711E" w:rsidP="00B0711E" w14:paraId="2F90B623" w14:textId="77777777">
            <w:pPr>
              <w:pStyle w:val="ListParagraph"/>
              <w:ind w:left="0"/>
              <w:jc w:val="center"/>
              <w:rPr>
                <w:b/>
                <w:sz w:val="18"/>
              </w:rPr>
            </w:pPr>
            <w:r w:rsidRPr="00B0711E">
              <w:rPr>
                <w:b/>
                <w:sz w:val="18"/>
              </w:rPr>
              <w:t>(Z) Confidence Level 95%/ Alpha 0.05</w:t>
            </w:r>
          </w:p>
        </w:tc>
        <w:tc>
          <w:tcPr>
            <w:tcW w:w="1441" w:type="dxa"/>
            <w:shd w:val="clear" w:color="auto" w:fill="A6A6A6" w:themeFill="background1" w:themeFillShade="A6"/>
            <w:vAlign w:val="bottom"/>
          </w:tcPr>
          <w:p w:rsidR="00B0711E" w:rsidRPr="00B0711E" w:rsidP="00B0711E" w14:paraId="5DA835F4" w14:textId="77777777">
            <w:pPr>
              <w:pStyle w:val="ListParagraph"/>
              <w:ind w:left="0"/>
              <w:jc w:val="center"/>
              <w:rPr>
                <w:b/>
                <w:sz w:val="18"/>
              </w:rPr>
            </w:pPr>
            <w:r w:rsidRPr="00B0711E">
              <w:rPr>
                <w:b/>
                <w:sz w:val="18"/>
              </w:rPr>
              <w:t>(P) *Variability (based on consistency of intervention administration) 50%</w:t>
            </w:r>
          </w:p>
        </w:tc>
        <w:tc>
          <w:tcPr>
            <w:tcW w:w="897" w:type="dxa"/>
            <w:shd w:val="clear" w:color="auto" w:fill="A6A6A6" w:themeFill="background1" w:themeFillShade="A6"/>
            <w:vAlign w:val="bottom"/>
          </w:tcPr>
          <w:p w:rsidR="00B0711E" w:rsidRPr="00B0711E" w:rsidP="00B0711E" w14:paraId="192AB84C" w14:textId="77777777">
            <w:pPr>
              <w:pStyle w:val="ListParagraph"/>
              <w:ind w:left="0"/>
              <w:jc w:val="center"/>
              <w:rPr>
                <w:b/>
                <w:sz w:val="18"/>
              </w:rPr>
            </w:pPr>
            <w:r w:rsidRPr="00B0711E">
              <w:rPr>
                <w:b/>
                <w:sz w:val="18"/>
              </w:rPr>
              <w:t>Base Sample Size</w:t>
            </w:r>
          </w:p>
        </w:tc>
        <w:tc>
          <w:tcPr>
            <w:tcW w:w="1083" w:type="dxa"/>
            <w:shd w:val="clear" w:color="auto" w:fill="A6A6A6" w:themeFill="background1" w:themeFillShade="A6"/>
            <w:vAlign w:val="bottom"/>
          </w:tcPr>
          <w:p w:rsidR="00B0711E" w:rsidRPr="00B0711E" w:rsidP="00B0711E" w14:paraId="16ECE93E" w14:textId="77777777">
            <w:pPr>
              <w:pStyle w:val="ListParagraph"/>
              <w:ind w:left="0"/>
              <w:jc w:val="center"/>
              <w:rPr>
                <w:b/>
                <w:sz w:val="18"/>
              </w:rPr>
            </w:pPr>
            <w:r w:rsidRPr="00B0711E">
              <w:rPr>
                <w:b/>
                <w:sz w:val="18"/>
              </w:rPr>
              <w:t>Response Rate</w:t>
            </w:r>
          </w:p>
        </w:tc>
        <w:tc>
          <w:tcPr>
            <w:tcW w:w="1255" w:type="dxa"/>
            <w:shd w:val="clear" w:color="auto" w:fill="A6A6A6" w:themeFill="background1" w:themeFillShade="A6"/>
            <w:vAlign w:val="bottom"/>
          </w:tcPr>
          <w:p w:rsidR="00B0711E" w:rsidRPr="00B0711E" w:rsidP="00B0711E" w14:paraId="19BCBAC1" w14:textId="77777777">
            <w:pPr>
              <w:pStyle w:val="ListParagraph"/>
              <w:ind w:left="0"/>
              <w:jc w:val="center"/>
              <w:rPr>
                <w:b/>
                <w:sz w:val="18"/>
              </w:rPr>
            </w:pPr>
            <w:r w:rsidRPr="00B0711E">
              <w:rPr>
                <w:b/>
                <w:sz w:val="18"/>
              </w:rPr>
              <w:t>(n) Number of Respondents</w:t>
            </w:r>
          </w:p>
        </w:tc>
      </w:tr>
      <w:tr w14:paraId="14A44203" w14:textId="77777777" w:rsidTr="00C04C31">
        <w:tblPrEx>
          <w:tblW w:w="0" w:type="auto"/>
          <w:tblLayout w:type="fixed"/>
          <w:tblLook w:val="04A0"/>
        </w:tblPrEx>
        <w:tc>
          <w:tcPr>
            <w:tcW w:w="1345" w:type="dxa"/>
          </w:tcPr>
          <w:p w:rsidR="009E013E" w:rsidP="009E013E" w14:paraId="1D598E98" w14:textId="7E03EFEC">
            <w:pPr>
              <w:pStyle w:val="ListParagraph"/>
              <w:ind w:left="0"/>
              <w:jc w:val="both"/>
              <w:rPr>
                <w:sz w:val="20"/>
              </w:rPr>
            </w:pPr>
            <w:r>
              <w:rPr>
                <w:sz w:val="20"/>
              </w:rPr>
              <w:t xml:space="preserve">NASA </w:t>
            </w:r>
            <w:r w:rsidR="003F7D2F">
              <w:rPr>
                <w:sz w:val="20"/>
              </w:rPr>
              <w:t xml:space="preserve">MUREP Principal </w:t>
            </w:r>
            <w:r w:rsidR="003F7D2F">
              <w:rPr>
                <w:sz w:val="20"/>
              </w:rPr>
              <w:t>Investigators (PIs)</w:t>
            </w:r>
          </w:p>
        </w:tc>
        <w:tc>
          <w:tcPr>
            <w:tcW w:w="991" w:type="dxa"/>
            <w:vAlign w:val="bottom"/>
          </w:tcPr>
          <w:p w:rsidR="009E013E" w:rsidP="009E013E" w14:paraId="0FC011AC" w14:textId="5FD5048E">
            <w:pPr>
              <w:pStyle w:val="ListParagraph"/>
              <w:ind w:left="0"/>
              <w:jc w:val="center"/>
            </w:pPr>
            <w:r>
              <w:t>75</w:t>
            </w:r>
          </w:p>
        </w:tc>
        <w:tc>
          <w:tcPr>
            <w:tcW w:w="1169" w:type="dxa"/>
            <w:vAlign w:val="bottom"/>
          </w:tcPr>
          <w:p w:rsidR="009E013E" w:rsidRPr="004A3AE8" w:rsidP="009E013E" w14:paraId="5672ACA7" w14:textId="381BB403">
            <w:pPr>
              <w:pStyle w:val="ListParagraph"/>
              <w:ind w:left="0"/>
              <w:jc w:val="center"/>
            </w:pPr>
            <w:r w:rsidRPr="004A3AE8">
              <w:t>N/A</w:t>
            </w:r>
          </w:p>
        </w:tc>
        <w:tc>
          <w:tcPr>
            <w:tcW w:w="1169" w:type="dxa"/>
            <w:vAlign w:val="bottom"/>
          </w:tcPr>
          <w:p w:rsidR="009E013E" w:rsidRPr="004A3AE8" w:rsidP="009E013E" w14:paraId="08567337" w14:textId="19D5B62D">
            <w:pPr>
              <w:pStyle w:val="ListParagraph"/>
              <w:ind w:left="0"/>
              <w:jc w:val="center"/>
            </w:pPr>
            <w:r w:rsidRPr="004A3AE8">
              <w:t>N/A</w:t>
            </w:r>
          </w:p>
        </w:tc>
        <w:tc>
          <w:tcPr>
            <w:tcW w:w="1441" w:type="dxa"/>
            <w:vAlign w:val="bottom"/>
          </w:tcPr>
          <w:p w:rsidR="009E013E" w:rsidRPr="004A3AE8" w:rsidP="009E013E" w14:paraId="778EB1B6" w14:textId="36BAA315">
            <w:pPr>
              <w:pStyle w:val="ListParagraph"/>
              <w:ind w:left="0"/>
              <w:jc w:val="center"/>
            </w:pPr>
            <w:r w:rsidRPr="004A3AE8">
              <w:t>N/A</w:t>
            </w:r>
          </w:p>
        </w:tc>
        <w:tc>
          <w:tcPr>
            <w:tcW w:w="897" w:type="dxa"/>
            <w:vAlign w:val="bottom"/>
          </w:tcPr>
          <w:p w:rsidR="009E013E" w:rsidP="009E013E" w14:paraId="38447DD1" w14:textId="0566CB9C">
            <w:pPr>
              <w:pStyle w:val="ListParagraph"/>
              <w:ind w:left="0"/>
              <w:jc w:val="center"/>
            </w:pPr>
            <w:r>
              <w:t>75</w:t>
            </w:r>
          </w:p>
        </w:tc>
        <w:tc>
          <w:tcPr>
            <w:tcW w:w="1083" w:type="dxa"/>
            <w:vAlign w:val="bottom"/>
          </w:tcPr>
          <w:p w:rsidR="009E013E" w:rsidRPr="0026038A" w:rsidP="009E013E" w14:paraId="369B8794" w14:textId="2C9B8E72">
            <w:pPr>
              <w:pStyle w:val="ListParagraph"/>
              <w:ind w:left="0"/>
              <w:jc w:val="center"/>
            </w:pPr>
            <w:r w:rsidRPr="0026038A">
              <w:t>N/A</w:t>
            </w:r>
          </w:p>
        </w:tc>
        <w:tc>
          <w:tcPr>
            <w:tcW w:w="1255" w:type="dxa"/>
            <w:vAlign w:val="bottom"/>
          </w:tcPr>
          <w:p w:rsidR="009E013E" w:rsidP="009E013E" w14:paraId="07AD0BA4" w14:textId="1020F65D">
            <w:pPr>
              <w:pStyle w:val="ListParagraph"/>
              <w:ind w:left="0"/>
              <w:jc w:val="center"/>
            </w:pPr>
            <w:r>
              <w:t>75</w:t>
            </w:r>
          </w:p>
        </w:tc>
      </w:tr>
      <w:tr w14:paraId="19203D27" w14:textId="77777777" w:rsidTr="00C04C31">
        <w:tblPrEx>
          <w:tblW w:w="0" w:type="auto"/>
          <w:tblLayout w:type="fixed"/>
          <w:tblLook w:val="04A0"/>
        </w:tblPrEx>
        <w:tc>
          <w:tcPr>
            <w:tcW w:w="1345" w:type="dxa"/>
          </w:tcPr>
          <w:p w:rsidR="009E013E" w:rsidP="009E013E" w14:paraId="458344F3" w14:textId="0C3BC3C3">
            <w:pPr>
              <w:pStyle w:val="ListParagraph"/>
              <w:ind w:left="0"/>
              <w:jc w:val="both"/>
              <w:rPr>
                <w:sz w:val="20"/>
              </w:rPr>
            </w:pPr>
            <w:r>
              <w:rPr>
                <w:sz w:val="20"/>
              </w:rPr>
              <w:t xml:space="preserve">NASA </w:t>
            </w:r>
            <w:r w:rsidR="003F7D2F">
              <w:rPr>
                <w:sz w:val="20"/>
              </w:rPr>
              <w:t>MUREP Student</w:t>
            </w:r>
            <w:r>
              <w:rPr>
                <w:sz w:val="20"/>
              </w:rPr>
              <w:t xml:space="preserve">  Participants</w:t>
            </w:r>
          </w:p>
        </w:tc>
        <w:tc>
          <w:tcPr>
            <w:tcW w:w="991" w:type="dxa"/>
            <w:vAlign w:val="bottom"/>
          </w:tcPr>
          <w:p w:rsidR="009E013E" w:rsidP="009E013E" w14:paraId="57F901C8" w14:textId="1FACF243">
            <w:pPr>
              <w:pStyle w:val="ListParagraph"/>
              <w:ind w:left="0"/>
              <w:jc w:val="center"/>
            </w:pPr>
            <w:r>
              <w:t>425</w:t>
            </w:r>
          </w:p>
        </w:tc>
        <w:tc>
          <w:tcPr>
            <w:tcW w:w="1169" w:type="dxa"/>
            <w:vAlign w:val="bottom"/>
          </w:tcPr>
          <w:p w:rsidR="009E013E" w:rsidRPr="004A3AE8" w:rsidP="009E013E" w14:paraId="06C637E4" w14:textId="4D2E2816">
            <w:pPr>
              <w:pStyle w:val="ListParagraph"/>
              <w:ind w:left="0"/>
              <w:jc w:val="center"/>
            </w:pPr>
            <w:r w:rsidRPr="004A3AE8">
              <w:t>N/A</w:t>
            </w:r>
          </w:p>
        </w:tc>
        <w:tc>
          <w:tcPr>
            <w:tcW w:w="1169" w:type="dxa"/>
            <w:vAlign w:val="bottom"/>
          </w:tcPr>
          <w:p w:rsidR="009E013E" w:rsidRPr="004A3AE8" w:rsidP="009E013E" w14:paraId="7D5ADE52" w14:textId="7EC4B505">
            <w:pPr>
              <w:pStyle w:val="ListParagraph"/>
              <w:ind w:left="0"/>
              <w:jc w:val="center"/>
            </w:pPr>
            <w:r w:rsidRPr="004A3AE8">
              <w:t>N/A</w:t>
            </w:r>
          </w:p>
        </w:tc>
        <w:tc>
          <w:tcPr>
            <w:tcW w:w="1441" w:type="dxa"/>
            <w:vAlign w:val="bottom"/>
          </w:tcPr>
          <w:p w:rsidR="009E013E" w:rsidRPr="004A3AE8" w:rsidP="009E013E" w14:paraId="220FEE58" w14:textId="5B6189A2">
            <w:pPr>
              <w:pStyle w:val="ListParagraph"/>
              <w:ind w:left="0"/>
              <w:jc w:val="center"/>
            </w:pPr>
            <w:r w:rsidRPr="004A3AE8">
              <w:t>N/A</w:t>
            </w:r>
          </w:p>
        </w:tc>
        <w:tc>
          <w:tcPr>
            <w:tcW w:w="897" w:type="dxa"/>
            <w:vAlign w:val="bottom"/>
          </w:tcPr>
          <w:p w:rsidR="009E013E" w:rsidP="009E013E" w14:paraId="583777DD" w14:textId="566158A1">
            <w:pPr>
              <w:pStyle w:val="ListParagraph"/>
              <w:ind w:left="0"/>
              <w:jc w:val="center"/>
            </w:pPr>
            <w:r>
              <w:t>4</w:t>
            </w:r>
            <w:r w:rsidR="003004DF">
              <w:t>25</w:t>
            </w:r>
          </w:p>
        </w:tc>
        <w:tc>
          <w:tcPr>
            <w:tcW w:w="1083" w:type="dxa"/>
            <w:vAlign w:val="bottom"/>
          </w:tcPr>
          <w:p w:rsidR="009E013E" w:rsidRPr="0026038A" w:rsidP="009E013E" w14:paraId="62FE4794" w14:textId="7705DBF7">
            <w:pPr>
              <w:pStyle w:val="ListParagraph"/>
              <w:ind w:left="0"/>
              <w:jc w:val="center"/>
            </w:pPr>
            <w:r w:rsidRPr="0026038A">
              <w:t>N/A</w:t>
            </w:r>
          </w:p>
        </w:tc>
        <w:tc>
          <w:tcPr>
            <w:tcW w:w="1255" w:type="dxa"/>
            <w:vAlign w:val="bottom"/>
          </w:tcPr>
          <w:p w:rsidR="009E013E" w:rsidP="009E013E" w14:paraId="500CE0FD" w14:textId="3C823A84">
            <w:pPr>
              <w:pStyle w:val="ListParagraph"/>
              <w:ind w:left="0"/>
              <w:jc w:val="center"/>
            </w:pPr>
            <w:r>
              <w:t>4</w:t>
            </w:r>
            <w:r w:rsidR="003004DF">
              <w:t>25</w:t>
            </w:r>
          </w:p>
        </w:tc>
      </w:tr>
      <w:tr w14:paraId="776B4037" w14:textId="77777777" w:rsidTr="00C04C31">
        <w:tblPrEx>
          <w:tblW w:w="0" w:type="auto"/>
          <w:tblLayout w:type="fixed"/>
          <w:tblLook w:val="04A0"/>
        </w:tblPrEx>
        <w:tc>
          <w:tcPr>
            <w:tcW w:w="1345" w:type="dxa"/>
            <w:shd w:val="clear" w:color="auto" w:fill="AEAAAA" w:themeFill="background2" w:themeFillShade="BF"/>
          </w:tcPr>
          <w:p w:rsidR="00673117" w:rsidRPr="00673117" w:rsidP="00F67D8C" w14:paraId="729D3773" w14:textId="77777777">
            <w:pPr>
              <w:pStyle w:val="ListParagraph"/>
              <w:ind w:left="0"/>
              <w:jc w:val="both"/>
              <w:rPr>
                <w:b/>
                <w:sz w:val="20"/>
              </w:rPr>
            </w:pPr>
            <w:r w:rsidRPr="00673117">
              <w:rPr>
                <w:b/>
                <w:sz w:val="20"/>
              </w:rPr>
              <w:t>TOTAL</w:t>
            </w:r>
          </w:p>
        </w:tc>
        <w:tc>
          <w:tcPr>
            <w:tcW w:w="991" w:type="dxa"/>
            <w:shd w:val="clear" w:color="auto" w:fill="AEAAAA" w:themeFill="background2" w:themeFillShade="BF"/>
            <w:vAlign w:val="bottom"/>
          </w:tcPr>
          <w:p w:rsidR="00673117" w:rsidP="00673117" w14:paraId="14652081" w14:textId="77777777">
            <w:pPr>
              <w:pStyle w:val="ListParagraph"/>
              <w:ind w:left="0"/>
              <w:jc w:val="center"/>
            </w:pPr>
          </w:p>
        </w:tc>
        <w:tc>
          <w:tcPr>
            <w:tcW w:w="1169" w:type="dxa"/>
            <w:shd w:val="clear" w:color="auto" w:fill="AEAAAA" w:themeFill="background2" w:themeFillShade="BF"/>
            <w:vAlign w:val="bottom"/>
          </w:tcPr>
          <w:p w:rsidR="00673117" w:rsidP="00673117" w14:paraId="069CB3BB" w14:textId="77777777">
            <w:pPr>
              <w:pStyle w:val="ListParagraph"/>
              <w:ind w:left="0"/>
              <w:jc w:val="center"/>
            </w:pPr>
          </w:p>
        </w:tc>
        <w:tc>
          <w:tcPr>
            <w:tcW w:w="1169" w:type="dxa"/>
            <w:shd w:val="clear" w:color="auto" w:fill="AEAAAA" w:themeFill="background2" w:themeFillShade="BF"/>
            <w:vAlign w:val="bottom"/>
          </w:tcPr>
          <w:p w:rsidR="00673117" w:rsidP="00673117" w14:paraId="44A7CF9F" w14:textId="77777777">
            <w:pPr>
              <w:pStyle w:val="ListParagraph"/>
              <w:ind w:left="0"/>
              <w:jc w:val="center"/>
            </w:pPr>
          </w:p>
        </w:tc>
        <w:tc>
          <w:tcPr>
            <w:tcW w:w="1441" w:type="dxa"/>
            <w:shd w:val="clear" w:color="auto" w:fill="AEAAAA" w:themeFill="background2" w:themeFillShade="BF"/>
            <w:vAlign w:val="bottom"/>
          </w:tcPr>
          <w:p w:rsidR="00673117" w:rsidP="00673117" w14:paraId="74D4D38F" w14:textId="77777777">
            <w:pPr>
              <w:pStyle w:val="ListParagraph"/>
              <w:ind w:left="0"/>
              <w:jc w:val="center"/>
            </w:pPr>
          </w:p>
        </w:tc>
        <w:tc>
          <w:tcPr>
            <w:tcW w:w="897" w:type="dxa"/>
            <w:shd w:val="clear" w:color="auto" w:fill="AEAAAA" w:themeFill="background2" w:themeFillShade="BF"/>
            <w:vAlign w:val="bottom"/>
          </w:tcPr>
          <w:p w:rsidR="00673117" w:rsidP="00673117" w14:paraId="23C51C1F" w14:textId="77777777">
            <w:pPr>
              <w:pStyle w:val="ListParagraph"/>
              <w:ind w:left="0"/>
              <w:jc w:val="center"/>
            </w:pPr>
          </w:p>
        </w:tc>
        <w:tc>
          <w:tcPr>
            <w:tcW w:w="1083" w:type="dxa"/>
            <w:shd w:val="clear" w:color="auto" w:fill="AEAAAA" w:themeFill="background2" w:themeFillShade="BF"/>
            <w:vAlign w:val="bottom"/>
          </w:tcPr>
          <w:p w:rsidR="00673117" w:rsidP="00673117" w14:paraId="5BD49ED0" w14:textId="77777777">
            <w:pPr>
              <w:pStyle w:val="ListParagraph"/>
              <w:ind w:left="0"/>
              <w:jc w:val="center"/>
            </w:pPr>
          </w:p>
        </w:tc>
        <w:tc>
          <w:tcPr>
            <w:tcW w:w="1255" w:type="dxa"/>
            <w:shd w:val="clear" w:color="auto" w:fill="AEAAAA" w:themeFill="background2" w:themeFillShade="BF"/>
            <w:vAlign w:val="bottom"/>
          </w:tcPr>
          <w:p w:rsidR="00673117" w:rsidRPr="00BD6B9D" w:rsidP="00673117" w14:paraId="06DD6B55" w14:textId="6EAF7593">
            <w:pPr>
              <w:pStyle w:val="ListParagraph"/>
              <w:ind w:left="0"/>
              <w:jc w:val="center"/>
              <w:rPr>
                <w:b/>
              </w:rPr>
            </w:pPr>
            <w:r>
              <w:rPr>
                <w:b/>
              </w:rPr>
              <w:t>50</w:t>
            </w:r>
            <w:r w:rsidR="00520CE4">
              <w:rPr>
                <w:b/>
              </w:rPr>
              <w:t>0</w:t>
            </w:r>
          </w:p>
        </w:tc>
      </w:tr>
    </w:tbl>
    <w:p w:rsidR="00345D9E" w:rsidP="00345D9E" w14:paraId="688B81DA" w14:textId="77777777">
      <w:pPr>
        <w:pStyle w:val="ListParagraph"/>
        <w:ind w:left="288"/>
        <w:jc w:val="both"/>
        <w:rPr>
          <w:b/>
        </w:rPr>
      </w:pPr>
    </w:p>
    <w:p w:rsidR="00CF154B" w:rsidRPr="00345D9E" w:rsidP="00345D9E" w14:paraId="4B017C69" w14:textId="77777777">
      <w:pPr>
        <w:pStyle w:val="ListParagraph"/>
        <w:ind w:left="288"/>
        <w:jc w:val="both"/>
        <w:rPr>
          <w:b/>
        </w:rPr>
      </w:pPr>
    </w:p>
    <w:p w:rsidR="00345D9E" w:rsidRPr="00AB74A8" w:rsidP="00AD35CC" w14:paraId="130E976C" w14:textId="77777777">
      <w:pPr>
        <w:pStyle w:val="ListParagraph"/>
        <w:numPr>
          <w:ilvl w:val="0"/>
          <w:numId w:val="3"/>
        </w:numPr>
      </w:pPr>
      <w:r w:rsidRPr="00345D9E">
        <w:rPr>
          <w:b/>
        </w:rPr>
        <w:t>BURDEN HOURS:</w:t>
      </w:r>
      <w:r w:rsidRPr="00345D9E">
        <w:t xml:space="preserve"> </w:t>
      </w:r>
      <w:r w:rsidRPr="00AB74A8">
        <w:t>Burden calculation is based on a respondent pool of individuals as follows:</w:t>
      </w:r>
    </w:p>
    <w:p w:rsidR="00345D9E" w:rsidRPr="00AB74A8" w:rsidP="00345D9E" w14:paraId="31D3C474" w14:textId="77777777"/>
    <w:tbl>
      <w:tblPr>
        <w:tblStyle w:val="TableGrid"/>
        <w:tblW w:w="0" w:type="auto"/>
        <w:tblLook w:val="04A0"/>
      </w:tblPr>
      <w:tblGrid>
        <w:gridCol w:w="2425"/>
        <w:gridCol w:w="1577"/>
        <w:gridCol w:w="1642"/>
        <w:gridCol w:w="1915"/>
        <w:gridCol w:w="1791"/>
      </w:tblGrid>
      <w:tr w14:paraId="707DFCEB" w14:textId="77777777" w:rsidTr="00CB0366">
        <w:tblPrEx>
          <w:tblW w:w="0" w:type="auto"/>
          <w:tblLook w:val="04A0"/>
        </w:tblPrEx>
        <w:tc>
          <w:tcPr>
            <w:tcW w:w="2425" w:type="dxa"/>
            <w:shd w:val="clear" w:color="auto" w:fill="AEAAAA" w:themeFill="background2" w:themeFillShade="BF"/>
          </w:tcPr>
          <w:p w:rsidR="00345D9E" w:rsidRPr="00CB0366" w:rsidP="003076C8" w14:paraId="24247527" w14:textId="77777777">
            <w:pPr>
              <w:jc w:val="center"/>
              <w:rPr>
                <w:rFonts w:asciiTheme="minorHAnsi" w:hAnsiTheme="minorHAnsi"/>
                <w:b/>
                <w:sz w:val="20"/>
                <w:szCs w:val="20"/>
              </w:rPr>
            </w:pPr>
            <w:r w:rsidRPr="00CB0366">
              <w:rPr>
                <w:rFonts w:asciiTheme="minorHAnsi" w:hAnsiTheme="minorHAnsi"/>
                <w:b/>
                <w:sz w:val="20"/>
                <w:szCs w:val="20"/>
              </w:rPr>
              <w:t>Data Collection Source</w:t>
            </w:r>
          </w:p>
        </w:tc>
        <w:tc>
          <w:tcPr>
            <w:tcW w:w="1577" w:type="dxa"/>
            <w:shd w:val="clear" w:color="auto" w:fill="AEAAAA" w:themeFill="background2" w:themeFillShade="BF"/>
          </w:tcPr>
          <w:p w:rsidR="00345D9E" w:rsidRPr="00CB0366" w:rsidP="003076C8" w14:paraId="25AF18EF" w14:textId="77777777">
            <w:pPr>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00345D9E" w:rsidRPr="00CB0366" w:rsidP="003076C8" w14:paraId="495C5267" w14:textId="77777777">
            <w:pPr>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00345D9E" w:rsidRPr="00CB0366" w:rsidP="003076C8" w14:paraId="75D2217E" w14:textId="77777777">
            <w:pPr>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00345D9E" w:rsidRPr="00CB0366" w:rsidP="003076C8" w14:paraId="195BC414" w14:textId="77777777">
            <w:pPr>
              <w:jc w:val="center"/>
              <w:rPr>
                <w:rFonts w:asciiTheme="minorHAnsi" w:hAnsiTheme="minorHAnsi"/>
                <w:b/>
                <w:sz w:val="20"/>
                <w:szCs w:val="20"/>
              </w:rPr>
            </w:pPr>
            <w:r w:rsidRPr="00CB0366">
              <w:rPr>
                <w:rFonts w:asciiTheme="minorHAnsi" w:hAnsiTheme="minorHAnsi"/>
                <w:b/>
                <w:sz w:val="20"/>
                <w:szCs w:val="20"/>
              </w:rPr>
              <w:t>Total Response Burden in Hours</w:t>
            </w:r>
          </w:p>
        </w:tc>
      </w:tr>
      <w:tr w14:paraId="761BA109" w14:textId="77777777" w:rsidTr="002453C1">
        <w:tblPrEx>
          <w:tblW w:w="0" w:type="auto"/>
          <w:tblLook w:val="04A0"/>
        </w:tblPrEx>
        <w:trPr>
          <w:trHeight w:hRule="exact" w:val="550"/>
        </w:trPr>
        <w:tc>
          <w:tcPr>
            <w:tcW w:w="2425" w:type="dxa"/>
          </w:tcPr>
          <w:p w:rsidR="00520CE4" w:rsidRPr="00D826C6" w:rsidP="00520CE4" w14:paraId="2C5CB26B" w14:textId="717A2984">
            <w:pPr>
              <w:pStyle w:val="ListParagraph"/>
              <w:ind w:left="0"/>
              <w:jc w:val="both"/>
              <w:rPr>
                <w:sz w:val="20"/>
              </w:rPr>
            </w:pPr>
            <w:r>
              <w:rPr>
                <w:sz w:val="20"/>
              </w:rPr>
              <w:t>NASA MUREP Principal Investigators (PIs)</w:t>
            </w:r>
          </w:p>
        </w:tc>
        <w:tc>
          <w:tcPr>
            <w:tcW w:w="1577" w:type="dxa"/>
            <w:vAlign w:val="center"/>
          </w:tcPr>
          <w:p w:rsidR="00520CE4" w:rsidP="00520CE4" w14:paraId="7B356DD6" w14:textId="17D33F20">
            <w:pPr>
              <w:jc w:val="center"/>
              <w:rPr>
                <w:rFonts w:asciiTheme="minorHAnsi" w:hAnsiTheme="minorHAnsi" w:cs="ArialMT"/>
                <w:sz w:val="20"/>
                <w:szCs w:val="20"/>
              </w:rPr>
            </w:pPr>
            <w:r>
              <w:rPr>
                <w:rFonts w:asciiTheme="minorHAnsi" w:hAnsiTheme="minorHAnsi" w:cs="ArialMT"/>
                <w:sz w:val="20"/>
                <w:szCs w:val="20"/>
              </w:rPr>
              <w:t>75</w:t>
            </w:r>
          </w:p>
        </w:tc>
        <w:tc>
          <w:tcPr>
            <w:tcW w:w="1642" w:type="dxa"/>
            <w:vAlign w:val="center"/>
          </w:tcPr>
          <w:p w:rsidR="00520CE4" w:rsidP="00520CE4" w14:paraId="4BC3A912" w14:textId="77777777">
            <w:pPr>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520CE4" w:rsidP="00520CE4" w14:paraId="2C39FAF8" w14:textId="60D9F2C7">
            <w:pPr>
              <w:jc w:val="center"/>
              <w:rPr>
                <w:rFonts w:asciiTheme="minorHAnsi" w:hAnsiTheme="minorHAnsi" w:cs="Arial"/>
                <w:sz w:val="20"/>
                <w:szCs w:val="20"/>
              </w:rPr>
            </w:pPr>
            <w:r>
              <w:rPr>
                <w:rFonts w:asciiTheme="minorHAnsi" w:hAnsiTheme="minorHAnsi" w:cs="Arial"/>
                <w:sz w:val="20"/>
                <w:szCs w:val="20"/>
              </w:rPr>
              <w:t>15</w:t>
            </w:r>
          </w:p>
        </w:tc>
        <w:tc>
          <w:tcPr>
            <w:tcW w:w="1791" w:type="dxa"/>
            <w:vAlign w:val="center"/>
          </w:tcPr>
          <w:p w:rsidR="00520CE4" w:rsidP="00520CE4" w14:paraId="475DD75B" w14:textId="2EEF2241">
            <w:pPr>
              <w:jc w:val="center"/>
              <w:rPr>
                <w:rFonts w:asciiTheme="minorHAnsi" w:hAnsiTheme="minorHAnsi" w:cs="ArialMT"/>
                <w:sz w:val="20"/>
                <w:szCs w:val="20"/>
              </w:rPr>
            </w:pPr>
            <w:r>
              <w:rPr>
                <w:rFonts w:asciiTheme="minorHAnsi" w:hAnsiTheme="minorHAnsi" w:cs="ArialMT"/>
                <w:sz w:val="20"/>
                <w:szCs w:val="20"/>
              </w:rPr>
              <w:t>18.75</w:t>
            </w:r>
          </w:p>
        </w:tc>
      </w:tr>
      <w:tr w14:paraId="7FAF508D" w14:textId="77777777" w:rsidTr="002453C1">
        <w:tblPrEx>
          <w:tblW w:w="0" w:type="auto"/>
          <w:tblLook w:val="04A0"/>
        </w:tblPrEx>
        <w:trPr>
          <w:trHeight w:hRule="exact" w:val="550"/>
        </w:trPr>
        <w:tc>
          <w:tcPr>
            <w:tcW w:w="2425" w:type="dxa"/>
          </w:tcPr>
          <w:p w:rsidR="003F7D2F" w:rsidP="00520CE4" w14:paraId="61A69BA5" w14:textId="495550D8">
            <w:pPr>
              <w:pStyle w:val="ListParagraph"/>
              <w:ind w:left="0"/>
              <w:jc w:val="both"/>
              <w:rPr>
                <w:sz w:val="20"/>
              </w:rPr>
            </w:pPr>
            <w:r w:rsidRPr="001A788E">
              <w:rPr>
                <w:sz w:val="20"/>
              </w:rPr>
              <w:t>NASA MUREP Student Participants</w:t>
            </w:r>
          </w:p>
        </w:tc>
        <w:tc>
          <w:tcPr>
            <w:tcW w:w="1577" w:type="dxa"/>
            <w:vAlign w:val="center"/>
          </w:tcPr>
          <w:p w:rsidR="003F7D2F" w:rsidP="00520CE4" w14:paraId="4FADFF7B" w14:textId="07A2C411">
            <w:pPr>
              <w:jc w:val="center"/>
              <w:rPr>
                <w:rFonts w:asciiTheme="minorHAnsi" w:hAnsiTheme="minorHAnsi" w:cs="ArialMT"/>
                <w:sz w:val="20"/>
                <w:szCs w:val="20"/>
              </w:rPr>
            </w:pPr>
            <w:r>
              <w:rPr>
                <w:rFonts w:asciiTheme="minorHAnsi" w:hAnsiTheme="minorHAnsi" w:cs="ArialMT"/>
                <w:sz w:val="20"/>
                <w:szCs w:val="20"/>
              </w:rPr>
              <w:t>4</w:t>
            </w:r>
            <w:r w:rsidR="003004DF">
              <w:rPr>
                <w:rFonts w:asciiTheme="minorHAnsi" w:hAnsiTheme="minorHAnsi" w:cs="ArialMT"/>
                <w:sz w:val="20"/>
                <w:szCs w:val="20"/>
              </w:rPr>
              <w:t>25</w:t>
            </w:r>
          </w:p>
        </w:tc>
        <w:tc>
          <w:tcPr>
            <w:tcW w:w="1642" w:type="dxa"/>
            <w:vAlign w:val="center"/>
          </w:tcPr>
          <w:p w:rsidR="003F7D2F" w:rsidP="00520CE4" w14:paraId="612EE9CC" w14:textId="5E6894D8">
            <w:pPr>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3F7D2F" w:rsidP="00520CE4" w14:paraId="5FCC2853" w14:textId="443CEA6F">
            <w:pPr>
              <w:jc w:val="center"/>
              <w:rPr>
                <w:rFonts w:asciiTheme="minorHAnsi" w:hAnsiTheme="minorHAnsi" w:cs="Arial"/>
                <w:sz w:val="20"/>
                <w:szCs w:val="20"/>
              </w:rPr>
            </w:pPr>
            <w:r>
              <w:rPr>
                <w:rFonts w:asciiTheme="minorHAnsi" w:hAnsiTheme="minorHAnsi" w:cs="Arial"/>
                <w:sz w:val="20"/>
                <w:szCs w:val="20"/>
              </w:rPr>
              <w:t>15</w:t>
            </w:r>
          </w:p>
        </w:tc>
        <w:tc>
          <w:tcPr>
            <w:tcW w:w="1791" w:type="dxa"/>
            <w:vAlign w:val="center"/>
          </w:tcPr>
          <w:p w:rsidR="003F7D2F" w:rsidP="00520CE4" w14:paraId="3633E39A" w14:textId="414839C5">
            <w:pPr>
              <w:jc w:val="center"/>
              <w:rPr>
                <w:rFonts w:asciiTheme="minorHAnsi" w:hAnsiTheme="minorHAnsi" w:cs="ArialMT"/>
                <w:sz w:val="20"/>
                <w:szCs w:val="20"/>
              </w:rPr>
            </w:pPr>
            <w:r>
              <w:rPr>
                <w:rFonts w:asciiTheme="minorHAnsi" w:hAnsiTheme="minorHAnsi" w:cs="ArialMT"/>
                <w:sz w:val="20"/>
                <w:szCs w:val="20"/>
              </w:rPr>
              <w:t>106.25</w:t>
            </w:r>
          </w:p>
        </w:tc>
      </w:tr>
      <w:tr w14:paraId="7A51508C" w14:textId="77777777" w:rsidTr="00CB0366">
        <w:tblPrEx>
          <w:tblW w:w="0" w:type="auto"/>
          <w:tblLook w:val="04A0"/>
        </w:tblPrEx>
        <w:tc>
          <w:tcPr>
            <w:tcW w:w="2425" w:type="dxa"/>
            <w:shd w:val="clear" w:color="auto" w:fill="AEAAAA" w:themeFill="background2" w:themeFillShade="BF"/>
          </w:tcPr>
          <w:p w:rsidR="00520CE4" w:rsidRPr="00CB0366" w:rsidP="00520CE4" w14:paraId="1CFDD474" w14:textId="77777777">
            <w:pPr>
              <w:rPr>
                <w:rFonts w:asciiTheme="minorHAnsi" w:hAnsiTheme="minorHAnsi"/>
                <w:b/>
                <w:sz w:val="20"/>
                <w:szCs w:val="20"/>
              </w:rPr>
            </w:pPr>
            <w:r w:rsidRPr="00CB0366">
              <w:rPr>
                <w:rFonts w:asciiTheme="minorHAnsi" w:hAnsiTheme="minorHAnsi"/>
                <w:b/>
                <w:sz w:val="20"/>
                <w:szCs w:val="20"/>
              </w:rPr>
              <w:t>TOTAL</w:t>
            </w:r>
          </w:p>
        </w:tc>
        <w:tc>
          <w:tcPr>
            <w:tcW w:w="1577" w:type="dxa"/>
            <w:shd w:val="clear" w:color="auto" w:fill="AEAAAA" w:themeFill="background2" w:themeFillShade="BF"/>
          </w:tcPr>
          <w:p w:rsidR="00520CE4" w:rsidRPr="00610647" w:rsidP="00520CE4" w14:paraId="50CC151F" w14:textId="77777777">
            <w:pPr>
              <w:jc w:val="center"/>
              <w:rPr>
                <w:rFonts w:asciiTheme="minorHAnsi" w:hAnsiTheme="minorHAnsi"/>
                <w:b/>
                <w:sz w:val="20"/>
                <w:szCs w:val="20"/>
              </w:rPr>
            </w:pPr>
          </w:p>
        </w:tc>
        <w:tc>
          <w:tcPr>
            <w:tcW w:w="1642" w:type="dxa"/>
            <w:shd w:val="clear" w:color="auto" w:fill="AEAAAA" w:themeFill="background2" w:themeFillShade="BF"/>
          </w:tcPr>
          <w:p w:rsidR="00520CE4" w:rsidRPr="00610647" w:rsidP="00520CE4" w14:paraId="40531BD5" w14:textId="77777777">
            <w:pPr>
              <w:jc w:val="center"/>
              <w:rPr>
                <w:rFonts w:asciiTheme="minorHAnsi" w:hAnsiTheme="minorHAnsi"/>
                <w:b/>
                <w:sz w:val="20"/>
                <w:szCs w:val="20"/>
              </w:rPr>
            </w:pPr>
          </w:p>
        </w:tc>
        <w:tc>
          <w:tcPr>
            <w:tcW w:w="1915" w:type="dxa"/>
            <w:shd w:val="clear" w:color="auto" w:fill="AEAAAA" w:themeFill="background2" w:themeFillShade="BF"/>
          </w:tcPr>
          <w:p w:rsidR="00520CE4" w:rsidRPr="00610647" w:rsidP="00520CE4" w14:paraId="4F5F7E7D" w14:textId="77777777">
            <w:pPr>
              <w:jc w:val="center"/>
              <w:rPr>
                <w:rFonts w:asciiTheme="minorHAnsi" w:hAnsiTheme="minorHAnsi"/>
                <w:b/>
                <w:sz w:val="20"/>
                <w:szCs w:val="20"/>
              </w:rPr>
            </w:pPr>
          </w:p>
        </w:tc>
        <w:tc>
          <w:tcPr>
            <w:tcW w:w="1791" w:type="dxa"/>
            <w:shd w:val="clear" w:color="auto" w:fill="AEAAAA" w:themeFill="background2" w:themeFillShade="BF"/>
          </w:tcPr>
          <w:p w:rsidR="00520CE4" w:rsidRPr="00610647" w:rsidP="00520CE4" w14:paraId="1D845F86" w14:textId="17B45753">
            <w:pPr>
              <w:jc w:val="center"/>
              <w:rPr>
                <w:rFonts w:asciiTheme="minorHAnsi" w:hAnsiTheme="minorHAnsi"/>
                <w:b/>
                <w:sz w:val="20"/>
                <w:szCs w:val="20"/>
              </w:rPr>
            </w:pPr>
            <w:r>
              <w:rPr>
                <w:rFonts w:asciiTheme="minorHAnsi" w:hAnsiTheme="minorHAnsi"/>
                <w:b/>
                <w:sz w:val="20"/>
                <w:szCs w:val="20"/>
              </w:rPr>
              <w:t>125.00</w:t>
            </w:r>
          </w:p>
        </w:tc>
      </w:tr>
    </w:tbl>
    <w:p w:rsidR="00CF154B" w:rsidRPr="00AB74A8" w:rsidP="00674390" w14:paraId="1C8C05E5" w14:textId="77777777"/>
    <w:p w:rsidR="00EC4B30" w:rsidRPr="00D71554" w:rsidP="00AD35CC" w14:paraId="42CADF8F" w14:textId="77777777">
      <w:pPr>
        <w:pStyle w:val="ListParagraph"/>
        <w:numPr>
          <w:ilvl w:val="0"/>
          <w:numId w:val="3"/>
        </w:numPr>
        <w:jc w:val="both"/>
        <w:rPr>
          <w:rFonts w:ascii="ArialMT" w:hAnsi="ArialMT" w:cs="ArialMT"/>
          <w:sz w:val="19"/>
          <w:szCs w:val="17"/>
        </w:rPr>
      </w:pPr>
      <w:r w:rsidRPr="00D71554">
        <w:rPr>
          <w:b/>
        </w:rPr>
        <w:t xml:space="preserve">DATA CONFIDENTIALITY MEASURES: </w:t>
      </w:r>
      <w:r w:rsidRPr="00A77CF4" w:rsidR="00A77CF4">
        <w:t xml:space="preserve">Any information collected under the purview of this clearance will be maintained in accordance with the Privacy Act of 1974, the e-Government </w:t>
      </w:r>
      <w:r w:rsidR="00393E8F">
        <w:t>A</w:t>
      </w:r>
      <w:r w:rsidRPr="00A77CF4" w:rsidR="00393E8F">
        <w:t xml:space="preserve">ct </w:t>
      </w:r>
      <w:r w:rsidRPr="00A77CF4" w:rsidR="00A77CF4">
        <w:t>of 2002, the Federal Records Act, and as applicable, the Freedom of Information Act in order to protect respondents’ privacy and the confidentiality of the data collected.</w:t>
      </w:r>
    </w:p>
    <w:p w:rsidR="00EC4B30" w:rsidP="00EC4B30" w14:paraId="7BEF41B8" w14:textId="77777777"/>
    <w:p w:rsidR="00743573" w:rsidRPr="007C21DC" w:rsidP="00AD35CC" w14:paraId="24B928B5" w14:textId="77777777">
      <w:pPr>
        <w:pStyle w:val="ListParagraph"/>
        <w:numPr>
          <w:ilvl w:val="0"/>
          <w:numId w:val="3"/>
        </w:numPr>
        <w:rPr>
          <w:b/>
        </w:rPr>
      </w:pPr>
      <w:r w:rsidRPr="007C21DC">
        <w:rPr>
          <w:b/>
        </w:rPr>
        <w:t>PERSONALLY IDENTIFIABLE INFORMATION:</w:t>
      </w:r>
    </w:p>
    <w:p w:rsidR="00BE06C5" w:rsidP="00724D0A" w14:paraId="6E5B5AC7" w14:textId="57CC006B">
      <w:pPr>
        <w:pStyle w:val="ListParagraph"/>
        <w:numPr>
          <w:ilvl w:val="1"/>
          <w:numId w:val="6"/>
        </w:numPr>
      </w:pPr>
      <w:r w:rsidRPr="007C21DC">
        <w:t xml:space="preserve">Is personally identifiable </w:t>
      </w:r>
      <w:r w:rsidR="00EC4B30">
        <w:t xml:space="preserve">information (PII) collected? </w:t>
      </w:r>
      <w:r w:rsidR="0045630D">
        <w:rPr>
          <w:rFonts w:ascii="Wingdings" w:hAnsi="Wingdings"/>
        </w:rPr>
        <w:sym w:font="Wingdings" w:char="F0FE"/>
      </w:r>
      <w:r w:rsidRPr="009C327C" w:rsidR="009C327C">
        <w:t xml:space="preserve">Yes </w:t>
      </w:r>
      <w:r w:rsidR="00ED2110">
        <w:t xml:space="preserve"> </w:t>
      </w:r>
      <w:r w:rsidR="0045630D">
        <w:rPr>
          <w:rFonts w:ascii="Wingdings" w:hAnsi="Wingdings"/>
        </w:rPr>
        <w:sym w:font="Wingdings" w:char="F06F"/>
      </w:r>
      <w:r w:rsidR="00ED2110">
        <w:t xml:space="preserve"> </w:t>
      </w:r>
      <w:r w:rsidRPr="009C327C" w:rsidR="009C327C">
        <w:t>No</w:t>
      </w:r>
      <w:r w:rsidR="00F160E2">
        <w:t xml:space="preserve"> </w:t>
      </w:r>
    </w:p>
    <w:p w:rsidR="00336C4F" w:rsidP="00AD3728" w14:paraId="2E41E48D" w14:textId="613F4F22">
      <w:pPr>
        <w:pStyle w:val="ListParagraph"/>
        <w:rPr>
          <w:i/>
        </w:rPr>
      </w:pPr>
      <w:r>
        <w:t xml:space="preserve">– </w:t>
      </w:r>
      <w:r>
        <w:rPr>
          <w:i/>
        </w:rPr>
        <w:t>NOTE: First and Last Name are not collected but demographic information is collected (e.g., gender, ethnicity, race, grade level</w:t>
      </w:r>
      <w:r w:rsidR="000E0E8A">
        <w:rPr>
          <w:i/>
        </w:rPr>
        <w:t>,</w:t>
      </w:r>
      <w:r>
        <w:rPr>
          <w:i/>
        </w:rPr>
        <w:t xml:space="preserve"> etc.)</w:t>
      </w:r>
    </w:p>
    <w:p w:rsidR="00336C4F" w:rsidP="00336C4F" w14:paraId="4838DF1D" w14:textId="77777777">
      <w:pPr>
        <w:pStyle w:val="ListParagraph"/>
        <w:ind w:left="936"/>
      </w:pPr>
    </w:p>
    <w:p w:rsidR="00BE06C5" w:rsidRPr="007C21DC" w:rsidP="00BE06C5" w14:paraId="104841DB" w14:textId="77777777">
      <w:pPr>
        <w:pStyle w:val="ListParagraph"/>
        <w:ind w:left="936"/>
      </w:pPr>
    </w:p>
    <w:p w:rsidR="00743573" w:rsidP="00724D0A" w14:paraId="3F133A89" w14:textId="7574CA68">
      <w:pPr>
        <w:pStyle w:val="ListParagraph"/>
        <w:numPr>
          <w:ilvl w:val="1"/>
          <w:numId w:val="6"/>
        </w:numPr>
      </w:pPr>
      <w:r w:rsidRPr="007C21DC">
        <w:t>If yes, will any information that is collected by included in records that are subject</w:t>
      </w:r>
      <w:r w:rsidR="00EC4B30">
        <w:t xml:space="preserve"> to the Privacy Act of 1974? </w:t>
      </w:r>
      <w:r w:rsidR="00216307">
        <w:rPr>
          <w:rFonts w:ascii="Wingdings" w:hAnsi="Wingdings"/>
        </w:rPr>
        <w:sym w:font="Wingdings" w:char="F0FE"/>
      </w:r>
      <w:r w:rsidRPr="009C327C" w:rsidR="00ED2110">
        <w:t xml:space="preserve">Yes </w:t>
      </w:r>
      <w:r w:rsidR="00ED2110">
        <w:t xml:space="preserve"> </w:t>
      </w:r>
      <w:r w:rsidR="00ED2110">
        <w:rPr>
          <w:rFonts w:ascii="Wingdings" w:hAnsi="Wingdings"/>
        </w:rPr>
        <w:sym w:font="Wingdings" w:char="F06F"/>
      </w:r>
      <w:r w:rsidR="00ED2110">
        <w:t xml:space="preserve"> </w:t>
      </w:r>
      <w:r w:rsidRPr="009C327C" w:rsidR="00ED2110">
        <w:t>No</w:t>
      </w:r>
    </w:p>
    <w:p w:rsidR="00ED2110" w:rsidRPr="007C21DC" w:rsidP="00ED2110" w14:paraId="5FB97AA6" w14:textId="77777777">
      <w:pPr>
        <w:pStyle w:val="ListParagraph"/>
        <w:ind w:left="1584"/>
      </w:pPr>
    </w:p>
    <w:p w:rsidR="00ED2110" w:rsidP="00724D0A" w14:paraId="69A32D2F" w14:textId="77777777">
      <w:pPr>
        <w:pStyle w:val="ListParagraph"/>
        <w:numPr>
          <w:ilvl w:val="1"/>
          <w:numId w:val="6"/>
        </w:numPr>
      </w:pPr>
      <w:r w:rsidRPr="007C21DC">
        <w:t xml:space="preserve">If yes, has an up-to-date System of Records Notice (SORN) been published? </w:t>
      </w:r>
    </w:p>
    <w:p w:rsidR="00BE06C5" w:rsidP="00BE06C5" w14:paraId="34096015" w14:textId="77777777">
      <w:pPr>
        <w:ind w:left="864" w:firstLine="720"/>
      </w:pPr>
      <w:r>
        <w:rPr>
          <w:rFonts w:ascii="Wingdings" w:hAnsi="Wingdings"/>
        </w:rPr>
        <w:sym w:font="Wingdings" w:char="F0FE"/>
      </w:r>
      <w:r w:rsidRPr="009C327C" w:rsidR="00ED2110">
        <w:t xml:space="preserve">Yes </w:t>
      </w:r>
      <w:r w:rsidR="00ED2110">
        <w:t xml:space="preserve"> </w:t>
      </w:r>
      <w:r w:rsidR="00ED2110">
        <w:rPr>
          <w:rFonts w:ascii="Wingdings" w:hAnsi="Wingdings"/>
        </w:rPr>
        <w:sym w:font="Wingdings" w:char="F06F"/>
      </w:r>
      <w:r w:rsidR="00ED2110">
        <w:t xml:space="preserve"> </w:t>
      </w:r>
      <w:r w:rsidRPr="009C327C" w:rsidR="00ED2110">
        <w:t>No</w:t>
      </w:r>
    </w:p>
    <w:p w:rsidR="006E35A9" w:rsidRPr="00BE06C5" w:rsidP="00BE06C5" w14:paraId="66B7D0B4" w14:textId="77777777">
      <w:pPr>
        <w:ind w:left="864"/>
      </w:pPr>
      <w:r w:rsidRPr="00BE06C5">
        <w:rPr>
          <w:szCs w:val="20"/>
        </w:rPr>
        <w:t>Published March 17, 2015</w:t>
      </w:r>
      <w:r w:rsidRPr="00BE06C5">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Pr>
          <w:szCs w:val="20"/>
        </w:rPr>
        <w:t>Program Evaluation System - http://www.nasa.gov/privacy/nasa_sorn_10EDUA.html.</w:t>
      </w:r>
    </w:p>
    <w:p w:rsidR="00AB3304" w:rsidP="00345D9E" w14:paraId="34CE89BE" w14:textId="77777777">
      <w:pPr>
        <w:pStyle w:val="ListParagraph"/>
        <w:ind w:left="288"/>
        <w:rPr>
          <w:b/>
        </w:rPr>
      </w:pPr>
    </w:p>
    <w:p w:rsidR="007C21DC" w:rsidP="00345D9E" w14:paraId="72871DA1" w14:textId="77777777">
      <w:pPr>
        <w:pStyle w:val="ListParagraph"/>
        <w:ind w:left="288"/>
        <w:rPr>
          <w:b/>
        </w:rPr>
      </w:pPr>
      <w:r w:rsidRPr="007C21DC">
        <w:rPr>
          <w:b/>
        </w:rPr>
        <w:t>APPLICABLE RECORDS:</w:t>
      </w:r>
    </w:p>
    <w:p w:rsidR="00CD0B0F" w:rsidRPr="007C21DC" w:rsidP="00CD0B0F" w14:paraId="4488A100" w14:textId="77777777">
      <w:pPr>
        <w:pStyle w:val="ListParagraph"/>
        <w:ind w:left="288"/>
        <w:rPr>
          <w:b/>
        </w:rPr>
      </w:pPr>
    </w:p>
    <w:p w:rsidR="00447FAE" w:rsidRPr="00BD4844" w:rsidP="00724D0A" w14:paraId="48954C0D" w14:textId="77777777">
      <w:pPr>
        <w:pStyle w:val="ListParagraph"/>
        <w:numPr>
          <w:ilvl w:val="1"/>
          <w:numId w:val="6"/>
        </w:numPr>
        <w:rPr>
          <w:rFonts w:asciiTheme="minorHAnsi" w:hAnsiTheme="minorHAnsi" w:cs="Arial"/>
        </w:rPr>
      </w:pPr>
      <w:r w:rsidRPr="00BD4844">
        <w:rPr>
          <w:rFonts w:asciiTheme="minorHAnsi" w:hAnsiTheme="minorHAnsi" w:cs="Arial"/>
        </w:rPr>
        <w:t xml:space="preserve">Applicable System of Records Notice: </w:t>
      </w:r>
      <w:r w:rsidRPr="00BD4844">
        <w:rPr>
          <w:rFonts w:asciiTheme="minorHAnsi" w:hAnsiTheme="minorHAnsi" w:cs="Arial"/>
        </w:rPr>
        <w:t xml:space="preserve">SORN: NASA 10EDUA, </w:t>
      </w:r>
      <w:r w:rsidR="00B8562A">
        <w:rPr>
          <w:rFonts w:asciiTheme="minorHAnsi" w:hAnsiTheme="minorHAnsi" w:cs="Arial"/>
        </w:rPr>
        <w:t>NASA STEM Engagement</w:t>
      </w:r>
      <w:r w:rsidRPr="00BD4844">
        <w:rPr>
          <w:rFonts w:asciiTheme="minorHAnsi" w:hAnsiTheme="minorHAnsi" w:cs="Arial"/>
        </w:rPr>
        <w:t xml:space="preserve"> Program Evaluation System - </w:t>
      </w:r>
      <w:hyperlink r:id="rId10" w:history="1">
        <w:r w:rsidRPr="00BD4844">
          <w:rPr>
            <w:rFonts w:asciiTheme="minorHAnsi" w:hAnsiTheme="minorHAnsi" w:cs="Arial"/>
          </w:rPr>
          <w:t>http://www.nasa.gov/privacy/nasa_sorn_10EDUA.html</w:t>
        </w:r>
      </w:hyperlink>
    </w:p>
    <w:p w:rsidR="002B2B85" w:rsidRPr="00BD4844" w:rsidP="002B2B85" w14:paraId="22935A67" w14:textId="77777777">
      <w:pPr>
        <w:pStyle w:val="ListParagraph"/>
        <w:ind w:left="936"/>
        <w:rPr>
          <w:rFonts w:asciiTheme="minorHAnsi" w:hAnsiTheme="minorHAnsi" w:cs="Arial"/>
        </w:rPr>
      </w:pPr>
    </w:p>
    <w:p w:rsidR="00ED2110" w:rsidRPr="00BD4844" w:rsidP="00724D0A" w14:paraId="09FFE66E" w14:textId="77777777">
      <w:pPr>
        <w:pStyle w:val="ListParagraph"/>
        <w:numPr>
          <w:ilvl w:val="1"/>
          <w:numId w:val="6"/>
        </w:numPr>
        <w:rPr>
          <w:rFonts w:asciiTheme="minorHAnsi" w:hAnsiTheme="minorHAnsi" w:cs="Arial"/>
        </w:rPr>
      </w:pPr>
      <w:r w:rsidRPr="00BD4844">
        <w:rPr>
          <w:rFonts w:asciiTheme="minorHAnsi" w:hAnsiTheme="minorHAnsi" w:cs="Arial"/>
        </w:rPr>
        <w:t>Completed surveys</w:t>
      </w:r>
      <w:r w:rsidRPr="00BD4844">
        <w:rPr>
          <w:rFonts w:asciiTheme="minorHAnsi" w:hAnsiTheme="minorHAnsi" w:cs="Arial"/>
        </w:rPr>
        <w:t xml:space="preserve"> will be retained in accordance with NASA Records Retention Schedule 1,  </w:t>
      </w:r>
    </w:p>
    <w:p w:rsidR="00743573" w:rsidRPr="00D71554" w:rsidP="002C2DEA" w14:paraId="3937C89A" w14:textId="77777777">
      <w:pPr>
        <w:ind w:left="936"/>
        <w:rPr>
          <w:rFonts w:ascii="ArialMT" w:hAnsi="ArialMT" w:cs="ArialMT"/>
          <w:sz w:val="19"/>
          <w:szCs w:val="17"/>
        </w:rPr>
      </w:pPr>
      <w:r w:rsidRPr="00BD4844">
        <w:rPr>
          <w:rFonts w:asciiTheme="minorHAnsi" w:hAnsiTheme="minorHAnsi" w:cs="Arial"/>
        </w:rPr>
        <w:t>Item 68D. Records will be destroyed or deleted when ten years old, or no longer needed, whichever is longer.</w:t>
      </w:r>
    </w:p>
    <w:p w:rsidR="00356A2E" w:rsidRPr="00AB74A8" w:rsidP="00674390" w14:paraId="2C179017" w14:textId="77777777">
      <w:pPr>
        <w:rPr>
          <w:b/>
        </w:rPr>
      </w:pPr>
    </w:p>
    <w:p w:rsidR="007E4392" w:rsidRPr="007C21DC" w:rsidP="00AD35CC" w14:paraId="1EFF9B86" w14:textId="77777777">
      <w:pPr>
        <w:pStyle w:val="ListParagraph"/>
        <w:numPr>
          <w:ilvl w:val="0"/>
          <w:numId w:val="3"/>
        </w:numPr>
        <w:rPr>
          <w:b/>
        </w:rPr>
      </w:pPr>
      <w:r w:rsidRPr="007C21DC">
        <w:rPr>
          <w:b/>
        </w:rPr>
        <w:t>PARTICIPANT SELECTION APPROACH:</w:t>
      </w:r>
    </w:p>
    <w:p w:rsidR="007E4392" w:rsidRPr="00AB74A8" w:rsidP="00674390" w14:paraId="4EFE1D00" w14:textId="77777777">
      <w:pPr>
        <w:rPr>
          <w:b/>
        </w:rPr>
      </w:pPr>
    </w:p>
    <w:p w:rsidR="008339E6" w:rsidRPr="00AB74A8" w:rsidP="00BF134E" w14:paraId="05AB611F" w14:textId="77777777">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rPr>
          <w:rFonts w:ascii="Wingdings" w:hAnsi="Wingdings"/>
        </w:rPr>
        <w:sym w:font="Wingdings" w:char="F0FE"/>
      </w:r>
      <w:r w:rsidRPr="009C327C" w:rsidR="00ED2110">
        <w:t xml:space="preserve">Yes </w:t>
      </w:r>
      <w:r w:rsidR="00ED2110">
        <w:t xml:space="preserve"> </w:t>
      </w:r>
      <w:r w:rsidR="00ED2110">
        <w:rPr>
          <w:rFonts w:ascii="Wingdings" w:hAnsi="Wingdings"/>
        </w:rPr>
        <w:sym w:font="Wingdings" w:char="F06F"/>
      </w:r>
      <w:r w:rsidR="00ED2110">
        <w:t xml:space="preserve"> </w:t>
      </w:r>
      <w:r w:rsidRPr="009C327C" w:rsidR="00ED2110">
        <w:t>No</w:t>
      </w:r>
    </w:p>
    <w:p w:rsidR="008339E6" w:rsidRPr="00AB74A8" w:rsidP="008339E6" w14:paraId="1AB986C1" w14:textId="77777777">
      <w:pPr>
        <w:pStyle w:val="ListParagraph"/>
      </w:pPr>
    </w:p>
    <w:p w:rsidR="00CF154B" w:rsidRPr="004548E1" w:rsidP="00401137" w14:paraId="5A735F32" w14:textId="01006218">
      <w:pPr>
        <w:pStyle w:val="ListParagraph"/>
        <w:ind w:left="1080"/>
        <w:rPr>
          <w:szCs w:val="20"/>
        </w:rPr>
      </w:pPr>
      <w:r w:rsidRPr="00BD4844">
        <w:rPr>
          <w:b/>
        </w:rPr>
        <w:t>If yes, please define the universe of potential respondents. If a sampling plan exists, please describe?</w:t>
      </w:r>
      <w:r w:rsidR="00512745">
        <w:t xml:space="preserve"> </w:t>
      </w:r>
      <w:r w:rsidR="004C618D">
        <w:rPr>
          <w:bCs/>
        </w:rPr>
        <w:t>The universe of NASA MUREP Principal Investigators (PIs) and higher education student participants for testing is 500 or below.  I</w:t>
      </w:r>
      <w:r w:rsidRPr="00520CE4" w:rsidR="004C618D">
        <w:rPr>
          <w:bCs/>
        </w:rPr>
        <w:t>tems</w:t>
      </w:r>
      <w:r w:rsidR="004C618D">
        <w:rPr>
          <w:bCs/>
        </w:rPr>
        <w:t xml:space="preserve"> for the two instruments (N</w:t>
      </w:r>
      <w:r w:rsidRPr="00520CE4" w:rsidR="004C618D">
        <w:rPr>
          <w:bCs/>
        </w:rPr>
        <w:t xml:space="preserve">ASA </w:t>
      </w:r>
      <w:r w:rsidR="004C618D">
        <w:rPr>
          <w:bCs/>
        </w:rPr>
        <w:t xml:space="preserve">MUREP PI </w:t>
      </w:r>
      <w:r w:rsidRPr="00520CE4" w:rsidR="004C618D">
        <w:rPr>
          <w:bCs/>
        </w:rPr>
        <w:t>Survey</w:t>
      </w:r>
      <w:r w:rsidR="004C618D">
        <w:rPr>
          <w:bCs/>
        </w:rPr>
        <w:t xml:space="preserve"> and NASA MUREP Student Survey)</w:t>
      </w:r>
      <w:r w:rsidRPr="00520CE4" w:rsidR="004C618D">
        <w:rPr>
          <w:bCs/>
        </w:rPr>
        <w:t xml:space="preserve"> will be placed into Survey Monkey online software, and a survey link will be distributed through email to</w:t>
      </w:r>
      <w:r w:rsidR="004C618D">
        <w:rPr>
          <w:bCs/>
        </w:rPr>
        <w:t xml:space="preserve"> </w:t>
      </w:r>
      <w:r w:rsidRPr="00520CE4" w:rsidR="004C618D">
        <w:rPr>
          <w:bCs/>
        </w:rPr>
        <w:t xml:space="preserve"> </w:t>
      </w:r>
      <w:r w:rsidR="004C618D">
        <w:rPr>
          <w:bCs/>
        </w:rPr>
        <w:t xml:space="preserve">~500 </w:t>
      </w:r>
      <w:r w:rsidRPr="00520CE4" w:rsidR="004C618D">
        <w:rPr>
          <w:bCs/>
        </w:rPr>
        <w:t>NASA</w:t>
      </w:r>
      <w:r w:rsidR="004C618D">
        <w:rPr>
          <w:bCs/>
        </w:rPr>
        <w:t xml:space="preserve"> MUREP Principal Investigators (PIs) and higher education student </w:t>
      </w:r>
      <w:r w:rsidRPr="00520CE4" w:rsidR="004C618D">
        <w:rPr>
          <w:bCs/>
        </w:rPr>
        <w:t>participants</w:t>
      </w:r>
      <w:r w:rsidR="004C618D">
        <w:rPr>
          <w:bCs/>
        </w:rPr>
        <w:t xml:space="preserve"> in the NASA MUREP to administer.</w:t>
      </w:r>
    </w:p>
    <w:p w:rsidR="00274390" w:rsidRPr="00AB74A8" w:rsidP="00274390" w14:paraId="1717ED23" w14:textId="77777777">
      <w:pPr>
        <w:pStyle w:val="ListParagraph"/>
        <w:ind w:left="1080"/>
      </w:pPr>
    </w:p>
    <w:p w:rsidR="00FD67D5" w:rsidRPr="00AB74A8" w:rsidP="00D71554" w14:paraId="0BF127BE" w14:textId="77777777">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007E4392" w:rsidRPr="00AB74A8" w:rsidP="00674390" w14:paraId="3D8E5733" w14:textId="77777777">
      <w:pPr>
        <w:rPr>
          <w:b/>
        </w:rPr>
      </w:pPr>
    </w:p>
    <w:p w:rsidR="006B106E" w:rsidRPr="00EC4B30" w:rsidP="00AD35CC" w14:paraId="18B41BB1" w14:textId="77777777">
      <w:pPr>
        <w:pStyle w:val="ListParagraph"/>
        <w:numPr>
          <w:ilvl w:val="0"/>
          <w:numId w:val="3"/>
        </w:numPr>
        <w:rPr>
          <w:b/>
        </w:rPr>
      </w:pPr>
      <w:r w:rsidRPr="00EC4B30">
        <w:rPr>
          <w:b/>
        </w:rPr>
        <w:t>INSTRUMENT ADMINISTRATION STRATEGY</w:t>
      </w:r>
    </w:p>
    <w:p w:rsidR="0003736E" w:rsidRPr="00AB74A8" w:rsidP="00674390" w14:paraId="509718CF" w14:textId="77777777">
      <w:pPr>
        <w:rPr>
          <w:b/>
        </w:rPr>
      </w:pPr>
      <w:r w:rsidRPr="00AB74A8">
        <w:t xml:space="preserve">          Describe the type of Consent</w:t>
      </w:r>
      <w:r w:rsidR="00EC4B30">
        <w:t xml:space="preserve">:     </w:t>
      </w:r>
      <w:r w:rsidR="00BD4844">
        <w:rPr>
          <w:rFonts w:ascii="Wingdings" w:hAnsi="Wingdings"/>
        </w:rPr>
        <w:sym w:font="Wingdings" w:char="F06F"/>
      </w:r>
      <w:r w:rsidR="00ED2110">
        <w:t xml:space="preserve"> </w:t>
      </w:r>
      <w:r w:rsidRPr="00AB74A8">
        <w:t xml:space="preserve">Active </w:t>
      </w:r>
      <w:r w:rsidR="00EC4B30">
        <w:t xml:space="preserve"> </w:t>
      </w:r>
      <w:r w:rsidR="00BD4844">
        <w:rPr>
          <w:rFonts w:ascii="Wingdings" w:hAnsi="Wingdings"/>
        </w:rPr>
        <w:sym w:font="Wingdings" w:char="F0FE"/>
      </w:r>
      <w:r w:rsidR="00BD4844">
        <w:t xml:space="preserve"> </w:t>
      </w:r>
      <w:r w:rsidR="00EC4B30">
        <w:t>P</w:t>
      </w:r>
      <w:r w:rsidRPr="00AB74A8">
        <w:t>assive</w:t>
      </w:r>
      <w:r w:rsidR="00FF5262">
        <w:t xml:space="preserve"> </w:t>
      </w:r>
    </w:p>
    <w:p w:rsidR="0070268E" w:rsidP="00062EC4" w14:paraId="4F9FB04A" w14:textId="77777777">
      <w:r>
        <w:rPr>
          <w:b/>
        </w:rPr>
        <w:tab/>
      </w:r>
    </w:p>
    <w:p w:rsidR="006B106E" w:rsidRPr="00AB74A8" w:rsidP="00724D0A" w14:paraId="3C3AE0B9" w14:textId="77777777">
      <w:pPr>
        <w:pStyle w:val="ListParagraph"/>
        <w:numPr>
          <w:ilvl w:val="1"/>
          <w:numId w:val="6"/>
        </w:numPr>
      </w:pPr>
      <w:r w:rsidRPr="00AB74A8">
        <w:t>How will the information be collected:</w:t>
      </w:r>
    </w:p>
    <w:p w:rsidR="00674390" w:rsidRPr="00062EC4" w:rsidP="002C2DEA" w14:paraId="39CBEAE1" w14:textId="77777777">
      <w:pPr>
        <w:ind w:left="720" w:firstLine="720"/>
      </w:pPr>
      <w:r w:rsidRPr="00062EC4">
        <w:rPr>
          <w:rFonts w:ascii="Wingdings" w:hAnsi="Wingdings"/>
        </w:rPr>
        <w:sym w:font="Wingdings" w:char="F0FE"/>
      </w:r>
      <w:r w:rsidRPr="00062EC4" w:rsidR="006B106E">
        <w:t xml:space="preserve"> Web-based or other forms of Social Media</w:t>
      </w:r>
    </w:p>
    <w:p w:rsidR="006B106E" w:rsidRPr="00062EC4" w:rsidP="002C2DEA" w14:paraId="5EFE9320" w14:textId="77777777">
      <w:pPr>
        <w:ind w:left="720" w:firstLine="720"/>
      </w:pPr>
      <w:r w:rsidRPr="00062EC4">
        <w:rPr>
          <w:rFonts w:ascii="Wingdings" w:hAnsi="Wingdings"/>
        </w:rPr>
        <w:sym w:font="Wingdings" w:char="F06F"/>
      </w:r>
      <w:r w:rsidRPr="00062EC4">
        <w:t xml:space="preserve"> Telephone</w:t>
      </w:r>
    </w:p>
    <w:p w:rsidR="006B106E" w:rsidRPr="00062EC4" w:rsidP="002C2DEA" w14:paraId="675F2736" w14:textId="77777777">
      <w:pPr>
        <w:ind w:left="720" w:firstLine="720"/>
      </w:pPr>
      <w:r w:rsidRPr="00062EC4">
        <w:rPr>
          <w:rFonts w:ascii="Wingdings" w:hAnsi="Wingdings"/>
        </w:rPr>
        <w:sym w:font="Wingdings" w:char="F06F"/>
      </w:r>
      <w:r w:rsidRPr="00062EC4">
        <w:t xml:space="preserve"> In-person</w:t>
      </w:r>
      <w:r w:rsidRPr="00062EC4" w:rsidR="00DC6BB2">
        <w:t xml:space="preserve"> </w:t>
      </w:r>
    </w:p>
    <w:p w:rsidR="006B106E" w:rsidRPr="00062EC4" w:rsidP="002C2DEA" w14:paraId="487034BC" w14:textId="77777777">
      <w:pPr>
        <w:ind w:left="720" w:firstLine="720"/>
      </w:pPr>
      <w:r w:rsidRPr="00062EC4">
        <w:rPr>
          <w:rFonts w:ascii="Wingdings" w:hAnsi="Wingdings"/>
        </w:rPr>
        <w:sym w:font="Wingdings" w:char="F06F"/>
      </w:r>
      <w:r w:rsidRPr="00062EC4">
        <w:t xml:space="preserve"> Mail</w:t>
      </w:r>
    </w:p>
    <w:p w:rsidR="006B106E" w:rsidRPr="00AB74A8" w:rsidP="002C2DEA" w14:paraId="13A3DC47" w14:textId="77777777">
      <w:pPr>
        <w:ind w:left="720" w:firstLine="720"/>
      </w:pPr>
      <w:r w:rsidRPr="00062EC4">
        <w:rPr>
          <w:rFonts w:ascii="Wingdings" w:hAnsi="Wingdings"/>
        </w:rPr>
        <w:sym w:font="Wingdings" w:char="F06F"/>
      </w:r>
      <w:r w:rsidRPr="00062EC4">
        <w:t xml:space="preserve"> Other</w:t>
      </w:r>
    </w:p>
    <w:p w:rsidR="006B106E" w:rsidRPr="00AB74A8" w:rsidP="00FD67D5" w14:paraId="10464A51" w14:textId="77777777">
      <w:pPr>
        <w:ind w:left="720"/>
      </w:pPr>
    </w:p>
    <w:p w:rsidR="005D556E" w:rsidP="00C3307C" w14:paraId="739DB394" w14:textId="77777777">
      <w:pPr>
        <w:ind w:left="720"/>
      </w:pPr>
      <w:r w:rsidRPr="00BD4844">
        <w:rPr>
          <w:b/>
        </w:rPr>
        <w:t>If multiple approaches are used for a single instrument, state the projected percent of responses per approach</w:t>
      </w:r>
      <w:r w:rsidRPr="00BD4844" w:rsidR="00C3307C">
        <w:rPr>
          <w:b/>
        </w:rPr>
        <w:t>.</w:t>
      </w:r>
      <w:r>
        <w:t xml:space="preserve"> </w:t>
      </w:r>
    </w:p>
    <w:p w:rsidR="005D556E" w:rsidRPr="00AB74A8" w:rsidP="00FD67D5" w14:paraId="03FF30C7" w14:textId="77777777">
      <w:pPr>
        <w:ind w:left="720"/>
      </w:pPr>
    </w:p>
    <w:p w:rsidR="0003736E" w:rsidP="00724D0A" w14:paraId="6FFEE715" w14:textId="77777777">
      <w:pPr>
        <w:pStyle w:val="ListParagraph"/>
        <w:numPr>
          <w:ilvl w:val="1"/>
          <w:numId w:val="6"/>
        </w:numPr>
      </w:pPr>
      <w:r w:rsidRPr="00AB74A8">
        <w:t xml:space="preserve">Will interviewers or </w:t>
      </w:r>
      <w:r w:rsidRPr="00136854">
        <w:t>facilitators</w:t>
      </w:r>
      <w:r w:rsidRPr="00AB74A8">
        <w:t xml:space="preserve"> be used?   </w:t>
      </w:r>
      <w:r w:rsidR="00ED2110">
        <w:t xml:space="preserve"> </w:t>
      </w:r>
      <w:r w:rsidR="00136854">
        <w:rPr>
          <w:rFonts w:ascii="Wingdings" w:hAnsi="Wingdings"/>
        </w:rPr>
        <w:sym w:font="Wingdings" w:char="F06F"/>
      </w:r>
      <w:r w:rsidR="002C2DEA">
        <w:t xml:space="preserve"> </w:t>
      </w:r>
      <w:r w:rsidR="00EC4B30">
        <w:t>Y</w:t>
      </w:r>
      <w:r w:rsidRPr="00AB74A8">
        <w:t>es</w:t>
      </w:r>
      <w:r w:rsidR="00EC4B30">
        <w:t xml:space="preserve"> </w:t>
      </w:r>
      <w:r w:rsidR="00ED2110">
        <w:t xml:space="preserve"> </w:t>
      </w:r>
      <w:r w:rsidR="002C2DEA">
        <w:t xml:space="preserve"> </w:t>
      </w:r>
      <w:r w:rsidR="00136854">
        <w:rPr>
          <w:rFonts w:ascii="Wingdings" w:hAnsi="Wingdings"/>
        </w:rPr>
        <w:sym w:font="Wingdings" w:char="F0FE"/>
      </w:r>
      <w:r w:rsidR="00136854">
        <w:t xml:space="preserve"> </w:t>
      </w:r>
      <w:r w:rsidR="00EC4B30">
        <w:t>No</w:t>
      </w:r>
    </w:p>
    <w:p w:rsidR="00CF154B" w:rsidRPr="00AB74A8" w:rsidP="00CF154B" w14:paraId="20F3F197" w14:textId="77777777"/>
    <w:p w:rsidR="00CF154B" w:rsidRPr="00AB74A8" w:rsidP="00CF154B" w14:paraId="4987E321" w14:textId="77777777">
      <w:pPr>
        <w:pStyle w:val="ListParagraph"/>
        <w:ind w:left="936"/>
      </w:pPr>
    </w:p>
    <w:p w:rsidR="00C84993" w:rsidP="00AD35CC" w14:paraId="7D214872" w14:textId="77777777">
      <w:pPr>
        <w:pStyle w:val="ListParagraph"/>
        <w:numPr>
          <w:ilvl w:val="0"/>
          <w:numId w:val="3"/>
        </w:numPr>
      </w:pPr>
      <w:r>
        <w:rPr>
          <w:b/>
        </w:rPr>
        <w:t>DOCUMENTS/INSTRUMENTS</w:t>
      </w:r>
      <w:r>
        <w:t xml:space="preserve"> </w:t>
      </w:r>
      <w:r w:rsidRPr="00C84993">
        <w:rPr>
          <w:b/>
        </w:rPr>
        <w:t>ACCOMPANYING THIS REQUEST</w:t>
      </w:r>
      <w:r>
        <w:rPr>
          <w:b/>
        </w:rPr>
        <w:t>:</w:t>
      </w:r>
    </w:p>
    <w:p w:rsidR="00CF154B" w:rsidRPr="00D459F8" w:rsidP="00CF154B" w14:paraId="00E526FE" w14:textId="77777777">
      <w:pPr>
        <w:ind w:left="720" w:firstLine="720"/>
      </w:pPr>
      <w:r w:rsidRPr="00062EC4">
        <w:rPr>
          <w:rFonts w:ascii="Wingdings" w:hAnsi="Wingdings"/>
        </w:rPr>
        <w:sym w:font="Wingdings" w:char="F06F"/>
      </w:r>
      <w:r>
        <w:t xml:space="preserve"> </w:t>
      </w:r>
      <w:r w:rsidRPr="00D459F8">
        <w:t>Consent form</w:t>
      </w:r>
    </w:p>
    <w:p w:rsidR="00CF154B" w:rsidRPr="00D459F8" w:rsidP="00CF154B" w14:paraId="72158F33" w14:textId="77777777">
      <w:pPr>
        <w:ind w:left="720" w:firstLine="720"/>
      </w:pPr>
      <w:r w:rsidRPr="00D459F8">
        <w:rPr>
          <w:rFonts w:ascii="Wingdings" w:hAnsi="Wingdings"/>
        </w:rPr>
        <w:sym w:font="Wingdings" w:char="F0FE"/>
      </w:r>
      <w:r w:rsidRPr="00D459F8">
        <w:t xml:space="preserve"> Instrument (attitude &amp; behavior scales, and surveys)</w:t>
      </w:r>
    </w:p>
    <w:p w:rsidR="00CF154B" w:rsidRPr="00D459F8" w:rsidP="00CF154B" w14:paraId="402388D2" w14:textId="77777777">
      <w:pPr>
        <w:ind w:left="720" w:firstLine="720"/>
      </w:pPr>
      <w:r w:rsidRPr="00D459F8">
        <w:rPr>
          <w:rFonts w:ascii="Wingdings" w:hAnsi="Wingdings"/>
        </w:rPr>
        <w:sym w:font="Wingdings" w:char="F06F"/>
      </w:r>
      <w:r w:rsidRPr="00D459F8">
        <w:t xml:space="preserve"> Protocol script (Specify type: Script)</w:t>
      </w:r>
    </w:p>
    <w:p w:rsidR="00CF154B" w:rsidRPr="00D459F8" w:rsidP="00CF154B" w14:paraId="2E44B7E2" w14:textId="77777777">
      <w:pPr>
        <w:ind w:left="1440"/>
      </w:pPr>
      <w:r w:rsidRPr="00D459F8">
        <w:rPr>
          <w:rFonts w:ascii="Wingdings" w:hAnsi="Wingdings"/>
        </w:rPr>
        <w:sym w:font="Wingdings" w:char="F0FE"/>
      </w:r>
      <w:r w:rsidRPr="00D459F8">
        <w:t xml:space="preserve"> Instructions NOTE: Instructions are included in the instrument </w:t>
      </w:r>
    </w:p>
    <w:p w:rsidR="00CF154B" w:rsidP="00D459F8" w14:paraId="1D4F198B" w14:textId="77777777">
      <w:pPr>
        <w:pStyle w:val="ListParagraph"/>
        <w:ind w:left="1440"/>
      </w:pPr>
      <w:r w:rsidRPr="00D459F8">
        <w:rPr>
          <w:rFonts w:ascii="Wingdings" w:hAnsi="Wingdings"/>
        </w:rPr>
        <w:sym w:font="Wingdings" w:char="F06F"/>
      </w:r>
      <w:r w:rsidRPr="00D459F8">
        <w:t xml:space="preserve"> Other (Specify ________________)</w:t>
      </w:r>
    </w:p>
    <w:p w:rsidR="00CF154B" w:rsidRPr="00C84993" w:rsidP="00C84993" w14:paraId="7E93A510" w14:textId="77777777">
      <w:pPr>
        <w:pStyle w:val="ListParagraph"/>
        <w:ind w:left="288"/>
      </w:pPr>
    </w:p>
    <w:p w:rsidR="009C327C" w:rsidP="00AD35CC" w14:paraId="0130402A" w14:textId="77777777">
      <w:pPr>
        <w:pStyle w:val="ListParagraph"/>
        <w:numPr>
          <w:ilvl w:val="0"/>
          <w:numId w:val="3"/>
        </w:numPr>
      </w:pPr>
      <w:r w:rsidRPr="009C327C">
        <w:rPr>
          <w:b/>
        </w:rPr>
        <w:t>G</w:t>
      </w:r>
      <w:r w:rsidRPr="009C327C" w:rsidR="00356A2E">
        <w:rPr>
          <w:b/>
        </w:rPr>
        <w:t>IFTS</w:t>
      </w:r>
      <w:r w:rsidRPr="009C327C">
        <w:rPr>
          <w:b/>
        </w:rPr>
        <w:t xml:space="preserve"> </w:t>
      </w:r>
      <w:r w:rsidRPr="009C327C" w:rsidR="00356A2E">
        <w:rPr>
          <w:b/>
        </w:rPr>
        <w:t>OR PAYMENT</w:t>
      </w:r>
      <w:r w:rsidRPr="009C327C">
        <w:rPr>
          <w:b/>
        </w:rPr>
        <w:t xml:space="preserve">: </w:t>
      </w:r>
      <w:r w:rsidRPr="009C327C" w:rsidR="00356A2E">
        <w:rPr>
          <w:b/>
        </w:rPr>
        <w:t xml:space="preserve"> </w:t>
      </w:r>
      <w:r w:rsidR="00ED2110">
        <w:rPr>
          <w:rFonts w:ascii="Wingdings" w:hAnsi="Wingdings"/>
        </w:rPr>
        <w:sym w:font="Wingdings" w:char="F06F"/>
      </w:r>
      <w:r w:rsidR="00ED2110">
        <w:t xml:space="preserve"> Y</w:t>
      </w:r>
      <w:r w:rsidRPr="00AB74A8" w:rsidR="00ED2110">
        <w:t>es</w:t>
      </w:r>
      <w:r w:rsidR="00ED2110">
        <w:t xml:space="preserve">  </w:t>
      </w:r>
      <w:r w:rsidR="006452A6">
        <w:rPr>
          <w:rFonts w:ascii="Wingdings" w:hAnsi="Wingdings"/>
        </w:rPr>
        <w:sym w:font="Wingdings" w:char="F0FE"/>
      </w:r>
      <w:r w:rsidR="00ED2110">
        <w:t xml:space="preserve"> No</w:t>
      </w:r>
      <w:r w:rsidRPr="00AB74A8">
        <w:t xml:space="preserve">  </w:t>
      </w:r>
      <w:r w:rsidRPr="00AB74A8" w:rsidR="00356A2E">
        <w:t xml:space="preserve">  If you answer yes to this question, please describe and provide a justification for amount.</w:t>
      </w:r>
    </w:p>
    <w:p w:rsidR="009C327C" w:rsidP="009C327C" w14:paraId="331A4DB8" w14:textId="77777777">
      <w:pPr>
        <w:pStyle w:val="ListParagraph"/>
        <w:ind w:left="144"/>
      </w:pPr>
    </w:p>
    <w:p w:rsidR="00CF154B" w:rsidRPr="00520DE2" w:rsidP="0084473C" w14:paraId="13246A1C" w14:textId="00AC06B5">
      <w:pPr>
        <w:pStyle w:val="ListParagraph"/>
        <w:numPr>
          <w:ilvl w:val="0"/>
          <w:numId w:val="3"/>
        </w:numPr>
        <w:rPr>
          <w:rFonts w:asciiTheme="minorHAnsi" w:hAnsiTheme="minorHAnsi" w:cs="ArialMT"/>
        </w:rPr>
      </w:pPr>
      <w:r w:rsidRPr="00520DE2">
        <w:rPr>
          <w:b/>
        </w:rPr>
        <w:t>ANNUAL FEDERAL COST:</w:t>
      </w:r>
      <w:r w:rsidRPr="00520DE2" w:rsidR="00546DEB">
        <w:rPr>
          <w:b/>
        </w:rPr>
        <w:t xml:space="preserve"> </w:t>
      </w:r>
      <w:r w:rsidRPr="00520DE2">
        <w:rPr>
          <w:rFonts w:asciiTheme="minorHAnsi" w:hAnsiTheme="minorHAnsi" w:cs="Arial"/>
        </w:rPr>
        <w:t>The estimated annual cost to the Federal government is $</w:t>
      </w:r>
      <w:r w:rsidR="003A1A78">
        <w:rPr>
          <w:rFonts w:asciiTheme="minorHAnsi" w:hAnsiTheme="minorHAnsi" w:cs="Arial"/>
        </w:rPr>
        <w:t>5,925</w:t>
      </w:r>
      <w:r w:rsidRPr="00520DE2">
        <w:rPr>
          <w:rFonts w:asciiTheme="minorHAnsi" w:hAnsiTheme="minorHAnsi" w:cs="Arial"/>
        </w:rPr>
        <w:t>. The cost is ba</w:t>
      </w:r>
      <w:r w:rsidRPr="00520DE2" w:rsidR="00A8551E">
        <w:rPr>
          <w:rFonts w:asciiTheme="minorHAnsi" w:hAnsiTheme="minorHAnsi" w:cs="Arial"/>
        </w:rPr>
        <w:t xml:space="preserve">sed on an annualized effort of </w:t>
      </w:r>
      <w:r w:rsidR="00D87A3C">
        <w:rPr>
          <w:rFonts w:asciiTheme="minorHAnsi" w:hAnsiTheme="minorHAnsi" w:cs="Arial"/>
        </w:rPr>
        <w:t>75</w:t>
      </w:r>
      <w:r w:rsidRPr="00520DE2" w:rsidR="00E17027">
        <w:rPr>
          <w:rFonts w:asciiTheme="minorHAnsi" w:hAnsiTheme="minorHAnsi" w:cs="Arial"/>
        </w:rPr>
        <w:t xml:space="preserve"> </w:t>
      </w:r>
      <w:r w:rsidRPr="00520DE2">
        <w:rPr>
          <w:rFonts w:asciiTheme="minorHAnsi" w:hAnsiTheme="minorHAnsi" w:cs="Arial"/>
        </w:rPr>
        <w:t>person-hour</w:t>
      </w:r>
      <w:r w:rsidRPr="00520DE2" w:rsidR="00B06867">
        <w:rPr>
          <w:rFonts w:asciiTheme="minorHAnsi" w:hAnsiTheme="minorHAnsi" w:cs="Arial"/>
        </w:rPr>
        <w:t>s at the evaluator’s rate of $</w:t>
      </w:r>
      <w:r w:rsidR="00231440">
        <w:rPr>
          <w:rFonts w:asciiTheme="minorHAnsi" w:hAnsiTheme="minorHAnsi" w:cs="Arial"/>
        </w:rPr>
        <w:t>79</w:t>
      </w:r>
      <w:r w:rsidRPr="00520DE2">
        <w:rPr>
          <w:rFonts w:asciiTheme="minorHAnsi" w:hAnsiTheme="minorHAnsi" w:cs="Arial"/>
        </w:rPr>
        <w:t>/hour for admi</w:t>
      </w:r>
      <w:r w:rsidRPr="00520DE2" w:rsidR="00A8551E">
        <w:rPr>
          <w:rFonts w:asciiTheme="minorHAnsi" w:hAnsiTheme="minorHAnsi" w:cs="Arial"/>
        </w:rPr>
        <w:t>nistering the survey instrument</w:t>
      </w:r>
      <w:r w:rsidRPr="00520DE2">
        <w:rPr>
          <w:rFonts w:asciiTheme="minorHAnsi" w:hAnsiTheme="minorHAnsi" w:cs="Arial"/>
        </w:rPr>
        <w:t>, collecting and analyzing responses, and editing the survey instrum</w:t>
      </w:r>
      <w:r w:rsidRPr="00520DE2" w:rsidR="00A8551E">
        <w:rPr>
          <w:rFonts w:asciiTheme="minorHAnsi" w:hAnsiTheme="minorHAnsi" w:cs="Arial"/>
        </w:rPr>
        <w:t>ent</w:t>
      </w:r>
      <w:r w:rsidRPr="00520DE2">
        <w:rPr>
          <w:rFonts w:asciiTheme="minorHAnsi" w:hAnsiTheme="minorHAnsi" w:cs="Arial"/>
        </w:rPr>
        <w:t xml:space="preserve"> for ultimate approval through the methodological testing generic clearance with OMB Control Number 2700-0159, exp. </w:t>
      </w:r>
      <w:r w:rsidRPr="00520DE2" w:rsidR="00520DE2">
        <w:rPr>
          <w:rFonts w:asciiTheme="minorHAnsi" w:hAnsiTheme="minorHAnsi" w:cs="Arial"/>
        </w:rPr>
        <w:t>exp. 0</w:t>
      </w:r>
      <w:r w:rsidR="004D0427">
        <w:rPr>
          <w:rFonts w:asciiTheme="minorHAnsi" w:hAnsiTheme="minorHAnsi" w:cs="Arial"/>
        </w:rPr>
        <w:t>9</w:t>
      </w:r>
      <w:r w:rsidRPr="00520DE2" w:rsidR="00520DE2">
        <w:rPr>
          <w:rFonts w:asciiTheme="minorHAnsi" w:hAnsiTheme="minorHAnsi" w:cs="Arial"/>
        </w:rPr>
        <w:t>/30/202</w:t>
      </w:r>
      <w:r w:rsidR="004D0427">
        <w:rPr>
          <w:rFonts w:asciiTheme="minorHAnsi" w:hAnsiTheme="minorHAnsi" w:cs="Arial"/>
        </w:rPr>
        <w:t>4</w:t>
      </w:r>
      <w:r w:rsidRPr="00520DE2">
        <w:rPr>
          <w:rFonts w:asciiTheme="minorHAnsi" w:hAnsiTheme="minorHAnsi" w:cs="Arial"/>
        </w:rPr>
        <w:t>.</w:t>
      </w:r>
    </w:p>
    <w:p w:rsidR="009C327C" w:rsidP="00674390" w14:paraId="7707601D" w14:textId="77777777">
      <w:pPr>
        <w:rPr>
          <w:rFonts w:ascii="ArialMT" w:hAnsi="ArialMT" w:cs="ArialMT"/>
          <w:sz w:val="17"/>
          <w:szCs w:val="17"/>
        </w:rPr>
      </w:pPr>
    </w:p>
    <w:p w:rsidR="00CF154B" w:rsidP="00674390" w14:paraId="70FF39F9" w14:textId="77777777">
      <w:pPr>
        <w:rPr>
          <w:rFonts w:ascii="ArialMT" w:hAnsi="ArialMT" w:cs="ArialMT"/>
          <w:sz w:val="17"/>
          <w:szCs w:val="17"/>
        </w:rPr>
      </w:pPr>
    </w:p>
    <w:p w:rsidR="00CF154B" w:rsidRPr="00546DEB" w:rsidP="00674390" w14:paraId="0A5FEA3D" w14:textId="77777777">
      <w:pPr>
        <w:rPr>
          <w:rFonts w:ascii="ArialMT" w:hAnsi="ArialMT" w:cs="ArialMT"/>
          <w:sz w:val="17"/>
          <w:szCs w:val="17"/>
        </w:rPr>
      </w:pPr>
    </w:p>
    <w:p w:rsidR="00674390" w:rsidRPr="00AB74A8" w:rsidP="00AD35CC" w14:paraId="1CA9E57A" w14:textId="77777777">
      <w:pPr>
        <w:pStyle w:val="ListParagraph"/>
        <w:numPr>
          <w:ilvl w:val="0"/>
          <w:numId w:val="3"/>
        </w:numPr>
      </w:pPr>
      <w:r w:rsidRPr="009C327C">
        <w:rPr>
          <w:b/>
        </w:rPr>
        <w:t>CERTIFICATION STATEMENT:</w:t>
      </w:r>
      <w:r w:rsidRPr="00AB74A8">
        <w:t xml:space="preserve"> </w:t>
      </w:r>
    </w:p>
    <w:p w:rsidR="0003736E" w:rsidRPr="00AB74A8" w:rsidP="00674390" w14:paraId="3CD53F74" w14:textId="77777777">
      <w:r w:rsidRPr="00AB74A8">
        <w:t xml:space="preserve"> </w:t>
      </w:r>
    </w:p>
    <w:p w:rsidR="0003736E" w:rsidRPr="00AB74A8" w:rsidP="00674390" w14:paraId="5BF01F94" w14:textId="77777777">
      <w:r w:rsidRPr="00AB74A8">
        <w:t>I certify the following to be true:</w:t>
      </w:r>
    </w:p>
    <w:p w:rsidR="00015A17" w:rsidRPr="00AB74A8" w:rsidP="00BF134E" w14:paraId="25F853D3" w14:textId="77777777">
      <w:pPr>
        <w:pStyle w:val="ListParagraph"/>
        <w:numPr>
          <w:ilvl w:val="0"/>
          <w:numId w:val="2"/>
        </w:numPr>
      </w:pPr>
      <w:r w:rsidRPr="00AB74A8">
        <w:t>The collection is voluntary.</w:t>
      </w:r>
    </w:p>
    <w:p w:rsidR="0003736E" w:rsidRPr="00AB74A8" w:rsidP="00BF134E" w14:paraId="42B47E13" w14:textId="77777777">
      <w:pPr>
        <w:pStyle w:val="ListParagraph"/>
        <w:numPr>
          <w:ilvl w:val="0"/>
          <w:numId w:val="2"/>
        </w:numPr>
      </w:pPr>
      <w:r w:rsidRPr="00AB74A8">
        <w:t>The collection is low burden for respondents and low cost for the Federal Government.</w:t>
      </w:r>
    </w:p>
    <w:p w:rsidR="0003736E" w:rsidRPr="00AB74A8" w:rsidP="00BF134E" w14:paraId="21557020" w14:textId="77777777">
      <w:pPr>
        <w:pStyle w:val="ListParagraph"/>
        <w:numPr>
          <w:ilvl w:val="0"/>
          <w:numId w:val="2"/>
        </w:numPr>
      </w:pPr>
      <w:r w:rsidRPr="00AB74A8">
        <w:t>The collection is non-controversial and does raise issues of concern to other federal agencies.</w:t>
      </w:r>
    </w:p>
    <w:p w:rsidR="0003736E" w:rsidRPr="00AB74A8" w:rsidP="00BF134E" w14:paraId="65BB5191"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14:paraId="5E350EA0" w14:textId="77777777">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00743573" w:rsidRPr="00AB74A8" w:rsidP="00743573" w14:paraId="347EFFFE" w14:textId="77777777">
      <w:pPr>
        <w:ind w:left="720"/>
      </w:pPr>
    </w:p>
    <w:p w:rsidR="00360EE0" w:rsidP="00226005" w14:paraId="072F9462" w14:textId="77777777">
      <w:pPr>
        <w:ind w:left="720"/>
      </w:pPr>
      <w:r>
        <w:t xml:space="preserve">Name of Sponsor: </w:t>
      </w:r>
      <w:r>
        <w:t>Richard Gilmore</w:t>
      </w:r>
    </w:p>
    <w:p w:rsidR="00B063D6" w:rsidP="00226005" w14:paraId="475C36AA" w14:textId="77777777">
      <w:pPr>
        <w:ind w:left="720"/>
      </w:pPr>
      <w:r>
        <w:t xml:space="preserve">Title: </w:t>
      </w:r>
      <w:r w:rsidR="00FE280D">
        <w:t>Performance Assessment and Evaluation Program Manager</w:t>
      </w:r>
      <w:r w:rsidR="00902F14">
        <w:t>, NASA</w:t>
      </w:r>
    </w:p>
    <w:p w:rsidR="00226005" w:rsidP="00226005" w14:paraId="37A9E10A" w14:textId="77777777">
      <w:pPr>
        <w:ind w:left="720"/>
      </w:pPr>
      <w:r>
        <w:t>Office of STEM Engagement</w:t>
      </w:r>
      <w:r w:rsidR="00FE280D">
        <w:t xml:space="preserve"> (OSTEM)</w:t>
      </w:r>
    </w:p>
    <w:p w:rsidR="00226005" w:rsidP="00226005" w14:paraId="0B2B08D7" w14:textId="77777777">
      <w:pPr>
        <w:ind w:left="720"/>
      </w:pPr>
      <w:r>
        <w:t xml:space="preserve">Email address or Phone number: </w:t>
      </w:r>
      <w:hyperlink r:id="rId11" w:history="1">
        <w:r w:rsidRPr="000219AC" w:rsidR="00360EE0">
          <w:rPr>
            <w:rStyle w:val="Hyperlink"/>
          </w:rPr>
          <w:t>richard.l.gilmore@nasa.gov</w:t>
        </w:r>
      </w:hyperlink>
      <w:r w:rsidR="00360EE0">
        <w:t xml:space="preserve"> </w:t>
      </w:r>
    </w:p>
    <w:p w:rsidR="00743573" w:rsidP="00226005" w14:paraId="0CFEC92B" w14:textId="08AC477F">
      <w:pPr>
        <w:ind w:left="720"/>
      </w:pPr>
      <w:r>
        <w:t xml:space="preserve">Date: </w:t>
      </w:r>
      <w:r w:rsidR="00136854">
        <w:fldChar w:fldCharType="begin"/>
      </w:r>
      <w:r w:rsidR="00136854">
        <w:instrText xml:space="preserve"> DATE \@ "M/d/yyyy" </w:instrText>
      </w:r>
      <w:r w:rsidR="00136854">
        <w:fldChar w:fldCharType="separate"/>
      </w:r>
      <w:r w:rsidR="00296C64">
        <w:rPr>
          <w:noProof/>
        </w:rPr>
        <w:t>4/2/2023</w:t>
      </w:r>
      <w:r w:rsidR="00136854">
        <w:fldChar w:fldCharType="end"/>
      </w:r>
    </w:p>
    <w:p w:rsidR="00E92538" w:rsidP="00226005" w14:paraId="25783EC7" w14:textId="77777777">
      <w:pPr>
        <w:ind w:left="720"/>
      </w:pPr>
    </w:p>
    <w:p w:rsidR="00E92538" w:rsidP="00226005" w14:paraId="110D2F10" w14:textId="77777777">
      <w:pPr>
        <w:ind w:left="720"/>
      </w:pPr>
    </w:p>
    <w:p w:rsidR="006D5D7C" w14:paraId="41D33953" w14:textId="77777777">
      <w:pPr>
        <w:spacing w:after="160" w:line="259" w:lineRule="auto"/>
        <w:rPr>
          <w:rFonts w:asciiTheme="minorHAnsi" w:hAnsiTheme="minorHAnsi"/>
          <w:b/>
        </w:rPr>
      </w:pPr>
      <w:r>
        <w:rPr>
          <w:rFonts w:asciiTheme="minorHAnsi" w:hAnsiTheme="minorHAnsi"/>
          <w:b/>
        </w:rPr>
        <w:br w:type="page"/>
      </w:r>
    </w:p>
    <w:p w:rsidR="00E5633D" w:rsidP="00E5633D" w14:paraId="5F4B0E0D" w14:textId="77777777">
      <w:pPr>
        <w:pStyle w:val="Bibliography"/>
        <w:ind w:left="720" w:hanging="720"/>
        <w:rPr>
          <w:rFonts w:asciiTheme="minorHAnsi" w:hAnsiTheme="minorHAnsi"/>
          <w:b/>
        </w:rPr>
      </w:pPr>
      <w:r>
        <w:rPr>
          <w:rFonts w:asciiTheme="minorHAnsi" w:hAnsiTheme="minorHAnsi"/>
          <w:b/>
        </w:rPr>
        <w:t>References</w:t>
      </w:r>
    </w:p>
    <w:p w:rsidR="00887BCD" w:rsidP="006D6FC6" w14:paraId="5A8A08B0" w14:textId="1FFFBBFB">
      <w:pPr>
        <w:pStyle w:val="Bibliography"/>
        <w:ind w:left="720" w:hanging="720"/>
        <w:rPr>
          <w:rFonts w:asciiTheme="minorHAnsi" w:hAnsiTheme="minorHAnsi"/>
          <w:bCs/>
        </w:rPr>
      </w:pPr>
      <w:r>
        <w:t>Cassidy, S. (2012). Exploring individual differences as determining factors in student academic achievement in higher education. Studies in Higher Education, 37(7), 793-810.</w:t>
      </w:r>
    </w:p>
    <w:p w:rsidR="00887BCD" w:rsidP="00887BCD" w14:paraId="6942641B" w14:textId="77777777">
      <w:r>
        <w:t xml:space="preserve">Bandura, A. (1977). Self-efficacy: toward a unifying theory of behavioral change. Psychological review, </w:t>
      </w:r>
    </w:p>
    <w:p w:rsidR="00887BCD" w:rsidP="00887BCD" w14:paraId="78AE0A6F" w14:textId="218E4038">
      <w:pPr>
        <w:ind w:firstLine="720"/>
        <w:rPr>
          <w:rFonts w:eastAsia="Arial" w:cstheme="minorHAnsi"/>
          <w:color w:val="222222"/>
        </w:rPr>
      </w:pPr>
      <w:r>
        <w:t>84(2), 191.</w:t>
      </w:r>
    </w:p>
    <w:p w:rsidR="00D23200" w:rsidRPr="00D23200" w:rsidP="00D23200" w14:paraId="0C5FBD0E" w14:textId="77777777">
      <w:pPr>
        <w:ind w:left="360" w:hanging="360"/>
        <w:textAlignment w:val="baseline"/>
        <w:rPr>
          <w:rFonts w:eastAsia="Times New Roman" w:asciiTheme="minorHAnsi" w:hAnsiTheme="minorHAnsi" w:cstheme="minorHAnsi"/>
        </w:rPr>
      </w:pPr>
      <w:r w:rsidRPr="00D23200">
        <w:rPr>
          <w:rFonts w:eastAsia="Times New Roman" w:asciiTheme="minorHAnsi" w:hAnsiTheme="minorHAnsi" w:cstheme="minorHAnsi"/>
          <w:color w:val="232323"/>
        </w:rPr>
        <w:t xml:space="preserve">Gay, L. R., Mills, G. E., &amp; </w:t>
      </w:r>
      <w:r w:rsidRPr="00D23200">
        <w:rPr>
          <w:rFonts w:eastAsia="Times New Roman" w:asciiTheme="minorHAnsi" w:hAnsiTheme="minorHAnsi" w:cstheme="minorHAnsi"/>
          <w:color w:val="232323"/>
        </w:rPr>
        <w:t>Airasian</w:t>
      </w:r>
      <w:r w:rsidRPr="00D23200">
        <w:rPr>
          <w:rFonts w:eastAsia="Times New Roman" w:asciiTheme="minorHAnsi" w:hAnsiTheme="minorHAnsi" w:cstheme="minorHAnsi"/>
          <w:color w:val="232323"/>
        </w:rPr>
        <w:t xml:space="preserve">, P. W. (2012). </w:t>
      </w:r>
      <w:r w:rsidRPr="00D23200">
        <w:rPr>
          <w:rFonts w:eastAsia="Times New Roman" w:asciiTheme="minorHAnsi" w:hAnsiTheme="minorHAnsi" w:cstheme="minorHAnsi"/>
          <w:i/>
          <w:iCs/>
          <w:color w:val="232323"/>
        </w:rPr>
        <w:t>Educational research: Competencies for analysis and </w:t>
      </w:r>
      <w:r w:rsidRPr="00D23200">
        <w:rPr>
          <w:rFonts w:eastAsia="Times New Roman" w:asciiTheme="minorHAnsi" w:hAnsiTheme="minorHAnsi" w:cstheme="minorHAnsi"/>
          <w:color w:val="232323"/>
        </w:rPr>
        <w:t> </w:t>
      </w:r>
    </w:p>
    <w:p w:rsidR="00D23200" w:rsidRPr="00D23200" w:rsidP="00D23200" w14:paraId="357CB605" w14:textId="4FE47064">
      <w:pPr>
        <w:ind w:firstLine="720"/>
        <w:rPr>
          <w:rFonts w:eastAsia="Calibri" w:asciiTheme="minorHAnsi" w:hAnsiTheme="minorHAnsi" w:cstheme="minorHAnsi"/>
          <w:color w:val="232323"/>
        </w:rPr>
      </w:pPr>
      <w:r w:rsidRPr="00D23200">
        <w:rPr>
          <w:rFonts w:eastAsia="Times New Roman" w:asciiTheme="minorHAnsi" w:hAnsiTheme="minorHAnsi" w:cstheme="minorHAnsi"/>
          <w:i/>
          <w:iCs/>
          <w:color w:val="232323"/>
        </w:rPr>
        <w:t>Application</w:t>
      </w:r>
      <w:r w:rsidRPr="00D23200">
        <w:rPr>
          <w:rFonts w:eastAsia="Times New Roman" w:asciiTheme="minorHAnsi" w:hAnsiTheme="minorHAnsi" w:cstheme="minorHAnsi"/>
          <w:color w:val="232323"/>
        </w:rPr>
        <w:t xml:space="preserve"> (10</w:t>
      </w:r>
      <w:r w:rsidRPr="00D23200">
        <w:rPr>
          <w:rFonts w:eastAsia="Times New Roman" w:asciiTheme="minorHAnsi" w:hAnsiTheme="minorHAnsi" w:cstheme="minorHAnsi"/>
          <w:color w:val="232323"/>
          <w:vertAlign w:val="superscript"/>
        </w:rPr>
        <w:t>th</w:t>
      </w:r>
      <w:r w:rsidRPr="00D23200">
        <w:rPr>
          <w:rFonts w:eastAsia="Times New Roman" w:asciiTheme="minorHAnsi" w:hAnsiTheme="minorHAnsi" w:cstheme="minorHAnsi"/>
          <w:color w:val="232323"/>
        </w:rPr>
        <w:t xml:space="preserve"> Ed.). Pearson.</w:t>
      </w:r>
    </w:p>
    <w:p w:rsidR="00887BCD" w:rsidP="00887BCD" w14:paraId="79152D1E" w14:textId="2936C6FE">
      <w:pPr>
        <w:rPr>
          <w:rFonts w:eastAsia="Calibri" w:cs="Calibri"/>
          <w:color w:val="232323"/>
        </w:rPr>
      </w:pPr>
      <w:r>
        <w:rPr>
          <w:rFonts w:eastAsia="Calibri" w:cs="Calibri"/>
          <w:color w:val="232323"/>
        </w:rPr>
        <w:t xml:space="preserve">Gore Jr, P. A. (2006). Academic self-efficacy as a predictor of college outcomes: Two incremental validity </w:t>
      </w:r>
    </w:p>
    <w:p w:rsidR="00887BCD" w:rsidP="00887BCD" w14:paraId="3A8B60D3" w14:textId="06B2167B">
      <w:pPr>
        <w:ind w:firstLine="720"/>
        <w:rPr>
          <w:rFonts w:eastAsia="Arial" w:cstheme="minorHAnsi"/>
          <w:color w:val="222222"/>
        </w:rPr>
      </w:pPr>
      <w:r>
        <w:rPr>
          <w:rFonts w:eastAsia="Calibri" w:cs="Calibri"/>
          <w:color w:val="232323"/>
        </w:rPr>
        <w:t>studies. Journal of career assessment, 14(1), 92-115.</w:t>
      </w:r>
    </w:p>
    <w:p w:rsidR="00887BCD" w:rsidP="00887BCD" w14:paraId="7EBD941C" w14:textId="77777777">
      <w:pPr>
        <w:rPr>
          <w:rFonts w:eastAsia="Calibri" w:cs="Calibri"/>
          <w:color w:val="232323"/>
        </w:rPr>
      </w:pPr>
      <w:r>
        <w:rPr>
          <w:rFonts w:eastAsia="Calibri" w:cs="Calibri"/>
          <w:color w:val="232323"/>
        </w:rPr>
        <w:t xml:space="preserve">Gwaltney, C. J., Metrik, J., Kahler, C. W., &amp; Shiffman, S. (2009). Self-efficacy and smoking cessation: a </w:t>
      </w:r>
    </w:p>
    <w:p w:rsidR="00887BCD" w:rsidP="00887BCD" w14:paraId="5E11160F" w14:textId="77777777">
      <w:pPr>
        <w:ind w:left="720"/>
        <w:rPr>
          <w:rFonts w:eastAsia="Arial" w:cstheme="minorHAnsi"/>
          <w:color w:val="222222"/>
        </w:rPr>
      </w:pPr>
      <w:r>
        <w:rPr>
          <w:rFonts w:eastAsia="Calibri" w:cs="Calibri"/>
          <w:color w:val="232323"/>
        </w:rPr>
        <w:t>meta-analysis. Psychology of addictive behaviors: journal of the Society of Psychologists in Addictive Behaviors, 23(1), 56–66.</w:t>
      </w:r>
    </w:p>
    <w:p w:rsidR="00887BCD" w:rsidP="00887BCD" w14:paraId="56598554" w14:textId="77777777">
      <w:pPr>
        <w:rPr>
          <w:rFonts w:eastAsia="Calibri" w:cs="Calibri"/>
          <w:color w:val="232323"/>
        </w:rPr>
      </w:pPr>
      <w:r>
        <w:rPr>
          <w:rFonts w:eastAsia="Calibri" w:cs="Calibri"/>
          <w:color w:val="232323"/>
        </w:rPr>
        <w:t xml:space="preserve">Honicke, T., &amp; Broadbent, J. (2016). The influence of academic self-efficacy on academic performance: A </w:t>
      </w:r>
    </w:p>
    <w:p w:rsidR="00887BCD" w:rsidRPr="00887BCD" w:rsidP="00887BCD" w14:paraId="75B38C40" w14:textId="28F4E748">
      <w:pPr>
        <w:ind w:firstLine="720"/>
        <w:rPr>
          <w:rFonts w:eastAsia="Arial" w:cstheme="minorHAnsi"/>
          <w:color w:val="222222"/>
        </w:rPr>
      </w:pPr>
      <w:r>
        <w:rPr>
          <w:rFonts w:eastAsia="Calibri" w:cs="Calibri"/>
          <w:color w:val="232323"/>
        </w:rPr>
        <w:t>systematic review. Educational research review, 17, 63-84.</w:t>
      </w:r>
    </w:p>
    <w:p w:rsidR="00887BCD" w:rsidP="00887BCD" w14:paraId="5CE766F9" w14:textId="77777777">
      <w:pPr>
        <w:rPr>
          <w:rFonts w:eastAsia="Calibri" w:cs="Calibri"/>
          <w:color w:val="232323"/>
        </w:rPr>
      </w:pPr>
      <w:r>
        <w:rPr>
          <w:rFonts w:eastAsia="Calibri" w:cs="Calibri"/>
          <w:color w:val="232323"/>
        </w:rPr>
        <w:t xml:space="preserve">Judge, T. A., Jackson, C. L., Shaw, J. C., Scott, B. A., &amp; Rich, B. L. (2007). Self-efficacy and work-related </w:t>
      </w:r>
    </w:p>
    <w:p w:rsidR="00887BCD" w:rsidP="00887BCD" w14:paraId="131D77A9" w14:textId="113FF003">
      <w:pPr>
        <w:ind w:left="720"/>
        <w:rPr>
          <w:rFonts w:eastAsia="Arial" w:cstheme="minorHAnsi"/>
          <w:color w:val="222222"/>
        </w:rPr>
      </w:pPr>
      <w:r>
        <w:rPr>
          <w:rFonts w:eastAsia="Calibri" w:cs="Calibri"/>
          <w:color w:val="232323"/>
        </w:rPr>
        <w:t>performance: the integral role of individual differences. The Journal of applied psychology, 92(1), 107–127.</w:t>
      </w:r>
    </w:p>
    <w:p w:rsidR="00887BCD" w:rsidP="00887BCD" w14:paraId="56C1B4B4" w14:textId="100E63F5">
      <w:pPr>
        <w:rPr>
          <w:rFonts w:eastAsia="Arial" w:cstheme="minorHAnsi"/>
          <w:color w:val="222222"/>
        </w:rPr>
      </w:pPr>
      <w:r>
        <w:rPr>
          <w:rFonts w:eastAsia="Arial" w:cstheme="minorHAnsi"/>
          <w:color w:val="222222"/>
        </w:rPr>
        <w:t xml:space="preserve">Knekta, E., Chatzikyriakidou, K., &amp; McCartney, M. (2020). Evaluation of a Questionnaire Measuring </w:t>
      </w:r>
    </w:p>
    <w:p w:rsidR="00887BCD" w:rsidP="00887BCD" w14:paraId="172738A6" w14:textId="1B27890F">
      <w:pPr>
        <w:ind w:left="720"/>
      </w:pPr>
      <w:r>
        <w:rPr>
          <w:rFonts w:eastAsia="Arial" w:cstheme="minorHAnsi"/>
          <w:color w:val="222222"/>
        </w:rPr>
        <w:t xml:space="preserve">University Students’ Sense of Belonging to and Involvement in a Biology Department. </w:t>
      </w:r>
      <w:r>
        <w:rPr>
          <w:rFonts w:eastAsia="Calibri" w:cstheme="minorHAnsi"/>
          <w:i/>
          <w:iCs/>
        </w:rPr>
        <w:t>CBE—Life Sciences Education</w:t>
      </w:r>
      <w:r>
        <w:rPr>
          <w:rFonts w:eastAsia="Calibri" w:cstheme="minorHAnsi"/>
        </w:rPr>
        <w:t xml:space="preserve">, </w:t>
      </w:r>
      <w:r>
        <w:rPr>
          <w:rFonts w:eastAsia="Calibri" w:cstheme="minorHAnsi"/>
          <w:i/>
          <w:iCs/>
        </w:rPr>
        <w:t>19</w:t>
      </w:r>
      <w:r>
        <w:rPr>
          <w:rFonts w:eastAsia="Calibri" w:cstheme="minorHAnsi"/>
        </w:rPr>
        <w:t>(3), ar27</w:t>
      </w:r>
    </w:p>
    <w:p w:rsidR="00887BCD" w:rsidP="00887BCD" w14:paraId="7D926783" w14:textId="77777777">
      <w:r>
        <w:t xml:space="preserve">Kuchynka, S. L., Gates, A. E., &amp; Rivera, L. M. (2020). Identity Development during STEM Integration for </w:t>
      </w:r>
    </w:p>
    <w:p w:rsidR="00887BCD" w:rsidRPr="00887BCD" w:rsidP="00887BCD" w14:paraId="7513F158" w14:textId="5CA69441">
      <w:pPr>
        <w:ind w:firstLine="720"/>
      </w:pPr>
      <w:r>
        <w:t>Underrepresented Minority Students. Cambridge University Press.</w:t>
      </w:r>
    </w:p>
    <w:p w:rsidR="00887BCD" w:rsidP="00887BCD" w14:paraId="66296111" w14:textId="77777777">
      <w:pPr>
        <w:pStyle w:val="Bibliography"/>
        <w:ind w:left="720" w:hanging="720"/>
      </w:pPr>
      <w:r>
        <w:t>McDonald, M. M., Zeigler-Hill, V., Vrabel, J. K., &amp; Escobar, M. (2019, July). A single-item measure for assessing STEM identity. In Frontiers in Education (Vol. 4, p. 78). Frontiers.</w:t>
      </w:r>
    </w:p>
    <w:p w:rsidR="00887BCD" w:rsidRPr="00887BCD" w:rsidP="00887BCD" w14:paraId="70E89ECB" w14:textId="6B8EF3BC">
      <w:pPr>
        <w:pStyle w:val="Bibliography"/>
        <w:ind w:left="720" w:hanging="720"/>
      </w:pPr>
      <w:r>
        <w:t>Scholz, U., Doña, B. G., Sud, S., &amp; Schwarzer, R. (2002). Is general self-efficacy a universal construct? Psychometric findings from 25 countries. European journal of psychological assessment, 18(3), 242.</w:t>
      </w:r>
    </w:p>
    <w:p w:rsidR="00887BCD" w:rsidP="00887BCD" w14:paraId="6BA6A1EA" w14:textId="77777777">
      <w:r>
        <w:t xml:space="preserve">Schutzer, K. A., &amp; Graves, B. S. (2004). Barriers and motivations to exercise in older adults. Preventive </w:t>
      </w:r>
    </w:p>
    <w:p w:rsidR="00887BCD" w:rsidP="00887BCD" w14:paraId="53CC27C7" w14:textId="2F5BB11E">
      <w:pPr>
        <w:ind w:firstLine="720"/>
      </w:pPr>
      <w:r>
        <w:t>medicine, 39(5), 1056-1061.</w:t>
      </w:r>
    </w:p>
    <w:p w:rsidR="00887BCD" w:rsidP="00887BCD" w14:paraId="6B3E8FE2" w14:textId="5A22D1C1"/>
    <w:p w:rsidR="00887BCD" w:rsidP="00887BCD" w14:paraId="04D5AE50" w14:textId="148CD455"/>
    <w:sectPr w:rsidSect="00D71554">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0E2" w14:paraId="7D7815BF" w14:textId="77777777">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B367EF">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55F31"/>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
    <w:nsid w:val="2CF73DBC"/>
    <w:multiLevelType w:val="hybridMultilevel"/>
    <w:tmpl w:val="2EFE2DE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
    <w:nsid w:val="462706B9"/>
    <w:multiLevelType w:val="hybridMultilevel"/>
    <w:tmpl w:val="082029A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638109E"/>
    <w:multiLevelType w:val="hybridMultilevel"/>
    <w:tmpl w:val="8A5ED2FA"/>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BA7BDF"/>
    <w:multiLevelType w:val="hybridMultilevel"/>
    <w:tmpl w:val="647C596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A4E734A"/>
    <w:multiLevelType w:val="hybridMultilevel"/>
    <w:tmpl w:val="0FFEEA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0E2594A"/>
    <w:multiLevelType w:val="hybridMultilevel"/>
    <w:tmpl w:val="9190D11E"/>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7">
    <w:nsid w:val="73EB42FC"/>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8">
    <w:nsid w:val="75057FB2"/>
    <w:multiLevelType w:val="hybridMultilevel"/>
    <w:tmpl w:val="5B4CDA5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9">
    <w:nsid w:val="75E40BF6"/>
    <w:multiLevelType w:val="hybridMultilevel"/>
    <w:tmpl w:val="283E3FD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6"/>
  </w:num>
  <w:num w:numId="4">
    <w:abstractNumId w:val="5"/>
  </w:num>
  <w:num w:numId="5">
    <w:abstractNumId w:val="0"/>
  </w:num>
  <w:num w:numId="6">
    <w:abstractNumId w:val="7"/>
  </w:num>
  <w:num w:numId="7">
    <w:abstractNumId w:val="1"/>
  </w:num>
  <w:num w:numId="8">
    <w:abstractNumId w:val="4"/>
  </w:num>
  <w:num w:numId="9">
    <w:abstractNumId w:val="8"/>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3F9"/>
    <w:rsid w:val="00004CCF"/>
    <w:rsid w:val="00007146"/>
    <w:rsid w:val="00015577"/>
    <w:rsid w:val="00015A17"/>
    <w:rsid w:val="00017DE0"/>
    <w:rsid w:val="000219AC"/>
    <w:rsid w:val="0002495A"/>
    <w:rsid w:val="0002508D"/>
    <w:rsid w:val="00026C8D"/>
    <w:rsid w:val="00033E51"/>
    <w:rsid w:val="00033EC4"/>
    <w:rsid w:val="00037316"/>
    <w:rsid w:val="0003736E"/>
    <w:rsid w:val="00040081"/>
    <w:rsid w:val="0004289B"/>
    <w:rsid w:val="00045D57"/>
    <w:rsid w:val="0005654A"/>
    <w:rsid w:val="00062EC4"/>
    <w:rsid w:val="00065525"/>
    <w:rsid w:val="00075022"/>
    <w:rsid w:val="00080D06"/>
    <w:rsid w:val="00081AF1"/>
    <w:rsid w:val="00082009"/>
    <w:rsid w:val="00084D98"/>
    <w:rsid w:val="00091034"/>
    <w:rsid w:val="000942B4"/>
    <w:rsid w:val="00097B81"/>
    <w:rsid w:val="000A0569"/>
    <w:rsid w:val="000A0AA5"/>
    <w:rsid w:val="000A24C2"/>
    <w:rsid w:val="000A60A2"/>
    <w:rsid w:val="000A786E"/>
    <w:rsid w:val="000B235C"/>
    <w:rsid w:val="000B3DBD"/>
    <w:rsid w:val="000B51A2"/>
    <w:rsid w:val="000B6EB8"/>
    <w:rsid w:val="000C13CB"/>
    <w:rsid w:val="000C444A"/>
    <w:rsid w:val="000C468F"/>
    <w:rsid w:val="000C56EB"/>
    <w:rsid w:val="000D04EA"/>
    <w:rsid w:val="000D1074"/>
    <w:rsid w:val="000D7959"/>
    <w:rsid w:val="000E0E8A"/>
    <w:rsid w:val="000E7136"/>
    <w:rsid w:val="000E7F0F"/>
    <w:rsid w:val="000F5EB8"/>
    <w:rsid w:val="0010029D"/>
    <w:rsid w:val="00102C30"/>
    <w:rsid w:val="00114C2A"/>
    <w:rsid w:val="00131E86"/>
    <w:rsid w:val="00134A1F"/>
    <w:rsid w:val="001360A1"/>
    <w:rsid w:val="00136854"/>
    <w:rsid w:val="00143B8C"/>
    <w:rsid w:val="001546A8"/>
    <w:rsid w:val="00173988"/>
    <w:rsid w:val="00173BDC"/>
    <w:rsid w:val="00174FD3"/>
    <w:rsid w:val="00183580"/>
    <w:rsid w:val="00185E23"/>
    <w:rsid w:val="001874A9"/>
    <w:rsid w:val="00191BC8"/>
    <w:rsid w:val="00196CEF"/>
    <w:rsid w:val="001A09E4"/>
    <w:rsid w:val="001A1046"/>
    <w:rsid w:val="001A34C3"/>
    <w:rsid w:val="001A38B0"/>
    <w:rsid w:val="001A788E"/>
    <w:rsid w:val="001B1A4E"/>
    <w:rsid w:val="001B76D2"/>
    <w:rsid w:val="001B794C"/>
    <w:rsid w:val="001C1C37"/>
    <w:rsid w:val="001D79CA"/>
    <w:rsid w:val="001E36D8"/>
    <w:rsid w:val="001F33A7"/>
    <w:rsid w:val="001F7576"/>
    <w:rsid w:val="00200B5A"/>
    <w:rsid w:val="00203109"/>
    <w:rsid w:val="00204921"/>
    <w:rsid w:val="00205ED0"/>
    <w:rsid w:val="00210378"/>
    <w:rsid w:val="00216307"/>
    <w:rsid w:val="00226005"/>
    <w:rsid w:val="002300C0"/>
    <w:rsid w:val="00231440"/>
    <w:rsid w:val="0023144E"/>
    <w:rsid w:val="00234702"/>
    <w:rsid w:val="00240B63"/>
    <w:rsid w:val="002417E4"/>
    <w:rsid w:val="002424A3"/>
    <w:rsid w:val="002453C1"/>
    <w:rsid w:val="00245845"/>
    <w:rsid w:val="00245F76"/>
    <w:rsid w:val="00247E05"/>
    <w:rsid w:val="002553E3"/>
    <w:rsid w:val="0026038A"/>
    <w:rsid w:val="0026657E"/>
    <w:rsid w:val="00270C63"/>
    <w:rsid w:val="00271A87"/>
    <w:rsid w:val="00271EA7"/>
    <w:rsid w:val="00273530"/>
    <w:rsid w:val="00274390"/>
    <w:rsid w:val="00276140"/>
    <w:rsid w:val="00277E5C"/>
    <w:rsid w:val="00283616"/>
    <w:rsid w:val="00283DC2"/>
    <w:rsid w:val="00285BA7"/>
    <w:rsid w:val="0029011C"/>
    <w:rsid w:val="00290EFB"/>
    <w:rsid w:val="00295BCC"/>
    <w:rsid w:val="00296C64"/>
    <w:rsid w:val="002A001B"/>
    <w:rsid w:val="002A17B9"/>
    <w:rsid w:val="002A36F0"/>
    <w:rsid w:val="002A3830"/>
    <w:rsid w:val="002B2B85"/>
    <w:rsid w:val="002B4EFF"/>
    <w:rsid w:val="002B58C3"/>
    <w:rsid w:val="002B79E8"/>
    <w:rsid w:val="002C2028"/>
    <w:rsid w:val="002C2DEA"/>
    <w:rsid w:val="002C4228"/>
    <w:rsid w:val="002C70D0"/>
    <w:rsid w:val="002C7C6B"/>
    <w:rsid w:val="002E05B5"/>
    <w:rsid w:val="002E2748"/>
    <w:rsid w:val="002E35C8"/>
    <w:rsid w:val="002E447B"/>
    <w:rsid w:val="002E7A10"/>
    <w:rsid w:val="002F0E8E"/>
    <w:rsid w:val="002F2A6D"/>
    <w:rsid w:val="002F6F02"/>
    <w:rsid w:val="002F7965"/>
    <w:rsid w:val="003004DF"/>
    <w:rsid w:val="0030343E"/>
    <w:rsid w:val="003076C8"/>
    <w:rsid w:val="003121C3"/>
    <w:rsid w:val="00317941"/>
    <w:rsid w:val="0032273C"/>
    <w:rsid w:val="00324D19"/>
    <w:rsid w:val="003301EC"/>
    <w:rsid w:val="00336C4F"/>
    <w:rsid w:val="00337562"/>
    <w:rsid w:val="00345D9E"/>
    <w:rsid w:val="00352DAA"/>
    <w:rsid w:val="003559AD"/>
    <w:rsid w:val="00356A2E"/>
    <w:rsid w:val="00360EE0"/>
    <w:rsid w:val="00361BB0"/>
    <w:rsid w:val="00362A5D"/>
    <w:rsid w:val="00364483"/>
    <w:rsid w:val="00364AB9"/>
    <w:rsid w:val="0037195C"/>
    <w:rsid w:val="00383823"/>
    <w:rsid w:val="00390938"/>
    <w:rsid w:val="0039357F"/>
    <w:rsid w:val="00393E8F"/>
    <w:rsid w:val="003942DA"/>
    <w:rsid w:val="00394536"/>
    <w:rsid w:val="003959E2"/>
    <w:rsid w:val="00395FCD"/>
    <w:rsid w:val="003972A6"/>
    <w:rsid w:val="003A0371"/>
    <w:rsid w:val="003A1A78"/>
    <w:rsid w:val="003A5B42"/>
    <w:rsid w:val="003A7B46"/>
    <w:rsid w:val="003B7109"/>
    <w:rsid w:val="003C0C71"/>
    <w:rsid w:val="003C311F"/>
    <w:rsid w:val="003C7022"/>
    <w:rsid w:val="003D0FA4"/>
    <w:rsid w:val="003D19DD"/>
    <w:rsid w:val="003D354A"/>
    <w:rsid w:val="003F0CB8"/>
    <w:rsid w:val="003F1678"/>
    <w:rsid w:val="003F2003"/>
    <w:rsid w:val="003F7BE7"/>
    <w:rsid w:val="003F7D2F"/>
    <w:rsid w:val="0040053A"/>
    <w:rsid w:val="00401137"/>
    <w:rsid w:val="00401963"/>
    <w:rsid w:val="004019D7"/>
    <w:rsid w:val="0040419C"/>
    <w:rsid w:val="004054C9"/>
    <w:rsid w:val="0040717D"/>
    <w:rsid w:val="0041430A"/>
    <w:rsid w:val="00420969"/>
    <w:rsid w:val="00422DAE"/>
    <w:rsid w:val="00423B26"/>
    <w:rsid w:val="004244D2"/>
    <w:rsid w:val="00430450"/>
    <w:rsid w:val="00432573"/>
    <w:rsid w:val="0043348E"/>
    <w:rsid w:val="00435A80"/>
    <w:rsid w:val="00436670"/>
    <w:rsid w:val="00437BD7"/>
    <w:rsid w:val="0044364D"/>
    <w:rsid w:val="00445C25"/>
    <w:rsid w:val="00447FAE"/>
    <w:rsid w:val="004548E1"/>
    <w:rsid w:val="0045630D"/>
    <w:rsid w:val="00464310"/>
    <w:rsid w:val="00472250"/>
    <w:rsid w:val="00474322"/>
    <w:rsid w:val="00475EE3"/>
    <w:rsid w:val="0048149C"/>
    <w:rsid w:val="00481C4D"/>
    <w:rsid w:val="00484882"/>
    <w:rsid w:val="004852B2"/>
    <w:rsid w:val="00485549"/>
    <w:rsid w:val="00485AF6"/>
    <w:rsid w:val="00490450"/>
    <w:rsid w:val="0049526B"/>
    <w:rsid w:val="004A0130"/>
    <w:rsid w:val="004A3497"/>
    <w:rsid w:val="004A3AE8"/>
    <w:rsid w:val="004B4C1E"/>
    <w:rsid w:val="004B4FC5"/>
    <w:rsid w:val="004B752A"/>
    <w:rsid w:val="004C033C"/>
    <w:rsid w:val="004C33A6"/>
    <w:rsid w:val="004C618D"/>
    <w:rsid w:val="004D0427"/>
    <w:rsid w:val="004D5BD5"/>
    <w:rsid w:val="004E349C"/>
    <w:rsid w:val="004E51EC"/>
    <w:rsid w:val="004F6107"/>
    <w:rsid w:val="004F68E6"/>
    <w:rsid w:val="004F6A35"/>
    <w:rsid w:val="00500B09"/>
    <w:rsid w:val="00503CAD"/>
    <w:rsid w:val="00507619"/>
    <w:rsid w:val="00510DC8"/>
    <w:rsid w:val="00512745"/>
    <w:rsid w:val="00514037"/>
    <w:rsid w:val="00517358"/>
    <w:rsid w:val="00520CE4"/>
    <w:rsid w:val="00520DE2"/>
    <w:rsid w:val="00527B45"/>
    <w:rsid w:val="00541C59"/>
    <w:rsid w:val="00543F26"/>
    <w:rsid w:val="00545BF5"/>
    <w:rsid w:val="00546DEB"/>
    <w:rsid w:val="0055000F"/>
    <w:rsid w:val="00564C6E"/>
    <w:rsid w:val="00565508"/>
    <w:rsid w:val="00567185"/>
    <w:rsid w:val="005679F5"/>
    <w:rsid w:val="00573A61"/>
    <w:rsid w:val="00574391"/>
    <w:rsid w:val="005933B0"/>
    <w:rsid w:val="005A235A"/>
    <w:rsid w:val="005A3599"/>
    <w:rsid w:val="005A4A7E"/>
    <w:rsid w:val="005A5EBB"/>
    <w:rsid w:val="005B00D3"/>
    <w:rsid w:val="005B0371"/>
    <w:rsid w:val="005B1234"/>
    <w:rsid w:val="005B2454"/>
    <w:rsid w:val="005B6365"/>
    <w:rsid w:val="005C0FCA"/>
    <w:rsid w:val="005C480E"/>
    <w:rsid w:val="005C6E95"/>
    <w:rsid w:val="005D06F6"/>
    <w:rsid w:val="005D0D74"/>
    <w:rsid w:val="005D24CA"/>
    <w:rsid w:val="005D556E"/>
    <w:rsid w:val="005E2FAC"/>
    <w:rsid w:val="005F0ADF"/>
    <w:rsid w:val="005F262C"/>
    <w:rsid w:val="005F654D"/>
    <w:rsid w:val="00606276"/>
    <w:rsid w:val="00610647"/>
    <w:rsid w:val="00616745"/>
    <w:rsid w:val="0061784B"/>
    <w:rsid w:val="00626771"/>
    <w:rsid w:val="006309F4"/>
    <w:rsid w:val="00640EDC"/>
    <w:rsid w:val="0064244F"/>
    <w:rsid w:val="00643522"/>
    <w:rsid w:val="00644388"/>
    <w:rsid w:val="006452A6"/>
    <w:rsid w:val="00647982"/>
    <w:rsid w:val="00661D00"/>
    <w:rsid w:val="00662CB3"/>
    <w:rsid w:val="00662FC5"/>
    <w:rsid w:val="00663356"/>
    <w:rsid w:val="00663E21"/>
    <w:rsid w:val="00663EE4"/>
    <w:rsid w:val="0066743E"/>
    <w:rsid w:val="00667621"/>
    <w:rsid w:val="00671734"/>
    <w:rsid w:val="006724AD"/>
    <w:rsid w:val="00673117"/>
    <w:rsid w:val="0067356F"/>
    <w:rsid w:val="00674390"/>
    <w:rsid w:val="006758BA"/>
    <w:rsid w:val="00680E1C"/>
    <w:rsid w:val="00681EE7"/>
    <w:rsid w:val="00685208"/>
    <w:rsid w:val="006A04E5"/>
    <w:rsid w:val="006A4165"/>
    <w:rsid w:val="006B106E"/>
    <w:rsid w:val="006B15A3"/>
    <w:rsid w:val="006B2BC8"/>
    <w:rsid w:val="006B62ED"/>
    <w:rsid w:val="006C1F2D"/>
    <w:rsid w:val="006D5522"/>
    <w:rsid w:val="006D5D7C"/>
    <w:rsid w:val="006D6FC6"/>
    <w:rsid w:val="006D72DA"/>
    <w:rsid w:val="006E0F8F"/>
    <w:rsid w:val="006E35A9"/>
    <w:rsid w:val="006E7BBD"/>
    <w:rsid w:val="006F161D"/>
    <w:rsid w:val="00702205"/>
    <w:rsid w:val="0070268E"/>
    <w:rsid w:val="007143B2"/>
    <w:rsid w:val="00723CA6"/>
    <w:rsid w:val="00724924"/>
    <w:rsid w:val="00724D0A"/>
    <w:rsid w:val="00725442"/>
    <w:rsid w:val="00727BFE"/>
    <w:rsid w:val="007302D9"/>
    <w:rsid w:val="0073262B"/>
    <w:rsid w:val="00733CD3"/>
    <w:rsid w:val="00733FC5"/>
    <w:rsid w:val="007372ED"/>
    <w:rsid w:val="00741AB2"/>
    <w:rsid w:val="00743573"/>
    <w:rsid w:val="00747B3C"/>
    <w:rsid w:val="00747F92"/>
    <w:rsid w:val="00751716"/>
    <w:rsid w:val="0075598E"/>
    <w:rsid w:val="007559A7"/>
    <w:rsid w:val="007605AA"/>
    <w:rsid w:val="00761313"/>
    <w:rsid w:val="007624B4"/>
    <w:rsid w:val="00765DEC"/>
    <w:rsid w:val="00771CEA"/>
    <w:rsid w:val="007751B6"/>
    <w:rsid w:val="007755C4"/>
    <w:rsid w:val="00777EE6"/>
    <w:rsid w:val="007851CC"/>
    <w:rsid w:val="007957BF"/>
    <w:rsid w:val="007A128A"/>
    <w:rsid w:val="007A38FC"/>
    <w:rsid w:val="007A4109"/>
    <w:rsid w:val="007C2028"/>
    <w:rsid w:val="007C21DC"/>
    <w:rsid w:val="007C295A"/>
    <w:rsid w:val="007C345F"/>
    <w:rsid w:val="007E4392"/>
    <w:rsid w:val="007E56A3"/>
    <w:rsid w:val="007E6326"/>
    <w:rsid w:val="007E6F38"/>
    <w:rsid w:val="007F0605"/>
    <w:rsid w:val="007F09D8"/>
    <w:rsid w:val="007F37B8"/>
    <w:rsid w:val="007F787F"/>
    <w:rsid w:val="00800990"/>
    <w:rsid w:val="008059CA"/>
    <w:rsid w:val="00810004"/>
    <w:rsid w:val="00814A35"/>
    <w:rsid w:val="008155FB"/>
    <w:rsid w:val="00817B3B"/>
    <w:rsid w:val="0082342D"/>
    <w:rsid w:val="0082557D"/>
    <w:rsid w:val="008330BB"/>
    <w:rsid w:val="008339E6"/>
    <w:rsid w:val="0083794B"/>
    <w:rsid w:val="0084473C"/>
    <w:rsid w:val="00845710"/>
    <w:rsid w:val="00852646"/>
    <w:rsid w:val="008570E8"/>
    <w:rsid w:val="008660E6"/>
    <w:rsid w:val="008708E4"/>
    <w:rsid w:val="008816A0"/>
    <w:rsid w:val="00882761"/>
    <w:rsid w:val="0088545C"/>
    <w:rsid w:val="00887BCD"/>
    <w:rsid w:val="00890275"/>
    <w:rsid w:val="00892878"/>
    <w:rsid w:val="00892ADF"/>
    <w:rsid w:val="008A3594"/>
    <w:rsid w:val="008A6669"/>
    <w:rsid w:val="008B22CB"/>
    <w:rsid w:val="008B6ADE"/>
    <w:rsid w:val="008C475F"/>
    <w:rsid w:val="008D2F4E"/>
    <w:rsid w:val="008D5D8F"/>
    <w:rsid w:val="008E2413"/>
    <w:rsid w:val="008E7FE6"/>
    <w:rsid w:val="008F579D"/>
    <w:rsid w:val="008F5833"/>
    <w:rsid w:val="008F6445"/>
    <w:rsid w:val="008F70BB"/>
    <w:rsid w:val="008F7D0D"/>
    <w:rsid w:val="00902F14"/>
    <w:rsid w:val="0090368F"/>
    <w:rsid w:val="00911375"/>
    <w:rsid w:val="0091208B"/>
    <w:rsid w:val="009125CE"/>
    <w:rsid w:val="0091656F"/>
    <w:rsid w:val="009170B3"/>
    <w:rsid w:val="00922D6A"/>
    <w:rsid w:val="00926DA7"/>
    <w:rsid w:val="00935462"/>
    <w:rsid w:val="00935539"/>
    <w:rsid w:val="00941A1A"/>
    <w:rsid w:val="00944849"/>
    <w:rsid w:val="00944D79"/>
    <w:rsid w:val="00947D8F"/>
    <w:rsid w:val="00954F30"/>
    <w:rsid w:val="00957632"/>
    <w:rsid w:val="0097516E"/>
    <w:rsid w:val="0097535E"/>
    <w:rsid w:val="009771FC"/>
    <w:rsid w:val="00994CB5"/>
    <w:rsid w:val="009A0F5F"/>
    <w:rsid w:val="009A1DEB"/>
    <w:rsid w:val="009A25FB"/>
    <w:rsid w:val="009A520B"/>
    <w:rsid w:val="009A6B93"/>
    <w:rsid w:val="009A73AD"/>
    <w:rsid w:val="009A7B9D"/>
    <w:rsid w:val="009B4D04"/>
    <w:rsid w:val="009C327C"/>
    <w:rsid w:val="009D282C"/>
    <w:rsid w:val="009E013E"/>
    <w:rsid w:val="009E4D5C"/>
    <w:rsid w:val="009E6983"/>
    <w:rsid w:val="009F067B"/>
    <w:rsid w:val="009F0A02"/>
    <w:rsid w:val="009F0C65"/>
    <w:rsid w:val="009F1A09"/>
    <w:rsid w:val="00A038E9"/>
    <w:rsid w:val="00A04C9A"/>
    <w:rsid w:val="00A14914"/>
    <w:rsid w:val="00A17226"/>
    <w:rsid w:val="00A273A5"/>
    <w:rsid w:val="00A31A4F"/>
    <w:rsid w:val="00A31EC1"/>
    <w:rsid w:val="00A3578A"/>
    <w:rsid w:val="00A469B3"/>
    <w:rsid w:val="00A500B3"/>
    <w:rsid w:val="00A65667"/>
    <w:rsid w:val="00A67BEF"/>
    <w:rsid w:val="00A77CF4"/>
    <w:rsid w:val="00A8110E"/>
    <w:rsid w:val="00A82512"/>
    <w:rsid w:val="00A848DF"/>
    <w:rsid w:val="00A8551E"/>
    <w:rsid w:val="00A9125C"/>
    <w:rsid w:val="00A93A9B"/>
    <w:rsid w:val="00A93E98"/>
    <w:rsid w:val="00A97C7C"/>
    <w:rsid w:val="00AA558D"/>
    <w:rsid w:val="00AB01CE"/>
    <w:rsid w:val="00AB1793"/>
    <w:rsid w:val="00AB1D79"/>
    <w:rsid w:val="00AB3304"/>
    <w:rsid w:val="00AB4ACE"/>
    <w:rsid w:val="00AB74A8"/>
    <w:rsid w:val="00AC5CDA"/>
    <w:rsid w:val="00AC636E"/>
    <w:rsid w:val="00AC7254"/>
    <w:rsid w:val="00AD35CC"/>
    <w:rsid w:val="00AD3728"/>
    <w:rsid w:val="00AE626D"/>
    <w:rsid w:val="00AE6340"/>
    <w:rsid w:val="00AF3E10"/>
    <w:rsid w:val="00AF5D32"/>
    <w:rsid w:val="00B02317"/>
    <w:rsid w:val="00B063D6"/>
    <w:rsid w:val="00B064DE"/>
    <w:rsid w:val="00B06867"/>
    <w:rsid w:val="00B0711E"/>
    <w:rsid w:val="00B10F0B"/>
    <w:rsid w:val="00B12CA2"/>
    <w:rsid w:val="00B1311F"/>
    <w:rsid w:val="00B23E87"/>
    <w:rsid w:val="00B367EF"/>
    <w:rsid w:val="00B4225B"/>
    <w:rsid w:val="00B46DCE"/>
    <w:rsid w:val="00B524B7"/>
    <w:rsid w:val="00B640E2"/>
    <w:rsid w:val="00B67B9B"/>
    <w:rsid w:val="00B74547"/>
    <w:rsid w:val="00B74E91"/>
    <w:rsid w:val="00B848A3"/>
    <w:rsid w:val="00B8562A"/>
    <w:rsid w:val="00B90262"/>
    <w:rsid w:val="00B90844"/>
    <w:rsid w:val="00B93E24"/>
    <w:rsid w:val="00B93E44"/>
    <w:rsid w:val="00B943DA"/>
    <w:rsid w:val="00B95255"/>
    <w:rsid w:val="00B973D3"/>
    <w:rsid w:val="00BB0888"/>
    <w:rsid w:val="00BB55D8"/>
    <w:rsid w:val="00BB57ED"/>
    <w:rsid w:val="00BC4B70"/>
    <w:rsid w:val="00BC4BAC"/>
    <w:rsid w:val="00BC5537"/>
    <w:rsid w:val="00BD4844"/>
    <w:rsid w:val="00BD6B9D"/>
    <w:rsid w:val="00BE04C6"/>
    <w:rsid w:val="00BE06C5"/>
    <w:rsid w:val="00BE342B"/>
    <w:rsid w:val="00BE56D3"/>
    <w:rsid w:val="00BE777C"/>
    <w:rsid w:val="00BF134E"/>
    <w:rsid w:val="00BF32FD"/>
    <w:rsid w:val="00BF73DF"/>
    <w:rsid w:val="00BF7C9F"/>
    <w:rsid w:val="00C04C31"/>
    <w:rsid w:val="00C04C8A"/>
    <w:rsid w:val="00C07ACD"/>
    <w:rsid w:val="00C27A3E"/>
    <w:rsid w:val="00C3307C"/>
    <w:rsid w:val="00C405F3"/>
    <w:rsid w:val="00C40D65"/>
    <w:rsid w:val="00C44123"/>
    <w:rsid w:val="00C443CA"/>
    <w:rsid w:val="00C45CAE"/>
    <w:rsid w:val="00C511BB"/>
    <w:rsid w:val="00C545F5"/>
    <w:rsid w:val="00C5728E"/>
    <w:rsid w:val="00C5766E"/>
    <w:rsid w:val="00C61626"/>
    <w:rsid w:val="00C61E8D"/>
    <w:rsid w:val="00C64564"/>
    <w:rsid w:val="00C64F14"/>
    <w:rsid w:val="00C679E9"/>
    <w:rsid w:val="00C712A3"/>
    <w:rsid w:val="00C727B5"/>
    <w:rsid w:val="00C7353D"/>
    <w:rsid w:val="00C73FC8"/>
    <w:rsid w:val="00C75F16"/>
    <w:rsid w:val="00C75F8A"/>
    <w:rsid w:val="00C81FE4"/>
    <w:rsid w:val="00C83235"/>
    <w:rsid w:val="00C84993"/>
    <w:rsid w:val="00C92E44"/>
    <w:rsid w:val="00C96FEC"/>
    <w:rsid w:val="00CA3676"/>
    <w:rsid w:val="00CA4106"/>
    <w:rsid w:val="00CA7C1E"/>
    <w:rsid w:val="00CB0366"/>
    <w:rsid w:val="00CB0377"/>
    <w:rsid w:val="00CB2B53"/>
    <w:rsid w:val="00CB7EA8"/>
    <w:rsid w:val="00CC14E5"/>
    <w:rsid w:val="00CC2BF4"/>
    <w:rsid w:val="00CC5C14"/>
    <w:rsid w:val="00CD0B0F"/>
    <w:rsid w:val="00CE1F5E"/>
    <w:rsid w:val="00CE33AA"/>
    <w:rsid w:val="00CE5190"/>
    <w:rsid w:val="00CE6CCC"/>
    <w:rsid w:val="00CF1384"/>
    <w:rsid w:val="00CF154B"/>
    <w:rsid w:val="00CF339C"/>
    <w:rsid w:val="00CF58C9"/>
    <w:rsid w:val="00D00D3E"/>
    <w:rsid w:val="00D04926"/>
    <w:rsid w:val="00D06990"/>
    <w:rsid w:val="00D10D49"/>
    <w:rsid w:val="00D17B23"/>
    <w:rsid w:val="00D22559"/>
    <w:rsid w:val="00D23200"/>
    <w:rsid w:val="00D235BD"/>
    <w:rsid w:val="00D35A73"/>
    <w:rsid w:val="00D4450C"/>
    <w:rsid w:val="00D459F8"/>
    <w:rsid w:val="00D53086"/>
    <w:rsid w:val="00D56270"/>
    <w:rsid w:val="00D56DA0"/>
    <w:rsid w:val="00D602AE"/>
    <w:rsid w:val="00D704D6"/>
    <w:rsid w:val="00D71554"/>
    <w:rsid w:val="00D81573"/>
    <w:rsid w:val="00D826C6"/>
    <w:rsid w:val="00D832AF"/>
    <w:rsid w:val="00D846F9"/>
    <w:rsid w:val="00D87A3C"/>
    <w:rsid w:val="00D91C4A"/>
    <w:rsid w:val="00D924F3"/>
    <w:rsid w:val="00D93703"/>
    <w:rsid w:val="00D94349"/>
    <w:rsid w:val="00DA3CB5"/>
    <w:rsid w:val="00DA3CDF"/>
    <w:rsid w:val="00DB1748"/>
    <w:rsid w:val="00DB3B43"/>
    <w:rsid w:val="00DB4884"/>
    <w:rsid w:val="00DB510E"/>
    <w:rsid w:val="00DB690E"/>
    <w:rsid w:val="00DB6CCC"/>
    <w:rsid w:val="00DC05AD"/>
    <w:rsid w:val="00DC1089"/>
    <w:rsid w:val="00DC2A4A"/>
    <w:rsid w:val="00DC5898"/>
    <w:rsid w:val="00DC6BB2"/>
    <w:rsid w:val="00DD0E24"/>
    <w:rsid w:val="00DD26F4"/>
    <w:rsid w:val="00DD49C9"/>
    <w:rsid w:val="00DE3D45"/>
    <w:rsid w:val="00DE5707"/>
    <w:rsid w:val="00DF301E"/>
    <w:rsid w:val="00DF5E3F"/>
    <w:rsid w:val="00E00C5D"/>
    <w:rsid w:val="00E027B4"/>
    <w:rsid w:val="00E1687D"/>
    <w:rsid w:val="00E17027"/>
    <w:rsid w:val="00E211C9"/>
    <w:rsid w:val="00E21760"/>
    <w:rsid w:val="00E229E7"/>
    <w:rsid w:val="00E23C36"/>
    <w:rsid w:val="00E25D6B"/>
    <w:rsid w:val="00E36C52"/>
    <w:rsid w:val="00E41BE1"/>
    <w:rsid w:val="00E44966"/>
    <w:rsid w:val="00E46F6E"/>
    <w:rsid w:val="00E52750"/>
    <w:rsid w:val="00E541A7"/>
    <w:rsid w:val="00E5563D"/>
    <w:rsid w:val="00E5633D"/>
    <w:rsid w:val="00E570DF"/>
    <w:rsid w:val="00E6346F"/>
    <w:rsid w:val="00E636A5"/>
    <w:rsid w:val="00E63C8B"/>
    <w:rsid w:val="00E6475C"/>
    <w:rsid w:val="00E64CF0"/>
    <w:rsid w:val="00E74EC4"/>
    <w:rsid w:val="00E759C9"/>
    <w:rsid w:val="00E837D3"/>
    <w:rsid w:val="00E92329"/>
    <w:rsid w:val="00E923EC"/>
    <w:rsid w:val="00E92538"/>
    <w:rsid w:val="00E938C5"/>
    <w:rsid w:val="00E94514"/>
    <w:rsid w:val="00E95AD4"/>
    <w:rsid w:val="00EA191F"/>
    <w:rsid w:val="00EA26A7"/>
    <w:rsid w:val="00EA3E42"/>
    <w:rsid w:val="00EA5309"/>
    <w:rsid w:val="00EC2238"/>
    <w:rsid w:val="00EC3E53"/>
    <w:rsid w:val="00EC4B30"/>
    <w:rsid w:val="00ED1148"/>
    <w:rsid w:val="00ED2110"/>
    <w:rsid w:val="00ED2ADA"/>
    <w:rsid w:val="00ED3C88"/>
    <w:rsid w:val="00ED47F9"/>
    <w:rsid w:val="00ED7514"/>
    <w:rsid w:val="00EE1FDF"/>
    <w:rsid w:val="00EE28AF"/>
    <w:rsid w:val="00EE29D6"/>
    <w:rsid w:val="00EE2CB6"/>
    <w:rsid w:val="00EE6A4E"/>
    <w:rsid w:val="00EF26A6"/>
    <w:rsid w:val="00EF5481"/>
    <w:rsid w:val="00F04414"/>
    <w:rsid w:val="00F15E60"/>
    <w:rsid w:val="00F160E2"/>
    <w:rsid w:val="00F23E2F"/>
    <w:rsid w:val="00F23ED9"/>
    <w:rsid w:val="00F31DF4"/>
    <w:rsid w:val="00F41D34"/>
    <w:rsid w:val="00F42A17"/>
    <w:rsid w:val="00F44D56"/>
    <w:rsid w:val="00F45F13"/>
    <w:rsid w:val="00F46766"/>
    <w:rsid w:val="00F477A0"/>
    <w:rsid w:val="00F52A2C"/>
    <w:rsid w:val="00F52F1F"/>
    <w:rsid w:val="00F53E91"/>
    <w:rsid w:val="00F541D8"/>
    <w:rsid w:val="00F57C33"/>
    <w:rsid w:val="00F6302B"/>
    <w:rsid w:val="00F640D2"/>
    <w:rsid w:val="00F65E29"/>
    <w:rsid w:val="00F67D8C"/>
    <w:rsid w:val="00F731E8"/>
    <w:rsid w:val="00F754AA"/>
    <w:rsid w:val="00F7600C"/>
    <w:rsid w:val="00F82986"/>
    <w:rsid w:val="00F87558"/>
    <w:rsid w:val="00F9317C"/>
    <w:rsid w:val="00F93945"/>
    <w:rsid w:val="00F9467B"/>
    <w:rsid w:val="00F95AB2"/>
    <w:rsid w:val="00F95B55"/>
    <w:rsid w:val="00F9794E"/>
    <w:rsid w:val="00FA1B2D"/>
    <w:rsid w:val="00FA6EF7"/>
    <w:rsid w:val="00FB3DD0"/>
    <w:rsid w:val="00FB7EFB"/>
    <w:rsid w:val="00FC0610"/>
    <w:rsid w:val="00FC11F0"/>
    <w:rsid w:val="00FC1E08"/>
    <w:rsid w:val="00FC2A4B"/>
    <w:rsid w:val="00FC6B36"/>
    <w:rsid w:val="00FD2434"/>
    <w:rsid w:val="00FD67D5"/>
    <w:rsid w:val="00FE280D"/>
    <w:rsid w:val="00FF4237"/>
    <w:rsid w:val="00FF4BF0"/>
    <w:rsid w:val="00FF5262"/>
    <w:rsid w:val="00FF53E7"/>
    <w:rsid w:val="00FF6170"/>
    <w:rsid w:val="00FF7702"/>
  </w:rsids>
  <m:mathPr>
    <m:mathFont m:val="Cambria Math"/>
  </m:mathPr>
  <w:themeFontLang w:val="en-US" w:bidi="th-TH"/>
  <w:clrSchemeMapping w:bg1="light1" w:t1="dark1" w:bg2="light2" w:t2="dark2" w:accent1="accent1" w:accent2="accent2" w:accent3="accent3" w:accent4="accent4" w:accent5="accent5" w:accent6="accent6" w:hyperlink="hyperlink" w:followedHyperlink="followedHyperlink"/>
  <w14:docId w14:val="69B1219E"/>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hAnsi="Times New Roman" w:eastAsiaTheme="minorEastAsia"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 w:type="character" w:styleId="UnresolvedMention">
    <w:name w:val="Unresolved Mention"/>
    <w:basedOn w:val="DefaultParagraphFont"/>
    <w:uiPriority w:val="99"/>
    <w:semiHidden/>
    <w:unhideWhenUsed/>
    <w:rsid w:val="004E5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asa.gov/privacy/nasa_sorn_10EDUA.html" TargetMode="External" /><Relationship Id="rId11" Type="http://schemas.openxmlformats.org/officeDocument/2006/relationships/hyperlink" Target="mailto:richard.l.gilmore@nasa.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sa.gov/stem/index.html"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BD1E2BB92CBC144967077C2021A537D" ma:contentTypeVersion="12" ma:contentTypeDescription="Create a new document." ma:contentTypeScope="" ma:versionID="6966c81c6d9cfbc15d46a1b6d9a909e6">
  <xsd:schema xmlns:xsd="http://www.w3.org/2001/XMLSchema" xmlns:xs="http://www.w3.org/2001/XMLSchema" xmlns:p="http://schemas.microsoft.com/office/2006/metadata/properties" xmlns:ns3="c852713b-0caa-4ac0-ba75-048f00e27b76" xmlns:ns4="a3f7648c-ef34-4383-9913-3e4132c38d7f" targetNamespace="http://schemas.microsoft.com/office/2006/metadata/properties" ma:root="true" ma:fieldsID="82282221c67d0027870baf707ffd6345" ns3:_="" ns4:_="">
    <xsd:import namespace="c852713b-0caa-4ac0-ba75-048f00e27b76"/>
    <xsd:import namespace="a3f7648c-ef34-4383-9913-3e4132c38d7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2713b-0caa-4ac0-ba75-048f00e27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f7648c-ef34-4383-9913-3e4132c38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303CE-3DFB-4D49-9E0A-F2114CCE7C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2A87D-9142-4971-8BDC-69534F057E72}">
  <ds:schemaRefs>
    <ds:schemaRef ds:uri="http://schemas.openxmlformats.org/officeDocument/2006/bibliography"/>
  </ds:schemaRefs>
</ds:datastoreItem>
</file>

<file path=customXml/itemProps3.xml><?xml version="1.0" encoding="utf-8"?>
<ds:datastoreItem xmlns:ds="http://schemas.openxmlformats.org/officeDocument/2006/customXml" ds:itemID="{F85365EA-A452-4B0D-9466-16E1AA1D8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2713b-0caa-4ac0-ba75-048f00e27b76"/>
    <ds:schemaRef ds:uri="a3f7648c-ef34-4383-9913-3e4132c38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32FBC-5EDE-46B8-8559-9A6F6F416447}">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Teel, Frances C. (HQ-JF000)</dc:creator>
  <cp:lastModifiedBy>Gilmore, Richard L. (GRC-HA020)</cp:lastModifiedBy>
  <cp:revision>8</cp:revision>
  <cp:lastPrinted>2016-06-29T13:57:00Z</cp:lastPrinted>
  <dcterms:created xsi:type="dcterms:W3CDTF">2023-04-02T06:02:00Z</dcterms:created>
  <dcterms:modified xsi:type="dcterms:W3CDTF">2023-04-02T06:07:00Z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ies>
</file>