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5C3F" w:rsidRPr="009B5EB0" w:rsidP="00857487" w14:paraId="7D2CEACC" w14:textId="7C0C2148">
      <w:pPr>
        <w:suppressAutoHyphens/>
        <w:spacing w:after="240"/>
        <w:jc w:val="center"/>
        <w:rPr>
          <w:rFonts w:ascii="Times New Roman" w:hAnsi="Times New Roman"/>
          <w:b/>
        </w:rPr>
      </w:pPr>
      <w:r w:rsidRPr="009B5EB0">
        <w:rPr>
          <w:rFonts w:ascii="Times New Roman" w:hAnsi="Times New Roman"/>
          <w:b/>
        </w:rPr>
        <w:t xml:space="preserve">SUPPORTING STATEMENT FOR </w:t>
      </w:r>
      <w:r w:rsidR="00E57EAF">
        <w:rPr>
          <w:rFonts w:ascii="Times New Roman" w:hAnsi="Times New Roman"/>
          <w:b/>
        </w:rPr>
        <w:t xml:space="preserve">RENEWAL OF </w:t>
      </w:r>
      <w:r w:rsidRPr="009B5EB0">
        <w:rPr>
          <w:rFonts w:ascii="Times New Roman" w:hAnsi="Times New Roman"/>
          <w:b/>
        </w:rPr>
        <w:t>INFORMATION COLLECTION</w:t>
      </w:r>
    </w:p>
    <w:p w:rsidR="00C05C3F" w:rsidP="00857487" w14:paraId="3F387F8F" w14:textId="77777777">
      <w:pPr>
        <w:tabs>
          <w:tab w:val="center" w:pos="4680"/>
        </w:tabs>
        <w:suppressAutoHyphens/>
        <w:spacing w:after="240"/>
        <w:jc w:val="center"/>
        <w:rPr>
          <w:rFonts w:ascii="Times New Roman" w:hAnsi="Times New Roman"/>
          <w:b/>
        </w:rPr>
      </w:pPr>
      <w:r w:rsidRPr="009B5EB0">
        <w:rPr>
          <w:rFonts w:ascii="Times New Roman" w:hAnsi="Times New Roman"/>
          <w:b/>
        </w:rPr>
        <w:t>OMB CONTROL NUMBER 3038-</w:t>
      </w:r>
      <w:r w:rsidRPr="009B5EB0" w:rsidR="002F6957">
        <w:rPr>
          <w:rFonts w:ascii="Times New Roman" w:hAnsi="Times New Roman"/>
          <w:b/>
        </w:rPr>
        <w:t>0093</w:t>
      </w:r>
    </w:p>
    <w:p w:rsidR="00864D9A" w:rsidRPr="00864D9A" w:rsidP="00A17C2A" w14:paraId="758256B4" w14:textId="77777777">
      <w:pPr>
        <w:tabs>
          <w:tab w:val="center" w:pos="4680"/>
        </w:tabs>
        <w:suppressAutoHyphens/>
        <w:spacing w:after="240"/>
        <w:jc w:val="center"/>
        <w:rPr>
          <w:rFonts w:ascii="Times New Roman" w:hAnsi="Times New Roman"/>
          <w:b/>
          <w:caps/>
          <w:szCs w:val="24"/>
        </w:rPr>
      </w:pPr>
      <w:r w:rsidRPr="00864D9A">
        <w:rPr>
          <w:rFonts w:ascii="Times New Roman" w:hAnsi="Times New Roman"/>
          <w:b/>
          <w:caps/>
          <w:color w:val="000000"/>
          <w:szCs w:val="24"/>
          <w:shd w:val="clear" w:color="auto" w:fill="FFFFFF"/>
        </w:rPr>
        <w:t>Part 40, Provisions Common to Registered Entities</w:t>
      </w:r>
    </w:p>
    <w:p w:rsidR="00C05C3F" w:rsidRPr="009B5EB0" w:rsidP="00857487" w14:paraId="24453BB7" w14:textId="77777777">
      <w:pPr>
        <w:tabs>
          <w:tab w:val="left" w:pos="-720"/>
        </w:tabs>
        <w:suppressAutoHyphens/>
        <w:spacing w:after="240"/>
        <w:rPr>
          <w:rFonts w:ascii="Times New Roman" w:hAnsi="Times New Roman"/>
          <w:b/>
        </w:rPr>
      </w:pPr>
      <w:r w:rsidRPr="009B5EB0">
        <w:rPr>
          <w:rFonts w:ascii="Times New Roman" w:hAnsi="Times New Roman"/>
          <w:b/>
        </w:rPr>
        <w:t>Justification</w:t>
      </w:r>
    </w:p>
    <w:p w:rsidR="00C05C3F" w:rsidRPr="009B5EB0" w:rsidP="002E6DAA" w14:paraId="0F10ACEE" w14:textId="77777777">
      <w:pPr>
        <w:numPr>
          <w:ilvl w:val="0"/>
          <w:numId w:val="1"/>
        </w:numPr>
        <w:tabs>
          <w:tab w:val="left" w:pos="-720"/>
          <w:tab w:val="left" w:pos="0"/>
        </w:tabs>
        <w:suppressAutoHyphens/>
        <w:spacing w:after="240"/>
        <w:ind w:hanging="720"/>
        <w:rPr>
          <w:rFonts w:ascii="Times New Roman" w:hAnsi="Times New Roman"/>
          <w:b/>
        </w:rPr>
      </w:pPr>
      <w:r w:rsidRPr="009B5EB0">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38D0" w:rsidP="0086314E" w14:paraId="07CA6234" w14:textId="39A4DCA9">
      <w:pPr>
        <w:pStyle w:val="Default"/>
        <w:spacing w:after="240"/>
        <w:ind w:firstLine="720"/>
        <w:rPr>
          <w:rFonts w:ascii="Times New Roman" w:hAnsi="Times New Roman" w:cs="Times New Roman"/>
        </w:rPr>
      </w:pPr>
      <w:r w:rsidRPr="009B5EB0">
        <w:rPr>
          <w:rFonts w:ascii="Times New Roman" w:hAnsi="Times New Roman" w:cs="Times New Roman"/>
        </w:rPr>
        <w:t xml:space="preserve">The Commission is seeking to </w:t>
      </w:r>
      <w:r w:rsidRPr="1C0FC27F" w:rsidR="00E57EAF">
        <w:rPr>
          <w:rFonts w:ascii="Times New Roman" w:hAnsi="Times New Roman" w:cs="Times New Roman"/>
        </w:rPr>
        <w:t xml:space="preserve">renew </w:t>
      </w:r>
      <w:r w:rsidRPr="009B5EB0">
        <w:rPr>
          <w:rFonts w:ascii="Times New Roman" w:hAnsi="Times New Roman" w:cs="Times New Roman"/>
        </w:rPr>
        <w:t>control number 3038-0093</w:t>
      </w:r>
      <w:r>
        <w:rPr>
          <w:rFonts w:ascii="Times New Roman" w:hAnsi="Times New Roman" w:cs="Times New Roman"/>
        </w:rPr>
        <w:t>.  Part 40</w:t>
      </w:r>
      <w:r w:rsidRPr="009B5EB0">
        <w:rPr>
          <w:rFonts w:ascii="Times New Roman" w:hAnsi="Times New Roman" w:cs="Times New Roman"/>
        </w:rPr>
        <w:t xml:space="preserve"> provide</w:t>
      </w:r>
      <w:r>
        <w:rPr>
          <w:rFonts w:ascii="Times New Roman" w:hAnsi="Times New Roman" w:cs="Times New Roman"/>
        </w:rPr>
        <w:t>s</w:t>
      </w:r>
      <w:r w:rsidRPr="009B5EB0">
        <w:rPr>
          <w:rFonts w:ascii="Times New Roman" w:hAnsi="Times New Roman" w:cs="Times New Roman"/>
        </w:rPr>
        <w:t xml:space="preserve"> procedures for the submission of rules</w:t>
      </w:r>
      <w:r w:rsidR="00003A17">
        <w:rPr>
          <w:rFonts w:ascii="Times New Roman" w:hAnsi="Times New Roman" w:cs="Times New Roman"/>
        </w:rPr>
        <w:t>,</w:t>
      </w:r>
      <w:r w:rsidRPr="009B5EB0">
        <w:rPr>
          <w:rFonts w:ascii="Times New Roman" w:hAnsi="Times New Roman" w:cs="Times New Roman"/>
        </w:rPr>
        <w:t xml:space="preserve"> rule amendments </w:t>
      </w:r>
      <w:r w:rsidR="00003A17">
        <w:rPr>
          <w:rFonts w:ascii="Times New Roman" w:hAnsi="Times New Roman" w:cs="Times New Roman"/>
        </w:rPr>
        <w:t xml:space="preserve">and products </w:t>
      </w:r>
      <w:r w:rsidRPr="009B5EB0">
        <w:rPr>
          <w:rFonts w:ascii="Times New Roman" w:hAnsi="Times New Roman" w:cs="Times New Roman"/>
        </w:rPr>
        <w:t>by registered entities</w:t>
      </w:r>
      <w:r w:rsidR="00F822CE">
        <w:rPr>
          <w:rFonts w:ascii="Times New Roman" w:hAnsi="Times New Roman" w:cs="Times New Roman"/>
        </w:rPr>
        <w:t>, including designated contract markets, swap execution facilities, derivatives clearing organizations, and swap data repositories</w:t>
      </w:r>
      <w:r w:rsidRPr="009B5EB0">
        <w:rPr>
          <w:rFonts w:ascii="Times New Roman" w:hAnsi="Times New Roman" w:cs="Times New Roman"/>
        </w:rPr>
        <w:t xml:space="preserve">.  </w:t>
      </w:r>
      <w:r w:rsidR="00D869C3">
        <w:rPr>
          <w:rFonts w:ascii="Times New Roman" w:hAnsi="Times New Roman" w:cs="Times New Roman"/>
        </w:rPr>
        <w:t>Part 40</w:t>
      </w:r>
      <w:r w:rsidRPr="009B5EB0">
        <w:rPr>
          <w:rFonts w:ascii="Times New Roman" w:hAnsi="Times New Roman" w:cs="Times New Roman"/>
        </w:rPr>
        <w:t xml:space="preserve"> establish</w:t>
      </w:r>
      <w:r>
        <w:rPr>
          <w:rFonts w:ascii="Times New Roman" w:hAnsi="Times New Roman" w:cs="Times New Roman"/>
        </w:rPr>
        <w:t>es</w:t>
      </w:r>
      <w:r w:rsidRPr="009B5EB0">
        <w:rPr>
          <w:rFonts w:ascii="Times New Roman" w:hAnsi="Times New Roman" w:cs="Times New Roman"/>
        </w:rPr>
        <w:t xml:space="preserve"> the procedures for </w:t>
      </w:r>
      <w:r w:rsidR="00B54BFC">
        <w:rPr>
          <w:rFonts w:ascii="Times New Roman" w:hAnsi="Times New Roman" w:cs="Times New Roman"/>
        </w:rPr>
        <w:t xml:space="preserve">a </w:t>
      </w:r>
      <w:r w:rsidR="00D869C3">
        <w:rPr>
          <w:rFonts w:ascii="Times New Roman" w:hAnsi="Times New Roman" w:cs="Times New Roman"/>
        </w:rPr>
        <w:t>registered entit</w:t>
      </w:r>
      <w:r w:rsidR="00B54BFC">
        <w:rPr>
          <w:rFonts w:ascii="Times New Roman" w:hAnsi="Times New Roman" w:cs="Times New Roman"/>
        </w:rPr>
        <w:t>y</w:t>
      </w:r>
      <w:r w:rsidR="00D869C3">
        <w:rPr>
          <w:rFonts w:ascii="Times New Roman" w:hAnsi="Times New Roman" w:cs="Times New Roman"/>
        </w:rPr>
        <w:t xml:space="preserve"> to </w:t>
      </w:r>
      <w:r w:rsidRPr="009B5EB0">
        <w:rPr>
          <w:rFonts w:ascii="Times New Roman" w:hAnsi="Times New Roman" w:cs="Times New Roman"/>
        </w:rPr>
        <w:t xml:space="preserve">submit </w:t>
      </w:r>
      <w:r w:rsidR="003228ED">
        <w:rPr>
          <w:rFonts w:ascii="Times New Roman" w:hAnsi="Times New Roman" w:cs="Times New Roman"/>
        </w:rPr>
        <w:t xml:space="preserve">to the Commission </w:t>
      </w:r>
      <w:r w:rsidRPr="009B5EB0">
        <w:rPr>
          <w:rFonts w:ascii="Times New Roman" w:hAnsi="Times New Roman" w:cs="Times New Roman"/>
        </w:rPr>
        <w:t xml:space="preserve">the “written certification” required by Section 5c of the </w:t>
      </w:r>
      <w:r w:rsidR="00FA1308">
        <w:rPr>
          <w:rFonts w:ascii="Times New Roman" w:hAnsi="Times New Roman" w:cs="Times New Roman"/>
        </w:rPr>
        <w:t xml:space="preserve">Commodity Exchange </w:t>
      </w:r>
      <w:r w:rsidRPr="009B5EB0">
        <w:rPr>
          <w:rFonts w:ascii="Times New Roman" w:hAnsi="Times New Roman" w:cs="Times New Roman"/>
        </w:rPr>
        <w:t>Act</w:t>
      </w:r>
      <w:r>
        <w:rPr>
          <w:rFonts w:ascii="Times New Roman" w:hAnsi="Times New Roman" w:cs="Times New Roman"/>
        </w:rPr>
        <w:t xml:space="preserve"> </w:t>
      </w:r>
      <w:r w:rsidR="00FA1308">
        <w:rPr>
          <w:rFonts w:ascii="Times New Roman" w:hAnsi="Times New Roman" w:cs="Times New Roman"/>
        </w:rPr>
        <w:t xml:space="preserve">(“CEA”) </w:t>
      </w:r>
      <w:r w:rsidRPr="004E3C48" w:rsidR="00B54BFC">
        <w:rPr>
          <w:rFonts w:ascii="Times New Roman" w:hAnsi="Times New Roman" w:cs="Times New Roman"/>
        </w:rPr>
        <w:t xml:space="preserve">in order for the registered entity to </w:t>
      </w:r>
      <w:r w:rsidRPr="004E3C48" w:rsidR="00BA283E">
        <w:rPr>
          <w:rFonts w:ascii="Times New Roman" w:hAnsi="Times New Roman" w:cs="Times New Roman"/>
        </w:rPr>
        <w:t>certify</w:t>
      </w:r>
      <w:r w:rsidRPr="004E3C48" w:rsidR="00B54BFC">
        <w:rPr>
          <w:rFonts w:ascii="Times New Roman" w:hAnsi="Times New Roman" w:cs="Times New Roman"/>
        </w:rPr>
        <w:t xml:space="preserve"> to the Commission</w:t>
      </w:r>
      <w:r w:rsidR="00B54BFC">
        <w:rPr>
          <w:rFonts w:ascii="Times New Roman" w:hAnsi="Times New Roman" w:cs="Times New Roman"/>
        </w:rPr>
        <w:t xml:space="preserve"> that </w:t>
      </w:r>
      <w:r w:rsidRPr="009B5EB0">
        <w:rPr>
          <w:rFonts w:ascii="Times New Roman" w:hAnsi="Times New Roman" w:cs="Times New Roman"/>
        </w:rPr>
        <w:t>a product</w:t>
      </w:r>
      <w:r w:rsidR="0083252D">
        <w:rPr>
          <w:rFonts w:ascii="Times New Roman" w:hAnsi="Times New Roman" w:cs="Times New Roman"/>
        </w:rPr>
        <w:t xml:space="preserve"> to be listed </w:t>
      </w:r>
      <w:r w:rsidR="00D04049">
        <w:rPr>
          <w:rFonts w:ascii="Times New Roman" w:hAnsi="Times New Roman" w:cs="Times New Roman"/>
        </w:rPr>
        <w:t xml:space="preserve">(pursuant to § 40.2) </w:t>
      </w:r>
      <w:r w:rsidR="0083252D">
        <w:rPr>
          <w:rFonts w:ascii="Times New Roman" w:hAnsi="Times New Roman" w:cs="Times New Roman"/>
        </w:rPr>
        <w:t>or a</w:t>
      </w:r>
      <w:r w:rsidRPr="009B5EB0">
        <w:rPr>
          <w:rFonts w:ascii="Times New Roman" w:hAnsi="Times New Roman" w:cs="Times New Roman"/>
        </w:rPr>
        <w:t xml:space="preserve"> rule</w:t>
      </w:r>
      <w:r w:rsidR="00B54BFC">
        <w:rPr>
          <w:rFonts w:ascii="Times New Roman" w:hAnsi="Times New Roman" w:cs="Times New Roman"/>
        </w:rPr>
        <w:t xml:space="preserve"> or rule amendment </w:t>
      </w:r>
      <w:r w:rsidR="0083252D">
        <w:rPr>
          <w:rFonts w:ascii="Times New Roman" w:hAnsi="Times New Roman" w:cs="Times New Roman"/>
        </w:rPr>
        <w:t xml:space="preserve">to be implemented </w:t>
      </w:r>
      <w:r w:rsidR="00D04049">
        <w:rPr>
          <w:rFonts w:ascii="Times New Roman" w:hAnsi="Times New Roman" w:cs="Times New Roman"/>
        </w:rPr>
        <w:t xml:space="preserve">(pursuant to § 40.6) </w:t>
      </w:r>
      <w:r w:rsidR="00B54BFC">
        <w:rPr>
          <w:rFonts w:ascii="Times New Roman" w:hAnsi="Times New Roman" w:cs="Times New Roman"/>
        </w:rPr>
        <w:t>complies with the Act and Commission’s regulations thereunder.</w:t>
      </w:r>
      <w:r w:rsidRPr="009B5EB0">
        <w:rPr>
          <w:rFonts w:ascii="Times New Roman" w:hAnsi="Times New Roman" w:cs="Times New Roman"/>
        </w:rPr>
        <w:t xml:space="preserve">  </w:t>
      </w:r>
      <w:r w:rsidR="009859B4">
        <w:rPr>
          <w:rFonts w:ascii="Times New Roman" w:hAnsi="Times New Roman" w:cs="Times New Roman"/>
        </w:rPr>
        <w:t xml:space="preserve">As part of a self-certification of a product under § 40.2, a registered entity must </w:t>
      </w:r>
      <w:r w:rsidR="00E85EC5">
        <w:rPr>
          <w:rFonts w:ascii="Times New Roman" w:hAnsi="Times New Roman" w:cs="Times New Roman"/>
        </w:rPr>
        <w:t xml:space="preserve">submit to the Commission, among other things, a concise explanation and analysis of the product </w:t>
      </w:r>
      <w:bookmarkStart w:id="0" w:name="_Hlk146123382"/>
      <w:r w:rsidR="00E85EC5">
        <w:rPr>
          <w:rFonts w:ascii="Times New Roman" w:hAnsi="Times New Roman" w:cs="Times New Roman"/>
        </w:rPr>
        <w:t xml:space="preserve">and its compliance with </w:t>
      </w:r>
      <w:r w:rsidR="00775DFE">
        <w:rPr>
          <w:rFonts w:ascii="Times New Roman" w:hAnsi="Times New Roman" w:cs="Times New Roman"/>
        </w:rPr>
        <w:t>applicable provisions of the Act, including core principles, and the Commission’s regulations thereunder</w:t>
      </w:r>
      <w:bookmarkEnd w:id="0"/>
      <w:r w:rsidR="00775DFE">
        <w:rPr>
          <w:rFonts w:ascii="Times New Roman" w:hAnsi="Times New Roman" w:cs="Times New Roman"/>
        </w:rPr>
        <w:t xml:space="preserve">.  </w:t>
      </w:r>
      <w:r w:rsidR="00AE426C">
        <w:rPr>
          <w:rFonts w:ascii="Times New Roman" w:hAnsi="Times New Roman" w:cs="Times New Roman"/>
        </w:rPr>
        <w:t xml:space="preserve">As part of a self-certification of a rule or rule amendment under § 40.6, a registered entity must submit to the Commission, among other things, a concise </w:t>
      </w:r>
      <w:r w:rsidRPr="009B5EB0">
        <w:rPr>
          <w:rFonts w:ascii="Times New Roman" w:hAnsi="Times New Roman" w:cs="Times New Roman"/>
        </w:rPr>
        <w:t>explanation and analys</w:t>
      </w:r>
      <w:r w:rsidR="00AE426C">
        <w:rPr>
          <w:rFonts w:ascii="Times New Roman" w:hAnsi="Times New Roman" w:cs="Times New Roman"/>
        </w:rPr>
        <w:t>is</w:t>
      </w:r>
      <w:r w:rsidRPr="009B5EB0">
        <w:rPr>
          <w:rFonts w:ascii="Times New Roman" w:hAnsi="Times New Roman" w:cs="Times New Roman"/>
        </w:rPr>
        <w:t xml:space="preserve"> of the </w:t>
      </w:r>
      <w:r w:rsidR="00AE426C">
        <w:rPr>
          <w:rFonts w:ascii="Times New Roman" w:hAnsi="Times New Roman" w:cs="Times New Roman"/>
        </w:rPr>
        <w:t xml:space="preserve">operation, </w:t>
      </w:r>
      <w:r w:rsidRPr="009B5EB0">
        <w:rPr>
          <w:rFonts w:ascii="Times New Roman" w:hAnsi="Times New Roman" w:cs="Times New Roman"/>
        </w:rPr>
        <w:t>purpose</w:t>
      </w:r>
      <w:r w:rsidR="00AE426C">
        <w:rPr>
          <w:rFonts w:ascii="Times New Roman" w:hAnsi="Times New Roman" w:cs="Times New Roman"/>
        </w:rPr>
        <w:t xml:space="preserve"> and e</w:t>
      </w:r>
      <w:r w:rsidRPr="009B5EB0">
        <w:rPr>
          <w:rFonts w:ascii="Times New Roman" w:hAnsi="Times New Roman" w:cs="Times New Roman"/>
        </w:rPr>
        <w:t>ffect</w:t>
      </w:r>
      <w:r w:rsidR="00AE426C">
        <w:rPr>
          <w:rFonts w:ascii="Times New Roman" w:hAnsi="Times New Roman" w:cs="Times New Roman"/>
        </w:rPr>
        <w:t xml:space="preserve"> of the proposed rule or rule amendment and its compliance with applicable provisions of the Act, including core principles, and the Commission’s regulations thereunder</w:t>
      </w:r>
      <w:r w:rsidRPr="009B5EB0">
        <w:rPr>
          <w:rFonts w:ascii="Times New Roman" w:hAnsi="Times New Roman" w:cs="Times New Roman"/>
        </w:rPr>
        <w:t>.</w:t>
      </w:r>
    </w:p>
    <w:p w:rsidR="00EB260F" w:rsidP="0086314E" w14:paraId="32E7808F" w14:textId="361B881C">
      <w:pPr>
        <w:pStyle w:val="Default"/>
        <w:spacing w:after="240"/>
        <w:ind w:firstLine="720"/>
        <w:rPr>
          <w:rFonts w:ascii="Times New Roman" w:hAnsi="Times New Roman" w:cs="Times New Roman"/>
        </w:rPr>
      </w:pPr>
      <w:r>
        <w:rPr>
          <w:rFonts w:ascii="Times New Roman" w:hAnsi="Times New Roman" w:cs="Times New Roman"/>
        </w:rPr>
        <w:t xml:space="preserve">Part 40 also establishes procedures for </w:t>
      </w:r>
      <w:r w:rsidR="005E549F">
        <w:rPr>
          <w:rFonts w:ascii="Times New Roman" w:hAnsi="Times New Roman" w:cs="Times New Roman"/>
        </w:rPr>
        <w:t xml:space="preserve">a registered entity to </w:t>
      </w:r>
      <w:r w:rsidRPr="009B5EB0" w:rsidR="005E549F">
        <w:rPr>
          <w:rFonts w:ascii="Times New Roman" w:hAnsi="Times New Roman" w:cs="Times New Roman"/>
        </w:rPr>
        <w:t xml:space="preserve">submit </w:t>
      </w:r>
      <w:r w:rsidR="00327EC8">
        <w:rPr>
          <w:rFonts w:ascii="Times New Roman" w:hAnsi="Times New Roman" w:cs="Times New Roman"/>
        </w:rPr>
        <w:t>a</w:t>
      </w:r>
      <w:r w:rsidR="00763367">
        <w:rPr>
          <w:rFonts w:ascii="Times New Roman" w:hAnsi="Times New Roman" w:cs="Times New Roman"/>
        </w:rPr>
        <w:t xml:space="preserve"> </w:t>
      </w:r>
      <w:r w:rsidR="001638D0">
        <w:rPr>
          <w:rFonts w:ascii="Times New Roman" w:hAnsi="Times New Roman" w:cs="Times New Roman"/>
        </w:rPr>
        <w:t xml:space="preserve">request </w:t>
      </w:r>
      <w:r w:rsidR="00763367">
        <w:rPr>
          <w:rFonts w:ascii="Times New Roman" w:hAnsi="Times New Roman" w:cs="Times New Roman"/>
        </w:rPr>
        <w:t xml:space="preserve">pursuant to Section 5c(c)(4) of the Act </w:t>
      </w:r>
      <w:r w:rsidR="001638D0">
        <w:rPr>
          <w:rFonts w:ascii="Times New Roman" w:hAnsi="Times New Roman" w:cs="Times New Roman"/>
        </w:rPr>
        <w:t xml:space="preserve">that </w:t>
      </w:r>
      <w:r w:rsidR="005E549F">
        <w:rPr>
          <w:rFonts w:ascii="Times New Roman" w:hAnsi="Times New Roman" w:cs="Times New Roman"/>
        </w:rPr>
        <w:t xml:space="preserve">the Commission </w:t>
      </w:r>
      <w:r w:rsidR="001638D0">
        <w:rPr>
          <w:rFonts w:ascii="Times New Roman" w:hAnsi="Times New Roman" w:cs="Times New Roman"/>
        </w:rPr>
        <w:t xml:space="preserve">approve </w:t>
      </w:r>
      <w:r w:rsidR="00763367">
        <w:rPr>
          <w:rFonts w:ascii="Times New Roman" w:hAnsi="Times New Roman" w:cs="Times New Roman"/>
        </w:rPr>
        <w:t xml:space="preserve">a </w:t>
      </w:r>
      <w:r w:rsidR="003A5177">
        <w:rPr>
          <w:rFonts w:ascii="Times New Roman" w:hAnsi="Times New Roman" w:cs="Times New Roman"/>
        </w:rPr>
        <w:t>rule</w:t>
      </w:r>
      <w:r w:rsidR="00763367">
        <w:rPr>
          <w:rFonts w:ascii="Times New Roman" w:hAnsi="Times New Roman" w:cs="Times New Roman"/>
        </w:rPr>
        <w:t xml:space="preserve"> or a</w:t>
      </w:r>
      <w:r w:rsidR="005F3B53">
        <w:rPr>
          <w:rFonts w:ascii="Times New Roman" w:hAnsi="Times New Roman" w:cs="Times New Roman"/>
        </w:rPr>
        <w:t xml:space="preserve"> </w:t>
      </w:r>
      <w:r w:rsidR="004E0219">
        <w:rPr>
          <w:rFonts w:ascii="Times New Roman" w:hAnsi="Times New Roman" w:cs="Times New Roman"/>
        </w:rPr>
        <w:t xml:space="preserve">rule amendment </w:t>
      </w:r>
      <w:r w:rsidR="00763367">
        <w:rPr>
          <w:rFonts w:ascii="Times New Roman" w:hAnsi="Times New Roman" w:cs="Times New Roman"/>
        </w:rPr>
        <w:t xml:space="preserve">(pursuant to § 40.5) </w:t>
      </w:r>
      <w:r w:rsidR="003A5177">
        <w:rPr>
          <w:rFonts w:ascii="Times New Roman" w:hAnsi="Times New Roman" w:cs="Times New Roman"/>
        </w:rPr>
        <w:t xml:space="preserve">or </w:t>
      </w:r>
      <w:r w:rsidR="00763367">
        <w:rPr>
          <w:rFonts w:ascii="Times New Roman" w:hAnsi="Times New Roman" w:cs="Times New Roman"/>
        </w:rPr>
        <w:t xml:space="preserve">a </w:t>
      </w:r>
      <w:r w:rsidR="003A5177">
        <w:rPr>
          <w:rFonts w:ascii="Times New Roman" w:hAnsi="Times New Roman" w:cs="Times New Roman"/>
        </w:rPr>
        <w:t>product</w:t>
      </w:r>
      <w:r w:rsidR="001638D0">
        <w:rPr>
          <w:rFonts w:ascii="Times New Roman" w:hAnsi="Times New Roman" w:cs="Times New Roman"/>
        </w:rPr>
        <w:t xml:space="preserve"> </w:t>
      </w:r>
      <w:r w:rsidR="00763367">
        <w:rPr>
          <w:rFonts w:ascii="Times New Roman" w:hAnsi="Times New Roman" w:cs="Times New Roman"/>
        </w:rPr>
        <w:t>(</w:t>
      </w:r>
      <w:r w:rsidR="001638D0">
        <w:rPr>
          <w:rFonts w:ascii="Times New Roman" w:hAnsi="Times New Roman" w:cs="Times New Roman"/>
        </w:rPr>
        <w:t>pursuant to § 40.3</w:t>
      </w:r>
      <w:r w:rsidR="00763367">
        <w:rPr>
          <w:rFonts w:ascii="Times New Roman" w:hAnsi="Times New Roman" w:cs="Times New Roman"/>
        </w:rPr>
        <w:t>)</w:t>
      </w:r>
      <w:r w:rsidR="003C09CE">
        <w:rPr>
          <w:rFonts w:ascii="Times New Roman" w:hAnsi="Times New Roman" w:cs="Times New Roman"/>
        </w:rPr>
        <w:t xml:space="preserve"> of the registered entity. </w:t>
      </w:r>
      <w:r>
        <w:rPr>
          <w:rFonts w:ascii="Times New Roman" w:hAnsi="Times New Roman" w:cs="Times New Roman"/>
        </w:rPr>
        <w:t xml:space="preserve">As part of requesting a product be approved by the Commission under § 40.3, a registered entity must submit to the Commission, among other things, an explanation and analysis of the product and its compliance with applicable provisions of the Act, including core principles, and the Commission’s regulations thereunder.  As part of requesting a rule or rule amendment be approved by the Commission under § 40.5, a registered entity must submit to the Commission, among other things, an </w:t>
      </w:r>
      <w:r w:rsidRPr="009B5EB0">
        <w:rPr>
          <w:rFonts w:ascii="Times New Roman" w:hAnsi="Times New Roman" w:cs="Times New Roman"/>
        </w:rPr>
        <w:t>explanation and analys</w:t>
      </w:r>
      <w:r>
        <w:rPr>
          <w:rFonts w:ascii="Times New Roman" w:hAnsi="Times New Roman" w:cs="Times New Roman"/>
        </w:rPr>
        <w:t>is</w:t>
      </w:r>
      <w:r w:rsidRPr="009B5EB0">
        <w:rPr>
          <w:rFonts w:ascii="Times New Roman" w:hAnsi="Times New Roman" w:cs="Times New Roman"/>
        </w:rPr>
        <w:t xml:space="preserve"> of the </w:t>
      </w:r>
      <w:r>
        <w:rPr>
          <w:rFonts w:ascii="Times New Roman" w:hAnsi="Times New Roman" w:cs="Times New Roman"/>
        </w:rPr>
        <w:t xml:space="preserve">operation, </w:t>
      </w:r>
      <w:r w:rsidRPr="009B5EB0">
        <w:rPr>
          <w:rFonts w:ascii="Times New Roman" w:hAnsi="Times New Roman" w:cs="Times New Roman"/>
        </w:rPr>
        <w:t>purpose</w:t>
      </w:r>
      <w:r>
        <w:rPr>
          <w:rFonts w:ascii="Times New Roman" w:hAnsi="Times New Roman" w:cs="Times New Roman"/>
        </w:rPr>
        <w:t xml:space="preserve"> and e</w:t>
      </w:r>
      <w:r w:rsidRPr="009B5EB0">
        <w:rPr>
          <w:rFonts w:ascii="Times New Roman" w:hAnsi="Times New Roman" w:cs="Times New Roman"/>
        </w:rPr>
        <w:t>ffect</w:t>
      </w:r>
      <w:r>
        <w:rPr>
          <w:rFonts w:ascii="Times New Roman" w:hAnsi="Times New Roman" w:cs="Times New Roman"/>
        </w:rPr>
        <w:t xml:space="preserve"> of the proposed rule or rule amendment and its compliance with applicable provisions of the Act, including core principles, and the Commission’s regulations thereunder</w:t>
      </w:r>
      <w:r w:rsidRPr="009B5EB0">
        <w:rPr>
          <w:rFonts w:ascii="Times New Roman" w:hAnsi="Times New Roman" w:cs="Times New Roman"/>
        </w:rPr>
        <w:t>.</w:t>
      </w:r>
    </w:p>
    <w:p w:rsidR="00B415FD" w:rsidP="005508DD" w14:paraId="2741D693" w14:textId="170F11B4">
      <w:pPr>
        <w:pStyle w:val="Default"/>
        <w:spacing w:after="240"/>
        <w:ind w:firstLine="720"/>
      </w:pPr>
      <w:r>
        <w:rPr>
          <w:rFonts w:ascii="Times New Roman" w:hAnsi="Times New Roman" w:cs="Times New Roman"/>
        </w:rPr>
        <w:t xml:space="preserve">In certain instances, </w:t>
      </w:r>
      <w:r w:rsidRPr="00B43B0C" w:rsidR="00B43B0C">
        <w:rPr>
          <w:rFonts w:ascii="Times New Roman" w:hAnsi="Times New Roman" w:cs="Times New Roman"/>
        </w:rPr>
        <w:t xml:space="preserve">other Commission regulations may expressly or impliedly trigger the requirement for a registered entity to make a rule submission under §§ 40.5 or 40.6.  For </w:t>
      </w:r>
      <w:r w:rsidRPr="00B43B0C" w:rsidR="00B43B0C">
        <w:rPr>
          <w:rFonts w:ascii="Times New Roman" w:hAnsi="Times New Roman" w:cs="Times New Roman"/>
        </w:rPr>
        <w:t>example, the Commission’s part 150 regulation on position limits contains an express requirement</w:t>
      </w:r>
      <w:r w:rsidR="00913FC1">
        <w:rPr>
          <w:rFonts w:ascii="Times New Roman" w:hAnsi="Times New Roman" w:cs="Times New Roman"/>
        </w:rPr>
        <w:t xml:space="preserve"> under § 150.9(a)</w:t>
      </w:r>
      <w:r w:rsidRPr="00B43B0C" w:rsidR="00B43B0C">
        <w:rPr>
          <w:rFonts w:ascii="Times New Roman" w:hAnsi="Times New Roman" w:cs="Times New Roman"/>
        </w:rPr>
        <w:t xml:space="preserve"> to make a § 40.5 rule filing in certain circumstances.</w:t>
      </w:r>
    </w:p>
    <w:p w:rsidR="0010119C" w:rsidRPr="00B55465" w:rsidP="008F5D39" w14:paraId="77FAC465" w14:textId="6107CAD3">
      <w:pPr>
        <w:pStyle w:val="citation-hover-present"/>
      </w:pPr>
      <w:r w:rsidRPr="005508DD">
        <w:rPr>
          <w:b/>
        </w:rPr>
        <w:t>2.</w:t>
      </w:r>
      <w:r w:rsidRPr="005508DD" w:rsidR="00B415FD">
        <w:rPr>
          <w:b/>
        </w:rPr>
        <w:tab/>
      </w:r>
      <w:r w:rsidRPr="005508DD" w:rsidR="00C81087">
        <w:rPr>
          <w:b/>
        </w:rPr>
        <w:t>Indicate</w:t>
      </w:r>
      <w:r w:rsidRPr="00B55465" w:rsidR="00C81087">
        <w:rPr>
          <w:b/>
        </w:rPr>
        <w:t xml:space="preserve"> how, by whom, and for what purpose the data would be used.  Except for a new collection, indicate the actual use the agency has made of the information received from the current collection.</w:t>
      </w:r>
    </w:p>
    <w:p w:rsidR="0010119C" w:rsidP="00727837" w14:paraId="6A4D4BF4" w14:textId="1613E262">
      <w:pPr>
        <w:pStyle w:val="Default"/>
        <w:keepNext/>
        <w:spacing w:after="240"/>
        <w:ind w:firstLine="720"/>
        <w:rPr>
          <w:rFonts w:ascii="Times New Roman" w:hAnsi="Times New Roman"/>
        </w:rPr>
      </w:pPr>
      <w:r w:rsidRPr="00B55465">
        <w:rPr>
          <w:rFonts w:ascii="Times New Roman" w:hAnsi="Times New Roman" w:cs="Times New Roman"/>
        </w:rPr>
        <w:t>The</w:t>
      </w:r>
      <w:r>
        <w:rPr>
          <w:rFonts w:ascii="Times New Roman" w:hAnsi="Times New Roman"/>
        </w:rPr>
        <w:t xml:space="preserve"> requested information is essential to the staff’s review of </w:t>
      </w:r>
      <w:r w:rsidR="009B5EB0">
        <w:rPr>
          <w:rFonts w:ascii="Times New Roman" w:hAnsi="Times New Roman"/>
        </w:rPr>
        <w:t xml:space="preserve">rule and product </w:t>
      </w:r>
      <w:r>
        <w:rPr>
          <w:rFonts w:ascii="Times New Roman" w:hAnsi="Times New Roman"/>
        </w:rPr>
        <w:t xml:space="preserve">submissions and the Commission’s oversight of each registered entity.  Staff generally </w:t>
      </w:r>
      <w:r w:rsidR="00990426">
        <w:rPr>
          <w:rFonts w:ascii="Times New Roman" w:hAnsi="Times New Roman"/>
        </w:rPr>
        <w:t xml:space="preserve">uses the </w:t>
      </w:r>
      <w:r w:rsidR="007A19A4">
        <w:rPr>
          <w:rFonts w:ascii="Times New Roman" w:hAnsi="Times New Roman"/>
        </w:rPr>
        <w:t xml:space="preserve">information submitted by the registered entity to </w:t>
      </w:r>
      <w:r w:rsidR="00A823B3">
        <w:rPr>
          <w:rFonts w:ascii="Times New Roman" w:hAnsi="Times New Roman"/>
        </w:rPr>
        <w:t xml:space="preserve">independently </w:t>
      </w:r>
      <w:r w:rsidR="007A19A4">
        <w:rPr>
          <w:rFonts w:ascii="Times New Roman" w:hAnsi="Times New Roman"/>
        </w:rPr>
        <w:t xml:space="preserve">analyze </w:t>
      </w:r>
      <w:r>
        <w:rPr>
          <w:rFonts w:ascii="Times New Roman" w:hAnsi="Times New Roman"/>
        </w:rPr>
        <w:t xml:space="preserve">the </w:t>
      </w:r>
      <w:r w:rsidR="007A19A4">
        <w:rPr>
          <w:rFonts w:ascii="Times New Roman" w:hAnsi="Times New Roman"/>
        </w:rPr>
        <w:t>compli</w:t>
      </w:r>
      <w:r w:rsidR="00E2046B">
        <w:rPr>
          <w:rFonts w:ascii="Times New Roman" w:hAnsi="Times New Roman"/>
        </w:rPr>
        <w:t>a</w:t>
      </w:r>
      <w:r w:rsidR="007A19A4">
        <w:rPr>
          <w:rFonts w:ascii="Times New Roman" w:hAnsi="Times New Roman"/>
        </w:rPr>
        <w:t xml:space="preserve">nce of the </w:t>
      </w:r>
      <w:r>
        <w:rPr>
          <w:rFonts w:ascii="Times New Roman" w:hAnsi="Times New Roman"/>
        </w:rPr>
        <w:t>registered entity’s</w:t>
      </w:r>
      <w:r w:rsidR="007A19A4">
        <w:rPr>
          <w:rFonts w:ascii="Times New Roman" w:hAnsi="Times New Roman"/>
        </w:rPr>
        <w:t xml:space="preserve"> product or rule </w:t>
      </w:r>
      <w:r>
        <w:rPr>
          <w:rFonts w:ascii="Times New Roman" w:hAnsi="Times New Roman"/>
        </w:rPr>
        <w:t xml:space="preserve">with the </w:t>
      </w:r>
      <w:r w:rsidR="002B49FB">
        <w:rPr>
          <w:rFonts w:ascii="Times New Roman" w:hAnsi="Times New Roman"/>
        </w:rPr>
        <w:t>CEA</w:t>
      </w:r>
      <w:r>
        <w:rPr>
          <w:rFonts w:ascii="Times New Roman" w:hAnsi="Times New Roman"/>
        </w:rPr>
        <w:t xml:space="preserve"> and regulations.</w:t>
      </w:r>
    </w:p>
    <w:p w:rsidR="00B43B0C" w:rsidP="00B43B0C" w14:paraId="776786EF" w14:textId="4AAD3801">
      <w:pPr>
        <w:spacing w:after="240"/>
        <w:ind w:firstLine="720"/>
        <w:rPr>
          <w:rFonts w:ascii="Times New Roman" w:hAnsi="Times New Roman"/>
        </w:rPr>
      </w:pPr>
      <w:r>
        <w:rPr>
          <w:rFonts w:ascii="Times New Roman" w:hAnsi="Times New Roman"/>
        </w:rPr>
        <w:t>For new products, registered entities</w:t>
      </w:r>
      <w:r w:rsidR="002B49FB">
        <w:rPr>
          <w:rFonts w:ascii="Times New Roman" w:hAnsi="Times New Roman"/>
        </w:rPr>
        <w:t xml:space="preserve"> </w:t>
      </w:r>
      <w:r>
        <w:rPr>
          <w:rFonts w:ascii="Times New Roman" w:hAnsi="Times New Roman"/>
        </w:rPr>
        <w:t xml:space="preserve">must submit information complying with </w:t>
      </w:r>
      <w:r w:rsidRPr="00DE6D8D">
        <w:rPr>
          <w:rFonts w:ascii="Times New Roman" w:hAnsi="Times New Roman"/>
        </w:rPr>
        <w:t>either</w:t>
      </w:r>
      <w:r>
        <w:rPr>
          <w:rFonts w:ascii="Times New Roman" w:hAnsi="Times New Roman"/>
        </w:rPr>
        <w:t xml:space="preserve"> § 40.2</w:t>
      </w:r>
      <w:r w:rsidR="002B49FB">
        <w:rPr>
          <w:rFonts w:ascii="Times New Roman" w:hAnsi="Times New Roman"/>
        </w:rPr>
        <w:t xml:space="preserve"> (self-certification)</w:t>
      </w:r>
      <w:r>
        <w:rPr>
          <w:rFonts w:ascii="Times New Roman" w:hAnsi="Times New Roman"/>
        </w:rPr>
        <w:t xml:space="preserve"> or</w:t>
      </w:r>
      <w:r w:rsidR="005C7654">
        <w:rPr>
          <w:rFonts w:ascii="Times New Roman" w:hAnsi="Times New Roman"/>
        </w:rPr>
        <w:t xml:space="preserve"> </w:t>
      </w:r>
      <w:r>
        <w:rPr>
          <w:rFonts w:ascii="Times New Roman" w:hAnsi="Times New Roman"/>
        </w:rPr>
        <w:t xml:space="preserve">§ 40.3 </w:t>
      </w:r>
      <w:r w:rsidR="002B49FB">
        <w:rPr>
          <w:rFonts w:ascii="Times New Roman" w:hAnsi="Times New Roman"/>
        </w:rPr>
        <w:t xml:space="preserve">(voluntary submission for Commission approval).  Both provisions require that the registered entity submit </w:t>
      </w:r>
      <w:r w:rsidR="00DE6D8D">
        <w:rPr>
          <w:rFonts w:ascii="Times New Roman" w:hAnsi="Times New Roman"/>
        </w:rPr>
        <w:t xml:space="preserve">an </w:t>
      </w:r>
      <w:r w:rsidR="002B49FB">
        <w:rPr>
          <w:rFonts w:ascii="Times New Roman" w:hAnsi="Times New Roman"/>
        </w:rPr>
        <w:t>explanation and analysis of the product</w:t>
      </w:r>
      <w:r w:rsidR="004C6742">
        <w:rPr>
          <w:rFonts w:ascii="Times New Roman" w:hAnsi="Times New Roman"/>
        </w:rPr>
        <w:t xml:space="preserve"> </w:t>
      </w:r>
      <w:r w:rsidRPr="004C6742" w:rsidR="004C6742">
        <w:rPr>
          <w:rFonts w:ascii="Times New Roman" w:hAnsi="Times New Roman"/>
        </w:rPr>
        <w:t>and its compliance with applicable provisions of the Act, including core principles, and the Commission’s regulations thereunder</w:t>
      </w:r>
      <w:r w:rsidR="002B49FB">
        <w:rPr>
          <w:rFonts w:ascii="Times New Roman" w:hAnsi="Times New Roman"/>
        </w:rPr>
        <w:t xml:space="preserve">.  </w:t>
      </w:r>
      <w:r>
        <w:rPr>
          <w:rFonts w:ascii="Times New Roman" w:hAnsi="Times New Roman"/>
        </w:rPr>
        <w:t>For rules and rule</w:t>
      </w:r>
      <w:r w:rsidR="00736814">
        <w:rPr>
          <w:rFonts w:ascii="Times New Roman" w:hAnsi="Times New Roman"/>
        </w:rPr>
        <w:t xml:space="preserve"> amendment</w:t>
      </w:r>
      <w:r>
        <w:rPr>
          <w:rFonts w:ascii="Times New Roman" w:hAnsi="Times New Roman"/>
        </w:rPr>
        <w:t>s</w:t>
      </w:r>
      <w:r w:rsidR="00351B43">
        <w:rPr>
          <w:rFonts w:ascii="Times New Roman" w:hAnsi="Times New Roman"/>
        </w:rPr>
        <w:t xml:space="preserve"> (including rules and rule amendments</w:t>
      </w:r>
      <w:r>
        <w:rPr>
          <w:rFonts w:ascii="Times New Roman" w:hAnsi="Times New Roman"/>
        </w:rPr>
        <w:t xml:space="preserve"> implementing changes to the terms and conditions of products</w:t>
      </w:r>
      <w:r w:rsidR="00351B43">
        <w:rPr>
          <w:rFonts w:ascii="Times New Roman" w:hAnsi="Times New Roman"/>
        </w:rPr>
        <w:t>)</w:t>
      </w:r>
      <w:r>
        <w:rPr>
          <w:rFonts w:ascii="Times New Roman" w:hAnsi="Times New Roman"/>
        </w:rPr>
        <w:t xml:space="preserve">, registered entities must comply with </w:t>
      </w:r>
      <w:r w:rsidRPr="003E3804">
        <w:rPr>
          <w:rFonts w:ascii="Times New Roman" w:hAnsi="Times New Roman"/>
        </w:rPr>
        <w:t>either</w:t>
      </w:r>
      <w:r>
        <w:rPr>
          <w:rFonts w:ascii="Times New Roman" w:hAnsi="Times New Roman"/>
        </w:rPr>
        <w:t xml:space="preserve"> § 40.5 </w:t>
      </w:r>
      <w:r w:rsidR="003E3804">
        <w:rPr>
          <w:rFonts w:ascii="Times New Roman" w:hAnsi="Times New Roman"/>
        </w:rPr>
        <w:t xml:space="preserve">(voluntary submission for Commission approval) </w:t>
      </w:r>
      <w:r>
        <w:rPr>
          <w:rFonts w:ascii="Times New Roman" w:hAnsi="Times New Roman"/>
        </w:rPr>
        <w:t>or § 40.6</w:t>
      </w:r>
      <w:r w:rsidR="003E3804">
        <w:rPr>
          <w:rFonts w:ascii="Times New Roman" w:hAnsi="Times New Roman"/>
        </w:rPr>
        <w:t xml:space="preserve"> (self-certification)</w:t>
      </w:r>
      <w:r>
        <w:rPr>
          <w:rFonts w:ascii="Times New Roman" w:hAnsi="Times New Roman"/>
        </w:rPr>
        <w:t xml:space="preserve"> </w:t>
      </w:r>
      <w:r w:rsidR="003E3804">
        <w:rPr>
          <w:rFonts w:ascii="Times New Roman" w:hAnsi="Times New Roman"/>
        </w:rPr>
        <w:t>by submitting an explanation and analysis of the</w:t>
      </w:r>
      <w:r w:rsidRPr="004C6742" w:rsidR="004C6742">
        <w:rPr>
          <w:rFonts w:ascii="Times New Roman" w:hAnsi="Times New Roman"/>
        </w:rPr>
        <w:t xml:space="preserve"> operation, purpose and effect of the proposed rule or rule amendment and its compliance with applicable provisions of the Act, including core principles, and the Commission’s regulations thereunder</w:t>
      </w:r>
      <w:r w:rsidR="003E3804">
        <w:rPr>
          <w:rFonts w:ascii="Times New Roman" w:hAnsi="Times New Roman"/>
        </w:rPr>
        <w:t xml:space="preserve">. </w:t>
      </w:r>
    </w:p>
    <w:p w:rsidR="00127E98" w:rsidP="00367BAA" w14:paraId="0A1FDEFD" w14:textId="1AE47A0B">
      <w:pPr>
        <w:pStyle w:val="Default"/>
        <w:ind w:firstLine="720"/>
        <w:rPr>
          <w:rFonts w:ascii="Times New Roman" w:hAnsi="Times New Roman"/>
        </w:rPr>
      </w:pPr>
      <w:r>
        <w:rPr>
          <w:rFonts w:ascii="Times New Roman" w:hAnsi="Times New Roman"/>
        </w:rPr>
        <w:t>Receiving the information that t</w:t>
      </w:r>
      <w:r w:rsidR="00B43B0C">
        <w:rPr>
          <w:rFonts w:ascii="Times New Roman" w:hAnsi="Times New Roman"/>
        </w:rPr>
        <w:t>hese regulations</w:t>
      </w:r>
      <w:r>
        <w:rPr>
          <w:rFonts w:ascii="Times New Roman" w:hAnsi="Times New Roman"/>
        </w:rPr>
        <w:t xml:space="preserve"> require registered </w:t>
      </w:r>
      <w:r w:rsidR="005C208E">
        <w:rPr>
          <w:rFonts w:ascii="Times New Roman" w:hAnsi="Times New Roman"/>
        </w:rPr>
        <w:t>entities</w:t>
      </w:r>
      <w:r>
        <w:rPr>
          <w:rFonts w:ascii="Times New Roman" w:hAnsi="Times New Roman"/>
        </w:rPr>
        <w:t xml:space="preserve"> to submit to the Commission in connection with implementing new rules and listing new products is essential</w:t>
      </w:r>
      <w:r w:rsidR="00B43B0C">
        <w:rPr>
          <w:rFonts w:ascii="Times New Roman" w:hAnsi="Times New Roman"/>
        </w:rPr>
        <w:t xml:space="preserve"> to the Commission’s administration of the Act</w:t>
      </w:r>
      <w:r>
        <w:rPr>
          <w:rFonts w:ascii="Times New Roman" w:hAnsi="Times New Roman"/>
        </w:rPr>
        <w:t>. Staff generally uses the information submitted by the registered entity to independently analyze the compliance of the registered entity’s product or rule with the CEA and regulations</w:t>
      </w:r>
      <w:r w:rsidR="00B43B0C">
        <w:rPr>
          <w:rFonts w:ascii="Times New Roman" w:hAnsi="Times New Roman"/>
        </w:rPr>
        <w:t xml:space="preserve"> which requires </w:t>
      </w:r>
      <w:r w:rsidR="00AB0775">
        <w:rPr>
          <w:rFonts w:ascii="Times New Roman" w:hAnsi="Times New Roman"/>
        </w:rPr>
        <w:t>that</w:t>
      </w:r>
      <w:r w:rsidR="00B43B0C">
        <w:rPr>
          <w:rFonts w:ascii="Times New Roman" w:hAnsi="Times New Roman"/>
        </w:rPr>
        <w:t xml:space="preserve">, among other things, </w:t>
      </w:r>
      <w:r w:rsidR="00AB0775">
        <w:rPr>
          <w:rFonts w:ascii="Times New Roman" w:hAnsi="Times New Roman"/>
        </w:rPr>
        <w:t xml:space="preserve">all contracts listed for trading be </w:t>
      </w:r>
      <w:r w:rsidR="00B43B0C">
        <w:rPr>
          <w:rFonts w:ascii="Times New Roman" w:hAnsi="Times New Roman"/>
        </w:rPr>
        <w:t xml:space="preserve">not </w:t>
      </w:r>
      <w:r w:rsidR="00AB0775">
        <w:rPr>
          <w:rFonts w:ascii="Times New Roman" w:hAnsi="Times New Roman"/>
        </w:rPr>
        <w:t xml:space="preserve">readily </w:t>
      </w:r>
      <w:r w:rsidR="00B43B0C">
        <w:rPr>
          <w:rFonts w:ascii="Times New Roman" w:hAnsi="Times New Roman"/>
        </w:rPr>
        <w:t xml:space="preserve">susceptible to manipulation.  </w:t>
      </w:r>
      <w:r w:rsidR="00C12863">
        <w:rPr>
          <w:rFonts w:ascii="Times New Roman" w:hAnsi="Times New Roman"/>
        </w:rPr>
        <w:t xml:space="preserve">Without the registered entity submitting the information required by part 40 (which for products includes </w:t>
      </w:r>
      <w:r w:rsidR="00D136A4">
        <w:rPr>
          <w:rFonts w:ascii="Times New Roman" w:hAnsi="Times New Roman"/>
        </w:rPr>
        <w:t>information</w:t>
      </w:r>
      <w:r w:rsidR="00C12863">
        <w:rPr>
          <w:rFonts w:ascii="Times New Roman" w:hAnsi="Times New Roman"/>
        </w:rPr>
        <w:t xml:space="preserve"> related to pr</w:t>
      </w:r>
      <w:r w:rsidR="00B43B0C">
        <w:rPr>
          <w:rFonts w:ascii="Times New Roman" w:hAnsi="Times New Roman"/>
        </w:rPr>
        <w:t>ices and pricing sources</w:t>
      </w:r>
      <w:r w:rsidR="00C12863">
        <w:rPr>
          <w:rFonts w:ascii="Times New Roman" w:hAnsi="Times New Roman"/>
        </w:rPr>
        <w:t>)</w:t>
      </w:r>
      <w:r w:rsidR="00B43B0C">
        <w:rPr>
          <w:rFonts w:ascii="Times New Roman" w:hAnsi="Times New Roman"/>
        </w:rPr>
        <w:t>, the Commission c</w:t>
      </w:r>
      <w:r w:rsidR="00C12863">
        <w:rPr>
          <w:rFonts w:ascii="Times New Roman" w:hAnsi="Times New Roman"/>
        </w:rPr>
        <w:t xml:space="preserve">ould </w:t>
      </w:r>
      <w:r w:rsidR="00B43B0C">
        <w:rPr>
          <w:rFonts w:ascii="Times New Roman" w:hAnsi="Times New Roman"/>
        </w:rPr>
        <w:t>not effectively exercise its oversight responsibilities under the Act.</w:t>
      </w:r>
      <w:r w:rsidR="00C12863">
        <w:rPr>
          <w:rFonts w:ascii="Times New Roman" w:hAnsi="Times New Roman"/>
        </w:rPr>
        <w:br/>
      </w:r>
    </w:p>
    <w:p w:rsidR="00C05C3F" w:rsidRPr="00857487" w:rsidP="0086314E" w14:paraId="03BA420B" w14:textId="77777777">
      <w:pPr>
        <w:keepNext/>
        <w:numPr>
          <w:ilvl w:val="0"/>
          <w:numId w:val="3"/>
        </w:numPr>
        <w:tabs>
          <w:tab w:val="left" w:pos="-720"/>
          <w:tab w:val="left" w:pos="0"/>
        </w:tabs>
        <w:suppressAutoHyphens/>
        <w:spacing w:after="240"/>
        <w:ind w:hanging="720"/>
        <w:rPr>
          <w:rFonts w:ascii="Times New Roman" w:hAnsi="Times New Roman"/>
          <w:u w:val="single"/>
        </w:rPr>
      </w:pPr>
      <w:r w:rsidRPr="00857487">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w:t>
      </w:r>
      <w:r w:rsidRPr="00857487">
        <w:rPr>
          <w:rFonts w:ascii="Times New Roman" w:hAnsi="Times New Roman"/>
          <w:b/>
          <w:i/>
        </w:rPr>
        <w:t>e.g.</w:t>
      </w:r>
      <w:r w:rsidRPr="00857487">
        <w:rPr>
          <w:rFonts w:ascii="Times New Roman" w:hAnsi="Times New Roman"/>
          <w:b/>
        </w:rPr>
        <w:t>, permitting electronic submission of responses, and the basis for the decision for adopting this means of collection.  Also describe any consideration of using information technology to reduce burden.</w:t>
      </w:r>
    </w:p>
    <w:p w:rsidR="00E42401" w:rsidP="00727837" w14:paraId="1B8440F8" w14:textId="7F4AC5B6">
      <w:pPr>
        <w:pStyle w:val="Default"/>
        <w:keepNext/>
        <w:spacing w:after="240"/>
        <w:ind w:firstLine="720"/>
        <w:rPr>
          <w:rFonts w:ascii="Times New Roman" w:hAnsi="Times New Roman"/>
        </w:rPr>
      </w:pPr>
      <w:r w:rsidRPr="00D468FE">
        <w:rPr>
          <w:rFonts w:ascii="Times New Roman" w:hAnsi="Times New Roman"/>
        </w:rPr>
        <w:t xml:space="preserve">The Commission is committed to utilizing technology in order to reduce reporting burdens for respondents.  </w:t>
      </w:r>
      <w:r>
        <w:rPr>
          <w:rFonts w:ascii="Times New Roman" w:hAnsi="Times New Roman"/>
        </w:rPr>
        <w:t xml:space="preserve">The Commission’s regulations require all submissions </w:t>
      </w:r>
      <w:r w:rsidR="00C54780">
        <w:rPr>
          <w:rFonts w:ascii="Times New Roman" w:hAnsi="Times New Roman"/>
        </w:rPr>
        <w:t xml:space="preserve">under Part 40 </w:t>
      </w:r>
      <w:r>
        <w:rPr>
          <w:rFonts w:ascii="Times New Roman" w:hAnsi="Times New Roman"/>
        </w:rPr>
        <w:t>to be submitted to the Commission electronically</w:t>
      </w:r>
      <w:r w:rsidR="00857487">
        <w:rPr>
          <w:rFonts w:ascii="Times New Roman" w:hAnsi="Times New Roman"/>
        </w:rPr>
        <w:t xml:space="preserve"> via a web portal on the Commission’s website at cftc.gov</w:t>
      </w:r>
      <w:r>
        <w:rPr>
          <w:rFonts w:ascii="Times New Roman" w:hAnsi="Times New Roman"/>
        </w:rPr>
        <w:t xml:space="preserve">.  The Commission intends to continue its practice of publishing all incoming </w:t>
      </w:r>
      <w:r>
        <w:rPr>
          <w:rFonts w:ascii="Times New Roman" w:hAnsi="Times New Roman"/>
        </w:rPr>
        <w:t>submissions on its website</w:t>
      </w:r>
      <w:r w:rsidR="00857487">
        <w:rPr>
          <w:rFonts w:ascii="Times New Roman" w:hAnsi="Times New Roman"/>
        </w:rPr>
        <w:t xml:space="preserve">, which </w:t>
      </w:r>
      <w:r>
        <w:rPr>
          <w:rFonts w:ascii="Times New Roman" w:hAnsi="Times New Roman"/>
        </w:rPr>
        <w:t xml:space="preserve">expedites public review of submissions.  </w:t>
      </w:r>
      <w:r w:rsidRPr="00D468FE">
        <w:rPr>
          <w:rFonts w:ascii="Times New Roman" w:hAnsi="Times New Roman"/>
        </w:rPr>
        <w:t>The Commission anticipates that 100% of the collection of information will be submitted electronically.</w:t>
      </w:r>
    </w:p>
    <w:p w:rsidR="00C05C3F" w:rsidRPr="00857487" w:rsidP="0086314E" w14:paraId="3BBD1A93" w14:textId="77777777">
      <w:pPr>
        <w:numPr>
          <w:ilvl w:val="0"/>
          <w:numId w:val="3"/>
        </w:numPr>
        <w:tabs>
          <w:tab w:val="left" w:pos="-720"/>
          <w:tab w:val="left" w:pos="0"/>
        </w:tabs>
        <w:suppressAutoHyphens/>
        <w:spacing w:after="240"/>
        <w:ind w:hanging="720"/>
        <w:rPr>
          <w:rFonts w:ascii="Times New Roman" w:hAnsi="Times New Roman"/>
        </w:rPr>
      </w:pPr>
      <w:r w:rsidRPr="00857487">
        <w:rPr>
          <w:rFonts w:ascii="Times New Roman" w:hAnsi="Times New Roman"/>
          <w:b/>
        </w:rPr>
        <w:t>Describe efforts to identify duplication.  Show specifically why any similar information already available cannot be used or modified for use for the purposes described in Item 2 above.</w:t>
      </w:r>
    </w:p>
    <w:p w:rsidR="00C05C3F" w:rsidP="00B55465" w14:paraId="60B140E2" w14:textId="12D9DA15">
      <w:pPr>
        <w:pStyle w:val="Default"/>
        <w:spacing w:after="240"/>
        <w:ind w:firstLine="720"/>
        <w:rPr>
          <w:rFonts w:ascii="Times New Roman" w:hAnsi="Times New Roman"/>
        </w:rPr>
      </w:pPr>
      <w:r>
        <w:rPr>
          <w:rFonts w:ascii="Times New Roman" w:hAnsi="Times New Roman"/>
        </w:rPr>
        <w:t xml:space="preserve">The </w:t>
      </w:r>
      <w:r w:rsidR="00FA1308">
        <w:rPr>
          <w:rFonts w:ascii="Times New Roman" w:hAnsi="Times New Roman"/>
        </w:rPr>
        <w:t>CEA</w:t>
      </w:r>
      <w:r w:rsidR="00915AB0">
        <w:rPr>
          <w:rFonts w:ascii="Times New Roman" w:hAnsi="Times New Roman"/>
        </w:rPr>
        <w:t xml:space="preserve"> and </w:t>
      </w:r>
      <w:r>
        <w:rPr>
          <w:rFonts w:ascii="Times New Roman" w:hAnsi="Times New Roman"/>
        </w:rPr>
        <w:t>regulations require registered entities to submit certain information—product terms and conditions, explanations of the cash market and other aspects of the product and its compliance with applicable law, rule changes and explanations of the operation, purpose and effect of such changes, and notices of certain risk management rules</w:t>
      </w:r>
      <w:r w:rsidR="00CC5AD5">
        <w:rPr>
          <w:rFonts w:ascii="Times New Roman" w:hAnsi="Times New Roman"/>
        </w:rPr>
        <w:t>—</w:t>
      </w:r>
      <w:r>
        <w:rPr>
          <w:rFonts w:ascii="Times New Roman" w:hAnsi="Times New Roman"/>
        </w:rPr>
        <w:t>that is not available from any other source and generally is specific to the registered entity.</w:t>
      </w:r>
    </w:p>
    <w:p w:rsidR="00C05C3F" w:rsidRPr="00857487" w:rsidP="0086314E" w14:paraId="0B1302E2" w14:textId="77B763EF">
      <w:pPr>
        <w:numPr>
          <w:ilvl w:val="0"/>
          <w:numId w:val="3"/>
        </w:numPr>
        <w:tabs>
          <w:tab w:val="left" w:pos="-720"/>
          <w:tab w:val="left" w:pos="0"/>
        </w:tabs>
        <w:suppressAutoHyphens/>
        <w:spacing w:after="240"/>
        <w:ind w:hanging="720"/>
        <w:rPr>
          <w:rFonts w:ascii="Times New Roman" w:hAnsi="Times New Roman"/>
        </w:rPr>
      </w:pPr>
      <w:r w:rsidRPr="00857487">
        <w:rPr>
          <w:rFonts w:ascii="Times New Roman" w:hAnsi="Times New Roman"/>
          <w:b/>
        </w:rPr>
        <w:t xml:space="preserve">If the collection of information involves small business or other small entities (Item 5 of OMB </w:t>
      </w:r>
      <w:r w:rsidRPr="00857487" w:rsidR="00857487">
        <w:rPr>
          <w:rFonts w:ascii="Times New Roman" w:hAnsi="Times New Roman"/>
          <w:b/>
        </w:rPr>
        <w:t xml:space="preserve">Form </w:t>
      </w:r>
      <w:r w:rsidRPr="00857487">
        <w:rPr>
          <w:rFonts w:ascii="Times New Roman" w:hAnsi="Times New Roman"/>
          <w:b/>
        </w:rPr>
        <w:t>83-I), describe the methods used to minimize burden.</w:t>
      </w:r>
    </w:p>
    <w:p w:rsidR="00482A98" w:rsidRPr="00482A98" w:rsidP="00B55465" w14:paraId="73625757" w14:textId="1DEBB34B">
      <w:pPr>
        <w:pStyle w:val="Default"/>
        <w:spacing w:after="240"/>
        <w:ind w:firstLine="720"/>
        <w:rPr>
          <w:rFonts w:ascii="Times New Roman" w:hAnsi="Times New Roman"/>
        </w:rPr>
      </w:pPr>
      <w:r>
        <w:rPr>
          <w:rFonts w:ascii="Times New Roman" w:hAnsi="Times New Roman"/>
        </w:rPr>
        <w:t xml:space="preserve">The collection of information does not involve small businesses or other small entities.  </w:t>
      </w:r>
      <w:r w:rsidRPr="00D468FE">
        <w:rPr>
          <w:rFonts w:ascii="Times New Roman" w:hAnsi="Times New Roman"/>
        </w:rPr>
        <w:t xml:space="preserve">The Commission has </w:t>
      </w:r>
      <w:r>
        <w:rPr>
          <w:rFonts w:ascii="Times New Roman" w:hAnsi="Times New Roman"/>
        </w:rPr>
        <w:t xml:space="preserve">previously </w:t>
      </w:r>
      <w:r w:rsidRPr="00D468FE">
        <w:rPr>
          <w:rFonts w:ascii="Times New Roman" w:hAnsi="Times New Roman"/>
        </w:rPr>
        <w:t xml:space="preserve">determined </w:t>
      </w:r>
      <w:r>
        <w:rPr>
          <w:rFonts w:ascii="Times New Roman" w:hAnsi="Times New Roman"/>
        </w:rPr>
        <w:t xml:space="preserve">that the </w:t>
      </w:r>
      <w:r w:rsidRPr="009B5EB0">
        <w:rPr>
          <w:rFonts w:ascii="Times New Roman" w:hAnsi="Times New Roman" w:cs="Times New Roman"/>
        </w:rPr>
        <w:t>registered entities</w:t>
      </w:r>
      <w:r>
        <w:rPr>
          <w:rFonts w:ascii="Times New Roman" w:hAnsi="Times New Roman" w:cs="Times New Roman"/>
        </w:rPr>
        <w:t xml:space="preserve"> subject to Part 40, including designated contract markets, swap execution facilities, derivatives clearing organizations, and swap data repositories,</w:t>
      </w:r>
      <w:r w:rsidRPr="00D468FE">
        <w:rPr>
          <w:rFonts w:ascii="Times New Roman" w:hAnsi="Times New Roman"/>
        </w:rPr>
        <w:t xml:space="preserve"> are not small entities for purposes of the Regulatory Flexibility Act.</w:t>
      </w:r>
    </w:p>
    <w:p w:rsidR="00C05C3F" w:rsidRPr="00857487" w:rsidP="0086314E" w14:paraId="1EBD8A23" w14:textId="77777777">
      <w:pPr>
        <w:numPr>
          <w:ilvl w:val="0"/>
          <w:numId w:val="3"/>
        </w:numPr>
        <w:tabs>
          <w:tab w:val="left" w:pos="-720"/>
          <w:tab w:val="left" w:pos="0"/>
        </w:tabs>
        <w:suppressAutoHyphens/>
        <w:spacing w:after="240"/>
        <w:ind w:hanging="720"/>
        <w:rPr>
          <w:rFonts w:ascii="Times New Roman" w:hAnsi="Times New Roman"/>
          <w:u w:val="single"/>
        </w:rPr>
      </w:pPr>
      <w:r w:rsidRPr="00857487">
        <w:rPr>
          <w:rFonts w:ascii="Times New Roman" w:hAnsi="Times New Roman"/>
          <w:b/>
        </w:rPr>
        <w:t>Describe the consequence to the Federal Program or policy activities if the collection were conducted less frequently as well as any technical or legal obstacles to reducing burden.</w:t>
      </w:r>
    </w:p>
    <w:p w:rsidR="00C05C3F" w:rsidP="00B55465" w14:paraId="686918FC" w14:textId="728FC3AF">
      <w:pPr>
        <w:pStyle w:val="Default"/>
        <w:spacing w:after="240"/>
        <w:ind w:firstLine="720"/>
        <w:rPr>
          <w:rFonts w:ascii="Times New Roman" w:hAnsi="Times New Roman"/>
        </w:rPr>
      </w:pPr>
      <w:r w:rsidRPr="00113EB0">
        <w:rPr>
          <w:rFonts w:ascii="Times New Roman" w:hAnsi="Times New Roman"/>
        </w:rPr>
        <w:t xml:space="preserve">The Commission’s Part 40 regulations do not require the submission of information on a periodic basis.  Rather, submissions are required only at such time that registered entities seek to list new products or adopt new rules or rule amendments.  The frequency of the required submissions depends on the frequency that registered entities seek to take one or more actions that require a filing with the Commission.  </w:t>
      </w:r>
      <w:r w:rsidR="002B3973">
        <w:rPr>
          <w:rFonts w:ascii="Times New Roman" w:hAnsi="Times New Roman"/>
        </w:rPr>
        <w:t>Without contemporaneous submission of the information, the Commission could not adequately review the product or rule</w:t>
      </w:r>
      <w:r w:rsidR="004D6B69">
        <w:rPr>
          <w:rFonts w:ascii="Times New Roman" w:hAnsi="Times New Roman"/>
        </w:rPr>
        <w:t xml:space="preserve"> in a timely manner</w:t>
      </w:r>
      <w:r w:rsidR="002B3973">
        <w:rPr>
          <w:rFonts w:ascii="Times New Roman" w:hAnsi="Times New Roman"/>
        </w:rPr>
        <w:t xml:space="preserve">, which would </w:t>
      </w:r>
      <w:r w:rsidR="00D468FE">
        <w:rPr>
          <w:rFonts w:ascii="Times New Roman" w:hAnsi="Times New Roman"/>
        </w:rPr>
        <w:t>undermine</w:t>
      </w:r>
      <w:r w:rsidR="002B3973">
        <w:rPr>
          <w:rFonts w:ascii="Times New Roman" w:hAnsi="Times New Roman"/>
        </w:rPr>
        <w:t xml:space="preserve"> the Commission’s statutory oversight.</w:t>
      </w:r>
    </w:p>
    <w:p w:rsidR="00C05C3F" w:rsidRPr="00915AB0" w:rsidP="0086314E" w14:paraId="22F06533" w14:textId="77777777">
      <w:pPr>
        <w:numPr>
          <w:ilvl w:val="0"/>
          <w:numId w:val="3"/>
        </w:numPr>
        <w:tabs>
          <w:tab w:val="left" w:pos="-720"/>
          <w:tab w:val="left" w:pos="0"/>
        </w:tabs>
        <w:suppressAutoHyphens/>
        <w:spacing w:after="240"/>
        <w:ind w:hanging="720"/>
        <w:rPr>
          <w:rFonts w:ascii="Times New Roman" w:hAnsi="Times New Roman"/>
          <w:u w:val="single"/>
        </w:rPr>
      </w:pPr>
      <w:r w:rsidRPr="00F9300C">
        <w:rPr>
          <w:rFonts w:ascii="Times New Roman" w:hAnsi="Times New Roman"/>
          <w:b/>
        </w:rPr>
        <w:t>Explain any special circumstances that require the collection to be conducted in a manner:</w:t>
      </w:r>
    </w:p>
    <w:p w:rsidR="00C05C3F" w:rsidP="00857487" w14:paraId="7B670D58" w14:textId="77777777">
      <w:pPr>
        <w:tabs>
          <w:tab w:val="left" w:pos="-720"/>
          <w:tab w:val="left" w:pos="0"/>
          <w:tab w:val="left" w:pos="720"/>
        </w:tabs>
        <w:suppressAutoHyphens/>
        <w:spacing w:after="240"/>
        <w:ind w:left="1440" w:hanging="1440"/>
        <w:rPr>
          <w:rFonts w:ascii="Times New Roman" w:hAnsi="Times New Roman"/>
          <w:u w:val="single"/>
        </w:rPr>
      </w:pPr>
      <w:r>
        <w:rPr>
          <w:rFonts w:ascii="Times New Roman" w:hAnsi="Times New Roman"/>
        </w:rPr>
        <w:tab/>
        <w:t>-</w:t>
      </w:r>
      <w:r>
        <w:rPr>
          <w:rFonts w:ascii="Times New Roman" w:hAnsi="Times New Roman"/>
        </w:rPr>
        <w:tab/>
      </w:r>
      <w:r w:rsidRPr="00F9300C">
        <w:rPr>
          <w:rFonts w:ascii="Times New Roman" w:hAnsi="Times New Roman"/>
          <w:b/>
        </w:rPr>
        <w:t>requiring respondents to report information to the agency more often than quarterly;</w:t>
      </w:r>
    </w:p>
    <w:p w:rsidR="00C05C3F" w:rsidP="00B55465" w14:paraId="3B77F589" w14:textId="77777777">
      <w:pPr>
        <w:pStyle w:val="Default"/>
        <w:spacing w:after="240"/>
        <w:ind w:firstLine="720"/>
        <w:rPr>
          <w:rFonts w:ascii="Times New Roman" w:hAnsi="Times New Roman"/>
        </w:rPr>
      </w:pPr>
      <w:r>
        <w:rPr>
          <w:rFonts w:ascii="Times New Roman" w:hAnsi="Times New Roman"/>
        </w:rPr>
        <w:t>This does not apply.</w:t>
      </w:r>
    </w:p>
    <w:p w:rsidR="00C05C3F" w:rsidRPr="00F9300C" w:rsidP="00857487" w14:paraId="04135952"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F9300C">
        <w:rPr>
          <w:rFonts w:ascii="Times New Roman" w:hAnsi="Times New Roman"/>
          <w:b/>
        </w:rPr>
        <w:t>requiring respondents to prepare a written response to a collection of information in fewer than 30 days after receipt of it;</w:t>
      </w:r>
    </w:p>
    <w:p w:rsidR="00C05C3F" w:rsidP="00B55465" w14:paraId="75565C61" w14:textId="77777777">
      <w:pPr>
        <w:pStyle w:val="Default"/>
        <w:spacing w:after="240"/>
        <w:ind w:firstLine="720"/>
        <w:rPr>
          <w:rFonts w:ascii="Times New Roman" w:hAnsi="Times New Roman"/>
        </w:rPr>
      </w:pPr>
      <w:r>
        <w:rPr>
          <w:rFonts w:ascii="Times New Roman" w:hAnsi="Times New Roman"/>
        </w:rPr>
        <w:t>This does not apply.</w:t>
      </w:r>
    </w:p>
    <w:p w:rsidR="00C05C3F" w:rsidP="00857487" w14:paraId="0D22DAEB"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F9300C">
        <w:rPr>
          <w:rFonts w:ascii="Times New Roman" w:hAnsi="Times New Roman"/>
          <w:b/>
        </w:rPr>
        <w:t>requiring respondents to submit more than an original and two copies of any document;</w:t>
      </w:r>
    </w:p>
    <w:p w:rsidR="00C05C3F" w:rsidP="00B55465" w14:paraId="0D352F95" w14:textId="77777777">
      <w:pPr>
        <w:pStyle w:val="Default"/>
        <w:spacing w:after="240"/>
        <w:ind w:firstLine="720"/>
        <w:rPr>
          <w:rFonts w:ascii="Times New Roman" w:hAnsi="Times New Roman"/>
        </w:rPr>
      </w:pPr>
      <w:r>
        <w:rPr>
          <w:rFonts w:ascii="Times New Roman" w:hAnsi="Times New Roman"/>
        </w:rPr>
        <w:t>This does not apply.</w:t>
      </w:r>
    </w:p>
    <w:p w:rsidR="00C05C3F" w:rsidP="00857487" w14:paraId="4C6F222C"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F9300C">
        <w:rPr>
          <w:rFonts w:ascii="Times New Roman" w:hAnsi="Times New Roman"/>
          <w:b/>
        </w:rPr>
        <w:t>requiring respondents to retain records other than health, medical, government contract, grant-in-aid, or tax records, for more than three years;</w:t>
      </w:r>
    </w:p>
    <w:p w:rsidR="00C05C3F" w:rsidP="00727837" w14:paraId="5E7ED0EB" w14:textId="7B3E3277">
      <w:pPr>
        <w:pStyle w:val="Default"/>
        <w:spacing w:after="240"/>
        <w:ind w:firstLine="720"/>
        <w:rPr>
          <w:rFonts w:ascii="Times New Roman" w:hAnsi="Times New Roman"/>
        </w:rPr>
      </w:pPr>
      <w:r w:rsidRPr="00563679">
        <w:rPr>
          <w:rFonts w:ascii="Times New Roman" w:hAnsi="Times New Roman"/>
        </w:rPr>
        <w:t>Commission Regulation 1.31 requires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w:t>
      </w:r>
    </w:p>
    <w:p w:rsidR="00C05C3F" w:rsidP="00857487" w14:paraId="4221A688"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F9300C">
        <w:rPr>
          <w:rFonts w:ascii="Times New Roman" w:hAnsi="Times New Roman"/>
          <w:b/>
        </w:rPr>
        <w:t>in connection with a statistical survey that is not designed to produce valid and reliable results that can be generalized to the universe of study;</w:t>
      </w:r>
    </w:p>
    <w:p w:rsidR="00C05C3F" w:rsidP="00B55465" w14:paraId="1FFE7D1C" w14:textId="77777777">
      <w:pPr>
        <w:pStyle w:val="Default"/>
        <w:spacing w:after="240"/>
        <w:ind w:firstLine="720"/>
        <w:rPr>
          <w:rFonts w:ascii="Times New Roman" w:hAnsi="Times New Roman"/>
        </w:rPr>
      </w:pPr>
      <w:r>
        <w:rPr>
          <w:rFonts w:ascii="Times New Roman" w:hAnsi="Times New Roman"/>
        </w:rPr>
        <w:t>This does not apply.</w:t>
      </w:r>
    </w:p>
    <w:p w:rsidR="00C05C3F" w:rsidP="00857487" w14:paraId="01125C83"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BA4016">
        <w:rPr>
          <w:rFonts w:ascii="Times New Roman" w:hAnsi="Times New Roman"/>
          <w:b/>
        </w:rPr>
        <w:t>requiring the use of a statistical data classification that has not been reviewed and approved by OMB;</w:t>
      </w:r>
    </w:p>
    <w:p w:rsidR="00C05C3F" w:rsidP="00857487" w14:paraId="3873D00D" w14:textId="77777777">
      <w:pPr>
        <w:tabs>
          <w:tab w:val="left" w:pos="-720"/>
        </w:tabs>
        <w:suppressAutoHyphens/>
        <w:spacing w:after="240"/>
        <w:ind w:firstLine="720"/>
        <w:rPr>
          <w:rFonts w:ascii="Times New Roman" w:hAnsi="Times New Roman"/>
        </w:rPr>
      </w:pPr>
      <w:r>
        <w:rPr>
          <w:rFonts w:ascii="Times New Roman" w:hAnsi="Times New Roman"/>
        </w:rPr>
        <w:t>This does not apply.</w:t>
      </w:r>
    </w:p>
    <w:p w:rsidR="00F62C02" w:rsidP="00857487" w14:paraId="4E0160FC" w14:textId="76CF50C5">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F9300C">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F9300C">
        <w:rPr>
          <w:rFonts w:ascii="Times New Roman" w:hAnsi="Times New Roman"/>
          <w:b/>
        </w:rPr>
        <w:t>; or</w:t>
      </w:r>
      <w:r w:rsidRPr="002D3FBF" w:rsidR="002D3FBF">
        <w:rPr>
          <w:rFonts w:ascii="Times New Roman" w:hAnsi="Times New Roman"/>
          <w:b/>
        </w:rPr>
        <w:t xml:space="preserve"> </w:t>
      </w:r>
      <w:r w:rsidRPr="00F9300C" w:rsidR="002D3FBF">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727837" w:rsidP="00727837" w14:paraId="0A5A79E6" w14:textId="5EDCA6D9">
      <w:pPr>
        <w:pStyle w:val="Default"/>
        <w:spacing w:after="240"/>
        <w:ind w:firstLine="720"/>
        <w:rPr>
          <w:rFonts w:ascii="Times New Roman" w:hAnsi="Times New Roman"/>
        </w:rPr>
      </w:pPr>
      <w:r>
        <w:rPr>
          <w:rFonts w:ascii="Times New Roman" w:hAnsi="Times New Roman"/>
        </w:rPr>
        <w:t xml:space="preserve">There </w:t>
      </w:r>
      <w:r w:rsidR="003C641E">
        <w:rPr>
          <w:rFonts w:ascii="Times New Roman" w:hAnsi="Times New Roman"/>
        </w:rPr>
        <w:t>is</w:t>
      </w:r>
      <w:r>
        <w:rPr>
          <w:rFonts w:ascii="Times New Roman" w:hAnsi="Times New Roman"/>
        </w:rPr>
        <w:t xml:space="preserve"> no</w:t>
      </w:r>
      <w:r w:rsidR="00C81087">
        <w:rPr>
          <w:rFonts w:ascii="Times New Roman" w:hAnsi="Times New Roman"/>
        </w:rPr>
        <w:t xml:space="preserve"> specific pledge of confidentiality with respect to the part 40 submissions.  </w:t>
      </w:r>
      <w:r w:rsidRPr="0071759C" w:rsidR="00C81087">
        <w:rPr>
          <w:rFonts w:ascii="Times New Roman" w:hAnsi="Times New Roman"/>
        </w:rPr>
        <w:t>The Commission protects sensitive information according to the Freedom of Information Act and 17 CFR part 145, “Commission Records and Information.”  In addition, the Commission fully complies with section 8(a) of the CEA, which strictly prohibits the Commission, unless specifically authorized by the CEA, from making public “data and information that would separately disclose the business transactions or market positions of any person and trade secrets or names of customers.”</w:t>
      </w:r>
    </w:p>
    <w:p w:rsidR="00C05C3F" w:rsidP="0086314E" w14:paraId="21E04FA6" w14:textId="7396AF48">
      <w:pPr>
        <w:numPr>
          <w:ilvl w:val="0"/>
          <w:numId w:val="3"/>
        </w:numPr>
        <w:tabs>
          <w:tab w:val="left" w:pos="-720"/>
          <w:tab w:val="left" w:pos="0"/>
        </w:tabs>
        <w:suppressAutoHyphens/>
        <w:spacing w:after="240"/>
        <w:ind w:hanging="720"/>
        <w:rPr>
          <w:rFonts w:ascii="Times New Roman" w:hAnsi="Times New Roman"/>
        </w:rPr>
      </w:pPr>
      <w:r w:rsidRPr="005B5FA8">
        <w:rPr>
          <w:rFonts w:ascii="Times New Roman" w:hAnsi="Times New Roman"/>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05C3F" w:rsidP="00857487" w14:paraId="342A8941" w14:textId="77777777">
      <w:pPr>
        <w:tabs>
          <w:tab w:val="left" w:pos="-720"/>
          <w:tab w:val="left" w:pos="0"/>
        </w:tabs>
        <w:suppressAutoHyphens/>
        <w:spacing w:after="240"/>
        <w:ind w:left="720" w:hanging="720"/>
        <w:rPr>
          <w:rFonts w:ascii="Times New Roman" w:hAnsi="Times New Roman"/>
          <w:u w:val="single"/>
        </w:rPr>
      </w:pPr>
      <w:r>
        <w:rPr>
          <w:rFonts w:ascii="Times New Roman" w:hAnsi="Times New Roman"/>
        </w:rPr>
        <w:tab/>
      </w:r>
      <w:r w:rsidRPr="005B5FA8">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5C3F" w:rsidP="00857487" w14:paraId="5FA0E750" w14:textId="77777777">
      <w:pPr>
        <w:tabs>
          <w:tab w:val="left" w:pos="-720"/>
          <w:tab w:val="left" w:pos="0"/>
        </w:tabs>
        <w:suppressAutoHyphens/>
        <w:spacing w:after="240"/>
        <w:ind w:left="720" w:hanging="720"/>
        <w:rPr>
          <w:rFonts w:ascii="Times New Roman" w:hAnsi="Times New Roman"/>
        </w:rPr>
      </w:pPr>
      <w:r>
        <w:rPr>
          <w:rFonts w:ascii="Times New Roman" w:hAnsi="Times New Roman"/>
        </w:rPr>
        <w:tab/>
      </w:r>
      <w:r w:rsidRPr="005B5FA8">
        <w:rPr>
          <w:rFonts w:ascii="Times New Roman" w:hAnsi="Times New Roman"/>
          <w:b/>
        </w:rPr>
        <w:t>Consultation with representatives of those from whom information is to be obtained or</w:t>
      </w:r>
      <w:bookmarkStart w:id="1" w:name="_GoBack"/>
      <w:bookmarkEnd w:id="1"/>
      <w:r w:rsidRPr="005B5FA8">
        <w:rPr>
          <w:rFonts w:ascii="Times New Roman" w:hAnsi="Times New Roman"/>
          <w:b/>
        </w:rPr>
        <w:t xml:space="preserve">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E407B5" w:rsidRPr="007B55D0" w:rsidP="00E407B5" w14:paraId="220B0D73" w14:textId="3B08706C">
      <w:pPr>
        <w:pStyle w:val="Default"/>
        <w:spacing w:after="240"/>
        <w:ind w:firstLine="720"/>
        <w:rPr>
          <w:rFonts w:ascii="Times New Roman" w:hAnsi="Times New Roman"/>
        </w:rPr>
      </w:pPr>
      <w:r w:rsidRPr="00E407B5">
        <w:rPr>
          <w:rFonts w:ascii="Times New Roman" w:hAnsi="Times New Roman"/>
        </w:rPr>
        <w:t xml:space="preserve">The Commission sought comment from the public concerning the renewal of </w:t>
      </w:r>
      <w:r>
        <w:rPr>
          <w:rFonts w:ascii="Times New Roman" w:hAnsi="Times New Roman"/>
        </w:rPr>
        <w:t>the</w:t>
      </w:r>
      <w:r w:rsidRPr="00E407B5">
        <w:rPr>
          <w:rFonts w:ascii="Times New Roman" w:hAnsi="Times New Roman"/>
        </w:rPr>
        <w:t xml:space="preserve"> collections of information </w:t>
      </w:r>
      <w:r>
        <w:rPr>
          <w:rFonts w:ascii="Times New Roman" w:hAnsi="Times New Roman"/>
        </w:rPr>
        <w:t>under Part 40</w:t>
      </w:r>
      <w:r w:rsidRPr="00E407B5">
        <w:rPr>
          <w:rFonts w:ascii="Times New Roman" w:hAnsi="Times New Roman"/>
        </w:rPr>
        <w:t xml:space="preserve">.  A copy of the solicitation of public comment </w:t>
      </w:r>
      <w:r w:rsidR="00563679">
        <w:rPr>
          <w:rFonts w:ascii="Times New Roman" w:hAnsi="Times New Roman"/>
        </w:rPr>
        <w:t>was published</w:t>
      </w:r>
      <w:r w:rsidRPr="00E407B5">
        <w:rPr>
          <w:rFonts w:ascii="Times New Roman" w:hAnsi="Times New Roman"/>
        </w:rPr>
        <w:t xml:space="preserve"> in the Federal Register at </w:t>
      </w:r>
      <w:r>
        <w:rPr>
          <w:rFonts w:ascii="Times New Roman" w:hAnsi="Times New Roman"/>
        </w:rPr>
        <w:t>88</w:t>
      </w:r>
      <w:r w:rsidRPr="00E407B5">
        <w:rPr>
          <w:rFonts w:ascii="Times New Roman" w:hAnsi="Times New Roman"/>
        </w:rPr>
        <w:t xml:space="preserve"> FR </w:t>
      </w:r>
      <w:r w:rsidR="006E7ED5">
        <w:rPr>
          <w:rFonts w:ascii="Times New Roman" w:hAnsi="Times New Roman"/>
        </w:rPr>
        <w:t>68112</w:t>
      </w:r>
      <w:r w:rsidRPr="00E407B5">
        <w:rPr>
          <w:rFonts w:ascii="Times New Roman" w:hAnsi="Times New Roman"/>
        </w:rPr>
        <w:t xml:space="preserve"> (</w:t>
      </w:r>
      <w:r w:rsidR="006E7ED5">
        <w:rPr>
          <w:rFonts w:ascii="Times New Roman" w:hAnsi="Times New Roman"/>
        </w:rPr>
        <w:t xml:space="preserve">Oct. 3 </w:t>
      </w:r>
      <w:r>
        <w:rPr>
          <w:rFonts w:ascii="Times New Roman" w:hAnsi="Times New Roman"/>
        </w:rPr>
        <w:t>2023</w:t>
      </w:r>
      <w:r w:rsidRPr="00E407B5">
        <w:rPr>
          <w:rFonts w:ascii="Times New Roman" w:hAnsi="Times New Roman"/>
        </w:rPr>
        <w:t>).  The Commission received no relevant comments that addressed its PRA burden estimates</w:t>
      </w:r>
      <w:r>
        <w:rPr>
          <w:rFonts w:ascii="Times New Roman" w:hAnsi="Times New Roman"/>
        </w:rPr>
        <w:t>.  In addition, the Commission maintains regular contact with regulated entities.</w:t>
      </w:r>
    </w:p>
    <w:p w:rsidR="00C05C3F" w:rsidP="0086314E" w14:paraId="5D1B7E1B" w14:textId="77777777">
      <w:pPr>
        <w:numPr>
          <w:ilvl w:val="0"/>
          <w:numId w:val="3"/>
        </w:numPr>
        <w:tabs>
          <w:tab w:val="left" w:pos="-720"/>
          <w:tab w:val="left" w:pos="0"/>
        </w:tabs>
        <w:suppressAutoHyphens/>
        <w:spacing w:after="240"/>
        <w:ind w:hanging="720"/>
        <w:rPr>
          <w:rFonts w:ascii="Times New Roman" w:hAnsi="Times New Roman"/>
        </w:rPr>
      </w:pPr>
      <w:r w:rsidRPr="005B5FA8">
        <w:rPr>
          <w:rFonts w:ascii="Times New Roman" w:hAnsi="Times New Roman"/>
          <w:b/>
        </w:rPr>
        <w:t>Explain any decision to provide any payment or gift to respondents, other than remuneration of contractors or grantees.</w:t>
      </w:r>
    </w:p>
    <w:p w:rsidR="00C05C3F" w:rsidP="00B55465" w14:paraId="02C1AA01" w14:textId="77777777">
      <w:pPr>
        <w:pStyle w:val="Default"/>
        <w:spacing w:after="240"/>
        <w:ind w:firstLine="720"/>
        <w:rPr>
          <w:rFonts w:ascii="Times New Roman" w:hAnsi="Times New Roman"/>
        </w:rPr>
      </w:pPr>
      <w:r>
        <w:rPr>
          <w:rFonts w:ascii="Times New Roman" w:hAnsi="Times New Roman"/>
        </w:rPr>
        <w:t>This question does not apply.</w:t>
      </w:r>
      <w:r w:rsidR="001D0F6C">
        <w:rPr>
          <w:rFonts w:ascii="Times New Roman" w:hAnsi="Times New Roman"/>
        </w:rPr>
        <w:t xml:space="preserve">  </w:t>
      </w:r>
      <w:r w:rsidRPr="001D0F6C" w:rsidR="001D0F6C">
        <w:rPr>
          <w:rFonts w:ascii="Times New Roman" w:hAnsi="Times New Roman"/>
        </w:rPr>
        <w:t>The Commission has neither considered nor made any payment or gift to a respondent.</w:t>
      </w:r>
    </w:p>
    <w:p w:rsidR="00C05C3F" w:rsidP="0086314E" w14:paraId="5AA393D2" w14:textId="77777777">
      <w:pPr>
        <w:numPr>
          <w:ilvl w:val="0"/>
          <w:numId w:val="3"/>
        </w:numPr>
        <w:tabs>
          <w:tab w:val="left" w:pos="-720"/>
          <w:tab w:val="left" w:pos="0"/>
        </w:tabs>
        <w:suppressAutoHyphens/>
        <w:spacing w:after="240"/>
        <w:ind w:hanging="720"/>
        <w:rPr>
          <w:rFonts w:ascii="Times New Roman" w:hAnsi="Times New Roman"/>
        </w:rPr>
      </w:pPr>
      <w:r w:rsidRPr="005B5FA8">
        <w:rPr>
          <w:rFonts w:ascii="Times New Roman" w:hAnsi="Times New Roman"/>
          <w:b/>
        </w:rPr>
        <w:t>Describe any assurance of confidentiality provided to respondents and the basis for the assurance in statute, regulations, or agency policy.</w:t>
      </w:r>
    </w:p>
    <w:p w:rsidR="00185A95" w:rsidP="00B55465" w14:paraId="506AC69E" w14:textId="77777777">
      <w:pPr>
        <w:pStyle w:val="Default"/>
        <w:spacing w:after="240"/>
        <w:ind w:firstLine="720"/>
        <w:rPr>
          <w:rFonts w:ascii="Times New Roman" w:hAnsi="Times New Roman"/>
        </w:rPr>
      </w:pPr>
      <w:r w:rsidRPr="00185A95">
        <w:rPr>
          <w:rFonts w:ascii="Times New Roman" w:hAnsi="Times New Roman"/>
        </w:rPr>
        <w:t>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C05C3F" w:rsidRPr="001D0F6C" w:rsidP="0086314E" w14:paraId="2B527863" w14:textId="77777777">
      <w:pPr>
        <w:numPr>
          <w:ilvl w:val="0"/>
          <w:numId w:val="3"/>
        </w:numPr>
        <w:tabs>
          <w:tab w:val="left" w:pos="-720"/>
          <w:tab w:val="left" w:pos="0"/>
        </w:tabs>
        <w:suppressAutoHyphens/>
        <w:spacing w:after="240"/>
        <w:ind w:hanging="720"/>
        <w:rPr>
          <w:rFonts w:ascii="Times New Roman" w:hAnsi="Times New Roman"/>
        </w:rPr>
      </w:pPr>
      <w:r w:rsidRPr="001D0F6C">
        <w:rPr>
          <w:rFonts w:ascii="Times New Roman" w:hAnsi="Times New Roman"/>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5C3F" w:rsidP="00B55465" w14:paraId="15E13167" w14:textId="0E60D3E4">
      <w:pPr>
        <w:pStyle w:val="Default"/>
        <w:spacing w:after="240"/>
        <w:ind w:firstLine="720"/>
        <w:rPr>
          <w:rFonts w:ascii="Times New Roman" w:hAnsi="Times New Roman"/>
        </w:rPr>
      </w:pPr>
      <w:r>
        <w:rPr>
          <w:rFonts w:ascii="Times New Roman" w:hAnsi="Times New Roman"/>
        </w:rPr>
        <w:t xml:space="preserve">The regulations covered by </w:t>
      </w:r>
      <w:r w:rsidR="00676ACA">
        <w:rPr>
          <w:rFonts w:ascii="Times New Roman" w:hAnsi="Times New Roman"/>
        </w:rPr>
        <w:t xml:space="preserve">this </w:t>
      </w:r>
      <w:r>
        <w:rPr>
          <w:rFonts w:ascii="Times New Roman" w:hAnsi="Times New Roman"/>
        </w:rPr>
        <w:t xml:space="preserve">collection do not require the </w:t>
      </w:r>
      <w:r w:rsidR="003258B1">
        <w:rPr>
          <w:rFonts w:ascii="Times New Roman" w:hAnsi="Times New Roman"/>
        </w:rPr>
        <w:t xml:space="preserve">provision </w:t>
      </w:r>
      <w:r>
        <w:rPr>
          <w:rFonts w:ascii="Times New Roman" w:hAnsi="Times New Roman"/>
        </w:rPr>
        <w:t>of sensitive information, as that term is used in Question 1</w:t>
      </w:r>
      <w:r w:rsidR="00142CD6">
        <w:rPr>
          <w:rFonts w:ascii="Times New Roman" w:hAnsi="Times New Roman"/>
        </w:rPr>
        <w:t>0</w:t>
      </w:r>
      <w:r>
        <w:rPr>
          <w:rFonts w:ascii="Times New Roman" w:hAnsi="Times New Roman"/>
        </w:rPr>
        <w:t>.</w:t>
      </w:r>
    </w:p>
    <w:p w:rsidR="00C05C3F" w:rsidRPr="00857487" w:rsidP="0086314E" w14:paraId="7B31022C" w14:textId="77777777">
      <w:pPr>
        <w:numPr>
          <w:ilvl w:val="0"/>
          <w:numId w:val="3"/>
        </w:numPr>
        <w:tabs>
          <w:tab w:val="left" w:pos="-720"/>
          <w:tab w:val="left" w:pos="0"/>
        </w:tabs>
        <w:suppressAutoHyphens/>
        <w:spacing w:after="240"/>
        <w:ind w:hanging="720"/>
        <w:rPr>
          <w:rFonts w:ascii="Times New Roman" w:hAnsi="Times New Roman"/>
        </w:rPr>
      </w:pPr>
      <w:r w:rsidRPr="00857487">
        <w:rPr>
          <w:rFonts w:ascii="Times New Roman" w:hAnsi="Times New Roman"/>
          <w:b/>
        </w:rPr>
        <w:t>Provide estimates of the hour burden of the collection of information.  The Statement should:</w:t>
      </w:r>
    </w:p>
    <w:p w:rsidR="00C05C3F" w:rsidRPr="004A301A" w:rsidP="00857487" w14:paraId="222D564F"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4A301A">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05C3F" w:rsidRPr="004A301A" w:rsidP="00857487" w14:paraId="4054E626" w14:textId="77777777">
      <w:pPr>
        <w:tabs>
          <w:tab w:val="left" w:pos="-720"/>
          <w:tab w:val="left" w:pos="0"/>
          <w:tab w:val="left" w:pos="720"/>
        </w:tabs>
        <w:suppressAutoHyphens/>
        <w:spacing w:after="240"/>
        <w:ind w:left="1440" w:hanging="1440"/>
        <w:rPr>
          <w:rFonts w:ascii="Times New Roman" w:hAnsi="Times New Roman"/>
          <w:b/>
        </w:rPr>
      </w:pPr>
      <w:r w:rsidRPr="004A301A">
        <w:rPr>
          <w:rFonts w:ascii="Times New Roman" w:hAnsi="Times New Roman"/>
          <w:b/>
        </w:rPr>
        <w:tab/>
        <w:t>-</w:t>
      </w:r>
      <w:r w:rsidRPr="004A301A">
        <w:rPr>
          <w:rFonts w:ascii="Times New Roman" w:hAnsi="Times New Roman"/>
          <w:b/>
        </w:rPr>
        <w:tab/>
        <w:t>If the request for approval covers more than one form, provide separate hour burden estimates for each form and aggregate the hour burdens in Item 13 of OMB Form 83-I.</w:t>
      </w:r>
    </w:p>
    <w:p w:rsidR="00C05C3F" w:rsidP="002E6DAA" w14:paraId="140E044B" w14:textId="77777777">
      <w:pPr>
        <w:tabs>
          <w:tab w:val="left" w:pos="-720"/>
          <w:tab w:val="left" w:pos="0"/>
          <w:tab w:val="left" w:pos="720"/>
        </w:tabs>
        <w:suppressAutoHyphens/>
        <w:spacing w:after="240"/>
        <w:ind w:left="1440" w:hanging="1440"/>
        <w:rPr>
          <w:rFonts w:ascii="Times New Roman" w:hAnsi="Times New Roman"/>
        </w:rPr>
      </w:pPr>
      <w:r w:rsidRPr="004A301A">
        <w:rPr>
          <w:rFonts w:ascii="Times New Roman" w:hAnsi="Times New Roman"/>
          <w:b/>
        </w:rPr>
        <w:tab/>
        <w:t>-</w:t>
      </w:r>
      <w:r w:rsidRPr="004A301A">
        <w:rPr>
          <w:rFonts w:ascii="Times New Roman" w:hAnsi="Times New Roman"/>
          <w:b/>
        </w:rPr>
        <w:tab/>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05C3F" w:rsidP="00B55465" w14:paraId="148C9D97" w14:textId="208434F0">
      <w:pPr>
        <w:pStyle w:val="Default"/>
        <w:spacing w:after="240"/>
        <w:ind w:firstLine="720"/>
        <w:rPr>
          <w:rFonts w:ascii="Times New Roman" w:hAnsi="Times New Roman"/>
        </w:rPr>
      </w:pPr>
      <w:r w:rsidRPr="00AB352B">
        <w:rPr>
          <w:rFonts w:ascii="Times New Roman" w:hAnsi="Times New Roman"/>
          <w:i/>
        </w:rPr>
        <w:t>See</w:t>
      </w:r>
      <w:r>
        <w:rPr>
          <w:rFonts w:ascii="Times New Roman" w:hAnsi="Times New Roman"/>
        </w:rPr>
        <w:t xml:space="preserve"> Attachment A.</w:t>
      </w:r>
      <w:r w:rsidR="002E6DAA">
        <w:rPr>
          <w:rFonts w:ascii="Times New Roman" w:hAnsi="Times New Roman"/>
        </w:rPr>
        <w:t xml:space="preserve">  </w:t>
      </w:r>
      <w:r w:rsidRPr="004A301A">
        <w:rPr>
          <w:rFonts w:ascii="Times New Roman" w:hAnsi="Times New Roman"/>
        </w:rPr>
        <w:t>In calculating this cost estimate, the Commission estimates the appropriate wage rate based on salary information for the securities industry compiled by the Department of Labor’s Bureau of Labor Statistics (“BLS”). Commission staff arrived at an hourly rate of $106.56</w:t>
      </w:r>
      <w:r>
        <w:rPr>
          <w:rFonts w:ascii="Times New Roman" w:hAnsi="Times New Roman"/>
        </w:rPr>
        <w:t xml:space="preserve"> </w:t>
      </w:r>
      <w:r w:rsidRPr="004A301A">
        <w:rPr>
          <w:rFonts w:ascii="Times New Roman" w:hAnsi="Times New Roman"/>
        </w:rPr>
        <w:t>using figures from a weighted average of salaries and bonuses across different professions contained in the most recent BLS Occupational Employment and Wages Report (</w:t>
      </w:r>
      <w:r>
        <w:rPr>
          <w:rFonts w:ascii="Times New Roman" w:hAnsi="Times New Roman"/>
        </w:rPr>
        <w:t>May 2022</w:t>
      </w:r>
      <w:r w:rsidRPr="004A301A">
        <w:rPr>
          <w:rFonts w:ascii="Times New Roman" w:hAnsi="Times New Roman"/>
        </w:rPr>
        <w:t xml:space="preserve">) </w:t>
      </w:r>
      <w:r>
        <w:rPr>
          <w:rFonts w:ascii="Times New Roman" w:hAnsi="Times New Roman"/>
        </w:rPr>
        <w:t xml:space="preserve">under NAICS 523000 </w:t>
      </w:r>
      <w:r w:rsidRPr="004A301A">
        <w:rPr>
          <w:rFonts w:ascii="Times New Roman" w:hAnsi="Times New Roman"/>
        </w:rPr>
        <w:t xml:space="preserve">multiplied by </w:t>
      </w:r>
      <w:r>
        <w:rPr>
          <w:rFonts w:ascii="Times New Roman" w:hAnsi="Times New Roman"/>
        </w:rPr>
        <w:t>1.3</w:t>
      </w:r>
      <w:r w:rsidRPr="004A301A">
        <w:rPr>
          <w:rFonts w:ascii="Times New Roman" w:hAnsi="Times New Roman"/>
        </w:rPr>
        <w:t xml:space="preserve"> to account for overhead and other benefits. The Commission estimated appropriate wage rate is a weighted national average of mean hourly wages for the following occupations (and their relative weight): “compliance officer – industry: securities, commodity contracts, and other financial investment and related activities (13-1041) ” (50%); and “lawyer – legal services (23-1101)” (50%). Commission staff chose this methodology to account for the variance in skill sets that may be used to accomplish the collection of information.</w:t>
      </w:r>
    </w:p>
    <w:p w:rsidR="00C05C3F" w:rsidP="0086314E" w14:paraId="71865A08" w14:textId="77777777">
      <w:pPr>
        <w:numPr>
          <w:ilvl w:val="0"/>
          <w:numId w:val="3"/>
        </w:numPr>
        <w:tabs>
          <w:tab w:val="left" w:pos="-720"/>
          <w:tab w:val="left" w:pos="0"/>
        </w:tabs>
        <w:suppressAutoHyphens/>
        <w:spacing w:after="240"/>
        <w:ind w:hanging="720"/>
        <w:rPr>
          <w:rFonts w:ascii="Times New Roman" w:hAnsi="Times New Roman"/>
        </w:rPr>
      </w:pPr>
      <w:r w:rsidRPr="005B5FA8">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C05C3F" w:rsidRPr="005B5FA8" w:rsidP="002E6DAA" w14:paraId="4A38DD3E"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5B5FA8">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w:t>
      </w:r>
      <w:r w:rsidRPr="005B5FA8">
        <w:rPr>
          <w:rFonts w:ascii="Times New Roman" w:hAnsi="Times New Roman"/>
          <w:b/>
        </w:rPr>
        <w:t>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05C3F" w:rsidRPr="005B5FA8" w:rsidP="002E6DAA" w14:paraId="028C6294" w14:textId="77777777">
      <w:pPr>
        <w:tabs>
          <w:tab w:val="left" w:pos="-720"/>
          <w:tab w:val="left" w:pos="0"/>
          <w:tab w:val="left" w:pos="720"/>
        </w:tabs>
        <w:suppressAutoHyphens/>
        <w:spacing w:after="240"/>
        <w:ind w:left="1440" w:hanging="1440"/>
        <w:rPr>
          <w:rFonts w:ascii="Times New Roman" w:hAnsi="Times New Roman"/>
          <w:b/>
        </w:rPr>
      </w:pPr>
      <w:r w:rsidRPr="005B5FA8">
        <w:rPr>
          <w:rFonts w:ascii="Times New Roman" w:hAnsi="Times New Roman"/>
          <w:b/>
        </w:rPr>
        <w:tab/>
        <w:t>-</w:t>
      </w:r>
      <w:r w:rsidRPr="005B5FA8">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DF31F9" w:rsidP="002E6DAA" w14:paraId="5EAE6D14" w14:textId="77777777">
      <w:pPr>
        <w:tabs>
          <w:tab w:val="left" w:pos="-720"/>
          <w:tab w:val="left" w:pos="0"/>
          <w:tab w:val="left" w:pos="720"/>
        </w:tabs>
        <w:suppressAutoHyphens/>
        <w:spacing w:after="240"/>
        <w:ind w:left="1440" w:hanging="1440"/>
        <w:rPr>
          <w:rFonts w:ascii="Times New Roman" w:hAnsi="Times New Roman"/>
        </w:rPr>
      </w:pPr>
      <w:r w:rsidRPr="005B5FA8">
        <w:rPr>
          <w:rFonts w:ascii="Times New Roman" w:hAnsi="Times New Roman"/>
          <w:b/>
        </w:rPr>
        <w:tab/>
        <w:t>-</w:t>
      </w:r>
      <w:r w:rsidRPr="005B5FA8">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05C3F" w:rsidP="00A25434" w14:paraId="649B83A3" w14:textId="7A81A85E">
      <w:pPr>
        <w:pStyle w:val="Default"/>
        <w:spacing w:after="240"/>
        <w:ind w:firstLine="720"/>
        <w:rPr>
          <w:rFonts w:ascii="Times New Roman" w:hAnsi="Times New Roman"/>
        </w:rPr>
      </w:pPr>
      <w:r w:rsidRPr="31B24A77">
        <w:rPr>
          <w:rFonts w:ascii="Times New Roman" w:hAnsi="Times New Roman"/>
        </w:rPr>
        <w:t>There are no capital</w:t>
      </w:r>
      <w:r w:rsidRPr="31B24A77" w:rsidR="00FE1BC0">
        <w:rPr>
          <w:rFonts w:ascii="Times New Roman" w:hAnsi="Times New Roman"/>
        </w:rPr>
        <w:t xml:space="preserve">, </w:t>
      </w:r>
      <w:r w:rsidRPr="31B24A77">
        <w:rPr>
          <w:rFonts w:ascii="Times New Roman" w:hAnsi="Times New Roman"/>
        </w:rPr>
        <w:t>start-u</w:t>
      </w:r>
      <w:r w:rsidRPr="31B24A77" w:rsidR="00FE1BC0">
        <w:rPr>
          <w:rFonts w:ascii="Times New Roman" w:hAnsi="Times New Roman"/>
        </w:rPr>
        <w:t xml:space="preserve">p, or maintenance </w:t>
      </w:r>
      <w:r w:rsidRPr="31B24A77">
        <w:rPr>
          <w:rFonts w:ascii="Times New Roman" w:hAnsi="Times New Roman"/>
        </w:rPr>
        <w:t>costs</w:t>
      </w:r>
      <w:r w:rsidRPr="31B24A77" w:rsidR="00A35CD1">
        <w:rPr>
          <w:rFonts w:ascii="Times New Roman" w:hAnsi="Times New Roman"/>
        </w:rPr>
        <w:t xml:space="preserve"> </w:t>
      </w:r>
      <w:r w:rsidRPr="31B24A77" w:rsidR="00266604">
        <w:rPr>
          <w:rFonts w:ascii="Times New Roman" w:hAnsi="Times New Roman"/>
        </w:rPr>
        <w:t xml:space="preserve">associated with the regulations.  The Commission anticipates that respondents will leverage </w:t>
      </w:r>
      <w:r w:rsidRPr="31B24A77" w:rsidR="00A35CD1">
        <w:rPr>
          <w:rFonts w:ascii="Times New Roman" w:hAnsi="Times New Roman"/>
        </w:rPr>
        <w:t>existing systems</w:t>
      </w:r>
      <w:r w:rsidRPr="31B24A77" w:rsidR="00266604">
        <w:rPr>
          <w:rFonts w:ascii="Times New Roman" w:hAnsi="Times New Roman"/>
        </w:rPr>
        <w:t xml:space="preserve"> in complying with the regulations</w:t>
      </w:r>
      <w:r w:rsidRPr="31B24A77">
        <w:rPr>
          <w:rFonts w:ascii="Times New Roman" w:hAnsi="Times New Roman"/>
        </w:rPr>
        <w:t>.</w:t>
      </w:r>
    </w:p>
    <w:p w:rsidR="00C05C3F" w:rsidRPr="002E6DAA" w:rsidP="0086314E" w14:paraId="3D160039" w14:textId="77777777">
      <w:pPr>
        <w:numPr>
          <w:ilvl w:val="0"/>
          <w:numId w:val="3"/>
        </w:numPr>
        <w:tabs>
          <w:tab w:val="left" w:pos="-720"/>
          <w:tab w:val="left" w:pos="0"/>
        </w:tabs>
        <w:suppressAutoHyphens/>
        <w:spacing w:after="240"/>
        <w:ind w:hanging="720"/>
        <w:rPr>
          <w:rFonts w:ascii="Times New Roman" w:hAnsi="Times New Roman"/>
        </w:rPr>
      </w:pPr>
      <w:r w:rsidRPr="002E6DAA">
        <w:rPr>
          <w:rFonts w:ascii="Times New Roman" w:hAnsi="Times New Roman"/>
          <w:b/>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05C3F" w:rsidP="00A25434" w14:paraId="101355CA" w14:textId="5B252A90">
      <w:pPr>
        <w:pStyle w:val="Default"/>
        <w:spacing w:after="240"/>
        <w:ind w:firstLine="720"/>
        <w:rPr>
          <w:rFonts w:ascii="Times New Roman" w:hAnsi="Times New Roman"/>
        </w:rPr>
      </w:pPr>
      <w:r w:rsidRPr="31B24A77">
        <w:rPr>
          <w:rFonts w:ascii="Times New Roman" w:hAnsi="Times New Roman"/>
        </w:rPr>
        <w:t>It is not anticipated that the regulations will impose any additional costs to the Federal Government.</w:t>
      </w:r>
    </w:p>
    <w:p w:rsidR="00C05C3F" w:rsidRPr="00266604" w:rsidP="0086314E" w14:paraId="50CEDA02" w14:textId="77777777">
      <w:pPr>
        <w:numPr>
          <w:ilvl w:val="0"/>
          <w:numId w:val="3"/>
        </w:numPr>
        <w:tabs>
          <w:tab w:val="left" w:pos="-720"/>
          <w:tab w:val="left" w:pos="0"/>
        </w:tabs>
        <w:suppressAutoHyphens/>
        <w:spacing w:after="240"/>
        <w:ind w:hanging="720"/>
        <w:rPr>
          <w:rFonts w:ascii="Times New Roman" w:hAnsi="Times New Roman"/>
        </w:rPr>
      </w:pPr>
      <w:r w:rsidRPr="00266604">
        <w:rPr>
          <w:rFonts w:ascii="Times New Roman" w:hAnsi="Times New Roman"/>
          <w:b/>
        </w:rPr>
        <w:t>Explain the reasons for any program changes or adjustments reported in Items 13 or 14 of the OMB Form 83-I.</w:t>
      </w:r>
    </w:p>
    <w:p w:rsidR="00DF25D9" w:rsidP="00DF25D9" w14:paraId="47ABE660" w14:textId="591EB5E4">
      <w:pPr>
        <w:pStyle w:val="Default"/>
        <w:spacing w:after="240"/>
        <w:ind w:firstLine="720"/>
        <w:rPr>
          <w:rFonts w:ascii="Times New Roman" w:hAnsi="Times New Roman"/>
        </w:rPr>
      </w:pPr>
      <w:r>
        <w:rPr>
          <w:rFonts w:ascii="Times New Roman" w:hAnsi="Times New Roman"/>
        </w:rPr>
        <w:t xml:space="preserve">There are no program changes.  The Commission is updating its </w:t>
      </w:r>
      <w:r w:rsidR="00695253">
        <w:rPr>
          <w:rFonts w:ascii="Times New Roman" w:hAnsi="Times New Roman"/>
        </w:rPr>
        <w:t xml:space="preserve">burden hour estimates </w:t>
      </w:r>
      <w:r>
        <w:rPr>
          <w:rFonts w:ascii="Times New Roman" w:hAnsi="Times New Roman"/>
        </w:rPr>
        <w:t xml:space="preserve">to reflect the current number filings and of burden hours for each filing. To obtain the number of filings, </w:t>
      </w:r>
      <w:r w:rsidR="00F16F9A">
        <w:rPr>
          <w:rFonts w:ascii="Times New Roman" w:hAnsi="Times New Roman"/>
        </w:rPr>
        <w:t>CFTC staff</w:t>
      </w:r>
      <w:r>
        <w:rPr>
          <w:rFonts w:ascii="Times New Roman" w:hAnsi="Times New Roman"/>
        </w:rPr>
        <w:t xml:space="preserve"> searched the Commission data for filings made in 2020, 2021, and 2022, and averaged the totals by filing type.  For the burden hours, </w:t>
      </w:r>
      <w:r w:rsidR="00351B58">
        <w:rPr>
          <w:rFonts w:ascii="Times New Roman" w:hAnsi="Times New Roman"/>
        </w:rPr>
        <w:t>CFTC staff</w:t>
      </w:r>
      <w:r>
        <w:rPr>
          <w:rFonts w:ascii="Times New Roman" w:hAnsi="Times New Roman"/>
        </w:rPr>
        <w:t xml:space="preserve"> have </w:t>
      </w:r>
      <w:r w:rsidR="001B70A4">
        <w:rPr>
          <w:rFonts w:ascii="Times New Roman" w:hAnsi="Times New Roman"/>
        </w:rPr>
        <w:t xml:space="preserve">updated their burden </w:t>
      </w:r>
      <w:r w:rsidR="001B70A4">
        <w:rPr>
          <w:rFonts w:ascii="Times New Roman" w:hAnsi="Times New Roman"/>
        </w:rPr>
        <w:t>estimates based on the Commission data, including the</w:t>
      </w:r>
      <w:r>
        <w:rPr>
          <w:rFonts w:ascii="Times New Roman" w:hAnsi="Times New Roman"/>
        </w:rPr>
        <w:t xml:space="preserve"> Commission</w:t>
      </w:r>
      <w:r w:rsidR="001B70A4">
        <w:rPr>
          <w:rFonts w:ascii="Times New Roman" w:hAnsi="Times New Roman"/>
        </w:rPr>
        <w:t>’s</w:t>
      </w:r>
      <w:r>
        <w:rPr>
          <w:rFonts w:ascii="Times New Roman" w:hAnsi="Times New Roman"/>
        </w:rPr>
        <w:t xml:space="preserve"> </w:t>
      </w:r>
      <w:r w:rsidR="001B70A4">
        <w:rPr>
          <w:rFonts w:ascii="Times New Roman" w:hAnsi="Times New Roman"/>
        </w:rPr>
        <w:t xml:space="preserve">2018 burden </w:t>
      </w:r>
      <w:r>
        <w:rPr>
          <w:rFonts w:ascii="Times New Roman" w:hAnsi="Times New Roman"/>
        </w:rPr>
        <w:t>estimates as updated in response to comments by registered entities.</w:t>
      </w:r>
      <w:r>
        <w:rPr>
          <w:rStyle w:val="FootnoteReference"/>
          <w:rFonts w:ascii="Times New Roman" w:hAnsi="Times New Roman"/>
        </w:rPr>
        <w:footnoteReference w:id="3"/>
      </w:r>
      <w:r>
        <w:rPr>
          <w:rFonts w:ascii="Times New Roman" w:hAnsi="Times New Roman"/>
        </w:rPr>
        <w:t xml:space="preserve">  </w:t>
      </w:r>
      <w:r w:rsidR="00351B58">
        <w:rPr>
          <w:rFonts w:ascii="Times New Roman" w:hAnsi="Times New Roman"/>
        </w:rPr>
        <w:t>CFTC staff also reviewed</w:t>
      </w:r>
      <w:r>
        <w:rPr>
          <w:rFonts w:ascii="Times New Roman" w:hAnsi="Times New Roman"/>
        </w:rPr>
        <w:t xml:space="preserve"> Commission data to estimate the number of respondents currently obligated to make filings under part 40.  </w:t>
      </w:r>
    </w:p>
    <w:p w:rsidR="005E01E6" w:rsidP="005E01E6" w14:paraId="79231793" w14:textId="0E604B34">
      <w:pPr>
        <w:pStyle w:val="Default"/>
        <w:spacing w:after="240"/>
        <w:ind w:firstLine="720"/>
        <w:rPr>
          <w:rFonts w:ascii="Times New Roman" w:hAnsi="Times New Roman" w:cs="Times New Roman"/>
        </w:rPr>
      </w:pPr>
      <w:r w:rsidRPr="00D969C6">
        <w:rPr>
          <w:rFonts w:ascii="Times New Roman" w:hAnsi="Times New Roman" w:cs="Times New Roman"/>
        </w:rPr>
        <w:t>In addition, the Commission is revising the collection by consolidating the two Information Collections under this clearance.  OMB Control Number 3038</w:t>
      </w:r>
      <w:r w:rsidR="005B4B85">
        <w:rPr>
          <w:rFonts w:ascii="Times New Roman" w:hAnsi="Times New Roman" w:cs="Times New Roman"/>
        </w:rPr>
        <w:t>-</w:t>
      </w:r>
      <w:r w:rsidRPr="00D969C6">
        <w:rPr>
          <w:rFonts w:ascii="Times New Roman" w:hAnsi="Times New Roman" w:cs="Times New Roman"/>
        </w:rPr>
        <w:t>0093 currently has two Information Collections (ICs): Part 40, Provisions Common to Registered Entities (“Provisions Common to Regulated Entities IC”); and Part 150, Position Limits (“Part 150 Position Limits IC”).  The Provisions Common to Regulated Entities IC includes almost all filings made under §§40.2, 40.3, 40.5, 40.6 and 40.10.  The Part 150 Position Limits IC was created to account for rule filings made pursuant to §150.9(a), which requires SEFs and DCMs to submit rules to the Commission for approval under § 40.5 if they wish to establish a self-regulatory process for recognition of bona fide hedging transactions that are not enumerated in part 150’s express list of such transactions.</w:t>
      </w:r>
      <w:r w:rsidRPr="00D969C6">
        <w:rPr>
          <w:rStyle w:val="FootnoteReference"/>
          <w:rFonts w:ascii="Times New Roman" w:hAnsi="Times New Roman" w:cs="Times New Roman"/>
        </w:rPr>
        <w:t xml:space="preserve"> </w:t>
      </w:r>
      <w:r>
        <w:rPr>
          <w:rStyle w:val="FootnoteReference"/>
          <w:rFonts w:ascii="Times New Roman" w:hAnsi="Times New Roman" w:cs="Times New Roman"/>
        </w:rPr>
        <w:footnoteReference w:id="4"/>
      </w:r>
      <w:r w:rsidRPr="00D969C6">
        <w:rPr>
          <w:rFonts w:ascii="Times New Roman" w:hAnsi="Times New Roman" w:cs="Times New Roman"/>
        </w:rPr>
        <w:t xml:space="preserve">  CFTC staff has determined it is not necessary to maintain a separate IC for part 40 filing requirements triggered by § 150.9(a) because the burdens are not different in type from the other burdens aggregated into the general Provisions Common to Regulated Entity IC.</w:t>
      </w:r>
      <w:r>
        <w:rPr>
          <w:rStyle w:val="FootnoteReference"/>
          <w:rFonts w:ascii="Times New Roman" w:hAnsi="Times New Roman" w:cs="Times New Roman"/>
        </w:rPr>
        <w:footnoteReference w:id="5"/>
      </w:r>
      <w:r w:rsidRPr="00D969C6" w:rsidR="001B70A4">
        <w:rPr>
          <w:rFonts w:ascii="Times New Roman" w:hAnsi="Times New Roman" w:cs="Times New Roman"/>
        </w:rPr>
        <w:t xml:space="preserve">  </w:t>
      </w:r>
      <w:r w:rsidR="00D969C6">
        <w:rPr>
          <w:rFonts w:ascii="Times New Roman" w:hAnsi="Times New Roman"/>
        </w:rPr>
        <w:t>D</w:t>
      </w:r>
      <w:r w:rsidRPr="002E074F" w:rsidR="00D969C6">
        <w:rPr>
          <w:rFonts w:ascii="Times New Roman" w:hAnsi="Times New Roman"/>
        </w:rPr>
        <w:t xml:space="preserve">isaggregating every underlying substantive requirement </w:t>
      </w:r>
      <w:r w:rsidR="00D969C6">
        <w:rPr>
          <w:rFonts w:ascii="Times New Roman" w:hAnsi="Times New Roman"/>
        </w:rPr>
        <w:t>that triggers</w:t>
      </w:r>
      <w:r w:rsidRPr="002E074F" w:rsidR="00D969C6">
        <w:rPr>
          <w:rFonts w:ascii="Times New Roman" w:hAnsi="Times New Roman"/>
        </w:rPr>
        <w:t xml:space="preserve"> </w:t>
      </w:r>
      <w:r w:rsidR="00D969C6">
        <w:rPr>
          <w:rFonts w:ascii="Times New Roman" w:hAnsi="Times New Roman"/>
        </w:rPr>
        <w:t xml:space="preserve">a </w:t>
      </w:r>
      <w:r w:rsidRPr="002E074F" w:rsidR="00D969C6">
        <w:rPr>
          <w:rFonts w:ascii="Times New Roman" w:hAnsi="Times New Roman"/>
        </w:rPr>
        <w:t xml:space="preserve">part 40 rule filing </w:t>
      </w:r>
      <w:r w:rsidR="00D969C6">
        <w:rPr>
          <w:rFonts w:ascii="Times New Roman" w:hAnsi="Times New Roman"/>
        </w:rPr>
        <w:t>is</w:t>
      </w:r>
      <w:r w:rsidRPr="002E074F" w:rsidR="00D969C6">
        <w:rPr>
          <w:rFonts w:ascii="Times New Roman" w:hAnsi="Times New Roman"/>
        </w:rPr>
        <w:t xml:space="preserve"> impracticable</w:t>
      </w:r>
      <w:r w:rsidR="00D969C6">
        <w:rPr>
          <w:rFonts w:ascii="Times New Roman" w:hAnsi="Times New Roman"/>
        </w:rPr>
        <w:t xml:space="preserve">, given that so many Commission regulations impacting the registered entities could trigger a filing under certain circumstances.  Accordingly, the Commission believes that a single category for each type of filing (product, rule or SIDCO) provides more appropriate information about the burden associated with the collection, as shown in Attachment A.  </w:t>
      </w:r>
      <w:r w:rsidR="00D969C6">
        <w:rPr>
          <w:rFonts w:ascii="Times New Roman" w:hAnsi="Times New Roman" w:cs="Times New Roman"/>
        </w:rPr>
        <w:t>As a result</w:t>
      </w:r>
      <w:r w:rsidRPr="00D969C6" w:rsidR="001B70A4">
        <w:rPr>
          <w:rFonts w:ascii="Times New Roman" w:hAnsi="Times New Roman" w:cs="Times New Roman"/>
        </w:rPr>
        <w:t xml:space="preserve">, </w:t>
      </w:r>
      <w:r w:rsidR="001B70A4">
        <w:rPr>
          <w:rFonts w:ascii="Times New Roman" w:hAnsi="Times New Roman" w:cs="Times New Roman"/>
        </w:rPr>
        <w:t>the Commission is consolidating the estimates for both ICs under IC 1, Part 40, Provisions Common to Registered Entities.</w:t>
      </w:r>
    </w:p>
    <w:p w:rsidR="00D969C6" w:rsidRPr="00D969C6" w:rsidP="00D969C6" w14:paraId="047869F3" w14:textId="6DD75AB9">
      <w:pPr>
        <w:pStyle w:val="Default"/>
        <w:spacing w:after="240"/>
        <w:ind w:firstLine="720"/>
        <w:rPr>
          <w:rFonts w:ascii="Times New Roman" w:hAnsi="Times New Roman" w:cs="Times New Roman"/>
        </w:rPr>
      </w:pPr>
      <w:r w:rsidRPr="00D969C6">
        <w:rPr>
          <w:rFonts w:ascii="Times New Roman" w:hAnsi="Times New Roman" w:cs="Times New Roman"/>
        </w:rPr>
        <w:t xml:space="preserve">This consolidation and revision </w:t>
      </w:r>
      <w:r w:rsidRPr="00D969C6">
        <w:rPr>
          <w:rFonts w:ascii="Times New Roman" w:hAnsi="Times New Roman" w:cs="Times New Roman"/>
        </w:rPr>
        <w:t>yields</w:t>
      </w:r>
      <w:r w:rsidRPr="00D969C6">
        <w:rPr>
          <w:rFonts w:ascii="Times New Roman" w:hAnsi="Times New Roman" w:cs="Times New Roman"/>
        </w:rPr>
        <w:t xml:space="preserve"> a total burden hour estimate of </w:t>
      </w:r>
      <w:r>
        <w:rPr>
          <w:rFonts w:ascii="Times New Roman" w:hAnsi="Times New Roman" w:cs="Times New Roman"/>
        </w:rPr>
        <w:t>20,540</w:t>
      </w:r>
      <w:r w:rsidRPr="00D969C6">
        <w:rPr>
          <w:rFonts w:ascii="Times New Roman" w:hAnsi="Times New Roman" w:cs="Times New Roman"/>
        </w:rPr>
        <w:t xml:space="preserve"> annual burden hours (a </w:t>
      </w:r>
      <w:r>
        <w:rPr>
          <w:rFonts w:ascii="Times New Roman" w:hAnsi="Times New Roman" w:cs="Times New Roman"/>
        </w:rPr>
        <w:t>5,</w:t>
      </w:r>
      <w:r w:rsidR="00AB352B">
        <w:rPr>
          <w:rFonts w:ascii="Times New Roman" w:hAnsi="Times New Roman" w:cs="Times New Roman"/>
        </w:rPr>
        <w:t>57</w:t>
      </w:r>
      <w:r>
        <w:rPr>
          <w:rFonts w:ascii="Times New Roman" w:hAnsi="Times New Roman" w:cs="Times New Roman"/>
        </w:rPr>
        <w:t>4-hour increase</w:t>
      </w:r>
      <w:r w:rsidRPr="00D969C6">
        <w:rPr>
          <w:rFonts w:ascii="Times New Roman" w:hAnsi="Times New Roman" w:cs="Times New Roman"/>
        </w:rPr>
        <w:t xml:space="preserve"> from the prior estimate of </w:t>
      </w:r>
      <w:r>
        <w:rPr>
          <w:rFonts w:ascii="Times New Roman" w:hAnsi="Times New Roman" w:cs="Times New Roman"/>
        </w:rPr>
        <w:t>14,</w:t>
      </w:r>
      <w:r w:rsidR="00AB352B">
        <w:rPr>
          <w:rFonts w:ascii="Times New Roman" w:hAnsi="Times New Roman" w:cs="Times New Roman"/>
        </w:rPr>
        <w:t>96</w:t>
      </w:r>
      <w:r>
        <w:rPr>
          <w:rFonts w:ascii="Times New Roman" w:hAnsi="Times New Roman" w:cs="Times New Roman"/>
        </w:rPr>
        <w:t>6</w:t>
      </w:r>
      <w:r w:rsidRPr="00D969C6">
        <w:rPr>
          <w:rFonts w:ascii="Times New Roman" w:hAnsi="Times New Roman" w:cs="Times New Roman"/>
        </w:rPr>
        <w:t xml:space="preserve"> annual burden hours).</w:t>
      </w:r>
    </w:p>
    <w:p w:rsidR="00C05C3F" w:rsidRPr="002E6DAA" w:rsidP="0086314E" w14:paraId="32C5DA64" w14:textId="77777777">
      <w:pPr>
        <w:numPr>
          <w:ilvl w:val="0"/>
          <w:numId w:val="3"/>
        </w:numPr>
        <w:tabs>
          <w:tab w:val="left" w:pos="-720"/>
          <w:tab w:val="left" w:pos="0"/>
        </w:tabs>
        <w:suppressAutoHyphens/>
        <w:spacing w:after="240"/>
        <w:ind w:hanging="720"/>
        <w:rPr>
          <w:rFonts w:ascii="Times New Roman" w:hAnsi="Times New Roman"/>
        </w:rPr>
      </w:pPr>
      <w:r w:rsidRPr="002E6DAA">
        <w:rPr>
          <w:rFonts w:ascii="Times New Roman" w:hAnsi="Times New Roman"/>
          <w:b/>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C05C3F" w:rsidP="00A25434" w14:paraId="6B57FD4D" w14:textId="77777777">
      <w:pPr>
        <w:pStyle w:val="Default"/>
        <w:spacing w:after="240"/>
        <w:ind w:firstLine="720"/>
        <w:rPr>
          <w:rFonts w:ascii="Times New Roman" w:hAnsi="Times New Roman"/>
        </w:rPr>
      </w:pPr>
      <w:r>
        <w:rPr>
          <w:rFonts w:ascii="Times New Roman" w:hAnsi="Times New Roman"/>
        </w:rPr>
        <w:t>This question does not apply.</w:t>
      </w:r>
    </w:p>
    <w:p w:rsidR="00C05C3F" w:rsidRPr="004A301A" w:rsidP="0086314E" w14:paraId="299D5E0C" w14:textId="77777777">
      <w:pPr>
        <w:numPr>
          <w:ilvl w:val="0"/>
          <w:numId w:val="3"/>
        </w:numPr>
        <w:tabs>
          <w:tab w:val="left" w:pos="-720"/>
          <w:tab w:val="left" w:pos="0"/>
        </w:tabs>
        <w:suppressAutoHyphens/>
        <w:spacing w:after="240"/>
        <w:ind w:hanging="720"/>
        <w:rPr>
          <w:rFonts w:ascii="Times New Roman" w:hAnsi="Times New Roman"/>
          <w:b/>
        </w:rPr>
      </w:pPr>
      <w:r w:rsidRPr="004A301A">
        <w:rPr>
          <w:rFonts w:ascii="Times New Roman" w:hAnsi="Times New Roman"/>
          <w:b/>
        </w:rPr>
        <w:t>If seeking approval to not display the expiration date for OMB approval of the information collection, explain the reasons that display would be inappropriate.</w:t>
      </w:r>
    </w:p>
    <w:p w:rsidR="00C05C3F" w:rsidP="00A25434" w14:paraId="152DBB91" w14:textId="77777777">
      <w:pPr>
        <w:pStyle w:val="Default"/>
        <w:spacing w:after="240"/>
        <w:ind w:firstLine="720"/>
        <w:rPr>
          <w:rFonts w:ascii="Times New Roman" w:hAnsi="Times New Roman"/>
        </w:rPr>
      </w:pPr>
      <w:r>
        <w:rPr>
          <w:rFonts w:ascii="Times New Roman" w:hAnsi="Times New Roman"/>
        </w:rPr>
        <w:t xml:space="preserve">This question does not apply.  </w:t>
      </w:r>
    </w:p>
    <w:p w:rsidR="00C05C3F" w:rsidP="0086314E" w14:paraId="16816EEA" w14:textId="5E4D2326">
      <w:pPr>
        <w:numPr>
          <w:ilvl w:val="0"/>
          <w:numId w:val="3"/>
        </w:numPr>
        <w:tabs>
          <w:tab w:val="left" w:pos="-720"/>
          <w:tab w:val="left" w:pos="0"/>
        </w:tabs>
        <w:suppressAutoHyphens/>
        <w:spacing w:after="240"/>
        <w:ind w:hanging="720"/>
        <w:rPr>
          <w:rFonts w:ascii="Times New Roman" w:hAnsi="Times New Roman"/>
        </w:rPr>
      </w:pPr>
      <w:r w:rsidRPr="004A301A">
        <w:rPr>
          <w:rFonts w:ascii="Times New Roman" w:hAnsi="Times New Roman"/>
          <w:b/>
        </w:rPr>
        <w:t xml:space="preserve">Explain each exception to the certification statement identified in Item 19, </w:t>
      </w:r>
      <w:r w:rsidR="00266604">
        <w:rPr>
          <w:rFonts w:ascii="Times New Roman" w:hAnsi="Times New Roman"/>
          <w:b/>
        </w:rPr>
        <w:t>“</w:t>
      </w:r>
      <w:r w:rsidRPr="004A301A">
        <w:rPr>
          <w:rFonts w:ascii="Times New Roman" w:hAnsi="Times New Roman"/>
          <w:b/>
        </w:rPr>
        <w:t>Certification for Paperwork Reduction Act Submissions,</w:t>
      </w:r>
      <w:r w:rsidR="00266604">
        <w:rPr>
          <w:rFonts w:ascii="Times New Roman" w:hAnsi="Times New Roman"/>
          <w:b/>
        </w:rPr>
        <w:t>”</w:t>
      </w:r>
      <w:r w:rsidRPr="004A301A">
        <w:rPr>
          <w:rFonts w:ascii="Times New Roman" w:hAnsi="Times New Roman"/>
          <w:b/>
        </w:rPr>
        <w:t xml:space="preserve"> of OMB Form 83-I.</w:t>
      </w:r>
    </w:p>
    <w:p w:rsidR="003258B1" w:rsidP="003258B1" w14:paraId="51B39BB1" w14:textId="77777777">
      <w:pPr>
        <w:tabs>
          <w:tab w:val="left" w:pos="-720"/>
        </w:tabs>
        <w:suppressAutoHyphens/>
        <w:spacing w:after="240"/>
        <w:ind w:firstLine="720"/>
        <w:rPr>
          <w:rFonts w:ascii="Times New Roman" w:hAnsi="Times New Roman"/>
        </w:rPr>
        <w:sectPr w:rsidSect="0086314E">
          <w:headerReference w:type="default" r:id="rId9"/>
          <w:footnotePr>
            <w:numRestart w:val="eachSect"/>
          </w:footnotePr>
          <w:endnotePr>
            <w:numFmt w:val="decimal"/>
          </w:endnotePr>
          <w:pgSz w:w="12240" w:h="15840"/>
          <w:pgMar w:top="1440" w:right="1440" w:bottom="1440" w:left="1440" w:header="1440" w:footer="1440" w:gutter="0"/>
          <w:pgNumType w:start="1"/>
          <w:cols w:space="720"/>
          <w:noEndnote/>
          <w:docGrid w:linePitch="326"/>
        </w:sectPr>
      </w:pPr>
      <w:r>
        <w:rPr>
          <w:rFonts w:ascii="Times New Roman" w:hAnsi="Times New Roman"/>
        </w:rPr>
        <w:t>No exceptions exist</w:t>
      </w:r>
      <w:r>
        <w:rPr>
          <w:rFonts w:ascii="Times New Roman" w:hAnsi="Times New Roman"/>
        </w:rPr>
        <w:t>.</w:t>
      </w:r>
    </w:p>
    <w:p w:rsidR="003258B1" w:rsidP="003258B1" w14:paraId="2E5FD118" w14:textId="77777777">
      <w:pPr>
        <w:tabs>
          <w:tab w:val="left" w:pos="-720"/>
        </w:tabs>
        <w:suppressAutoHyphens/>
        <w:spacing w:after="240"/>
        <w:jc w:val="center"/>
        <w:rPr>
          <w:rFonts w:ascii="Times New Roman" w:hAnsi="Times New Roman"/>
          <w:b/>
          <w:u w:val="single"/>
        </w:rPr>
      </w:pPr>
      <w:r>
        <w:rPr>
          <w:rFonts w:ascii="Times New Roman" w:hAnsi="Times New Roman"/>
          <w:b/>
          <w:u w:val="single"/>
        </w:rPr>
        <w:t>Attachment A</w:t>
      </w:r>
    </w:p>
    <w:p w:rsidR="003258B1" w:rsidP="003258B1" w14:paraId="2CE54C9A" w14:textId="77777777">
      <w:pPr>
        <w:pStyle w:val="BodyTextIndent"/>
        <w:spacing w:after="240"/>
        <w:jc w:val="center"/>
        <w:rPr>
          <w:b/>
        </w:rPr>
      </w:pPr>
      <w:r w:rsidRPr="00270670">
        <w:rPr>
          <w:b/>
        </w:rPr>
        <w:t>Estimated Annual Hour and Cost Burden of the Collection of Information</w:t>
      </w:r>
    </w:p>
    <w:p w:rsidR="003258B1" w:rsidP="003258B1" w14:paraId="73B88356" w14:textId="0F754E3D">
      <w:pPr>
        <w:pStyle w:val="BodyTextIndent"/>
        <w:spacing w:after="240"/>
        <w:rPr>
          <w:b/>
          <w:u w:val="single"/>
        </w:rPr>
      </w:pPr>
      <w:r>
        <w:rPr>
          <w:b/>
        </w:rPr>
        <w:t>IC:  Part 40, Provisions Common to Registered Entities</w:t>
      </w:r>
    </w:p>
    <w:tbl>
      <w:tblPr>
        <w:tblpPr w:leftFromText="180" w:rightFromText="180" w:vertAnchor="text" w:horzAnchor="page" w:tblpX="559" w:tblpY="75"/>
        <w:tblW w:w="149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440"/>
        <w:gridCol w:w="1445"/>
        <w:gridCol w:w="1620"/>
        <w:gridCol w:w="1530"/>
        <w:gridCol w:w="1625"/>
        <w:gridCol w:w="1520"/>
        <w:gridCol w:w="1620"/>
        <w:gridCol w:w="1530"/>
        <w:gridCol w:w="1260"/>
        <w:gridCol w:w="1350"/>
      </w:tblGrid>
      <w:tr w14:paraId="7C0445F7" w14:textId="77777777" w:rsidTr="00001270">
        <w:tblPrEx>
          <w:tblW w:w="149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trHeight w:val="432"/>
        </w:trPr>
        <w:tc>
          <w:tcPr>
            <w:tcW w:w="1440" w:type="dxa"/>
          </w:tcPr>
          <w:p w:rsidR="003258B1" w:rsidRPr="00B42A90" w:rsidP="00001270" w14:paraId="089380D1"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1.</w:t>
            </w:r>
          </w:p>
          <w:p w:rsidR="003258B1" w:rsidRPr="00B42A90" w:rsidP="00001270" w14:paraId="1DC18E18" w14:textId="77777777">
            <w:pPr>
              <w:jc w:val="center"/>
              <w:rPr>
                <w:rFonts w:ascii="Arial" w:hAnsi="Arial" w:cs="Arial"/>
                <w:sz w:val="16"/>
                <w:szCs w:val="16"/>
              </w:rPr>
            </w:pPr>
            <w:r w:rsidRPr="00B42A90">
              <w:rPr>
                <w:rFonts w:ascii="Arial" w:hAnsi="Arial" w:cs="Arial"/>
                <w:b/>
                <w:sz w:val="16"/>
                <w:szCs w:val="16"/>
              </w:rPr>
              <w:t>Regulation(s)</w:t>
            </w:r>
          </w:p>
        </w:tc>
        <w:tc>
          <w:tcPr>
            <w:tcW w:w="1445" w:type="dxa"/>
          </w:tcPr>
          <w:p w:rsidR="003258B1" w:rsidRPr="00B42A90" w:rsidP="00001270" w14:paraId="25750317"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2.</w:t>
            </w:r>
          </w:p>
          <w:p w:rsidR="003258B1" w:rsidRPr="00B42A90" w:rsidP="00001270" w14:paraId="15045111"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Respondents</w:t>
            </w:r>
          </w:p>
          <w:p w:rsidR="003258B1" w:rsidRPr="00B42A90" w:rsidP="00001270" w14:paraId="61A6A622" w14:textId="77777777">
            <w:pPr>
              <w:jc w:val="center"/>
              <w:rPr>
                <w:rFonts w:ascii="Arial" w:hAnsi="Arial" w:cs="Arial"/>
                <w:sz w:val="16"/>
                <w:szCs w:val="16"/>
              </w:rPr>
            </w:pPr>
          </w:p>
        </w:tc>
        <w:tc>
          <w:tcPr>
            <w:tcW w:w="1620" w:type="dxa"/>
          </w:tcPr>
          <w:p w:rsidR="003258B1" w:rsidRPr="00B42A90" w:rsidP="00001270" w14:paraId="51403F97"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3.</w:t>
            </w:r>
          </w:p>
          <w:p w:rsidR="003258B1" w:rsidRPr="00B42A90" w:rsidP="00001270" w14:paraId="28D46A82"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Reports</w:t>
            </w:r>
          </w:p>
          <w:p w:rsidR="003258B1" w:rsidRPr="00B42A90" w:rsidP="00001270" w14:paraId="7806D138" w14:textId="77777777">
            <w:pPr>
              <w:jc w:val="center"/>
              <w:rPr>
                <w:rFonts w:ascii="Arial" w:hAnsi="Arial" w:cs="Arial"/>
                <w:sz w:val="16"/>
                <w:szCs w:val="16"/>
              </w:rPr>
            </w:pPr>
            <w:r w:rsidRPr="00B42A90">
              <w:rPr>
                <w:rFonts w:ascii="Arial" w:hAnsi="Arial" w:cs="Arial"/>
                <w:b/>
                <w:sz w:val="16"/>
                <w:szCs w:val="16"/>
              </w:rPr>
              <w:t>by Each Respondent</w:t>
            </w:r>
            <w:r>
              <w:rPr>
                <w:rStyle w:val="FootnoteReference"/>
                <w:rFonts w:ascii="Arial" w:hAnsi="Arial" w:cs="Arial"/>
                <w:b/>
                <w:sz w:val="16"/>
                <w:szCs w:val="16"/>
              </w:rPr>
              <w:footnoteReference w:id="6"/>
            </w:r>
          </w:p>
        </w:tc>
        <w:tc>
          <w:tcPr>
            <w:tcW w:w="1530" w:type="dxa"/>
          </w:tcPr>
          <w:p w:rsidR="003258B1" w:rsidRPr="00B42A90" w:rsidP="00001270" w14:paraId="389542F0"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4.</w:t>
            </w:r>
          </w:p>
          <w:p w:rsidR="003258B1" w:rsidRPr="00B42A90" w:rsidP="00001270" w14:paraId="5135B2C0" w14:textId="77777777">
            <w:pPr>
              <w:jc w:val="center"/>
              <w:rPr>
                <w:rFonts w:ascii="Arial" w:hAnsi="Arial" w:cs="Arial"/>
                <w:sz w:val="16"/>
                <w:szCs w:val="16"/>
              </w:rPr>
            </w:pPr>
            <w:r w:rsidRPr="00B42A90">
              <w:rPr>
                <w:rFonts w:ascii="Arial" w:hAnsi="Arial" w:cs="Arial"/>
                <w:b/>
                <w:sz w:val="16"/>
                <w:szCs w:val="16"/>
              </w:rPr>
              <w:t>Estimated Average Number of Burden Hours per Response</w:t>
            </w:r>
          </w:p>
        </w:tc>
        <w:tc>
          <w:tcPr>
            <w:tcW w:w="1625" w:type="dxa"/>
          </w:tcPr>
          <w:p w:rsidR="003258B1" w:rsidRPr="00B42A90" w:rsidP="00001270" w14:paraId="1417471F"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5.</w:t>
            </w:r>
          </w:p>
          <w:p w:rsidR="003258B1" w:rsidRPr="00B42A90" w:rsidP="00001270" w14:paraId="5C101BCB"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Annual Number of Burden Hours per Respondent</w:t>
            </w:r>
          </w:p>
          <w:p w:rsidR="003258B1" w:rsidRPr="00B42A90" w:rsidP="00001270" w14:paraId="7107290A" w14:textId="77777777">
            <w:pPr>
              <w:jc w:val="center"/>
              <w:rPr>
                <w:rFonts w:ascii="Arial" w:hAnsi="Arial" w:cs="Arial"/>
                <w:sz w:val="16"/>
                <w:szCs w:val="16"/>
              </w:rPr>
            </w:pPr>
            <w:r w:rsidRPr="00B42A90">
              <w:rPr>
                <w:rFonts w:ascii="Arial" w:hAnsi="Arial" w:cs="Arial"/>
                <w:b/>
                <w:sz w:val="16"/>
                <w:szCs w:val="16"/>
              </w:rPr>
              <w:t xml:space="preserve">(3 </w:t>
            </w:r>
            <w:r>
              <w:rPr>
                <w:rFonts w:ascii="Arial" w:hAnsi="Arial" w:cs="Arial"/>
                <w:b/>
                <w:sz w:val="16"/>
                <w:szCs w:val="16"/>
              </w:rPr>
              <w:t>×</w:t>
            </w:r>
            <w:r w:rsidRPr="00B42A90">
              <w:rPr>
                <w:rFonts w:ascii="Arial" w:hAnsi="Arial" w:cs="Arial"/>
                <w:b/>
                <w:sz w:val="16"/>
                <w:szCs w:val="16"/>
              </w:rPr>
              <w:t xml:space="preserve"> 4)</w:t>
            </w:r>
          </w:p>
        </w:tc>
        <w:tc>
          <w:tcPr>
            <w:tcW w:w="1520" w:type="dxa"/>
          </w:tcPr>
          <w:p w:rsidR="003258B1" w:rsidRPr="00B42A90" w:rsidP="00001270" w14:paraId="3ABE4CDC" w14:textId="77777777">
            <w:pPr>
              <w:suppressAutoHyphens/>
              <w:jc w:val="center"/>
              <w:rPr>
                <w:rFonts w:ascii="Arial" w:hAnsi="Arial" w:cs="Arial"/>
                <w:b/>
                <w:bCs/>
                <w:sz w:val="16"/>
                <w:szCs w:val="16"/>
              </w:rPr>
            </w:pPr>
            <w:r w:rsidRPr="00B42A90">
              <w:rPr>
                <w:rFonts w:ascii="Arial" w:hAnsi="Arial" w:cs="Arial"/>
                <w:b/>
                <w:bCs/>
                <w:sz w:val="16"/>
                <w:szCs w:val="16"/>
              </w:rPr>
              <w:t>6.</w:t>
            </w:r>
          </w:p>
          <w:p w:rsidR="003258B1" w:rsidRPr="00B42A90" w:rsidP="00001270" w14:paraId="319760E0" w14:textId="77777777">
            <w:pPr>
              <w:suppressAutoHyphens/>
              <w:jc w:val="center"/>
              <w:rPr>
                <w:rFonts w:ascii="Arial" w:hAnsi="Arial" w:cs="Arial"/>
                <w:b/>
                <w:bCs/>
                <w:sz w:val="16"/>
                <w:szCs w:val="16"/>
                <w:vertAlign w:val="superscript"/>
              </w:rPr>
            </w:pPr>
            <w:r w:rsidRPr="00B42A90">
              <w:rPr>
                <w:rFonts w:ascii="Arial" w:hAnsi="Arial" w:cs="Arial"/>
                <w:b/>
                <w:bCs/>
                <w:sz w:val="16"/>
                <w:szCs w:val="16"/>
              </w:rPr>
              <w:t>Estimated Average Burden Hour Cost</w:t>
            </w:r>
            <w:r>
              <w:rPr>
                <w:rFonts w:ascii="Arial" w:hAnsi="Arial" w:cs="Arial"/>
                <w:b/>
                <w:bCs/>
                <w:sz w:val="16"/>
                <w:szCs w:val="16"/>
                <w:vertAlign w:val="superscript"/>
              </w:rPr>
              <w:footnoteReference w:id="7"/>
            </w:r>
          </w:p>
          <w:p w:rsidR="003258B1" w:rsidRPr="00B42A90" w:rsidP="00001270" w14:paraId="176C39C2" w14:textId="77777777">
            <w:pPr>
              <w:jc w:val="center"/>
              <w:rPr>
                <w:rFonts w:ascii="Arial" w:hAnsi="Arial" w:cs="Arial"/>
                <w:sz w:val="16"/>
                <w:szCs w:val="16"/>
              </w:rPr>
            </w:pPr>
          </w:p>
        </w:tc>
        <w:tc>
          <w:tcPr>
            <w:tcW w:w="1620" w:type="dxa"/>
          </w:tcPr>
          <w:p w:rsidR="003258B1" w:rsidRPr="00B42A90" w:rsidP="00001270" w14:paraId="2DF08CC9" w14:textId="77777777">
            <w:pPr>
              <w:jc w:val="center"/>
              <w:rPr>
                <w:rFonts w:ascii="Arial" w:hAnsi="Arial" w:cs="Arial"/>
                <w:b/>
                <w:bCs/>
                <w:sz w:val="16"/>
                <w:szCs w:val="16"/>
              </w:rPr>
            </w:pPr>
            <w:r w:rsidRPr="00B42A90">
              <w:rPr>
                <w:rFonts w:ascii="Arial" w:hAnsi="Arial" w:cs="Arial"/>
                <w:b/>
                <w:bCs/>
                <w:sz w:val="16"/>
                <w:szCs w:val="16"/>
              </w:rPr>
              <w:t>7.</w:t>
            </w:r>
          </w:p>
          <w:p w:rsidR="003258B1" w:rsidRPr="00B42A90" w:rsidP="00001270" w14:paraId="0055D58A" w14:textId="77777777">
            <w:pPr>
              <w:jc w:val="center"/>
              <w:rPr>
                <w:rFonts w:ascii="Arial" w:hAnsi="Arial" w:cs="Arial"/>
                <w:b/>
                <w:sz w:val="16"/>
                <w:szCs w:val="16"/>
              </w:rPr>
            </w:pPr>
            <w:r w:rsidRPr="00B42A90">
              <w:rPr>
                <w:rFonts w:ascii="Arial" w:hAnsi="Arial" w:cs="Arial"/>
                <w:b/>
                <w:sz w:val="16"/>
                <w:szCs w:val="16"/>
              </w:rPr>
              <w:t>Total Average Hour Burden Cost Per Respondent</w:t>
            </w:r>
          </w:p>
          <w:p w:rsidR="003258B1" w:rsidRPr="00B42A90" w:rsidP="00001270" w14:paraId="77EDAC6D" w14:textId="77777777">
            <w:pPr>
              <w:jc w:val="center"/>
              <w:rPr>
                <w:rFonts w:ascii="Arial" w:hAnsi="Arial" w:cs="Arial"/>
                <w:sz w:val="16"/>
                <w:szCs w:val="16"/>
              </w:rPr>
            </w:pPr>
            <w:r w:rsidRPr="00B42A90">
              <w:rPr>
                <w:rFonts w:ascii="Arial" w:hAnsi="Arial" w:cs="Arial"/>
                <w:b/>
                <w:sz w:val="16"/>
                <w:szCs w:val="16"/>
              </w:rPr>
              <w:t xml:space="preserve">(5 </w:t>
            </w:r>
            <w:r>
              <w:rPr>
                <w:rFonts w:ascii="Arial" w:hAnsi="Arial" w:cs="Arial"/>
                <w:b/>
                <w:sz w:val="16"/>
                <w:szCs w:val="16"/>
              </w:rPr>
              <w:t>×</w:t>
            </w:r>
            <w:r w:rsidRPr="00B42A90">
              <w:rPr>
                <w:rFonts w:ascii="Arial" w:hAnsi="Arial" w:cs="Arial"/>
                <w:b/>
                <w:sz w:val="16"/>
                <w:szCs w:val="16"/>
              </w:rPr>
              <w:t xml:space="preserve"> 6)</w:t>
            </w:r>
          </w:p>
        </w:tc>
        <w:tc>
          <w:tcPr>
            <w:tcW w:w="1530" w:type="dxa"/>
          </w:tcPr>
          <w:p w:rsidR="003258B1" w:rsidRPr="00B42A90" w:rsidP="00001270" w14:paraId="73FCD29F"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8.</w:t>
            </w:r>
          </w:p>
          <w:p w:rsidR="003258B1" w:rsidRPr="00B42A90" w:rsidP="00001270" w14:paraId="4529241C"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w:t>
            </w:r>
          </w:p>
          <w:p w:rsidR="003258B1" w:rsidRPr="00B42A90" w:rsidP="00001270" w14:paraId="565B13DF"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Responses</w:t>
            </w:r>
            <w:r>
              <w:rPr>
                <w:rStyle w:val="FootnoteReference"/>
                <w:rFonts w:ascii="Arial" w:hAnsi="Arial" w:cs="Arial"/>
                <w:b/>
                <w:sz w:val="16"/>
                <w:szCs w:val="16"/>
              </w:rPr>
              <w:footnoteReference w:id="8"/>
            </w:r>
          </w:p>
          <w:p w:rsidR="003258B1" w:rsidRPr="00B42A90" w:rsidP="00001270" w14:paraId="7F1639B5" w14:textId="77777777">
            <w:pPr>
              <w:jc w:val="center"/>
              <w:rPr>
                <w:rFonts w:ascii="Arial" w:hAnsi="Arial" w:cs="Arial"/>
                <w:sz w:val="16"/>
                <w:szCs w:val="16"/>
              </w:rPr>
            </w:pPr>
          </w:p>
        </w:tc>
        <w:tc>
          <w:tcPr>
            <w:tcW w:w="1260" w:type="dxa"/>
          </w:tcPr>
          <w:p w:rsidR="003258B1" w:rsidRPr="00B42A90" w:rsidP="00001270" w14:paraId="12B0E3F2"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9.</w:t>
            </w:r>
          </w:p>
          <w:p w:rsidR="003258B1" w:rsidRPr="00B42A90" w:rsidP="00001270" w14:paraId="272572E3"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Number of Burden Hours</w:t>
            </w:r>
          </w:p>
          <w:p w:rsidR="003258B1" w:rsidRPr="00B42A90" w:rsidP="00001270" w14:paraId="62B53C3D" w14:textId="77777777">
            <w:pPr>
              <w:jc w:val="center"/>
              <w:rPr>
                <w:rFonts w:ascii="Arial" w:hAnsi="Arial" w:cs="Arial"/>
                <w:sz w:val="16"/>
                <w:szCs w:val="16"/>
              </w:rPr>
            </w:pPr>
            <w:r w:rsidRPr="00B42A90">
              <w:rPr>
                <w:rFonts w:ascii="Arial" w:hAnsi="Arial" w:cs="Arial"/>
                <w:b/>
                <w:sz w:val="16"/>
                <w:szCs w:val="16"/>
              </w:rPr>
              <w:t xml:space="preserve">(2 </w:t>
            </w:r>
            <w:r>
              <w:rPr>
                <w:rFonts w:ascii="Arial" w:hAnsi="Arial" w:cs="Arial"/>
                <w:b/>
                <w:sz w:val="16"/>
                <w:szCs w:val="16"/>
              </w:rPr>
              <w:t>×</w:t>
            </w:r>
            <w:r w:rsidRPr="00B42A90">
              <w:rPr>
                <w:rFonts w:ascii="Arial" w:hAnsi="Arial" w:cs="Arial"/>
                <w:b/>
                <w:sz w:val="16"/>
                <w:szCs w:val="16"/>
              </w:rPr>
              <w:t xml:space="preserve"> 5)</w:t>
            </w:r>
          </w:p>
        </w:tc>
        <w:tc>
          <w:tcPr>
            <w:tcW w:w="1350" w:type="dxa"/>
          </w:tcPr>
          <w:p w:rsidR="003258B1" w:rsidRPr="00B42A90" w:rsidP="00001270" w14:paraId="5DD4DED4" w14:textId="77777777">
            <w:pPr>
              <w:suppressAutoHyphens/>
              <w:jc w:val="center"/>
              <w:rPr>
                <w:rFonts w:ascii="Arial" w:hAnsi="Arial" w:cs="Arial"/>
                <w:b/>
                <w:bCs/>
                <w:sz w:val="16"/>
                <w:szCs w:val="16"/>
              </w:rPr>
            </w:pPr>
            <w:r w:rsidRPr="00B42A90">
              <w:rPr>
                <w:rFonts w:ascii="Arial" w:hAnsi="Arial" w:cs="Arial"/>
                <w:b/>
                <w:bCs/>
                <w:sz w:val="16"/>
                <w:szCs w:val="16"/>
              </w:rPr>
              <w:t>10.</w:t>
            </w:r>
          </w:p>
          <w:p w:rsidR="003258B1" w:rsidRPr="00B42A90" w:rsidP="00001270" w14:paraId="4A754FB8"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Burden Hour Cost of All Responses</w:t>
            </w:r>
          </w:p>
          <w:p w:rsidR="003258B1" w:rsidRPr="00B42A90" w:rsidP="00001270" w14:paraId="1180247B" w14:textId="77777777">
            <w:pPr>
              <w:jc w:val="center"/>
              <w:rPr>
                <w:rFonts w:ascii="Arial" w:hAnsi="Arial" w:cs="Arial"/>
                <w:sz w:val="16"/>
                <w:szCs w:val="16"/>
              </w:rPr>
            </w:pPr>
            <w:r w:rsidRPr="00B42A90">
              <w:rPr>
                <w:rFonts w:ascii="Arial" w:hAnsi="Arial" w:cs="Arial"/>
                <w:b/>
                <w:sz w:val="16"/>
                <w:szCs w:val="16"/>
              </w:rPr>
              <w:t xml:space="preserve">(2 </w:t>
            </w:r>
            <w:r>
              <w:rPr>
                <w:rFonts w:ascii="Arial" w:hAnsi="Arial" w:cs="Arial"/>
                <w:b/>
                <w:sz w:val="16"/>
                <w:szCs w:val="16"/>
              </w:rPr>
              <w:t>×</w:t>
            </w:r>
            <w:r w:rsidRPr="00B42A90">
              <w:rPr>
                <w:rFonts w:ascii="Arial" w:hAnsi="Arial" w:cs="Arial"/>
                <w:b/>
                <w:sz w:val="16"/>
                <w:szCs w:val="16"/>
              </w:rPr>
              <w:t xml:space="preserve"> 7)</w:t>
            </w:r>
          </w:p>
        </w:tc>
      </w:tr>
      <w:tr w14:paraId="25B5B4B3" w14:textId="77777777" w:rsidTr="00001270">
        <w:tblPrEx>
          <w:tblW w:w="14940" w:type="dxa"/>
          <w:tblLayout w:type="fixed"/>
          <w:tblLook w:val="04A0"/>
        </w:tblPrEx>
        <w:trPr>
          <w:trHeight w:val="432"/>
        </w:trPr>
        <w:tc>
          <w:tcPr>
            <w:tcW w:w="1440" w:type="dxa"/>
          </w:tcPr>
          <w:p w:rsidR="003258B1" w:rsidRPr="007B4B2D" w:rsidP="00001270" w14:paraId="4AFD1947"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 40.2 and 40.3 (Products)</w:t>
            </w:r>
          </w:p>
        </w:tc>
        <w:tc>
          <w:tcPr>
            <w:tcW w:w="1445" w:type="dxa"/>
          </w:tcPr>
          <w:p w:rsidR="003258B1" w:rsidRPr="007B4B2D" w:rsidP="00001270" w14:paraId="6ABF9F11"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70</w:t>
            </w:r>
          </w:p>
        </w:tc>
        <w:tc>
          <w:tcPr>
            <w:tcW w:w="1620" w:type="dxa"/>
          </w:tcPr>
          <w:p w:rsidR="003258B1" w:rsidRPr="007B4B2D" w:rsidP="00001270" w14:paraId="54464D0E"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12</w:t>
            </w:r>
          </w:p>
        </w:tc>
        <w:tc>
          <w:tcPr>
            <w:tcW w:w="1530" w:type="dxa"/>
          </w:tcPr>
          <w:p w:rsidR="003258B1" w:rsidRPr="007B4B2D" w:rsidP="00001270" w14:paraId="2806F1EC" w14:textId="77777777">
            <w:pPr>
              <w:tabs>
                <w:tab w:val="left" w:pos="-720"/>
                <w:tab w:val="left" w:pos="0"/>
              </w:tabs>
              <w:suppressAutoHyphens/>
              <w:jc w:val="center"/>
              <w:rPr>
                <w:rFonts w:ascii="Arial" w:hAnsi="Arial" w:cs="Arial"/>
                <w:sz w:val="16"/>
                <w:szCs w:val="16"/>
              </w:rPr>
            </w:pPr>
            <w:r>
              <w:rPr>
                <w:rFonts w:ascii="Arial" w:hAnsi="Arial" w:cs="Arial"/>
                <w:sz w:val="16"/>
                <w:szCs w:val="16"/>
              </w:rPr>
              <w:t>21</w:t>
            </w:r>
          </w:p>
        </w:tc>
        <w:tc>
          <w:tcPr>
            <w:tcW w:w="1625" w:type="dxa"/>
          </w:tcPr>
          <w:p w:rsidR="003258B1" w:rsidRPr="007B4B2D" w:rsidP="00001270" w14:paraId="2D7BAA6D" w14:textId="77777777">
            <w:pPr>
              <w:tabs>
                <w:tab w:val="left" w:pos="-720"/>
                <w:tab w:val="left" w:pos="0"/>
              </w:tabs>
              <w:suppressAutoHyphens/>
              <w:jc w:val="center"/>
              <w:rPr>
                <w:rFonts w:ascii="Arial" w:hAnsi="Arial" w:cs="Arial"/>
                <w:sz w:val="16"/>
                <w:szCs w:val="16"/>
              </w:rPr>
            </w:pPr>
            <w:r>
              <w:rPr>
                <w:rFonts w:ascii="Arial" w:hAnsi="Arial" w:cs="Arial"/>
                <w:sz w:val="16"/>
                <w:szCs w:val="16"/>
              </w:rPr>
              <w:t>252</w:t>
            </w:r>
          </w:p>
        </w:tc>
        <w:tc>
          <w:tcPr>
            <w:tcW w:w="1520" w:type="dxa"/>
          </w:tcPr>
          <w:p w:rsidR="003258B1" w:rsidRPr="0082796F" w:rsidP="00001270" w14:paraId="7C45DA35" w14:textId="77777777">
            <w:pPr>
              <w:suppressAutoHyphens/>
              <w:jc w:val="center"/>
              <w:rPr>
                <w:rFonts w:ascii="Arial" w:hAnsi="Arial" w:cs="Arial"/>
                <w:bCs/>
                <w:sz w:val="16"/>
                <w:szCs w:val="16"/>
              </w:rPr>
            </w:pPr>
            <w:r w:rsidRPr="0082796F">
              <w:rPr>
                <w:rFonts w:ascii="Arial" w:hAnsi="Arial" w:cs="Arial"/>
                <w:bCs/>
                <w:sz w:val="16"/>
                <w:szCs w:val="16"/>
              </w:rPr>
              <w:t>$106.56</w:t>
            </w:r>
          </w:p>
        </w:tc>
        <w:tc>
          <w:tcPr>
            <w:tcW w:w="1620" w:type="dxa"/>
          </w:tcPr>
          <w:p w:rsidR="003258B1" w:rsidRPr="0082796F" w:rsidP="00001270" w14:paraId="1ED10F74" w14:textId="3DE0A5FD">
            <w:pPr>
              <w:jc w:val="center"/>
              <w:rPr>
                <w:rFonts w:ascii="Arial" w:hAnsi="Arial" w:cs="Arial"/>
                <w:bCs/>
                <w:sz w:val="16"/>
                <w:szCs w:val="16"/>
              </w:rPr>
            </w:pPr>
            <w:r w:rsidRPr="0082796F">
              <w:rPr>
                <w:rFonts w:ascii="Arial" w:hAnsi="Arial" w:cs="Arial"/>
                <w:bCs/>
                <w:sz w:val="16"/>
                <w:szCs w:val="16"/>
              </w:rPr>
              <w:t>$</w:t>
            </w:r>
            <w:r w:rsidRPr="00474DC7">
              <w:rPr>
                <w:rFonts w:ascii="Arial" w:hAnsi="Arial" w:cs="Arial"/>
                <w:bCs/>
                <w:sz w:val="16"/>
                <w:szCs w:val="16"/>
              </w:rPr>
              <w:t>26,853.12</w:t>
            </w:r>
          </w:p>
        </w:tc>
        <w:tc>
          <w:tcPr>
            <w:tcW w:w="1530" w:type="dxa"/>
          </w:tcPr>
          <w:p w:rsidR="003258B1" w:rsidRPr="0082796F" w:rsidP="00001270" w14:paraId="554A93B4"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848</w:t>
            </w:r>
          </w:p>
        </w:tc>
        <w:tc>
          <w:tcPr>
            <w:tcW w:w="1260" w:type="dxa"/>
          </w:tcPr>
          <w:p w:rsidR="003258B1" w:rsidRPr="0082796F" w:rsidP="00001270" w14:paraId="291153EF" w14:textId="77777777">
            <w:pPr>
              <w:tabs>
                <w:tab w:val="left" w:pos="-720"/>
                <w:tab w:val="left" w:pos="0"/>
              </w:tabs>
              <w:suppressAutoHyphens/>
              <w:jc w:val="center"/>
              <w:rPr>
                <w:rFonts w:ascii="Arial" w:hAnsi="Arial" w:cs="Arial"/>
                <w:sz w:val="16"/>
                <w:szCs w:val="16"/>
              </w:rPr>
            </w:pPr>
            <w:r w:rsidRPr="00474DC7">
              <w:rPr>
                <w:rFonts w:ascii="Arial" w:hAnsi="Arial" w:cs="Arial"/>
                <w:sz w:val="16"/>
                <w:szCs w:val="16"/>
              </w:rPr>
              <w:t>17,640</w:t>
            </w:r>
          </w:p>
        </w:tc>
        <w:tc>
          <w:tcPr>
            <w:tcW w:w="1350" w:type="dxa"/>
          </w:tcPr>
          <w:p w:rsidR="003258B1" w:rsidRPr="0082796F" w:rsidP="00001270" w14:paraId="18CDAEC0" w14:textId="77777777">
            <w:pPr>
              <w:suppressAutoHyphens/>
              <w:jc w:val="center"/>
              <w:rPr>
                <w:rFonts w:ascii="Arial" w:hAnsi="Arial" w:cs="Arial"/>
                <w:bCs/>
                <w:sz w:val="16"/>
                <w:szCs w:val="16"/>
              </w:rPr>
            </w:pPr>
            <w:r w:rsidRPr="0082796F">
              <w:rPr>
                <w:rFonts w:ascii="Arial" w:hAnsi="Arial" w:cs="Arial"/>
                <w:bCs/>
                <w:sz w:val="16"/>
                <w:szCs w:val="16"/>
              </w:rPr>
              <w:t>$</w:t>
            </w:r>
            <w:r w:rsidRPr="00474DC7">
              <w:rPr>
                <w:rFonts w:ascii="Arial" w:hAnsi="Arial" w:cs="Arial"/>
                <w:bCs/>
                <w:sz w:val="16"/>
                <w:szCs w:val="16"/>
              </w:rPr>
              <w:t>1,879,718.4</w:t>
            </w:r>
            <w:r>
              <w:rPr>
                <w:rFonts w:ascii="Arial" w:hAnsi="Arial" w:cs="Arial"/>
                <w:bCs/>
                <w:sz w:val="16"/>
                <w:szCs w:val="16"/>
              </w:rPr>
              <w:t>0</w:t>
            </w:r>
          </w:p>
        </w:tc>
      </w:tr>
      <w:tr w14:paraId="0C58DAB0" w14:textId="77777777" w:rsidTr="00001270">
        <w:tblPrEx>
          <w:tblW w:w="14940" w:type="dxa"/>
          <w:tblLayout w:type="fixed"/>
          <w:tblLook w:val="04A0"/>
        </w:tblPrEx>
        <w:trPr>
          <w:trHeight w:val="432"/>
        </w:trPr>
        <w:tc>
          <w:tcPr>
            <w:tcW w:w="1440" w:type="dxa"/>
          </w:tcPr>
          <w:p w:rsidR="003258B1" w:rsidRPr="0082796F" w:rsidP="00001270" w14:paraId="46E1EC4D"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 40.5 and 40.6 (Rules)</w:t>
            </w:r>
            <w:r>
              <w:rPr>
                <w:rStyle w:val="FootnoteReference"/>
                <w:rFonts w:ascii="Arial" w:hAnsi="Arial" w:cs="Arial"/>
                <w:sz w:val="16"/>
                <w:szCs w:val="16"/>
              </w:rPr>
              <w:footnoteReference w:id="9"/>
            </w:r>
          </w:p>
        </w:tc>
        <w:tc>
          <w:tcPr>
            <w:tcW w:w="1445" w:type="dxa"/>
          </w:tcPr>
          <w:p w:rsidR="003258B1" w:rsidRPr="0082796F" w:rsidP="00001270" w14:paraId="6433256E"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70</w:t>
            </w:r>
          </w:p>
        </w:tc>
        <w:tc>
          <w:tcPr>
            <w:tcW w:w="1620" w:type="dxa"/>
          </w:tcPr>
          <w:p w:rsidR="003258B1" w:rsidRPr="0082796F" w:rsidP="00001270" w14:paraId="192FD68A"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20</w:t>
            </w:r>
          </w:p>
        </w:tc>
        <w:tc>
          <w:tcPr>
            <w:tcW w:w="1530" w:type="dxa"/>
          </w:tcPr>
          <w:p w:rsidR="003258B1" w:rsidRPr="0082796F" w:rsidP="00001270" w14:paraId="5B461CFC" w14:textId="77777777">
            <w:pPr>
              <w:tabs>
                <w:tab w:val="left" w:pos="-720"/>
                <w:tab w:val="left" w:pos="0"/>
              </w:tabs>
              <w:suppressAutoHyphens/>
              <w:jc w:val="center"/>
              <w:rPr>
                <w:rFonts w:ascii="Arial" w:hAnsi="Arial" w:cs="Arial"/>
                <w:sz w:val="16"/>
                <w:szCs w:val="16"/>
              </w:rPr>
            </w:pPr>
            <w:r>
              <w:rPr>
                <w:rFonts w:ascii="Arial" w:hAnsi="Arial" w:cs="Arial"/>
                <w:sz w:val="16"/>
                <w:szCs w:val="16"/>
              </w:rPr>
              <w:t>2</w:t>
            </w:r>
          </w:p>
        </w:tc>
        <w:tc>
          <w:tcPr>
            <w:tcW w:w="1625" w:type="dxa"/>
          </w:tcPr>
          <w:p w:rsidR="003258B1" w:rsidRPr="0082796F" w:rsidP="00001270" w14:paraId="2BD2D9DF" w14:textId="77777777">
            <w:pPr>
              <w:tabs>
                <w:tab w:val="left" w:pos="-720"/>
                <w:tab w:val="left" w:pos="0"/>
              </w:tabs>
              <w:suppressAutoHyphens/>
              <w:jc w:val="center"/>
              <w:rPr>
                <w:rFonts w:ascii="Arial" w:hAnsi="Arial" w:cs="Arial"/>
                <w:sz w:val="16"/>
                <w:szCs w:val="16"/>
              </w:rPr>
            </w:pPr>
            <w:r>
              <w:rPr>
                <w:rFonts w:ascii="Arial" w:hAnsi="Arial" w:cs="Arial"/>
                <w:sz w:val="16"/>
                <w:szCs w:val="16"/>
              </w:rPr>
              <w:t>40</w:t>
            </w:r>
          </w:p>
        </w:tc>
        <w:tc>
          <w:tcPr>
            <w:tcW w:w="1520" w:type="dxa"/>
          </w:tcPr>
          <w:p w:rsidR="003258B1" w:rsidRPr="0082796F" w:rsidP="00001270" w14:paraId="52FD102F" w14:textId="77777777">
            <w:pPr>
              <w:suppressAutoHyphens/>
              <w:jc w:val="center"/>
              <w:rPr>
                <w:rFonts w:ascii="Arial" w:hAnsi="Arial" w:cs="Arial"/>
                <w:bCs/>
                <w:sz w:val="16"/>
                <w:szCs w:val="16"/>
              </w:rPr>
            </w:pPr>
            <w:r w:rsidRPr="0082796F">
              <w:rPr>
                <w:rFonts w:ascii="Arial" w:hAnsi="Arial" w:cs="Arial"/>
                <w:bCs/>
                <w:sz w:val="16"/>
                <w:szCs w:val="16"/>
              </w:rPr>
              <w:t>$106.56</w:t>
            </w:r>
          </w:p>
          <w:p w:rsidR="003258B1" w:rsidRPr="0082796F" w:rsidP="00001270" w14:paraId="5162C28D" w14:textId="77777777">
            <w:pPr>
              <w:suppressAutoHyphens/>
              <w:jc w:val="center"/>
              <w:rPr>
                <w:rFonts w:ascii="Arial" w:hAnsi="Arial" w:cs="Arial"/>
                <w:bCs/>
                <w:sz w:val="16"/>
                <w:szCs w:val="16"/>
              </w:rPr>
            </w:pPr>
          </w:p>
        </w:tc>
        <w:tc>
          <w:tcPr>
            <w:tcW w:w="1620" w:type="dxa"/>
          </w:tcPr>
          <w:p w:rsidR="003258B1" w:rsidRPr="0082796F" w:rsidP="00001270" w14:paraId="54CE6F24" w14:textId="77777777">
            <w:pPr>
              <w:jc w:val="center"/>
              <w:rPr>
                <w:rFonts w:ascii="Arial" w:hAnsi="Arial" w:cs="Arial"/>
                <w:bCs/>
                <w:sz w:val="16"/>
                <w:szCs w:val="16"/>
              </w:rPr>
            </w:pPr>
            <w:r w:rsidRPr="0082796F">
              <w:rPr>
                <w:rFonts w:ascii="Arial" w:hAnsi="Arial" w:cs="Arial"/>
                <w:bCs/>
                <w:sz w:val="16"/>
                <w:szCs w:val="16"/>
              </w:rPr>
              <w:t>$</w:t>
            </w:r>
            <w:r w:rsidRPr="00267178">
              <w:rPr>
                <w:rFonts w:ascii="Arial" w:hAnsi="Arial" w:cs="Arial"/>
                <w:bCs/>
                <w:sz w:val="16"/>
                <w:szCs w:val="16"/>
              </w:rPr>
              <w:t>4,262.4</w:t>
            </w:r>
            <w:r>
              <w:rPr>
                <w:rFonts w:ascii="Arial" w:hAnsi="Arial" w:cs="Arial"/>
                <w:bCs/>
                <w:sz w:val="16"/>
                <w:szCs w:val="16"/>
              </w:rPr>
              <w:t>0</w:t>
            </w:r>
          </w:p>
        </w:tc>
        <w:tc>
          <w:tcPr>
            <w:tcW w:w="1530" w:type="dxa"/>
          </w:tcPr>
          <w:p w:rsidR="003258B1" w:rsidRPr="0082796F" w:rsidP="00001270" w14:paraId="0E8AA2B4"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1,412</w:t>
            </w:r>
          </w:p>
        </w:tc>
        <w:tc>
          <w:tcPr>
            <w:tcW w:w="1260" w:type="dxa"/>
          </w:tcPr>
          <w:p w:rsidR="003258B1" w:rsidRPr="0082796F" w:rsidP="00001270" w14:paraId="77909912" w14:textId="77777777">
            <w:pPr>
              <w:tabs>
                <w:tab w:val="left" w:pos="-720"/>
                <w:tab w:val="left" w:pos="0"/>
              </w:tabs>
              <w:suppressAutoHyphens/>
              <w:jc w:val="center"/>
              <w:rPr>
                <w:rFonts w:ascii="Arial" w:hAnsi="Arial" w:cs="Arial"/>
                <w:sz w:val="16"/>
                <w:szCs w:val="16"/>
              </w:rPr>
            </w:pPr>
            <w:r w:rsidRPr="00267178">
              <w:rPr>
                <w:rFonts w:ascii="Arial" w:hAnsi="Arial" w:cs="Arial"/>
                <w:sz w:val="16"/>
                <w:szCs w:val="16"/>
              </w:rPr>
              <w:t>2,800</w:t>
            </w:r>
          </w:p>
        </w:tc>
        <w:tc>
          <w:tcPr>
            <w:tcW w:w="1350" w:type="dxa"/>
          </w:tcPr>
          <w:p w:rsidR="003258B1" w:rsidRPr="0082796F" w:rsidP="00001270" w14:paraId="014D44E6" w14:textId="77777777">
            <w:pPr>
              <w:suppressAutoHyphens/>
              <w:jc w:val="center"/>
              <w:rPr>
                <w:rFonts w:ascii="Arial" w:hAnsi="Arial" w:cs="Arial"/>
                <w:bCs/>
                <w:sz w:val="16"/>
                <w:szCs w:val="16"/>
              </w:rPr>
            </w:pPr>
            <w:r w:rsidRPr="0082796F">
              <w:rPr>
                <w:rFonts w:ascii="Arial" w:hAnsi="Arial" w:cs="Arial"/>
                <w:bCs/>
                <w:sz w:val="16"/>
                <w:szCs w:val="16"/>
              </w:rPr>
              <w:t>$</w:t>
            </w:r>
            <w:r w:rsidRPr="00267178">
              <w:rPr>
                <w:rFonts w:ascii="Arial" w:hAnsi="Arial" w:cs="Arial"/>
                <w:bCs/>
                <w:sz w:val="16"/>
                <w:szCs w:val="16"/>
              </w:rPr>
              <w:t>298,368</w:t>
            </w:r>
            <w:r>
              <w:rPr>
                <w:rFonts w:ascii="Arial" w:hAnsi="Arial" w:cs="Arial"/>
                <w:bCs/>
                <w:sz w:val="16"/>
                <w:szCs w:val="16"/>
              </w:rPr>
              <w:t>.00</w:t>
            </w:r>
          </w:p>
        </w:tc>
      </w:tr>
      <w:tr w14:paraId="2EC1659C" w14:textId="77777777" w:rsidTr="00001270">
        <w:tblPrEx>
          <w:tblW w:w="14940" w:type="dxa"/>
          <w:tblLayout w:type="fixed"/>
          <w:tblLook w:val="04A0"/>
        </w:tblPrEx>
        <w:trPr>
          <w:trHeight w:val="432"/>
        </w:trPr>
        <w:tc>
          <w:tcPr>
            <w:tcW w:w="1440" w:type="dxa"/>
          </w:tcPr>
          <w:p w:rsidR="003258B1" w:rsidRPr="0082796F" w:rsidP="00001270" w14:paraId="47CA4F14"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 40.10 (SIDCO)</w:t>
            </w:r>
          </w:p>
        </w:tc>
        <w:tc>
          <w:tcPr>
            <w:tcW w:w="1445" w:type="dxa"/>
          </w:tcPr>
          <w:p w:rsidR="003258B1" w:rsidRPr="0082796F" w:rsidP="00001270" w14:paraId="3748A000"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2</w:t>
            </w:r>
          </w:p>
        </w:tc>
        <w:tc>
          <w:tcPr>
            <w:tcW w:w="1620" w:type="dxa"/>
          </w:tcPr>
          <w:p w:rsidR="003258B1" w:rsidRPr="0082796F" w:rsidP="00001270" w14:paraId="782EE72E"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1</w:t>
            </w:r>
          </w:p>
        </w:tc>
        <w:tc>
          <w:tcPr>
            <w:tcW w:w="1530" w:type="dxa"/>
          </w:tcPr>
          <w:p w:rsidR="003258B1" w:rsidRPr="0082796F" w:rsidP="00001270" w14:paraId="3A67BEFB"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50</w:t>
            </w:r>
          </w:p>
        </w:tc>
        <w:tc>
          <w:tcPr>
            <w:tcW w:w="1625" w:type="dxa"/>
          </w:tcPr>
          <w:p w:rsidR="003258B1" w:rsidRPr="0082796F" w:rsidP="00001270" w14:paraId="391672FC"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50</w:t>
            </w:r>
          </w:p>
        </w:tc>
        <w:tc>
          <w:tcPr>
            <w:tcW w:w="1520" w:type="dxa"/>
          </w:tcPr>
          <w:p w:rsidR="003258B1" w:rsidRPr="0082796F" w:rsidP="00001270" w14:paraId="2D45F22F" w14:textId="77777777">
            <w:pPr>
              <w:suppressAutoHyphens/>
              <w:jc w:val="center"/>
              <w:rPr>
                <w:rFonts w:ascii="Arial" w:hAnsi="Arial" w:cs="Arial"/>
                <w:bCs/>
                <w:sz w:val="16"/>
                <w:szCs w:val="16"/>
              </w:rPr>
            </w:pPr>
            <w:r w:rsidRPr="0082796F">
              <w:rPr>
                <w:rFonts w:ascii="Arial" w:hAnsi="Arial" w:cs="Arial"/>
                <w:bCs/>
                <w:sz w:val="16"/>
                <w:szCs w:val="16"/>
              </w:rPr>
              <w:t>$106.56</w:t>
            </w:r>
          </w:p>
          <w:p w:rsidR="003258B1" w:rsidRPr="0082796F" w:rsidP="00001270" w14:paraId="6F68B73C" w14:textId="77777777">
            <w:pPr>
              <w:suppressAutoHyphens/>
              <w:jc w:val="center"/>
              <w:rPr>
                <w:rFonts w:ascii="Arial" w:hAnsi="Arial" w:cs="Arial"/>
                <w:bCs/>
                <w:sz w:val="16"/>
                <w:szCs w:val="16"/>
              </w:rPr>
            </w:pPr>
          </w:p>
        </w:tc>
        <w:tc>
          <w:tcPr>
            <w:tcW w:w="1620" w:type="dxa"/>
          </w:tcPr>
          <w:p w:rsidR="003258B1" w:rsidRPr="0082796F" w:rsidP="00001270" w14:paraId="1F4A618D" w14:textId="77777777">
            <w:pPr>
              <w:jc w:val="center"/>
              <w:rPr>
                <w:rFonts w:ascii="Arial" w:hAnsi="Arial" w:cs="Arial"/>
                <w:bCs/>
                <w:sz w:val="16"/>
                <w:szCs w:val="16"/>
              </w:rPr>
            </w:pPr>
            <w:r w:rsidRPr="0082796F">
              <w:rPr>
                <w:rFonts w:ascii="Arial" w:hAnsi="Arial" w:cs="Arial"/>
                <w:bCs/>
                <w:sz w:val="16"/>
                <w:szCs w:val="16"/>
              </w:rPr>
              <w:t>$5,328.00</w:t>
            </w:r>
          </w:p>
        </w:tc>
        <w:tc>
          <w:tcPr>
            <w:tcW w:w="1530" w:type="dxa"/>
          </w:tcPr>
          <w:p w:rsidR="003258B1" w:rsidRPr="0082796F" w:rsidP="00001270" w14:paraId="038D0F4E"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2</w:t>
            </w:r>
          </w:p>
        </w:tc>
        <w:tc>
          <w:tcPr>
            <w:tcW w:w="1260" w:type="dxa"/>
          </w:tcPr>
          <w:p w:rsidR="003258B1" w:rsidRPr="0082796F" w:rsidP="00001270" w14:paraId="5590D5D6" w14:textId="77777777">
            <w:pPr>
              <w:suppressAutoHyphens/>
              <w:jc w:val="center"/>
              <w:rPr>
                <w:rFonts w:ascii="Arial" w:hAnsi="Arial" w:cs="Arial"/>
                <w:bCs/>
                <w:sz w:val="16"/>
                <w:szCs w:val="16"/>
              </w:rPr>
            </w:pPr>
            <w:r w:rsidRPr="0082796F">
              <w:rPr>
                <w:rFonts w:ascii="Arial" w:hAnsi="Arial" w:cs="Arial"/>
                <w:bCs/>
                <w:sz w:val="16"/>
                <w:szCs w:val="16"/>
              </w:rPr>
              <w:t>100</w:t>
            </w:r>
          </w:p>
        </w:tc>
        <w:tc>
          <w:tcPr>
            <w:tcW w:w="1350" w:type="dxa"/>
          </w:tcPr>
          <w:p w:rsidR="003258B1" w:rsidRPr="0082796F" w:rsidP="00001270" w14:paraId="30685CEB" w14:textId="77777777">
            <w:pPr>
              <w:suppressAutoHyphens/>
              <w:jc w:val="center"/>
              <w:rPr>
                <w:rFonts w:ascii="Arial" w:hAnsi="Arial" w:cs="Arial"/>
                <w:bCs/>
                <w:sz w:val="16"/>
                <w:szCs w:val="16"/>
              </w:rPr>
            </w:pPr>
            <w:r w:rsidRPr="0082796F">
              <w:rPr>
                <w:rFonts w:ascii="Arial" w:hAnsi="Arial" w:cs="Arial"/>
                <w:bCs/>
                <w:sz w:val="16"/>
                <w:szCs w:val="16"/>
              </w:rPr>
              <w:t>$10,656.00</w:t>
            </w:r>
          </w:p>
        </w:tc>
      </w:tr>
      <w:tr w14:paraId="62156DF4" w14:textId="77777777" w:rsidTr="00001270">
        <w:tblPrEx>
          <w:tblW w:w="14940" w:type="dxa"/>
          <w:tblLayout w:type="fixed"/>
          <w:tblLook w:val="04A0"/>
        </w:tblPrEx>
        <w:trPr>
          <w:trHeight w:val="432"/>
        </w:trPr>
        <w:tc>
          <w:tcPr>
            <w:tcW w:w="1440" w:type="dxa"/>
          </w:tcPr>
          <w:p w:rsidR="003258B1" w:rsidRPr="0082796F" w:rsidP="00001270" w14:paraId="4C63DB07"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 xml:space="preserve">New </w:t>
            </w:r>
            <w:r w:rsidRPr="0082796F">
              <w:rPr>
                <w:rFonts w:ascii="Arial" w:hAnsi="Arial" w:cs="Arial"/>
                <w:b/>
                <w:sz w:val="16"/>
                <w:szCs w:val="16"/>
              </w:rPr>
              <w:t>Totals</w:t>
            </w:r>
          </w:p>
        </w:tc>
        <w:tc>
          <w:tcPr>
            <w:tcW w:w="1445" w:type="dxa"/>
          </w:tcPr>
          <w:p w:rsidR="003258B1" w:rsidRPr="0082796F" w:rsidP="00001270" w14:paraId="2DD66EB7"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70</w:t>
            </w:r>
            <w:r>
              <w:rPr>
                <w:rStyle w:val="FootnoteReference"/>
                <w:rFonts w:ascii="Arial" w:hAnsi="Arial" w:cs="Arial"/>
                <w:b/>
                <w:sz w:val="16"/>
                <w:szCs w:val="16"/>
              </w:rPr>
              <w:footnoteReference w:id="10"/>
            </w:r>
          </w:p>
        </w:tc>
        <w:tc>
          <w:tcPr>
            <w:tcW w:w="1620" w:type="dxa"/>
            <w:shd w:val="clear" w:color="auto" w:fill="D9D9D9" w:themeFill="background1" w:themeFillShade="D9"/>
          </w:tcPr>
          <w:p w:rsidR="003258B1" w:rsidRPr="0082796F" w:rsidP="00001270" w14:paraId="16622DC9" w14:textId="77777777">
            <w:pPr>
              <w:tabs>
                <w:tab w:val="left" w:pos="-720"/>
                <w:tab w:val="left" w:pos="0"/>
              </w:tabs>
              <w:suppressAutoHyphens/>
              <w:jc w:val="center"/>
              <w:rPr>
                <w:rFonts w:ascii="Arial" w:hAnsi="Arial" w:cs="Arial"/>
                <w:b/>
                <w:sz w:val="16"/>
                <w:szCs w:val="16"/>
              </w:rPr>
            </w:pPr>
          </w:p>
        </w:tc>
        <w:tc>
          <w:tcPr>
            <w:tcW w:w="1530" w:type="dxa"/>
            <w:shd w:val="clear" w:color="auto" w:fill="D9D9D9" w:themeFill="background1" w:themeFillShade="D9"/>
          </w:tcPr>
          <w:p w:rsidR="003258B1" w:rsidRPr="0082796F" w:rsidP="00001270" w14:paraId="4F83408D" w14:textId="77777777">
            <w:pPr>
              <w:tabs>
                <w:tab w:val="left" w:pos="-720"/>
                <w:tab w:val="left" w:pos="0"/>
              </w:tabs>
              <w:suppressAutoHyphens/>
              <w:jc w:val="center"/>
              <w:rPr>
                <w:rFonts w:ascii="Arial" w:hAnsi="Arial" w:cs="Arial"/>
                <w:b/>
                <w:sz w:val="16"/>
                <w:szCs w:val="16"/>
              </w:rPr>
            </w:pPr>
          </w:p>
        </w:tc>
        <w:tc>
          <w:tcPr>
            <w:tcW w:w="1625" w:type="dxa"/>
            <w:shd w:val="clear" w:color="auto" w:fill="D9D9D9" w:themeFill="background1" w:themeFillShade="D9"/>
          </w:tcPr>
          <w:p w:rsidR="003258B1" w:rsidRPr="0082796F" w:rsidP="00001270" w14:paraId="79503477" w14:textId="77777777">
            <w:pPr>
              <w:tabs>
                <w:tab w:val="left" w:pos="-720"/>
                <w:tab w:val="left" w:pos="0"/>
              </w:tabs>
              <w:suppressAutoHyphens/>
              <w:jc w:val="center"/>
              <w:rPr>
                <w:rFonts w:ascii="Arial" w:hAnsi="Arial" w:cs="Arial"/>
                <w:b/>
                <w:sz w:val="16"/>
                <w:szCs w:val="16"/>
              </w:rPr>
            </w:pPr>
          </w:p>
        </w:tc>
        <w:tc>
          <w:tcPr>
            <w:tcW w:w="1520" w:type="dxa"/>
            <w:shd w:val="clear" w:color="auto" w:fill="D9D9D9" w:themeFill="background1" w:themeFillShade="D9"/>
          </w:tcPr>
          <w:p w:rsidR="003258B1" w:rsidRPr="0082796F" w:rsidP="00001270" w14:paraId="14F9B1DE" w14:textId="77777777">
            <w:pPr>
              <w:suppressAutoHyphens/>
              <w:jc w:val="center"/>
              <w:rPr>
                <w:rFonts w:ascii="Arial" w:hAnsi="Arial" w:cs="Arial"/>
                <w:b/>
                <w:bCs/>
                <w:sz w:val="16"/>
                <w:szCs w:val="16"/>
              </w:rPr>
            </w:pPr>
          </w:p>
        </w:tc>
        <w:tc>
          <w:tcPr>
            <w:tcW w:w="1620" w:type="dxa"/>
            <w:shd w:val="clear" w:color="auto" w:fill="D9D9D9" w:themeFill="background1" w:themeFillShade="D9"/>
          </w:tcPr>
          <w:p w:rsidR="003258B1" w:rsidRPr="0082796F" w:rsidP="00001270" w14:paraId="4A295635" w14:textId="77777777">
            <w:pPr>
              <w:jc w:val="center"/>
              <w:rPr>
                <w:rFonts w:ascii="Arial" w:hAnsi="Arial" w:cs="Arial"/>
                <w:b/>
                <w:bCs/>
                <w:sz w:val="16"/>
                <w:szCs w:val="16"/>
              </w:rPr>
            </w:pPr>
          </w:p>
        </w:tc>
        <w:tc>
          <w:tcPr>
            <w:tcW w:w="1530" w:type="dxa"/>
            <w:shd w:val="clear" w:color="auto" w:fill="auto"/>
          </w:tcPr>
          <w:p w:rsidR="003258B1" w:rsidRPr="003E4706" w:rsidP="00001270" w14:paraId="2EDD10D0"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2,296</w:t>
            </w:r>
          </w:p>
        </w:tc>
        <w:tc>
          <w:tcPr>
            <w:tcW w:w="1260" w:type="dxa"/>
          </w:tcPr>
          <w:p w:rsidR="003258B1" w:rsidRPr="0082796F" w:rsidP="00001270" w14:paraId="71DAC211" w14:textId="77777777">
            <w:pPr>
              <w:suppressAutoHyphens/>
              <w:jc w:val="center"/>
              <w:rPr>
                <w:rFonts w:ascii="Arial" w:hAnsi="Arial" w:cs="Arial"/>
                <w:b/>
                <w:bCs/>
                <w:sz w:val="16"/>
                <w:szCs w:val="16"/>
              </w:rPr>
            </w:pPr>
            <w:r w:rsidRPr="00267178">
              <w:rPr>
                <w:rFonts w:ascii="Arial" w:hAnsi="Arial" w:cs="Arial"/>
                <w:b/>
                <w:bCs/>
                <w:sz w:val="16"/>
                <w:szCs w:val="16"/>
              </w:rPr>
              <w:t>20,540</w:t>
            </w:r>
          </w:p>
        </w:tc>
        <w:tc>
          <w:tcPr>
            <w:tcW w:w="1350" w:type="dxa"/>
          </w:tcPr>
          <w:p w:rsidR="003258B1" w:rsidRPr="0082796F" w:rsidP="00001270" w14:paraId="70540374" w14:textId="77777777">
            <w:pPr>
              <w:suppressAutoHyphens/>
              <w:jc w:val="center"/>
              <w:rPr>
                <w:rFonts w:ascii="Arial" w:hAnsi="Arial" w:cs="Arial"/>
                <w:b/>
                <w:bCs/>
                <w:sz w:val="16"/>
                <w:szCs w:val="16"/>
              </w:rPr>
            </w:pPr>
            <w:r>
              <w:rPr>
                <w:rFonts w:ascii="Arial" w:hAnsi="Arial" w:cs="Arial"/>
                <w:b/>
                <w:bCs/>
                <w:sz w:val="16"/>
                <w:szCs w:val="16"/>
              </w:rPr>
              <w:t>$</w:t>
            </w:r>
            <w:r w:rsidRPr="00267178">
              <w:rPr>
                <w:rFonts w:ascii="Arial" w:hAnsi="Arial" w:cs="Arial"/>
                <w:b/>
                <w:bCs/>
                <w:sz w:val="16"/>
                <w:szCs w:val="16"/>
              </w:rPr>
              <w:t>2,188,742.40</w:t>
            </w:r>
          </w:p>
        </w:tc>
      </w:tr>
    </w:tbl>
    <w:p w:rsidR="00C41377" w:rsidRPr="00C41377" w:rsidP="003258B1" w14:paraId="5A1D72ED" w14:textId="66832F1F">
      <w:pPr>
        <w:tabs>
          <w:tab w:val="left" w:pos="-720"/>
        </w:tabs>
        <w:suppressAutoHyphens/>
        <w:spacing w:after="240"/>
        <w:ind w:firstLine="720"/>
        <w:rPr>
          <w:rFonts w:ascii="Times New Roman" w:hAnsi="Times New Roman"/>
          <w:b/>
          <w:u w:val="single"/>
        </w:rPr>
      </w:pPr>
    </w:p>
    <w:sectPr w:rsidSect="00B42A90">
      <w:footerReference w:type="default" r:id="rId10"/>
      <w:footnotePr>
        <w:numRestart w:val="eachSect"/>
      </w:footnotePr>
      <w:endnotePr>
        <w:numFmt w:val="decimal"/>
      </w:endnotePr>
      <w:pgSz w:w="15840" w:h="12240" w:orient="landscape"/>
      <w:pgMar w:top="1440" w:right="1440" w:bottom="1440" w:left="1440" w:header="1440"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61162270"/>
      <w:docPartObj>
        <w:docPartGallery w:val="Page Numbers (Bottom of Page)"/>
        <w:docPartUnique/>
      </w:docPartObj>
    </w:sdtPr>
    <w:sdtEndPr>
      <w:rPr>
        <w:rFonts w:ascii="Times New Roman" w:hAnsi="Times New Roman"/>
        <w:noProof/>
      </w:rPr>
    </w:sdtEndPr>
    <w:sdtContent>
      <w:p w:rsidR="00270670" w:rsidRPr="007F7877" w14:paraId="024D65E7" w14:textId="77777777">
        <w:pPr>
          <w:pStyle w:val="Footer"/>
          <w:jc w:val="center"/>
          <w:rPr>
            <w:rFonts w:ascii="Times New Roman" w:hAnsi="Times New Roman"/>
          </w:rPr>
        </w:pPr>
        <w:r w:rsidRPr="007F7877">
          <w:rPr>
            <w:rFonts w:ascii="Times New Roman" w:hAnsi="Times New Roman"/>
          </w:rPr>
          <w:fldChar w:fldCharType="begin"/>
        </w:r>
        <w:r w:rsidRPr="007F7877">
          <w:rPr>
            <w:rFonts w:ascii="Times New Roman" w:hAnsi="Times New Roman"/>
          </w:rPr>
          <w:instrText xml:space="preserve"> PAGE   \* MERGEFORMAT </w:instrText>
        </w:r>
        <w:r w:rsidRPr="007F7877">
          <w:rPr>
            <w:rFonts w:ascii="Times New Roman" w:hAnsi="Times New Roman"/>
          </w:rPr>
          <w:fldChar w:fldCharType="separate"/>
        </w:r>
        <w:r w:rsidRPr="007F7877">
          <w:rPr>
            <w:rFonts w:ascii="Times New Roman" w:hAnsi="Times New Roman"/>
            <w:noProof/>
          </w:rPr>
          <w:t>2</w:t>
        </w:r>
        <w:r w:rsidRPr="007F7877">
          <w:rPr>
            <w:rFonts w:ascii="Times New Roman" w:hAnsi="Times New Roman"/>
            <w:noProof/>
          </w:rPr>
          <w:fldChar w:fldCharType="end"/>
        </w:r>
      </w:p>
    </w:sdtContent>
  </w:sdt>
  <w:p w:rsidR="00270670" w:rsidRPr="007F7877" w14:paraId="6E4B11D4" w14:textId="7777777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E47FD" w:rsidP="00C05C3F" w14:paraId="1AC2E726" w14:textId="77777777">
      <w:r>
        <w:separator/>
      </w:r>
    </w:p>
  </w:footnote>
  <w:footnote w:type="continuationSeparator" w:id="1">
    <w:p w:rsidR="000E47FD" w:rsidP="00C05C3F" w14:paraId="6B9BD43B" w14:textId="77777777">
      <w:r>
        <w:continuationSeparator/>
      </w:r>
    </w:p>
  </w:footnote>
  <w:footnote w:type="continuationNotice" w:id="2">
    <w:p w:rsidR="000E47FD" w14:paraId="64B0AFD3" w14:textId="77777777"/>
  </w:footnote>
  <w:footnote w:id="3">
    <w:p w:rsidR="00DF25D9" w:rsidRPr="003A5177" w:rsidP="001B70A4" w14:paraId="451FBE28" w14:textId="479A7AD0">
      <w:pPr>
        <w:pStyle w:val="FootnoteText"/>
        <w:spacing w:after="120"/>
      </w:pPr>
      <w:r w:rsidRPr="003A5177">
        <w:rPr>
          <w:rStyle w:val="FootnoteReference"/>
        </w:rPr>
        <w:footnoteRef/>
      </w:r>
      <w:r w:rsidRPr="003A5177">
        <w:t xml:space="preserve"> </w:t>
      </w:r>
      <w:r w:rsidRPr="00367BAA">
        <w:rPr>
          <w:i/>
        </w:rPr>
        <w:t>See</w:t>
      </w:r>
      <w:r w:rsidRPr="00367BAA">
        <w:t xml:space="preserve"> 83 F.R. 43855, 43856 (Aug. 28, 2018); Supporting Statement at </w:t>
      </w:r>
      <w:hyperlink r:id="rId1" w:history="1">
        <w:r w:rsidRPr="00367BAA">
          <w:rPr>
            <w:rStyle w:val="Hyperlink"/>
          </w:rPr>
          <w:t>https://www.reginfo.gov/public/do/PRAViewDocument?ref_nbr=201808-3038-003</w:t>
        </w:r>
      </w:hyperlink>
      <w:r w:rsidRPr="00367BAA">
        <w:t>.</w:t>
      </w:r>
    </w:p>
  </w:footnote>
  <w:footnote w:id="4">
    <w:p w:rsidR="005E01E6" w:rsidRPr="00367BAA" w:rsidP="001B70A4" w14:paraId="524C6AC5" w14:textId="4C3CA736">
      <w:pPr>
        <w:pStyle w:val="FootnoteText"/>
        <w:spacing w:after="120"/>
      </w:pPr>
      <w:r w:rsidRPr="00367BAA">
        <w:rPr>
          <w:rStyle w:val="FootnoteReference"/>
        </w:rPr>
        <w:footnoteRef/>
      </w:r>
      <w:r w:rsidRPr="00367BAA">
        <w:t xml:space="preserve"> </w:t>
      </w:r>
      <w:r w:rsidRPr="00367BAA">
        <w:rPr>
          <w:i/>
        </w:rPr>
        <w:t>See</w:t>
      </w:r>
      <w:r w:rsidRPr="00367BAA">
        <w:t xml:space="preserve"> OMB Control No. 3038-009</w:t>
      </w:r>
      <w:r>
        <w:t>3</w:t>
      </w:r>
      <w:r w:rsidRPr="00367BAA">
        <w:t xml:space="preserve">, Part 150 Position Limits IC, Supporting Statement, at </w:t>
      </w:r>
      <w:hyperlink r:id="rId2" w:history="1">
        <w:r w:rsidRPr="00367BAA">
          <w:rPr>
            <w:rStyle w:val="Hyperlink"/>
          </w:rPr>
          <w:t>https://www.reginfo.gov/public/do/PRAViewDocument?ref_nbr=202102-3038-001</w:t>
        </w:r>
      </w:hyperlink>
      <w:r w:rsidRPr="00367BAA">
        <w:t>.</w:t>
      </w:r>
    </w:p>
  </w:footnote>
  <w:footnote w:id="5">
    <w:p w:rsidR="005E01E6" w:rsidRPr="003A5177" w:rsidP="001B70A4" w14:paraId="58A8F7E2" w14:textId="77777777">
      <w:pPr>
        <w:pStyle w:val="FootnoteText"/>
        <w:spacing w:after="120"/>
      </w:pPr>
      <w:r w:rsidRPr="003A5177">
        <w:rPr>
          <w:rStyle w:val="FootnoteReference"/>
        </w:rPr>
        <w:footnoteRef/>
      </w:r>
      <w:r w:rsidRPr="003A5177">
        <w:t xml:space="preserve"> For similar reasons, the Commission is also consolidating the burden for Regulation 38.125(e) that was previously reported separately.</w:t>
      </w:r>
    </w:p>
  </w:footnote>
  <w:footnote w:id="6">
    <w:p w:rsidR="003258B1" w:rsidRPr="008C761E" w:rsidP="001B70A4" w14:paraId="23E4258A" w14:textId="2C5FB406">
      <w:pPr>
        <w:pStyle w:val="FootnoteText"/>
        <w:spacing w:after="120"/>
        <w:rPr>
          <w:sz w:val="16"/>
          <w:szCs w:val="16"/>
        </w:rPr>
      </w:pPr>
      <w:r>
        <w:rPr>
          <w:rStyle w:val="FootnoteReference"/>
        </w:rPr>
        <w:footnoteRef/>
      </w:r>
      <w:r>
        <w:t xml:space="preserve"> </w:t>
      </w:r>
      <w:r>
        <w:rPr>
          <w:sz w:val="16"/>
          <w:szCs w:val="16"/>
        </w:rPr>
        <w:t>The totals for estimated numbers of reports by respondent per year are rounded.  These estimates are derived by dividing the total number of responses in Column 8 (based on an average of actual filings submitted to the Commission over the past three years) by the total number of respondents shown in Column 2.</w:t>
      </w:r>
    </w:p>
  </w:footnote>
  <w:footnote w:id="7">
    <w:p w:rsidR="003258B1" w:rsidRPr="0082796F" w:rsidP="001B70A4" w14:paraId="0280F77A" w14:textId="77777777">
      <w:pPr>
        <w:pStyle w:val="FootnoteText"/>
        <w:spacing w:after="120"/>
        <w:rPr>
          <w:rFonts w:eastAsia="Calibri"/>
          <w:sz w:val="16"/>
          <w:szCs w:val="16"/>
        </w:rPr>
      </w:pPr>
      <w:r w:rsidRPr="0082796F">
        <w:rPr>
          <w:rStyle w:val="FootnoteReference"/>
          <w:sz w:val="16"/>
          <w:szCs w:val="16"/>
        </w:rPr>
        <w:footnoteRef/>
      </w:r>
      <w:r w:rsidRPr="0082796F">
        <w:rPr>
          <w:sz w:val="16"/>
          <w:szCs w:val="16"/>
        </w:rPr>
        <w:t xml:space="preserve"> </w:t>
      </w:r>
      <w:r>
        <w:rPr>
          <w:rFonts w:eastAsia="Calibri"/>
          <w:sz w:val="16"/>
          <w:szCs w:val="16"/>
        </w:rPr>
        <w:t>For §§ 40.2. 40.3. 40.5, 40.6, and 40.10, the</w:t>
      </w:r>
      <w:r w:rsidRPr="0082796F">
        <w:rPr>
          <w:rFonts w:eastAsia="Calibri"/>
          <w:sz w:val="16"/>
          <w:szCs w:val="16"/>
        </w:rPr>
        <w:t xml:space="preserve"> Commission is providing a blended rate using estimated industry specific wages for Compliance Officer and Lawyers multiplied by 1.3 to account for overhead and other benefits</w:t>
      </w:r>
      <w:r>
        <w:rPr>
          <w:rFonts w:eastAsia="Calibri"/>
          <w:sz w:val="16"/>
          <w:szCs w:val="16"/>
        </w:rPr>
        <w:t xml:space="preserve"> using data from 2022</w:t>
      </w:r>
      <w:r w:rsidRPr="0082796F">
        <w:rPr>
          <w:rFonts w:eastAsia="Calibri"/>
          <w:sz w:val="16"/>
          <w:szCs w:val="16"/>
        </w:rPr>
        <w:t>.  Per the U.S. Bureau of Labor Statistics, national industry-specific occupational employment and wage estimates with data collected from employers in the securities, commodity contracts, and other financial investments and related activities (NAICS 523000) provides that the mean hourly wage for a compliance officer is $44.31 and lawyer is $119.63.  The average of those wages is $81.97, when adjusted by 1.3 multiplier noted above results in the average hourly wage of $106.56</w:t>
      </w:r>
      <w:r>
        <w:rPr>
          <w:rFonts w:eastAsia="Calibri"/>
          <w:sz w:val="16"/>
          <w:szCs w:val="16"/>
        </w:rPr>
        <w:t>.</w:t>
      </w:r>
      <w:r w:rsidRPr="0082796F">
        <w:rPr>
          <w:rFonts w:eastAsia="Calibri"/>
          <w:sz w:val="16"/>
          <w:szCs w:val="16"/>
        </w:rPr>
        <w:t xml:space="preserve">  </w:t>
      </w:r>
      <w:r w:rsidRPr="0082796F">
        <w:rPr>
          <w:rFonts w:eastAsia="Calibri"/>
          <w:i/>
          <w:iCs/>
          <w:sz w:val="16"/>
          <w:szCs w:val="16"/>
        </w:rPr>
        <w:t>See</w:t>
      </w:r>
      <w:r w:rsidRPr="0082796F">
        <w:rPr>
          <w:rFonts w:eastAsia="Calibri"/>
          <w:sz w:val="16"/>
          <w:szCs w:val="16"/>
        </w:rPr>
        <w:t xml:space="preserve"> May 2022 National Industry-Specific Occupational Employment and Wage Estimates, NAICS 523000 - Securities, Commodity Contracts, and Other Financial Investments and Related Activities, available at: https://www.bls.gov/oes/current/naics3_523000.htm.</w:t>
      </w:r>
    </w:p>
  </w:footnote>
  <w:footnote w:id="8">
    <w:p w:rsidR="003258B1" w:rsidRPr="003132BA" w:rsidP="001B70A4" w14:paraId="28A2BCB8" w14:textId="1466A80C">
      <w:pPr>
        <w:pStyle w:val="FootnoteText"/>
        <w:spacing w:after="120"/>
      </w:pPr>
      <w:r>
        <w:rPr>
          <w:rStyle w:val="FootnoteReference"/>
        </w:rPr>
        <w:footnoteRef/>
      </w:r>
      <w:r>
        <w:t xml:space="preserve"> </w:t>
      </w:r>
      <w:r>
        <w:rPr>
          <w:sz w:val="16"/>
          <w:szCs w:val="16"/>
        </w:rPr>
        <w:t xml:space="preserve">The Total Annual Responses in column 8 were obtained by querying the Commission’s </w:t>
      </w:r>
      <w:r w:rsidR="00177E2B">
        <w:rPr>
          <w:sz w:val="16"/>
          <w:szCs w:val="16"/>
        </w:rPr>
        <w:t>submission database</w:t>
      </w:r>
      <w:r>
        <w:rPr>
          <w:sz w:val="16"/>
          <w:szCs w:val="16"/>
        </w:rPr>
        <w:t xml:space="preserve"> for the total number of past three years of filings in each category.  The three-year totals </w:t>
      </w:r>
      <w:r w:rsidRPr="00EE08D5">
        <w:rPr>
          <w:sz w:val="16"/>
          <w:szCs w:val="16"/>
        </w:rPr>
        <w:t xml:space="preserve">were averaged </w:t>
      </w:r>
      <w:r w:rsidRPr="00C60BED">
        <w:rPr>
          <w:sz w:val="16"/>
          <w:szCs w:val="16"/>
        </w:rPr>
        <w:t>to calculate</w:t>
      </w:r>
      <w:r w:rsidRPr="00EE08D5">
        <w:rPr>
          <w:sz w:val="16"/>
          <w:szCs w:val="16"/>
        </w:rPr>
        <w:t xml:space="preserve"> </w:t>
      </w:r>
      <w:r w:rsidRPr="00C60BED">
        <w:rPr>
          <w:sz w:val="16"/>
          <w:szCs w:val="16"/>
        </w:rPr>
        <w:t>the</w:t>
      </w:r>
      <w:r w:rsidRPr="00EE08D5">
        <w:rPr>
          <w:sz w:val="16"/>
          <w:szCs w:val="16"/>
        </w:rPr>
        <w:t xml:space="preserve"> annual estimate. </w:t>
      </w:r>
      <w:r w:rsidRPr="00EE08D5">
        <w:rPr>
          <w:i/>
          <w:sz w:val="16"/>
          <w:szCs w:val="16"/>
        </w:rPr>
        <w:t>See</w:t>
      </w:r>
      <w:r w:rsidRPr="00EE08D5">
        <w:rPr>
          <w:sz w:val="16"/>
          <w:szCs w:val="16"/>
        </w:rPr>
        <w:t xml:space="preserve"> Provisions Common to Registered Entities, Notice of Proposed Rulemaking, </w:t>
      </w:r>
      <w:r w:rsidRPr="00C60BED">
        <w:rPr>
          <w:sz w:val="16"/>
          <w:szCs w:val="16"/>
        </w:rPr>
        <w:t>88 F.R. 61432, 61443 n.</w:t>
      </w:r>
      <w:r w:rsidRPr="00EE08D5">
        <w:rPr>
          <w:sz w:val="16"/>
          <w:szCs w:val="16"/>
        </w:rPr>
        <w:t>75,</w:t>
      </w:r>
      <w:r>
        <w:rPr>
          <w:sz w:val="16"/>
          <w:szCs w:val="16"/>
        </w:rPr>
        <w:t xml:space="preserve"> 61444 nn.79 and 82 (Sept. 6, 2023).</w:t>
      </w:r>
    </w:p>
  </w:footnote>
  <w:footnote w:id="9">
    <w:p w:rsidR="003258B1" w:rsidRPr="00C60BED" w:rsidP="001B70A4" w14:paraId="062E9792" w14:textId="16AE02FD">
      <w:pPr>
        <w:pStyle w:val="FootnoteText"/>
        <w:spacing w:after="120"/>
        <w:rPr>
          <w:sz w:val="16"/>
          <w:szCs w:val="16"/>
        </w:rPr>
      </w:pPr>
      <w:r w:rsidRPr="00C60BED">
        <w:rPr>
          <w:rStyle w:val="FootnoteReference"/>
          <w:sz w:val="16"/>
          <w:szCs w:val="16"/>
        </w:rPr>
        <w:footnoteRef/>
      </w:r>
      <w:r w:rsidRPr="00C60BED">
        <w:rPr>
          <w:sz w:val="16"/>
          <w:szCs w:val="16"/>
        </w:rPr>
        <w:t xml:space="preserve"> The category for §§ 40.5 and 40.6 now includes part 40 rule filings triggered by § 38.251(e), which had previously been listed as a separate line-item</w:t>
      </w:r>
      <w:r>
        <w:rPr>
          <w:sz w:val="16"/>
          <w:szCs w:val="16"/>
        </w:rPr>
        <w:t>, and the filings triggered by § 150.9(a), which had previously been included in a second IC that has now been merged with the Provisions Common to Registered Entities IC.</w:t>
      </w:r>
    </w:p>
  </w:footnote>
  <w:footnote w:id="10">
    <w:p w:rsidR="003258B1" w:rsidRPr="00A17C2A" w:rsidP="001B70A4" w14:paraId="44797369" w14:textId="727EE26C">
      <w:pPr>
        <w:pStyle w:val="FootnoteText"/>
        <w:spacing w:after="120"/>
        <w:rPr>
          <w:sz w:val="16"/>
          <w:szCs w:val="16"/>
        </w:rPr>
      </w:pPr>
      <w:r w:rsidRPr="00A17C2A">
        <w:rPr>
          <w:rStyle w:val="FootnoteReference"/>
          <w:sz w:val="16"/>
          <w:szCs w:val="16"/>
        </w:rPr>
        <w:footnoteRef/>
      </w:r>
      <w:r w:rsidRPr="00A17C2A">
        <w:rPr>
          <w:sz w:val="16"/>
          <w:szCs w:val="16"/>
        </w:rPr>
        <w:t xml:space="preserve"> The total number of respondents for </w:t>
      </w:r>
      <w:r>
        <w:rPr>
          <w:sz w:val="16"/>
          <w:szCs w:val="16"/>
        </w:rPr>
        <w:t>the Information Collection</w:t>
      </w:r>
      <w:r w:rsidRPr="00A17C2A">
        <w:rPr>
          <w:sz w:val="16"/>
          <w:szCs w:val="16"/>
        </w:rPr>
        <w:t xml:space="preserve"> is 70.  A</w:t>
      </w:r>
      <w:r>
        <w:rPr>
          <w:sz w:val="16"/>
          <w:szCs w:val="16"/>
        </w:rPr>
        <w:t xml:space="preserve"> subset of 2  respondents</w:t>
      </w:r>
      <w:r w:rsidRPr="00A17C2A">
        <w:rPr>
          <w:sz w:val="16"/>
          <w:szCs w:val="16"/>
        </w:rPr>
        <w:t xml:space="preserve"> file</w:t>
      </w:r>
      <w:r>
        <w:rPr>
          <w:sz w:val="16"/>
          <w:szCs w:val="16"/>
        </w:rPr>
        <w:t>d</w:t>
      </w:r>
      <w:r w:rsidRPr="00A17C2A">
        <w:rPr>
          <w:sz w:val="16"/>
          <w:szCs w:val="16"/>
        </w:rPr>
        <w:t xml:space="preserve"> </w:t>
      </w:r>
      <w:r>
        <w:rPr>
          <w:sz w:val="16"/>
          <w:szCs w:val="16"/>
        </w:rPr>
        <w:t>reports</w:t>
      </w:r>
      <w:r w:rsidRPr="00A17C2A">
        <w:rPr>
          <w:sz w:val="16"/>
          <w:szCs w:val="16"/>
        </w:rPr>
        <w:t xml:space="preserve"> under § 40.10.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4320"/>
      <w:gridCol w:w="4320"/>
      <w:gridCol w:w="4320"/>
    </w:tblGrid>
    <w:tr w14:paraId="318ECB40" w14:textId="77777777" w:rsidTr="008F5D39">
      <w:tblPrEx>
        <w:tblW w:w="0" w:type="auto"/>
        <w:tblLayout w:type="fixed"/>
        <w:tblLook w:val="06A0"/>
      </w:tblPrEx>
      <w:trPr>
        <w:trHeight w:val="300"/>
      </w:trPr>
      <w:tc>
        <w:tcPr>
          <w:tcW w:w="4320" w:type="dxa"/>
        </w:tcPr>
        <w:p w:rsidR="1C0FC27F" w:rsidP="008F5D39" w14:paraId="512BD832" w14:textId="140CD4EA">
          <w:pPr>
            <w:pStyle w:val="Header"/>
            <w:ind w:left="-115"/>
          </w:pPr>
        </w:p>
      </w:tc>
      <w:tc>
        <w:tcPr>
          <w:tcW w:w="4320" w:type="dxa"/>
        </w:tcPr>
        <w:p w:rsidR="1C0FC27F" w:rsidP="008F5D39" w14:paraId="25943689" w14:textId="52266105">
          <w:pPr>
            <w:pStyle w:val="Header"/>
            <w:jc w:val="center"/>
          </w:pPr>
        </w:p>
      </w:tc>
      <w:tc>
        <w:tcPr>
          <w:tcW w:w="4320" w:type="dxa"/>
        </w:tcPr>
        <w:p w:rsidR="1C0FC27F" w:rsidP="008F5D39" w14:paraId="39CA1817" w14:textId="6A377F67">
          <w:pPr>
            <w:pStyle w:val="Header"/>
            <w:ind w:right="-115"/>
            <w:jc w:val="right"/>
          </w:pPr>
        </w:p>
      </w:tc>
    </w:tr>
  </w:tbl>
  <w:p w:rsidR="1C0FC27F" w:rsidP="00367BAA" w14:paraId="0ADC739F" w14:textId="60AE1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1E507B"/>
    <w:multiLevelType w:val="hybridMultilevel"/>
    <w:tmpl w:val="CC86D80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0B675D7"/>
    <w:multiLevelType w:val="hybridMultilevel"/>
    <w:tmpl w:val="36A81598"/>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F90971"/>
    <w:multiLevelType w:val="hybridMultilevel"/>
    <w:tmpl w:val="F5EE3FD0"/>
    <w:lvl w:ilvl="0">
      <w:start w:va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3F"/>
    <w:rsid w:val="00001270"/>
    <w:rsid w:val="00003A17"/>
    <w:rsid w:val="00012F85"/>
    <w:rsid w:val="000349B5"/>
    <w:rsid w:val="00037D11"/>
    <w:rsid w:val="00041996"/>
    <w:rsid w:val="00042B22"/>
    <w:rsid w:val="000530F8"/>
    <w:rsid w:val="00054A5F"/>
    <w:rsid w:val="000576BF"/>
    <w:rsid w:val="00060688"/>
    <w:rsid w:val="00065D7F"/>
    <w:rsid w:val="00072097"/>
    <w:rsid w:val="00072761"/>
    <w:rsid w:val="000779B3"/>
    <w:rsid w:val="000803D6"/>
    <w:rsid w:val="00080548"/>
    <w:rsid w:val="00082C11"/>
    <w:rsid w:val="00086465"/>
    <w:rsid w:val="000A6B22"/>
    <w:rsid w:val="000B727D"/>
    <w:rsid w:val="000C220F"/>
    <w:rsid w:val="000D002D"/>
    <w:rsid w:val="000E1DF0"/>
    <w:rsid w:val="000E47FD"/>
    <w:rsid w:val="000E5773"/>
    <w:rsid w:val="000E6888"/>
    <w:rsid w:val="000F700E"/>
    <w:rsid w:val="0010119C"/>
    <w:rsid w:val="001058C9"/>
    <w:rsid w:val="00112BE4"/>
    <w:rsid w:val="00112D2B"/>
    <w:rsid w:val="00113EB0"/>
    <w:rsid w:val="00115369"/>
    <w:rsid w:val="00127E98"/>
    <w:rsid w:val="001417D0"/>
    <w:rsid w:val="00142CD6"/>
    <w:rsid w:val="00147462"/>
    <w:rsid w:val="001518FF"/>
    <w:rsid w:val="001638D0"/>
    <w:rsid w:val="00177E2B"/>
    <w:rsid w:val="001808E9"/>
    <w:rsid w:val="00183FB5"/>
    <w:rsid w:val="00185A95"/>
    <w:rsid w:val="00190283"/>
    <w:rsid w:val="001A137B"/>
    <w:rsid w:val="001A3420"/>
    <w:rsid w:val="001B0806"/>
    <w:rsid w:val="001B70A4"/>
    <w:rsid w:val="001D0F6C"/>
    <w:rsid w:val="001D6B32"/>
    <w:rsid w:val="001E2311"/>
    <w:rsid w:val="001E6564"/>
    <w:rsid w:val="00224EAA"/>
    <w:rsid w:val="0022560D"/>
    <w:rsid w:val="00227457"/>
    <w:rsid w:val="00227EAA"/>
    <w:rsid w:val="002325C6"/>
    <w:rsid w:val="002342A0"/>
    <w:rsid w:val="002375E8"/>
    <w:rsid w:val="0024190E"/>
    <w:rsid w:val="002475E3"/>
    <w:rsid w:val="0025096C"/>
    <w:rsid w:val="00253358"/>
    <w:rsid w:val="002601C2"/>
    <w:rsid w:val="002634DB"/>
    <w:rsid w:val="00266604"/>
    <w:rsid w:val="00267178"/>
    <w:rsid w:val="00270670"/>
    <w:rsid w:val="00271E7A"/>
    <w:rsid w:val="00275A48"/>
    <w:rsid w:val="002819B6"/>
    <w:rsid w:val="00291994"/>
    <w:rsid w:val="002972FA"/>
    <w:rsid w:val="002B3973"/>
    <w:rsid w:val="002B49FB"/>
    <w:rsid w:val="002C77A6"/>
    <w:rsid w:val="002D3FBF"/>
    <w:rsid w:val="002E074F"/>
    <w:rsid w:val="002E09D5"/>
    <w:rsid w:val="002E3635"/>
    <w:rsid w:val="002E6DAA"/>
    <w:rsid w:val="002F0867"/>
    <w:rsid w:val="002F6957"/>
    <w:rsid w:val="00302008"/>
    <w:rsid w:val="003046EA"/>
    <w:rsid w:val="00307E70"/>
    <w:rsid w:val="00310B42"/>
    <w:rsid w:val="003132BA"/>
    <w:rsid w:val="0031347C"/>
    <w:rsid w:val="003147FC"/>
    <w:rsid w:val="003200CF"/>
    <w:rsid w:val="003216DB"/>
    <w:rsid w:val="003228ED"/>
    <w:rsid w:val="003258B1"/>
    <w:rsid w:val="00327EC8"/>
    <w:rsid w:val="003313F7"/>
    <w:rsid w:val="0033546B"/>
    <w:rsid w:val="00345BFB"/>
    <w:rsid w:val="00351B43"/>
    <w:rsid w:val="00351B58"/>
    <w:rsid w:val="00362E40"/>
    <w:rsid w:val="00367BAA"/>
    <w:rsid w:val="003702A7"/>
    <w:rsid w:val="00373767"/>
    <w:rsid w:val="003753B3"/>
    <w:rsid w:val="00375F0C"/>
    <w:rsid w:val="00375F24"/>
    <w:rsid w:val="00381817"/>
    <w:rsid w:val="003855F2"/>
    <w:rsid w:val="003860DE"/>
    <w:rsid w:val="00386B6D"/>
    <w:rsid w:val="00397F54"/>
    <w:rsid w:val="003A2080"/>
    <w:rsid w:val="003A40AF"/>
    <w:rsid w:val="003A5177"/>
    <w:rsid w:val="003B0A71"/>
    <w:rsid w:val="003B1994"/>
    <w:rsid w:val="003C09CE"/>
    <w:rsid w:val="003C641E"/>
    <w:rsid w:val="003D29E1"/>
    <w:rsid w:val="003D42F1"/>
    <w:rsid w:val="003E2E56"/>
    <w:rsid w:val="003E3804"/>
    <w:rsid w:val="003E3BE1"/>
    <w:rsid w:val="003E4706"/>
    <w:rsid w:val="0040233C"/>
    <w:rsid w:val="00403823"/>
    <w:rsid w:val="00411C02"/>
    <w:rsid w:val="004149D3"/>
    <w:rsid w:val="00442F8D"/>
    <w:rsid w:val="00474DC7"/>
    <w:rsid w:val="00481EBF"/>
    <w:rsid w:val="00482A98"/>
    <w:rsid w:val="00493721"/>
    <w:rsid w:val="004A301A"/>
    <w:rsid w:val="004B0212"/>
    <w:rsid w:val="004B12D3"/>
    <w:rsid w:val="004B34B9"/>
    <w:rsid w:val="004C6742"/>
    <w:rsid w:val="004C71AC"/>
    <w:rsid w:val="004C79B7"/>
    <w:rsid w:val="004D014B"/>
    <w:rsid w:val="004D5495"/>
    <w:rsid w:val="004D6B69"/>
    <w:rsid w:val="004E0219"/>
    <w:rsid w:val="004E3C48"/>
    <w:rsid w:val="004E43DA"/>
    <w:rsid w:val="00500B2B"/>
    <w:rsid w:val="00506D74"/>
    <w:rsid w:val="00507C2A"/>
    <w:rsid w:val="005131BF"/>
    <w:rsid w:val="00513D9E"/>
    <w:rsid w:val="00522AB7"/>
    <w:rsid w:val="0053222D"/>
    <w:rsid w:val="00542BAA"/>
    <w:rsid w:val="005462A4"/>
    <w:rsid w:val="005508DD"/>
    <w:rsid w:val="00551EB8"/>
    <w:rsid w:val="005570A5"/>
    <w:rsid w:val="00563679"/>
    <w:rsid w:val="00565296"/>
    <w:rsid w:val="00584808"/>
    <w:rsid w:val="00585718"/>
    <w:rsid w:val="00594F1F"/>
    <w:rsid w:val="00595C03"/>
    <w:rsid w:val="005B4B85"/>
    <w:rsid w:val="005B5FA8"/>
    <w:rsid w:val="005C208E"/>
    <w:rsid w:val="005C7654"/>
    <w:rsid w:val="005D1055"/>
    <w:rsid w:val="005E01E6"/>
    <w:rsid w:val="005E549F"/>
    <w:rsid w:val="005F0640"/>
    <w:rsid w:val="005F3B53"/>
    <w:rsid w:val="005F4482"/>
    <w:rsid w:val="00602068"/>
    <w:rsid w:val="00602376"/>
    <w:rsid w:val="00603512"/>
    <w:rsid w:val="0060490D"/>
    <w:rsid w:val="00607D38"/>
    <w:rsid w:val="00615E4C"/>
    <w:rsid w:val="006163DC"/>
    <w:rsid w:val="00623913"/>
    <w:rsid w:val="006243BC"/>
    <w:rsid w:val="006246D8"/>
    <w:rsid w:val="00625AA1"/>
    <w:rsid w:val="0063622E"/>
    <w:rsid w:val="00637BE5"/>
    <w:rsid w:val="006420B8"/>
    <w:rsid w:val="00646F67"/>
    <w:rsid w:val="00654294"/>
    <w:rsid w:val="00667CD6"/>
    <w:rsid w:val="00674F18"/>
    <w:rsid w:val="00676ACA"/>
    <w:rsid w:val="006840E8"/>
    <w:rsid w:val="006870DD"/>
    <w:rsid w:val="006921FB"/>
    <w:rsid w:val="00695253"/>
    <w:rsid w:val="00696F12"/>
    <w:rsid w:val="006A4E2A"/>
    <w:rsid w:val="006B1BD7"/>
    <w:rsid w:val="006B2565"/>
    <w:rsid w:val="006C31EC"/>
    <w:rsid w:val="006D50C7"/>
    <w:rsid w:val="006E4356"/>
    <w:rsid w:val="006E44F2"/>
    <w:rsid w:val="006E504E"/>
    <w:rsid w:val="006E7ED5"/>
    <w:rsid w:val="006F47B3"/>
    <w:rsid w:val="006F7364"/>
    <w:rsid w:val="006F7A19"/>
    <w:rsid w:val="007029A9"/>
    <w:rsid w:val="00704155"/>
    <w:rsid w:val="00705F6F"/>
    <w:rsid w:val="00706BE8"/>
    <w:rsid w:val="00712C72"/>
    <w:rsid w:val="007141E8"/>
    <w:rsid w:val="0071759C"/>
    <w:rsid w:val="00727837"/>
    <w:rsid w:val="00736814"/>
    <w:rsid w:val="00743FE9"/>
    <w:rsid w:val="0074737B"/>
    <w:rsid w:val="00755021"/>
    <w:rsid w:val="00761C9B"/>
    <w:rsid w:val="00763367"/>
    <w:rsid w:val="00763976"/>
    <w:rsid w:val="00766327"/>
    <w:rsid w:val="0077280B"/>
    <w:rsid w:val="00773F11"/>
    <w:rsid w:val="007750CE"/>
    <w:rsid w:val="00775DFE"/>
    <w:rsid w:val="0077660A"/>
    <w:rsid w:val="00790900"/>
    <w:rsid w:val="007936F5"/>
    <w:rsid w:val="007942EE"/>
    <w:rsid w:val="007A19A4"/>
    <w:rsid w:val="007A3682"/>
    <w:rsid w:val="007A3DB4"/>
    <w:rsid w:val="007B4B2D"/>
    <w:rsid w:val="007B55D0"/>
    <w:rsid w:val="007D0138"/>
    <w:rsid w:val="007D5B62"/>
    <w:rsid w:val="007F43FD"/>
    <w:rsid w:val="007F69D0"/>
    <w:rsid w:val="007F7877"/>
    <w:rsid w:val="0081595B"/>
    <w:rsid w:val="00815CD7"/>
    <w:rsid w:val="00822C94"/>
    <w:rsid w:val="00822CF3"/>
    <w:rsid w:val="008267C1"/>
    <w:rsid w:val="0082782C"/>
    <w:rsid w:val="0082796F"/>
    <w:rsid w:val="00827B6F"/>
    <w:rsid w:val="0083252D"/>
    <w:rsid w:val="00834234"/>
    <w:rsid w:val="00836497"/>
    <w:rsid w:val="00857487"/>
    <w:rsid w:val="0086314E"/>
    <w:rsid w:val="00864D9A"/>
    <w:rsid w:val="008751C2"/>
    <w:rsid w:val="008756F8"/>
    <w:rsid w:val="00894F84"/>
    <w:rsid w:val="008A0EB3"/>
    <w:rsid w:val="008A5F62"/>
    <w:rsid w:val="008B1337"/>
    <w:rsid w:val="008B3082"/>
    <w:rsid w:val="008B420F"/>
    <w:rsid w:val="008C761E"/>
    <w:rsid w:val="008D0A14"/>
    <w:rsid w:val="008D6F48"/>
    <w:rsid w:val="008F5D39"/>
    <w:rsid w:val="00901D65"/>
    <w:rsid w:val="00907CEE"/>
    <w:rsid w:val="00913FC1"/>
    <w:rsid w:val="00915AB0"/>
    <w:rsid w:val="00924B83"/>
    <w:rsid w:val="00927A63"/>
    <w:rsid w:val="009309EC"/>
    <w:rsid w:val="00933A95"/>
    <w:rsid w:val="00965DB8"/>
    <w:rsid w:val="0096708A"/>
    <w:rsid w:val="00974A92"/>
    <w:rsid w:val="00974FCA"/>
    <w:rsid w:val="009779B8"/>
    <w:rsid w:val="009859B4"/>
    <w:rsid w:val="00990426"/>
    <w:rsid w:val="00993423"/>
    <w:rsid w:val="00994495"/>
    <w:rsid w:val="009B2A86"/>
    <w:rsid w:val="009B5EB0"/>
    <w:rsid w:val="009D47CC"/>
    <w:rsid w:val="009D6E96"/>
    <w:rsid w:val="009E5B2E"/>
    <w:rsid w:val="009F1472"/>
    <w:rsid w:val="009F4764"/>
    <w:rsid w:val="00A01F3F"/>
    <w:rsid w:val="00A05C18"/>
    <w:rsid w:val="00A17C2A"/>
    <w:rsid w:val="00A2041D"/>
    <w:rsid w:val="00A22A55"/>
    <w:rsid w:val="00A25434"/>
    <w:rsid w:val="00A25B88"/>
    <w:rsid w:val="00A3457C"/>
    <w:rsid w:val="00A35B90"/>
    <w:rsid w:val="00A35C56"/>
    <w:rsid w:val="00A35CD1"/>
    <w:rsid w:val="00A524A7"/>
    <w:rsid w:val="00A532E6"/>
    <w:rsid w:val="00A53636"/>
    <w:rsid w:val="00A60E81"/>
    <w:rsid w:val="00A62D8F"/>
    <w:rsid w:val="00A62E04"/>
    <w:rsid w:val="00A72BCB"/>
    <w:rsid w:val="00A72F9B"/>
    <w:rsid w:val="00A823B3"/>
    <w:rsid w:val="00A8301A"/>
    <w:rsid w:val="00A8352E"/>
    <w:rsid w:val="00A857F9"/>
    <w:rsid w:val="00A97539"/>
    <w:rsid w:val="00AA1140"/>
    <w:rsid w:val="00AA3EA9"/>
    <w:rsid w:val="00AA5877"/>
    <w:rsid w:val="00AB0775"/>
    <w:rsid w:val="00AB2A1C"/>
    <w:rsid w:val="00AB352B"/>
    <w:rsid w:val="00AB3971"/>
    <w:rsid w:val="00AB4262"/>
    <w:rsid w:val="00AB537A"/>
    <w:rsid w:val="00AC5CD2"/>
    <w:rsid w:val="00AD013F"/>
    <w:rsid w:val="00AD2E35"/>
    <w:rsid w:val="00AE2934"/>
    <w:rsid w:val="00AE2F40"/>
    <w:rsid w:val="00AE426C"/>
    <w:rsid w:val="00AE7F0C"/>
    <w:rsid w:val="00AF446F"/>
    <w:rsid w:val="00AF4C7F"/>
    <w:rsid w:val="00AF5315"/>
    <w:rsid w:val="00B1093F"/>
    <w:rsid w:val="00B32A4B"/>
    <w:rsid w:val="00B3385A"/>
    <w:rsid w:val="00B40A14"/>
    <w:rsid w:val="00B415FD"/>
    <w:rsid w:val="00B42A90"/>
    <w:rsid w:val="00B43B0C"/>
    <w:rsid w:val="00B54BFC"/>
    <w:rsid w:val="00B55439"/>
    <w:rsid w:val="00B55465"/>
    <w:rsid w:val="00B555DB"/>
    <w:rsid w:val="00B556F3"/>
    <w:rsid w:val="00B6268A"/>
    <w:rsid w:val="00B63A94"/>
    <w:rsid w:val="00B6782F"/>
    <w:rsid w:val="00B713B5"/>
    <w:rsid w:val="00B77F9E"/>
    <w:rsid w:val="00B80A18"/>
    <w:rsid w:val="00B91704"/>
    <w:rsid w:val="00B95581"/>
    <w:rsid w:val="00BA283E"/>
    <w:rsid w:val="00BA36C3"/>
    <w:rsid w:val="00BA4016"/>
    <w:rsid w:val="00BA5069"/>
    <w:rsid w:val="00BA7632"/>
    <w:rsid w:val="00BB23B4"/>
    <w:rsid w:val="00BB42DD"/>
    <w:rsid w:val="00BB4FA7"/>
    <w:rsid w:val="00BB5C30"/>
    <w:rsid w:val="00BE21A0"/>
    <w:rsid w:val="00BE4B98"/>
    <w:rsid w:val="00BE66A6"/>
    <w:rsid w:val="00BE6AC8"/>
    <w:rsid w:val="00BE71A8"/>
    <w:rsid w:val="00C00623"/>
    <w:rsid w:val="00C05C3F"/>
    <w:rsid w:val="00C12863"/>
    <w:rsid w:val="00C23A3C"/>
    <w:rsid w:val="00C2466C"/>
    <w:rsid w:val="00C26F4F"/>
    <w:rsid w:val="00C35880"/>
    <w:rsid w:val="00C41377"/>
    <w:rsid w:val="00C452B9"/>
    <w:rsid w:val="00C53896"/>
    <w:rsid w:val="00C54780"/>
    <w:rsid w:val="00C575C2"/>
    <w:rsid w:val="00C60BED"/>
    <w:rsid w:val="00C6263B"/>
    <w:rsid w:val="00C72912"/>
    <w:rsid w:val="00C740EE"/>
    <w:rsid w:val="00C761C9"/>
    <w:rsid w:val="00C81087"/>
    <w:rsid w:val="00C81533"/>
    <w:rsid w:val="00C81751"/>
    <w:rsid w:val="00CA05F2"/>
    <w:rsid w:val="00CA24B8"/>
    <w:rsid w:val="00CB223A"/>
    <w:rsid w:val="00CB2EA3"/>
    <w:rsid w:val="00CC1218"/>
    <w:rsid w:val="00CC3C50"/>
    <w:rsid w:val="00CC3CC0"/>
    <w:rsid w:val="00CC5AD5"/>
    <w:rsid w:val="00CE0598"/>
    <w:rsid w:val="00CE1D7C"/>
    <w:rsid w:val="00CE2BA2"/>
    <w:rsid w:val="00CE30CD"/>
    <w:rsid w:val="00CE4B1A"/>
    <w:rsid w:val="00D04049"/>
    <w:rsid w:val="00D136A4"/>
    <w:rsid w:val="00D2078A"/>
    <w:rsid w:val="00D22594"/>
    <w:rsid w:val="00D27AE8"/>
    <w:rsid w:val="00D30B26"/>
    <w:rsid w:val="00D32331"/>
    <w:rsid w:val="00D3599A"/>
    <w:rsid w:val="00D43D8C"/>
    <w:rsid w:val="00D468FE"/>
    <w:rsid w:val="00D52338"/>
    <w:rsid w:val="00D52367"/>
    <w:rsid w:val="00D608E6"/>
    <w:rsid w:val="00D63FF6"/>
    <w:rsid w:val="00D6405D"/>
    <w:rsid w:val="00D7043C"/>
    <w:rsid w:val="00D75F60"/>
    <w:rsid w:val="00D77A91"/>
    <w:rsid w:val="00D77E35"/>
    <w:rsid w:val="00D869C3"/>
    <w:rsid w:val="00D969C6"/>
    <w:rsid w:val="00DA66F3"/>
    <w:rsid w:val="00DA7A5F"/>
    <w:rsid w:val="00DB0E27"/>
    <w:rsid w:val="00DB1AD1"/>
    <w:rsid w:val="00DB4C0C"/>
    <w:rsid w:val="00DB6455"/>
    <w:rsid w:val="00DB7297"/>
    <w:rsid w:val="00DC5D4B"/>
    <w:rsid w:val="00DD59A2"/>
    <w:rsid w:val="00DE4346"/>
    <w:rsid w:val="00DE6D8D"/>
    <w:rsid w:val="00DF25D9"/>
    <w:rsid w:val="00DF31F9"/>
    <w:rsid w:val="00DF7FB9"/>
    <w:rsid w:val="00E006FB"/>
    <w:rsid w:val="00E056E4"/>
    <w:rsid w:val="00E1455C"/>
    <w:rsid w:val="00E15032"/>
    <w:rsid w:val="00E16250"/>
    <w:rsid w:val="00E2046B"/>
    <w:rsid w:val="00E214E5"/>
    <w:rsid w:val="00E26D5F"/>
    <w:rsid w:val="00E2727D"/>
    <w:rsid w:val="00E32A8E"/>
    <w:rsid w:val="00E3356E"/>
    <w:rsid w:val="00E35B61"/>
    <w:rsid w:val="00E36FC3"/>
    <w:rsid w:val="00E37DE1"/>
    <w:rsid w:val="00E407B5"/>
    <w:rsid w:val="00E407F9"/>
    <w:rsid w:val="00E42401"/>
    <w:rsid w:val="00E456FF"/>
    <w:rsid w:val="00E5157B"/>
    <w:rsid w:val="00E562CB"/>
    <w:rsid w:val="00E57EAF"/>
    <w:rsid w:val="00E6170B"/>
    <w:rsid w:val="00E63C3C"/>
    <w:rsid w:val="00E850CF"/>
    <w:rsid w:val="00E850DD"/>
    <w:rsid w:val="00E85EC5"/>
    <w:rsid w:val="00E87F90"/>
    <w:rsid w:val="00EB260F"/>
    <w:rsid w:val="00EC188A"/>
    <w:rsid w:val="00EC36E4"/>
    <w:rsid w:val="00EC7AE2"/>
    <w:rsid w:val="00ED0DD0"/>
    <w:rsid w:val="00ED1D36"/>
    <w:rsid w:val="00ED61B7"/>
    <w:rsid w:val="00EE08D5"/>
    <w:rsid w:val="00EF1084"/>
    <w:rsid w:val="00EF64D3"/>
    <w:rsid w:val="00F02014"/>
    <w:rsid w:val="00F020A9"/>
    <w:rsid w:val="00F11AF6"/>
    <w:rsid w:val="00F16F9A"/>
    <w:rsid w:val="00F30D9D"/>
    <w:rsid w:val="00F31EFB"/>
    <w:rsid w:val="00F33856"/>
    <w:rsid w:val="00F378A6"/>
    <w:rsid w:val="00F40EA5"/>
    <w:rsid w:val="00F43372"/>
    <w:rsid w:val="00F4338A"/>
    <w:rsid w:val="00F43584"/>
    <w:rsid w:val="00F47BAB"/>
    <w:rsid w:val="00F5061A"/>
    <w:rsid w:val="00F522CD"/>
    <w:rsid w:val="00F52D90"/>
    <w:rsid w:val="00F62C02"/>
    <w:rsid w:val="00F67204"/>
    <w:rsid w:val="00F715FF"/>
    <w:rsid w:val="00F773F4"/>
    <w:rsid w:val="00F81C8D"/>
    <w:rsid w:val="00F822CE"/>
    <w:rsid w:val="00F84BE9"/>
    <w:rsid w:val="00F873F2"/>
    <w:rsid w:val="00F9300C"/>
    <w:rsid w:val="00F9412B"/>
    <w:rsid w:val="00F96D2C"/>
    <w:rsid w:val="00FA1308"/>
    <w:rsid w:val="00FA2430"/>
    <w:rsid w:val="00FA6333"/>
    <w:rsid w:val="00FB184D"/>
    <w:rsid w:val="00FE1BC0"/>
    <w:rsid w:val="00FE64EA"/>
    <w:rsid w:val="00FF4E09"/>
    <w:rsid w:val="03E2A248"/>
    <w:rsid w:val="063AFD34"/>
    <w:rsid w:val="09F69ADF"/>
    <w:rsid w:val="0CFF2D47"/>
    <w:rsid w:val="0EF8743D"/>
    <w:rsid w:val="1029195B"/>
    <w:rsid w:val="10F41DFA"/>
    <w:rsid w:val="12C554FA"/>
    <w:rsid w:val="17038622"/>
    <w:rsid w:val="1B61D4B9"/>
    <w:rsid w:val="1BDEE4CB"/>
    <w:rsid w:val="1C0FC27F"/>
    <w:rsid w:val="1C2CBE5A"/>
    <w:rsid w:val="1CF888B4"/>
    <w:rsid w:val="1E118DDB"/>
    <w:rsid w:val="1E320FCB"/>
    <w:rsid w:val="1FF3CAC3"/>
    <w:rsid w:val="27F17707"/>
    <w:rsid w:val="2A90C354"/>
    <w:rsid w:val="2AF3DBFE"/>
    <w:rsid w:val="2BA1D7CE"/>
    <w:rsid w:val="2C4DA2D3"/>
    <w:rsid w:val="2C858340"/>
    <w:rsid w:val="31A5C590"/>
    <w:rsid w:val="31B24A77"/>
    <w:rsid w:val="360B5A2E"/>
    <w:rsid w:val="373C4EC3"/>
    <w:rsid w:val="3A2A97E0"/>
    <w:rsid w:val="3BA576B2"/>
    <w:rsid w:val="3DC0618B"/>
    <w:rsid w:val="41B8B923"/>
    <w:rsid w:val="42141390"/>
    <w:rsid w:val="424FEA41"/>
    <w:rsid w:val="437176CB"/>
    <w:rsid w:val="462E3737"/>
    <w:rsid w:val="4AF2EB4A"/>
    <w:rsid w:val="4FCE49F3"/>
    <w:rsid w:val="5046875A"/>
    <w:rsid w:val="5356976D"/>
    <w:rsid w:val="56CADDEC"/>
    <w:rsid w:val="5746705E"/>
    <w:rsid w:val="57D95BD8"/>
    <w:rsid w:val="59028DE7"/>
    <w:rsid w:val="5BAA0392"/>
    <w:rsid w:val="611512DB"/>
    <w:rsid w:val="62296937"/>
    <w:rsid w:val="6618CFD1"/>
    <w:rsid w:val="67EF7FA2"/>
    <w:rsid w:val="6B712CB9"/>
    <w:rsid w:val="71CC48F1"/>
    <w:rsid w:val="72BEA646"/>
    <w:rsid w:val="79074B28"/>
    <w:rsid w:val="7B4D4BC4"/>
    <w:rsid w:val="7D4A58D0"/>
    <w:rsid w:val="7E738E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1F5C2A"/>
  <w15:docId w15:val="{FA8AAA6E-A5E0-4C86-9092-68E0543D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C3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rsid w:val="00C05C3F"/>
    <w:rPr>
      <w:rFonts w:ascii="Times New Roman" w:hAnsi="Times New Roman"/>
      <w:sz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basedOn w:val="DefaultParagraphFont"/>
    <w:link w:val="FootnoteText"/>
    <w:uiPriority w:val="99"/>
    <w:rsid w:val="00C05C3F"/>
    <w:rPr>
      <w:rFonts w:ascii="Times New Roman" w:eastAsia="Times New Roman" w:hAnsi="Times New Roman" w:cs="Times New Roman"/>
      <w:sz w:val="20"/>
      <w:szCs w:val="20"/>
    </w:rPr>
  </w:style>
  <w:style w:type="character" w:styleId="FootnoteReference">
    <w:name w:val="footnote reference"/>
    <w:aliases w:val="(NECG) Footnote Reference,12,Style 11,Style 12,Style 13,Style 14,Style 15,Style 16,Style 17,Style 18,Style 19,Style 20,Style 28,Style 35,Style 39,Style 46,Style 7,Style 8,Style 9,Tory Footnotes,fr,fr1,fr2,fr3,o,o1,o2,o3"/>
    <w:basedOn w:val="DefaultParagraphFont"/>
    <w:uiPriority w:val="99"/>
    <w:qFormat/>
    <w:rsid w:val="00C05C3F"/>
    <w:rPr>
      <w:vertAlign w:val="superscript"/>
    </w:rPr>
  </w:style>
  <w:style w:type="paragraph" w:styleId="PlainText">
    <w:name w:val="Plain Text"/>
    <w:basedOn w:val="Normal"/>
    <w:link w:val="PlainTextChar"/>
    <w:uiPriority w:val="99"/>
    <w:unhideWhenUsed/>
    <w:rsid w:val="00C05C3F"/>
    <w:rPr>
      <w:rFonts w:ascii="Calibri" w:hAnsi="Calibri"/>
      <w:color w:val="1F497D"/>
      <w:sz w:val="22"/>
      <w:szCs w:val="21"/>
    </w:rPr>
  </w:style>
  <w:style w:type="character" w:customStyle="1" w:styleId="PlainTextChar">
    <w:name w:val="Plain Text Char"/>
    <w:basedOn w:val="DefaultParagraphFont"/>
    <w:link w:val="PlainText"/>
    <w:uiPriority w:val="99"/>
    <w:rsid w:val="00C05C3F"/>
    <w:rPr>
      <w:rFonts w:ascii="Calibri" w:eastAsia="Times New Roman" w:hAnsi="Calibri" w:cs="Times New Roman"/>
      <w:color w:val="1F497D"/>
      <w:szCs w:val="21"/>
    </w:rPr>
  </w:style>
  <w:style w:type="paragraph" w:styleId="Header">
    <w:name w:val="header"/>
    <w:basedOn w:val="Normal"/>
    <w:link w:val="HeaderChar"/>
    <w:uiPriority w:val="99"/>
    <w:unhideWhenUsed/>
    <w:rsid w:val="00C05C3F"/>
    <w:pPr>
      <w:tabs>
        <w:tab w:val="center" w:pos="4680"/>
        <w:tab w:val="right" w:pos="9360"/>
      </w:tabs>
    </w:pPr>
  </w:style>
  <w:style w:type="character" w:customStyle="1" w:styleId="HeaderChar">
    <w:name w:val="Header Char"/>
    <w:basedOn w:val="DefaultParagraphFont"/>
    <w:link w:val="Header"/>
    <w:uiPriority w:val="99"/>
    <w:rsid w:val="00C05C3F"/>
    <w:rPr>
      <w:rFonts w:ascii="Courier" w:eastAsia="Times New Roman" w:hAnsi="Courier" w:cs="Times New Roman"/>
      <w:sz w:val="24"/>
      <w:szCs w:val="20"/>
    </w:rPr>
  </w:style>
  <w:style w:type="paragraph" w:styleId="BodyTextIndent">
    <w:name w:val="Body Text Indent"/>
    <w:basedOn w:val="Normal"/>
    <w:link w:val="BodyTextIndentChar"/>
    <w:rsid w:val="00C05C3F"/>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C05C3F"/>
    <w:rPr>
      <w:rFonts w:ascii="Times New Roman" w:eastAsia="Times New Roman" w:hAnsi="Times New Roman" w:cs="Times New Roman"/>
      <w:sz w:val="24"/>
      <w:szCs w:val="24"/>
    </w:rPr>
  </w:style>
  <w:style w:type="paragraph" w:customStyle="1" w:styleId="Style1">
    <w:name w:val="Style1"/>
    <w:basedOn w:val="FootnoteText"/>
    <w:qFormat/>
    <w:rsid w:val="00C05C3F"/>
    <w:pPr>
      <w:keepLines/>
      <w:contextualSpacing/>
    </w:pPr>
  </w:style>
  <w:style w:type="paragraph" w:customStyle="1" w:styleId="Default">
    <w:name w:val="Default"/>
    <w:rsid w:val="002375E8"/>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72BCB"/>
    <w:rPr>
      <w:rFonts w:ascii="Tahoma" w:hAnsi="Tahoma" w:cs="Tahoma"/>
      <w:sz w:val="16"/>
      <w:szCs w:val="16"/>
    </w:rPr>
  </w:style>
  <w:style w:type="character" w:customStyle="1" w:styleId="BalloonTextChar">
    <w:name w:val="Balloon Text Char"/>
    <w:basedOn w:val="DefaultParagraphFont"/>
    <w:link w:val="BalloonText"/>
    <w:uiPriority w:val="99"/>
    <w:semiHidden/>
    <w:rsid w:val="00A72BCB"/>
    <w:rPr>
      <w:rFonts w:ascii="Tahoma" w:eastAsia="Times New Roman" w:hAnsi="Tahoma" w:cs="Tahoma"/>
      <w:sz w:val="16"/>
      <w:szCs w:val="16"/>
    </w:rPr>
  </w:style>
  <w:style w:type="character" w:styleId="CommentReference">
    <w:name w:val="annotation reference"/>
    <w:basedOn w:val="DefaultParagraphFont"/>
    <w:uiPriority w:val="99"/>
    <w:unhideWhenUsed/>
    <w:rsid w:val="00506D74"/>
    <w:rPr>
      <w:sz w:val="16"/>
      <w:szCs w:val="16"/>
    </w:rPr>
  </w:style>
  <w:style w:type="paragraph" w:styleId="CommentText">
    <w:name w:val="annotation text"/>
    <w:basedOn w:val="Normal"/>
    <w:link w:val="CommentTextChar"/>
    <w:uiPriority w:val="99"/>
    <w:semiHidden/>
    <w:unhideWhenUsed/>
    <w:rsid w:val="00506D74"/>
    <w:rPr>
      <w:sz w:val="20"/>
    </w:rPr>
  </w:style>
  <w:style w:type="character" w:customStyle="1" w:styleId="CommentTextChar">
    <w:name w:val="Comment Text Char"/>
    <w:basedOn w:val="DefaultParagraphFont"/>
    <w:link w:val="CommentText"/>
    <w:uiPriority w:val="99"/>
    <w:semiHidden/>
    <w:rsid w:val="00506D7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06D74"/>
    <w:rPr>
      <w:b/>
      <w:bCs/>
    </w:rPr>
  </w:style>
  <w:style w:type="character" w:customStyle="1" w:styleId="CommentSubjectChar">
    <w:name w:val="Comment Subject Char"/>
    <w:basedOn w:val="CommentTextChar"/>
    <w:link w:val="CommentSubject"/>
    <w:uiPriority w:val="99"/>
    <w:semiHidden/>
    <w:rsid w:val="00506D74"/>
    <w:rPr>
      <w:rFonts w:ascii="Courier" w:eastAsia="Times New Roman" w:hAnsi="Courier" w:cs="Times New Roman"/>
      <w:b/>
      <w:bCs/>
      <w:sz w:val="20"/>
      <w:szCs w:val="20"/>
    </w:rPr>
  </w:style>
  <w:style w:type="paragraph" w:styleId="ListParagraph">
    <w:name w:val="List Paragraph"/>
    <w:basedOn w:val="Normal"/>
    <w:uiPriority w:val="34"/>
    <w:qFormat/>
    <w:rsid w:val="00F9300C"/>
    <w:pPr>
      <w:ind w:left="720"/>
      <w:contextualSpacing/>
    </w:pPr>
  </w:style>
  <w:style w:type="paragraph" w:styleId="Footer">
    <w:name w:val="footer"/>
    <w:basedOn w:val="Normal"/>
    <w:link w:val="FooterChar"/>
    <w:uiPriority w:val="99"/>
    <w:unhideWhenUsed/>
    <w:rsid w:val="00270670"/>
    <w:pPr>
      <w:tabs>
        <w:tab w:val="center" w:pos="4680"/>
        <w:tab w:val="right" w:pos="9360"/>
      </w:tabs>
    </w:pPr>
  </w:style>
  <w:style w:type="character" w:customStyle="1" w:styleId="FooterChar">
    <w:name w:val="Footer Char"/>
    <w:basedOn w:val="DefaultParagraphFont"/>
    <w:link w:val="Footer"/>
    <w:uiPriority w:val="99"/>
    <w:rsid w:val="00270670"/>
    <w:rPr>
      <w:rFonts w:ascii="Courier" w:eastAsia="Times New Roman" w:hAnsi="Courier" w:cs="Times New Roman"/>
      <w:sz w:val="24"/>
      <w:szCs w:val="20"/>
    </w:rPr>
  </w:style>
  <w:style w:type="character" w:customStyle="1" w:styleId="normaltextrun">
    <w:name w:val="normaltextrun"/>
    <w:basedOn w:val="DefaultParagraphFont"/>
    <w:rsid w:val="00EC7AE2"/>
  </w:style>
  <w:style w:type="character" w:customStyle="1" w:styleId="eop">
    <w:name w:val="eop"/>
    <w:basedOn w:val="DefaultParagraphFont"/>
    <w:rsid w:val="00EC7AE2"/>
  </w:style>
  <w:style w:type="paragraph" w:styleId="Revision">
    <w:name w:val="Revision"/>
    <w:hidden/>
    <w:uiPriority w:val="99"/>
    <w:semiHidden/>
    <w:rsid w:val="00DE4346"/>
    <w:pPr>
      <w:spacing w:after="0" w:line="240" w:lineRule="auto"/>
    </w:pPr>
    <w:rPr>
      <w:rFonts w:ascii="Courier" w:eastAsia="Times New Roman" w:hAnsi="Courier" w:cs="Times New Roman"/>
      <w:sz w:val="24"/>
      <w:szCs w:val="20"/>
    </w:rPr>
  </w:style>
  <w:style w:type="character" w:styleId="Hyperlink">
    <w:name w:val="Hyperlink"/>
    <w:basedOn w:val="DefaultParagraphFont"/>
    <w:uiPriority w:val="99"/>
    <w:unhideWhenUsed/>
    <w:rsid w:val="00E57EAF"/>
    <w:rPr>
      <w:color w:val="0000FF"/>
      <w:u w:val="single"/>
    </w:rPr>
  </w:style>
  <w:style w:type="character" w:styleId="UnresolvedMention">
    <w:name w:val="Unresolved Mention"/>
    <w:basedOn w:val="DefaultParagraphFont"/>
    <w:uiPriority w:val="99"/>
    <w:semiHidden/>
    <w:unhideWhenUsed/>
    <w:rsid w:val="00E57EA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hover-present">
    <w:name w:val="citation-hover-present"/>
    <w:basedOn w:val="Normal"/>
    <w:rsid w:val="00B415FD"/>
    <w:pPr>
      <w:spacing w:before="100" w:beforeAutospacing="1" w:after="100" w:afterAutospacing="1"/>
    </w:pPr>
    <w:rPr>
      <w:rFonts w:ascii="Times New Roman" w:hAnsi="Times New Roman"/>
      <w:szCs w:val="24"/>
    </w:rPr>
  </w:style>
  <w:style w:type="character" w:styleId="FollowedHyperlink">
    <w:name w:val="FollowedHyperlink"/>
    <w:basedOn w:val="DefaultParagraphFont"/>
    <w:uiPriority w:val="99"/>
    <w:semiHidden/>
    <w:unhideWhenUsed/>
    <w:rsid w:val="000349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Document?ref_nbr=201808-3038-003" TargetMode="External" /><Relationship Id="rId2" Type="http://schemas.openxmlformats.org/officeDocument/2006/relationships/hyperlink" Target="https://www.reginfo.gov/public/do/PRAViewDocument?ref_nbr=202102-3038-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9d0955-fd0e-4e31-bba3-9fcfa79871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07014F8BE4244B08445C3F40F710C" ma:contentTypeVersion="9" ma:contentTypeDescription="Create a new document." ma:contentTypeScope="" ma:versionID="cd22fd4d6a399e6208f0b2c449409c72">
  <xsd:schema xmlns:xsd="http://www.w3.org/2001/XMLSchema" xmlns:xs="http://www.w3.org/2001/XMLSchema" xmlns:p="http://schemas.microsoft.com/office/2006/metadata/properties" xmlns:ns3="d09d0955-fd0e-4e31-bba3-9fcfa798714d" targetNamespace="http://schemas.microsoft.com/office/2006/metadata/properties" ma:root="true" ma:fieldsID="c2d22a0625c6dc8716549bf2d23486c7" ns3:_="">
    <xsd:import namespace="d09d0955-fd0e-4e31-bba3-9fcfa798714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d0955-fd0e-4e31-bba3-9fcfa7987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58227-68A1-41B4-B424-1AE986B06D26}">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09d0955-fd0e-4e31-bba3-9fcfa798714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EA3BDC-F4AF-4C54-BFEB-151BE495C48B}">
  <ds:schemaRefs>
    <ds:schemaRef ds:uri="http://schemas.microsoft.com/sharepoint/v3/contenttype/forms"/>
  </ds:schemaRefs>
</ds:datastoreItem>
</file>

<file path=customXml/itemProps3.xml><?xml version="1.0" encoding="utf-8"?>
<ds:datastoreItem xmlns:ds="http://schemas.openxmlformats.org/officeDocument/2006/customXml" ds:itemID="{21037D59-7F30-41FB-B92A-960B4FCFB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d0955-fd0e-4e31-bba3-9fcfa7987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F1C88-00AD-4D24-BCB8-6F8E35AC2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3451</Words>
  <Characters>19672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MHargrow</dc:creator>
  <cp:lastModifiedBy>Wright, Kenny</cp:lastModifiedBy>
  <cp:revision>8</cp:revision>
  <cp:lastPrinted>2018-08-20T18:22:00Z</cp:lastPrinted>
  <dcterms:created xsi:type="dcterms:W3CDTF">2023-12-06T22:20:00Z</dcterms:created>
  <dcterms:modified xsi:type="dcterms:W3CDTF">2023-12-14T14:15:00Z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0x0101008FE07014F8BE4244B08445C3F40F710C</vt:lpwstr>
  </property>
</Properties>
</file>