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3943" w:rsidRPr="006C2B6B" w:rsidP="00CC3943" w14:paraId="2629582A" w14:textId="77777777">
      <w:pPr>
        <w:ind w:left="360"/>
        <w:jc w:val="center"/>
        <w:rPr>
          <w:b/>
          <w:sz w:val="22"/>
          <w:szCs w:val="22"/>
        </w:rPr>
      </w:pPr>
      <w:r>
        <w:rPr>
          <w:b/>
          <w:sz w:val="22"/>
          <w:szCs w:val="22"/>
        </w:rPr>
        <w:t>`</w:t>
      </w:r>
      <w:r w:rsidRPr="006C2B6B">
        <w:rPr>
          <w:b/>
          <w:sz w:val="22"/>
          <w:szCs w:val="22"/>
        </w:rPr>
        <w:t>SUPPORTING STATEMENT</w:t>
      </w:r>
    </w:p>
    <w:p w:rsidR="00CC3943" w:rsidRPr="006C2B6B" w:rsidP="00CC3943" w14:paraId="1B27FED4" w14:textId="77777777">
      <w:pPr>
        <w:rPr>
          <w:sz w:val="22"/>
          <w:szCs w:val="22"/>
        </w:rPr>
      </w:pPr>
    </w:p>
    <w:p w:rsidR="00D90866" w:rsidRPr="006C2B6B" w:rsidP="00597CB4" w14:paraId="6867CE00" w14:textId="77777777">
      <w:pPr>
        <w:numPr>
          <w:ilvl w:val="0"/>
          <w:numId w:val="1"/>
        </w:numPr>
        <w:tabs>
          <w:tab w:val="num" w:pos="0"/>
          <w:tab w:val="clear" w:pos="720"/>
        </w:tabs>
        <w:ind w:left="450" w:hanging="450"/>
        <w:rPr>
          <w:b/>
          <w:sz w:val="22"/>
          <w:szCs w:val="22"/>
        </w:rPr>
      </w:pPr>
      <w:r w:rsidRPr="006C2B6B">
        <w:rPr>
          <w:b/>
          <w:sz w:val="22"/>
          <w:szCs w:val="22"/>
        </w:rPr>
        <w:t>Justification.</w:t>
      </w:r>
    </w:p>
    <w:p w:rsidR="00910DE3" w:rsidRPr="006C2B6B" w:rsidP="00910DE3" w14:paraId="7156BEAC" w14:textId="77777777">
      <w:pPr>
        <w:pStyle w:val="ParaNum0"/>
        <w:numPr>
          <w:ilvl w:val="0"/>
          <w:numId w:val="0"/>
        </w:numPr>
        <w:rPr>
          <w:sz w:val="22"/>
          <w:szCs w:val="22"/>
        </w:rPr>
      </w:pPr>
    </w:p>
    <w:p w:rsidR="00777822" w:rsidP="00777822" w14:paraId="27DDC32C" w14:textId="77777777">
      <w:pPr>
        <w:rPr>
          <w:b/>
          <w:spacing w:val="-3"/>
          <w:szCs w:val="24"/>
        </w:rPr>
      </w:pPr>
      <w:r>
        <w:rPr>
          <w:b/>
          <w:spacing w:val="-3"/>
          <w:szCs w:val="24"/>
        </w:rPr>
        <w:t>1.</w:t>
      </w:r>
      <w:r>
        <w:rPr>
          <w:b/>
          <w:spacing w:val="-3"/>
          <w:szCs w:val="24"/>
        </w:rPr>
        <w:tab/>
      </w:r>
      <w:r w:rsidRPr="005A4C07">
        <w:rPr>
          <w:b/>
          <w:spacing w:val="-3"/>
          <w:szCs w:val="24"/>
        </w:rPr>
        <w:t xml:space="preserve">The </w:t>
      </w:r>
      <w:r>
        <w:rPr>
          <w:b/>
          <w:spacing w:val="-3"/>
          <w:szCs w:val="24"/>
        </w:rPr>
        <w:t>Commission is seeking an e</w:t>
      </w:r>
      <w:r w:rsidRPr="005A4C07">
        <w:rPr>
          <w:b/>
          <w:spacing w:val="-3"/>
          <w:szCs w:val="24"/>
        </w:rPr>
        <w:t xml:space="preserve">xtension of </w:t>
      </w:r>
      <w:r>
        <w:rPr>
          <w:b/>
          <w:spacing w:val="-3"/>
          <w:szCs w:val="24"/>
        </w:rPr>
        <w:t xml:space="preserve">this </w:t>
      </w:r>
      <w:r w:rsidRPr="005A4C07">
        <w:rPr>
          <w:b/>
          <w:spacing w:val="-3"/>
          <w:szCs w:val="24"/>
        </w:rPr>
        <w:t xml:space="preserve">currently approved collection </w:t>
      </w:r>
      <w:r>
        <w:rPr>
          <w:b/>
          <w:spacing w:val="-3"/>
          <w:szCs w:val="24"/>
        </w:rPr>
        <w:t xml:space="preserve">for the full three-year period.  </w:t>
      </w:r>
    </w:p>
    <w:p w:rsidR="00777822" w:rsidP="00777822" w14:paraId="01953E0A" w14:textId="77777777">
      <w:pPr>
        <w:rPr>
          <w:b/>
          <w:spacing w:val="-3"/>
          <w:szCs w:val="24"/>
        </w:rPr>
      </w:pPr>
    </w:p>
    <w:p w:rsidR="00777822" w:rsidP="00777822" w14:paraId="5579AAF2" w14:textId="77777777">
      <w:pPr>
        <w:rPr>
          <w:b/>
          <w:spacing w:val="-3"/>
        </w:rPr>
      </w:pPr>
      <w:r w:rsidRPr="0053277B">
        <w:rPr>
          <w:b/>
          <w:spacing w:val="-3"/>
          <w:szCs w:val="24"/>
        </w:rPr>
        <w:t>The following information collection r</w:t>
      </w:r>
      <w:r w:rsidRPr="00DF00BC">
        <w:rPr>
          <w:b/>
          <w:spacing w:val="-3"/>
          <w:szCs w:val="24"/>
        </w:rPr>
        <w:t xml:space="preserve">equirements are contained in this collection and </w:t>
      </w:r>
      <w:r w:rsidRPr="00DF00BC">
        <w:rPr>
          <w:b/>
          <w:spacing w:val="-3"/>
        </w:rPr>
        <w:t xml:space="preserve">have not changed since last approved by </w:t>
      </w:r>
      <w:r w:rsidRPr="0053277B" w:rsidR="0053277B">
        <w:rPr>
          <w:b/>
        </w:rPr>
        <w:t>Office of Management and Budget (OMB)</w:t>
      </w:r>
      <w:r w:rsidRPr="0053277B">
        <w:rPr>
          <w:b/>
          <w:spacing w:val="-3"/>
        </w:rPr>
        <w:t xml:space="preserve">.  </w:t>
      </w:r>
    </w:p>
    <w:p w:rsidR="00DE736B" w:rsidRPr="0053277B" w:rsidP="00777822" w14:paraId="05543208" w14:textId="77777777">
      <w:pPr>
        <w:rPr>
          <w:b/>
          <w:spacing w:val="-3"/>
        </w:rPr>
      </w:pPr>
    </w:p>
    <w:p w:rsidR="00FB442F" w:rsidRPr="006C2B6B" w:rsidP="00FB442F" w14:paraId="379FF14A" w14:textId="77777777">
      <w:r w:rsidRPr="006C2B6B">
        <w:rPr>
          <w:b/>
          <w:u w:val="single"/>
        </w:rPr>
        <w:t>73.682(e)(2)(ii) and 76.607(a)(2)(ii)</w:t>
      </w:r>
      <w:r w:rsidRPr="006C2B6B">
        <w:rPr>
          <w:b/>
        </w:rPr>
        <w:t xml:space="preserve">:  </w:t>
      </w:r>
      <w:r w:rsidRPr="006C2B6B" w:rsidR="00393FC7">
        <w:rPr>
          <w:b/>
        </w:rPr>
        <w:t>(Recordkeeping Requirement</w:t>
      </w:r>
      <w:r w:rsidRPr="006C2B6B" w:rsidR="007F5710">
        <w:rPr>
          <w:b/>
        </w:rPr>
        <w:t>)</w:t>
      </w:r>
      <w:r w:rsidRPr="006C2B6B" w:rsidR="00393FC7">
        <w:rPr>
          <w:b/>
        </w:rPr>
        <w:t>.</w:t>
      </w:r>
      <w:r w:rsidRPr="006C2B6B" w:rsidR="007F5710">
        <w:rPr>
          <w:b/>
        </w:rPr>
        <w:t xml:space="preserve">  </w:t>
      </w:r>
      <w:r w:rsidRPr="006C2B6B" w:rsidR="00407C8C">
        <w:t xml:space="preserve">With respect to </w:t>
      </w:r>
      <w:r w:rsidRPr="006C2B6B" w:rsidR="00A60431">
        <w:t>commercial advertisements inserted into the program stream by stations or MVPDs</w:t>
      </w:r>
      <w:r w:rsidRPr="006C2B6B" w:rsidR="00407C8C">
        <w:t xml:space="preserve">, </w:t>
      </w:r>
      <w:r w:rsidRPr="006C2B6B" w:rsidR="00A60431">
        <w:t>the</w:t>
      </w:r>
      <w:r w:rsidRPr="006C2B6B">
        <w:t xml:space="preserve"> station</w:t>
      </w:r>
      <w:r w:rsidRPr="006C2B6B" w:rsidR="00A60431">
        <w:t>/</w:t>
      </w:r>
      <w:r w:rsidRPr="006C2B6B">
        <w:t>MVPD must maintain records showing the consistent and ongoing use of ATSC A/85 RP compliant equipment in the regular course of business and demonstrating that the equipment has undergone commercially reasonable periodic maintenance and testing to ensure it</w:t>
      </w:r>
      <w:r w:rsidRPr="006C2B6B" w:rsidR="00A60431">
        <w:t>s continued proper operation.</w:t>
      </w:r>
      <w:r w:rsidRPr="006C2B6B" w:rsidR="00C13591">
        <w:t xml:space="preserve"> </w:t>
      </w:r>
      <w:r w:rsidRPr="006C2B6B" w:rsidR="002F4693">
        <w:t xml:space="preserve"> (For example, this may include retaining a sales purchase receipt for an ATSC A/85 RP compliant loudness meter and an equipment maintenance contract)</w:t>
      </w:r>
      <w:r w:rsidRPr="006C2B6B" w:rsidR="002F2AAE">
        <w:t>.</w:t>
      </w:r>
    </w:p>
    <w:p w:rsidR="00FB442F" w:rsidRPr="006C2B6B" w:rsidP="00FB442F" w14:paraId="0DF86DFE" w14:textId="77777777"/>
    <w:p w:rsidR="00FB442F" w:rsidRPr="006C2B6B" w:rsidP="00FB442F" w14:paraId="0EA04F0A" w14:textId="77777777">
      <w:r w:rsidRPr="006C2B6B">
        <w:rPr>
          <w:b/>
          <w:u w:val="single"/>
        </w:rPr>
        <w:t>73.682(e)(3)(</w:t>
      </w:r>
      <w:r w:rsidRPr="006C2B6B">
        <w:rPr>
          <w:b/>
          <w:u w:val="single"/>
        </w:rPr>
        <w:t>i</w:t>
      </w:r>
      <w:r w:rsidRPr="006C2B6B">
        <w:rPr>
          <w:b/>
          <w:u w:val="single"/>
        </w:rPr>
        <w:t>) and 76.607(a)(3)(</w:t>
      </w:r>
      <w:r w:rsidRPr="006C2B6B">
        <w:rPr>
          <w:b/>
          <w:u w:val="single"/>
        </w:rPr>
        <w:t>i</w:t>
      </w:r>
      <w:r w:rsidRPr="006C2B6B">
        <w:rPr>
          <w:b/>
          <w:u w:val="single"/>
        </w:rPr>
        <w:t>)</w:t>
      </w:r>
      <w:r w:rsidRPr="006C2B6B">
        <w:rPr>
          <w:b/>
        </w:rPr>
        <w:t xml:space="preserve">: </w:t>
      </w:r>
      <w:r w:rsidRPr="006C2B6B" w:rsidR="007F5710">
        <w:rPr>
          <w:b/>
        </w:rPr>
        <w:t>(Third Party Disclosure Requirement)</w:t>
      </w:r>
      <w:r w:rsidRPr="006C2B6B" w:rsidR="00393FC7">
        <w:rPr>
          <w:b/>
        </w:rPr>
        <w:t>.</w:t>
      </w:r>
      <w:r w:rsidRPr="006C2B6B" w:rsidR="007F5710">
        <w:rPr>
          <w:b/>
        </w:rPr>
        <w:t xml:space="preserve">  </w:t>
      </w:r>
      <w:r w:rsidRPr="006C2B6B" w:rsidR="00A60431">
        <w:t xml:space="preserve">With respect to embedded commercials, which a station or MVPD receives from an upstream programmer, </w:t>
      </w:r>
      <w:r w:rsidRPr="006C2B6B" w:rsidR="00C13591">
        <w:t>a</w:t>
      </w:r>
      <w:r w:rsidRPr="006C2B6B" w:rsidR="007F5710">
        <w:t xml:space="preserve"> </w:t>
      </w:r>
      <w:r w:rsidRPr="006C2B6B">
        <w:t>station or MVPD may demonstrate compliance by relying on a network’s or other programmer’s certification of compliance with the ATSC A/85 RP with respect to commercial programming, provided that the certification is widely available by website or other means to any television broadcast station, cable operator, or multichannel video programming distributor th</w:t>
      </w:r>
      <w:r w:rsidRPr="006C2B6B" w:rsidR="00C13591">
        <w:t xml:space="preserve">at transmits that programming. </w:t>
      </w:r>
      <w:r w:rsidRPr="006C2B6B" w:rsidR="000D3206">
        <w:t xml:space="preserve"> (Because the certification must state that all programming is ATSC A/85 RP compliant as of a certain date, this </w:t>
      </w:r>
      <w:r w:rsidRPr="006C2B6B" w:rsidR="00921410">
        <w:t>should be</w:t>
      </w:r>
      <w:r w:rsidRPr="006C2B6B" w:rsidR="000D3206">
        <w:t xml:space="preserve"> a one-time certification requirement)</w:t>
      </w:r>
      <w:r w:rsidRPr="006C2B6B" w:rsidR="002F2AAE">
        <w:t>.</w:t>
      </w:r>
    </w:p>
    <w:p w:rsidR="00FB442F" w:rsidRPr="006C2B6B" w:rsidP="00FB442F" w14:paraId="3704FB17" w14:textId="77777777"/>
    <w:p w:rsidR="00FB442F" w:rsidRPr="006C2B6B" w:rsidP="00FB442F" w14:paraId="55216DA2" w14:textId="77777777">
      <w:r w:rsidRPr="006C2B6B">
        <w:rPr>
          <w:b/>
          <w:u w:val="single"/>
        </w:rPr>
        <w:t>73.682(e)(3)(ii) and 76.607(a)(3)(ii)</w:t>
      </w:r>
      <w:r w:rsidRPr="006C2B6B">
        <w:rPr>
          <w:b/>
        </w:rPr>
        <w:t xml:space="preserve">:  </w:t>
      </w:r>
      <w:r w:rsidRPr="006C2B6B" w:rsidR="00393FC7">
        <w:rPr>
          <w:b/>
        </w:rPr>
        <w:t xml:space="preserve">(Recordkeeping </w:t>
      </w:r>
      <w:r w:rsidRPr="006C2B6B" w:rsidR="009E025A">
        <w:rPr>
          <w:b/>
        </w:rPr>
        <w:t xml:space="preserve">and Reporting </w:t>
      </w:r>
      <w:r w:rsidRPr="006C2B6B" w:rsidR="00393FC7">
        <w:rPr>
          <w:b/>
        </w:rPr>
        <w:t>Requirement</w:t>
      </w:r>
      <w:r w:rsidRPr="006C2B6B" w:rsidR="009E025A">
        <w:rPr>
          <w:b/>
        </w:rPr>
        <w:t>s</w:t>
      </w:r>
      <w:r w:rsidRPr="006C2B6B" w:rsidR="00393FC7">
        <w:rPr>
          <w:b/>
        </w:rPr>
        <w:t xml:space="preserve">).  </w:t>
      </w:r>
      <w:r w:rsidRPr="006C2B6B" w:rsidR="00C13591">
        <w:t>With respect to embedded commercials for which there is no programmer certification of compliance with the ATSC A/85 RP, a</w:t>
      </w:r>
      <w:r w:rsidRPr="006C2B6B">
        <w:t xml:space="preserve"> </w:t>
      </w:r>
      <w:r w:rsidRPr="006C2B6B" w:rsidR="00E44213">
        <w:t>(large) station</w:t>
      </w:r>
      <w:r>
        <w:rPr>
          <w:rStyle w:val="FootnoteReference"/>
        </w:rPr>
        <w:footnoteReference w:id="2"/>
      </w:r>
      <w:r w:rsidRPr="006C2B6B" w:rsidR="00E44213">
        <w:t xml:space="preserve"> or (very large or large) </w:t>
      </w:r>
      <w:r w:rsidRPr="006C2B6B">
        <w:t>MVPD</w:t>
      </w:r>
      <w:r>
        <w:rPr>
          <w:rStyle w:val="FootnoteReference"/>
        </w:rPr>
        <w:footnoteReference w:id="3"/>
      </w:r>
      <w:r w:rsidRPr="006C2B6B" w:rsidR="00FD77F1">
        <w:t xml:space="preserve">, as defined by the R&amp;O, </w:t>
      </w:r>
      <w:r w:rsidRPr="006C2B6B">
        <w:t xml:space="preserve">may demonstrate compliance by conducting annual spot checks of </w:t>
      </w:r>
      <w:r w:rsidRPr="006C2B6B" w:rsidR="00C13591">
        <w:t xml:space="preserve">such </w:t>
      </w:r>
      <w:r w:rsidRPr="006C2B6B">
        <w:t>non-certified programming to ensure compliance with the RP</w:t>
      </w:r>
      <w:r w:rsidRPr="006C2B6B" w:rsidR="00971ECC">
        <w:t>.</w:t>
      </w:r>
      <w:r w:rsidRPr="006C2B6B">
        <w:t xml:space="preserve">  Such </w:t>
      </w:r>
      <w:r w:rsidRPr="006C2B6B" w:rsidR="009E025A">
        <w:t xml:space="preserve">annual </w:t>
      </w:r>
      <w:r w:rsidRPr="006C2B6B">
        <w:t xml:space="preserve">“spot checks” </w:t>
      </w:r>
      <w:r w:rsidRPr="006C2B6B" w:rsidR="009E025A">
        <w:t xml:space="preserve">contain two information collection requirements:  </w:t>
      </w:r>
      <w:r w:rsidRPr="006C2B6B">
        <w:rPr>
          <w:b/>
        </w:rPr>
        <w:t>(1)</w:t>
      </w:r>
      <w:r w:rsidRPr="006C2B6B">
        <w:t xml:space="preserve"> </w:t>
      </w:r>
      <w:r w:rsidRPr="006C2B6B" w:rsidR="009E025A">
        <w:t>K</w:t>
      </w:r>
      <w:r w:rsidRPr="006C2B6B">
        <w:t>eeping records from a loudness meter; see, e.g., 73.682(e)(3)(iv)(B)</w:t>
      </w:r>
      <w:r w:rsidRPr="006C2B6B" w:rsidR="009E025A">
        <w:t>.  A “spot check” requires monitoring 24 uninterrupted hours of programming with an audio loudness meter employing the measurement technique specified in the RP, and reviewing the records from that monitoring to detect any commercials transmitted in violation of the RP.</w:t>
      </w:r>
      <w:r>
        <w:rPr>
          <w:rStyle w:val="FootnoteReference"/>
        </w:rPr>
        <w:footnoteReference w:id="4"/>
      </w:r>
      <w:r w:rsidRPr="006C2B6B" w:rsidR="009E025A">
        <w:t xml:space="preserve">  </w:t>
      </w:r>
      <w:r w:rsidRPr="006C2B6B">
        <w:rPr>
          <w:b/>
        </w:rPr>
        <w:t>(2)</w:t>
      </w:r>
      <w:r w:rsidRPr="006C2B6B">
        <w:t xml:space="preserve"> </w:t>
      </w:r>
      <w:r w:rsidRPr="006C2B6B" w:rsidR="009E025A">
        <w:t>S</w:t>
      </w:r>
      <w:r w:rsidRPr="006C2B6B">
        <w:t xml:space="preserve">tation/MVPD must notify FCC and network or programmer if spot check shows </w:t>
      </w:r>
      <w:r w:rsidRPr="006C2B6B">
        <w:t>any noncompliance and must notify FCC and network or programmer of results of follow-up spot check; see, e.g., 73.682(3)(iv)(E).</w:t>
      </w:r>
      <w:r w:rsidRPr="006C2B6B" w:rsidR="00971ECC">
        <w:t xml:space="preserve">  </w:t>
      </w:r>
      <w:r w:rsidRPr="006C2B6B" w:rsidR="00E44213">
        <w:t>Small stations and small MVPDs</w:t>
      </w:r>
      <w:r w:rsidRPr="006C2B6B" w:rsidR="00DE7CC6">
        <w:t>, as defined by the R&amp;O,</w:t>
      </w:r>
      <w:r w:rsidRPr="006C2B6B" w:rsidR="00E44213">
        <w:t xml:space="preserve"> need not perform any annual spot checks. </w:t>
      </w:r>
      <w:r w:rsidRPr="006C2B6B" w:rsidR="009E025A">
        <w:t xml:space="preserve"> </w:t>
      </w:r>
    </w:p>
    <w:p w:rsidR="00FB442F" w:rsidRPr="006C2B6B" w:rsidP="00FB442F" w14:paraId="7E77B63E" w14:textId="77777777"/>
    <w:p w:rsidR="00FB442F" w:rsidRPr="006C2B6B" w:rsidP="00FB442F" w14:paraId="519752EC" w14:textId="77777777">
      <w:r w:rsidRPr="006C2B6B">
        <w:rPr>
          <w:b/>
          <w:u w:val="single"/>
        </w:rPr>
        <w:t>73.682(e)(4)(</w:t>
      </w:r>
      <w:r w:rsidRPr="006C2B6B">
        <w:rPr>
          <w:b/>
          <w:u w:val="single"/>
        </w:rPr>
        <w:t>i</w:t>
      </w:r>
      <w:r w:rsidRPr="006C2B6B">
        <w:rPr>
          <w:b/>
          <w:u w:val="single"/>
        </w:rPr>
        <w:t>) and 76.607(a)(4)(</w:t>
      </w:r>
      <w:r w:rsidRPr="006C2B6B">
        <w:rPr>
          <w:b/>
          <w:u w:val="single"/>
        </w:rPr>
        <w:t>i</w:t>
      </w:r>
      <w:r w:rsidRPr="006C2B6B">
        <w:rPr>
          <w:b/>
          <w:u w:val="single"/>
        </w:rPr>
        <w:t>)</w:t>
      </w:r>
      <w:r w:rsidRPr="006C2B6B">
        <w:rPr>
          <w:b/>
        </w:rPr>
        <w:t xml:space="preserve">:  </w:t>
      </w:r>
      <w:r w:rsidRPr="006C2B6B" w:rsidR="00393FC7">
        <w:rPr>
          <w:b/>
        </w:rPr>
        <w:t xml:space="preserve">(Recordkeeping Requirement).  </w:t>
      </w:r>
      <w:r w:rsidRPr="006C2B6B" w:rsidR="00393FC7">
        <w:t>With respect to demonstrating compliance through the use of</w:t>
      </w:r>
      <w:r w:rsidRPr="006C2B6B">
        <w:t xml:space="preserve"> a real-time processor</w:t>
      </w:r>
      <w:r w:rsidRPr="006C2B6B" w:rsidR="00393FC7">
        <w:t xml:space="preserve"> (as opposed to a loudness meter)</w:t>
      </w:r>
      <w:r w:rsidRPr="006C2B6B">
        <w:t xml:space="preserve">, </w:t>
      </w:r>
      <w:r w:rsidRPr="006C2B6B" w:rsidR="00393FC7">
        <w:t>a station or MVPD must maintain records</w:t>
      </w:r>
      <w:r w:rsidRPr="006C2B6B">
        <w:t xml:space="preserve"> showing the consistent and ongoing use of this equipment in the regular course of business and demonstrating that the equipment has undergone commercially reasonable periodic maintenance and testing to ensure its continued proper operation.</w:t>
      </w:r>
    </w:p>
    <w:p w:rsidR="00FB442F" w:rsidRPr="006C2B6B" w:rsidP="00FB442F" w14:paraId="3554FEE1" w14:textId="77777777"/>
    <w:p w:rsidR="00FB442F" w:rsidRPr="006C2B6B" w:rsidP="00FB442F" w14:paraId="18C2BABC" w14:textId="77777777">
      <w:r w:rsidRPr="006C2B6B">
        <w:rPr>
          <w:b/>
          <w:u w:val="single"/>
        </w:rPr>
        <w:t>73.682(e)(5) and 76.607(a)(5)</w:t>
      </w:r>
      <w:r w:rsidRPr="006C2B6B">
        <w:rPr>
          <w:b/>
        </w:rPr>
        <w:t xml:space="preserve">:  </w:t>
      </w:r>
      <w:r w:rsidRPr="006C2B6B" w:rsidR="00393FC7">
        <w:rPr>
          <w:b/>
        </w:rPr>
        <w:t xml:space="preserve">(Third Party Disclosure Requirement).  </w:t>
      </w:r>
      <w:r w:rsidRPr="006C2B6B" w:rsidR="00DB2E15">
        <w:t xml:space="preserve">Some stations and MVPDs </w:t>
      </w:r>
      <w:r w:rsidRPr="006C2B6B" w:rsidR="00E72BBB">
        <w:t xml:space="preserve">may </w:t>
      </w:r>
      <w:r w:rsidRPr="006C2B6B" w:rsidR="00DB2E15">
        <w:t xml:space="preserve">contract with a third party to handle sales of its available commercial time and encode/insert local commercials into program streams, rather than the station or MVPD handling this process itself.  </w:t>
      </w:r>
      <w:r w:rsidRPr="006C2B6B">
        <w:t>With respect to commercials locally inserted</w:t>
      </w:r>
      <w:r w:rsidRPr="006C2B6B" w:rsidR="00393FC7">
        <w:t xml:space="preserve"> by a third-party agent</w:t>
      </w:r>
      <w:r w:rsidRPr="006C2B6B">
        <w:t>, a station or MVPD may demonstrate compliance with the ATSC A/85 RP by relying on the third party local inserter’s certification of compliance.</w:t>
      </w:r>
      <w:r w:rsidRPr="006C2B6B" w:rsidR="00DB2E15">
        <w:t xml:space="preserve">  </w:t>
      </w:r>
    </w:p>
    <w:p w:rsidR="00FB442F" w:rsidRPr="006C2B6B" w:rsidP="00FB442F" w14:paraId="01826C3B" w14:textId="77777777"/>
    <w:p w:rsidR="00FB442F" w:rsidRPr="006C2B6B" w:rsidP="00FB442F" w14:paraId="037ED42D" w14:textId="77777777">
      <w:r w:rsidRPr="006C2B6B">
        <w:rPr>
          <w:b/>
          <w:u w:val="single"/>
        </w:rPr>
        <w:t>73.682(e)(6) and 76.607(a)(6)</w:t>
      </w:r>
      <w:r w:rsidRPr="006C2B6B">
        <w:rPr>
          <w:b/>
        </w:rPr>
        <w:t xml:space="preserve">:  </w:t>
      </w:r>
      <w:r w:rsidRPr="006C2B6B" w:rsidR="00923979">
        <w:rPr>
          <w:b/>
        </w:rPr>
        <w:t xml:space="preserve">(Recordkeeping Requirement).  </w:t>
      </w:r>
      <w:r w:rsidRPr="006C2B6B">
        <w:t xml:space="preserve">Instead of demonstrating compliance pursuant to the other rule provisions above, a station or MVPD may demonstrate actual compliance with </w:t>
      </w:r>
      <w:r w:rsidRPr="006C2B6B" w:rsidR="00393FC7">
        <w:t xml:space="preserve">the </w:t>
      </w:r>
      <w:r w:rsidRPr="006C2B6B">
        <w:t xml:space="preserve">ATSC A/85 </w:t>
      </w:r>
      <w:r w:rsidRPr="006C2B6B" w:rsidR="00393FC7">
        <w:t xml:space="preserve">RP </w:t>
      </w:r>
      <w:r w:rsidRPr="006C2B6B">
        <w:t>with regard to the commercial advertisements that are the subject of the inquiry, and certifying that its own transmission equipment is not at fault for any such pattern or trend of complaints.</w:t>
      </w:r>
      <w:r w:rsidRPr="006C2B6B" w:rsidR="00481503">
        <w:t xml:space="preserve">  </w:t>
      </w:r>
      <w:r w:rsidRPr="006C2B6B" w:rsidR="00DB2E15">
        <w:t xml:space="preserve">Demonstrating actual compliance would likely require a station/MVPD to set up a system for recording and storing its programming and having a technician review the programming that becomes the subject of an enforcement inquiry.  Because </w:t>
      </w:r>
      <w:r w:rsidRPr="006C2B6B" w:rsidR="00481503">
        <w:t>the record in the proceeding indicates this</w:t>
      </w:r>
      <w:r w:rsidRPr="006C2B6B" w:rsidR="00DB2E15">
        <w:t xml:space="preserve"> method of demonstrating compliance would be very </w:t>
      </w:r>
      <w:r w:rsidRPr="006C2B6B" w:rsidR="00481503">
        <w:t>burdensome, we expect few, if any, stations/MVPDs to use this method.</w:t>
      </w:r>
    </w:p>
    <w:p w:rsidR="00FB442F" w:rsidP="00B3424B" w14:paraId="339E736E" w14:textId="77777777"/>
    <w:p w:rsidR="0053277B" w:rsidP="0053277B" w14:paraId="60BF00F5" w14:textId="77777777">
      <w:r w:rsidRPr="00A54855">
        <w:rPr>
          <w:b/>
          <w:u w:val="single"/>
        </w:rPr>
        <w:t>HISTORY</w:t>
      </w:r>
      <w:r>
        <w:t xml:space="preserve">:  </w:t>
      </w:r>
      <w:r w:rsidRPr="006C2B6B">
        <w:tab/>
        <w:t>On December 13, 2011, the FCC released a Report &amp; Order (“R&amp;O”), FCC 11-182,</w:t>
      </w:r>
      <w:r>
        <w:rPr>
          <w:rStyle w:val="FootnoteReference"/>
          <w:sz w:val="22"/>
          <w:szCs w:val="22"/>
        </w:rPr>
        <w:footnoteReference w:id="5"/>
      </w:r>
      <w:r w:rsidRPr="006C2B6B">
        <w:t xml:space="preserve"> adopting rules to implement the Commercial Advertisement Loudness Mitigation (“CALM”) Act.</w:t>
      </w:r>
      <w:r>
        <w:rPr>
          <w:rStyle w:val="FootnoteReference"/>
        </w:rPr>
        <w:footnoteReference w:id="6"/>
      </w:r>
      <w:r w:rsidRPr="006C2B6B">
        <w:t xml:space="preserve">  Among other things, the CALM Act directs the Commission to incorporate into its rules by reference and make mandatory a technical standard developed by an industry standard-setting body that is designed to prevent television commercial advertisements from being transmitted at louder volumes than the program material they accompany.  Specifically, the CALM Act requires the Commission to incorporate by reference the Advanced Television </w:t>
      </w:r>
      <w:r w:rsidRPr="006C2B6B">
        <w:t>Systems Committee (“ATSC”)</w:t>
      </w:r>
      <w:r>
        <w:rPr>
          <w:rStyle w:val="FootnoteReference"/>
        </w:rPr>
        <w:footnoteReference w:id="7"/>
      </w:r>
      <w:r w:rsidRPr="006C2B6B">
        <w:t xml:space="preserve"> A/85 Recommended Practice (“ATSC A/85 RP”)</w:t>
      </w:r>
      <w:r>
        <w:rPr>
          <w:rStyle w:val="FootnoteReference"/>
        </w:rPr>
        <w:footnoteReference w:id="8"/>
      </w:r>
      <w:r w:rsidRPr="006C2B6B">
        <w:t xml:space="preserve"> and make it mandatory “insofar as such recommended practice concerns the transmission of commercial advertisements by a television broadcast station, cable operator, or other multichannel video programming distributor.”  As mandated by the statute, the rules will apply to TV broadcasters, cable operators and other multichannel video programming distributors (“MVPDs”).</w:t>
      </w:r>
      <w:r>
        <w:rPr>
          <w:rStyle w:val="FootnoteReference"/>
          <w:sz w:val="22"/>
          <w:szCs w:val="22"/>
        </w:rPr>
        <w:footnoteReference w:id="9"/>
      </w:r>
      <w:r w:rsidRPr="006C2B6B">
        <w:t xml:space="preserve">  </w:t>
      </w:r>
    </w:p>
    <w:p w:rsidR="0053277B" w:rsidP="0053277B" w14:paraId="1A94A830" w14:textId="77777777"/>
    <w:p w:rsidR="0053277B" w:rsidRPr="006C2B6B" w:rsidP="0053277B" w14:paraId="5404E7E4" w14:textId="77777777">
      <w:r w:rsidRPr="006C2B6B">
        <w:t>The rules are designed to protect viewers from excessively loud commercials and, at the same time, permit broadcasters and MVPDs to implement their obligations in a minimally burdensome manner.  The rules require broadcast stations and MVPDs to ensure that all commercials are transmitted to consumers at the appropriate loudness level in accordance with the industry standard (</w:t>
      </w:r>
      <w:r w:rsidRPr="006C2B6B">
        <w:rPr>
          <w:i/>
        </w:rPr>
        <w:t>i.e.</w:t>
      </w:r>
      <w:r w:rsidRPr="006C2B6B">
        <w:t>, the ATSC A/85 RP).  In the event of a pattern or trend of complaints, stations and MVPDs will be deemed in compliance with regard to their locally inserted commercials if they demonstrate that they use certain equipment in the ordinary course of business.  For the embedded commercials that stations and MVPDs pass through from programmers, the rules also establish a “safe harbor” to demonstrate compliance through certifications and periodic testing.  This regime will make compliance less burdensome for the industry while ensuring appropriate loudness for all commercials.</w:t>
      </w:r>
    </w:p>
    <w:p w:rsidR="0053277B" w:rsidRPr="006C2B6B" w:rsidP="0053277B" w14:paraId="5B410758" w14:textId="77777777"/>
    <w:p w:rsidR="0053277B" w:rsidRPr="006C2B6B" w:rsidP="0053277B" w14:paraId="68C39BEC" w14:textId="77777777">
      <w:r w:rsidRPr="006C2B6B">
        <w:rPr>
          <w:u w:val="single"/>
        </w:rPr>
        <w:t>Note</w:t>
      </w:r>
      <w:r w:rsidRPr="006C2B6B">
        <w:t xml:space="preserve">:  The rules </w:t>
      </w:r>
      <w:r>
        <w:t xml:space="preserve">adopted to implement the CALM Act </w:t>
      </w:r>
      <w:r w:rsidRPr="006C2B6B">
        <w:t xml:space="preserve">only require submissions to the FCC in response to an enforcement inquiry concerning a pattern or trend of consumer complaints about a loud commercial.  Therefore, the </w:t>
      </w:r>
      <w:r>
        <w:t xml:space="preserve">CALM Act </w:t>
      </w:r>
      <w:r w:rsidRPr="006C2B6B">
        <w:t xml:space="preserve">rules implicate the Paperwork Reduction Act of 1995 (“PRA”) only to the extent that they contain reporting, recordkeeping and/or third-party disclosure requirements that must have been performed by a station and/or MVPD in advance of an enforcement inquiry.  To the extent that the rules contain information collection requirements that would not be performed until after the FCC initiates an official enforcement inquiry (investigation), such collections are exempt from the PRA (see 44 U.S.C. § 3518 and OMB rule 5 C.F.R. § 1320.4). </w:t>
      </w:r>
    </w:p>
    <w:p w:rsidR="0053277B" w:rsidRPr="006C2B6B" w:rsidP="00B3424B" w14:paraId="3341AE96" w14:textId="77777777"/>
    <w:p w:rsidR="00910DE3" w:rsidRPr="006C2B6B" w:rsidP="00B3424B" w14:paraId="79D38203" w14:textId="77777777">
      <w:r w:rsidRPr="006C2B6B">
        <w:t>T</w:t>
      </w:r>
      <w:r w:rsidRPr="006C2B6B">
        <w:t>his information collection does not affect individuals or households; thus, there are no impacts under the Privacy Act.</w:t>
      </w:r>
    </w:p>
    <w:p w:rsidR="00910DE3" w:rsidRPr="006C2B6B" w:rsidP="00B3424B" w14:paraId="422F9EE8" w14:textId="77777777"/>
    <w:p w:rsidR="008F0D70" w:rsidRPr="006C2B6B" w:rsidP="00B3424B" w14:paraId="37F000D3" w14:textId="77777777">
      <w:r w:rsidRPr="006C2B6B">
        <w:t xml:space="preserve">Statutory authority for this collection of information is contained in </w:t>
      </w:r>
      <w:r w:rsidRPr="006C2B6B" w:rsidR="00E05A61">
        <w:t>the Commercial Advertisement Loudness Mitigation Act of 2010, Pub. L. No. 111-311, 124 Stat. 3294, and Sections 1, 2(a), 4(</w:t>
      </w:r>
      <w:r w:rsidRPr="006C2B6B" w:rsidR="00E05A61">
        <w:t>i</w:t>
      </w:r>
      <w:r w:rsidRPr="006C2B6B" w:rsidR="00E05A61">
        <w:t>), and 303(r) of the Communications Act of 1934, as amended, 47 U.S.C. §§ 151, 152, 154(</w:t>
      </w:r>
      <w:r w:rsidRPr="006C2B6B" w:rsidR="00E05A61">
        <w:t>i</w:t>
      </w:r>
      <w:r w:rsidRPr="006C2B6B" w:rsidR="00E05A61">
        <w:t>) and (j), 303(r), and 621</w:t>
      </w:r>
      <w:r w:rsidRPr="006C2B6B">
        <w:t>.</w:t>
      </w:r>
    </w:p>
    <w:p w:rsidR="008F0D70" w:rsidP="00B3424B" w14:paraId="0D5C70A1" w14:textId="77777777"/>
    <w:p w:rsidR="00F84248" w:rsidRPr="006C2B6B" w:rsidP="00B3424B" w14:paraId="2E597907" w14:textId="77777777">
      <w:r w:rsidRPr="006C2B6B">
        <w:t>2.</w:t>
      </w:r>
      <w:r w:rsidRPr="006C2B6B">
        <w:tab/>
      </w:r>
      <w:r w:rsidRPr="006C2B6B">
        <w:t xml:space="preserve">The information will be used by FCC staff to evaluate whether </w:t>
      </w:r>
      <w:r w:rsidRPr="006C2B6B" w:rsidR="003709B9">
        <w:t>a station/MVPD is in compliance with the rules concerning loud commercials</w:t>
      </w:r>
      <w:r w:rsidRPr="006C2B6B">
        <w:t>.</w:t>
      </w:r>
    </w:p>
    <w:p w:rsidR="00F84248" w:rsidRPr="006C2B6B" w:rsidP="00B3424B" w14:paraId="3984BF49" w14:textId="77777777"/>
    <w:p w:rsidR="0084301B" w:rsidRPr="006C2B6B" w:rsidP="00B3424B" w14:paraId="34AB20C6" w14:textId="77777777">
      <w:r w:rsidRPr="006C2B6B">
        <w:t>3.</w:t>
      </w:r>
      <w:r w:rsidRPr="006C2B6B">
        <w:tab/>
      </w:r>
      <w:r w:rsidRPr="006C2B6B" w:rsidR="00407811">
        <w:rPr>
          <w:spacing w:val="-3"/>
        </w:rPr>
        <w:t xml:space="preserve">These are </w:t>
      </w:r>
      <w:r w:rsidRPr="006C2B6B" w:rsidR="00490493">
        <w:rPr>
          <w:spacing w:val="-3"/>
        </w:rPr>
        <w:t xml:space="preserve">reporting, </w:t>
      </w:r>
      <w:r w:rsidRPr="006C2B6B" w:rsidR="00407811">
        <w:rPr>
          <w:spacing w:val="-3"/>
        </w:rPr>
        <w:t>recordkeeping and third</w:t>
      </w:r>
      <w:r w:rsidR="006953A2">
        <w:rPr>
          <w:spacing w:val="-3"/>
        </w:rPr>
        <w:t>-</w:t>
      </w:r>
      <w:r w:rsidRPr="006C2B6B" w:rsidR="00407811">
        <w:rPr>
          <w:spacing w:val="-3"/>
        </w:rPr>
        <w:t xml:space="preserve">party disclosure requirements.  </w:t>
      </w:r>
      <w:r w:rsidRPr="006C2B6B" w:rsidR="00490493">
        <w:rPr>
          <w:spacing w:val="-3"/>
        </w:rPr>
        <w:t>The u</w:t>
      </w:r>
      <w:r w:rsidRPr="006C2B6B" w:rsidR="00490493">
        <w:t>se of information technology is permitted for these requirements.</w:t>
      </w:r>
    </w:p>
    <w:p w:rsidR="0084301B" w:rsidRPr="006C2B6B" w:rsidP="00B3424B" w14:paraId="241509D3" w14:textId="77777777"/>
    <w:p w:rsidR="0084301B" w:rsidRPr="006C2B6B" w:rsidP="00B3424B" w14:paraId="5626987A" w14:textId="77777777">
      <w:r w:rsidRPr="006C2B6B">
        <w:t>4.</w:t>
      </w:r>
      <w:r w:rsidRPr="006C2B6B">
        <w:tab/>
      </w:r>
      <w:r w:rsidRPr="006C2B6B" w:rsidR="005265F5">
        <w:t>This agency does not impose a similar information collection on the respondents.  There are no similar data available.</w:t>
      </w:r>
    </w:p>
    <w:p w:rsidR="00D9770F" w:rsidRPr="006C2B6B" w:rsidP="00B3424B" w14:paraId="21B45C56" w14:textId="77777777"/>
    <w:p w:rsidR="00050E72" w:rsidRPr="006C2B6B" w:rsidP="00B3424B" w14:paraId="1F4704D1" w14:textId="77777777">
      <w:pPr>
        <w:rPr>
          <w:b/>
          <w:color w:val="000000"/>
        </w:rPr>
      </w:pPr>
      <w:r w:rsidRPr="006C2B6B">
        <w:t>5.</w:t>
      </w:r>
      <w:r w:rsidRPr="006C2B6B" w:rsidR="005265F5">
        <w:tab/>
        <w:t>This information collection will not have a significant economic impact on a substantial number of small entities/businesses.</w:t>
      </w:r>
    </w:p>
    <w:p w:rsidR="00D9770F" w:rsidRPr="006C2B6B" w:rsidP="00B3424B" w14:paraId="02909AE6" w14:textId="77777777"/>
    <w:p w:rsidR="00046B81" w:rsidRPr="006C2B6B" w:rsidP="00B3424B" w14:paraId="00931C49" w14:textId="77777777">
      <w:r w:rsidRPr="006C2B6B">
        <w:t>6.</w:t>
      </w:r>
      <w:r w:rsidRPr="006C2B6B">
        <w:tab/>
      </w:r>
      <w:r w:rsidRPr="006C2B6B" w:rsidR="003543F0">
        <w:t>This information collection is necessary for t</w:t>
      </w:r>
      <w:r w:rsidRPr="006C2B6B" w:rsidR="006605BC">
        <w:t xml:space="preserve">he Commission </w:t>
      </w:r>
      <w:r w:rsidRPr="006C2B6B" w:rsidR="003543F0">
        <w:t>to determine compliance with</w:t>
      </w:r>
      <w:r w:rsidRPr="006C2B6B" w:rsidR="006605BC">
        <w:t xml:space="preserve"> the CALM Act</w:t>
      </w:r>
      <w:r w:rsidRPr="006C2B6B" w:rsidR="003543F0">
        <w:t>.</w:t>
      </w:r>
      <w:r w:rsidRPr="006C2B6B" w:rsidR="006605BC">
        <w:t xml:space="preserve"> </w:t>
      </w:r>
      <w:r w:rsidRPr="006C2B6B" w:rsidR="003543F0">
        <w:t xml:space="preserve"> The CALM Act mandates that the Commission make the ATSC A/85 RP mandatory for all stations/MVPDs.  </w:t>
      </w:r>
      <w:r w:rsidRPr="006C2B6B" w:rsidR="006605BC">
        <w:t>See 47 U.S.C. § 621(</w:t>
      </w:r>
      <w:r w:rsidRPr="006C2B6B" w:rsidR="003543F0">
        <w:t>a</w:t>
      </w:r>
      <w:r w:rsidRPr="006C2B6B" w:rsidR="006605BC">
        <w:t xml:space="preserve">).  </w:t>
      </w:r>
      <w:r w:rsidRPr="006C2B6B" w:rsidR="003543F0">
        <w:t>I</w:t>
      </w:r>
      <w:r w:rsidRPr="006C2B6B">
        <w:t xml:space="preserve">f these information collection requirements were not conducted, the Commission would be unable to fulfill </w:t>
      </w:r>
      <w:r w:rsidRPr="006C2B6B" w:rsidR="003543F0">
        <w:t>this statutory</w:t>
      </w:r>
      <w:r w:rsidRPr="006C2B6B">
        <w:t xml:space="preserve"> obligation.</w:t>
      </w:r>
      <w:r w:rsidRPr="006C2B6B" w:rsidR="005265F5">
        <w:t xml:space="preserve">  (The frequency for this collection of information is determined by respondents, as necessary.)</w:t>
      </w:r>
    </w:p>
    <w:p w:rsidR="00123987" w:rsidRPr="006C2B6B" w:rsidP="00B3424B" w14:paraId="26B0CEE0" w14:textId="77777777"/>
    <w:p w:rsidR="006605BC" w:rsidRPr="006C2B6B" w:rsidP="00B3424B" w14:paraId="67FD343E" w14:textId="77777777">
      <w:r w:rsidRPr="006C2B6B">
        <w:t>7.</w:t>
      </w:r>
      <w:r w:rsidRPr="006C2B6B" w:rsidR="005265F5">
        <w:tab/>
        <w:t>This information collection is consistent with the guidelines in 5 CFR 1320.5(d)(2).</w:t>
      </w:r>
    </w:p>
    <w:p w:rsidR="006605BC" w:rsidRPr="006C2B6B" w:rsidP="00B3424B" w14:paraId="77CA2984" w14:textId="77777777"/>
    <w:p w:rsidR="00555516" w:rsidRPr="006C2B6B" w:rsidP="00555516" w14:paraId="21A7A032" w14:textId="44837149">
      <w:r w:rsidRPr="006C2B6B">
        <w:t>8.</w:t>
      </w:r>
      <w:r w:rsidRPr="006C2B6B">
        <w:tab/>
        <w:t xml:space="preserve">The Commission published a </w:t>
      </w:r>
      <w:r w:rsidRPr="001F7C84">
        <w:t>Federal Register Notice (</w:t>
      </w:r>
      <w:r w:rsidRPr="001F7C84" w:rsidR="00992E2A">
        <w:t>8</w:t>
      </w:r>
      <w:r w:rsidRPr="001F7C84" w:rsidR="001F7C84">
        <w:t>8</w:t>
      </w:r>
      <w:r w:rsidRPr="001F7C84" w:rsidR="00992E2A">
        <w:t xml:space="preserve"> </w:t>
      </w:r>
      <w:r w:rsidRPr="001F7C84">
        <w:t>FR</w:t>
      </w:r>
      <w:r w:rsidRPr="001F7C84" w:rsidR="00900873">
        <w:t xml:space="preserve"> </w:t>
      </w:r>
      <w:r w:rsidRPr="001F7C84" w:rsidR="001F7C84">
        <w:t>70979</w:t>
      </w:r>
      <w:r w:rsidRPr="001F7C84">
        <w:t>) on</w:t>
      </w:r>
      <w:r w:rsidRPr="001F7C84" w:rsidR="00992E2A">
        <w:t xml:space="preserve"> </w:t>
      </w:r>
      <w:r w:rsidRPr="001F7C84" w:rsidR="001F7C84">
        <w:t>October 13</w:t>
      </w:r>
      <w:r w:rsidRPr="001F7C84" w:rsidR="00992E2A">
        <w:t>, 20</w:t>
      </w:r>
      <w:r w:rsidRPr="001F7C84" w:rsidR="007D7609">
        <w:t>2</w:t>
      </w:r>
      <w:r w:rsidRPr="001F7C84" w:rsidR="005B43F3">
        <w:t>3</w:t>
      </w:r>
      <w:r w:rsidRPr="001F7C84">
        <w:t xml:space="preserve"> seeking comments on the information collection requirements contained in this supporting statement.  No comments have been received</w:t>
      </w:r>
      <w:r w:rsidRPr="006C2B6B">
        <w:t xml:space="preserve"> from the public.</w:t>
      </w:r>
    </w:p>
    <w:p w:rsidR="0037684B" w:rsidRPr="006C2B6B" w:rsidP="00B3424B" w14:paraId="36B95FBA" w14:textId="77777777"/>
    <w:p w:rsidR="00123987" w:rsidRPr="006C2B6B" w:rsidP="00B3424B" w14:paraId="009A39F1" w14:textId="77777777">
      <w:r w:rsidRPr="006C2B6B">
        <w:t>9.</w:t>
      </w:r>
      <w:r w:rsidRPr="006C2B6B">
        <w:tab/>
      </w:r>
      <w:r w:rsidRPr="006C2B6B" w:rsidR="005265F5">
        <w:t xml:space="preserve">The Commission does not propose to provide a payment or gift </w:t>
      </w:r>
      <w:r w:rsidRPr="006C2B6B">
        <w:t>to any respondent.</w:t>
      </w:r>
    </w:p>
    <w:p w:rsidR="00123987" w:rsidRPr="006C2B6B" w:rsidP="00B3424B" w14:paraId="37AD7E16" w14:textId="77777777"/>
    <w:p w:rsidR="00123987" w:rsidRPr="006C2B6B" w:rsidP="00B3424B" w14:paraId="15CAD9ED" w14:textId="77777777">
      <w:r w:rsidRPr="006C2B6B">
        <w:t>10.</w:t>
      </w:r>
      <w:r w:rsidRPr="006C2B6B" w:rsidR="009763F2">
        <w:tab/>
      </w:r>
      <w:r w:rsidRPr="006C2B6B" w:rsidR="00A90206">
        <w:t>There is no assurance of confidentiality provided to respondents</w:t>
      </w:r>
      <w:r w:rsidRPr="006C2B6B" w:rsidR="005265F5">
        <w:t>.</w:t>
      </w:r>
    </w:p>
    <w:p w:rsidR="00123987" w:rsidRPr="006C2B6B" w:rsidP="00B3424B" w14:paraId="2217266D" w14:textId="77777777"/>
    <w:p w:rsidR="00AA44E1" w:rsidRPr="006C2B6B" w:rsidP="00B3424B" w14:paraId="6D29E874" w14:textId="77777777">
      <w:r w:rsidRPr="006C2B6B">
        <w:t>11.</w:t>
      </w:r>
      <w:r w:rsidRPr="006C2B6B">
        <w:tab/>
      </w:r>
      <w:r w:rsidRPr="006C2B6B" w:rsidR="005265F5">
        <w:rPr>
          <w:spacing w:val="-3"/>
          <w:szCs w:val="24"/>
        </w:rPr>
        <w:t xml:space="preserve">This information </w:t>
      </w:r>
      <w:r w:rsidRPr="006C2B6B" w:rsidR="005265F5">
        <w:t xml:space="preserve">collection </w:t>
      </w:r>
      <w:r w:rsidRPr="006C2B6B" w:rsidR="005265F5">
        <w:rPr>
          <w:spacing w:val="-3"/>
          <w:szCs w:val="24"/>
        </w:rPr>
        <w:t>does not address any private matters of a sensitive nature.</w:t>
      </w:r>
    </w:p>
    <w:p w:rsidR="00F366C8" w:rsidP="00B3424B" w14:paraId="7BC7A791" w14:textId="77777777"/>
    <w:p w:rsidR="00371DCE" w:rsidP="00B3424B" w14:paraId="35746894" w14:textId="77777777"/>
    <w:p w:rsidR="00371DCE" w:rsidP="00B3424B" w14:paraId="4DDCB5D4" w14:textId="77777777"/>
    <w:p w:rsidR="00371DCE" w:rsidP="00B3424B" w14:paraId="27386B78" w14:textId="77777777"/>
    <w:p w:rsidR="00371DCE" w:rsidP="00B3424B" w14:paraId="3A7FB230" w14:textId="77777777"/>
    <w:p w:rsidR="00371DCE" w:rsidP="00B3424B" w14:paraId="4FE39BE0" w14:textId="77777777"/>
    <w:p w:rsidR="00371DCE" w:rsidP="00B3424B" w14:paraId="69DFC24E" w14:textId="77777777"/>
    <w:p w:rsidR="00371DCE" w:rsidP="00B3424B" w14:paraId="482E13AF" w14:textId="77777777"/>
    <w:p w:rsidR="00371DCE" w:rsidP="00B3424B" w14:paraId="2AB60940" w14:textId="77777777"/>
    <w:p w:rsidR="00371DCE" w:rsidP="00B3424B" w14:paraId="248DAC93" w14:textId="77777777"/>
    <w:p w:rsidR="00371DCE" w:rsidP="00B3424B" w14:paraId="6A225273" w14:textId="77777777"/>
    <w:p w:rsidR="00371DCE" w:rsidP="00B3424B" w14:paraId="41C1F7D2" w14:textId="77777777"/>
    <w:p w:rsidR="00371DCE" w:rsidP="00B3424B" w14:paraId="494CF84C" w14:textId="77777777"/>
    <w:p w:rsidR="00371DCE" w:rsidP="00B3424B" w14:paraId="28DE609D" w14:textId="77777777"/>
    <w:p w:rsidR="00371DCE" w:rsidP="00B3424B" w14:paraId="762D3B2D" w14:textId="77777777"/>
    <w:p w:rsidR="00371DCE" w:rsidRPr="006C2B6B" w:rsidP="00B3424B" w14:paraId="40442CE0" w14:textId="77777777"/>
    <w:p w:rsidR="0081362F" w:rsidRPr="0081362F" w:rsidP="0081362F" w14:paraId="127A6D36" w14:textId="77777777">
      <w:pPr>
        <w:suppressAutoHyphens/>
        <w:rPr>
          <w:szCs w:val="24"/>
        </w:rPr>
      </w:pPr>
      <w:r w:rsidRPr="00364C5E">
        <w:t>12.</w:t>
      </w:r>
      <w:r w:rsidRPr="00364C5E">
        <w:tab/>
      </w:r>
      <w:r w:rsidRPr="0081362F">
        <w:rPr>
          <w:spacing w:val="-3"/>
          <w:szCs w:val="24"/>
        </w:rPr>
        <w:t>The public burden is estimated as follows:</w:t>
      </w:r>
    </w:p>
    <w:p w:rsidR="0081362F" w:rsidRPr="00364C5E" w:rsidP="0081362F" w14:paraId="7DBC704E" w14:textId="77777777">
      <w:pPr>
        <w:suppressAutoHyphens/>
        <w:rPr>
          <w:szCs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2610"/>
        <w:gridCol w:w="1170"/>
        <w:gridCol w:w="1080"/>
        <w:gridCol w:w="1350"/>
        <w:gridCol w:w="1440"/>
      </w:tblGrid>
      <w:tr w14:paraId="13AF6648" w14:textId="77777777" w:rsidTr="00EE7E4B">
        <w:tblPrEx>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448" w:type="dxa"/>
          </w:tcPr>
          <w:p w:rsidR="0081362F" w:rsidRPr="00364C5E" w:rsidP="00EE7E4B" w14:paraId="412D4950" w14:textId="77777777">
            <w:pPr>
              <w:pStyle w:val="ParaNum0"/>
              <w:numPr>
                <w:ilvl w:val="0"/>
                <w:numId w:val="0"/>
              </w:numPr>
              <w:tabs>
                <w:tab w:val="left" w:pos="0"/>
                <w:tab w:val="left" w:pos="360"/>
              </w:tabs>
              <w:rPr>
                <w:b/>
                <w:sz w:val="22"/>
                <w:szCs w:val="22"/>
              </w:rPr>
            </w:pPr>
            <w:r w:rsidRPr="00364C5E">
              <w:rPr>
                <w:b/>
                <w:sz w:val="22"/>
                <w:szCs w:val="22"/>
              </w:rPr>
              <w:t xml:space="preserve">Type </w:t>
            </w:r>
          </w:p>
        </w:tc>
        <w:tc>
          <w:tcPr>
            <w:tcW w:w="2610" w:type="dxa"/>
          </w:tcPr>
          <w:p w:rsidR="0081362F" w:rsidRPr="00364C5E" w:rsidP="00EE7E4B" w14:paraId="016247FA" w14:textId="77777777">
            <w:pPr>
              <w:pStyle w:val="ParaNum0"/>
              <w:numPr>
                <w:ilvl w:val="0"/>
                <w:numId w:val="0"/>
              </w:numPr>
              <w:tabs>
                <w:tab w:val="left" w:pos="0"/>
                <w:tab w:val="left" w:pos="360"/>
              </w:tabs>
              <w:rPr>
                <w:b/>
                <w:sz w:val="22"/>
                <w:szCs w:val="22"/>
              </w:rPr>
            </w:pPr>
            <w:r w:rsidRPr="00364C5E">
              <w:rPr>
                <w:b/>
                <w:sz w:val="22"/>
                <w:szCs w:val="22"/>
              </w:rPr>
              <w:t>Total Annual Respondents / Responses</w:t>
            </w:r>
          </w:p>
        </w:tc>
        <w:tc>
          <w:tcPr>
            <w:tcW w:w="1170" w:type="dxa"/>
          </w:tcPr>
          <w:p w:rsidR="0081362F" w:rsidRPr="00364C5E" w:rsidP="00EE7E4B" w14:paraId="326FE0FE" w14:textId="77777777">
            <w:pPr>
              <w:pStyle w:val="ParaNum0"/>
              <w:numPr>
                <w:ilvl w:val="0"/>
                <w:numId w:val="0"/>
              </w:numPr>
              <w:tabs>
                <w:tab w:val="left" w:pos="0"/>
                <w:tab w:val="left" w:pos="360"/>
              </w:tabs>
              <w:rPr>
                <w:b/>
                <w:sz w:val="22"/>
                <w:szCs w:val="22"/>
              </w:rPr>
            </w:pPr>
            <w:r w:rsidRPr="00364C5E">
              <w:rPr>
                <w:b/>
                <w:sz w:val="22"/>
                <w:szCs w:val="22"/>
              </w:rPr>
              <w:t>Hourly</w:t>
            </w:r>
          </w:p>
          <w:p w:rsidR="0081362F" w:rsidRPr="00364C5E" w:rsidP="00EE7E4B" w14:paraId="09173955" w14:textId="77777777">
            <w:pPr>
              <w:pStyle w:val="ParaNum0"/>
              <w:numPr>
                <w:ilvl w:val="0"/>
                <w:numId w:val="0"/>
              </w:numPr>
              <w:tabs>
                <w:tab w:val="left" w:pos="0"/>
                <w:tab w:val="left" w:pos="360"/>
              </w:tabs>
              <w:rPr>
                <w:b/>
                <w:sz w:val="22"/>
                <w:szCs w:val="22"/>
              </w:rPr>
            </w:pPr>
            <w:r w:rsidRPr="00364C5E">
              <w:rPr>
                <w:b/>
                <w:sz w:val="22"/>
                <w:szCs w:val="22"/>
              </w:rPr>
              <w:t>Burden</w:t>
            </w:r>
          </w:p>
        </w:tc>
        <w:tc>
          <w:tcPr>
            <w:tcW w:w="1080" w:type="dxa"/>
          </w:tcPr>
          <w:p w:rsidR="0081362F" w:rsidRPr="00364C5E" w:rsidP="00EE7E4B" w14:paraId="5AFF34AD" w14:textId="77777777">
            <w:pPr>
              <w:pStyle w:val="ParaNum0"/>
              <w:numPr>
                <w:ilvl w:val="0"/>
                <w:numId w:val="0"/>
              </w:numPr>
              <w:tabs>
                <w:tab w:val="left" w:pos="0"/>
                <w:tab w:val="left" w:pos="360"/>
              </w:tabs>
              <w:rPr>
                <w:b/>
                <w:sz w:val="22"/>
                <w:szCs w:val="22"/>
              </w:rPr>
            </w:pPr>
            <w:r w:rsidRPr="00364C5E">
              <w:rPr>
                <w:b/>
                <w:sz w:val="22"/>
                <w:szCs w:val="22"/>
              </w:rPr>
              <w:t>Total</w:t>
            </w:r>
          </w:p>
          <w:p w:rsidR="0081362F" w:rsidRPr="00364C5E" w:rsidP="00EE7E4B" w14:paraId="0B94BB49" w14:textId="77777777">
            <w:pPr>
              <w:pStyle w:val="ParaNum0"/>
              <w:numPr>
                <w:ilvl w:val="0"/>
                <w:numId w:val="0"/>
              </w:numPr>
              <w:tabs>
                <w:tab w:val="left" w:pos="0"/>
                <w:tab w:val="left" w:pos="360"/>
              </w:tabs>
              <w:rPr>
                <w:b/>
                <w:sz w:val="22"/>
                <w:szCs w:val="22"/>
              </w:rPr>
            </w:pPr>
            <w:r w:rsidRPr="00364C5E">
              <w:rPr>
                <w:b/>
                <w:sz w:val="22"/>
                <w:szCs w:val="22"/>
              </w:rPr>
              <w:t>Burden Hours</w:t>
            </w:r>
          </w:p>
        </w:tc>
        <w:tc>
          <w:tcPr>
            <w:tcW w:w="1350" w:type="dxa"/>
          </w:tcPr>
          <w:p w:rsidR="0081362F" w:rsidRPr="00364C5E" w:rsidP="00EE7E4B" w14:paraId="63E1A700" w14:textId="77777777">
            <w:pPr>
              <w:pStyle w:val="ParaNum0"/>
              <w:numPr>
                <w:ilvl w:val="0"/>
                <w:numId w:val="0"/>
              </w:numPr>
              <w:tabs>
                <w:tab w:val="left" w:pos="0"/>
                <w:tab w:val="left" w:pos="360"/>
              </w:tabs>
              <w:rPr>
                <w:b/>
                <w:sz w:val="22"/>
                <w:szCs w:val="22"/>
              </w:rPr>
            </w:pPr>
            <w:r w:rsidRPr="00364C5E">
              <w:rPr>
                <w:b/>
                <w:sz w:val="22"/>
                <w:szCs w:val="22"/>
              </w:rPr>
              <w:t>Hourly “In-</w:t>
            </w:r>
          </w:p>
          <w:p w:rsidR="0081362F" w:rsidRPr="00364C5E" w:rsidP="00EE7E4B" w14:paraId="62D08FC7" w14:textId="77777777">
            <w:pPr>
              <w:pStyle w:val="ParaNum0"/>
              <w:numPr>
                <w:ilvl w:val="0"/>
                <w:numId w:val="0"/>
              </w:numPr>
              <w:tabs>
                <w:tab w:val="left" w:pos="0"/>
                <w:tab w:val="left" w:pos="360"/>
              </w:tabs>
              <w:rPr>
                <w:b/>
                <w:sz w:val="22"/>
                <w:szCs w:val="22"/>
              </w:rPr>
            </w:pPr>
            <w:r w:rsidRPr="00364C5E">
              <w:rPr>
                <w:b/>
                <w:sz w:val="22"/>
                <w:szCs w:val="22"/>
              </w:rPr>
              <w:t xml:space="preserve">House” </w:t>
            </w:r>
          </w:p>
          <w:p w:rsidR="0081362F" w:rsidRPr="00364C5E" w:rsidP="00EE7E4B" w14:paraId="7628AAE5" w14:textId="77777777">
            <w:pPr>
              <w:pStyle w:val="ParaNum0"/>
              <w:numPr>
                <w:ilvl w:val="0"/>
                <w:numId w:val="0"/>
              </w:numPr>
              <w:tabs>
                <w:tab w:val="left" w:pos="0"/>
                <w:tab w:val="left" w:pos="360"/>
              </w:tabs>
              <w:rPr>
                <w:b/>
                <w:sz w:val="22"/>
                <w:szCs w:val="22"/>
              </w:rPr>
            </w:pPr>
            <w:r w:rsidRPr="00364C5E">
              <w:rPr>
                <w:b/>
                <w:sz w:val="22"/>
                <w:szCs w:val="22"/>
              </w:rPr>
              <w:t>Cost</w:t>
            </w:r>
          </w:p>
        </w:tc>
        <w:tc>
          <w:tcPr>
            <w:tcW w:w="1440" w:type="dxa"/>
          </w:tcPr>
          <w:p w:rsidR="0081362F" w:rsidRPr="00364C5E" w:rsidP="00EE7E4B" w14:paraId="1130F8B9" w14:textId="77777777">
            <w:pPr>
              <w:pStyle w:val="ParaNum0"/>
              <w:numPr>
                <w:ilvl w:val="0"/>
                <w:numId w:val="0"/>
              </w:numPr>
              <w:tabs>
                <w:tab w:val="left" w:pos="0"/>
                <w:tab w:val="left" w:pos="360"/>
              </w:tabs>
              <w:rPr>
                <w:b/>
                <w:sz w:val="22"/>
                <w:szCs w:val="22"/>
              </w:rPr>
            </w:pPr>
            <w:r w:rsidRPr="00364C5E">
              <w:rPr>
                <w:b/>
                <w:sz w:val="22"/>
                <w:szCs w:val="22"/>
              </w:rPr>
              <w:t xml:space="preserve">Total Annual </w:t>
            </w:r>
          </w:p>
          <w:p w:rsidR="0081362F" w:rsidRPr="00364C5E" w:rsidP="00EE7E4B" w14:paraId="1EC2897B" w14:textId="77777777">
            <w:pPr>
              <w:pStyle w:val="ParaNum0"/>
              <w:numPr>
                <w:ilvl w:val="0"/>
                <w:numId w:val="0"/>
              </w:numPr>
              <w:tabs>
                <w:tab w:val="left" w:pos="0"/>
                <w:tab w:val="left" w:pos="360"/>
              </w:tabs>
              <w:rPr>
                <w:b/>
                <w:sz w:val="22"/>
                <w:szCs w:val="22"/>
              </w:rPr>
            </w:pPr>
            <w:r w:rsidRPr="00364C5E">
              <w:rPr>
                <w:b/>
                <w:sz w:val="22"/>
                <w:szCs w:val="22"/>
              </w:rPr>
              <w:t>“In-House”</w:t>
            </w:r>
          </w:p>
          <w:p w:rsidR="0081362F" w:rsidRPr="00364C5E" w:rsidP="00EE7E4B" w14:paraId="2820F6F9" w14:textId="77777777">
            <w:pPr>
              <w:pStyle w:val="ParaNum0"/>
              <w:numPr>
                <w:ilvl w:val="0"/>
                <w:numId w:val="0"/>
              </w:numPr>
              <w:tabs>
                <w:tab w:val="left" w:pos="0"/>
                <w:tab w:val="left" w:pos="360"/>
              </w:tabs>
              <w:rPr>
                <w:b/>
                <w:sz w:val="22"/>
                <w:szCs w:val="22"/>
              </w:rPr>
            </w:pPr>
            <w:r w:rsidRPr="00364C5E">
              <w:rPr>
                <w:b/>
                <w:sz w:val="22"/>
                <w:szCs w:val="22"/>
              </w:rPr>
              <w:t>Cost</w:t>
            </w:r>
          </w:p>
        </w:tc>
      </w:tr>
      <w:tr w14:paraId="7E1AE22E" w14:textId="77777777" w:rsidTr="00EE7E4B">
        <w:tblPrEx>
          <w:tblW w:w="10098" w:type="dxa"/>
          <w:tblLayout w:type="fixed"/>
          <w:tblLook w:val="01E0"/>
        </w:tblPrEx>
        <w:tc>
          <w:tcPr>
            <w:tcW w:w="10098" w:type="dxa"/>
            <w:gridSpan w:val="6"/>
          </w:tcPr>
          <w:p w:rsidR="0081362F" w:rsidRPr="00364C5E" w:rsidP="00EE7E4B" w14:paraId="4AF397FF" w14:textId="77777777">
            <w:pPr>
              <w:pStyle w:val="ParaNum0"/>
              <w:numPr>
                <w:ilvl w:val="0"/>
                <w:numId w:val="0"/>
              </w:numPr>
              <w:tabs>
                <w:tab w:val="left" w:pos="0"/>
                <w:tab w:val="left" w:pos="360"/>
              </w:tabs>
              <w:rPr>
                <w:b/>
                <w:sz w:val="22"/>
                <w:szCs w:val="22"/>
              </w:rPr>
            </w:pPr>
          </w:p>
        </w:tc>
      </w:tr>
      <w:tr w14:paraId="60BB375E" w14:textId="77777777" w:rsidTr="00EE7E4B">
        <w:tblPrEx>
          <w:tblW w:w="10098" w:type="dxa"/>
          <w:tblLayout w:type="fixed"/>
          <w:tblLook w:val="01E0"/>
        </w:tblPrEx>
        <w:tc>
          <w:tcPr>
            <w:tcW w:w="10098" w:type="dxa"/>
            <w:gridSpan w:val="6"/>
          </w:tcPr>
          <w:p w:rsidR="0081362F" w:rsidRPr="00364C5E" w:rsidP="00EE7E4B" w14:paraId="68640907" w14:textId="77777777">
            <w:pPr>
              <w:pStyle w:val="ParaNum0"/>
              <w:numPr>
                <w:ilvl w:val="0"/>
                <w:numId w:val="0"/>
              </w:numPr>
              <w:tabs>
                <w:tab w:val="left" w:pos="0"/>
                <w:tab w:val="left" w:pos="360"/>
              </w:tabs>
              <w:rPr>
                <w:b/>
                <w:sz w:val="22"/>
                <w:szCs w:val="22"/>
              </w:rPr>
            </w:pPr>
            <w:r w:rsidRPr="00364C5E">
              <w:rPr>
                <w:b/>
                <w:sz w:val="22"/>
                <w:szCs w:val="22"/>
              </w:rPr>
              <w:t>73.682(e)(2)(ii) and 76.607(a)(2)(ii)</w:t>
            </w:r>
          </w:p>
        </w:tc>
      </w:tr>
      <w:tr w14:paraId="23E00E13" w14:textId="77777777" w:rsidTr="00EE7E4B">
        <w:tblPrEx>
          <w:tblW w:w="10098" w:type="dxa"/>
          <w:tblLayout w:type="fixed"/>
          <w:tblLook w:val="01E0"/>
        </w:tblPrEx>
        <w:tc>
          <w:tcPr>
            <w:tcW w:w="2448" w:type="dxa"/>
          </w:tcPr>
          <w:p w:rsidR="0081362F" w:rsidRPr="00364C5E" w:rsidP="00EE7E4B" w14:paraId="09480B96" w14:textId="77777777">
            <w:pPr>
              <w:pStyle w:val="ParaNum0"/>
              <w:numPr>
                <w:ilvl w:val="0"/>
                <w:numId w:val="0"/>
              </w:numPr>
              <w:tabs>
                <w:tab w:val="left" w:pos="0"/>
                <w:tab w:val="left" w:pos="360"/>
              </w:tabs>
              <w:rPr>
                <w:b/>
                <w:sz w:val="22"/>
                <w:szCs w:val="22"/>
              </w:rPr>
            </w:pPr>
          </w:p>
          <w:p w:rsidR="0081362F" w:rsidRPr="00364C5E" w:rsidP="00EE7E4B" w14:paraId="2BF12554" w14:textId="77777777">
            <w:pPr>
              <w:pStyle w:val="ParaNum0"/>
              <w:numPr>
                <w:ilvl w:val="0"/>
                <w:numId w:val="0"/>
              </w:numPr>
              <w:tabs>
                <w:tab w:val="left" w:pos="0"/>
                <w:tab w:val="left" w:pos="360"/>
              </w:tabs>
              <w:rPr>
                <w:b/>
                <w:sz w:val="22"/>
                <w:szCs w:val="22"/>
              </w:rPr>
            </w:pPr>
            <w:r w:rsidRPr="00364C5E">
              <w:rPr>
                <w:b/>
                <w:sz w:val="22"/>
                <w:szCs w:val="22"/>
              </w:rPr>
              <w:t>Recordkeeping Requirement</w:t>
            </w:r>
          </w:p>
        </w:tc>
        <w:tc>
          <w:tcPr>
            <w:tcW w:w="2610" w:type="dxa"/>
          </w:tcPr>
          <w:p w:rsidR="00484752" w:rsidP="00EE7E4B" w14:paraId="5D31C4F5" w14:textId="77777777">
            <w:pPr>
              <w:pStyle w:val="ParaNum0"/>
              <w:numPr>
                <w:ilvl w:val="0"/>
                <w:numId w:val="0"/>
              </w:numPr>
              <w:tabs>
                <w:tab w:val="left" w:pos="0"/>
                <w:tab w:val="left" w:pos="360"/>
              </w:tabs>
              <w:rPr>
                <w:sz w:val="22"/>
                <w:szCs w:val="22"/>
              </w:rPr>
            </w:pPr>
          </w:p>
          <w:p w:rsidR="0081362F" w:rsidRPr="00364C5E" w:rsidP="00EE7E4B" w14:paraId="595DC2BE" w14:textId="77777777">
            <w:pPr>
              <w:pStyle w:val="ParaNum0"/>
              <w:numPr>
                <w:ilvl w:val="0"/>
                <w:numId w:val="0"/>
              </w:numPr>
              <w:tabs>
                <w:tab w:val="left" w:pos="0"/>
                <w:tab w:val="left" w:pos="360"/>
              </w:tabs>
              <w:rPr>
                <w:sz w:val="22"/>
                <w:szCs w:val="22"/>
              </w:rPr>
            </w:pPr>
            <w:r>
              <w:rPr>
                <w:sz w:val="22"/>
                <w:szCs w:val="22"/>
              </w:rPr>
              <w:t>2,000 total respondents</w:t>
            </w:r>
            <w:r>
              <w:rPr>
                <w:rStyle w:val="FootnoteReference"/>
                <w:sz w:val="22"/>
                <w:szCs w:val="22"/>
              </w:rPr>
              <w:footnoteReference w:id="10"/>
            </w:r>
            <w:r>
              <w:rPr>
                <w:sz w:val="22"/>
                <w:szCs w:val="22"/>
              </w:rPr>
              <w:t>/</w:t>
            </w:r>
          </w:p>
          <w:p w:rsidR="0081362F" w:rsidRPr="00364C5E" w:rsidP="00EE7E4B" w14:paraId="7D04E7C2" w14:textId="77777777">
            <w:pPr>
              <w:pStyle w:val="ParaNum0"/>
              <w:numPr>
                <w:ilvl w:val="0"/>
                <w:numId w:val="0"/>
              </w:numPr>
              <w:tabs>
                <w:tab w:val="left" w:pos="0"/>
                <w:tab w:val="left" w:pos="360"/>
              </w:tabs>
              <w:rPr>
                <w:sz w:val="22"/>
                <w:szCs w:val="22"/>
              </w:rPr>
            </w:pPr>
            <w:r w:rsidRPr="00364C5E">
              <w:rPr>
                <w:sz w:val="22"/>
                <w:szCs w:val="22"/>
              </w:rPr>
              <w:t xml:space="preserve">2,000 </w:t>
            </w:r>
            <w:r w:rsidR="00863E67">
              <w:rPr>
                <w:sz w:val="22"/>
                <w:szCs w:val="22"/>
              </w:rPr>
              <w:t xml:space="preserve">total </w:t>
            </w:r>
            <w:r w:rsidRPr="00364C5E">
              <w:rPr>
                <w:sz w:val="22"/>
                <w:szCs w:val="22"/>
              </w:rPr>
              <w:t>responses</w:t>
            </w:r>
          </w:p>
        </w:tc>
        <w:tc>
          <w:tcPr>
            <w:tcW w:w="1170" w:type="dxa"/>
          </w:tcPr>
          <w:p w:rsidR="0081362F" w:rsidRPr="00364C5E" w:rsidP="00EE7E4B" w14:paraId="403BFD88" w14:textId="77777777">
            <w:pPr>
              <w:pStyle w:val="ParaNum0"/>
              <w:numPr>
                <w:ilvl w:val="0"/>
                <w:numId w:val="0"/>
              </w:numPr>
              <w:tabs>
                <w:tab w:val="left" w:pos="0"/>
                <w:tab w:val="left" w:pos="360"/>
              </w:tabs>
              <w:rPr>
                <w:sz w:val="22"/>
                <w:szCs w:val="22"/>
              </w:rPr>
            </w:pPr>
          </w:p>
          <w:p w:rsidR="0081362F" w:rsidRPr="00364C5E" w:rsidP="00EE7E4B" w14:paraId="587A0E37" w14:textId="77777777">
            <w:pPr>
              <w:pStyle w:val="ParaNum0"/>
              <w:numPr>
                <w:ilvl w:val="0"/>
                <w:numId w:val="0"/>
              </w:numPr>
              <w:tabs>
                <w:tab w:val="left" w:pos="0"/>
                <w:tab w:val="left" w:pos="360"/>
              </w:tabs>
              <w:rPr>
                <w:sz w:val="22"/>
                <w:szCs w:val="22"/>
              </w:rPr>
            </w:pPr>
            <w:r w:rsidRPr="00364C5E">
              <w:rPr>
                <w:sz w:val="22"/>
                <w:szCs w:val="22"/>
              </w:rPr>
              <w:t>0.25 hours / response</w:t>
            </w:r>
          </w:p>
        </w:tc>
        <w:tc>
          <w:tcPr>
            <w:tcW w:w="1080" w:type="dxa"/>
          </w:tcPr>
          <w:p w:rsidR="0081362F" w:rsidRPr="00364C5E" w:rsidP="00EE7E4B" w14:paraId="5D803C94" w14:textId="77777777">
            <w:pPr>
              <w:pStyle w:val="ParaNum0"/>
              <w:numPr>
                <w:ilvl w:val="0"/>
                <w:numId w:val="0"/>
              </w:numPr>
              <w:tabs>
                <w:tab w:val="left" w:pos="0"/>
                <w:tab w:val="left" w:pos="360"/>
              </w:tabs>
              <w:rPr>
                <w:sz w:val="22"/>
                <w:szCs w:val="22"/>
              </w:rPr>
            </w:pPr>
          </w:p>
          <w:p w:rsidR="0081362F" w:rsidRPr="00364C5E" w:rsidP="00EE7E4B" w14:paraId="1BA0E97C" w14:textId="77777777">
            <w:pPr>
              <w:pStyle w:val="ParaNum0"/>
              <w:numPr>
                <w:ilvl w:val="0"/>
                <w:numId w:val="0"/>
              </w:numPr>
              <w:tabs>
                <w:tab w:val="left" w:pos="0"/>
                <w:tab w:val="left" w:pos="360"/>
              </w:tabs>
              <w:rPr>
                <w:sz w:val="22"/>
                <w:szCs w:val="22"/>
              </w:rPr>
            </w:pPr>
            <w:r w:rsidRPr="00364C5E">
              <w:rPr>
                <w:sz w:val="22"/>
                <w:szCs w:val="22"/>
              </w:rPr>
              <w:t>500</w:t>
            </w:r>
          </w:p>
          <w:p w:rsidR="0081362F" w:rsidRPr="00364C5E" w:rsidP="00EE7E4B" w14:paraId="072A0D39" w14:textId="77777777">
            <w:pPr>
              <w:pStyle w:val="ParaNum0"/>
              <w:numPr>
                <w:ilvl w:val="0"/>
                <w:numId w:val="0"/>
              </w:numPr>
              <w:tabs>
                <w:tab w:val="left" w:pos="0"/>
                <w:tab w:val="left" w:pos="360"/>
              </w:tabs>
              <w:rPr>
                <w:sz w:val="22"/>
                <w:szCs w:val="22"/>
              </w:rPr>
            </w:pPr>
            <w:r w:rsidRPr="00364C5E">
              <w:rPr>
                <w:sz w:val="22"/>
                <w:szCs w:val="22"/>
              </w:rPr>
              <w:t>hours</w:t>
            </w:r>
          </w:p>
        </w:tc>
        <w:tc>
          <w:tcPr>
            <w:tcW w:w="1350" w:type="dxa"/>
          </w:tcPr>
          <w:p w:rsidR="0081362F" w:rsidRPr="00364C5E" w:rsidP="00EE7E4B" w14:paraId="7349E8A5" w14:textId="77777777">
            <w:pPr>
              <w:pStyle w:val="ParaNum0"/>
              <w:numPr>
                <w:ilvl w:val="0"/>
                <w:numId w:val="0"/>
              </w:numPr>
              <w:tabs>
                <w:tab w:val="left" w:pos="0"/>
                <w:tab w:val="left" w:pos="360"/>
              </w:tabs>
              <w:rPr>
                <w:sz w:val="22"/>
                <w:szCs w:val="22"/>
              </w:rPr>
            </w:pPr>
          </w:p>
          <w:p w:rsidR="00484752" w:rsidP="00EE7E4B" w14:paraId="756EF0D5" w14:textId="77777777">
            <w:pPr>
              <w:pStyle w:val="ParaNum0"/>
              <w:numPr>
                <w:ilvl w:val="0"/>
                <w:numId w:val="0"/>
              </w:numPr>
              <w:tabs>
                <w:tab w:val="left" w:pos="0"/>
                <w:tab w:val="left" w:pos="360"/>
              </w:tabs>
              <w:rPr>
                <w:sz w:val="22"/>
                <w:szCs w:val="22"/>
              </w:rPr>
            </w:pPr>
          </w:p>
          <w:p w:rsidR="0081362F" w:rsidRPr="00364C5E" w:rsidP="00EE7E4B" w14:paraId="3C1A14FD" w14:textId="77777777">
            <w:pPr>
              <w:pStyle w:val="ParaNum0"/>
              <w:numPr>
                <w:ilvl w:val="0"/>
                <w:numId w:val="0"/>
              </w:numPr>
              <w:tabs>
                <w:tab w:val="left" w:pos="0"/>
                <w:tab w:val="left" w:pos="360"/>
              </w:tabs>
              <w:rPr>
                <w:sz w:val="22"/>
                <w:szCs w:val="22"/>
              </w:rPr>
            </w:pPr>
            <w:r w:rsidRPr="00364C5E">
              <w:rPr>
                <w:sz w:val="22"/>
                <w:szCs w:val="22"/>
              </w:rPr>
              <w:t>$48.08/hour</w:t>
            </w:r>
          </w:p>
        </w:tc>
        <w:tc>
          <w:tcPr>
            <w:tcW w:w="1440" w:type="dxa"/>
          </w:tcPr>
          <w:p w:rsidR="0081362F" w:rsidRPr="00364C5E" w:rsidP="00EE7E4B" w14:paraId="4FA40041" w14:textId="77777777">
            <w:pPr>
              <w:pStyle w:val="ParaNum0"/>
              <w:numPr>
                <w:ilvl w:val="0"/>
                <w:numId w:val="0"/>
              </w:numPr>
              <w:tabs>
                <w:tab w:val="left" w:pos="0"/>
                <w:tab w:val="left" w:pos="360"/>
              </w:tabs>
              <w:rPr>
                <w:sz w:val="22"/>
                <w:szCs w:val="22"/>
              </w:rPr>
            </w:pPr>
          </w:p>
          <w:p w:rsidR="00484752" w:rsidP="00EE7E4B" w14:paraId="61AAAF5A" w14:textId="77777777">
            <w:pPr>
              <w:pStyle w:val="ParaNum0"/>
              <w:numPr>
                <w:ilvl w:val="0"/>
                <w:numId w:val="0"/>
              </w:numPr>
              <w:tabs>
                <w:tab w:val="left" w:pos="0"/>
                <w:tab w:val="left" w:pos="360"/>
              </w:tabs>
              <w:rPr>
                <w:sz w:val="22"/>
                <w:szCs w:val="22"/>
              </w:rPr>
            </w:pPr>
          </w:p>
          <w:p w:rsidR="0081362F" w:rsidRPr="00364C5E" w:rsidP="00EE7E4B" w14:paraId="6C16058E" w14:textId="77777777">
            <w:pPr>
              <w:pStyle w:val="ParaNum0"/>
              <w:numPr>
                <w:ilvl w:val="0"/>
                <w:numId w:val="0"/>
              </w:numPr>
              <w:tabs>
                <w:tab w:val="left" w:pos="0"/>
                <w:tab w:val="left" w:pos="360"/>
              </w:tabs>
              <w:rPr>
                <w:sz w:val="22"/>
                <w:szCs w:val="22"/>
              </w:rPr>
            </w:pPr>
            <w:r w:rsidRPr="00364C5E">
              <w:rPr>
                <w:sz w:val="22"/>
                <w:szCs w:val="22"/>
              </w:rPr>
              <w:t>$24,040.00</w:t>
            </w:r>
          </w:p>
        </w:tc>
      </w:tr>
      <w:tr w14:paraId="4A75FF1C" w14:textId="77777777" w:rsidTr="00EE7E4B">
        <w:tblPrEx>
          <w:tblW w:w="10098" w:type="dxa"/>
          <w:tblLayout w:type="fixed"/>
          <w:tblLook w:val="01E0"/>
        </w:tblPrEx>
        <w:tc>
          <w:tcPr>
            <w:tcW w:w="10098" w:type="dxa"/>
            <w:gridSpan w:val="6"/>
          </w:tcPr>
          <w:p w:rsidR="0081362F" w:rsidRPr="00364C5E" w:rsidP="00EE7E4B" w14:paraId="6588C18C" w14:textId="77777777">
            <w:pPr>
              <w:pStyle w:val="ParaNum0"/>
              <w:numPr>
                <w:ilvl w:val="0"/>
                <w:numId w:val="0"/>
              </w:numPr>
              <w:tabs>
                <w:tab w:val="left" w:pos="0"/>
                <w:tab w:val="left" w:pos="360"/>
              </w:tabs>
              <w:rPr>
                <w:b/>
                <w:sz w:val="22"/>
                <w:szCs w:val="22"/>
              </w:rPr>
            </w:pPr>
          </w:p>
        </w:tc>
      </w:tr>
      <w:tr w14:paraId="4EA983D8" w14:textId="77777777" w:rsidTr="00863E67">
        <w:tblPrEx>
          <w:tblW w:w="10098" w:type="dxa"/>
          <w:tblLayout w:type="fixed"/>
          <w:tblLook w:val="01E0"/>
        </w:tblPrEx>
        <w:trPr>
          <w:trHeight w:val="350"/>
        </w:trPr>
        <w:tc>
          <w:tcPr>
            <w:tcW w:w="10098" w:type="dxa"/>
            <w:gridSpan w:val="6"/>
          </w:tcPr>
          <w:p w:rsidR="0081362F" w:rsidRPr="00364C5E" w:rsidP="00EE7E4B" w14:paraId="2BC8BA8D" w14:textId="77777777">
            <w:pPr>
              <w:pStyle w:val="ParaNum0"/>
              <w:keepNext/>
              <w:numPr>
                <w:ilvl w:val="0"/>
                <w:numId w:val="0"/>
              </w:numPr>
              <w:tabs>
                <w:tab w:val="left" w:pos="0"/>
                <w:tab w:val="left" w:pos="360"/>
              </w:tabs>
              <w:rPr>
                <w:b/>
                <w:sz w:val="22"/>
                <w:szCs w:val="22"/>
              </w:rPr>
            </w:pPr>
            <w:r w:rsidRPr="00364C5E">
              <w:rPr>
                <w:b/>
                <w:sz w:val="22"/>
                <w:szCs w:val="22"/>
              </w:rPr>
              <w:t>73.682(e)(3)(</w:t>
            </w:r>
            <w:r w:rsidRPr="00364C5E">
              <w:rPr>
                <w:b/>
                <w:sz w:val="22"/>
                <w:szCs w:val="22"/>
              </w:rPr>
              <w:t>i</w:t>
            </w:r>
            <w:r w:rsidRPr="00364C5E">
              <w:rPr>
                <w:b/>
                <w:sz w:val="22"/>
                <w:szCs w:val="22"/>
              </w:rPr>
              <w:t>) and 76.607(a)(3)(</w:t>
            </w:r>
            <w:r w:rsidRPr="00364C5E">
              <w:rPr>
                <w:b/>
                <w:sz w:val="22"/>
                <w:szCs w:val="22"/>
              </w:rPr>
              <w:t>i</w:t>
            </w:r>
            <w:r w:rsidRPr="00364C5E">
              <w:rPr>
                <w:b/>
                <w:sz w:val="22"/>
                <w:szCs w:val="22"/>
              </w:rPr>
              <w:t>)</w:t>
            </w:r>
          </w:p>
        </w:tc>
      </w:tr>
      <w:tr w14:paraId="4C472126" w14:textId="77777777" w:rsidTr="00EE7E4B">
        <w:tblPrEx>
          <w:tblW w:w="10098" w:type="dxa"/>
          <w:tblLayout w:type="fixed"/>
          <w:tblLook w:val="01E0"/>
        </w:tblPrEx>
        <w:tc>
          <w:tcPr>
            <w:tcW w:w="2448" w:type="dxa"/>
          </w:tcPr>
          <w:p w:rsidR="0081362F" w:rsidRPr="00364C5E" w:rsidP="00EE7E4B" w14:paraId="5833E064" w14:textId="77777777">
            <w:pPr>
              <w:pStyle w:val="ParaNum0"/>
              <w:numPr>
                <w:ilvl w:val="0"/>
                <w:numId w:val="0"/>
              </w:numPr>
              <w:tabs>
                <w:tab w:val="left" w:pos="0"/>
                <w:tab w:val="left" w:pos="360"/>
              </w:tabs>
              <w:rPr>
                <w:b/>
                <w:sz w:val="22"/>
                <w:szCs w:val="22"/>
              </w:rPr>
            </w:pPr>
          </w:p>
          <w:p w:rsidR="0081362F" w:rsidRPr="00364C5E" w:rsidP="00EE7E4B" w14:paraId="59343DE2" w14:textId="77777777">
            <w:pPr>
              <w:pStyle w:val="ParaNum0"/>
              <w:numPr>
                <w:ilvl w:val="0"/>
                <w:numId w:val="0"/>
              </w:numPr>
              <w:tabs>
                <w:tab w:val="left" w:pos="0"/>
                <w:tab w:val="left" w:pos="360"/>
              </w:tabs>
              <w:rPr>
                <w:b/>
                <w:sz w:val="22"/>
                <w:szCs w:val="22"/>
              </w:rPr>
            </w:pPr>
            <w:r w:rsidRPr="00364C5E">
              <w:rPr>
                <w:b/>
                <w:sz w:val="22"/>
                <w:szCs w:val="22"/>
              </w:rPr>
              <w:t xml:space="preserve">Network/Programmer Certifications </w:t>
            </w:r>
          </w:p>
        </w:tc>
        <w:tc>
          <w:tcPr>
            <w:tcW w:w="2610" w:type="dxa"/>
          </w:tcPr>
          <w:p w:rsidR="00484752" w:rsidP="00EE7E4B" w14:paraId="4436F3F9" w14:textId="77777777">
            <w:pPr>
              <w:pStyle w:val="ParaNum0"/>
              <w:numPr>
                <w:ilvl w:val="0"/>
                <w:numId w:val="0"/>
              </w:numPr>
              <w:tabs>
                <w:tab w:val="left" w:pos="0"/>
                <w:tab w:val="left" w:pos="360"/>
              </w:tabs>
              <w:rPr>
                <w:sz w:val="22"/>
                <w:szCs w:val="22"/>
              </w:rPr>
            </w:pPr>
          </w:p>
          <w:p w:rsidR="0081362F" w:rsidRPr="00364C5E" w:rsidP="00EE7E4B" w14:paraId="0B3A6E61" w14:textId="77777777">
            <w:pPr>
              <w:pStyle w:val="ParaNum0"/>
              <w:numPr>
                <w:ilvl w:val="0"/>
                <w:numId w:val="0"/>
              </w:numPr>
              <w:tabs>
                <w:tab w:val="left" w:pos="0"/>
                <w:tab w:val="left" w:pos="360"/>
              </w:tabs>
              <w:rPr>
                <w:sz w:val="22"/>
                <w:szCs w:val="22"/>
              </w:rPr>
            </w:pPr>
            <w:r>
              <w:rPr>
                <w:sz w:val="22"/>
                <w:szCs w:val="22"/>
              </w:rPr>
              <w:t>250 total respondents/</w:t>
            </w:r>
          </w:p>
          <w:p w:rsidR="0081362F" w:rsidRPr="00364C5E" w:rsidP="00EE7E4B" w14:paraId="5BA92753" w14:textId="77777777">
            <w:pPr>
              <w:pStyle w:val="ParaNum0"/>
              <w:numPr>
                <w:ilvl w:val="0"/>
                <w:numId w:val="0"/>
              </w:numPr>
              <w:tabs>
                <w:tab w:val="left" w:pos="0"/>
                <w:tab w:val="left" w:pos="360"/>
              </w:tabs>
              <w:rPr>
                <w:sz w:val="22"/>
                <w:szCs w:val="22"/>
              </w:rPr>
            </w:pPr>
            <w:r w:rsidRPr="00364C5E">
              <w:rPr>
                <w:sz w:val="22"/>
                <w:szCs w:val="22"/>
              </w:rPr>
              <w:t xml:space="preserve">250 </w:t>
            </w:r>
            <w:r w:rsidR="00863E67">
              <w:rPr>
                <w:sz w:val="22"/>
                <w:szCs w:val="22"/>
              </w:rPr>
              <w:t xml:space="preserve">total </w:t>
            </w:r>
            <w:r w:rsidRPr="00364C5E">
              <w:rPr>
                <w:sz w:val="22"/>
                <w:szCs w:val="22"/>
              </w:rPr>
              <w:t>certifications</w:t>
            </w:r>
            <w:r>
              <w:rPr>
                <w:rStyle w:val="FootnoteReference"/>
                <w:sz w:val="22"/>
                <w:szCs w:val="22"/>
              </w:rPr>
              <w:footnoteReference w:id="11"/>
            </w:r>
          </w:p>
        </w:tc>
        <w:tc>
          <w:tcPr>
            <w:tcW w:w="1170" w:type="dxa"/>
          </w:tcPr>
          <w:p w:rsidR="0081362F" w:rsidRPr="00364C5E" w:rsidP="00EE7E4B" w14:paraId="03567BD0" w14:textId="77777777">
            <w:pPr>
              <w:pStyle w:val="ParaNum0"/>
              <w:numPr>
                <w:ilvl w:val="0"/>
                <w:numId w:val="0"/>
              </w:numPr>
              <w:tabs>
                <w:tab w:val="left" w:pos="0"/>
                <w:tab w:val="left" w:pos="360"/>
              </w:tabs>
              <w:rPr>
                <w:sz w:val="22"/>
                <w:szCs w:val="22"/>
              </w:rPr>
            </w:pPr>
          </w:p>
          <w:p w:rsidR="0081362F" w:rsidRPr="00364C5E" w:rsidP="00EE7E4B" w14:paraId="27D89A2E" w14:textId="77777777">
            <w:pPr>
              <w:pStyle w:val="ParaNum0"/>
              <w:numPr>
                <w:ilvl w:val="0"/>
                <w:numId w:val="0"/>
              </w:numPr>
              <w:tabs>
                <w:tab w:val="left" w:pos="0"/>
                <w:tab w:val="left" w:pos="360"/>
              </w:tabs>
              <w:rPr>
                <w:sz w:val="22"/>
                <w:szCs w:val="22"/>
              </w:rPr>
            </w:pPr>
            <w:r w:rsidRPr="00364C5E">
              <w:rPr>
                <w:sz w:val="22"/>
                <w:szCs w:val="22"/>
              </w:rPr>
              <w:t>1 hour / response</w:t>
            </w:r>
          </w:p>
        </w:tc>
        <w:tc>
          <w:tcPr>
            <w:tcW w:w="1080" w:type="dxa"/>
          </w:tcPr>
          <w:p w:rsidR="0081362F" w:rsidRPr="00364C5E" w:rsidP="00EE7E4B" w14:paraId="3B9F925B" w14:textId="77777777">
            <w:pPr>
              <w:pStyle w:val="ParaNum0"/>
              <w:numPr>
                <w:ilvl w:val="0"/>
                <w:numId w:val="0"/>
              </w:numPr>
              <w:tabs>
                <w:tab w:val="left" w:pos="0"/>
                <w:tab w:val="left" w:pos="360"/>
              </w:tabs>
              <w:rPr>
                <w:sz w:val="22"/>
                <w:szCs w:val="22"/>
              </w:rPr>
            </w:pPr>
          </w:p>
          <w:p w:rsidR="0081362F" w:rsidRPr="00364C5E" w:rsidP="00EE7E4B" w14:paraId="73BE7703" w14:textId="77777777">
            <w:pPr>
              <w:pStyle w:val="ParaNum0"/>
              <w:numPr>
                <w:ilvl w:val="0"/>
                <w:numId w:val="0"/>
              </w:numPr>
              <w:tabs>
                <w:tab w:val="left" w:pos="0"/>
                <w:tab w:val="left" w:pos="360"/>
              </w:tabs>
              <w:rPr>
                <w:sz w:val="22"/>
                <w:szCs w:val="22"/>
              </w:rPr>
            </w:pPr>
            <w:r w:rsidRPr="00364C5E">
              <w:rPr>
                <w:sz w:val="22"/>
                <w:szCs w:val="22"/>
              </w:rPr>
              <w:t xml:space="preserve">250 </w:t>
            </w:r>
          </w:p>
          <w:p w:rsidR="0081362F" w:rsidRPr="00364C5E" w:rsidP="00EE7E4B" w14:paraId="6CE892A4" w14:textId="77777777">
            <w:pPr>
              <w:pStyle w:val="ParaNum0"/>
              <w:numPr>
                <w:ilvl w:val="0"/>
                <w:numId w:val="0"/>
              </w:numPr>
              <w:tabs>
                <w:tab w:val="left" w:pos="0"/>
                <w:tab w:val="left" w:pos="360"/>
              </w:tabs>
              <w:rPr>
                <w:sz w:val="22"/>
                <w:szCs w:val="22"/>
              </w:rPr>
            </w:pPr>
            <w:r w:rsidRPr="00364C5E">
              <w:rPr>
                <w:sz w:val="22"/>
                <w:szCs w:val="22"/>
              </w:rPr>
              <w:t>hours</w:t>
            </w:r>
          </w:p>
        </w:tc>
        <w:tc>
          <w:tcPr>
            <w:tcW w:w="1350" w:type="dxa"/>
          </w:tcPr>
          <w:p w:rsidR="0081362F" w:rsidRPr="00364C5E" w:rsidP="00EE7E4B" w14:paraId="314E94CA" w14:textId="77777777">
            <w:pPr>
              <w:pStyle w:val="ParaNum0"/>
              <w:numPr>
                <w:ilvl w:val="0"/>
                <w:numId w:val="0"/>
              </w:numPr>
              <w:tabs>
                <w:tab w:val="left" w:pos="0"/>
                <w:tab w:val="left" w:pos="360"/>
              </w:tabs>
              <w:rPr>
                <w:sz w:val="22"/>
                <w:szCs w:val="22"/>
              </w:rPr>
            </w:pPr>
          </w:p>
          <w:p w:rsidR="00484752" w:rsidP="00EE7E4B" w14:paraId="2EAEE2EC" w14:textId="77777777">
            <w:pPr>
              <w:pStyle w:val="ParaNum0"/>
              <w:numPr>
                <w:ilvl w:val="0"/>
                <w:numId w:val="0"/>
              </w:numPr>
              <w:tabs>
                <w:tab w:val="left" w:pos="0"/>
                <w:tab w:val="left" w:pos="360"/>
              </w:tabs>
              <w:rPr>
                <w:sz w:val="22"/>
                <w:szCs w:val="22"/>
              </w:rPr>
            </w:pPr>
          </w:p>
          <w:p w:rsidR="0081362F" w:rsidRPr="00364C5E" w:rsidP="00EE7E4B" w14:paraId="064453E6" w14:textId="77777777">
            <w:pPr>
              <w:pStyle w:val="ParaNum0"/>
              <w:numPr>
                <w:ilvl w:val="0"/>
                <w:numId w:val="0"/>
              </w:numPr>
              <w:tabs>
                <w:tab w:val="left" w:pos="0"/>
                <w:tab w:val="left" w:pos="360"/>
              </w:tabs>
              <w:rPr>
                <w:sz w:val="22"/>
                <w:szCs w:val="22"/>
              </w:rPr>
            </w:pPr>
            <w:r w:rsidRPr="00364C5E">
              <w:rPr>
                <w:sz w:val="22"/>
                <w:szCs w:val="22"/>
              </w:rPr>
              <w:t>$48.08/hour</w:t>
            </w:r>
          </w:p>
        </w:tc>
        <w:tc>
          <w:tcPr>
            <w:tcW w:w="1440" w:type="dxa"/>
          </w:tcPr>
          <w:p w:rsidR="0081362F" w:rsidRPr="00364C5E" w:rsidP="00EE7E4B" w14:paraId="06536212" w14:textId="77777777">
            <w:pPr>
              <w:pStyle w:val="ParaNum0"/>
              <w:numPr>
                <w:ilvl w:val="0"/>
                <w:numId w:val="0"/>
              </w:numPr>
              <w:tabs>
                <w:tab w:val="left" w:pos="0"/>
                <w:tab w:val="left" w:pos="360"/>
              </w:tabs>
              <w:rPr>
                <w:sz w:val="22"/>
                <w:szCs w:val="22"/>
              </w:rPr>
            </w:pPr>
          </w:p>
          <w:p w:rsidR="00484752" w:rsidP="00EE7E4B" w14:paraId="47E5F2E7" w14:textId="77777777">
            <w:pPr>
              <w:pStyle w:val="ParaNum0"/>
              <w:numPr>
                <w:ilvl w:val="0"/>
                <w:numId w:val="0"/>
              </w:numPr>
              <w:tabs>
                <w:tab w:val="left" w:pos="0"/>
                <w:tab w:val="left" w:pos="360"/>
              </w:tabs>
              <w:rPr>
                <w:sz w:val="22"/>
                <w:szCs w:val="22"/>
              </w:rPr>
            </w:pPr>
          </w:p>
          <w:p w:rsidR="0081362F" w:rsidRPr="00364C5E" w:rsidP="00EE7E4B" w14:paraId="5BA461C1" w14:textId="77777777">
            <w:pPr>
              <w:pStyle w:val="ParaNum0"/>
              <w:numPr>
                <w:ilvl w:val="0"/>
                <w:numId w:val="0"/>
              </w:numPr>
              <w:tabs>
                <w:tab w:val="left" w:pos="0"/>
                <w:tab w:val="left" w:pos="360"/>
              </w:tabs>
              <w:rPr>
                <w:sz w:val="22"/>
                <w:szCs w:val="22"/>
              </w:rPr>
            </w:pPr>
            <w:r w:rsidRPr="00364C5E">
              <w:rPr>
                <w:sz w:val="22"/>
                <w:szCs w:val="22"/>
              </w:rPr>
              <w:t>$12,020.00</w:t>
            </w:r>
          </w:p>
        </w:tc>
      </w:tr>
      <w:tr w14:paraId="37A8B464" w14:textId="77777777" w:rsidTr="00EE7E4B">
        <w:tblPrEx>
          <w:tblW w:w="10098" w:type="dxa"/>
          <w:tblLayout w:type="fixed"/>
          <w:tblLook w:val="01E0"/>
        </w:tblPrEx>
        <w:tc>
          <w:tcPr>
            <w:tcW w:w="10098" w:type="dxa"/>
            <w:gridSpan w:val="6"/>
          </w:tcPr>
          <w:p w:rsidR="0081362F" w:rsidRPr="00364C5E" w:rsidP="00EE7E4B" w14:paraId="5FCF8831" w14:textId="77777777">
            <w:pPr>
              <w:pStyle w:val="ParaNum0"/>
              <w:numPr>
                <w:ilvl w:val="0"/>
                <w:numId w:val="0"/>
              </w:numPr>
              <w:tabs>
                <w:tab w:val="left" w:pos="0"/>
                <w:tab w:val="left" w:pos="360"/>
              </w:tabs>
              <w:rPr>
                <w:b/>
                <w:sz w:val="22"/>
                <w:szCs w:val="22"/>
              </w:rPr>
            </w:pPr>
          </w:p>
        </w:tc>
      </w:tr>
      <w:tr w14:paraId="2030ED9C" w14:textId="77777777" w:rsidTr="00EE7E4B">
        <w:tblPrEx>
          <w:tblW w:w="10098" w:type="dxa"/>
          <w:tblLayout w:type="fixed"/>
          <w:tblLook w:val="01E0"/>
        </w:tblPrEx>
        <w:tc>
          <w:tcPr>
            <w:tcW w:w="10098" w:type="dxa"/>
            <w:gridSpan w:val="6"/>
          </w:tcPr>
          <w:p w:rsidR="0081362F" w:rsidRPr="00364C5E" w:rsidP="00EE7E4B" w14:paraId="5E1D2C14" w14:textId="77777777">
            <w:pPr>
              <w:pStyle w:val="ParaNum0"/>
              <w:numPr>
                <w:ilvl w:val="0"/>
                <w:numId w:val="0"/>
              </w:numPr>
              <w:tabs>
                <w:tab w:val="left" w:pos="0"/>
                <w:tab w:val="left" w:pos="360"/>
              </w:tabs>
              <w:rPr>
                <w:b/>
                <w:sz w:val="22"/>
                <w:szCs w:val="22"/>
              </w:rPr>
            </w:pPr>
            <w:r w:rsidRPr="00364C5E">
              <w:rPr>
                <w:b/>
                <w:sz w:val="22"/>
                <w:szCs w:val="22"/>
              </w:rPr>
              <w:t>73.682(e)(3)(ii) and 76.607(a)(3)(ii)</w:t>
            </w:r>
          </w:p>
        </w:tc>
      </w:tr>
      <w:tr w14:paraId="6FBCF7DA" w14:textId="77777777" w:rsidTr="00EE7E4B">
        <w:tblPrEx>
          <w:tblW w:w="10098" w:type="dxa"/>
          <w:tblLayout w:type="fixed"/>
          <w:tblLook w:val="01E0"/>
        </w:tblPrEx>
        <w:tc>
          <w:tcPr>
            <w:tcW w:w="2448" w:type="dxa"/>
          </w:tcPr>
          <w:p w:rsidR="0081362F" w:rsidRPr="0081362F" w:rsidP="00EE7E4B" w14:paraId="10183432" w14:textId="77777777">
            <w:pPr>
              <w:pStyle w:val="ParaNum0"/>
              <w:numPr>
                <w:ilvl w:val="0"/>
                <w:numId w:val="0"/>
              </w:numPr>
              <w:tabs>
                <w:tab w:val="left" w:pos="0"/>
                <w:tab w:val="left" w:pos="360"/>
              </w:tabs>
              <w:rPr>
                <w:b/>
                <w:sz w:val="22"/>
                <w:szCs w:val="22"/>
              </w:rPr>
            </w:pPr>
          </w:p>
          <w:p w:rsidR="0081362F" w:rsidRPr="0081362F" w:rsidP="00EE7E4B" w14:paraId="0B971053" w14:textId="77777777">
            <w:pPr>
              <w:pStyle w:val="ParaNum0"/>
              <w:numPr>
                <w:ilvl w:val="0"/>
                <w:numId w:val="0"/>
              </w:numPr>
              <w:tabs>
                <w:tab w:val="left" w:pos="0"/>
                <w:tab w:val="left" w:pos="360"/>
              </w:tabs>
              <w:rPr>
                <w:b/>
                <w:sz w:val="22"/>
                <w:szCs w:val="22"/>
              </w:rPr>
            </w:pPr>
            <w:r w:rsidRPr="0081362F">
              <w:rPr>
                <w:b/>
                <w:sz w:val="22"/>
                <w:szCs w:val="22"/>
              </w:rPr>
              <w:t>Annual Spot-Checks Recordkeeping (loudness meter monitoring records)</w:t>
            </w:r>
          </w:p>
        </w:tc>
        <w:tc>
          <w:tcPr>
            <w:tcW w:w="2610" w:type="dxa"/>
          </w:tcPr>
          <w:p w:rsidR="0081362F" w:rsidRPr="0081362F" w:rsidP="00EE7E4B" w14:paraId="3D59EF6F" w14:textId="77777777">
            <w:pPr>
              <w:pStyle w:val="ParaNum0"/>
              <w:numPr>
                <w:ilvl w:val="0"/>
                <w:numId w:val="0"/>
              </w:numPr>
              <w:tabs>
                <w:tab w:val="left" w:pos="0"/>
                <w:tab w:val="left" w:pos="360"/>
              </w:tabs>
              <w:rPr>
                <w:sz w:val="22"/>
                <w:szCs w:val="22"/>
              </w:rPr>
            </w:pPr>
          </w:p>
          <w:p w:rsidR="00484752" w:rsidP="00EE7E4B" w14:paraId="3E434067" w14:textId="77777777">
            <w:pPr>
              <w:pStyle w:val="ParaNum0"/>
              <w:numPr>
                <w:ilvl w:val="0"/>
                <w:numId w:val="0"/>
              </w:numPr>
              <w:tabs>
                <w:tab w:val="left" w:pos="0"/>
                <w:tab w:val="left" w:pos="360"/>
              </w:tabs>
              <w:rPr>
                <w:sz w:val="22"/>
                <w:szCs w:val="22"/>
              </w:rPr>
            </w:pPr>
          </w:p>
          <w:p w:rsidR="0081362F" w:rsidRPr="0081362F" w:rsidP="00EE7E4B" w14:paraId="350A8968" w14:textId="77777777">
            <w:pPr>
              <w:pStyle w:val="ParaNum0"/>
              <w:numPr>
                <w:ilvl w:val="0"/>
                <w:numId w:val="0"/>
              </w:numPr>
              <w:tabs>
                <w:tab w:val="left" w:pos="0"/>
                <w:tab w:val="left" w:pos="360"/>
              </w:tabs>
              <w:rPr>
                <w:sz w:val="22"/>
                <w:szCs w:val="22"/>
              </w:rPr>
            </w:pPr>
            <w:r w:rsidRPr="0081362F">
              <w:rPr>
                <w:sz w:val="22"/>
                <w:szCs w:val="22"/>
              </w:rPr>
              <w:t>107 total respondents</w:t>
            </w:r>
            <w:r>
              <w:rPr>
                <w:rStyle w:val="FootnoteReference"/>
                <w:sz w:val="22"/>
                <w:szCs w:val="22"/>
              </w:rPr>
              <w:footnoteReference w:id="12"/>
            </w:r>
            <w:r w:rsidRPr="0081362F">
              <w:rPr>
                <w:sz w:val="22"/>
                <w:szCs w:val="22"/>
              </w:rPr>
              <w:t>/ 2,038 total responses</w:t>
            </w:r>
            <w:r>
              <w:rPr>
                <w:rStyle w:val="FootnoteReference"/>
                <w:sz w:val="22"/>
                <w:szCs w:val="22"/>
              </w:rPr>
              <w:footnoteReference w:id="13"/>
            </w:r>
          </w:p>
        </w:tc>
        <w:tc>
          <w:tcPr>
            <w:tcW w:w="1170" w:type="dxa"/>
          </w:tcPr>
          <w:p w:rsidR="0081362F" w:rsidRPr="0081362F" w:rsidP="00EE7E4B" w14:paraId="70463A63" w14:textId="77777777">
            <w:pPr>
              <w:pStyle w:val="ParaNum0"/>
              <w:numPr>
                <w:ilvl w:val="0"/>
                <w:numId w:val="0"/>
              </w:numPr>
              <w:tabs>
                <w:tab w:val="left" w:pos="0"/>
                <w:tab w:val="left" w:pos="360"/>
              </w:tabs>
              <w:rPr>
                <w:sz w:val="22"/>
                <w:szCs w:val="22"/>
              </w:rPr>
            </w:pPr>
          </w:p>
          <w:p w:rsidR="00484752" w:rsidP="00EE7E4B" w14:paraId="513ADF7A" w14:textId="77777777">
            <w:pPr>
              <w:pStyle w:val="ParaNum0"/>
              <w:numPr>
                <w:ilvl w:val="0"/>
                <w:numId w:val="0"/>
              </w:numPr>
              <w:tabs>
                <w:tab w:val="left" w:pos="0"/>
                <w:tab w:val="left" w:pos="360"/>
              </w:tabs>
              <w:rPr>
                <w:sz w:val="22"/>
                <w:szCs w:val="22"/>
              </w:rPr>
            </w:pPr>
          </w:p>
          <w:p w:rsidR="0081362F" w:rsidRPr="0081362F" w:rsidP="00EE7E4B" w14:paraId="5A9C1A5E" w14:textId="77777777">
            <w:pPr>
              <w:pStyle w:val="ParaNum0"/>
              <w:numPr>
                <w:ilvl w:val="0"/>
                <w:numId w:val="0"/>
              </w:numPr>
              <w:tabs>
                <w:tab w:val="left" w:pos="0"/>
                <w:tab w:val="left" w:pos="360"/>
              </w:tabs>
              <w:rPr>
                <w:sz w:val="22"/>
                <w:szCs w:val="22"/>
              </w:rPr>
            </w:pPr>
            <w:r w:rsidRPr="0081362F">
              <w:rPr>
                <w:sz w:val="22"/>
                <w:szCs w:val="22"/>
              </w:rPr>
              <w:t>2 hours / response</w:t>
            </w:r>
          </w:p>
        </w:tc>
        <w:tc>
          <w:tcPr>
            <w:tcW w:w="1080" w:type="dxa"/>
          </w:tcPr>
          <w:p w:rsidR="0081362F" w:rsidRPr="0081362F" w:rsidP="00EE7E4B" w14:paraId="31AC7A31" w14:textId="77777777">
            <w:pPr>
              <w:pStyle w:val="ParaNum0"/>
              <w:numPr>
                <w:ilvl w:val="0"/>
                <w:numId w:val="0"/>
              </w:numPr>
              <w:tabs>
                <w:tab w:val="left" w:pos="0"/>
                <w:tab w:val="left" w:pos="360"/>
              </w:tabs>
              <w:rPr>
                <w:sz w:val="22"/>
                <w:szCs w:val="22"/>
              </w:rPr>
            </w:pPr>
          </w:p>
          <w:p w:rsidR="00484752" w:rsidP="00EE7E4B" w14:paraId="40D86ECF" w14:textId="77777777">
            <w:pPr>
              <w:pStyle w:val="ParaNum0"/>
              <w:numPr>
                <w:ilvl w:val="0"/>
                <w:numId w:val="0"/>
              </w:numPr>
              <w:tabs>
                <w:tab w:val="left" w:pos="0"/>
                <w:tab w:val="left" w:pos="360"/>
              </w:tabs>
              <w:rPr>
                <w:sz w:val="22"/>
                <w:szCs w:val="22"/>
              </w:rPr>
            </w:pPr>
          </w:p>
          <w:p w:rsidR="0081362F" w:rsidRPr="0081362F" w:rsidP="00EE7E4B" w14:paraId="4A1FE034" w14:textId="77777777">
            <w:pPr>
              <w:pStyle w:val="ParaNum0"/>
              <w:numPr>
                <w:ilvl w:val="0"/>
                <w:numId w:val="0"/>
              </w:numPr>
              <w:tabs>
                <w:tab w:val="left" w:pos="0"/>
                <w:tab w:val="left" w:pos="360"/>
              </w:tabs>
              <w:rPr>
                <w:sz w:val="22"/>
                <w:szCs w:val="22"/>
              </w:rPr>
            </w:pPr>
            <w:r w:rsidRPr="0081362F">
              <w:rPr>
                <w:sz w:val="22"/>
                <w:szCs w:val="22"/>
              </w:rPr>
              <w:t>4,076</w:t>
            </w:r>
          </w:p>
          <w:p w:rsidR="0081362F" w:rsidRPr="0081362F" w:rsidP="00EE7E4B" w14:paraId="43E8FF09" w14:textId="77777777">
            <w:pPr>
              <w:pStyle w:val="ParaNum0"/>
              <w:numPr>
                <w:ilvl w:val="0"/>
                <w:numId w:val="0"/>
              </w:numPr>
              <w:tabs>
                <w:tab w:val="left" w:pos="0"/>
                <w:tab w:val="left" w:pos="360"/>
              </w:tabs>
              <w:rPr>
                <w:sz w:val="22"/>
                <w:szCs w:val="22"/>
              </w:rPr>
            </w:pPr>
            <w:r w:rsidRPr="0081362F">
              <w:rPr>
                <w:sz w:val="22"/>
                <w:szCs w:val="22"/>
              </w:rPr>
              <w:t>hours</w:t>
            </w:r>
          </w:p>
        </w:tc>
        <w:tc>
          <w:tcPr>
            <w:tcW w:w="1350" w:type="dxa"/>
          </w:tcPr>
          <w:p w:rsidR="0081362F" w:rsidRPr="0081362F" w:rsidP="00EE7E4B" w14:paraId="5C8CD56F" w14:textId="77777777">
            <w:pPr>
              <w:pStyle w:val="ParaNum0"/>
              <w:numPr>
                <w:ilvl w:val="0"/>
                <w:numId w:val="0"/>
              </w:numPr>
              <w:tabs>
                <w:tab w:val="left" w:pos="0"/>
                <w:tab w:val="left" w:pos="360"/>
              </w:tabs>
              <w:rPr>
                <w:sz w:val="22"/>
                <w:szCs w:val="22"/>
              </w:rPr>
            </w:pPr>
          </w:p>
          <w:p w:rsidR="00484752" w:rsidP="00EE7E4B" w14:paraId="21E4E303" w14:textId="77777777">
            <w:pPr>
              <w:pStyle w:val="ParaNum0"/>
              <w:numPr>
                <w:ilvl w:val="0"/>
                <w:numId w:val="0"/>
              </w:numPr>
              <w:tabs>
                <w:tab w:val="left" w:pos="0"/>
                <w:tab w:val="left" w:pos="360"/>
              </w:tabs>
              <w:rPr>
                <w:sz w:val="22"/>
                <w:szCs w:val="22"/>
              </w:rPr>
            </w:pPr>
          </w:p>
          <w:p w:rsidR="00484752" w:rsidP="00EE7E4B" w14:paraId="64E59BD7" w14:textId="77777777">
            <w:pPr>
              <w:pStyle w:val="ParaNum0"/>
              <w:numPr>
                <w:ilvl w:val="0"/>
                <w:numId w:val="0"/>
              </w:numPr>
              <w:tabs>
                <w:tab w:val="left" w:pos="0"/>
                <w:tab w:val="left" w:pos="360"/>
              </w:tabs>
              <w:rPr>
                <w:sz w:val="22"/>
                <w:szCs w:val="22"/>
              </w:rPr>
            </w:pPr>
          </w:p>
          <w:p w:rsidR="0081362F" w:rsidRPr="0081362F" w:rsidP="00EE7E4B" w14:paraId="57987852" w14:textId="77777777">
            <w:pPr>
              <w:pStyle w:val="ParaNum0"/>
              <w:numPr>
                <w:ilvl w:val="0"/>
                <w:numId w:val="0"/>
              </w:numPr>
              <w:tabs>
                <w:tab w:val="left" w:pos="0"/>
                <w:tab w:val="left" w:pos="360"/>
              </w:tabs>
              <w:rPr>
                <w:sz w:val="22"/>
                <w:szCs w:val="22"/>
              </w:rPr>
            </w:pPr>
            <w:r w:rsidRPr="0081362F">
              <w:rPr>
                <w:sz w:val="22"/>
                <w:szCs w:val="22"/>
              </w:rPr>
              <w:t>$48.08/hour</w:t>
            </w:r>
          </w:p>
        </w:tc>
        <w:tc>
          <w:tcPr>
            <w:tcW w:w="1440" w:type="dxa"/>
          </w:tcPr>
          <w:p w:rsidR="0081362F" w:rsidRPr="0081362F" w:rsidP="00EE7E4B" w14:paraId="0F4CCD3D" w14:textId="77777777">
            <w:pPr>
              <w:pStyle w:val="ParaNum0"/>
              <w:numPr>
                <w:ilvl w:val="0"/>
                <w:numId w:val="0"/>
              </w:numPr>
              <w:tabs>
                <w:tab w:val="left" w:pos="0"/>
                <w:tab w:val="left" w:pos="360"/>
              </w:tabs>
              <w:rPr>
                <w:sz w:val="22"/>
                <w:szCs w:val="22"/>
              </w:rPr>
            </w:pPr>
          </w:p>
          <w:p w:rsidR="00484752" w:rsidP="00EE7E4B" w14:paraId="106A62C6" w14:textId="77777777">
            <w:pPr>
              <w:pStyle w:val="ParaNum0"/>
              <w:numPr>
                <w:ilvl w:val="0"/>
                <w:numId w:val="0"/>
              </w:numPr>
              <w:tabs>
                <w:tab w:val="left" w:pos="0"/>
                <w:tab w:val="left" w:pos="360"/>
              </w:tabs>
              <w:rPr>
                <w:sz w:val="22"/>
                <w:szCs w:val="22"/>
              </w:rPr>
            </w:pPr>
          </w:p>
          <w:p w:rsidR="00484752" w:rsidP="00EE7E4B" w14:paraId="5C5BEF97" w14:textId="77777777">
            <w:pPr>
              <w:pStyle w:val="ParaNum0"/>
              <w:numPr>
                <w:ilvl w:val="0"/>
                <w:numId w:val="0"/>
              </w:numPr>
              <w:tabs>
                <w:tab w:val="left" w:pos="0"/>
                <w:tab w:val="left" w:pos="360"/>
              </w:tabs>
              <w:rPr>
                <w:sz w:val="22"/>
                <w:szCs w:val="22"/>
              </w:rPr>
            </w:pPr>
          </w:p>
          <w:p w:rsidR="0081362F" w:rsidRPr="0081362F" w:rsidP="00EE7E4B" w14:paraId="4E034D65" w14:textId="77777777">
            <w:pPr>
              <w:pStyle w:val="ParaNum0"/>
              <w:numPr>
                <w:ilvl w:val="0"/>
                <w:numId w:val="0"/>
              </w:numPr>
              <w:tabs>
                <w:tab w:val="left" w:pos="0"/>
                <w:tab w:val="left" w:pos="360"/>
              </w:tabs>
              <w:rPr>
                <w:sz w:val="22"/>
                <w:szCs w:val="22"/>
              </w:rPr>
            </w:pPr>
            <w:r w:rsidRPr="0081362F">
              <w:rPr>
                <w:sz w:val="22"/>
                <w:szCs w:val="22"/>
              </w:rPr>
              <w:t>$195,974.08</w:t>
            </w:r>
          </w:p>
        </w:tc>
      </w:tr>
      <w:tr w14:paraId="65A882D7" w14:textId="77777777" w:rsidTr="00EE7E4B">
        <w:tblPrEx>
          <w:tblW w:w="10098" w:type="dxa"/>
          <w:tblLayout w:type="fixed"/>
          <w:tblLook w:val="01E0"/>
        </w:tblPrEx>
        <w:tc>
          <w:tcPr>
            <w:tcW w:w="2448" w:type="dxa"/>
          </w:tcPr>
          <w:p w:rsidR="0081362F" w:rsidRPr="00371DCE" w:rsidP="00EE7E4B" w14:paraId="3F7D5012" w14:textId="77777777">
            <w:pPr>
              <w:pStyle w:val="ParaNum0"/>
              <w:numPr>
                <w:ilvl w:val="0"/>
                <w:numId w:val="13"/>
              </w:numPr>
              <w:tabs>
                <w:tab w:val="left" w:pos="0"/>
              </w:tabs>
              <w:rPr>
                <w:sz w:val="22"/>
                <w:szCs w:val="22"/>
              </w:rPr>
            </w:pPr>
            <w:r w:rsidRPr="00371DCE">
              <w:rPr>
                <w:sz w:val="22"/>
                <w:szCs w:val="22"/>
              </w:rPr>
              <w:t>92 Respondents (Large TV Stations)</w:t>
            </w:r>
          </w:p>
        </w:tc>
        <w:tc>
          <w:tcPr>
            <w:tcW w:w="2610" w:type="dxa"/>
          </w:tcPr>
          <w:p w:rsidR="0081362F" w:rsidRPr="00371DCE" w:rsidP="00EE7E4B" w14:paraId="45758F57" w14:textId="77777777">
            <w:pPr>
              <w:pStyle w:val="ParaNum0"/>
              <w:numPr>
                <w:ilvl w:val="0"/>
                <w:numId w:val="0"/>
              </w:numPr>
              <w:tabs>
                <w:tab w:val="left" w:pos="0"/>
                <w:tab w:val="left" w:pos="360"/>
              </w:tabs>
              <w:rPr>
                <w:sz w:val="22"/>
                <w:szCs w:val="22"/>
              </w:rPr>
            </w:pPr>
            <w:r w:rsidRPr="00371DCE">
              <w:rPr>
                <w:sz w:val="22"/>
                <w:szCs w:val="22"/>
              </w:rPr>
              <w:t>138 responses (channel spot checks)</w:t>
            </w:r>
            <w:r>
              <w:rPr>
                <w:rStyle w:val="FootnoteReference"/>
                <w:sz w:val="22"/>
                <w:szCs w:val="22"/>
              </w:rPr>
              <w:footnoteReference w:id="14"/>
            </w:r>
            <w:r w:rsidRPr="00371DCE">
              <w:rPr>
                <w:sz w:val="22"/>
                <w:szCs w:val="22"/>
              </w:rPr>
              <w:t xml:space="preserve"> </w:t>
            </w:r>
          </w:p>
        </w:tc>
        <w:tc>
          <w:tcPr>
            <w:tcW w:w="1170" w:type="dxa"/>
          </w:tcPr>
          <w:p w:rsidR="0081362F" w:rsidRPr="00371DCE" w:rsidP="00EE7E4B" w14:paraId="4A08DD6A" w14:textId="77777777">
            <w:pPr>
              <w:pStyle w:val="ParaNum0"/>
              <w:numPr>
                <w:ilvl w:val="0"/>
                <w:numId w:val="0"/>
              </w:numPr>
              <w:tabs>
                <w:tab w:val="left" w:pos="0"/>
                <w:tab w:val="left" w:pos="360"/>
              </w:tabs>
              <w:rPr>
                <w:sz w:val="22"/>
                <w:szCs w:val="22"/>
              </w:rPr>
            </w:pPr>
          </w:p>
        </w:tc>
        <w:tc>
          <w:tcPr>
            <w:tcW w:w="1080" w:type="dxa"/>
          </w:tcPr>
          <w:p w:rsidR="0081362F" w:rsidRPr="00371DCE" w:rsidP="00EE7E4B" w14:paraId="5122F90F" w14:textId="77777777">
            <w:pPr>
              <w:pStyle w:val="ParaNum0"/>
              <w:numPr>
                <w:ilvl w:val="0"/>
                <w:numId w:val="0"/>
              </w:numPr>
              <w:tabs>
                <w:tab w:val="left" w:pos="0"/>
                <w:tab w:val="left" w:pos="360"/>
              </w:tabs>
              <w:rPr>
                <w:sz w:val="22"/>
                <w:szCs w:val="22"/>
              </w:rPr>
            </w:pPr>
            <w:r w:rsidRPr="00371DCE">
              <w:rPr>
                <w:sz w:val="22"/>
                <w:szCs w:val="22"/>
              </w:rPr>
              <w:t>276 hours</w:t>
            </w:r>
          </w:p>
        </w:tc>
        <w:tc>
          <w:tcPr>
            <w:tcW w:w="1350" w:type="dxa"/>
          </w:tcPr>
          <w:p w:rsidR="0081362F" w:rsidRPr="00371DCE" w:rsidP="00EE7E4B" w14:paraId="45B98E37" w14:textId="77777777">
            <w:pPr>
              <w:pStyle w:val="ParaNum0"/>
              <w:numPr>
                <w:ilvl w:val="0"/>
                <w:numId w:val="0"/>
              </w:numPr>
              <w:tabs>
                <w:tab w:val="left" w:pos="0"/>
                <w:tab w:val="left" w:pos="360"/>
              </w:tabs>
              <w:rPr>
                <w:sz w:val="22"/>
                <w:szCs w:val="22"/>
              </w:rPr>
            </w:pPr>
          </w:p>
        </w:tc>
        <w:tc>
          <w:tcPr>
            <w:tcW w:w="1440" w:type="dxa"/>
          </w:tcPr>
          <w:p w:rsidR="00484752" w:rsidRPr="00371DCE" w:rsidP="00EE7E4B" w14:paraId="7A919EAE" w14:textId="77777777">
            <w:pPr>
              <w:pStyle w:val="ParaNum0"/>
              <w:numPr>
                <w:ilvl w:val="0"/>
                <w:numId w:val="0"/>
              </w:numPr>
              <w:tabs>
                <w:tab w:val="left" w:pos="0"/>
                <w:tab w:val="left" w:pos="360"/>
              </w:tabs>
              <w:rPr>
                <w:sz w:val="22"/>
                <w:szCs w:val="22"/>
              </w:rPr>
            </w:pPr>
          </w:p>
          <w:p w:rsidR="0081362F" w:rsidRPr="00371DCE" w:rsidP="00EE7E4B" w14:paraId="3F817D16" w14:textId="77777777">
            <w:pPr>
              <w:pStyle w:val="ParaNum0"/>
              <w:numPr>
                <w:ilvl w:val="0"/>
                <w:numId w:val="0"/>
              </w:numPr>
              <w:tabs>
                <w:tab w:val="left" w:pos="0"/>
                <w:tab w:val="left" w:pos="360"/>
              </w:tabs>
              <w:rPr>
                <w:sz w:val="22"/>
                <w:szCs w:val="22"/>
              </w:rPr>
            </w:pPr>
            <w:r w:rsidRPr="00371DCE">
              <w:rPr>
                <w:sz w:val="22"/>
                <w:szCs w:val="22"/>
              </w:rPr>
              <w:t>$13,270.08</w:t>
            </w:r>
          </w:p>
        </w:tc>
      </w:tr>
      <w:tr w14:paraId="4E8DB0BA" w14:textId="77777777" w:rsidTr="00EE7E4B">
        <w:tblPrEx>
          <w:tblW w:w="10098" w:type="dxa"/>
          <w:tblLayout w:type="fixed"/>
          <w:tblLook w:val="01E0"/>
        </w:tblPrEx>
        <w:tc>
          <w:tcPr>
            <w:tcW w:w="2448" w:type="dxa"/>
          </w:tcPr>
          <w:p w:rsidR="0081362F" w:rsidRPr="00371DCE" w:rsidP="00EE7E4B" w14:paraId="0CB067BF" w14:textId="77777777">
            <w:pPr>
              <w:pStyle w:val="ParaNum0"/>
              <w:numPr>
                <w:ilvl w:val="0"/>
                <w:numId w:val="13"/>
              </w:numPr>
              <w:tabs>
                <w:tab w:val="left" w:pos="0"/>
              </w:tabs>
              <w:rPr>
                <w:sz w:val="22"/>
                <w:szCs w:val="22"/>
              </w:rPr>
            </w:pPr>
            <w:r w:rsidRPr="00371DCE">
              <w:rPr>
                <w:sz w:val="22"/>
                <w:szCs w:val="22"/>
              </w:rPr>
              <w:t>4 Respondents (Very Large MVPDs)</w:t>
            </w:r>
          </w:p>
        </w:tc>
        <w:tc>
          <w:tcPr>
            <w:tcW w:w="2610" w:type="dxa"/>
          </w:tcPr>
          <w:p w:rsidR="0081362F" w:rsidRPr="00371DCE" w:rsidP="00EE7E4B" w14:paraId="6688C49B" w14:textId="77777777">
            <w:pPr>
              <w:pStyle w:val="ParaNum0"/>
              <w:numPr>
                <w:ilvl w:val="0"/>
                <w:numId w:val="0"/>
              </w:numPr>
              <w:tabs>
                <w:tab w:val="left" w:pos="0"/>
                <w:tab w:val="left" w:pos="360"/>
              </w:tabs>
              <w:rPr>
                <w:sz w:val="22"/>
                <w:szCs w:val="22"/>
              </w:rPr>
            </w:pPr>
            <w:r w:rsidRPr="00371DCE">
              <w:rPr>
                <w:sz w:val="22"/>
                <w:szCs w:val="22"/>
              </w:rPr>
              <w:t>800 responses (channel spot checks)</w:t>
            </w:r>
            <w:r>
              <w:rPr>
                <w:rStyle w:val="FootnoteReference"/>
                <w:sz w:val="22"/>
                <w:szCs w:val="22"/>
              </w:rPr>
              <w:footnoteReference w:id="15"/>
            </w:r>
          </w:p>
        </w:tc>
        <w:tc>
          <w:tcPr>
            <w:tcW w:w="1170" w:type="dxa"/>
          </w:tcPr>
          <w:p w:rsidR="0081362F" w:rsidRPr="00371DCE" w:rsidP="00EE7E4B" w14:paraId="27EB4D52" w14:textId="77777777">
            <w:pPr>
              <w:pStyle w:val="ParaNum0"/>
              <w:numPr>
                <w:ilvl w:val="0"/>
                <w:numId w:val="0"/>
              </w:numPr>
              <w:tabs>
                <w:tab w:val="left" w:pos="0"/>
                <w:tab w:val="left" w:pos="360"/>
              </w:tabs>
              <w:rPr>
                <w:sz w:val="22"/>
                <w:szCs w:val="22"/>
              </w:rPr>
            </w:pPr>
          </w:p>
        </w:tc>
        <w:tc>
          <w:tcPr>
            <w:tcW w:w="1080" w:type="dxa"/>
          </w:tcPr>
          <w:p w:rsidR="0081362F" w:rsidRPr="00371DCE" w:rsidP="00EE7E4B" w14:paraId="0902028F" w14:textId="77777777">
            <w:pPr>
              <w:pStyle w:val="ParaNum0"/>
              <w:numPr>
                <w:ilvl w:val="0"/>
                <w:numId w:val="0"/>
              </w:numPr>
              <w:tabs>
                <w:tab w:val="left" w:pos="0"/>
                <w:tab w:val="left" w:pos="360"/>
              </w:tabs>
              <w:rPr>
                <w:sz w:val="22"/>
                <w:szCs w:val="22"/>
              </w:rPr>
            </w:pPr>
            <w:r w:rsidRPr="00371DCE">
              <w:rPr>
                <w:sz w:val="22"/>
                <w:szCs w:val="22"/>
              </w:rPr>
              <w:t>1,600 hours</w:t>
            </w:r>
          </w:p>
        </w:tc>
        <w:tc>
          <w:tcPr>
            <w:tcW w:w="1350" w:type="dxa"/>
          </w:tcPr>
          <w:p w:rsidR="0081362F" w:rsidRPr="00371DCE" w:rsidP="00EE7E4B" w14:paraId="2D28CB2B" w14:textId="77777777">
            <w:pPr>
              <w:pStyle w:val="ParaNum0"/>
              <w:numPr>
                <w:ilvl w:val="0"/>
                <w:numId w:val="0"/>
              </w:numPr>
              <w:tabs>
                <w:tab w:val="left" w:pos="0"/>
                <w:tab w:val="left" w:pos="360"/>
              </w:tabs>
              <w:rPr>
                <w:sz w:val="22"/>
                <w:szCs w:val="22"/>
              </w:rPr>
            </w:pPr>
          </w:p>
        </w:tc>
        <w:tc>
          <w:tcPr>
            <w:tcW w:w="1440" w:type="dxa"/>
          </w:tcPr>
          <w:p w:rsidR="00484752" w:rsidRPr="00371DCE" w:rsidP="00EE7E4B" w14:paraId="1106F256" w14:textId="77777777">
            <w:pPr>
              <w:pStyle w:val="ParaNum0"/>
              <w:numPr>
                <w:ilvl w:val="0"/>
                <w:numId w:val="0"/>
              </w:numPr>
              <w:tabs>
                <w:tab w:val="left" w:pos="0"/>
                <w:tab w:val="left" w:pos="360"/>
              </w:tabs>
              <w:rPr>
                <w:sz w:val="22"/>
                <w:szCs w:val="22"/>
              </w:rPr>
            </w:pPr>
          </w:p>
          <w:p w:rsidR="0081362F" w:rsidRPr="00371DCE" w:rsidP="00EE7E4B" w14:paraId="528B8C2E" w14:textId="77777777">
            <w:pPr>
              <w:pStyle w:val="ParaNum0"/>
              <w:numPr>
                <w:ilvl w:val="0"/>
                <w:numId w:val="0"/>
              </w:numPr>
              <w:tabs>
                <w:tab w:val="left" w:pos="0"/>
                <w:tab w:val="left" w:pos="360"/>
              </w:tabs>
              <w:rPr>
                <w:sz w:val="22"/>
                <w:szCs w:val="22"/>
              </w:rPr>
            </w:pPr>
            <w:r w:rsidRPr="00371DCE">
              <w:rPr>
                <w:sz w:val="22"/>
                <w:szCs w:val="22"/>
              </w:rPr>
              <w:t>$76,928.00</w:t>
            </w:r>
          </w:p>
        </w:tc>
      </w:tr>
      <w:tr w14:paraId="48EEA342" w14:textId="77777777" w:rsidTr="00EE7E4B">
        <w:tblPrEx>
          <w:tblW w:w="10098" w:type="dxa"/>
          <w:tblLayout w:type="fixed"/>
          <w:tblLook w:val="01E0"/>
        </w:tblPrEx>
        <w:tc>
          <w:tcPr>
            <w:tcW w:w="2448" w:type="dxa"/>
          </w:tcPr>
          <w:p w:rsidR="0081362F" w:rsidRPr="00371DCE" w:rsidP="00EE7E4B" w14:paraId="2CC1BE9E" w14:textId="77777777">
            <w:pPr>
              <w:pStyle w:val="ParaNum0"/>
              <w:numPr>
                <w:ilvl w:val="0"/>
                <w:numId w:val="13"/>
              </w:numPr>
              <w:tabs>
                <w:tab w:val="left" w:pos="0"/>
              </w:tabs>
              <w:rPr>
                <w:sz w:val="22"/>
                <w:szCs w:val="22"/>
              </w:rPr>
            </w:pPr>
            <w:r w:rsidRPr="00371DCE">
              <w:rPr>
                <w:sz w:val="22"/>
                <w:szCs w:val="22"/>
              </w:rPr>
              <w:t>11 Respondents (Large MVPDs)</w:t>
            </w:r>
          </w:p>
        </w:tc>
        <w:tc>
          <w:tcPr>
            <w:tcW w:w="2610" w:type="dxa"/>
          </w:tcPr>
          <w:p w:rsidR="0081362F" w:rsidRPr="00371DCE" w:rsidP="00EE7E4B" w14:paraId="1FBA6E38" w14:textId="77777777">
            <w:pPr>
              <w:pStyle w:val="ParaNum0"/>
              <w:numPr>
                <w:ilvl w:val="0"/>
                <w:numId w:val="0"/>
              </w:numPr>
              <w:tabs>
                <w:tab w:val="left" w:pos="0"/>
                <w:tab w:val="left" w:pos="360"/>
              </w:tabs>
              <w:rPr>
                <w:sz w:val="22"/>
                <w:szCs w:val="22"/>
              </w:rPr>
            </w:pPr>
            <w:r w:rsidRPr="00371DCE">
              <w:rPr>
                <w:sz w:val="22"/>
                <w:szCs w:val="22"/>
              </w:rPr>
              <w:t>1,100 responses (channel spot checks)</w:t>
            </w:r>
            <w:r>
              <w:rPr>
                <w:rStyle w:val="FootnoteReference"/>
                <w:sz w:val="22"/>
                <w:szCs w:val="22"/>
              </w:rPr>
              <w:footnoteReference w:id="16"/>
            </w:r>
          </w:p>
        </w:tc>
        <w:tc>
          <w:tcPr>
            <w:tcW w:w="1170" w:type="dxa"/>
          </w:tcPr>
          <w:p w:rsidR="0081362F" w:rsidRPr="00371DCE" w:rsidP="00EE7E4B" w14:paraId="4E23245F" w14:textId="77777777">
            <w:pPr>
              <w:pStyle w:val="ParaNum0"/>
              <w:numPr>
                <w:ilvl w:val="0"/>
                <w:numId w:val="0"/>
              </w:numPr>
              <w:tabs>
                <w:tab w:val="left" w:pos="0"/>
                <w:tab w:val="left" w:pos="360"/>
              </w:tabs>
              <w:rPr>
                <w:sz w:val="22"/>
                <w:szCs w:val="22"/>
              </w:rPr>
            </w:pPr>
          </w:p>
        </w:tc>
        <w:tc>
          <w:tcPr>
            <w:tcW w:w="1080" w:type="dxa"/>
          </w:tcPr>
          <w:p w:rsidR="0081362F" w:rsidRPr="00371DCE" w:rsidP="00EE7E4B" w14:paraId="35373C09" w14:textId="77777777">
            <w:pPr>
              <w:pStyle w:val="ParaNum0"/>
              <w:numPr>
                <w:ilvl w:val="0"/>
                <w:numId w:val="0"/>
              </w:numPr>
              <w:tabs>
                <w:tab w:val="left" w:pos="0"/>
                <w:tab w:val="left" w:pos="360"/>
              </w:tabs>
              <w:rPr>
                <w:sz w:val="22"/>
                <w:szCs w:val="22"/>
              </w:rPr>
            </w:pPr>
            <w:r w:rsidRPr="00371DCE">
              <w:rPr>
                <w:sz w:val="22"/>
                <w:szCs w:val="22"/>
              </w:rPr>
              <w:t>2,200 hours</w:t>
            </w:r>
          </w:p>
        </w:tc>
        <w:tc>
          <w:tcPr>
            <w:tcW w:w="1350" w:type="dxa"/>
          </w:tcPr>
          <w:p w:rsidR="0081362F" w:rsidRPr="00371DCE" w:rsidP="00EE7E4B" w14:paraId="2306F1D9" w14:textId="77777777">
            <w:pPr>
              <w:pStyle w:val="ParaNum0"/>
              <w:numPr>
                <w:ilvl w:val="0"/>
                <w:numId w:val="0"/>
              </w:numPr>
              <w:tabs>
                <w:tab w:val="left" w:pos="0"/>
                <w:tab w:val="left" w:pos="360"/>
              </w:tabs>
              <w:rPr>
                <w:sz w:val="22"/>
                <w:szCs w:val="22"/>
              </w:rPr>
            </w:pPr>
          </w:p>
        </w:tc>
        <w:tc>
          <w:tcPr>
            <w:tcW w:w="1440" w:type="dxa"/>
          </w:tcPr>
          <w:p w:rsidR="00484752" w:rsidRPr="00371DCE" w:rsidP="00EE7E4B" w14:paraId="5C78DDBC" w14:textId="77777777">
            <w:pPr>
              <w:pStyle w:val="ParaNum0"/>
              <w:numPr>
                <w:ilvl w:val="0"/>
                <w:numId w:val="0"/>
              </w:numPr>
              <w:tabs>
                <w:tab w:val="left" w:pos="0"/>
                <w:tab w:val="left" w:pos="360"/>
              </w:tabs>
              <w:rPr>
                <w:sz w:val="22"/>
                <w:szCs w:val="22"/>
              </w:rPr>
            </w:pPr>
          </w:p>
          <w:p w:rsidR="0081362F" w:rsidRPr="00371DCE" w:rsidP="00EE7E4B" w14:paraId="23DF4F36" w14:textId="77777777">
            <w:pPr>
              <w:pStyle w:val="ParaNum0"/>
              <w:numPr>
                <w:ilvl w:val="0"/>
                <w:numId w:val="0"/>
              </w:numPr>
              <w:tabs>
                <w:tab w:val="left" w:pos="0"/>
                <w:tab w:val="left" w:pos="360"/>
              </w:tabs>
              <w:rPr>
                <w:sz w:val="22"/>
                <w:szCs w:val="22"/>
              </w:rPr>
            </w:pPr>
            <w:r w:rsidRPr="00371DCE">
              <w:rPr>
                <w:sz w:val="22"/>
                <w:szCs w:val="22"/>
              </w:rPr>
              <w:t>$105,776.00</w:t>
            </w:r>
          </w:p>
        </w:tc>
      </w:tr>
      <w:tr w14:paraId="2AB02EC1" w14:textId="77777777" w:rsidTr="00EE7E4B">
        <w:tblPrEx>
          <w:tblW w:w="10098" w:type="dxa"/>
          <w:tblLayout w:type="fixed"/>
          <w:tblLook w:val="01E0"/>
        </w:tblPrEx>
        <w:tc>
          <w:tcPr>
            <w:tcW w:w="2448" w:type="dxa"/>
          </w:tcPr>
          <w:p w:rsidR="0081362F" w:rsidRPr="00364C5E" w:rsidP="00EE7E4B" w14:paraId="05F9F040" w14:textId="77777777">
            <w:pPr>
              <w:pStyle w:val="ParaNum0"/>
              <w:numPr>
                <w:ilvl w:val="0"/>
                <w:numId w:val="0"/>
              </w:numPr>
              <w:tabs>
                <w:tab w:val="left" w:pos="0"/>
                <w:tab w:val="left" w:pos="360"/>
              </w:tabs>
              <w:rPr>
                <w:b/>
                <w:sz w:val="22"/>
                <w:szCs w:val="22"/>
              </w:rPr>
            </w:pPr>
          </w:p>
          <w:p w:rsidR="00484752" w:rsidP="00EE7E4B" w14:paraId="60826F7C" w14:textId="77777777">
            <w:pPr>
              <w:pStyle w:val="ParaNum0"/>
              <w:numPr>
                <w:ilvl w:val="0"/>
                <w:numId w:val="0"/>
              </w:numPr>
              <w:tabs>
                <w:tab w:val="left" w:pos="0"/>
                <w:tab w:val="left" w:pos="360"/>
              </w:tabs>
              <w:rPr>
                <w:b/>
                <w:sz w:val="22"/>
                <w:szCs w:val="22"/>
              </w:rPr>
            </w:pPr>
          </w:p>
          <w:p w:rsidR="0081362F" w:rsidRPr="00364C5E" w:rsidP="00EE7E4B" w14:paraId="06FBD6A5" w14:textId="77777777">
            <w:pPr>
              <w:pStyle w:val="ParaNum0"/>
              <w:numPr>
                <w:ilvl w:val="0"/>
                <w:numId w:val="0"/>
              </w:numPr>
              <w:tabs>
                <w:tab w:val="left" w:pos="0"/>
                <w:tab w:val="left" w:pos="360"/>
              </w:tabs>
              <w:rPr>
                <w:b/>
                <w:sz w:val="22"/>
                <w:szCs w:val="22"/>
              </w:rPr>
            </w:pPr>
            <w:r w:rsidRPr="00364C5E">
              <w:rPr>
                <w:b/>
                <w:sz w:val="22"/>
                <w:szCs w:val="22"/>
              </w:rPr>
              <w:t>Notifications</w:t>
            </w:r>
          </w:p>
        </w:tc>
        <w:tc>
          <w:tcPr>
            <w:tcW w:w="2610" w:type="dxa"/>
          </w:tcPr>
          <w:p w:rsidR="00484752" w:rsidP="00EE7E4B" w14:paraId="06662F51" w14:textId="77777777">
            <w:pPr>
              <w:pStyle w:val="ParaNum0"/>
              <w:numPr>
                <w:ilvl w:val="0"/>
                <w:numId w:val="0"/>
              </w:numPr>
              <w:tabs>
                <w:tab w:val="left" w:pos="0"/>
                <w:tab w:val="left" w:pos="360"/>
              </w:tabs>
              <w:rPr>
                <w:sz w:val="22"/>
                <w:szCs w:val="22"/>
              </w:rPr>
            </w:pPr>
          </w:p>
          <w:p w:rsidR="0081362F" w:rsidRPr="00364C5E" w:rsidP="00EE7E4B" w14:paraId="1931F2D2" w14:textId="77777777">
            <w:pPr>
              <w:pStyle w:val="ParaNum0"/>
              <w:numPr>
                <w:ilvl w:val="0"/>
                <w:numId w:val="0"/>
              </w:numPr>
              <w:tabs>
                <w:tab w:val="left" w:pos="0"/>
                <w:tab w:val="left" w:pos="360"/>
              </w:tabs>
              <w:rPr>
                <w:sz w:val="22"/>
                <w:szCs w:val="22"/>
              </w:rPr>
            </w:pPr>
            <w:r>
              <w:rPr>
                <w:sz w:val="22"/>
                <w:szCs w:val="22"/>
              </w:rPr>
              <w:t>20 total respondents/</w:t>
            </w:r>
          </w:p>
          <w:p w:rsidR="0081362F" w:rsidRPr="00364C5E" w:rsidP="00EE7E4B" w14:paraId="2C3D2534" w14:textId="77777777">
            <w:pPr>
              <w:pStyle w:val="ParaNum0"/>
              <w:numPr>
                <w:ilvl w:val="0"/>
                <w:numId w:val="0"/>
              </w:numPr>
              <w:tabs>
                <w:tab w:val="left" w:pos="0"/>
                <w:tab w:val="left" w:pos="360"/>
              </w:tabs>
              <w:rPr>
                <w:sz w:val="22"/>
                <w:szCs w:val="22"/>
              </w:rPr>
            </w:pPr>
            <w:r w:rsidRPr="00364C5E">
              <w:rPr>
                <w:sz w:val="22"/>
                <w:szCs w:val="22"/>
              </w:rPr>
              <w:t xml:space="preserve">20 </w:t>
            </w:r>
            <w:r w:rsidR="00484752">
              <w:rPr>
                <w:sz w:val="22"/>
                <w:szCs w:val="22"/>
              </w:rPr>
              <w:t xml:space="preserve">total </w:t>
            </w:r>
            <w:r w:rsidRPr="00364C5E">
              <w:rPr>
                <w:sz w:val="22"/>
                <w:szCs w:val="22"/>
              </w:rPr>
              <w:t>responses</w:t>
            </w:r>
          </w:p>
        </w:tc>
        <w:tc>
          <w:tcPr>
            <w:tcW w:w="1170" w:type="dxa"/>
          </w:tcPr>
          <w:p w:rsidR="0081362F" w:rsidRPr="00364C5E" w:rsidP="00EE7E4B" w14:paraId="40C8F73C" w14:textId="77777777">
            <w:pPr>
              <w:pStyle w:val="ParaNum0"/>
              <w:numPr>
                <w:ilvl w:val="0"/>
                <w:numId w:val="0"/>
              </w:numPr>
              <w:tabs>
                <w:tab w:val="left" w:pos="0"/>
                <w:tab w:val="left" w:pos="360"/>
              </w:tabs>
              <w:rPr>
                <w:sz w:val="22"/>
                <w:szCs w:val="22"/>
              </w:rPr>
            </w:pPr>
          </w:p>
          <w:p w:rsidR="0081362F" w:rsidRPr="00364C5E" w:rsidP="00EE7E4B" w14:paraId="78C18D3D" w14:textId="77777777">
            <w:pPr>
              <w:pStyle w:val="ParaNum0"/>
              <w:numPr>
                <w:ilvl w:val="0"/>
                <w:numId w:val="0"/>
              </w:numPr>
              <w:tabs>
                <w:tab w:val="left" w:pos="0"/>
                <w:tab w:val="left" w:pos="360"/>
              </w:tabs>
              <w:rPr>
                <w:sz w:val="22"/>
                <w:szCs w:val="22"/>
              </w:rPr>
            </w:pPr>
            <w:r w:rsidRPr="00364C5E">
              <w:rPr>
                <w:sz w:val="22"/>
                <w:szCs w:val="22"/>
              </w:rPr>
              <w:t>0.50 hours / response</w:t>
            </w:r>
          </w:p>
        </w:tc>
        <w:tc>
          <w:tcPr>
            <w:tcW w:w="1080" w:type="dxa"/>
          </w:tcPr>
          <w:p w:rsidR="0081362F" w:rsidRPr="00364C5E" w:rsidP="00EE7E4B" w14:paraId="34545233" w14:textId="77777777">
            <w:pPr>
              <w:pStyle w:val="ParaNum0"/>
              <w:numPr>
                <w:ilvl w:val="0"/>
                <w:numId w:val="0"/>
              </w:numPr>
              <w:tabs>
                <w:tab w:val="left" w:pos="0"/>
                <w:tab w:val="left" w:pos="360"/>
              </w:tabs>
              <w:rPr>
                <w:sz w:val="22"/>
                <w:szCs w:val="22"/>
              </w:rPr>
            </w:pPr>
          </w:p>
          <w:p w:rsidR="0081362F" w:rsidRPr="00364C5E" w:rsidP="00EE7E4B" w14:paraId="21E23DE1" w14:textId="77777777">
            <w:pPr>
              <w:pStyle w:val="ParaNum0"/>
              <w:numPr>
                <w:ilvl w:val="0"/>
                <w:numId w:val="0"/>
              </w:numPr>
              <w:tabs>
                <w:tab w:val="left" w:pos="0"/>
                <w:tab w:val="left" w:pos="360"/>
              </w:tabs>
              <w:rPr>
                <w:sz w:val="22"/>
                <w:szCs w:val="22"/>
              </w:rPr>
            </w:pPr>
            <w:r w:rsidRPr="00364C5E">
              <w:rPr>
                <w:sz w:val="22"/>
                <w:szCs w:val="22"/>
              </w:rPr>
              <w:t>10</w:t>
            </w:r>
          </w:p>
          <w:p w:rsidR="0081362F" w:rsidRPr="00364C5E" w:rsidP="00EE7E4B" w14:paraId="7F6CA1EC" w14:textId="77777777">
            <w:pPr>
              <w:pStyle w:val="ParaNum0"/>
              <w:numPr>
                <w:ilvl w:val="0"/>
                <w:numId w:val="0"/>
              </w:numPr>
              <w:tabs>
                <w:tab w:val="left" w:pos="0"/>
                <w:tab w:val="left" w:pos="360"/>
              </w:tabs>
              <w:rPr>
                <w:sz w:val="22"/>
                <w:szCs w:val="22"/>
              </w:rPr>
            </w:pPr>
            <w:r w:rsidRPr="00364C5E">
              <w:rPr>
                <w:sz w:val="22"/>
                <w:szCs w:val="22"/>
              </w:rPr>
              <w:t>hours</w:t>
            </w:r>
          </w:p>
        </w:tc>
        <w:tc>
          <w:tcPr>
            <w:tcW w:w="1350" w:type="dxa"/>
          </w:tcPr>
          <w:p w:rsidR="0081362F" w:rsidRPr="00364C5E" w:rsidP="00EE7E4B" w14:paraId="058CDBFD" w14:textId="77777777">
            <w:pPr>
              <w:pStyle w:val="ParaNum0"/>
              <w:numPr>
                <w:ilvl w:val="0"/>
                <w:numId w:val="0"/>
              </w:numPr>
              <w:tabs>
                <w:tab w:val="left" w:pos="0"/>
                <w:tab w:val="left" w:pos="360"/>
              </w:tabs>
              <w:rPr>
                <w:sz w:val="22"/>
                <w:szCs w:val="22"/>
              </w:rPr>
            </w:pPr>
          </w:p>
          <w:p w:rsidR="00484752" w:rsidP="00EE7E4B" w14:paraId="07E03921" w14:textId="77777777">
            <w:pPr>
              <w:pStyle w:val="ParaNum0"/>
              <w:numPr>
                <w:ilvl w:val="0"/>
                <w:numId w:val="0"/>
              </w:numPr>
              <w:tabs>
                <w:tab w:val="left" w:pos="0"/>
                <w:tab w:val="left" w:pos="360"/>
              </w:tabs>
              <w:rPr>
                <w:sz w:val="22"/>
                <w:szCs w:val="22"/>
              </w:rPr>
            </w:pPr>
          </w:p>
          <w:p w:rsidR="0081362F" w:rsidRPr="00364C5E" w:rsidP="00EE7E4B" w14:paraId="3FFC4DA7" w14:textId="77777777">
            <w:pPr>
              <w:pStyle w:val="ParaNum0"/>
              <w:numPr>
                <w:ilvl w:val="0"/>
                <w:numId w:val="0"/>
              </w:numPr>
              <w:tabs>
                <w:tab w:val="left" w:pos="0"/>
                <w:tab w:val="left" w:pos="360"/>
              </w:tabs>
              <w:rPr>
                <w:sz w:val="22"/>
                <w:szCs w:val="22"/>
              </w:rPr>
            </w:pPr>
            <w:r w:rsidRPr="00364C5E">
              <w:rPr>
                <w:sz w:val="22"/>
                <w:szCs w:val="22"/>
              </w:rPr>
              <w:t>$48.08/hour</w:t>
            </w:r>
          </w:p>
        </w:tc>
        <w:tc>
          <w:tcPr>
            <w:tcW w:w="1440" w:type="dxa"/>
          </w:tcPr>
          <w:p w:rsidR="0081362F" w:rsidRPr="00364C5E" w:rsidP="00EE7E4B" w14:paraId="4D3BCF04" w14:textId="77777777">
            <w:pPr>
              <w:pStyle w:val="ParaNum0"/>
              <w:numPr>
                <w:ilvl w:val="0"/>
                <w:numId w:val="0"/>
              </w:numPr>
              <w:tabs>
                <w:tab w:val="left" w:pos="0"/>
                <w:tab w:val="left" w:pos="360"/>
              </w:tabs>
              <w:rPr>
                <w:sz w:val="22"/>
                <w:szCs w:val="22"/>
              </w:rPr>
            </w:pPr>
          </w:p>
          <w:p w:rsidR="00484752" w:rsidP="00EE7E4B" w14:paraId="0A81B402" w14:textId="77777777">
            <w:pPr>
              <w:pStyle w:val="ParaNum0"/>
              <w:numPr>
                <w:ilvl w:val="0"/>
                <w:numId w:val="0"/>
              </w:numPr>
              <w:tabs>
                <w:tab w:val="left" w:pos="0"/>
                <w:tab w:val="left" w:pos="360"/>
              </w:tabs>
              <w:rPr>
                <w:sz w:val="22"/>
                <w:szCs w:val="22"/>
              </w:rPr>
            </w:pPr>
          </w:p>
          <w:p w:rsidR="0081362F" w:rsidRPr="00364C5E" w:rsidP="00EE7E4B" w14:paraId="2CE36541" w14:textId="77777777">
            <w:pPr>
              <w:pStyle w:val="ParaNum0"/>
              <w:numPr>
                <w:ilvl w:val="0"/>
                <w:numId w:val="0"/>
              </w:numPr>
              <w:tabs>
                <w:tab w:val="left" w:pos="0"/>
                <w:tab w:val="left" w:pos="360"/>
              </w:tabs>
              <w:rPr>
                <w:sz w:val="22"/>
                <w:szCs w:val="22"/>
              </w:rPr>
            </w:pPr>
            <w:r w:rsidRPr="00364C5E">
              <w:rPr>
                <w:sz w:val="22"/>
                <w:szCs w:val="22"/>
              </w:rPr>
              <w:t>$480.80</w:t>
            </w:r>
          </w:p>
        </w:tc>
      </w:tr>
      <w:tr w14:paraId="2095D052" w14:textId="77777777" w:rsidTr="00EE7E4B">
        <w:tblPrEx>
          <w:tblW w:w="10098" w:type="dxa"/>
          <w:tblLayout w:type="fixed"/>
          <w:tblLook w:val="01E0"/>
        </w:tblPrEx>
        <w:tc>
          <w:tcPr>
            <w:tcW w:w="10098" w:type="dxa"/>
            <w:gridSpan w:val="6"/>
          </w:tcPr>
          <w:p w:rsidR="0081362F" w:rsidP="00EE7E4B" w14:paraId="43FE682C" w14:textId="77777777">
            <w:pPr>
              <w:pStyle w:val="ParaNum0"/>
              <w:numPr>
                <w:ilvl w:val="0"/>
                <w:numId w:val="0"/>
              </w:numPr>
              <w:tabs>
                <w:tab w:val="left" w:pos="0"/>
                <w:tab w:val="left" w:pos="360"/>
              </w:tabs>
              <w:rPr>
                <w:b/>
                <w:sz w:val="22"/>
                <w:szCs w:val="22"/>
              </w:rPr>
            </w:pPr>
          </w:p>
          <w:p w:rsidR="00371DCE" w:rsidRPr="00364C5E" w:rsidP="00EE7E4B" w14:paraId="11EF3375" w14:textId="77777777">
            <w:pPr>
              <w:pStyle w:val="ParaNum0"/>
              <w:numPr>
                <w:ilvl w:val="0"/>
                <w:numId w:val="0"/>
              </w:numPr>
              <w:tabs>
                <w:tab w:val="left" w:pos="0"/>
                <w:tab w:val="left" w:pos="360"/>
              </w:tabs>
              <w:rPr>
                <w:b/>
                <w:sz w:val="22"/>
                <w:szCs w:val="22"/>
              </w:rPr>
            </w:pPr>
          </w:p>
        </w:tc>
      </w:tr>
      <w:tr w14:paraId="0998937D" w14:textId="77777777" w:rsidTr="00EE7E4B">
        <w:tblPrEx>
          <w:tblW w:w="10098" w:type="dxa"/>
          <w:tblLayout w:type="fixed"/>
          <w:tblLook w:val="01E0"/>
        </w:tblPrEx>
        <w:tc>
          <w:tcPr>
            <w:tcW w:w="10098" w:type="dxa"/>
            <w:gridSpan w:val="6"/>
          </w:tcPr>
          <w:p w:rsidR="0081362F" w:rsidRPr="00364C5E" w:rsidP="00EE7E4B" w14:paraId="2E6591D6" w14:textId="77777777">
            <w:pPr>
              <w:pStyle w:val="ParaNum0"/>
              <w:numPr>
                <w:ilvl w:val="0"/>
                <w:numId w:val="0"/>
              </w:numPr>
              <w:tabs>
                <w:tab w:val="left" w:pos="0"/>
                <w:tab w:val="left" w:pos="360"/>
              </w:tabs>
              <w:rPr>
                <w:b/>
                <w:sz w:val="22"/>
                <w:szCs w:val="22"/>
              </w:rPr>
            </w:pPr>
            <w:r w:rsidRPr="00364C5E">
              <w:rPr>
                <w:b/>
                <w:sz w:val="22"/>
                <w:szCs w:val="22"/>
              </w:rPr>
              <w:t>73.682(e)(4)(</w:t>
            </w:r>
            <w:r w:rsidRPr="00364C5E">
              <w:rPr>
                <w:b/>
                <w:sz w:val="22"/>
                <w:szCs w:val="22"/>
              </w:rPr>
              <w:t>i</w:t>
            </w:r>
            <w:r w:rsidRPr="00364C5E">
              <w:rPr>
                <w:b/>
                <w:sz w:val="22"/>
                <w:szCs w:val="22"/>
              </w:rPr>
              <w:t>) and 76.607(a)(4)(</w:t>
            </w:r>
            <w:r w:rsidRPr="00364C5E">
              <w:rPr>
                <w:b/>
                <w:sz w:val="22"/>
                <w:szCs w:val="22"/>
              </w:rPr>
              <w:t>i</w:t>
            </w:r>
            <w:r w:rsidRPr="00364C5E">
              <w:rPr>
                <w:b/>
                <w:sz w:val="22"/>
                <w:szCs w:val="22"/>
              </w:rPr>
              <w:t>)</w:t>
            </w:r>
          </w:p>
        </w:tc>
      </w:tr>
      <w:tr w14:paraId="6CE8583E" w14:textId="77777777" w:rsidTr="00EE7E4B">
        <w:tblPrEx>
          <w:tblW w:w="10098" w:type="dxa"/>
          <w:tblLayout w:type="fixed"/>
          <w:tblLook w:val="01E0"/>
        </w:tblPrEx>
        <w:tc>
          <w:tcPr>
            <w:tcW w:w="2448" w:type="dxa"/>
          </w:tcPr>
          <w:p w:rsidR="0081362F" w:rsidRPr="00364C5E" w:rsidP="00EE7E4B" w14:paraId="3D5EE698" w14:textId="77777777">
            <w:pPr>
              <w:pStyle w:val="ParaNum0"/>
              <w:numPr>
                <w:ilvl w:val="0"/>
                <w:numId w:val="0"/>
              </w:numPr>
              <w:tabs>
                <w:tab w:val="left" w:pos="0"/>
                <w:tab w:val="left" w:pos="360"/>
              </w:tabs>
              <w:rPr>
                <w:b/>
                <w:sz w:val="22"/>
                <w:szCs w:val="22"/>
              </w:rPr>
            </w:pPr>
          </w:p>
          <w:p w:rsidR="0081362F" w:rsidRPr="00364C5E" w:rsidP="00EE7E4B" w14:paraId="7CC13A4B" w14:textId="77777777">
            <w:pPr>
              <w:pStyle w:val="ParaNum0"/>
              <w:numPr>
                <w:ilvl w:val="0"/>
                <w:numId w:val="0"/>
              </w:numPr>
              <w:tabs>
                <w:tab w:val="left" w:pos="0"/>
                <w:tab w:val="left" w:pos="360"/>
              </w:tabs>
              <w:rPr>
                <w:b/>
                <w:sz w:val="22"/>
                <w:szCs w:val="22"/>
              </w:rPr>
            </w:pPr>
            <w:r w:rsidRPr="00364C5E">
              <w:rPr>
                <w:b/>
                <w:sz w:val="22"/>
                <w:szCs w:val="22"/>
              </w:rPr>
              <w:t>Recordkeeping Requirement</w:t>
            </w:r>
          </w:p>
        </w:tc>
        <w:tc>
          <w:tcPr>
            <w:tcW w:w="2610" w:type="dxa"/>
          </w:tcPr>
          <w:p w:rsidR="00484752" w:rsidP="00EE7E4B" w14:paraId="1BE650BA" w14:textId="77777777">
            <w:pPr>
              <w:pStyle w:val="ParaNum0"/>
              <w:numPr>
                <w:ilvl w:val="0"/>
                <w:numId w:val="0"/>
              </w:numPr>
              <w:tabs>
                <w:tab w:val="left" w:pos="0"/>
                <w:tab w:val="left" w:pos="360"/>
              </w:tabs>
              <w:rPr>
                <w:sz w:val="22"/>
                <w:szCs w:val="22"/>
              </w:rPr>
            </w:pPr>
          </w:p>
          <w:p w:rsidR="0081362F" w:rsidRPr="00364C5E" w:rsidP="00EE7E4B" w14:paraId="6DB39E40" w14:textId="77777777">
            <w:pPr>
              <w:pStyle w:val="ParaNum0"/>
              <w:numPr>
                <w:ilvl w:val="0"/>
                <w:numId w:val="0"/>
              </w:numPr>
              <w:tabs>
                <w:tab w:val="left" w:pos="0"/>
                <w:tab w:val="left" w:pos="360"/>
              </w:tabs>
              <w:rPr>
                <w:sz w:val="22"/>
                <w:szCs w:val="22"/>
              </w:rPr>
            </w:pPr>
            <w:r>
              <w:rPr>
                <w:sz w:val="22"/>
                <w:szCs w:val="22"/>
              </w:rPr>
              <w:t>200 total respondents/</w:t>
            </w:r>
          </w:p>
          <w:p w:rsidR="0081362F" w:rsidRPr="00364C5E" w:rsidP="00EE7E4B" w14:paraId="1ECADD4F" w14:textId="77777777">
            <w:pPr>
              <w:pStyle w:val="ParaNum0"/>
              <w:numPr>
                <w:ilvl w:val="0"/>
                <w:numId w:val="0"/>
              </w:numPr>
              <w:tabs>
                <w:tab w:val="left" w:pos="0"/>
                <w:tab w:val="left" w:pos="360"/>
              </w:tabs>
              <w:rPr>
                <w:sz w:val="22"/>
                <w:szCs w:val="22"/>
              </w:rPr>
            </w:pPr>
            <w:r w:rsidRPr="00364C5E">
              <w:rPr>
                <w:sz w:val="22"/>
                <w:szCs w:val="22"/>
              </w:rPr>
              <w:t xml:space="preserve">200 </w:t>
            </w:r>
            <w:r w:rsidR="00484752">
              <w:rPr>
                <w:sz w:val="22"/>
                <w:szCs w:val="22"/>
              </w:rPr>
              <w:t xml:space="preserve">total </w:t>
            </w:r>
            <w:r w:rsidRPr="00364C5E">
              <w:rPr>
                <w:sz w:val="22"/>
                <w:szCs w:val="22"/>
              </w:rPr>
              <w:t>responses</w:t>
            </w:r>
          </w:p>
        </w:tc>
        <w:tc>
          <w:tcPr>
            <w:tcW w:w="1170" w:type="dxa"/>
          </w:tcPr>
          <w:p w:rsidR="0081362F" w:rsidRPr="00364C5E" w:rsidP="00EE7E4B" w14:paraId="6798F471" w14:textId="77777777">
            <w:pPr>
              <w:pStyle w:val="ParaNum0"/>
              <w:numPr>
                <w:ilvl w:val="0"/>
                <w:numId w:val="0"/>
              </w:numPr>
              <w:tabs>
                <w:tab w:val="left" w:pos="0"/>
                <w:tab w:val="left" w:pos="360"/>
              </w:tabs>
              <w:rPr>
                <w:sz w:val="22"/>
                <w:szCs w:val="22"/>
              </w:rPr>
            </w:pPr>
          </w:p>
          <w:p w:rsidR="0081362F" w:rsidRPr="00364C5E" w:rsidP="00EE7E4B" w14:paraId="71E67D99" w14:textId="77777777">
            <w:pPr>
              <w:pStyle w:val="ParaNum0"/>
              <w:numPr>
                <w:ilvl w:val="0"/>
                <w:numId w:val="0"/>
              </w:numPr>
              <w:tabs>
                <w:tab w:val="left" w:pos="0"/>
                <w:tab w:val="left" w:pos="360"/>
              </w:tabs>
              <w:rPr>
                <w:sz w:val="22"/>
                <w:szCs w:val="22"/>
              </w:rPr>
            </w:pPr>
            <w:r w:rsidRPr="00364C5E">
              <w:rPr>
                <w:sz w:val="22"/>
                <w:szCs w:val="22"/>
              </w:rPr>
              <w:t>0.25 hours / response</w:t>
            </w:r>
          </w:p>
        </w:tc>
        <w:tc>
          <w:tcPr>
            <w:tcW w:w="1080" w:type="dxa"/>
          </w:tcPr>
          <w:p w:rsidR="0081362F" w:rsidRPr="00364C5E" w:rsidP="00EE7E4B" w14:paraId="326D3BA9" w14:textId="77777777">
            <w:pPr>
              <w:pStyle w:val="ParaNum0"/>
              <w:numPr>
                <w:ilvl w:val="0"/>
                <w:numId w:val="0"/>
              </w:numPr>
              <w:tabs>
                <w:tab w:val="left" w:pos="0"/>
                <w:tab w:val="left" w:pos="360"/>
              </w:tabs>
              <w:rPr>
                <w:sz w:val="22"/>
                <w:szCs w:val="22"/>
              </w:rPr>
            </w:pPr>
          </w:p>
          <w:p w:rsidR="0081362F" w:rsidRPr="00364C5E" w:rsidP="00EE7E4B" w14:paraId="23969D96" w14:textId="77777777">
            <w:pPr>
              <w:pStyle w:val="ParaNum0"/>
              <w:numPr>
                <w:ilvl w:val="0"/>
                <w:numId w:val="0"/>
              </w:numPr>
              <w:tabs>
                <w:tab w:val="left" w:pos="0"/>
                <w:tab w:val="left" w:pos="360"/>
              </w:tabs>
              <w:rPr>
                <w:sz w:val="22"/>
                <w:szCs w:val="22"/>
              </w:rPr>
            </w:pPr>
            <w:r w:rsidRPr="00364C5E">
              <w:rPr>
                <w:sz w:val="22"/>
                <w:szCs w:val="22"/>
              </w:rPr>
              <w:t>50</w:t>
            </w:r>
          </w:p>
          <w:p w:rsidR="0081362F" w:rsidRPr="00364C5E" w:rsidP="00EE7E4B" w14:paraId="64283924" w14:textId="77777777">
            <w:pPr>
              <w:pStyle w:val="ParaNum0"/>
              <w:numPr>
                <w:ilvl w:val="0"/>
                <w:numId w:val="0"/>
              </w:numPr>
              <w:tabs>
                <w:tab w:val="left" w:pos="0"/>
                <w:tab w:val="left" w:pos="360"/>
              </w:tabs>
              <w:rPr>
                <w:sz w:val="22"/>
                <w:szCs w:val="22"/>
              </w:rPr>
            </w:pPr>
            <w:r w:rsidRPr="00364C5E">
              <w:rPr>
                <w:sz w:val="22"/>
                <w:szCs w:val="22"/>
              </w:rPr>
              <w:t>hours</w:t>
            </w:r>
          </w:p>
        </w:tc>
        <w:tc>
          <w:tcPr>
            <w:tcW w:w="1350" w:type="dxa"/>
          </w:tcPr>
          <w:p w:rsidR="0081362F" w:rsidRPr="00364C5E" w:rsidP="00EE7E4B" w14:paraId="7624F603" w14:textId="77777777">
            <w:pPr>
              <w:pStyle w:val="ParaNum0"/>
              <w:numPr>
                <w:ilvl w:val="0"/>
                <w:numId w:val="0"/>
              </w:numPr>
              <w:tabs>
                <w:tab w:val="left" w:pos="0"/>
                <w:tab w:val="left" w:pos="360"/>
              </w:tabs>
              <w:rPr>
                <w:sz w:val="22"/>
                <w:szCs w:val="22"/>
              </w:rPr>
            </w:pPr>
          </w:p>
          <w:p w:rsidR="00484752" w:rsidP="00EE7E4B" w14:paraId="02FECC6D" w14:textId="77777777">
            <w:pPr>
              <w:pStyle w:val="ParaNum0"/>
              <w:numPr>
                <w:ilvl w:val="0"/>
                <w:numId w:val="0"/>
              </w:numPr>
              <w:tabs>
                <w:tab w:val="left" w:pos="0"/>
                <w:tab w:val="left" w:pos="360"/>
              </w:tabs>
              <w:rPr>
                <w:sz w:val="22"/>
                <w:szCs w:val="22"/>
              </w:rPr>
            </w:pPr>
          </w:p>
          <w:p w:rsidR="0081362F" w:rsidRPr="00364C5E" w:rsidP="00EE7E4B" w14:paraId="03F5247A" w14:textId="77777777">
            <w:pPr>
              <w:pStyle w:val="ParaNum0"/>
              <w:numPr>
                <w:ilvl w:val="0"/>
                <w:numId w:val="0"/>
              </w:numPr>
              <w:tabs>
                <w:tab w:val="left" w:pos="0"/>
                <w:tab w:val="left" w:pos="360"/>
              </w:tabs>
              <w:rPr>
                <w:sz w:val="22"/>
                <w:szCs w:val="22"/>
              </w:rPr>
            </w:pPr>
            <w:r w:rsidRPr="00364C5E">
              <w:rPr>
                <w:sz w:val="22"/>
                <w:szCs w:val="22"/>
              </w:rPr>
              <w:t>$48.08/hour</w:t>
            </w:r>
          </w:p>
        </w:tc>
        <w:tc>
          <w:tcPr>
            <w:tcW w:w="1440" w:type="dxa"/>
          </w:tcPr>
          <w:p w:rsidR="0081362F" w:rsidRPr="00364C5E" w:rsidP="00EE7E4B" w14:paraId="6E851C9C" w14:textId="77777777">
            <w:pPr>
              <w:pStyle w:val="ParaNum0"/>
              <w:numPr>
                <w:ilvl w:val="0"/>
                <w:numId w:val="0"/>
              </w:numPr>
              <w:tabs>
                <w:tab w:val="left" w:pos="0"/>
                <w:tab w:val="left" w:pos="360"/>
              </w:tabs>
              <w:rPr>
                <w:sz w:val="22"/>
                <w:szCs w:val="22"/>
              </w:rPr>
            </w:pPr>
          </w:p>
          <w:p w:rsidR="00484752" w:rsidP="00EE7E4B" w14:paraId="03A777AA" w14:textId="77777777">
            <w:pPr>
              <w:pStyle w:val="ParaNum0"/>
              <w:numPr>
                <w:ilvl w:val="0"/>
                <w:numId w:val="0"/>
              </w:numPr>
              <w:tabs>
                <w:tab w:val="left" w:pos="0"/>
                <w:tab w:val="left" w:pos="360"/>
              </w:tabs>
              <w:rPr>
                <w:sz w:val="22"/>
                <w:szCs w:val="22"/>
              </w:rPr>
            </w:pPr>
          </w:p>
          <w:p w:rsidR="0081362F" w:rsidRPr="00364C5E" w:rsidP="00EE7E4B" w14:paraId="4AA667C9" w14:textId="77777777">
            <w:pPr>
              <w:pStyle w:val="ParaNum0"/>
              <w:numPr>
                <w:ilvl w:val="0"/>
                <w:numId w:val="0"/>
              </w:numPr>
              <w:tabs>
                <w:tab w:val="left" w:pos="0"/>
                <w:tab w:val="left" w:pos="360"/>
              </w:tabs>
              <w:rPr>
                <w:sz w:val="22"/>
                <w:szCs w:val="22"/>
              </w:rPr>
            </w:pPr>
            <w:r w:rsidRPr="00364C5E">
              <w:rPr>
                <w:sz w:val="22"/>
                <w:szCs w:val="22"/>
              </w:rPr>
              <w:t>$2,404.00</w:t>
            </w:r>
          </w:p>
        </w:tc>
      </w:tr>
      <w:tr w14:paraId="728643A1" w14:textId="77777777" w:rsidTr="00EE7E4B">
        <w:tblPrEx>
          <w:tblW w:w="10098" w:type="dxa"/>
          <w:tblLayout w:type="fixed"/>
          <w:tblLook w:val="01E0"/>
        </w:tblPrEx>
        <w:tc>
          <w:tcPr>
            <w:tcW w:w="10098" w:type="dxa"/>
            <w:gridSpan w:val="6"/>
          </w:tcPr>
          <w:p w:rsidR="0081362F" w:rsidRPr="00364C5E" w:rsidP="00EE7E4B" w14:paraId="288E34A4" w14:textId="77777777">
            <w:pPr>
              <w:pStyle w:val="ParaNum0"/>
              <w:numPr>
                <w:ilvl w:val="0"/>
                <w:numId w:val="0"/>
              </w:numPr>
              <w:tabs>
                <w:tab w:val="left" w:pos="0"/>
                <w:tab w:val="left" w:pos="360"/>
              </w:tabs>
              <w:rPr>
                <w:b/>
                <w:sz w:val="22"/>
                <w:szCs w:val="22"/>
              </w:rPr>
            </w:pPr>
          </w:p>
        </w:tc>
      </w:tr>
      <w:tr w14:paraId="7E9F5D26" w14:textId="77777777" w:rsidTr="00EE7E4B">
        <w:tblPrEx>
          <w:tblW w:w="10098" w:type="dxa"/>
          <w:tblLayout w:type="fixed"/>
          <w:tblLook w:val="01E0"/>
        </w:tblPrEx>
        <w:tc>
          <w:tcPr>
            <w:tcW w:w="10098" w:type="dxa"/>
            <w:gridSpan w:val="6"/>
          </w:tcPr>
          <w:p w:rsidR="0081362F" w:rsidRPr="00364C5E" w:rsidP="00EE7E4B" w14:paraId="23DD5F57" w14:textId="77777777">
            <w:pPr>
              <w:pStyle w:val="ParaNum0"/>
              <w:numPr>
                <w:ilvl w:val="0"/>
                <w:numId w:val="0"/>
              </w:numPr>
              <w:tabs>
                <w:tab w:val="left" w:pos="0"/>
                <w:tab w:val="left" w:pos="360"/>
              </w:tabs>
              <w:rPr>
                <w:b/>
                <w:sz w:val="22"/>
                <w:szCs w:val="22"/>
              </w:rPr>
            </w:pPr>
            <w:r w:rsidRPr="00364C5E">
              <w:rPr>
                <w:b/>
                <w:sz w:val="22"/>
                <w:szCs w:val="22"/>
              </w:rPr>
              <w:t>73.682(e)(5) and 76.607(a)(5)</w:t>
            </w:r>
          </w:p>
        </w:tc>
      </w:tr>
      <w:tr w14:paraId="11CC710D" w14:textId="77777777" w:rsidTr="00EE7E4B">
        <w:tblPrEx>
          <w:tblW w:w="10098" w:type="dxa"/>
          <w:tblLayout w:type="fixed"/>
          <w:tblLook w:val="01E0"/>
        </w:tblPrEx>
        <w:tc>
          <w:tcPr>
            <w:tcW w:w="2448" w:type="dxa"/>
          </w:tcPr>
          <w:p w:rsidR="0081362F" w:rsidRPr="00364C5E" w:rsidP="00EE7E4B" w14:paraId="42C5851F" w14:textId="77777777">
            <w:pPr>
              <w:pStyle w:val="ParaNum0"/>
              <w:numPr>
                <w:ilvl w:val="0"/>
                <w:numId w:val="0"/>
              </w:numPr>
              <w:tabs>
                <w:tab w:val="left" w:pos="0"/>
                <w:tab w:val="left" w:pos="360"/>
              </w:tabs>
              <w:rPr>
                <w:b/>
                <w:sz w:val="22"/>
                <w:szCs w:val="22"/>
              </w:rPr>
            </w:pPr>
          </w:p>
          <w:p w:rsidR="0081362F" w:rsidRPr="00364C5E" w:rsidP="00EE7E4B" w14:paraId="2E90DC17" w14:textId="77777777">
            <w:pPr>
              <w:pStyle w:val="ParaNum0"/>
              <w:numPr>
                <w:ilvl w:val="0"/>
                <w:numId w:val="0"/>
              </w:numPr>
              <w:tabs>
                <w:tab w:val="left" w:pos="0"/>
                <w:tab w:val="left" w:pos="360"/>
              </w:tabs>
              <w:rPr>
                <w:b/>
                <w:sz w:val="22"/>
                <w:szCs w:val="22"/>
              </w:rPr>
            </w:pPr>
            <w:r w:rsidRPr="00364C5E">
              <w:rPr>
                <w:b/>
                <w:sz w:val="22"/>
                <w:szCs w:val="22"/>
              </w:rPr>
              <w:t>Third Party Local Inserter Certification</w:t>
            </w:r>
          </w:p>
        </w:tc>
        <w:tc>
          <w:tcPr>
            <w:tcW w:w="2610" w:type="dxa"/>
          </w:tcPr>
          <w:p w:rsidR="00484752" w:rsidP="00EE7E4B" w14:paraId="0658326E" w14:textId="77777777">
            <w:pPr>
              <w:pStyle w:val="ParaNum0"/>
              <w:numPr>
                <w:ilvl w:val="0"/>
                <w:numId w:val="0"/>
              </w:numPr>
              <w:tabs>
                <w:tab w:val="left" w:pos="0"/>
                <w:tab w:val="left" w:pos="360"/>
              </w:tabs>
              <w:rPr>
                <w:sz w:val="22"/>
                <w:szCs w:val="22"/>
              </w:rPr>
            </w:pPr>
          </w:p>
          <w:p w:rsidR="0081362F" w:rsidRPr="00364C5E" w:rsidP="00EE7E4B" w14:paraId="009351CC" w14:textId="77777777">
            <w:pPr>
              <w:pStyle w:val="ParaNum0"/>
              <w:numPr>
                <w:ilvl w:val="0"/>
                <w:numId w:val="0"/>
              </w:numPr>
              <w:tabs>
                <w:tab w:val="left" w:pos="0"/>
                <w:tab w:val="left" w:pos="360"/>
              </w:tabs>
              <w:rPr>
                <w:sz w:val="22"/>
                <w:szCs w:val="22"/>
              </w:rPr>
            </w:pPr>
            <w:r>
              <w:rPr>
                <w:sz w:val="22"/>
                <w:szCs w:val="22"/>
              </w:rPr>
              <w:t>350 total respondents/</w:t>
            </w:r>
          </w:p>
          <w:p w:rsidR="0081362F" w:rsidRPr="00364C5E" w:rsidP="00EE7E4B" w14:paraId="2EB5BC8D" w14:textId="77777777">
            <w:pPr>
              <w:pStyle w:val="ParaNum0"/>
              <w:numPr>
                <w:ilvl w:val="0"/>
                <w:numId w:val="0"/>
              </w:numPr>
              <w:tabs>
                <w:tab w:val="left" w:pos="0"/>
                <w:tab w:val="left" w:pos="360"/>
              </w:tabs>
              <w:rPr>
                <w:sz w:val="22"/>
                <w:szCs w:val="22"/>
              </w:rPr>
            </w:pPr>
            <w:r w:rsidRPr="00364C5E">
              <w:rPr>
                <w:sz w:val="22"/>
                <w:szCs w:val="22"/>
              </w:rPr>
              <w:t xml:space="preserve">350 </w:t>
            </w:r>
            <w:r w:rsidR="00484752">
              <w:rPr>
                <w:sz w:val="22"/>
                <w:szCs w:val="22"/>
              </w:rPr>
              <w:t xml:space="preserve">total </w:t>
            </w:r>
            <w:r w:rsidRPr="00364C5E">
              <w:rPr>
                <w:sz w:val="22"/>
                <w:szCs w:val="22"/>
              </w:rPr>
              <w:t>certifications</w:t>
            </w:r>
          </w:p>
        </w:tc>
        <w:tc>
          <w:tcPr>
            <w:tcW w:w="1170" w:type="dxa"/>
          </w:tcPr>
          <w:p w:rsidR="0081362F" w:rsidRPr="00364C5E" w:rsidP="00EE7E4B" w14:paraId="0D0F44F8" w14:textId="77777777">
            <w:pPr>
              <w:pStyle w:val="ParaNum0"/>
              <w:numPr>
                <w:ilvl w:val="0"/>
                <w:numId w:val="0"/>
              </w:numPr>
              <w:tabs>
                <w:tab w:val="left" w:pos="0"/>
                <w:tab w:val="left" w:pos="360"/>
              </w:tabs>
              <w:rPr>
                <w:sz w:val="22"/>
                <w:szCs w:val="22"/>
              </w:rPr>
            </w:pPr>
          </w:p>
          <w:p w:rsidR="0081362F" w:rsidRPr="00364C5E" w:rsidP="00EE7E4B" w14:paraId="1DD5919C" w14:textId="77777777">
            <w:pPr>
              <w:pStyle w:val="ParaNum0"/>
              <w:numPr>
                <w:ilvl w:val="0"/>
                <w:numId w:val="0"/>
              </w:numPr>
              <w:tabs>
                <w:tab w:val="left" w:pos="0"/>
                <w:tab w:val="left" w:pos="360"/>
              </w:tabs>
              <w:rPr>
                <w:sz w:val="22"/>
                <w:szCs w:val="22"/>
              </w:rPr>
            </w:pPr>
            <w:r w:rsidRPr="00364C5E">
              <w:rPr>
                <w:sz w:val="22"/>
                <w:szCs w:val="22"/>
              </w:rPr>
              <w:t>1 hour / response</w:t>
            </w:r>
          </w:p>
        </w:tc>
        <w:tc>
          <w:tcPr>
            <w:tcW w:w="1080" w:type="dxa"/>
          </w:tcPr>
          <w:p w:rsidR="0081362F" w:rsidRPr="00364C5E" w:rsidP="00EE7E4B" w14:paraId="253FCFA6" w14:textId="77777777">
            <w:pPr>
              <w:pStyle w:val="ParaNum0"/>
              <w:numPr>
                <w:ilvl w:val="0"/>
                <w:numId w:val="0"/>
              </w:numPr>
              <w:tabs>
                <w:tab w:val="left" w:pos="0"/>
                <w:tab w:val="left" w:pos="360"/>
              </w:tabs>
              <w:rPr>
                <w:sz w:val="22"/>
                <w:szCs w:val="22"/>
              </w:rPr>
            </w:pPr>
          </w:p>
          <w:p w:rsidR="0081362F" w:rsidRPr="00364C5E" w:rsidP="00EE7E4B" w14:paraId="1C0DD774" w14:textId="77777777">
            <w:pPr>
              <w:pStyle w:val="ParaNum0"/>
              <w:numPr>
                <w:ilvl w:val="0"/>
                <w:numId w:val="0"/>
              </w:numPr>
              <w:tabs>
                <w:tab w:val="left" w:pos="0"/>
                <w:tab w:val="left" w:pos="360"/>
              </w:tabs>
              <w:rPr>
                <w:sz w:val="22"/>
                <w:szCs w:val="22"/>
              </w:rPr>
            </w:pPr>
            <w:r w:rsidRPr="00364C5E">
              <w:rPr>
                <w:sz w:val="22"/>
                <w:szCs w:val="22"/>
              </w:rPr>
              <w:t xml:space="preserve">350 </w:t>
            </w:r>
          </w:p>
          <w:p w:rsidR="0081362F" w:rsidRPr="00364C5E" w:rsidP="00EE7E4B" w14:paraId="5A0F4B8D" w14:textId="77777777">
            <w:pPr>
              <w:pStyle w:val="ParaNum0"/>
              <w:numPr>
                <w:ilvl w:val="0"/>
                <w:numId w:val="0"/>
              </w:numPr>
              <w:tabs>
                <w:tab w:val="left" w:pos="0"/>
                <w:tab w:val="left" w:pos="360"/>
              </w:tabs>
              <w:rPr>
                <w:sz w:val="22"/>
                <w:szCs w:val="22"/>
              </w:rPr>
            </w:pPr>
            <w:r w:rsidRPr="00364C5E">
              <w:rPr>
                <w:sz w:val="22"/>
                <w:szCs w:val="22"/>
              </w:rPr>
              <w:t>hours</w:t>
            </w:r>
          </w:p>
        </w:tc>
        <w:tc>
          <w:tcPr>
            <w:tcW w:w="1350" w:type="dxa"/>
          </w:tcPr>
          <w:p w:rsidR="0081362F" w:rsidRPr="00364C5E" w:rsidP="00EE7E4B" w14:paraId="17D25095" w14:textId="77777777">
            <w:pPr>
              <w:pStyle w:val="ParaNum0"/>
              <w:numPr>
                <w:ilvl w:val="0"/>
                <w:numId w:val="0"/>
              </w:numPr>
              <w:tabs>
                <w:tab w:val="left" w:pos="0"/>
                <w:tab w:val="left" w:pos="360"/>
              </w:tabs>
              <w:rPr>
                <w:sz w:val="22"/>
                <w:szCs w:val="22"/>
              </w:rPr>
            </w:pPr>
          </w:p>
          <w:p w:rsidR="00484752" w:rsidP="00EE7E4B" w14:paraId="7A6A1295" w14:textId="77777777">
            <w:pPr>
              <w:pStyle w:val="ParaNum0"/>
              <w:numPr>
                <w:ilvl w:val="0"/>
                <w:numId w:val="0"/>
              </w:numPr>
              <w:tabs>
                <w:tab w:val="left" w:pos="0"/>
                <w:tab w:val="left" w:pos="360"/>
              </w:tabs>
              <w:rPr>
                <w:sz w:val="22"/>
                <w:szCs w:val="22"/>
              </w:rPr>
            </w:pPr>
          </w:p>
          <w:p w:rsidR="0081362F" w:rsidRPr="00364C5E" w:rsidP="00EE7E4B" w14:paraId="5257CFA5" w14:textId="77777777">
            <w:pPr>
              <w:pStyle w:val="ParaNum0"/>
              <w:numPr>
                <w:ilvl w:val="0"/>
                <w:numId w:val="0"/>
              </w:numPr>
              <w:tabs>
                <w:tab w:val="left" w:pos="0"/>
                <w:tab w:val="left" w:pos="360"/>
              </w:tabs>
              <w:rPr>
                <w:sz w:val="22"/>
                <w:szCs w:val="22"/>
              </w:rPr>
            </w:pPr>
            <w:r w:rsidRPr="00364C5E">
              <w:rPr>
                <w:sz w:val="22"/>
                <w:szCs w:val="22"/>
              </w:rPr>
              <w:t>$48.08/hour</w:t>
            </w:r>
          </w:p>
        </w:tc>
        <w:tc>
          <w:tcPr>
            <w:tcW w:w="1440" w:type="dxa"/>
          </w:tcPr>
          <w:p w:rsidR="0081362F" w:rsidRPr="00364C5E" w:rsidP="00EE7E4B" w14:paraId="0DC5CDFA" w14:textId="77777777">
            <w:pPr>
              <w:pStyle w:val="ParaNum0"/>
              <w:numPr>
                <w:ilvl w:val="0"/>
                <w:numId w:val="0"/>
              </w:numPr>
              <w:tabs>
                <w:tab w:val="left" w:pos="0"/>
                <w:tab w:val="left" w:pos="360"/>
              </w:tabs>
              <w:rPr>
                <w:sz w:val="22"/>
                <w:szCs w:val="22"/>
              </w:rPr>
            </w:pPr>
          </w:p>
          <w:p w:rsidR="00484752" w:rsidP="00EE7E4B" w14:paraId="787BABE9" w14:textId="77777777">
            <w:pPr>
              <w:pStyle w:val="ParaNum0"/>
              <w:numPr>
                <w:ilvl w:val="0"/>
                <w:numId w:val="0"/>
              </w:numPr>
              <w:tabs>
                <w:tab w:val="left" w:pos="0"/>
                <w:tab w:val="left" w:pos="360"/>
              </w:tabs>
              <w:rPr>
                <w:sz w:val="22"/>
                <w:szCs w:val="22"/>
              </w:rPr>
            </w:pPr>
          </w:p>
          <w:p w:rsidR="0081362F" w:rsidRPr="00364C5E" w:rsidP="00EE7E4B" w14:paraId="3B7EFD69" w14:textId="77777777">
            <w:pPr>
              <w:pStyle w:val="ParaNum0"/>
              <w:numPr>
                <w:ilvl w:val="0"/>
                <w:numId w:val="0"/>
              </w:numPr>
              <w:tabs>
                <w:tab w:val="left" w:pos="0"/>
                <w:tab w:val="left" w:pos="360"/>
              </w:tabs>
              <w:rPr>
                <w:sz w:val="22"/>
                <w:szCs w:val="22"/>
              </w:rPr>
            </w:pPr>
            <w:r w:rsidRPr="00364C5E">
              <w:rPr>
                <w:sz w:val="22"/>
                <w:szCs w:val="22"/>
              </w:rPr>
              <w:t>$16,828.00</w:t>
            </w:r>
          </w:p>
        </w:tc>
      </w:tr>
      <w:tr w14:paraId="53FF5D12" w14:textId="77777777" w:rsidTr="00EE7E4B">
        <w:tblPrEx>
          <w:tblW w:w="10098" w:type="dxa"/>
          <w:tblLayout w:type="fixed"/>
          <w:tblLook w:val="01E0"/>
        </w:tblPrEx>
        <w:tc>
          <w:tcPr>
            <w:tcW w:w="10098" w:type="dxa"/>
            <w:gridSpan w:val="6"/>
          </w:tcPr>
          <w:p w:rsidR="0081362F" w:rsidRPr="00364C5E" w:rsidP="00EE7E4B" w14:paraId="6B19B345" w14:textId="77777777">
            <w:pPr>
              <w:pStyle w:val="ParaNum0"/>
              <w:numPr>
                <w:ilvl w:val="0"/>
                <w:numId w:val="0"/>
              </w:numPr>
              <w:tabs>
                <w:tab w:val="left" w:pos="0"/>
                <w:tab w:val="left" w:pos="360"/>
              </w:tabs>
              <w:rPr>
                <w:b/>
                <w:sz w:val="22"/>
                <w:szCs w:val="22"/>
              </w:rPr>
            </w:pPr>
          </w:p>
        </w:tc>
      </w:tr>
      <w:tr w14:paraId="1C05C3AC" w14:textId="77777777" w:rsidTr="00EE7E4B">
        <w:tblPrEx>
          <w:tblW w:w="10098" w:type="dxa"/>
          <w:tblLayout w:type="fixed"/>
          <w:tblLook w:val="01E0"/>
        </w:tblPrEx>
        <w:tc>
          <w:tcPr>
            <w:tcW w:w="10098" w:type="dxa"/>
            <w:gridSpan w:val="6"/>
          </w:tcPr>
          <w:p w:rsidR="0081362F" w:rsidRPr="00364C5E" w:rsidP="00EE7E4B" w14:paraId="06A250E3" w14:textId="77777777">
            <w:pPr>
              <w:pStyle w:val="ParaNum0"/>
              <w:numPr>
                <w:ilvl w:val="0"/>
                <w:numId w:val="0"/>
              </w:numPr>
              <w:tabs>
                <w:tab w:val="left" w:pos="0"/>
                <w:tab w:val="left" w:pos="360"/>
              </w:tabs>
              <w:rPr>
                <w:b/>
                <w:sz w:val="22"/>
                <w:szCs w:val="22"/>
              </w:rPr>
            </w:pPr>
            <w:r w:rsidRPr="00364C5E">
              <w:rPr>
                <w:b/>
                <w:sz w:val="22"/>
                <w:szCs w:val="22"/>
              </w:rPr>
              <w:t>73.682(e)(6) and 76.607(a)(6)</w:t>
            </w:r>
          </w:p>
        </w:tc>
      </w:tr>
      <w:tr w14:paraId="3E203736" w14:textId="77777777" w:rsidTr="00EE7E4B">
        <w:tblPrEx>
          <w:tblW w:w="10098" w:type="dxa"/>
          <w:tblLayout w:type="fixed"/>
          <w:tblLook w:val="01E0"/>
        </w:tblPrEx>
        <w:tc>
          <w:tcPr>
            <w:tcW w:w="2448" w:type="dxa"/>
          </w:tcPr>
          <w:p w:rsidR="0081362F" w:rsidRPr="00364C5E" w:rsidP="00EE7E4B" w14:paraId="24306199" w14:textId="77777777">
            <w:pPr>
              <w:pStyle w:val="ParaNum0"/>
              <w:numPr>
                <w:ilvl w:val="0"/>
                <w:numId w:val="0"/>
              </w:numPr>
              <w:tabs>
                <w:tab w:val="left" w:pos="0"/>
                <w:tab w:val="left" w:pos="360"/>
              </w:tabs>
              <w:rPr>
                <w:b/>
                <w:sz w:val="22"/>
                <w:szCs w:val="22"/>
              </w:rPr>
            </w:pPr>
          </w:p>
          <w:p w:rsidR="0081362F" w:rsidRPr="00364C5E" w:rsidP="00EE7E4B" w14:paraId="6F1CE253" w14:textId="77777777">
            <w:pPr>
              <w:pStyle w:val="ParaNum0"/>
              <w:numPr>
                <w:ilvl w:val="0"/>
                <w:numId w:val="0"/>
              </w:numPr>
              <w:tabs>
                <w:tab w:val="left" w:pos="0"/>
                <w:tab w:val="left" w:pos="360"/>
              </w:tabs>
              <w:rPr>
                <w:b/>
                <w:sz w:val="22"/>
                <w:szCs w:val="22"/>
              </w:rPr>
            </w:pPr>
            <w:r w:rsidRPr="00364C5E">
              <w:rPr>
                <w:b/>
                <w:sz w:val="22"/>
                <w:szCs w:val="22"/>
              </w:rPr>
              <w:t>Recordkeeping Requirement</w:t>
            </w:r>
          </w:p>
        </w:tc>
        <w:tc>
          <w:tcPr>
            <w:tcW w:w="2610" w:type="dxa"/>
          </w:tcPr>
          <w:p w:rsidR="00484752" w:rsidP="00EE7E4B" w14:paraId="42238FC0" w14:textId="77777777">
            <w:pPr>
              <w:pStyle w:val="ParaNum0"/>
              <w:numPr>
                <w:ilvl w:val="0"/>
                <w:numId w:val="0"/>
              </w:numPr>
              <w:tabs>
                <w:tab w:val="left" w:pos="0"/>
                <w:tab w:val="left" w:pos="360"/>
              </w:tabs>
              <w:rPr>
                <w:sz w:val="22"/>
                <w:szCs w:val="22"/>
              </w:rPr>
            </w:pPr>
          </w:p>
          <w:p w:rsidR="0081362F" w:rsidRPr="00364C5E" w:rsidP="00EE7E4B" w14:paraId="694E8D7E" w14:textId="77777777">
            <w:pPr>
              <w:pStyle w:val="ParaNum0"/>
              <w:numPr>
                <w:ilvl w:val="0"/>
                <w:numId w:val="0"/>
              </w:numPr>
              <w:tabs>
                <w:tab w:val="left" w:pos="0"/>
                <w:tab w:val="left" w:pos="360"/>
              </w:tabs>
              <w:rPr>
                <w:sz w:val="22"/>
                <w:szCs w:val="22"/>
              </w:rPr>
            </w:pPr>
            <w:r>
              <w:rPr>
                <w:sz w:val="22"/>
                <w:szCs w:val="22"/>
              </w:rPr>
              <w:t>10 total respondents</w:t>
            </w:r>
          </w:p>
          <w:p w:rsidR="0081362F" w:rsidRPr="00364C5E" w:rsidP="00EE7E4B" w14:paraId="05970553" w14:textId="77777777">
            <w:pPr>
              <w:pStyle w:val="ParaNum0"/>
              <w:numPr>
                <w:ilvl w:val="0"/>
                <w:numId w:val="0"/>
              </w:numPr>
              <w:tabs>
                <w:tab w:val="left" w:pos="0"/>
                <w:tab w:val="left" w:pos="360"/>
              </w:tabs>
              <w:rPr>
                <w:sz w:val="22"/>
                <w:szCs w:val="22"/>
              </w:rPr>
            </w:pPr>
            <w:r w:rsidRPr="00364C5E">
              <w:rPr>
                <w:sz w:val="22"/>
                <w:szCs w:val="22"/>
              </w:rPr>
              <w:t xml:space="preserve">10 </w:t>
            </w:r>
            <w:r w:rsidR="00484752">
              <w:rPr>
                <w:sz w:val="22"/>
                <w:szCs w:val="22"/>
              </w:rPr>
              <w:t xml:space="preserve">total </w:t>
            </w:r>
            <w:r w:rsidRPr="00364C5E">
              <w:rPr>
                <w:sz w:val="22"/>
                <w:szCs w:val="22"/>
              </w:rPr>
              <w:t>response</w:t>
            </w:r>
            <w:r w:rsidR="00484752">
              <w:rPr>
                <w:sz w:val="22"/>
                <w:szCs w:val="22"/>
              </w:rPr>
              <w:t>s</w:t>
            </w:r>
          </w:p>
        </w:tc>
        <w:tc>
          <w:tcPr>
            <w:tcW w:w="1170" w:type="dxa"/>
          </w:tcPr>
          <w:p w:rsidR="0081362F" w:rsidRPr="00364C5E" w:rsidP="00EE7E4B" w14:paraId="0DB3FFDF" w14:textId="77777777">
            <w:pPr>
              <w:pStyle w:val="ParaNum0"/>
              <w:numPr>
                <w:ilvl w:val="0"/>
                <w:numId w:val="0"/>
              </w:numPr>
              <w:tabs>
                <w:tab w:val="left" w:pos="0"/>
                <w:tab w:val="left" w:pos="360"/>
              </w:tabs>
              <w:rPr>
                <w:sz w:val="22"/>
                <w:szCs w:val="22"/>
              </w:rPr>
            </w:pPr>
          </w:p>
          <w:p w:rsidR="0081362F" w:rsidRPr="00364C5E" w:rsidP="00EE7E4B" w14:paraId="4D6BC2C3" w14:textId="77777777">
            <w:pPr>
              <w:pStyle w:val="ParaNum0"/>
              <w:numPr>
                <w:ilvl w:val="0"/>
                <w:numId w:val="0"/>
              </w:numPr>
              <w:tabs>
                <w:tab w:val="left" w:pos="0"/>
                <w:tab w:val="left" w:pos="360"/>
              </w:tabs>
              <w:rPr>
                <w:sz w:val="22"/>
                <w:szCs w:val="22"/>
              </w:rPr>
            </w:pPr>
            <w:r w:rsidRPr="00364C5E">
              <w:rPr>
                <w:sz w:val="22"/>
                <w:szCs w:val="22"/>
              </w:rPr>
              <w:t>80 hours / response</w:t>
            </w:r>
          </w:p>
        </w:tc>
        <w:tc>
          <w:tcPr>
            <w:tcW w:w="1080" w:type="dxa"/>
          </w:tcPr>
          <w:p w:rsidR="0081362F" w:rsidRPr="00364C5E" w:rsidP="00EE7E4B" w14:paraId="3A1B87E2" w14:textId="77777777">
            <w:pPr>
              <w:pStyle w:val="ParaNum0"/>
              <w:numPr>
                <w:ilvl w:val="0"/>
                <w:numId w:val="0"/>
              </w:numPr>
              <w:tabs>
                <w:tab w:val="left" w:pos="0"/>
                <w:tab w:val="left" w:pos="360"/>
              </w:tabs>
              <w:rPr>
                <w:sz w:val="22"/>
                <w:szCs w:val="22"/>
              </w:rPr>
            </w:pPr>
          </w:p>
          <w:p w:rsidR="0081362F" w:rsidRPr="00364C5E" w:rsidP="00EE7E4B" w14:paraId="4D38C929" w14:textId="77777777">
            <w:pPr>
              <w:pStyle w:val="ParaNum0"/>
              <w:numPr>
                <w:ilvl w:val="0"/>
                <w:numId w:val="0"/>
              </w:numPr>
              <w:tabs>
                <w:tab w:val="left" w:pos="0"/>
                <w:tab w:val="left" w:pos="360"/>
              </w:tabs>
              <w:rPr>
                <w:sz w:val="22"/>
                <w:szCs w:val="22"/>
              </w:rPr>
            </w:pPr>
            <w:r w:rsidRPr="00364C5E">
              <w:rPr>
                <w:sz w:val="22"/>
                <w:szCs w:val="22"/>
              </w:rPr>
              <w:t>800</w:t>
            </w:r>
          </w:p>
          <w:p w:rsidR="0081362F" w:rsidRPr="00364C5E" w:rsidP="00EE7E4B" w14:paraId="1689FE7E" w14:textId="77777777">
            <w:pPr>
              <w:pStyle w:val="ParaNum0"/>
              <w:numPr>
                <w:ilvl w:val="0"/>
                <w:numId w:val="0"/>
              </w:numPr>
              <w:tabs>
                <w:tab w:val="left" w:pos="0"/>
                <w:tab w:val="left" w:pos="360"/>
              </w:tabs>
              <w:rPr>
                <w:sz w:val="22"/>
                <w:szCs w:val="22"/>
              </w:rPr>
            </w:pPr>
            <w:r w:rsidRPr="00364C5E">
              <w:rPr>
                <w:sz w:val="22"/>
                <w:szCs w:val="22"/>
              </w:rPr>
              <w:t>hours</w:t>
            </w:r>
          </w:p>
        </w:tc>
        <w:tc>
          <w:tcPr>
            <w:tcW w:w="1350" w:type="dxa"/>
          </w:tcPr>
          <w:p w:rsidR="0081362F" w:rsidRPr="00364C5E" w:rsidP="00EE7E4B" w14:paraId="46F4DE05" w14:textId="77777777">
            <w:pPr>
              <w:pStyle w:val="ParaNum0"/>
              <w:numPr>
                <w:ilvl w:val="0"/>
                <w:numId w:val="0"/>
              </w:numPr>
              <w:tabs>
                <w:tab w:val="left" w:pos="0"/>
                <w:tab w:val="left" w:pos="360"/>
              </w:tabs>
              <w:rPr>
                <w:sz w:val="22"/>
                <w:szCs w:val="22"/>
              </w:rPr>
            </w:pPr>
          </w:p>
          <w:p w:rsidR="00484752" w:rsidP="00EE7E4B" w14:paraId="3AF65323" w14:textId="77777777">
            <w:pPr>
              <w:pStyle w:val="ParaNum0"/>
              <w:numPr>
                <w:ilvl w:val="0"/>
                <w:numId w:val="0"/>
              </w:numPr>
              <w:tabs>
                <w:tab w:val="left" w:pos="0"/>
                <w:tab w:val="left" w:pos="360"/>
              </w:tabs>
              <w:rPr>
                <w:sz w:val="22"/>
                <w:szCs w:val="22"/>
              </w:rPr>
            </w:pPr>
          </w:p>
          <w:p w:rsidR="0081362F" w:rsidRPr="00364C5E" w:rsidP="00EE7E4B" w14:paraId="16E04015" w14:textId="77777777">
            <w:pPr>
              <w:pStyle w:val="ParaNum0"/>
              <w:numPr>
                <w:ilvl w:val="0"/>
                <w:numId w:val="0"/>
              </w:numPr>
              <w:tabs>
                <w:tab w:val="left" w:pos="0"/>
                <w:tab w:val="left" w:pos="360"/>
              </w:tabs>
              <w:rPr>
                <w:sz w:val="22"/>
                <w:szCs w:val="22"/>
              </w:rPr>
            </w:pPr>
            <w:r w:rsidRPr="00364C5E">
              <w:rPr>
                <w:sz w:val="22"/>
                <w:szCs w:val="22"/>
              </w:rPr>
              <w:t>$48.08/hour</w:t>
            </w:r>
          </w:p>
        </w:tc>
        <w:tc>
          <w:tcPr>
            <w:tcW w:w="1440" w:type="dxa"/>
          </w:tcPr>
          <w:p w:rsidR="0081362F" w:rsidRPr="00364C5E" w:rsidP="00EE7E4B" w14:paraId="34071B5B" w14:textId="77777777">
            <w:pPr>
              <w:pStyle w:val="ParaNum0"/>
              <w:numPr>
                <w:ilvl w:val="0"/>
                <w:numId w:val="0"/>
              </w:numPr>
              <w:tabs>
                <w:tab w:val="left" w:pos="0"/>
                <w:tab w:val="left" w:pos="360"/>
              </w:tabs>
              <w:rPr>
                <w:sz w:val="22"/>
                <w:szCs w:val="22"/>
              </w:rPr>
            </w:pPr>
          </w:p>
          <w:p w:rsidR="00484752" w:rsidP="00EE7E4B" w14:paraId="0FB12E9B" w14:textId="77777777">
            <w:pPr>
              <w:pStyle w:val="ParaNum0"/>
              <w:numPr>
                <w:ilvl w:val="0"/>
                <w:numId w:val="0"/>
              </w:numPr>
              <w:tabs>
                <w:tab w:val="left" w:pos="0"/>
                <w:tab w:val="left" w:pos="360"/>
              </w:tabs>
              <w:rPr>
                <w:sz w:val="22"/>
                <w:szCs w:val="22"/>
              </w:rPr>
            </w:pPr>
          </w:p>
          <w:p w:rsidR="0081362F" w:rsidRPr="00364C5E" w:rsidP="00EE7E4B" w14:paraId="1B559ACC" w14:textId="77777777">
            <w:pPr>
              <w:pStyle w:val="ParaNum0"/>
              <w:numPr>
                <w:ilvl w:val="0"/>
                <w:numId w:val="0"/>
              </w:numPr>
              <w:tabs>
                <w:tab w:val="left" w:pos="0"/>
                <w:tab w:val="left" w:pos="360"/>
              </w:tabs>
              <w:rPr>
                <w:sz w:val="22"/>
                <w:szCs w:val="22"/>
              </w:rPr>
            </w:pPr>
            <w:r w:rsidRPr="00364C5E">
              <w:rPr>
                <w:sz w:val="22"/>
                <w:szCs w:val="22"/>
              </w:rPr>
              <w:t>$38,464.00</w:t>
            </w:r>
          </w:p>
        </w:tc>
      </w:tr>
      <w:tr w14:paraId="25B3DE32" w14:textId="77777777" w:rsidTr="00EE7E4B">
        <w:tblPrEx>
          <w:tblW w:w="10098" w:type="dxa"/>
          <w:tblLayout w:type="fixed"/>
          <w:tblLook w:val="01E0"/>
        </w:tblPrEx>
        <w:tc>
          <w:tcPr>
            <w:tcW w:w="10098" w:type="dxa"/>
            <w:gridSpan w:val="6"/>
          </w:tcPr>
          <w:p w:rsidR="0081362F" w:rsidRPr="00364C5E" w:rsidP="00EE7E4B" w14:paraId="74F2E7CF" w14:textId="77777777">
            <w:pPr>
              <w:pStyle w:val="ParaNum0"/>
              <w:numPr>
                <w:ilvl w:val="0"/>
                <w:numId w:val="0"/>
              </w:numPr>
              <w:tabs>
                <w:tab w:val="left" w:pos="0"/>
                <w:tab w:val="left" w:pos="360"/>
              </w:tabs>
              <w:rPr>
                <w:b/>
                <w:sz w:val="22"/>
                <w:szCs w:val="22"/>
              </w:rPr>
            </w:pPr>
          </w:p>
        </w:tc>
      </w:tr>
      <w:tr w14:paraId="0FD46D4F" w14:textId="77777777" w:rsidTr="00EE7E4B">
        <w:tblPrEx>
          <w:tblW w:w="10098" w:type="dxa"/>
          <w:tblLayout w:type="fixed"/>
          <w:tblLook w:val="01E0"/>
        </w:tblPrEx>
        <w:tc>
          <w:tcPr>
            <w:tcW w:w="2448" w:type="dxa"/>
          </w:tcPr>
          <w:p w:rsidR="0081362F" w:rsidRPr="0081362F" w:rsidP="00EE7E4B" w14:paraId="005FF085" w14:textId="77777777">
            <w:pPr>
              <w:pStyle w:val="ParaNum0"/>
              <w:numPr>
                <w:ilvl w:val="0"/>
                <w:numId w:val="0"/>
              </w:numPr>
              <w:tabs>
                <w:tab w:val="left" w:pos="0"/>
                <w:tab w:val="left" w:pos="360"/>
              </w:tabs>
              <w:rPr>
                <w:b/>
                <w:sz w:val="22"/>
                <w:szCs w:val="22"/>
              </w:rPr>
            </w:pPr>
          </w:p>
          <w:p w:rsidR="0081362F" w:rsidRPr="0081362F" w:rsidP="00EE7E4B" w14:paraId="7B9AD54F" w14:textId="77777777">
            <w:pPr>
              <w:pStyle w:val="ParaNum0"/>
              <w:numPr>
                <w:ilvl w:val="0"/>
                <w:numId w:val="0"/>
              </w:numPr>
              <w:tabs>
                <w:tab w:val="left" w:pos="0"/>
                <w:tab w:val="left" w:pos="360"/>
              </w:tabs>
              <w:rPr>
                <w:b/>
                <w:sz w:val="22"/>
                <w:szCs w:val="22"/>
              </w:rPr>
            </w:pPr>
            <w:r w:rsidRPr="0081362F">
              <w:rPr>
                <w:b/>
                <w:sz w:val="22"/>
                <w:szCs w:val="22"/>
              </w:rPr>
              <w:t>Totals:</w:t>
            </w:r>
          </w:p>
          <w:p w:rsidR="0081362F" w:rsidRPr="0081362F" w:rsidP="00EE7E4B" w14:paraId="7DF64456" w14:textId="77777777">
            <w:pPr>
              <w:pStyle w:val="ParaNum0"/>
              <w:numPr>
                <w:ilvl w:val="0"/>
                <w:numId w:val="0"/>
              </w:numPr>
              <w:tabs>
                <w:tab w:val="left" w:pos="0"/>
                <w:tab w:val="left" w:pos="360"/>
              </w:tabs>
              <w:rPr>
                <w:b/>
                <w:sz w:val="22"/>
                <w:szCs w:val="22"/>
              </w:rPr>
            </w:pPr>
          </w:p>
          <w:p w:rsidR="0081362F" w:rsidRPr="0081362F" w:rsidP="00EE7E4B" w14:paraId="6BA8A395" w14:textId="77777777">
            <w:pPr>
              <w:pStyle w:val="ParaNum0"/>
              <w:numPr>
                <w:ilvl w:val="0"/>
                <w:numId w:val="0"/>
              </w:numPr>
              <w:tabs>
                <w:tab w:val="left" w:pos="0"/>
                <w:tab w:val="left" w:pos="360"/>
              </w:tabs>
              <w:rPr>
                <w:b/>
                <w:sz w:val="22"/>
                <w:szCs w:val="22"/>
              </w:rPr>
            </w:pPr>
          </w:p>
        </w:tc>
        <w:tc>
          <w:tcPr>
            <w:tcW w:w="2610" w:type="dxa"/>
          </w:tcPr>
          <w:p w:rsidR="0081362F" w:rsidRPr="0081362F" w:rsidP="00EE7E4B" w14:paraId="3F986D36" w14:textId="77777777">
            <w:pPr>
              <w:pStyle w:val="ParaNum0"/>
              <w:numPr>
                <w:ilvl w:val="0"/>
                <w:numId w:val="0"/>
              </w:numPr>
              <w:tabs>
                <w:tab w:val="left" w:pos="0"/>
                <w:tab w:val="left" w:pos="360"/>
              </w:tabs>
              <w:rPr>
                <w:b/>
                <w:sz w:val="22"/>
                <w:szCs w:val="22"/>
              </w:rPr>
            </w:pPr>
          </w:p>
          <w:p w:rsidR="0081362F" w:rsidRPr="0081362F" w:rsidP="00EE7E4B" w14:paraId="55A2819D" w14:textId="77777777">
            <w:pPr>
              <w:pStyle w:val="ParaNum0"/>
              <w:numPr>
                <w:ilvl w:val="0"/>
                <w:numId w:val="0"/>
              </w:numPr>
              <w:tabs>
                <w:tab w:val="left" w:pos="0"/>
                <w:tab w:val="left" w:pos="360"/>
              </w:tabs>
              <w:rPr>
                <w:b/>
                <w:sz w:val="22"/>
                <w:szCs w:val="22"/>
              </w:rPr>
            </w:pPr>
            <w:r w:rsidRPr="0081362F">
              <w:rPr>
                <w:b/>
                <w:sz w:val="22"/>
                <w:szCs w:val="22"/>
              </w:rPr>
              <w:t xml:space="preserve">2,937 </w:t>
            </w:r>
            <w:r w:rsidR="00484752">
              <w:rPr>
                <w:b/>
                <w:sz w:val="22"/>
                <w:szCs w:val="22"/>
              </w:rPr>
              <w:t xml:space="preserve">total </w:t>
            </w:r>
            <w:r w:rsidRPr="0081362F">
              <w:rPr>
                <w:b/>
                <w:sz w:val="22"/>
                <w:szCs w:val="22"/>
              </w:rPr>
              <w:t xml:space="preserve">respondents / </w:t>
            </w:r>
          </w:p>
          <w:p w:rsidR="0081362F" w:rsidRPr="0081362F" w:rsidP="00EE7E4B" w14:paraId="56534B6F" w14:textId="77777777">
            <w:pPr>
              <w:pStyle w:val="ParaNum0"/>
              <w:numPr>
                <w:ilvl w:val="0"/>
                <w:numId w:val="0"/>
              </w:numPr>
              <w:tabs>
                <w:tab w:val="left" w:pos="0"/>
                <w:tab w:val="left" w:pos="360"/>
              </w:tabs>
              <w:rPr>
                <w:b/>
                <w:sz w:val="22"/>
                <w:szCs w:val="22"/>
              </w:rPr>
            </w:pPr>
            <w:r w:rsidRPr="0081362F">
              <w:rPr>
                <w:b/>
                <w:sz w:val="22"/>
                <w:szCs w:val="22"/>
              </w:rPr>
              <w:t xml:space="preserve">4,868 </w:t>
            </w:r>
            <w:r w:rsidR="00484752">
              <w:rPr>
                <w:b/>
                <w:sz w:val="22"/>
                <w:szCs w:val="22"/>
              </w:rPr>
              <w:t xml:space="preserve">total </w:t>
            </w:r>
            <w:r w:rsidRPr="0081362F">
              <w:rPr>
                <w:b/>
                <w:sz w:val="22"/>
                <w:szCs w:val="22"/>
              </w:rPr>
              <w:t>responses</w:t>
            </w:r>
          </w:p>
        </w:tc>
        <w:tc>
          <w:tcPr>
            <w:tcW w:w="1170" w:type="dxa"/>
          </w:tcPr>
          <w:p w:rsidR="0081362F" w:rsidRPr="0081362F" w:rsidP="00EE7E4B" w14:paraId="5481D4A3" w14:textId="77777777">
            <w:pPr>
              <w:pStyle w:val="ParaNum0"/>
              <w:numPr>
                <w:ilvl w:val="0"/>
                <w:numId w:val="0"/>
              </w:numPr>
              <w:tabs>
                <w:tab w:val="left" w:pos="0"/>
                <w:tab w:val="left" w:pos="360"/>
              </w:tabs>
              <w:rPr>
                <w:b/>
                <w:sz w:val="22"/>
                <w:szCs w:val="22"/>
              </w:rPr>
            </w:pPr>
          </w:p>
        </w:tc>
        <w:tc>
          <w:tcPr>
            <w:tcW w:w="1080" w:type="dxa"/>
          </w:tcPr>
          <w:p w:rsidR="0081362F" w:rsidRPr="0081362F" w:rsidP="00EE7E4B" w14:paraId="13C75FF6" w14:textId="77777777">
            <w:pPr>
              <w:pStyle w:val="ParaNum0"/>
              <w:numPr>
                <w:ilvl w:val="0"/>
                <w:numId w:val="0"/>
              </w:numPr>
              <w:tabs>
                <w:tab w:val="left" w:pos="0"/>
                <w:tab w:val="left" w:pos="360"/>
              </w:tabs>
              <w:rPr>
                <w:b/>
                <w:sz w:val="22"/>
                <w:szCs w:val="22"/>
              </w:rPr>
            </w:pPr>
          </w:p>
          <w:p w:rsidR="0081362F" w:rsidRPr="0081362F" w:rsidP="00EE7E4B" w14:paraId="62B925AD" w14:textId="77777777">
            <w:pPr>
              <w:pStyle w:val="ParaNum0"/>
              <w:numPr>
                <w:ilvl w:val="0"/>
                <w:numId w:val="0"/>
              </w:numPr>
              <w:tabs>
                <w:tab w:val="left" w:pos="0"/>
                <w:tab w:val="left" w:pos="360"/>
              </w:tabs>
              <w:rPr>
                <w:b/>
                <w:sz w:val="22"/>
                <w:szCs w:val="22"/>
              </w:rPr>
            </w:pPr>
            <w:r w:rsidRPr="0081362F">
              <w:rPr>
                <w:b/>
                <w:sz w:val="22"/>
                <w:szCs w:val="22"/>
              </w:rPr>
              <w:t>6,036</w:t>
            </w:r>
          </w:p>
          <w:p w:rsidR="0081362F" w:rsidRPr="0081362F" w:rsidP="00EE7E4B" w14:paraId="73E7385C" w14:textId="77777777">
            <w:pPr>
              <w:pStyle w:val="ParaNum0"/>
              <w:numPr>
                <w:ilvl w:val="0"/>
                <w:numId w:val="0"/>
              </w:numPr>
              <w:tabs>
                <w:tab w:val="left" w:pos="0"/>
                <w:tab w:val="left" w:pos="360"/>
              </w:tabs>
              <w:rPr>
                <w:b/>
                <w:sz w:val="22"/>
                <w:szCs w:val="22"/>
              </w:rPr>
            </w:pPr>
            <w:r w:rsidRPr="0081362F">
              <w:rPr>
                <w:b/>
                <w:sz w:val="22"/>
                <w:szCs w:val="22"/>
              </w:rPr>
              <w:t>hours</w:t>
            </w:r>
          </w:p>
        </w:tc>
        <w:tc>
          <w:tcPr>
            <w:tcW w:w="1350" w:type="dxa"/>
          </w:tcPr>
          <w:p w:rsidR="0081362F" w:rsidRPr="0081362F" w:rsidP="00EE7E4B" w14:paraId="086A0B73" w14:textId="77777777">
            <w:pPr>
              <w:pStyle w:val="ParaNum0"/>
              <w:numPr>
                <w:ilvl w:val="0"/>
                <w:numId w:val="0"/>
              </w:numPr>
              <w:tabs>
                <w:tab w:val="left" w:pos="0"/>
                <w:tab w:val="left" w:pos="360"/>
              </w:tabs>
              <w:rPr>
                <w:b/>
                <w:sz w:val="22"/>
                <w:szCs w:val="22"/>
              </w:rPr>
            </w:pPr>
          </w:p>
        </w:tc>
        <w:tc>
          <w:tcPr>
            <w:tcW w:w="1440" w:type="dxa"/>
          </w:tcPr>
          <w:p w:rsidR="0081362F" w:rsidRPr="0081362F" w:rsidP="00EE7E4B" w14:paraId="6745EF26" w14:textId="77777777">
            <w:pPr>
              <w:pStyle w:val="ParaNum0"/>
              <w:numPr>
                <w:ilvl w:val="0"/>
                <w:numId w:val="0"/>
              </w:numPr>
              <w:tabs>
                <w:tab w:val="left" w:pos="0"/>
                <w:tab w:val="left" w:pos="360"/>
              </w:tabs>
              <w:rPr>
                <w:b/>
                <w:sz w:val="22"/>
                <w:szCs w:val="22"/>
              </w:rPr>
            </w:pPr>
          </w:p>
          <w:p w:rsidR="00484752" w:rsidP="00EE7E4B" w14:paraId="00F483BD" w14:textId="77777777">
            <w:pPr>
              <w:pStyle w:val="ParaNum0"/>
              <w:numPr>
                <w:ilvl w:val="0"/>
                <w:numId w:val="0"/>
              </w:numPr>
              <w:tabs>
                <w:tab w:val="left" w:pos="0"/>
                <w:tab w:val="left" w:pos="360"/>
              </w:tabs>
              <w:rPr>
                <w:b/>
                <w:sz w:val="22"/>
                <w:szCs w:val="22"/>
              </w:rPr>
            </w:pPr>
          </w:p>
          <w:p w:rsidR="0081362F" w:rsidRPr="0081362F" w:rsidP="00EE7E4B" w14:paraId="3F6E9199" w14:textId="77777777">
            <w:pPr>
              <w:pStyle w:val="ParaNum0"/>
              <w:numPr>
                <w:ilvl w:val="0"/>
                <w:numId w:val="0"/>
              </w:numPr>
              <w:tabs>
                <w:tab w:val="left" w:pos="0"/>
                <w:tab w:val="left" w:pos="360"/>
              </w:tabs>
              <w:rPr>
                <w:b/>
                <w:sz w:val="22"/>
                <w:szCs w:val="22"/>
              </w:rPr>
            </w:pPr>
            <w:r w:rsidRPr="0081362F">
              <w:rPr>
                <w:b/>
                <w:sz w:val="22"/>
                <w:szCs w:val="22"/>
              </w:rPr>
              <w:t>$290,210.88</w:t>
            </w:r>
          </w:p>
        </w:tc>
      </w:tr>
    </w:tbl>
    <w:p w:rsidR="0081362F" w:rsidRPr="00364C5E" w:rsidP="0081362F" w14:paraId="63721CA8" w14:textId="77777777">
      <w:pPr>
        <w:pStyle w:val="ParaNum0"/>
        <w:numPr>
          <w:ilvl w:val="0"/>
          <w:numId w:val="0"/>
        </w:numPr>
        <w:tabs>
          <w:tab w:val="left" w:pos="0"/>
          <w:tab w:val="left" w:pos="360"/>
        </w:tabs>
        <w:rPr>
          <w:b/>
          <w:sz w:val="22"/>
          <w:szCs w:val="22"/>
        </w:rPr>
      </w:pPr>
    </w:p>
    <w:p w:rsidR="0081362F" w:rsidRPr="00484752" w:rsidP="0081362F" w14:paraId="2BC23246" w14:textId="77777777">
      <w:pPr>
        <w:pStyle w:val="ParaNum0"/>
        <w:numPr>
          <w:ilvl w:val="0"/>
          <w:numId w:val="10"/>
        </w:numPr>
        <w:tabs>
          <w:tab w:val="left" w:pos="0"/>
        </w:tabs>
        <w:rPr>
          <w:b/>
          <w:szCs w:val="24"/>
        </w:rPr>
      </w:pPr>
      <w:r w:rsidRPr="00364C5E">
        <w:rPr>
          <w:b/>
          <w:szCs w:val="24"/>
        </w:rPr>
        <w:t xml:space="preserve">Total Number of </w:t>
      </w:r>
      <w:r w:rsidRPr="00484752">
        <w:rPr>
          <w:b/>
          <w:szCs w:val="24"/>
        </w:rPr>
        <w:t xml:space="preserve">Respondents:  </w:t>
      </w:r>
      <w:r w:rsidRPr="00484752">
        <w:rPr>
          <w:b/>
          <w:sz w:val="22"/>
          <w:szCs w:val="22"/>
        </w:rPr>
        <w:t xml:space="preserve">2,937 </w:t>
      </w:r>
      <w:r w:rsidRPr="00484752">
        <w:rPr>
          <w:b/>
        </w:rPr>
        <w:t>TV broadcasters, cable operators and MVPDs</w:t>
      </w:r>
    </w:p>
    <w:p w:rsidR="0081362F" w:rsidRPr="00484752" w:rsidP="0081362F" w14:paraId="540F67B8" w14:textId="77777777">
      <w:pPr>
        <w:numPr>
          <w:ilvl w:val="0"/>
          <w:numId w:val="10"/>
        </w:numPr>
        <w:suppressAutoHyphens/>
        <w:rPr>
          <w:b/>
          <w:szCs w:val="24"/>
        </w:rPr>
      </w:pPr>
      <w:r w:rsidRPr="00484752">
        <w:rPr>
          <w:b/>
          <w:szCs w:val="24"/>
        </w:rPr>
        <w:t xml:space="preserve">Total Number of Responses:  </w:t>
      </w:r>
      <w:r w:rsidRPr="00484752">
        <w:rPr>
          <w:b/>
          <w:sz w:val="22"/>
          <w:szCs w:val="22"/>
        </w:rPr>
        <w:t>4,868 responses</w:t>
      </w:r>
    </w:p>
    <w:p w:rsidR="0081362F" w:rsidRPr="00484752" w:rsidP="0081362F" w14:paraId="6E0AD1D6" w14:textId="77777777">
      <w:pPr>
        <w:numPr>
          <w:ilvl w:val="0"/>
          <w:numId w:val="10"/>
        </w:numPr>
        <w:suppressAutoHyphens/>
        <w:rPr>
          <w:b/>
          <w:sz w:val="22"/>
          <w:szCs w:val="22"/>
        </w:rPr>
      </w:pPr>
      <w:r w:rsidRPr="00484752">
        <w:rPr>
          <w:b/>
          <w:szCs w:val="24"/>
        </w:rPr>
        <w:t xml:space="preserve">Total Annual Burden Hours:  </w:t>
      </w:r>
      <w:r w:rsidRPr="00484752">
        <w:rPr>
          <w:b/>
          <w:sz w:val="22"/>
          <w:szCs w:val="22"/>
        </w:rPr>
        <w:t>6,036 hours</w:t>
      </w:r>
    </w:p>
    <w:p w:rsidR="0081362F" w:rsidRPr="00484752" w:rsidP="0081362F" w14:paraId="3020F056" w14:textId="77777777">
      <w:pPr>
        <w:numPr>
          <w:ilvl w:val="0"/>
          <w:numId w:val="10"/>
        </w:numPr>
        <w:suppressAutoHyphens/>
        <w:rPr>
          <w:b/>
          <w:szCs w:val="24"/>
        </w:rPr>
      </w:pPr>
      <w:r w:rsidRPr="00484752">
        <w:rPr>
          <w:b/>
          <w:szCs w:val="24"/>
        </w:rPr>
        <w:t>Total Annual In-House Cost:  $290,210.88</w:t>
      </w:r>
    </w:p>
    <w:p w:rsidR="0081362F" w:rsidRPr="00364C5E" w:rsidP="0081362F" w14:paraId="7AB0D4CD" w14:textId="77777777">
      <w:pPr>
        <w:suppressAutoHyphens/>
        <w:rPr>
          <w:b/>
          <w:szCs w:val="24"/>
        </w:rPr>
      </w:pPr>
    </w:p>
    <w:p w:rsidR="0081362F" w:rsidRPr="00364C5E" w:rsidP="0081362F" w14:paraId="6CE0BA33" w14:textId="77777777">
      <w:pPr>
        <w:numPr>
          <w:ilvl w:val="0"/>
          <w:numId w:val="10"/>
        </w:numPr>
        <w:suppressAutoHyphens/>
        <w:rPr>
          <w:szCs w:val="24"/>
        </w:rPr>
      </w:pPr>
      <w:r w:rsidRPr="00364C5E">
        <w:rPr>
          <w:szCs w:val="24"/>
        </w:rPr>
        <w:t>We estimate that the respondent would have an average salary of $100,000/year ($48.08/hour).  All estimates are based on Commission staff's knowledge and familiarity with the availability of the data required.</w:t>
      </w:r>
    </w:p>
    <w:p w:rsidR="0081362F" w:rsidRPr="006C2B6B" w:rsidP="0081362F" w14:paraId="04542EF1" w14:textId="77777777">
      <w:pPr>
        <w:suppressAutoHyphens/>
        <w:rPr>
          <w:szCs w:val="24"/>
        </w:rPr>
      </w:pPr>
    </w:p>
    <w:p w:rsidR="00372437" w:rsidRPr="006C2B6B" w:rsidP="00372437" w14:paraId="2C998322" w14:textId="77777777">
      <w:pPr>
        <w:suppressAutoHyphens/>
        <w:jc w:val="both"/>
        <w:rPr>
          <w:spacing w:val="-3"/>
          <w:szCs w:val="24"/>
        </w:rPr>
      </w:pPr>
      <w:r w:rsidRPr="006C2B6B">
        <w:rPr>
          <w:spacing w:val="-3"/>
          <w:szCs w:val="24"/>
        </w:rPr>
        <w:t>13.</w:t>
      </w:r>
      <w:r w:rsidRPr="006C2B6B">
        <w:rPr>
          <w:spacing w:val="-3"/>
          <w:szCs w:val="24"/>
        </w:rPr>
        <w:tab/>
      </w:r>
      <w:r w:rsidRPr="006C2B6B">
        <w:rPr>
          <w:b/>
          <w:spacing w:val="-3"/>
          <w:szCs w:val="24"/>
        </w:rPr>
        <w:t>Annual Cost Burden</w:t>
      </w:r>
      <w:r w:rsidRPr="006C2B6B">
        <w:rPr>
          <w:spacing w:val="-3"/>
          <w:szCs w:val="24"/>
        </w:rPr>
        <w:t xml:space="preserve">: </w:t>
      </w:r>
    </w:p>
    <w:p w:rsidR="00372437" w:rsidRPr="006C2B6B" w:rsidP="00E74928" w14:paraId="18486FF1" w14:textId="77777777">
      <w:pPr>
        <w:widowControl w:val="0"/>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ind w:left="1325" w:hanging="605"/>
        <w:rPr>
          <w:spacing w:val="-3"/>
          <w:szCs w:val="24"/>
        </w:rPr>
      </w:pPr>
      <w:r w:rsidRPr="006C2B6B">
        <w:rPr>
          <w:spacing w:val="-3"/>
          <w:szCs w:val="24"/>
        </w:rPr>
        <w:t xml:space="preserve">Total annualized capital/startup costs: </w:t>
      </w:r>
      <w:r w:rsidRPr="006C2B6B">
        <w:rPr>
          <w:spacing w:val="-3"/>
          <w:szCs w:val="24"/>
        </w:rPr>
        <w:tab/>
        <w:t>None.</w:t>
      </w:r>
    </w:p>
    <w:p w:rsidR="00372437" w:rsidRPr="006C2B6B" w:rsidP="00E74928" w14:paraId="2DFB3A0F" w14:textId="77777777">
      <w:pPr>
        <w:widowControl w:val="0"/>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ind w:left="1325" w:hanging="605"/>
        <w:rPr>
          <w:spacing w:val="-3"/>
          <w:szCs w:val="24"/>
        </w:rPr>
      </w:pPr>
      <w:r w:rsidRPr="006C2B6B">
        <w:rPr>
          <w:spacing w:val="-3"/>
          <w:szCs w:val="24"/>
        </w:rPr>
        <w:t xml:space="preserve">Total annual costs (O&amp;M): </w:t>
      </w:r>
      <w:r w:rsidRPr="006C2B6B">
        <w:rPr>
          <w:spacing w:val="-3"/>
          <w:szCs w:val="24"/>
        </w:rPr>
        <w:tab/>
      </w:r>
      <w:r w:rsidRPr="006C2B6B">
        <w:rPr>
          <w:spacing w:val="-3"/>
          <w:szCs w:val="24"/>
        </w:rPr>
        <w:tab/>
        <w:t>None.</w:t>
      </w:r>
    </w:p>
    <w:p w:rsidR="00372437" w:rsidRPr="006C2B6B" w:rsidP="00E74928" w14:paraId="19EF0C32" w14:textId="77777777">
      <w:pPr>
        <w:widowControl w:val="0"/>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ind w:left="1325" w:hanging="605"/>
        <w:rPr>
          <w:spacing w:val="-3"/>
          <w:szCs w:val="24"/>
        </w:rPr>
      </w:pPr>
      <w:r w:rsidRPr="006C2B6B">
        <w:rPr>
          <w:spacing w:val="-3"/>
          <w:szCs w:val="24"/>
        </w:rPr>
        <w:t xml:space="preserve">Total annualized cost requested: </w:t>
      </w:r>
      <w:r w:rsidRPr="006C2B6B">
        <w:rPr>
          <w:spacing w:val="-3"/>
          <w:szCs w:val="24"/>
        </w:rPr>
        <w:tab/>
        <w:t>None.</w:t>
      </w:r>
    </w:p>
    <w:p w:rsidR="00372437" w:rsidRPr="006C2B6B" w:rsidP="00372437" w14:paraId="02B39D3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p>
    <w:p w:rsidR="002415CB" w:rsidRPr="006C2B6B" w:rsidP="002415CB" w14:paraId="3FA3835A" w14:textId="77777777">
      <w:pPr>
        <w:pStyle w:val="EndnoteText"/>
        <w:tabs>
          <w:tab w:val="clear" w:pos="-720"/>
        </w:tabs>
        <w:rPr>
          <w:b/>
          <w:szCs w:val="24"/>
        </w:rPr>
      </w:pPr>
      <w:r w:rsidRPr="006C2B6B">
        <w:rPr>
          <w:spacing w:val="-3"/>
          <w:szCs w:val="24"/>
        </w:rPr>
        <w:t>14.</w:t>
      </w:r>
      <w:r w:rsidRPr="006C2B6B" w:rsidR="00C505F0">
        <w:rPr>
          <w:spacing w:val="-3"/>
          <w:szCs w:val="24"/>
        </w:rPr>
        <w:tab/>
      </w:r>
      <w:r w:rsidRPr="006C2B6B" w:rsidR="00542984">
        <w:rPr>
          <w:b/>
          <w:spacing w:val="-3"/>
          <w:szCs w:val="24"/>
        </w:rPr>
        <w:t>Cost to the Federal Government</w:t>
      </w:r>
      <w:r w:rsidRPr="006C2B6B" w:rsidR="00542984">
        <w:rPr>
          <w:spacing w:val="-3"/>
          <w:szCs w:val="24"/>
        </w:rPr>
        <w:t>:</w:t>
      </w:r>
      <w:r w:rsidRPr="006C2B6B" w:rsidR="00BF27AD">
        <w:rPr>
          <w:spacing w:val="-3"/>
          <w:szCs w:val="24"/>
        </w:rPr>
        <w:t xml:space="preserve">  </w:t>
      </w:r>
      <w:bookmarkStart w:id="0" w:name="OLE_LINK1"/>
      <w:bookmarkStart w:id="1" w:name="OLE_LINK2"/>
      <w:r w:rsidRPr="006C2B6B" w:rsidR="00372437">
        <w:rPr>
          <w:spacing w:val="-3"/>
          <w:szCs w:val="24"/>
        </w:rPr>
        <w:tab/>
        <w:t>None.</w:t>
      </w:r>
    </w:p>
    <w:bookmarkEnd w:id="0"/>
    <w:bookmarkEnd w:id="1"/>
    <w:p w:rsidR="00BB5CA5" w:rsidRPr="006C2B6B" w:rsidP="002415CB" w14:paraId="7EF2DFE5" w14:textId="77777777">
      <w:pPr>
        <w:suppressAutoHyphens/>
        <w:rPr>
          <w:szCs w:val="24"/>
        </w:rPr>
      </w:pPr>
    </w:p>
    <w:p w:rsidR="00D477D5" w:rsidRPr="006C2B6B" w:rsidP="00372437" w14:paraId="468460FB" w14:textId="77777777">
      <w:pPr>
        <w:suppressAutoHyphens/>
        <w:rPr>
          <w:spacing w:val="-3"/>
          <w:szCs w:val="24"/>
        </w:rPr>
      </w:pPr>
      <w:r w:rsidRPr="006C2B6B">
        <w:rPr>
          <w:spacing w:val="-3"/>
          <w:szCs w:val="24"/>
        </w:rPr>
        <w:t>15.</w:t>
      </w:r>
      <w:r w:rsidRPr="006C2B6B">
        <w:rPr>
          <w:spacing w:val="-3"/>
          <w:szCs w:val="24"/>
        </w:rPr>
        <w:tab/>
      </w:r>
      <w:r w:rsidR="00371DCE">
        <w:rPr>
          <w:spacing w:val="-3"/>
          <w:szCs w:val="24"/>
        </w:rPr>
        <w:t>There are no program changes or adjustments to this collection.</w:t>
      </w:r>
      <w:r w:rsidRPr="006C2B6B" w:rsidR="00372437">
        <w:rPr>
          <w:spacing w:val="-3"/>
          <w:szCs w:val="24"/>
        </w:rPr>
        <w:t xml:space="preserve"> </w:t>
      </w:r>
    </w:p>
    <w:p w:rsidR="00D477D5" w:rsidRPr="006C2B6B" w:rsidP="00D477D5" w14:paraId="5F8962B6" w14:textId="77777777">
      <w:pPr>
        <w:pStyle w:val="ParaNum0"/>
        <w:numPr>
          <w:ilvl w:val="0"/>
          <w:numId w:val="0"/>
        </w:numPr>
        <w:tabs>
          <w:tab w:val="left" w:pos="360"/>
        </w:tabs>
        <w:rPr>
          <w:szCs w:val="24"/>
        </w:rPr>
      </w:pPr>
    </w:p>
    <w:p w:rsidR="00D477D5" w:rsidRPr="006C2B6B" w:rsidP="00C9645D" w14:paraId="349CBEAD" w14:textId="77777777">
      <w:pPr>
        <w:rPr>
          <w:spacing w:val="-3"/>
          <w:szCs w:val="24"/>
        </w:rPr>
      </w:pPr>
      <w:r w:rsidRPr="006C2B6B">
        <w:rPr>
          <w:spacing w:val="-3"/>
          <w:szCs w:val="24"/>
        </w:rPr>
        <w:t>16.</w:t>
      </w:r>
      <w:r w:rsidRPr="006C2B6B">
        <w:rPr>
          <w:spacing w:val="-3"/>
          <w:szCs w:val="24"/>
        </w:rPr>
        <w:tab/>
      </w:r>
      <w:r w:rsidRPr="006C2B6B" w:rsidR="00F00838">
        <w:rPr>
          <w:spacing w:val="-3"/>
          <w:szCs w:val="24"/>
        </w:rPr>
        <w:t>The data will not be published.</w:t>
      </w:r>
    </w:p>
    <w:p w:rsidR="00D477D5" w:rsidRPr="006C2B6B" w:rsidP="00D477D5" w14:paraId="7C4BD586" w14:textId="77777777">
      <w:pPr>
        <w:pStyle w:val="ParaNum0"/>
        <w:numPr>
          <w:ilvl w:val="0"/>
          <w:numId w:val="0"/>
        </w:numPr>
        <w:tabs>
          <w:tab w:val="left" w:pos="360"/>
        </w:tabs>
        <w:rPr>
          <w:szCs w:val="24"/>
        </w:rPr>
      </w:pPr>
    </w:p>
    <w:p w:rsidR="00D477D5" w:rsidRPr="006C2B6B" w:rsidP="00C9645D" w14:paraId="044B7E5A" w14:textId="7D1F1450">
      <w:pPr>
        <w:rPr>
          <w:spacing w:val="-3"/>
          <w:szCs w:val="24"/>
        </w:rPr>
      </w:pPr>
      <w:r w:rsidRPr="006C2B6B">
        <w:rPr>
          <w:spacing w:val="-3"/>
          <w:szCs w:val="24"/>
        </w:rPr>
        <w:t>17.</w:t>
      </w:r>
      <w:r w:rsidRPr="006C2B6B">
        <w:rPr>
          <w:spacing w:val="-3"/>
          <w:szCs w:val="24"/>
        </w:rPr>
        <w:tab/>
      </w:r>
      <w:r w:rsidRPr="006C2B6B" w:rsidR="00F00838">
        <w:rPr>
          <w:spacing w:val="-3"/>
          <w:szCs w:val="24"/>
        </w:rPr>
        <w:t xml:space="preserve">OMB approval of the expiration of the information collection will be displayed </w:t>
      </w:r>
      <w:r w:rsidR="00DE736B">
        <w:rPr>
          <w:spacing w:val="-3"/>
          <w:szCs w:val="24"/>
        </w:rPr>
        <w:t>on OMB’s website.</w:t>
      </w:r>
    </w:p>
    <w:p w:rsidR="00D477D5" w:rsidRPr="006C2B6B" w:rsidP="00D477D5" w14:paraId="5F3B0228" w14:textId="77777777">
      <w:pPr>
        <w:pStyle w:val="ParaNum0"/>
        <w:numPr>
          <w:ilvl w:val="0"/>
          <w:numId w:val="0"/>
        </w:numPr>
        <w:tabs>
          <w:tab w:val="left" w:pos="360"/>
        </w:tabs>
        <w:rPr>
          <w:szCs w:val="24"/>
        </w:rPr>
      </w:pPr>
    </w:p>
    <w:p w:rsidR="00BD2228" w:rsidRPr="006C2B6B" w:rsidP="00C9645D" w14:paraId="75CEB2F6" w14:textId="77777777">
      <w:pPr>
        <w:rPr>
          <w:spacing w:val="-3"/>
          <w:szCs w:val="24"/>
        </w:rPr>
      </w:pPr>
      <w:r w:rsidRPr="006C2B6B">
        <w:rPr>
          <w:spacing w:val="-3"/>
          <w:szCs w:val="24"/>
        </w:rPr>
        <w:t>18.</w:t>
      </w:r>
      <w:r w:rsidRPr="006C2B6B">
        <w:rPr>
          <w:spacing w:val="-3"/>
          <w:szCs w:val="24"/>
        </w:rPr>
        <w:tab/>
      </w:r>
      <w:r w:rsidR="00662030">
        <w:t xml:space="preserve">There are not </w:t>
      </w:r>
      <w:r w:rsidRPr="006C2B6B">
        <w:rPr>
          <w:spacing w:val="-3"/>
          <w:szCs w:val="24"/>
        </w:rPr>
        <w:t>exceptions to the Certification Statement.</w:t>
      </w:r>
    </w:p>
    <w:p w:rsidR="00D477D5" w:rsidRPr="006C2B6B" w:rsidP="00D90866" w14:paraId="15B47FEE" w14:textId="77777777">
      <w:pPr>
        <w:ind w:left="360"/>
        <w:rPr>
          <w:b/>
          <w:szCs w:val="24"/>
        </w:rPr>
      </w:pPr>
    </w:p>
    <w:p w:rsidR="00D90866" w:rsidRPr="006C2B6B" w:rsidP="00597CB4" w14:paraId="489C8AFA" w14:textId="77777777">
      <w:pPr>
        <w:numPr>
          <w:ilvl w:val="0"/>
          <w:numId w:val="1"/>
        </w:numPr>
        <w:ind w:left="0" w:firstLine="0"/>
        <w:rPr>
          <w:b/>
          <w:szCs w:val="24"/>
        </w:rPr>
      </w:pPr>
      <w:r w:rsidRPr="006C2B6B">
        <w:rPr>
          <w:b/>
          <w:szCs w:val="24"/>
        </w:rPr>
        <w:t>Collections of Information Employing Statistical Methods</w:t>
      </w:r>
      <w:r w:rsidRPr="006C2B6B" w:rsidR="00C77CA8">
        <w:rPr>
          <w:b/>
          <w:szCs w:val="24"/>
        </w:rPr>
        <w:t>:</w:t>
      </w:r>
    </w:p>
    <w:p w:rsidR="00D90866" w:rsidRPr="006C2B6B" w:rsidP="00D90866" w14:paraId="388C7788" w14:textId="77777777">
      <w:pPr>
        <w:ind w:left="360"/>
        <w:rPr>
          <w:szCs w:val="24"/>
        </w:rPr>
      </w:pPr>
    </w:p>
    <w:p w:rsidR="00D90866" w:rsidP="00597CB4" w14:paraId="7FD266A8" w14:textId="77777777">
      <w:pPr>
        <w:rPr>
          <w:spacing w:val="-3"/>
          <w:szCs w:val="24"/>
        </w:rPr>
      </w:pPr>
      <w:r w:rsidRPr="006C2B6B">
        <w:rPr>
          <w:spacing w:val="-3"/>
          <w:szCs w:val="24"/>
        </w:rPr>
        <w:t>The Commission does not anticipate that the collection of information will employ statistical</w:t>
      </w:r>
      <w:r w:rsidRPr="00C9645D">
        <w:rPr>
          <w:spacing w:val="-3"/>
          <w:szCs w:val="24"/>
        </w:rPr>
        <w:t xml:space="preserve"> methods.</w:t>
      </w:r>
    </w:p>
    <w:sectPr w:rsidSect="0065679B">
      <w:headerReference w:type="default" r:id="rId5"/>
      <w:footerReference w:type="even" r:id="rId6"/>
      <w:footerReference w:type="default" r:id="rI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21C" w:rsidP="00E92E63" w14:paraId="1B56AB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621C" w14:paraId="66EFDE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21C" w:rsidRPr="00E92E63" w:rsidP="00E92E63" w14:paraId="544289CE" w14:textId="77777777">
    <w:pPr>
      <w:pStyle w:val="Footer"/>
      <w:framePr w:wrap="around" w:vAnchor="text" w:hAnchor="margin" w:xAlign="center" w:y="1"/>
      <w:rPr>
        <w:rStyle w:val="PageNumber"/>
        <w:sz w:val="20"/>
      </w:rPr>
    </w:pPr>
    <w:r w:rsidRPr="00E92E63">
      <w:rPr>
        <w:rStyle w:val="PageNumber"/>
        <w:sz w:val="20"/>
      </w:rPr>
      <w:fldChar w:fldCharType="begin"/>
    </w:r>
    <w:r w:rsidRPr="00E92E63">
      <w:rPr>
        <w:rStyle w:val="PageNumber"/>
        <w:sz w:val="20"/>
      </w:rPr>
      <w:instrText xml:space="preserve">PAGE  </w:instrText>
    </w:r>
    <w:r w:rsidRPr="00E92E63">
      <w:rPr>
        <w:rStyle w:val="PageNumber"/>
        <w:sz w:val="20"/>
      </w:rPr>
      <w:fldChar w:fldCharType="separate"/>
    </w:r>
    <w:r w:rsidR="001630F5">
      <w:rPr>
        <w:rStyle w:val="PageNumber"/>
        <w:noProof/>
        <w:sz w:val="20"/>
      </w:rPr>
      <w:t>1</w:t>
    </w:r>
    <w:r w:rsidRPr="00E92E63">
      <w:rPr>
        <w:rStyle w:val="PageNumber"/>
        <w:sz w:val="20"/>
      </w:rPr>
      <w:fldChar w:fldCharType="end"/>
    </w:r>
  </w:p>
  <w:p w:rsidR="00FA621C" w14:paraId="17AD7F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63E6" w14:paraId="45B93B75" w14:textId="77777777">
      <w:r>
        <w:separator/>
      </w:r>
    </w:p>
  </w:footnote>
  <w:footnote w:type="continuationSeparator" w:id="1">
    <w:p w:rsidR="005D63E6" w14:paraId="7D9C5865" w14:textId="77777777">
      <w:r>
        <w:continuationSeparator/>
      </w:r>
    </w:p>
  </w:footnote>
  <w:footnote w:id="2">
    <w:p w:rsidR="00FA621C" w:rsidRPr="00E44213" w:rsidP="00E44213" w14:paraId="577E5CEB" w14:textId="77777777">
      <w:pPr>
        <w:pStyle w:val="FootnoteText"/>
      </w:pPr>
      <w:r>
        <w:rPr>
          <w:rStyle w:val="FootnoteReference"/>
        </w:rPr>
        <w:footnoteRef/>
      </w:r>
      <w:r>
        <w:t xml:space="preserve"> For purposes of the rule, a “Large Television Station</w:t>
      </w:r>
      <w:r w:rsidRPr="00E44213">
        <w:t xml:space="preserve">” </w:t>
      </w:r>
      <w:r>
        <w:t xml:space="preserve">is defined as one with </w:t>
      </w:r>
      <w:r w:rsidRPr="00E44213">
        <w:t>more than $14.0 million in annual receipts.</w:t>
      </w:r>
      <w:r>
        <w:t xml:space="preserve">  We estimate that about 92 of the 1,390 commercial stations would qualify as “large” under this definition.  </w:t>
      </w:r>
      <w:r w:rsidRPr="005F1A8E">
        <w:rPr>
          <w:i/>
        </w:rPr>
        <w:t>See</w:t>
      </w:r>
      <w:r>
        <w:t xml:space="preserve"> R&amp;O FRFA at para 10.</w:t>
      </w:r>
    </w:p>
  </w:footnote>
  <w:footnote w:id="3">
    <w:p w:rsidR="00FA621C" w:rsidRPr="005F1A8E" w:rsidP="00E44213" w14:paraId="25BF94BD" w14:textId="77777777">
      <w:pPr>
        <w:pStyle w:val="FootnoteText"/>
      </w:pPr>
      <w:r>
        <w:rPr>
          <w:rStyle w:val="FootnoteReference"/>
        </w:rPr>
        <w:footnoteRef/>
      </w:r>
      <w:r>
        <w:t xml:space="preserve"> For purposes of the rule, a “Very Large MVPD” is defined as one with more than 10 million subscribers nationwide and a “Large MVPD</w:t>
      </w:r>
      <w:r w:rsidRPr="00E44213">
        <w:t xml:space="preserve">” </w:t>
      </w:r>
      <w:r>
        <w:t xml:space="preserve">is defined as one </w:t>
      </w:r>
      <w:r w:rsidRPr="00E44213">
        <w:t>serving more than 4</w:t>
      </w:r>
      <w:r>
        <w:t xml:space="preserve">00,000 subscribers nationwide.  We estimate that about 15 of the 1,165 cable operators/MVPDs would qualify as “very large” or “large” under this definition.  </w:t>
      </w:r>
      <w:r w:rsidRPr="005F1A8E">
        <w:rPr>
          <w:i/>
        </w:rPr>
        <w:t>See</w:t>
      </w:r>
      <w:r>
        <w:t xml:space="preserve"> </w:t>
      </w:r>
      <w:hyperlink r:id="rId1" w:history="1">
        <w:r w:rsidRPr="00001334">
          <w:rPr>
            <w:rStyle w:val="Hyperlink"/>
          </w:rPr>
          <w:t>http://www.ncta.com/Statistics.aspx</w:t>
        </w:r>
      </w:hyperlink>
      <w:r>
        <w:t xml:space="preserve"> and </w:t>
      </w:r>
      <w:hyperlink r:id="rId2" w:history="1">
        <w:r w:rsidRPr="00001334">
          <w:rPr>
            <w:rStyle w:val="Hyperlink"/>
          </w:rPr>
          <w:t>http://www.ncta.com/Stats/TopMSOs.aspx</w:t>
        </w:r>
      </w:hyperlink>
      <w:r>
        <w:t xml:space="preserve">. </w:t>
      </w:r>
    </w:p>
  </w:footnote>
  <w:footnote w:id="4">
    <w:p w:rsidR="00FA621C" w:rsidP="009E025A" w14:paraId="41B9E9AE" w14:textId="77777777">
      <w:pPr>
        <w:pStyle w:val="FootnoteText"/>
      </w:pPr>
      <w:r>
        <w:rPr>
          <w:rStyle w:val="FootnoteReference"/>
        </w:rPr>
        <w:footnoteRef/>
      </w:r>
      <w:r>
        <w:t xml:space="preserve"> </w:t>
      </w:r>
      <w:r w:rsidRPr="005F1A8E">
        <w:rPr>
          <w:i/>
        </w:rPr>
        <w:t>See</w:t>
      </w:r>
      <w:r>
        <w:t xml:space="preserve"> R&amp;O at para 38.  We do not anticipate that a spot-check would require a person to monitor a channel in real-time.  A possible procedure could be: 1) connect a loudness meter conforming to the RP to the output of a set-top box, measure the long-term loudness of all the elements of the soundtrack and log the loudness of content in 1 second intervals over a 24-hour period; 2) review the logs (which could be done with an automated process) to identify any potential violations of the RP (</w:t>
      </w:r>
      <w:r>
        <w:rPr>
          <w:i/>
        </w:rPr>
        <w:t>i.e.</w:t>
      </w:r>
      <w:r>
        <w:t>, the average measured loudness exceeds the target loudness by more than 2 dB for the duration of a commercial); and 3) ascertain whether those potential violations occurred during a commercial (</w:t>
      </w:r>
      <w:r>
        <w:rPr>
          <w:i/>
        </w:rPr>
        <w:t>e.g.</w:t>
      </w:r>
      <w:r>
        <w:t>, by reviewing a recording of the monitored content or obtaining from the programmer a log of the commercials for the day that was monitored).</w:t>
      </w:r>
    </w:p>
  </w:footnote>
  <w:footnote w:id="5">
    <w:p w:rsidR="0053277B" w:rsidRPr="009D24E0" w:rsidP="0053277B" w14:paraId="14469BF2" w14:textId="77777777">
      <w:pPr>
        <w:pStyle w:val="FootnoteText"/>
        <w:rPr>
          <w:sz w:val="18"/>
          <w:szCs w:val="18"/>
        </w:rPr>
      </w:pPr>
      <w:r w:rsidRPr="009D24E0">
        <w:rPr>
          <w:sz w:val="18"/>
          <w:szCs w:val="18"/>
        </w:rPr>
        <w:footnoteRef/>
      </w:r>
      <w:r w:rsidRPr="009D24E0">
        <w:rPr>
          <w:sz w:val="18"/>
          <w:szCs w:val="18"/>
        </w:rPr>
        <w:t xml:space="preserve"> </w:t>
      </w:r>
      <w:r w:rsidRPr="00B3424B">
        <w:rPr>
          <w:i/>
          <w:sz w:val="18"/>
          <w:szCs w:val="18"/>
        </w:rPr>
        <w:t>See Implementation of the Commercial Advertisement Loudness Mitigation (CALM) Act</w:t>
      </w:r>
      <w:r w:rsidRPr="009D24E0">
        <w:rPr>
          <w:sz w:val="18"/>
          <w:szCs w:val="18"/>
        </w:rPr>
        <w:t>; MB Docket No. 11-</w:t>
      </w:r>
      <w:r>
        <w:rPr>
          <w:sz w:val="18"/>
          <w:szCs w:val="18"/>
        </w:rPr>
        <w:t>93</w:t>
      </w:r>
      <w:r w:rsidRPr="009D24E0">
        <w:rPr>
          <w:sz w:val="18"/>
          <w:szCs w:val="18"/>
        </w:rPr>
        <w:t xml:space="preserve">; </w:t>
      </w:r>
      <w:r>
        <w:rPr>
          <w:sz w:val="18"/>
          <w:szCs w:val="18"/>
        </w:rPr>
        <w:t>Report and Order</w:t>
      </w:r>
      <w:r w:rsidRPr="006B4ACF">
        <w:rPr>
          <w:sz w:val="18"/>
          <w:szCs w:val="18"/>
        </w:rPr>
        <w:t>, FCC 11-</w:t>
      </w:r>
      <w:r>
        <w:rPr>
          <w:sz w:val="18"/>
          <w:szCs w:val="18"/>
        </w:rPr>
        <w:t>182</w:t>
      </w:r>
      <w:r w:rsidRPr="006B4ACF">
        <w:rPr>
          <w:sz w:val="18"/>
          <w:szCs w:val="18"/>
        </w:rPr>
        <w:t xml:space="preserve"> (rel. </w:t>
      </w:r>
      <w:r>
        <w:rPr>
          <w:sz w:val="18"/>
          <w:szCs w:val="18"/>
        </w:rPr>
        <w:t>Dec.</w:t>
      </w:r>
      <w:r w:rsidRPr="006B4ACF">
        <w:rPr>
          <w:sz w:val="18"/>
          <w:szCs w:val="18"/>
        </w:rPr>
        <w:t xml:space="preserve"> </w:t>
      </w:r>
      <w:r>
        <w:rPr>
          <w:sz w:val="18"/>
          <w:szCs w:val="18"/>
        </w:rPr>
        <w:t>13</w:t>
      </w:r>
      <w:r w:rsidRPr="009D24E0">
        <w:rPr>
          <w:sz w:val="18"/>
          <w:szCs w:val="18"/>
        </w:rPr>
        <w:t>, 2011)</w:t>
      </w:r>
      <w:r>
        <w:rPr>
          <w:sz w:val="18"/>
          <w:szCs w:val="18"/>
        </w:rPr>
        <w:t xml:space="preserve"> (“Order”)</w:t>
      </w:r>
      <w:r w:rsidRPr="009D24E0">
        <w:rPr>
          <w:sz w:val="18"/>
          <w:szCs w:val="18"/>
        </w:rPr>
        <w:t>.</w:t>
      </w:r>
    </w:p>
  </w:footnote>
  <w:footnote w:id="6">
    <w:p w:rsidR="0053277B" w:rsidRPr="00B3424B" w:rsidP="0053277B" w14:paraId="73D93D52" w14:textId="77777777">
      <w:pPr>
        <w:pStyle w:val="FootnoteText"/>
        <w:rPr>
          <w:sz w:val="18"/>
          <w:szCs w:val="18"/>
        </w:rPr>
      </w:pPr>
      <w:r w:rsidRPr="00B3424B">
        <w:rPr>
          <w:sz w:val="18"/>
          <w:szCs w:val="18"/>
        </w:rPr>
        <w:footnoteRef/>
      </w:r>
      <w:r w:rsidRPr="00B3424B">
        <w:rPr>
          <w:sz w:val="18"/>
          <w:szCs w:val="18"/>
        </w:rPr>
        <w:t xml:space="preserve"> The Commercial Advertisement Loudness Mitigation (“CALM”) Act, Pub. L. No. 111-311, 124 Stat. 3294 (2010) (codified at 47 U.S.C. § 621).  The CALM Act was enacted on December 15, 2010 (S. 2847, 111th Cong.).</w:t>
      </w:r>
    </w:p>
  </w:footnote>
  <w:footnote w:id="7">
    <w:p w:rsidR="0053277B" w:rsidRPr="00A10AFB" w:rsidP="0053277B" w14:paraId="70126BA5" w14:textId="77777777">
      <w:pPr>
        <w:pStyle w:val="FootnoteText"/>
        <w:rPr>
          <w:sz w:val="18"/>
          <w:szCs w:val="18"/>
        </w:rPr>
      </w:pPr>
      <w:r w:rsidRPr="00A10AFB">
        <w:rPr>
          <w:sz w:val="18"/>
          <w:szCs w:val="18"/>
        </w:rPr>
        <w:footnoteRef/>
      </w:r>
      <w:r w:rsidRPr="00A10AFB">
        <w:rPr>
          <w:sz w:val="18"/>
          <w:szCs w:val="18"/>
        </w:rPr>
        <w:t xml:space="preserve"> </w:t>
      </w:r>
      <w:r>
        <w:rPr>
          <w:sz w:val="18"/>
          <w:szCs w:val="18"/>
        </w:rPr>
        <w:t xml:space="preserve">The </w:t>
      </w:r>
      <w:r w:rsidRPr="00CC1C14">
        <w:rPr>
          <w:sz w:val="18"/>
          <w:szCs w:val="18"/>
        </w:rPr>
        <w:t xml:space="preserve">Advanced Television Systems Committee (“ATSC”) </w:t>
      </w:r>
      <w:r w:rsidRPr="00A10AFB">
        <w:rPr>
          <w:sz w:val="18"/>
          <w:szCs w:val="18"/>
        </w:rPr>
        <w:t>is an international, non-profit organization developing voluntary standards for digital television.  The ATSC member organizations represent the broadcast, broadcast equipment, motion picture, consumer electronics, computer, cable, satellite, and semiconductor industries. ATSC creates and fosters implementation of voluntary Standards and Recommended Practices to advance digital television broadcasting and to facilitate interoperability with other media.  See http://www.atsc.org/aboutatsc.html.</w:t>
      </w:r>
    </w:p>
  </w:footnote>
  <w:footnote w:id="8">
    <w:p w:rsidR="0053277B" w:rsidRPr="00CC1C14" w:rsidP="0053277B" w14:paraId="0DB898B3" w14:textId="77777777">
      <w:pPr>
        <w:pStyle w:val="FootnoteText"/>
        <w:rPr>
          <w:sz w:val="18"/>
          <w:szCs w:val="18"/>
        </w:rPr>
      </w:pPr>
      <w:r w:rsidRPr="001D51C6">
        <w:rPr>
          <w:sz w:val="18"/>
          <w:szCs w:val="18"/>
        </w:rPr>
        <w:footnoteRef/>
      </w:r>
      <w:r w:rsidRPr="001D51C6">
        <w:rPr>
          <w:sz w:val="18"/>
          <w:szCs w:val="18"/>
        </w:rPr>
        <w:t xml:space="preserve"> </w:t>
      </w:r>
      <w:r w:rsidRPr="00F718AA">
        <w:rPr>
          <w:i/>
          <w:sz w:val="18"/>
          <w:szCs w:val="18"/>
        </w:rPr>
        <w:t>See</w:t>
      </w:r>
      <w:r w:rsidRPr="001D51C6">
        <w:rPr>
          <w:sz w:val="18"/>
          <w:szCs w:val="18"/>
        </w:rPr>
        <w:t xml:space="preserve"> ATSC </w:t>
      </w:r>
      <w:r w:rsidRPr="00CC1C14">
        <w:rPr>
          <w:sz w:val="18"/>
          <w:szCs w:val="18"/>
        </w:rPr>
        <w:t>A/85: “ATSC Recommended Practice: Techniques for Establishing and Maintaining Audio Loudness for Digital Television,” (July 25, 2011)</w:t>
      </w:r>
      <w:r>
        <w:rPr>
          <w:sz w:val="18"/>
          <w:szCs w:val="18"/>
        </w:rPr>
        <w:t xml:space="preserve">.  </w:t>
      </w:r>
      <w:r w:rsidRPr="00CC1C14">
        <w:rPr>
          <w:sz w:val="18"/>
          <w:szCs w:val="18"/>
        </w:rPr>
        <w:t xml:space="preserve">To obtain a copy of the RP, visit the ATSC website: </w:t>
      </w:r>
      <w:hyperlink r:id="rId3" w:history="1">
        <w:r w:rsidRPr="00A52E63">
          <w:rPr>
            <w:rStyle w:val="Hyperlink"/>
            <w:sz w:val="18"/>
            <w:szCs w:val="18"/>
          </w:rPr>
          <w:t>http://www.atsc.org/cms/standards/a_85-2011a.pdf</w:t>
        </w:r>
      </w:hyperlink>
      <w:r>
        <w:rPr>
          <w:sz w:val="18"/>
          <w:szCs w:val="18"/>
        </w:rPr>
        <w:t xml:space="preserve">. </w:t>
      </w:r>
    </w:p>
  </w:footnote>
  <w:footnote w:id="9">
    <w:p w:rsidR="0053277B" w:rsidRPr="00A36AF4" w:rsidP="0053277B" w14:paraId="7DC6B2F6" w14:textId="77777777">
      <w:pPr>
        <w:pStyle w:val="FootnoteText"/>
        <w:rPr>
          <w:sz w:val="18"/>
          <w:szCs w:val="18"/>
        </w:rPr>
      </w:pPr>
      <w:r w:rsidRPr="006E2A60">
        <w:footnoteRef/>
      </w:r>
      <w:r w:rsidRPr="00A36AF4">
        <w:rPr>
          <w:sz w:val="18"/>
          <w:szCs w:val="18"/>
        </w:rPr>
        <w:t xml:space="preserve"> </w:t>
      </w:r>
      <w:r w:rsidRPr="006E2A60">
        <w:rPr>
          <w:sz w:val="18"/>
          <w:szCs w:val="18"/>
        </w:rPr>
        <w:t xml:space="preserve">We refer herein to covered entities collectively as “stations/MVPDs” or “regulated entities.”  </w:t>
      </w:r>
      <w:r w:rsidRPr="00A36AF4">
        <w:rPr>
          <w:sz w:val="18"/>
          <w:szCs w:val="18"/>
        </w:rPr>
        <w:t>A multichannel video program distributor is an entity such as, but not limited to, a cable operator, a mu</w:t>
      </w:r>
      <w:r>
        <w:rPr>
          <w:sz w:val="18"/>
          <w:szCs w:val="18"/>
        </w:rPr>
        <w:t>lti</w:t>
      </w:r>
      <w:r w:rsidRPr="00A36AF4">
        <w:rPr>
          <w:sz w:val="18"/>
          <w:szCs w:val="18"/>
        </w:rPr>
        <w:t>channel multipoint distribution service, a direct broadcast satellite service, a television receive-only sa</w:t>
      </w:r>
      <w:r>
        <w:rPr>
          <w:sz w:val="18"/>
          <w:szCs w:val="18"/>
        </w:rPr>
        <w:t xml:space="preserve">tellite program distributor, a </w:t>
      </w:r>
      <w:r w:rsidRPr="00A36AF4">
        <w:rPr>
          <w:sz w:val="18"/>
          <w:szCs w:val="18"/>
        </w:rPr>
        <w:t>satellite master antenna television system operator, that make available for purchase, by subscribers or customers, multiple channels of video programming.</w:t>
      </w:r>
    </w:p>
  </w:footnote>
  <w:footnote w:id="10">
    <w:p w:rsidR="00FA621C" w:rsidP="00863E67" w14:paraId="4ACC8073" w14:textId="77777777">
      <w:pPr>
        <w:pStyle w:val="FootnoteText"/>
      </w:pPr>
      <w:r>
        <w:rPr>
          <w:rStyle w:val="FootnoteReference"/>
        </w:rPr>
        <w:footnoteRef/>
      </w:r>
      <w:r>
        <w:t xml:space="preserve"> Estimate assumes about 1,300 commercial TV stations and 700 cable/MVPD operators.</w:t>
      </w:r>
    </w:p>
  </w:footnote>
  <w:footnote w:id="11">
    <w:p w:rsidR="00FA621C" w:rsidP="00863E67" w14:paraId="2268AA00" w14:textId="77777777">
      <w:pPr>
        <w:pStyle w:val="FootnoteText"/>
      </w:pPr>
      <w:r w:rsidRPr="00FC537F">
        <w:rPr>
          <w:rStyle w:val="FootnoteReference"/>
        </w:rPr>
        <w:footnoteRef/>
      </w:r>
      <w:r w:rsidRPr="00FC537F">
        <w:t xml:space="preserve"> Estimate assumes programmers of about 750 different network channels will make certifications of compliance with ATSC A/85 RP available to stations/MVPDs and that programmers will make their one-time certifications over a three-year period (250 responses annually).</w:t>
      </w:r>
    </w:p>
  </w:footnote>
  <w:footnote w:id="12">
    <w:p w:rsidR="00FA621C" w:rsidP="0081362F" w14:paraId="244E7CE5" w14:textId="77777777">
      <w:pPr>
        <w:pStyle w:val="FootnoteText"/>
      </w:pPr>
      <w:r>
        <w:rPr>
          <w:rStyle w:val="FootnoteReference"/>
        </w:rPr>
        <w:footnoteRef/>
      </w:r>
      <w:r>
        <w:t xml:space="preserve"> Estimate assumes about 92 commercial TV stations and 15 cable/MVPD operators.</w:t>
      </w:r>
    </w:p>
  </w:footnote>
  <w:footnote w:id="13">
    <w:p w:rsidR="00FA621C" w:rsidRPr="00FD7373" w:rsidP="0081362F" w14:paraId="721A2E30" w14:textId="77777777">
      <w:pPr>
        <w:pStyle w:val="FootnoteText"/>
      </w:pPr>
      <w:r>
        <w:rPr>
          <w:rStyle w:val="FootnoteReference"/>
        </w:rPr>
        <w:footnoteRef/>
      </w:r>
      <w:r>
        <w:t xml:space="preserve"> </w:t>
      </w:r>
      <w:r w:rsidRPr="00FD7373">
        <w:t>138 responses (channel spot checks) + 800 responses (channel spot checks) + 1,100 responses (channel spot checks) = 2,038 responses.</w:t>
      </w:r>
    </w:p>
  </w:footnote>
  <w:footnote w:id="14">
    <w:p w:rsidR="00FA621C" w:rsidP="0081362F" w14:paraId="716ACED6" w14:textId="77777777">
      <w:pPr>
        <w:pStyle w:val="FootnoteText"/>
      </w:pPr>
      <w:r>
        <w:rPr>
          <w:rStyle w:val="FootnoteReference"/>
        </w:rPr>
        <w:footnoteRef/>
      </w:r>
      <w:r>
        <w:t xml:space="preserve"> Estimate assumes that about 25% (23 stations) of the 92 TV stations will have 1-2 additional multicast channels on which to perform annual spot checks (92+23+23=138 channels).</w:t>
      </w:r>
    </w:p>
  </w:footnote>
  <w:footnote w:id="15">
    <w:p w:rsidR="00FA621C" w:rsidP="0081362F" w14:paraId="298DDB0F" w14:textId="77777777">
      <w:pPr>
        <w:pStyle w:val="FootnoteText"/>
      </w:pPr>
      <w:r>
        <w:rPr>
          <w:rStyle w:val="FootnoteReference"/>
        </w:rPr>
        <w:footnoteRef/>
      </w:r>
      <w:r>
        <w:t xml:space="preserve"> Estimate assumes that the 4 very large MVPDs will have up to 200 non-certified, ad-supported channels</w:t>
      </w:r>
      <w:r w:rsidRPr="007E54F0">
        <w:t xml:space="preserve"> </w:t>
      </w:r>
      <w:r>
        <w:t>on which to perform annual spot checks (4 x 200 = 800 channels).</w:t>
      </w:r>
    </w:p>
  </w:footnote>
  <w:footnote w:id="16">
    <w:p w:rsidR="00FA621C" w:rsidP="0081362F" w14:paraId="421996E8" w14:textId="77777777">
      <w:pPr>
        <w:pStyle w:val="FootnoteText"/>
      </w:pPr>
      <w:r>
        <w:rPr>
          <w:rStyle w:val="FootnoteReference"/>
        </w:rPr>
        <w:footnoteRef/>
      </w:r>
      <w:r>
        <w:t xml:space="preserve"> Estimate assumes that the 11 large MVPDs will have up to 100 non-certified, ad-supported channels</w:t>
      </w:r>
      <w:r w:rsidRPr="007E54F0">
        <w:t xml:space="preserve"> </w:t>
      </w:r>
      <w:r>
        <w:t>on which to perform annual spot checks (11 x 100 = 1,100 channels).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21C" w:rsidRPr="006C2B6B" w:rsidP="00D90866" w14:paraId="674F5DC8" w14:textId="398C3416">
    <w:pPr>
      <w:rPr>
        <w:b/>
      </w:rPr>
    </w:pPr>
    <w:r>
      <w:rPr>
        <w:b/>
      </w:rPr>
      <w:t xml:space="preserve">OMB Control Number:  </w:t>
    </w:r>
    <w:r w:rsidRPr="00D90866">
      <w:rPr>
        <w:b/>
      </w:rPr>
      <w:t>3060-</w:t>
    </w:r>
    <w:r w:rsidR="00371DCE">
      <w:rPr>
        <w:b/>
      </w:rPr>
      <w:t>1171</w:t>
    </w:r>
    <w:r>
      <w:rPr>
        <w:b/>
      </w:rPr>
      <w:tab/>
    </w:r>
    <w:r>
      <w:rPr>
        <w:b/>
      </w:rPr>
      <w:tab/>
    </w:r>
    <w:r>
      <w:rPr>
        <w:b/>
      </w:rPr>
      <w:tab/>
    </w:r>
    <w:r>
      <w:rPr>
        <w:b/>
      </w:rPr>
      <w:tab/>
    </w:r>
    <w:r>
      <w:rPr>
        <w:b/>
      </w:rPr>
      <w:tab/>
    </w:r>
    <w:r>
      <w:rPr>
        <w:b/>
      </w:rPr>
      <w:tab/>
    </w:r>
    <w:r w:rsidR="00DE736B">
      <w:rPr>
        <w:b/>
      </w:rPr>
      <w:t>December</w:t>
    </w:r>
    <w:r w:rsidR="00900873">
      <w:rPr>
        <w:b/>
      </w:rPr>
      <w:t xml:space="preserve"> 202</w:t>
    </w:r>
    <w:r w:rsidR="00946496">
      <w:rPr>
        <w:b/>
      </w:rPr>
      <w:t>3</w:t>
    </w:r>
  </w:p>
  <w:p w:rsidR="00FA621C" w:rsidRPr="00670163" w:rsidP="00D90866" w14:paraId="6ACDAC94" w14:textId="77777777">
    <w:pPr>
      <w:rPr>
        <w:b/>
      </w:rPr>
    </w:pPr>
    <w:r w:rsidRPr="006C2B6B">
      <w:rPr>
        <w:b/>
      </w:rPr>
      <w:t>Title: Commercial Advertisement Loudness Mitigation (“CALM”) Act; 73.682(e) and</w:t>
    </w:r>
    <w:r>
      <w:rPr>
        <w:b/>
      </w:rPr>
      <w:t xml:space="preserve"> 76.607(a)</w:t>
    </w:r>
  </w:p>
  <w:p w:rsidR="00FA621C" w:rsidRPr="00732689" w14:paraId="6F628B52"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BA11F0E"/>
    <w:multiLevelType w:val="hybridMultilevel"/>
    <w:tmpl w:val="1CFEACA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384607BC"/>
    <w:multiLevelType w:val="hybridMultilevel"/>
    <w:tmpl w:val="CE8A34C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0"/>
        </w:tabs>
        <w:ind w:left="-54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lowerLetter"/>
      <w:lvlText w:val="(%3)"/>
      <w:lvlJc w:val="left"/>
      <w:pPr>
        <w:tabs>
          <w:tab w:val="num" w:pos="2355"/>
        </w:tabs>
        <w:ind w:left="2355" w:hanging="375"/>
      </w:pPr>
      <w:rPr>
        <w:rFonts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9BF1E45"/>
    <w:multiLevelType w:val="hybridMultilevel"/>
    <w:tmpl w:val="7556FFAE"/>
    <w:lvl w:ilvl="0">
      <w:start w:val="1"/>
      <w:numFmt w:val="decimal"/>
      <w:pStyle w:val="ParaNum0"/>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F3A5D19"/>
    <w:multiLevelType w:val="hybridMultilevel"/>
    <w:tmpl w:val="516AE78A"/>
    <w:lvl w:ilvl="0">
      <w:start w:val="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486C124E"/>
    <w:multiLevelType w:val="multilevel"/>
    <w:tmpl w:val="1CFEACA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4BA2479A"/>
    <w:multiLevelType w:val="multilevel"/>
    <w:tmpl w:val="F6B88C28"/>
    <w:lvl w:ilvl="0">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5FE06A33"/>
    <w:multiLevelType w:val="hybridMultilevel"/>
    <w:tmpl w:val="DCFE9D1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663D0657"/>
    <w:multiLevelType w:val="hybridMultilevel"/>
    <w:tmpl w:val="D92E5786"/>
    <w:lvl w:ilvl="0">
      <w:start w:val="2"/>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6C716A2C"/>
    <w:multiLevelType w:val="hybridMultilevel"/>
    <w:tmpl w:val="B016B13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71E70C41"/>
    <w:multiLevelType w:val="hybridMultilevel"/>
    <w:tmpl w:val="35927002"/>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AC51B41"/>
    <w:multiLevelType w:val="multilevel"/>
    <w:tmpl w:val="82E61F4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lowerLetter"/>
      <w:lvlText w:val="(%3)"/>
      <w:lvlJc w:val="left"/>
      <w:pPr>
        <w:tabs>
          <w:tab w:val="num" w:pos="2355"/>
        </w:tabs>
        <w:ind w:left="2355" w:hanging="37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0655773">
    <w:abstractNumId w:val="2"/>
  </w:num>
  <w:num w:numId="2" w16cid:durableId="636421758">
    <w:abstractNumId w:val="3"/>
  </w:num>
  <w:num w:numId="3" w16cid:durableId="325786435">
    <w:abstractNumId w:val="4"/>
  </w:num>
  <w:num w:numId="4" w16cid:durableId="707223398">
    <w:abstractNumId w:val="6"/>
  </w:num>
  <w:num w:numId="5" w16cid:durableId="708458609">
    <w:abstractNumId w:val="11"/>
  </w:num>
  <w:num w:numId="6" w16cid:durableId="492767705">
    <w:abstractNumId w:val="10"/>
  </w:num>
  <w:num w:numId="7" w16cid:durableId="4261225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719410">
    <w:abstractNumId w:val="1"/>
  </w:num>
  <w:num w:numId="9" w16cid:durableId="1694695958">
    <w:abstractNumId w:val="5"/>
  </w:num>
  <w:num w:numId="10" w16cid:durableId="1104691453">
    <w:abstractNumId w:val="7"/>
  </w:num>
  <w:num w:numId="11" w16cid:durableId="2023240923">
    <w:abstractNumId w:val="8"/>
  </w:num>
  <w:num w:numId="12" w16cid:durableId="1193805015">
    <w:abstractNumId w:val="0"/>
  </w:num>
  <w:num w:numId="13" w16cid:durableId="1626304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66"/>
    <w:rsid w:val="00001334"/>
    <w:rsid w:val="0001546A"/>
    <w:rsid w:val="0002030C"/>
    <w:rsid w:val="00024B95"/>
    <w:rsid w:val="00027739"/>
    <w:rsid w:val="000311B0"/>
    <w:rsid w:val="000334D6"/>
    <w:rsid w:val="0004565E"/>
    <w:rsid w:val="00046B81"/>
    <w:rsid w:val="000478ED"/>
    <w:rsid w:val="00050E72"/>
    <w:rsid w:val="00054871"/>
    <w:rsid w:val="000576D3"/>
    <w:rsid w:val="00057F6D"/>
    <w:rsid w:val="000605F7"/>
    <w:rsid w:val="00062994"/>
    <w:rsid w:val="00063808"/>
    <w:rsid w:val="00066AA4"/>
    <w:rsid w:val="0007043F"/>
    <w:rsid w:val="00072ADA"/>
    <w:rsid w:val="00073E9D"/>
    <w:rsid w:val="00077EAF"/>
    <w:rsid w:val="00085C34"/>
    <w:rsid w:val="00094B8B"/>
    <w:rsid w:val="00095099"/>
    <w:rsid w:val="000A2021"/>
    <w:rsid w:val="000A3AC7"/>
    <w:rsid w:val="000A6BE8"/>
    <w:rsid w:val="000B31C8"/>
    <w:rsid w:val="000B5027"/>
    <w:rsid w:val="000B7F3D"/>
    <w:rsid w:val="000C030B"/>
    <w:rsid w:val="000D0E4F"/>
    <w:rsid w:val="000D26A1"/>
    <w:rsid w:val="000D2872"/>
    <w:rsid w:val="000D29A5"/>
    <w:rsid w:val="000D3206"/>
    <w:rsid w:val="000D6E92"/>
    <w:rsid w:val="000D6ECB"/>
    <w:rsid w:val="000F0572"/>
    <w:rsid w:val="00103A0C"/>
    <w:rsid w:val="00104013"/>
    <w:rsid w:val="00112F44"/>
    <w:rsid w:val="001173B0"/>
    <w:rsid w:val="00123987"/>
    <w:rsid w:val="001241E6"/>
    <w:rsid w:val="00131B63"/>
    <w:rsid w:val="0013486F"/>
    <w:rsid w:val="00136416"/>
    <w:rsid w:val="00145BFD"/>
    <w:rsid w:val="001630F5"/>
    <w:rsid w:val="00175439"/>
    <w:rsid w:val="0018405E"/>
    <w:rsid w:val="00193429"/>
    <w:rsid w:val="00196B59"/>
    <w:rsid w:val="001A238A"/>
    <w:rsid w:val="001A262C"/>
    <w:rsid w:val="001A3390"/>
    <w:rsid w:val="001B033E"/>
    <w:rsid w:val="001C005B"/>
    <w:rsid w:val="001C1FAD"/>
    <w:rsid w:val="001C400B"/>
    <w:rsid w:val="001C4E21"/>
    <w:rsid w:val="001C5DED"/>
    <w:rsid w:val="001C6DD4"/>
    <w:rsid w:val="001D434C"/>
    <w:rsid w:val="001D51C6"/>
    <w:rsid w:val="001D534F"/>
    <w:rsid w:val="001D6171"/>
    <w:rsid w:val="001D6C8B"/>
    <w:rsid w:val="001E6FE0"/>
    <w:rsid w:val="001E795E"/>
    <w:rsid w:val="001F2A22"/>
    <w:rsid w:val="001F2DBB"/>
    <w:rsid w:val="001F7293"/>
    <w:rsid w:val="001F7C84"/>
    <w:rsid w:val="002216BF"/>
    <w:rsid w:val="002415CB"/>
    <w:rsid w:val="00242A3B"/>
    <w:rsid w:val="002455A3"/>
    <w:rsid w:val="0025665D"/>
    <w:rsid w:val="00260959"/>
    <w:rsid w:val="00262D2B"/>
    <w:rsid w:val="002650D3"/>
    <w:rsid w:val="00266812"/>
    <w:rsid w:val="00267E9F"/>
    <w:rsid w:val="00270890"/>
    <w:rsid w:val="00287B64"/>
    <w:rsid w:val="002937B7"/>
    <w:rsid w:val="00295306"/>
    <w:rsid w:val="002B1A7C"/>
    <w:rsid w:val="002B1CB3"/>
    <w:rsid w:val="002B25F0"/>
    <w:rsid w:val="002B5864"/>
    <w:rsid w:val="002B75CD"/>
    <w:rsid w:val="002D55DD"/>
    <w:rsid w:val="002D59B0"/>
    <w:rsid w:val="002E2204"/>
    <w:rsid w:val="002F2AAE"/>
    <w:rsid w:val="002F4693"/>
    <w:rsid w:val="00303E7D"/>
    <w:rsid w:val="003076CF"/>
    <w:rsid w:val="003201FB"/>
    <w:rsid w:val="00331B46"/>
    <w:rsid w:val="003340ED"/>
    <w:rsid w:val="003354ED"/>
    <w:rsid w:val="00337B40"/>
    <w:rsid w:val="00342802"/>
    <w:rsid w:val="00342EF1"/>
    <w:rsid w:val="003518B4"/>
    <w:rsid w:val="003543F0"/>
    <w:rsid w:val="00356F50"/>
    <w:rsid w:val="00364C5E"/>
    <w:rsid w:val="00364EEE"/>
    <w:rsid w:val="003709B9"/>
    <w:rsid w:val="00371DCE"/>
    <w:rsid w:val="00372437"/>
    <w:rsid w:val="0037684B"/>
    <w:rsid w:val="003814D9"/>
    <w:rsid w:val="00383BB8"/>
    <w:rsid w:val="00392F28"/>
    <w:rsid w:val="00393FC7"/>
    <w:rsid w:val="003A08CC"/>
    <w:rsid w:val="003A1514"/>
    <w:rsid w:val="003A29F4"/>
    <w:rsid w:val="003A2FE0"/>
    <w:rsid w:val="003B169F"/>
    <w:rsid w:val="003B51F6"/>
    <w:rsid w:val="003B61D3"/>
    <w:rsid w:val="003C0F45"/>
    <w:rsid w:val="003C75CB"/>
    <w:rsid w:val="003D09D7"/>
    <w:rsid w:val="003D439F"/>
    <w:rsid w:val="003E6578"/>
    <w:rsid w:val="00401F86"/>
    <w:rsid w:val="00407811"/>
    <w:rsid w:val="00407C8C"/>
    <w:rsid w:val="004124A1"/>
    <w:rsid w:val="00421FC7"/>
    <w:rsid w:val="004266CB"/>
    <w:rsid w:val="00426F5A"/>
    <w:rsid w:val="00427E35"/>
    <w:rsid w:val="004320F2"/>
    <w:rsid w:val="00432DAF"/>
    <w:rsid w:val="004507AA"/>
    <w:rsid w:val="004512EF"/>
    <w:rsid w:val="0045654E"/>
    <w:rsid w:val="00475958"/>
    <w:rsid w:val="00481503"/>
    <w:rsid w:val="00484752"/>
    <w:rsid w:val="00487A7C"/>
    <w:rsid w:val="00490493"/>
    <w:rsid w:val="00492424"/>
    <w:rsid w:val="00493546"/>
    <w:rsid w:val="0049378B"/>
    <w:rsid w:val="00495BB4"/>
    <w:rsid w:val="0049791E"/>
    <w:rsid w:val="004B19CE"/>
    <w:rsid w:val="004B2EB1"/>
    <w:rsid w:val="004B3503"/>
    <w:rsid w:val="004C170C"/>
    <w:rsid w:val="004C343D"/>
    <w:rsid w:val="004D2EC2"/>
    <w:rsid w:val="004D373D"/>
    <w:rsid w:val="004D6480"/>
    <w:rsid w:val="004D6989"/>
    <w:rsid w:val="004E2CFA"/>
    <w:rsid w:val="004E3D31"/>
    <w:rsid w:val="004E3D47"/>
    <w:rsid w:val="004E51FA"/>
    <w:rsid w:val="0051558D"/>
    <w:rsid w:val="0051579B"/>
    <w:rsid w:val="005166D2"/>
    <w:rsid w:val="00522821"/>
    <w:rsid w:val="00523DBB"/>
    <w:rsid w:val="005265F5"/>
    <w:rsid w:val="00527A52"/>
    <w:rsid w:val="0053277B"/>
    <w:rsid w:val="005371BA"/>
    <w:rsid w:val="005419E0"/>
    <w:rsid w:val="00542984"/>
    <w:rsid w:val="00555516"/>
    <w:rsid w:val="00563034"/>
    <w:rsid w:val="0056693D"/>
    <w:rsid w:val="0057019A"/>
    <w:rsid w:val="00571AB1"/>
    <w:rsid w:val="00575C55"/>
    <w:rsid w:val="005846FB"/>
    <w:rsid w:val="00587066"/>
    <w:rsid w:val="00590D2C"/>
    <w:rsid w:val="005934D6"/>
    <w:rsid w:val="00597CB4"/>
    <w:rsid w:val="005A4C07"/>
    <w:rsid w:val="005A6E44"/>
    <w:rsid w:val="005A7BA6"/>
    <w:rsid w:val="005B43F3"/>
    <w:rsid w:val="005B7DC4"/>
    <w:rsid w:val="005D05BB"/>
    <w:rsid w:val="005D3FD4"/>
    <w:rsid w:val="005D63E6"/>
    <w:rsid w:val="005D7A7D"/>
    <w:rsid w:val="005E1A06"/>
    <w:rsid w:val="005E4360"/>
    <w:rsid w:val="005E54BA"/>
    <w:rsid w:val="005E6BFE"/>
    <w:rsid w:val="005F107D"/>
    <w:rsid w:val="005F1A8E"/>
    <w:rsid w:val="005F34CA"/>
    <w:rsid w:val="005F36C6"/>
    <w:rsid w:val="005F3CBA"/>
    <w:rsid w:val="0060319A"/>
    <w:rsid w:val="00604B6E"/>
    <w:rsid w:val="0062442A"/>
    <w:rsid w:val="00625D97"/>
    <w:rsid w:val="006409D5"/>
    <w:rsid w:val="00643B0B"/>
    <w:rsid w:val="00645E15"/>
    <w:rsid w:val="00646942"/>
    <w:rsid w:val="00646AC5"/>
    <w:rsid w:val="00647BB7"/>
    <w:rsid w:val="006549FD"/>
    <w:rsid w:val="0065679B"/>
    <w:rsid w:val="006605BC"/>
    <w:rsid w:val="00662030"/>
    <w:rsid w:val="00664E8C"/>
    <w:rsid w:val="00670163"/>
    <w:rsid w:val="00670F73"/>
    <w:rsid w:val="006821D4"/>
    <w:rsid w:val="00690D1B"/>
    <w:rsid w:val="006948FF"/>
    <w:rsid w:val="006953A2"/>
    <w:rsid w:val="00696EBA"/>
    <w:rsid w:val="006A19EF"/>
    <w:rsid w:val="006A35FE"/>
    <w:rsid w:val="006A3CE2"/>
    <w:rsid w:val="006B4ACF"/>
    <w:rsid w:val="006B7481"/>
    <w:rsid w:val="006C160E"/>
    <w:rsid w:val="006C2B6B"/>
    <w:rsid w:val="006C3404"/>
    <w:rsid w:val="006C35B5"/>
    <w:rsid w:val="006C5629"/>
    <w:rsid w:val="006C7253"/>
    <w:rsid w:val="006D0345"/>
    <w:rsid w:val="006D2C21"/>
    <w:rsid w:val="006D5B7B"/>
    <w:rsid w:val="006E0E3C"/>
    <w:rsid w:val="006E1C9D"/>
    <w:rsid w:val="006E2052"/>
    <w:rsid w:val="006E2A60"/>
    <w:rsid w:val="006E35D6"/>
    <w:rsid w:val="006F2174"/>
    <w:rsid w:val="006F2C4B"/>
    <w:rsid w:val="0071316A"/>
    <w:rsid w:val="007132F4"/>
    <w:rsid w:val="00715709"/>
    <w:rsid w:val="00723917"/>
    <w:rsid w:val="007300E2"/>
    <w:rsid w:val="00732689"/>
    <w:rsid w:val="00747980"/>
    <w:rsid w:val="007556AB"/>
    <w:rsid w:val="007579EE"/>
    <w:rsid w:val="0076151C"/>
    <w:rsid w:val="00762DB0"/>
    <w:rsid w:val="00763BDD"/>
    <w:rsid w:val="00764C5A"/>
    <w:rsid w:val="00765FD2"/>
    <w:rsid w:val="007760B4"/>
    <w:rsid w:val="00777822"/>
    <w:rsid w:val="00786A63"/>
    <w:rsid w:val="00793860"/>
    <w:rsid w:val="007943F7"/>
    <w:rsid w:val="0079578E"/>
    <w:rsid w:val="007A2E39"/>
    <w:rsid w:val="007B1BE9"/>
    <w:rsid w:val="007C4072"/>
    <w:rsid w:val="007D6A89"/>
    <w:rsid w:val="007D7609"/>
    <w:rsid w:val="007E31CD"/>
    <w:rsid w:val="007E54F0"/>
    <w:rsid w:val="007E7839"/>
    <w:rsid w:val="007F123F"/>
    <w:rsid w:val="007F5710"/>
    <w:rsid w:val="00804013"/>
    <w:rsid w:val="00807351"/>
    <w:rsid w:val="00810C76"/>
    <w:rsid w:val="00810F6C"/>
    <w:rsid w:val="00812C89"/>
    <w:rsid w:val="0081362F"/>
    <w:rsid w:val="00817663"/>
    <w:rsid w:val="00822BA8"/>
    <w:rsid w:val="0083384D"/>
    <w:rsid w:val="00833C9E"/>
    <w:rsid w:val="00837C8E"/>
    <w:rsid w:val="0084301B"/>
    <w:rsid w:val="00856DCD"/>
    <w:rsid w:val="00861451"/>
    <w:rsid w:val="00863E67"/>
    <w:rsid w:val="00864193"/>
    <w:rsid w:val="0087078B"/>
    <w:rsid w:val="00882B79"/>
    <w:rsid w:val="00883552"/>
    <w:rsid w:val="008911BC"/>
    <w:rsid w:val="0089155A"/>
    <w:rsid w:val="00893C6B"/>
    <w:rsid w:val="008B2C4E"/>
    <w:rsid w:val="008B412B"/>
    <w:rsid w:val="008C111C"/>
    <w:rsid w:val="008C1D7A"/>
    <w:rsid w:val="008C2E35"/>
    <w:rsid w:val="008C55F5"/>
    <w:rsid w:val="008D0E1E"/>
    <w:rsid w:val="008D204D"/>
    <w:rsid w:val="008E09C1"/>
    <w:rsid w:val="008E22D5"/>
    <w:rsid w:val="008E2520"/>
    <w:rsid w:val="008E55AC"/>
    <w:rsid w:val="008E6799"/>
    <w:rsid w:val="008F0D70"/>
    <w:rsid w:val="008F1B02"/>
    <w:rsid w:val="008F69C5"/>
    <w:rsid w:val="00900873"/>
    <w:rsid w:val="00902606"/>
    <w:rsid w:val="0090356A"/>
    <w:rsid w:val="00905826"/>
    <w:rsid w:val="00906A8B"/>
    <w:rsid w:val="009104E4"/>
    <w:rsid w:val="00910B76"/>
    <w:rsid w:val="00910DE3"/>
    <w:rsid w:val="00914BFD"/>
    <w:rsid w:val="009169C8"/>
    <w:rsid w:val="00921410"/>
    <w:rsid w:val="00923979"/>
    <w:rsid w:val="00924EC8"/>
    <w:rsid w:val="00926A34"/>
    <w:rsid w:val="00946496"/>
    <w:rsid w:val="00950C47"/>
    <w:rsid w:val="009530A1"/>
    <w:rsid w:val="00953DBA"/>
    <w:rsid w:val="00957FB6"/>
    <w:rsid w:val="00960724"/>
    <w:rsid w:val="0097099B"/>
    <w:rsid w:val="00971DFF"/>
    <w:rsid w:val="00971ECC"/>
    <w:rsid w:val="009763F2"/>
    <w:rsid w:val="00981EB9"/>
    <w:rsid w:val="0098358E"/>
    <w:rsid w:val="00984D78"/>
    <w:rsid w:val="00986E7E"/>
    <w:rsid w:val="00991DD3"/>
    <w:rsid w:val="00992E2A"/>
    <w:rsid w:val="00995A11"/>
    <w:rsid w:val="00996B9D"/>
    <w:rsid w:val="009A7A7D"/>
    <w:rsid w:val="009B0AA9"/>
    <w:rsid w:val="009B48A3"/>
    <w:rsid w:val="009C2B58"/>
    <w:rsid w:val="009C5FCD"/>
    <w:rsid w:val="009D24E0"/>
    <w:rsid w:val="009E025A"/>
    <w:rsid w:val="00A03942"/>
    <w:rsid w:val="00A06F36"/>
    <w:rsid w:val="00A10AFB"/>
    <w:rsid w:val="00A14163"/>
    <w:rsid w:val="00A22290"/>
    <w:rsid w:val="00A35674"/>
    <w:rsid w:val="00A36AF4"/>
    <w:rsid w:val="00A372CA"/>
    <w:rsid w:val="00A475FE"/>
    <w:rsid w:val="00A52E63"/>
    <w:rsid w:val="00A5411E"/>
    <w:rsid w:val="00A54855"/>
    <w:rsid w:val="00A5682A"/>
    <w:rsid w:val="00A60431"/>
    <w:rsid w:val="00A61748"/>
    <w:rsid w:val="00A64A37"/>
    <w:rsid w:val="00A71320"/>
    <w:rsid w:val="00A71B45"/>
    <w:rsid w:val="00A90206"/>
    <w:rsid w:val="00AA3482"/>
    <w:rsid w:val="00AA3594"/>
    <w:rsid w:val="00AA44E1"/>
    <w:rsid w:val="00AB09F8"/>
    <w:rsid w:val="00AB1AE8"/>
    <w:rsid w:val="00AB4EC1"/>
    <w:rsid w:val="00AB5226"/>
    <w:rsid w:val="00AC4447"/>
    <w:rsid w:val="00AD0201"/>
    <w:rsid w:val="00AD355D"/>
    <w:rsid w:val="00AD6E92"/>
    <w:rsid w:val="00AD6F24"/>
    <w:rsid w:val="00AF0A8E"/>
    <w:rsid w:val="00B113C0"/>
    <w:rsid w:val="00B13896"/>
    <w:rsid w:val="00B13F08"/>
    <w:rsid w:val="00B144A9"/>
    <w:rsid w:val="00B15E76"/>
    <w:rsid w:val="00B216A8"/>
    <w:rsid w:val="00B23B88"/>
    <w:rsid w:val="00B258E7"/>
    <w:rsid w:val="00B27D36"/>
    <w:rsid w:val="00B3424B"/>
    <w:rsid w:val="00B37C09"/>
    <w:rsid w:val="00B42C7B"/>
    <w:rsid w:val="00B46808"/>
    <w:rsid w:val="00B46BFC"/>
    <w:rsid w:val="00B53E1D"/>
    <w:rsid w:val="00B55A8E"/>
    <w:rsid w:val="00B61CB2"/>
    <w:rsid w:val="00B65A6D"/>
    <w:rsid w:val="00B670D9"/>
    <w:rsid w:val="00B708CE"/>
    <w:rsid w:val="00B73367"/>
    <w:rsid w:val="00B73B6C"/>
    <w:rsid w:val="00B929E0"/>
    <w:rsid w:val="00B95487"/>
    <w:rsid w:val="00B970E0"/>
    <w:rsid w:val="00BA2078"/>
    <w:rsid w:val="00BA7990"/>
    <w:rsid w:val="00BB047A"/>
    <w:rsid w:val="00BB2CEE"/>
    <w:rsid w:val="00BB5CA5"/>
    <w:rsid w:val="00BC1A5A"/>
    <w:rsid w:val="00BC71C5"/>
    <w:rsid w:val="00BD2228"/>
    <w:rsid w:val="00BE27E2"/>
    <w:rsid w:val="00BE634F"/>
    <w:rsid w:val="00BF04CE"/>
    <w:rsid w:val="00BF27AD"/>
    <w:rsid w:val="00BF4D31"/>
    <w:rsid w:val="00C0230A"/>
    <w:rsid w:val="00C0759B"/>
    <w:rsid w:val="00C13591"/>
    <w:rsid w:val="00C14664"/>
    <w:rsid w:val="00C25D6E"/>
    <w:rsid w:val="00C25E21"/>
    <w:rsid w:val="00C36849"/>
    <w:rsid w:val="00C42DBC"/>
    <w:rsid w:val="00C452B9"/>
    <w:rsid w:val="00C4713E"/>
    <w:rsid w:val="00C505F0"/>
    <w:rsid w:val="00C53E50"/>
    <w:rsid w:val="00C56051"/>
    <w:rsid w:val="00C61364"/>
    <w:rsid w:val="00C63EC6"/>
    <w:rsid w:val="00C77CA8"/>
    <w:rsid w:val="00C82E96"/>
    <w:rsid w:val="00C83D44"/>
    <w:rsid w:val="00C9645D"/>
    <w:rsid w:val="00C9659C"/>
    <w:rsid w:val="00C97843"/>
    <w:rsid w:val="00CA3C9C"/>
    <w:rsid w:val="00CA7BCA"/>
    <w:rsid w:val="00CC0DE1"/>
    <w:rsid w:val="00CC1C14"/>
    <w:rsid w:val="00CC3943"/>
    <w:rsid w:val="00CD64A0"/>
    <w:rsid w:val="00CE0F84"/>
    <w:rsid w:val="00CE138C"/>
    <w:rsid w:val="00CE5A40"/>
    <w:rsid w:val="00D015FC"/>
    <w:rsid w:val="00D10394"/>
    <w:rsid w:val="00D13BAD"/>
    <w:rsid w:val="00D175C9"/>
    <w:rsid w:val="00D17B9A"/>
    <w:rsid w:val="00D17EF9"/>
    <w:rsid w:val="00D21B45"/>
    <w:rsid w:val="00D2337B"/>
    <w:rsid w:val="00D30FB4"/>
    <w:rsid w:val="00D433AF"/>
    <w:rsid w:val="00D477D5"/>
    <w:rsid w:val="00D5457E"/>
    <w:rsid w:val="00D60C6D"/>
    <w:rsid w:val="00D74B73"/>
    <w:rsid w:val="00D81595"/>
    <w:rsid w:val="00D83044"/>
    <w:rsid w:val="00D90866"/>
    <w:rsid w:val="00D90E20"/>
    <w:rsid w:val="00D93011"/>
    <w:rsid w:val="00D9385E"/>
    <w:rsid w:val="00D9770F"/>
    <w:rsid w:val="00DA09C3"/>
    <w:rsid w:val="00DA713A"/>
    <w:rsid w:val="00DB0C79"/>
    <w:rsid w:val="00DB2E15"/>
    <w:rsid w:val="00DB3D15"/>
    <w:rsid w:val="00DB447E"/>
    <w:rsid w:val="00DC0A98"/>
    <w:rsid w:val="00DC1052"/>
    <w:rsid w:val="00DC54D5"/>
    <w:rsid w:val="00DC7F80"/>
    <w:rsid w:val="00DD2371"/>
    <w:rsid w:val="00DE6593"/>
    <w:rsid w:val="00DE736B"/>
    <w:rsid w:val="00DE7CC6"/>
    <w:rsid w:val="00DF00BC"/>
    <w:rsid w:val="00DF051A"/>
    <w:rsid w:val="00E02068"/>
    <w:rsid w:val="00E0436D"/>
    <w:rsid w:val="00E05149"/>
    <w:rsid w:val="00E05A61"/>
    <w:rsid w:val="00E100F9"/>
    <w:rsid w:val="00E101DF"/>
    <w:rsid w:val="00E10469"/>
    <w:rsid w:val="00E10BB2"/>
    <w:rsid w:val="00E20E17"/>
    <w:rsid w:val="00E23B53"/>
    <w:rsid w:val="00E26D63"/>
    <w:rsid w:val="00E27EE6"/>
    <w:rsid w:val="00E36034"/>
    <w:rsid w:val="00E44213"/>
    <w:rsid w:val="00E459F0"/>
    <w:rsid w:val="00E5632D"/>
    <w:rsid w:val="00E56618"/>
    <w:rsid w:val="00E6607D"/>
    <w:rsid w:val="00E72BBB"/>
    <w:rsid w:val="00E72F60"/>
    <w:rsid w:val="00E736D2"/>
    <w:rsid w:val="00E74928"/>
    <w:rsid w:val="00E77E5F"/>
    <w:rsid w:val="00E855CF"/>
    <w:rsid w:val="00E85C40"/>
    <w:rsid w:val="00E92E63"/>
    <w:rsid w:val="00E974FF"/>
    <w:rsid w:val="00EA3B5A"/>
    <w:rsid w:val="00EA3D54"/>
    <w:rsid w:val="00EA6D60"/>
    <w:rsid w:val="00EB6A24"/>
    <w:rsid w:val="00ED2D44"/>
    <w:rsid w:val="00ED4B3E"/>
    <w:rsid w:val="00ED650B"/>
    <w:rsid w:val="00ED6D67"/>
    <w:rsid w:val="00EE2EC1"/>
    <w:rsid w:val="00EE69DB"/>
    <w:rsid w:val="00EE7E4B"/>
    <w:rsid w:val="00EF054E"/>
    <w:rsid w:val="00F00838"/>
    <w:rsid w:val="00F00F3D"/>
    <w:rsid w:val="00F04A92"/>
    <w:rsid w:val="00F078CF"/>
    <w:rsid w:val="00F12497"/>
    <w:rsid w:val="00F158EF"/>
    <w:rsid w:val="00F17FD6"/>
    <w:rsid w:val="00F22D8C"/>
    <w:rsid w:val="00F259AE"/>
    <w:rsid w:val="00F366C8"/>
    <w:rsid w:val="00F50533"/>
    <w:rsid w:val="00F558BB"/>
    <w:rsid w:val="00F718AA"/>
    <w:rsid w:val="00F7565A"/>
    <w:rsid w:val="00F84248"/>
    <w:rsid w:val="00F84CBC"/>
    <w:rsid w:val="00FA621C"/>
    <w:rsid w:val="00FA746C"/>
    <w:rsid w:val="00FB442F"/>
    <w:rsid w:val="00FC07FE"/>
    <w:rsid w:val="00FC1D1D"/>
    <w:rsid w:val="00FC3AB7"/>
    <w:rsid w:val="00FC537F"/>
    <w:rsid w:val="00FC6624"/>
    <w:rsid w:val="00FC6679"/>
    <w:rsid w:val="00FD1702"/>
    <w:rsid w:val="00FD7373"/>
    <w:rsid w:val="00FD77F1"/>
    <w:rsid w:val="00FE19FD"/>
    <w:rsid w:val="00FE485E"/>
    <w:rsid w:val="00FE7B53"/>
    <w:rsid w:val="00FF5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FCA601"/>
  <w15:chartTrackingRefBased/>
  <w15:docId w15:val="{A426BF1E-0073-4DDD-8C14-957EBA9B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866"/>
    <w:pPr>
      <w:tabs>
        <w:tab w:val="center" w:pos="4320"/>
        <w:tab w:val="right" w:pos="8640"/>
      </w:tabs>
    </w:pPr>
  </w:style>
  <w:style w:type="paragraph" w:styleId="Footer">
    <w:name w:val="footer"/>
    <w:basedOn w:val="Normal"/>
    <w:rsid w:val="00D90866"/>
    <w:pPr>
      <w:tabs>
        <w:tab w:val="center" w:pos="4320"/>
        <w:tab w:val="right" w:pos="8640"/>
      </w:tabs>
    </w:pPr>
  </w:style>
  <w:style w:type="paragraph" w:customStyle="1" w:styleId="paranum">
    <w:name w:val="para num"/>
    <w:basedOn w:val="Normal"/>
    <w:rsid w:val="00D90866"/>
  </w:style>
  <w:style w:type="paragraph" w:customStyle="1" w:styleId="ParaNum0">
    <w:name w:val="ParaNum"/>
    <w:basedOn w:val="Normal"/>
    <w:link w:val="ParaNumChar1"/>
    <w:rsid w:val="00D90866"/>
    <w:pPr>
      <w:numPr>
        <w:numId w:val="2"/>
      </w:numPr>
    </w:pPr>
  </w:style>
  <w:style w:type="paragraph" w:styleId="FootnoteText">
    <w:name w:val="footnote text"/>
    <w:aliases w:val="Footnote Text Char,Footnote Text Char Char Char,Footnote Text Char Char Char Char Char1,Footnote Text Char1 Char,Footnote Text Char1 Char Char Char1,Footnote Text Char2 Char,Footnote Text Char2 Char Char Char Char Char1,Footnote Text Char3"/>
    <w:basedOn w:val="Normal"/>
    <w:link w:val="FootnoteTextChar1"/>
    <w:semiHidden/>
    <w:rsid w:val="005F34CA"/>
    <w:rPr>
      <w:sz w:val="20"/>
    </w:rPr>
  </w:style>
  <w:style w:type="character" w:styleId="FootnoteReference">
    <w:name w:val="footnote reference"/>
    <w:aliases w:val="(NECG) Footnote Reference,Appel note de bas de p,FR,Footnote Reference/,Style 12,Style 124,Style 13,Style 17,Style 3,Style 6,fr,o"/>
    <w:semiHidden/>
    <w:rsid w:val="005F34CA"/>
    <w:rPr>
      <w:vertAlign w:val="superscript"/>
    </w:rPr>
  </w:style>
  <w:style w:type="character" w:styleId="PageNumber">
    <w:name w:val="page number"/>
    <w:basedOn w:val="DefaultParagraphFont"/>
    <w:rsid w:val="00E92E63"/>
  </w:style>
  <w:style w:type="paragraph" w:styleId="BalloonText">
    <w:name w:val="Balloon Text"/>
    <w:basedOn w:val="Normal"/>
    <w:semiHidden/>
    <w:rsid w:val="001D534F"/>
    <w:rPr>
      <w:rFonts w:ascii="Tahoma" w:hAnsi="Tahoma" w:cs="Tahoma"/>
      <w:sz w:val="16"/>
      <w:szCs w:val="16"/>
    </w:rPr>
  </w:style>
  <w:style w:type="paragraph" w:styleId="EndnoteText">
    <w:name w:val="endnote text"/>
    <w:basedOn w:val="Normal"/>
    <w:semiHidden/>
    <w:rsid w:val="000C030B"/>
    <w:pPr>
      <w:widowControl w:val="0"/>
      <w:tabs>
        <w:tab w:val="left" w:pos="-720"/>
      </w:tabs>
      <w:suppressAutoHyphens/>
    </w:pPr>
    <w:rPr>
      <w:snapToGrid w:val="0"/>
    </w:rPr>
  </w:style>
  <w:style w:type="table" w:styleId="TableGrid">
    <w:name w:val="Table Grid"/>
    <w:basedOn w:val="TableNormal"/>
    <w:rsid w:val="00020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
    <w:name w:val="documentbody"/>
    <w:basedOn w:val="DefaultParagraphFont"/>
    <w:rsid w:val="00050E72"/>
  </w:style>
  <w:style w:type="character" w:styleId="Hyperlink">
    <w:name w:val="Hyperlink"/>
    <w:rsid w:val="00050E72"/>
    <w:rPr>
      <w:color w:val="0000FF"/>
      <w:u w:val="single"/>
    </w:rPr>
  </w:style>
  <w:style w:type="character" w:customStyle="1" w:styleId="FootnoteTextChar1">
    <w:name w:val="Footnote Text Char1"/>
    <w:aliases w:val="Footnote Text Char Char,Footnote Text Char Char Char Char,Footnote Text Char Char Char Char Char1 Char,Footnote Text Char1 Char Char,Footnote Text Char1 Char Char Char1 Char,Footnote Text Char2 Char Char Char Char Char1 Char"/>
    <w:link w:val="FootnoteText"/>
    <w:semiHidden/>
    <w:rsid w:val="00A35674"/>
    <w:rPr>
      <w:lang w:val="en-US" w:eastAsia="en-US" w:bidi="ar-SA"/>
    </w:rPr>
  </w:style>
  <w:style w:type="character" w:customStyle="1" w:styleId="ParaNumChar1">
    <w:name w:val="ParaNum Char1"/>
    <w:link w:val="ParaNum0"/>
    <w:rsid w:val="00A35674"/>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www.ncta.com/Statistics.aspx" TargetMode="External" /><Relationship Id="rId2" Type="http://schemas.openxmlformats.org/officeDocument/2006/relationships/hyperlink" Target="http://www.ncta.com/Stats/TopMSOs.aspx" TargetMode="External" /><Relationship Id="rId3" Type="http://schemas.openxmlformats.org/officeDocument/2006/relationships/hyperlink" Target="http://www.atsc.org/cms/standards/a_85-2011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smort</dc:creator>
  <cp:lastModifiedBy>Cathy Williams</cp:lastModifiedBy>
  <cp:revision>3</cp:revision>
  <cp:lastPrinted>2015-02-19T18:12:00Z</cp:lastPrinted>
  <dcterms:created xsi:type="dcterms:W3CDTF">2023-10-04T16:29:00Z</dcterms:created>
  <dcterms:modified xsi:type="dcterms:W3CDTF">2023-12-13T21:58:00Z</dcterms:modified>
</cp:coreProperties>
</file>