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imes New Roman" w:eastAsia="Times New Roman" w:hAnsi="Times New Roman"/>
          <w:sz w:val="20"/>
          <w:szCs w:val="20"/>
        </w:rPr>
        <w:id w:val="-2104788051"/>
        <w:docPartObj>
          <w:docPartGallery w:val="Cover Pages"/>
          <w:docPartUnique/>
        </w:docPartObj>
      </w:sdtPr>
      <w:sdtEndPr>
        <w:rPr>
          <w:rFonts w:ascii="Cambria" w:eastAsia="MS Mincho" w:hAnsi="Cambria"/>
          <w:sz w:val="24"/>
          <w:szCs w:val="24"/>
        </w:rPr>
      </w:sdtEndPr>
      <w:sdtContent>
        <w:p w:rsidR="00586EB1" w:rsidP="00F54F32" w14:paraId="168C1224" w14:textId="6D692E3B">
          <w:pPr>
            <w:rPr>
              <w:rFonts w:ascii="Book Antiqua" w:eastAsia="Book Antiqua" w:hAnsi="Book Antiqua" w:cs="Book Antiqua"/>
              <w:sz w:val="2"/>
              <w:szCs w:val="2"/>
            </w:rPr>
            <w:sectPr w:rsidSect="00FF07EF">
              <w:headerReference w:type="default" r:id="rId10"/>
              <w:headerReference w:type="first" r:id="rId11"/>
              <w:footerReference w:type="first" r:id="rId12"/>
              <w:type w:val="continuous"/>
              <w:pgSz w:w="12240" w:h="15840"/>
              <w:pgMar w:top="1915" w:right="0" w:bottom="1152" w:left="0" w:header="619" w:footer="720" w:gutter="0"/>
              <w:pgNumType w:start="0"/>
              <w:cols w:space="720"/>
              <w:titlePg/>
              <w:docGrid w:linePitch="326"/>
            </w:sectPr>
          </w:pPr>
        </w:p>
        <w:p w:rsidR="00586EB1" w14:paraId="2DEA57D8" w14:textId="771F8B89">
          <w:pPr>
            <w:rPr>
              <w:rFonts w:ascii="Times New Roman" w:hAnsi="Times New Roman"/>
              <w:noProof/>
              <w:spacing w:val="4"/>
            </w:rPr>
          </w:pPr>
          <w:r>
            <w:rPr>
              <w:rFonts w:ascii="Book Antiqua" w:eastAsia="Book Antiqua" w:hAnsi="Book Antiqua" w:cs="Book Antiqua"/>
              <w:noProof/>
              <w:sz w:val="2"/>
              <w:szCs w:val="2"/>
            </w:rPr>
            <mc:AlternateContent>
              <mc:Choice Requires="wps">
                <w:drawing>
                  <wp:anchor distT="0" distB="0" distL="114300" distR="114300" simplePos="0" relativeHeight="251658240" behindDoc="0" locked="0" layoutInCell="1" allowOverlap="1">
                    <wp:simplePos x="0" y="0"/>
                    <wp:positionH relativeFrom="margin">
                      <wp:posOffset>975360</wp:posOffset>
                    </wp:positionH>
                    <wp:positionV relativeFrom="paragraph">
                      <wp:posOffset>2357120</wp:posOffset>
                    </wp:positionV>
                    <wp:extent cx="5835650" cy="4394835"/>
                    <wp:effectExtent l="0" t="0" r="0" b="5715"/>
                    <wp:wrapNone/>
                    <wp:docPr id="231" name="Text 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35650" cy="4394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5BC4" w:rsidP="005617BC" w14:textId="2F4D9504">
                                <w:pPr>
                                  <w:pStyle w:val="Title"/>
                                </w:pPr>
                                <w:r>
                                  <w:t>NCUA Supervisory Stress Test</w:t>
                                </w:r>
                                <w:r>
                                  <w:t>:</w:t>
                                </w:r>
                              </w:p>
                              <w:p w:rsidR="00416423" w:rsidRPr="005617BC" w:rsidP="005617BC" w14:textId="09BEB4E4">
                                <w:pPr>
                                  <w:pStyle w:val="Title"/>
                                </w:pPr>
                                <w:r>
                                  <w:t xml:space="preserve">Annual </w:t>
                                </w:r>
                                <w:r w:rsidR="00E2758F">
                                  <w:t>Data Request</w:t>
                                </w:r>
                                <w:r>
                                  <w:t xml:space="preserve"> Instructions</w:t>
                                </w:r>
                              </w:p>
                              <w:p w:rsidR="00416423" w14:textId="77777777">
                                <w:r>
                                  <w:rPr>
                                    <w:noProof/>
                                  </w:rPr>
                                  <w:drawing>
                                    <wp:inline distT="0" distB="0" distL="0" distR="0">
                                      <wp:extent cx="5562600" cy="64008"/>
                                      <wp:effectExtent l="0" t="0" r="0" b="0"/>
                                      <wp:docPr id="199209240" name="Picture 23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9240"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562600" cy="64008"/>
                                              </a:xfrm>
                                              <a:prstGeom prst="rect">
                                                <a:avLst/>
                                              </a:prstGeom>
                                            </pic:spPr>
                                          </pic:pic>
                                        </a:graphicData>
                                      </a:graphic>
                                    </wp:inline>
                                  </w:drawing>
                                </w:r>
                              </w:p>
                              <w:p w:rsidR="00416423" w:rsidRPr="00416423" w14:textId="4E821210">
                                <w:pPr>
                                  <w:rPr>
                                    <w:rFonts w:ascii="Century Gothic" w:hAnsi="Century Gothic"/>
                                    <w:color w:val="3E4A64"/>
                                    <w:sz w:val="46"/>
                                    <w:szCs w:val="46"/>
                                  </w:rPr>
                                </w:pPr>
                                <w:r>
                                  <w:rPr>
                                    <w:rFonts w:ascii="Century Gothic" w:hAnsi="Century Gothic"/>
                                    <w:color w:val="3E4A64"/>
                                    <w:sz w:val="46"/>
                                    <w:szCs w:val="46"/>
                                  </w:rPr>
                                  <w:t>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1" o:spid="_x0000_s1025" type="#_x0000_t202" style="width:459.5pt;height:346.05pt;margin-top:185.6pt;margin-left:76.8pt;mso-height-percent:0;mso-height-relative:margin;mso-position-horizontal-relative:margin;mso-wrap-distance-bottom:0;mso-wrap-distance-left:9pt;mso-wrap-distance-right:9pt;mso-wrap-distance-top:0;mso-wrap-style:square;position:absolute;visibility:visible;v-text-anchor:top;z-index:251659264" fillcolor="white" stroked="f" strokeweight="0.5pt">
                    <v:textbox>
                      <w:txbxContent>
                        <w:p w:rsidR="004C5BC4" w:rsidP="005617BC" w14:paraId="742E4D04" w14:textId="2F4D9504">
                          <w:pPr>
                            <w:pStyle w:val="Title"/>
                          </w:pPr>
                          <w:r>
                            <w:t>NCUA Supervisory Stress Test</w:t>
                          </w:r>
                          <w:r>
                            <w:t>:</w:t>
                          </w:r>
                        </w:p>
                        <w:p w:rsidR="00416423" w:rsidRPr="005617BC" w:rsidP="005617BC" w14:paraId="33D9A6E3" w14:textId="09BEB4E4">
                          <w:pPr>
                            <w:pStyle w:val="Title"/>
                          </w:pPr>
                          <w:r>
                            <w:t xml:space="preserve">Annual </w:t>
                          </w:r>
                          <w:r w:rsidR="00E2758F">
                            <w:t>Data Request</w:t>
                          </w:r>
                          <w:r>
                            <w:t xml:space="preserve"> Instructions</w:t>
                          </w:r>
                        </w:p>
                        <w:p w:rsidR="00416423" w14:paraId="3FE42E41" w14:textId="77777777">
                          <w:drawing>
                            <wp:inline distT="0" distB="0" distL="0" distR="0">
                              <wp:extent cx="5562600" cy="64008"/>
                              <wp:effectExtent l="0" t="0" r="0" b="0"/>
                              <wp:docPr id="232" name="Picture 23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562600" cy="64008"/>
                                      </a:xfrm>
                                      <a:prstGeom prst="rect">
                                        <a:avLst/>
                                      </a:prstGeom>
                                    </pic:spPr>
                                  </pic:pic>
                                </a:graphicData>
                              </a:graphic>
                            </wp:inline>
                          </w:drawing>
                        </w:p>
                        <w:p w:rsidR="00416423" w:rsidRPr="00416423" w14:paraId="2FCF3AA6" w14:textId="4E821210">
                          <w:pPr>
                            <w:rPr>
                              <w:rFonts w:ascii="Century Gothic" w:hAnsi="Century Gothic"/>
                              <w:color w:val="3E4A64"/>
                              <w:sz w:val="46"/>
                              <w:szCs w:val="46"/>
                            </w:rPr>
                          </w:pPr>
                          <w:r>
                            <w:rPr>
                              <w:rFonts w:ascii="Century Gothic" w:hAnsi="Century Gothic"/>
                              <w:color w:val="3E4A64"/>
                              <w:sz w:val="46"/>
                              <w:szCs w:val="46"/>
                            </w:rPr>
                            <w:t>January 2024</w:t>
                          </w:r>
                        </w:p>
                      </w:txbxContent>
                    </v:textbox>
                    <w10:wrap anchorx="margin"/>
                  </v:shape>
                </w:pict>
              </mc:Fallback>
            </mc:AlternateContent>
          </w:r>
          <w:r w:rsidR="00586EB1">
            <w:br w:type="page"/>
          </w:r>
        </w:p>
      </w:sdtContent>
    </w:sdt>
    <w:p w:rsidR="00474EE5" w:rsidRPr="002E755C" w:rsidP="001A4D18" w14:paraId="1238B531" w14:textId="130759E4">
      <w:pPr>
        <w:pStyle w:val="Heading1"/>
      </w:pPr>
      <w:r>
        <w:t xml:space="preserve">NCUA </w:t>
      </w:r>
      <w:r w:rsidR="00113C3C">
        <w:t>Supervisory Stress Test</w:t>
      </w:r>
      <w:r w:rsidR="004C5BC4">
        <w:t>: Annual Data</w:t>
      </w:r>
      <w:r w:rsidR="00BF45BD">
        <w:t xml:space="preserve"> </w:t>
      </w:r>
      <w:r w:rsidR="004C5BC4">
        <w:t>Request Instructions</w:t>
      </w:r>
    </w:p>
    <w:p w:rsidR="00F15F34" w:rsidRPr="002E755C" w:rsidP="008D1970" w14:paraId="248BC35D" w14:textId="77777777">
      <w:pPr>
        <w:pStyle w:val="Heading2"/>
      </w:pPr>
      <w:r w:rsidRPr="002E755C">
        <w:t>Table of Contents</w:t>
      </w:r>
    </w:p>
    <w:p w:rsidR="00C26C0B" w:rsidRPr="002F5BC3" w:rsidP="002F5BC3" w14:paraId="46A622A2" w14:textId="2BC52053">
      <w:pPr>
        <w:pStyle w:val="TOC1"/>
      </w:pPr>
      <w:r>
        <w:t>Overview</w:t>
      </w:r>
      <w:r w:rsidRPr="002F5BC3">
        <w:tab/>
      </w:r>
      <w:r>
        <w:t>2</w:t>
      </w:r>
    </w:p>
    <w:p w:rsidR="00C26C0B" w:rsidRPr="00F15F34" w:rsidP="002F5BC3" w14:paraId="6E8B68DB" w14:textId="3B3BE6BA">
      <w:pPr>
        <w:pStyle w:val="TOC1"/>
      </w:pPr>
      <w:r>
        <w:t>Instrument-Level Investment Portfolio</w:t>
      </w:r>
      <w:r w:rsidRPr="00F15F34">
        <w:tab/>
      </w:r>
      <w:r w:rsidR="000B1DC1">
        <w:t>3</w:t>
      </w:r>
    </w:p>
    <w:p w:rsidR="00C26C0B" w:rsidRPr="00F15F34" w:rsidP="002F5BC3" w14:paraId="754288C0" w14:textId="595831A1">
      <w:pPr>
        <w:pStyle w:val="TOC1"/>
      </w:pPr>
      <w:r>
        <w:t>Account-Level Cash and Cash Equivalents</w:t>
      </w:r>
      <w:r w:rsidRPr="00F15F34">
        <w:tab/>
      </w:r>
      <w:r w:rsidR="000B1DC1">
        <w:t>3</w:t>
      </w:r>
    </w:p>
    <w:p w:rsidR="00C26C0B" w:rsidRPr="00F15F34" w:rsidP="002F5BC3" w14:paraId="1BAB5641" w14:textId="217B7849">
      <w:pPr>
        <w:pStyle w:val="TOC1"/>
      </w:pPr>
      <w:r>
        <w:t>Instrument-Level Borrowings</w:t>
      </w:r>
      <w:r w:rsidRPr="00F15F34">
        <w:tab/>
      </w:r>
      <w:r w:rsidR="000B1DC1">
        <w:t>3</w:t>
      </w:r>
    </w:p>
    <w:p w:rsidR="00A77A8E" w:rsidP="002F5BC3" w14:paraId="2B187EF9" w14:textId="562A116A">
      <w:pPr>
        <w:pStyle w:val="TOC1"/>
      </w:pPr>
      <w:r>
        <w:t>Credit Card Revolver Percentage</w:t>
      </w:r>
      <w:r w:rsidRPr="00F15F34" w:rsidR="00C26C0B">
        <w:tab/>
      </w:r>
      <w:r w:rsidR="000B62A7">
        <w:t>3</w:t>
      </w:r>
    </w:p>
    <w:p w:rsidR="00653309" w:rsidP="00653309" w14:paraId="75D108C9" w14:textId="2B58735A">
      <w:pPr>
        <w:pStyle w:val="TOC1"/>
      </w:pPr>
      <w:r>
        <w:t>Reporting Format</w:t>
      </w:r>
      <w:r w:rsidRPr="00F15F34">
        <w:tab/>
      </w:r>
      <w:r>
        <w:t>4</w:t>
      </w:r>
    </w:p>
    <w:p w:rsidR="00653309" w:rsidP="00653309" w14:paraId="6F4B0053" w14:textId="3BC0DEA1">
      <w:pPr>
        <w:pStyle w:val="TOC1"/>
      </w:pPr>
      <w:r>
        <w:t>Call Report Reconciliation</w:t>
      </w:r>
      <w:r w:rsidRPr="00F15F34">
        <w:tab/>
      </w:r>
      <w:r>
        <w:t>5</w:t>
      </w:r>
    </w:p>
    <w:p w:rsidR="002F5BC3" w:rsidP="00F15F34" w14:paraId="65CBF098" w14:textId="1CA4B56E">
      <w:r>
        <w:rPr>
          <w:noProof/>
        </w:rPr>
        <w:drawing>
          <wp:inline distT="0" distB="0" distL="0" distR="0">
            <wp:extent cx="5394960" cy="61595"/>
            <wp:effectExtent l="0" t="0" r="0" b="0"/>
            <wp:docPr id="62" name="Picture 6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394960" cy="61595"/>
                    </a:xfrm>
                    <a:prstGeom prst="rect">
                      <a:avLst/>
                    </a:prstGeom>
                  </pic:spPr>
                </pic:pic>
              </a:graphicData>
            </a:graphic>
          </wp:inline>
        </w:drawing>
      </w:r>
    </w:p>
    <w:p w:rsidR="00564DDD" w:rsidRPr="00F15F34" w:rsidP="00F15F34" w14:paraId="5BD9E4C3" w14:textId="77777777">
      <w:r w:rsidRPr="00F15F34">
        <w:br w:type="page"/>
      </w:r>
    </w:p>
    <w:p w:rsidR="0084383C" w:rsidRPr="00E2758F" w:rsidP="001A4D18" w14:paraId="46D24035" w14:textId="154D7530">
      <w:pPr>
        <w:pStyle w:val="Heading1"/>
        <w:rPr>
          <w:rFonts w:ascii="Times New Roman" w:hAnsi="Times New Roman"/>
        </w:rPr>
      </w:pPr>
      <w:r>
        <w:t>Overview</w:t>
      </w:r>
    </w:p>
    <w:p w:rsidR="00FC2F89" w:rsidRPr="00DA58EB" w:rsidP="00FC2F89" w14:paraId="3D947D54" w14:textId="77777777">
      <w:pPr>
        <w:rPr>
          <w:rFonts w:ascii="Times New Roman" w:hAnsi="Times New Roman"/>
        </w:rPr>
      </w:pPr>
      <w:r w:rsidRPr="00DA58EB">
        <w:rPr>
          <w:rFonts w:ascii="Times New Roman" w:hAnsi="Times New Roman"/>
        </w:rPr>
        <w:t>In 2014, the NCUA Board approved Part 702, Subpart C (originally Sub-Part E) – Capital Planning and Stress Testing (Rule), for credit unions with assets of $10 billion or more as of March 31 of the prior year (covered credit unions).</w:t>
      </w:r>
      <w:r w:rsidRPr="00DA58EB">
        <w:rPr>
          <w:rStyle w:val="CommentReference"/>
          <w:rFonts w:ascii="Times New Roman" w:hAnsi="Times New Roman"/>
        </w:rPr>
        <w:t xml:space="preserve"> </w:t>
      </w:r>
      <w:r w:rsidRPr="00DA58EB">
        <w:rPr>
          <w:rFonts w:ascii="Times New Roman" w:hAnsi="Times New Roman"/>
        </w:rPr>
        <w:t xml:space="preserve"> The Rule was amended in 2018 to assign covered credit unions to one of three asset size “tiers”:</w:t>
      </w:r>
    </w:p>
    <w:p w:rsidR="00FC2F89" w:rsidRPr="00DA58EB" w:rsidP="00FC2F89" w14:paraId="0498C713" w14:textId="77777777">
      <w:pPr>
        <w:rPr>
          <w:rFonts w:ascii="Times New Roman" w:hAnsi="Times New Roman"/>
        </w:rPr>
      </w:pPr>
    </w:p>
    <w:p w:rsidR="00FC2F89" w:rsidRPr="00DA58EB" w:rsidP="00FC2F89" w14:paraId="7419E948" w14:textId="77777777">
      <w:pPr>
        <w:pStyle w:val="ListParagraph"/>
        <w:numPr>
          <w:ilvl w:val="0"/>
          <w:numId w:val="10"/>
        </w:numPr>
        <w:rPr>
          <w:rFonts w:ascii="Times New Roman" w:hAnsi="Times New Roman"/>
        </w:rPr>
      </w:pPr>
      <w:r w:rsidRPr="00DA58EB">
        <w:rPr>
          <w:rFonts w:ascii="Times New Roman" w:hAnsi="Times New Roman"/>
        </w:rPr>
        <w:t>Tier</w:t>
      </w:r>
      <w:r w:rsidRPr="00DA58EB">
        <w:rPr>
          <w:rFonts w:ascii="Times New Roman" w:hAnsi="Times New Roman"/>
        </w:rPr>
        <w:t xml:space="preserve"> I credit unions have $10 billion or more in assets but less than $15 billion in assets, </w:t>
      </w:r>
    </w:p>
    <w:p w:rsidR="00FC2F89" w:rsidRPr="00DA58EB" w:rsidP="00FC2F89" w14:paraId="21177701" w14:textId="77777777">
      <w:pPr>
        <w:pStyle w:val="ListParagraph"/>
        <w:numPr>
          <w:ilvl w:val="0"/>
          <w:numId w:val="10"/>
        </w:numPr>
        <w:rPr>
          <w:rFonts w:ascii="Times New Roman" w:hAnsi="Times New Roman"/>
        </w:rPr>
      </w:pPr>
      <w:r w:rsidRPr="00DA58EB">
        <w:rPr>
          <w:rFonts w:ascii="Times New Roman" w:hAnsi="Times New Roman"/>
        </w:rPr>
        <w:t>Tier II credit unions have $15 billion or more in assets but less than $20 billion in assets, and</w:t>
      </w:r>
    </w:p>
    <w:p w:rsidR="00FC2F89" w:rsidRPr="00DA58EB" w:rsidP="00FC2F89" w14:paraId="1C3D20FB" w14:textId="77777777">
      <w:pPr>
        <w:pStyle w:val="ListParagraph"/>
        <w:numPr>
          <w:ilvl w:val="0"/>
          <w:numId w:val="10"/>
        </w:numPr>
        <w:rPr>
          <w:rFonts w:ascii="Times New Roman" w:hAnsi="Times New Roman"/>
        </w:rPr>
      </w:pPr>
      <w:r w:rsidRPr="00DA58EB">
        <w:rPr>
          <w:rFonts w:ascii="Times New Roman" w:hAnsi="Times New Roman"/>
        </w:rPr>
        <w:t>Tier III credit unions have $20 billion or more in assets.</w:t>
      </w:r>
    </w:p>
    <w:p w:rsidR="00FC2F89" w:rsidRPr="00DA58EB" w:rsidP="00E2758F" w14:paraId="1DB13CB7" w14:textId="77777777">
      <w:pPr>
        <w:rPr>
          <w:rFonts w:ascii="Times New Roman" w:eastAsia="Times New Roman" w:hAnsi="Times New Roman"/>
        </w:rPr>
      </w:pPr>
    </w:p>
    <w:p w:rsidR="00E2758F" w:rsidRPr="00DA58EB" w:rsidP="00E2758F" w14:paraId="2F6502CB" w14:textId="158761BC">
      <w:pPr>
        <w:rPr>
          <w:rFonts w:ascii="Times New Roman" w:eastAsia="Times New Roman" w:hAnsi="Times New Roman"/>
        </w:rPr>
      </w:pPr>
      <w:r w:rsidRPr="00DA58EB">
        <w:rPr>
          <w:rFonts w:ascii="Times New Roman" w:eastAsia="Times New Roman" w:hAnsi="Times New Roman"/>
        </w:rPr>
        <w:t xml:space="preserve">Accordingly, </w:t>
      </w:r>
      <w:r w:rsidRPr="00DA58EB" w:rsidR="00590FCF">
        <w:rPr>
          <w:rFonts w:ascii="Times New Roman" w:eastAsia="Times New Roman" w:hAnsi="Times New Roman"/>
        </w:rPr>
        <w:t xml:space="preserve">NCUA collects the necessary data to run its SST program through its ongoing quarterly data collection </w:t>
      </w:r>
      <w:r w:rsidRPr="00DA58EB" w:rsidR="00054D23">
        <w:rPr>
          <w:rFonts w:ascii="Times New Roman" w:eastAsia="Times New Roman" w:hAnsi="Times New Roman"/>
        </w:rPr>
        <w:t xml:space="preserve">program </w:t>
      </w:r>
      <w:r w:rsidRPr="00DA58EB" w:rsidR="00590FCF">
        <w:rPr>
          <w:rFonts w:ascii="Times New Roman" w:eastAsia="Times New Roman" w:hAnsi="Times New Roman"/>
        </w:rPr>
        <w:t xml:space="preserve">and an annual </w:t>
      </w:r>
      <w:r w:rsidRPr="00DA58EB" w:rsidR="00FC2F89">
        <w:rPr>
          <w:rFonts w:ascii="Times New Roman" w:eastAsia="Times New Roman" w:hAnsi="Times New Roman"/>
        </w:rPr>
        <w:t>stress test</w:t>
      </w:r>
      <w:r w:rsidRPr="00DA58EB" w:rsidR="00590FCF">
        <w:rPr>
          <w:rFonts w:ascii="Times New Roman" w:eastAsia="Times New Roman" w:hAnsi="Times New Roman"/>
        </w:rPr>
        <w:t xml:space="preserve"> data request.</w:t>
      </w:r>
      <w:r w:rsidRPr="00DA58EB" w:rsidR="00FC2F89">
        <w:rPr>
          <w:rFonts w:ascii="Times New Roman" w:eastAsia="Times New Roman" w:hAnsi="Times New Roman"/>
        </w:rPr>
        <w:t xml:space="preserve"> </w:t>
      </w:r>
      <w:r w:rsidR="00C96335">
        <w:rPr>
          <w:rFonts w:ascii="Times New Roman" w:eastAsia="Times New Roman" w:hAnsi="Times New Roman"/>
        </w:rPr>
        <w:t xml:space="preserve"> </w:t>
      </w:r>
      <w:r w:rsidRPr="00DA58EB">
        <w:rPr>
          <w:rFonts w:ascii="Times New Roman" w:eastAsia="Times New Roman" w:hAnsi="Times New Roman"/>
        </w:rPr>
        <w:t xml:space="preserve">This memorandum summarizes </w:t>
      </w:r>
      <w:r w:rsidRPr="00DA58EB" w:rsidR="00FC2F89">
        <w:rPr>
          <w:rFonts w:ascii="Times New Roman" w:eastAsia="Times New Roman" w:hAnsi="Times New Roman"/>
        </w:rPr>
        <w:t>the data that must be submitted as part of the annual stress test data submission</w:t>
      </w:r>
      <w:r w:rsidRPr="00DA58EB">
        <w:rPr>
          <w:rFonts w:ascii="Times New Roman" w:eastAsia="Times New Roman" w:hAnsi="Times New Roman"/>
        </w:rPr>
        <w:t>.</w:t>
      </w:r>
      <w:r w:rsidRPr="00DA58EB" w:rsidR="004439EA">
        <w:rPr>
          <w:rFonts w:ascii="Times New Roman" w:eastAsia="Times New Roman" w:hAnsi="Times New Roman"/>
          <w:b/>
        </w:rPr>
        <w:t xml:space="preserve"> </w:t>
      </w:r>
      <w:r w:rsidR="00C96335">
        <w:rPr>
          <w:rFonts w:ascii="Times New Roman" w:eastAsia="Times New Roman" w:hAnsi="Times New Roman"/>
          <w:b/>
        </w:rPr>
        <w:t xml:space="preserve"> </w:t>
      </w:r>
      <w:r w:rsidRPr="00DA58EB" w:rsidR="004439EA">
        <w:rPr>
          <w:rFonts w:ascii="Times New Roman" w:eastAsia="Times New Roman" w:hAnsi="Times New Roman"/>
          <w:b/>
        </w:rPr>
        <w:t>The requested data</w:t>
      </w:r>
      <w:r w:rsidRPr="00DA58EB">
        <w:rPr>
          <w:rFonts w:ascii="Times New Roman" w:eastAsia="Times New Roman" w:hAnsi="Times New Roman"/>
          <w:b/>
        </w:rPr>
        <w:t xml:space="preserve"> </w:t>
      </w:r>
      <w:r w:rsidRPr="00DA58EB" w:rsidR="00690981">
        <w:rPr>
          <w:rFonts w:ascii="Times New Roman" w:eastAsia="Times New Roman" w:hAnsi="Times New Roman"/>
          <w:b/>
        </w:rPr>
        <w:t>is</w:t>
      </w:r>
      <w:r w:rsidRPr="00DA58EB">
        <w:rPr>
          <w:rFonts w:ascii="Times New Roman" w:eastAsia="Times New Roman" w:hAnsi="Times New Roman"/>
          <w:b/>
        </w:rPr>
        <w:t xml:space="preserve"> due Friday</w:t>
      </w:r>
      <w:r w:rsidR="007641B1">
        <w:rPr>
          <w:rFonts w:ascii="Times New Roman" w:eastAsia="Times New Roman" w:hAnsi="Times New Roman"/>
          <w:b/>
        </w:rPr>
        <w:t>, March 1, 2024</w:t>
      </w:r>
      <w:r w:rsidRPr="00DA58EB">
        <w:rPr>
          <w:rFonts w:ascii="Times New Roman" w:eastAsia="Times New Roman" w:hAnsi="Times New Roman"/>
          <w:b/>
        </w:rPr>
        <w:t>.</w:t>
      </w:r>
    </w:p>
    <w:p w:rsidR="00E2758F" w:rsidRPr="00DA58EB" w:rsidP="00E2758F" w14:paraId="5128FB63" w14:textId="77777777">
      <w:pPr>
        <w:rPr>
          <w:rFonts w:ascii="Times New Roman" w:eastAsia="Times New Roman" w:hAnsi="Times New Roman"/>
        </w:rPr>
      </w:pPr>
    </w:p>
    <w:p w:rsidR="00E2758F" w:rsidRPr="00DA58EB" w:rsidP="00E2758F" w14:paraId="2C40F668" w14:textId="05BD1941">
      <w:pPr>
        <w:rPr>
          <w:rFonts w:ascii="Times New Roman" w:eastAsia="Times New Roman" w:hAnsi="Times New Roman"/>
        </w:rPr>
      </w:pPr>
      <w:r w:rsidRPr="00DA58EB">
        <w:rPr>
          <w:rFonts w:ascii="Times New Roman" w:eastAsia="Times New Roman" w:hAnsi="Times New Roman"/>
        </w:rPr>
        <w:t xml:space="preserve">A summary of the requested information is listed in </w:t>
      </w:r>
      <w:r w:rsidRPr="00DA58EB" w:rsidR="00054D23">
        <w:rPr>
          <w:rFonts w:ascii="Times New Roman" w:eastAsia="Times New Roman" w:hAnsi="Times New Roman"/>
        </w:rPr>
        <w:fldChar w:fldCharType="begin"/>
      </w:r>
      <w:r w:rsidRPr="00DA58EB" w:rsidR="00054D23">
        <w:rPr>
          <w:rFonts w:ascii="Times New Roman" w:eastAsia="Times New Roman" w:hAnsi="Times New Roman"/>
        </w:rPr>
        <w:instrText xml:space="preserve"> REF _Ref119659188 \h </w:instrText>
      </w:r>
      <w:r w:rsidR="00DA58EB">
        <w:rPr>
          <w:rFonts w:ascii="Times New Roman" w:eastAsia="Times New Roman" w:hAnsi="Times New Roman"/>
        </w:rPr>
        <w:instrText xml:space="preserve"> \* MERGEFORMAT </w:instrText>
      </w:r>
      <w:r w:rsidRPr="00DA58EB" w:rsidR="00054D23">
        <w:rPr>
          <w:rFonts w:ascii="Times New Roman" w:eastAsia="Times New Roman" w:hAnsi="Times New Roman"/>
        </w:rPr>
        <w:fldChar w:fldCharType="separate"/>
      </w:r>
      <w:r w:rsidRPr="00DA58EB" w:rsidR="00054D23">
        <w:rPr>
          <w:rFonts w:ascii="Times New Roman" w:hAnsi="Times New Roman"/>
        </w:rPr>
        <w:t xml:space="preserve">Table </w:t>
      </w:r>
      <w:r w:rsidRPr="00DA58EB" w:rsidR="00054D23">
        <w:rPr>
          <w:rFonts w:ascii="Times New Roman" w:hAnsi="Times New Roman"/>
          <w:noProof/>
        </w:rPr>
        <w:t>1</w:t>
      </w:r>
      <w:r w:rsidRPr="00DA58EB" w:rsidR="00054D23">
        <w:rPr>
          <w:rFonts w:ascii="Times New Roman" w:eastAsia="Times New Roman" w:hAnsi="Times New Roman"/>
        </w:rPr>
        <w:fldChar w:fldCharType="end"/>
      </w:r>
      <w:r w:rsidRPr="00DA58EB">
        <w:rPr>
          <w:rFonts w:ascii="Times New Roman" w:eastAsia="Times New Roman" w:hAnsi="Times New Roman"/>
        </w:rPr>
        <w:t xml:space="preserve">. </w:t>
      </w:r>
      <w:r w:rsidRPr="00DA58EB" w:rsidR="00C422DC">
        <w:rPr>
          <w:rFonts w:ascii="Times New Roman" w:eastAsia="Times New Roman" w:hAnsi="Times New Roman"/>
        </w:rPr>
        <w:t xml:space="preserve"> </w:t>
      </w:r>
      <w:r w:rsidRPr="00DA58EB">
        <w:rPr>
          <w:rFonts w:ascii="Times New Roman" w:eastAsia="Times New Roman" w:hAnsi="Times New Roman"/>
        </w:rPr>
        <w:t xml:space="preserve">Additional details are provided in the sections that follow. </w:t>
      </w:r>
      <w:r w:rsidRPr="00DA58EB">
        <w:rPr>
          <w:rFonts w:ascii="Times New Roman" w:eastAsia="Times New Roman" w:hAnsi="Times New Roman"/>
        </w:rPr>
        <w:t xml:space="preserve">If you have questions about any of the data requests or templates, please reach out to the NCUA </w:t>
      </w:r>
      <w:r w:rsidR="000613FD">
        <w:rPr>
          <w:rFonts w:ascii="Times New Roman" w:eastAsia="Times New Roman" w:hAnsi="Times New Roman"/>
        </w:rPr>
        <w:t>Capital Planning and Stress Testing</w:t>
      </w:r>
      <w:r w:rsidRPr="00DA58EB" w:rsidR="000613FD">
        <w:rPr>
          <w:rFonts w:ascii="Times New Roman" w:eastAsia="Times New Roman" w:hAnsi="Times New Roman"/>
        </w:rPr>
        <w:t xml:space="preserve"> </w:t>
      </w:r>
      <w:r w:rsidRPr="00DA58EB">
        <w:rPr>
          <w:rFonts w:ascii="Times New Roman" w:eastAsia="Times New Roman" w:hAnsi="Times New Roman"/>
        </w:rPr>
        <w:t>team</w:t>
      </w:r>
      <w:r w:rsidRPr="00DA58EB" w:rsidR="000B1DC1">
        <w:rPr>
          <w:rFonts w:ascii="Times New Roman" w:eastAsia="Times New Roman" w:hAnsi="Times New Roman"/>
        </w:rPr>
        <w:t xml:space="preserve"> (</w:t>
      </w:r>
      <w:hyperlink r:id="rId14" w:history="1">
        <w:r w:rsidRPr="00DA58EB" w:rsidR="00701038">
          <w:rPr>
            <w:rStyle w:val="Hyperlink"/>
            <w:rFonts w:ascii="Times New Roman" w:eastAsia="Times New Roman" w:hAnsi="Times New Roman"/>
          </w:rPr>
          <w:t>ONES_CPST@ncua.gov</w:t>
        </w:r>
      </w:hyperlink>
      <w:r w:rsidRPr="00DA58EB" w:rsidR="000B1DC1">
        <w:rPr>
          <w:rFonts w:ascii="Times New Roman" w:eastAsia="Times New Roman" w:hAnsi="Times New Roman"/>
        </w:rPr>
        <w:t>)</w:t>
      </w:r>
      <w:r w:rsidRPr="00DA58EB">
        <w:rPr>
          <w:rFonts w:ascii="Times New Roman" w:eastAsia="Times New Roman" w:hAnsi="Times New Roman"/>
        </w:rPr>
        <w:t>.</w:t>
      </w:r>
    </w:p>
    <w:p w:rsidR="000B1DC1" w:rsidP="00E2758F" w14:paraId="561BC34C" w14:textId="77777777">
      <w:pPr>
        <w:rPr>
          <w:rFonts w:ascii="Times New Roman" w:eastAsia="Times New Roman" w:hAnsi="Times New Roman"/>
        </w:rPr>
      </w:pPr>
    </w:p>
    <w:p w:rsidR="000B1DC1" w:rsidRPr="000B1DC1" w:rsidP="000B1DC1" w14:paraId="0BCE2DED" w14:textId="4B14E9D1">
      <w:pPr>
        <w:pStyle w:val="Caption"/>
        <w:keepNext/>
        <w:rPr>
          <w:sz w:val="24"/>
          <w:szCs w:val="24"/>
        </w:rPr>
      </w:pPr>
      <w:bookmarkStart w:id="0" w:name="_Ref119659188"/>
      <w:bookmarkStart w:id="1" w:name="_Ref119659181"/>
      <w:r w:rsidRPr="000B1DC1">
        <w:rPr>
          <w:sz w:val="24"/>
          <w:szCs w:val="24"/>
        </w:rPr>
        <w:t xml:space="preserve">Table </w:t>
      </w:r>
      <w:r w:rsidRPr="000B1DC1">
        <w:rPr>
          <w:sz w:val="24"/>
          <w:szCs w:val="24"/>
        </w:rPr>
        <w:fldChar w:fldCharType="begin"/>
      </w:r>
      <w:r w:rsidRPr="000B1DC1">
        <w:rPr>
          <w:sz w:val="24"/>
          <w:szCs w:val="24"/>
        </w:rPr>
        <w:instrText xml:space="preserve"> SEQ Table \* ARABIC </w:instrText>
      </w:r>
      <w:r w:rsidRPr="000B1DC1">
        <w:rPr>
          <w:sz w:val="24"/>
          <w:szCs w:val="24"/>
        </w:rPr>
        <w:fldChar w:fldCharType="separate"/>
      </w:r>
      <w:r w:rsidR="0009146A">
        <w:rPr>
          <w:noProof/>
          <w:sz w:val="24"/>
          <w:szCs w:val="24"/>
        </w:rPr>
        <w:t>1</w:t>
      </w:r>
      <w:r w:rsidRPr="000B1DC1">
        <w:rPr>
          <w:sz w:val="24"/>
          <w:szCs w:val="24"/>
        </w:rPr>
        <w:fldChar w:fldCharType="end"/>
      </w:r>
      <w:bookmarkEnd w:id="0"/>
      <w:r w:rsidRPr="000B1DC1">
        <w:rPr>
          <w:sz w:val="24"/>
          <w:szCs w:val="24"/>
        </w:rPr>
        <w:t>: Summary of Requested Supplemental Data Items</w:t>
      </w:r>
      <w:bookmarkEnd w:id="1"/>
    </w:p>
    <w:tbl>
      <w:tblPr>
        <w:tblStyle w:val="PlainTable3"/>
        <w:tblW w:w="0" w:type="auto"/>
        <w:tblLook w:val="04A0"/>
      </w:tblPr>
      <w:tblGrid>
        <w:gridCol w:w="857"/>
        <w:gridCol w:w="2751"/>
        <w:gridCol w:w="1603"/>
        <w:gridCol w:w="3285"/>
      </w:tblGrid>
      <w:tr w14:paraId="153A6F3B" w14:textId="77777777" w:rsidTr="00F761EB">
        <w:tblPrEx>
          <w:tblW w:w="0" w:type="auto"/>
          <w:tblLook w:val="04A0"/>
        </w:tblPrEx>
        <w:tc>
          <w:tcPr>
            <w:tcW w:w="0" w:type="auto"/>
            <w:tcBorders>
              <w:top w:val="single" w:sz="4" w:space="0" w:color="auto"/>
            </w:tcBorders>
          </w:tcPr>
          <w:p w:rsidR="00FC2F89" w:rsidRPr="005E78FE" w:rsidP="00F761EB" w14:paraId="31E2F033" w14:textId="37E55E11">
            <w:pPr>
              <w:rPr>
                <w:rFonts w:ascii="Times New Roman" w:hAnsi="Times New Roman"/>
                <w:b w:val="0"/>
                <w:bCs w:val="0"/>
                <w:color w:val="000000"/>
              </w:rPr>
            </w:pPr>
            <w:r>
              <w:rPr>
                <w:rFonts w:ascii="Times New Roman" w:hAnsi="Times New Roman"/>
                <w:color w:val="000000"/>
              </w:rPr>
              <w:t>Item</w:t>
            </w:r>
          </w:p>
        </w:tc>
        <w:tc>
          <w:tcPr>
            <w:tcW w:w="0" w:type="auto"/>
            <w:tcBorders>
              <w:top w:val="single" w:sz="4" w:space="0" w:color="auto"/>
            </w:tcBorders>
          </w:tcPr>
          <w:p w:rsidR="00FC2F89" w:rsidRPr="005E78FE" w:rsidP="00F761EB" w14:paraId="6A25ADEA" w14:textId="77777777">
            <w:pPr>
              <w:rPr>
                <w:rFonts w:ascii="Times New Roman" w:hAnsi="Times New Roman"/>
                <w:b w:val="0"/>
                <w:bCs w:val="0"/>
                <w:color w:val="000000"/>
              </w:rPr>
            </w:pPr>
            <w:r w:rsidRPr="005E78FE">
              <w:rPr>
                <w:rFonts w:ascii="Times New Roman" w:hAnsi="Times New Roman"/>
                <w:color w:val="000000"/>
              </w:rPr>
              <w:t>Data File to Submit</w:t>
            </w:r>
          </w:p>
        </w:tc>
        <w:tc>
          <w:tcPr>
            <w:tcW w:w="0" w:type="auto"/>
            <w:tcBorders>
              <w:top w:val="single" w:sz="4" w:space="0" w:color="auto"/>
            </w:tcBorders>
          </w:tcPr>
          <w:p w:rsidR="00FC2F89" w:rsidRPr="005E78FE" w:rsidP="00F761EB" w14:paraId="428DDE99" w14:textId="77777777">
            <w:pPr>
              <w:rPr>
                <w:rFonts w:ascii="Times New Roman" w:hAnsi="Times New Roman"/>
                <w:b w:val="0"/>
                <w:bCs w:val="0"/>
                <w:color w:val="000000"/>
              </w:rPr>
            </w:pPr>
            <w:r w:rsidRPr="005E78FE">
              <w:rPr>
                <w:rFonts w:ascii="Times New Roman" w:hAnsi="Times New Roman"/>
                <w:color w:val="000000"/>
              </w:rPr>
              <w:t>Category</w:t>
            </w:r>
          </w:p>
        </w:tc>
        <w:tc>
          <w:tcPr>
            <w:tcW w:w="0" w:type="auto"/>
            <w:tcBorders>
              <w:top w:val="single" w:sz="4" w:space="0" w:color="auto"/>
            </w:tcBorders>
          </w:tcPr>
          <w:p w:rsidR="00FC2F89" w:rsidRPr="005E78FE" w:rsidP="00F761EB" w14:paraId="64D33238" w14:textId="12EC54B5">
            <w:pPr>
              <w:rPr>
                <w:rFonts w:ascii="Times New Roman" w:hAnsi="Times New Roman"/>
                <w:b w:val="0"/>
                <w:bCs w:val="0"/>
                <w:color w:val="000000"/>
              </w:rPr>
            </w:pPr>
            <w:r>
              <w:rPr>
                <w:rFonts w:ascii="Times New Roman" w:hAnsi="Times New Roman"/>
                <w:color w:val="000000"/>
              </w:rPr>
              <w:t>Historical Period</w:t>
            </w:r>
          </w:p>
        </w:tc>
      </w:tr>
      <w:tr w14:paraId="52C39067" w14:textId="77777777" w:rsidTr="00F761EB">
        <w:tblPrEx>
          <w:tblW w:w="0" w:type="auto"/>
          <w:tblLook w:val="04A0"/>
        </w:tblPrEx>
        <w:tc>
          <w:tcPr>
            <w:tcW w:w="0" w:type="auto"/>
          </w:tcPr>
          <w:p w:rsidR="00FC2F89" w:rsidRPr="005E78FE" w:rsidP="0025007B" w14:paraId="4386EE80" w14:textId="08602FD5">
            <w:pPr>
              <w:jc w:val="center"/>
              <w:rPr>
                <w:rFonts w:ascii="Times New Roman" w:hAnsi="Times New Roman"/>
                <w:color w:val="000000"/>
                <w:sz w:val="22"/>
                <w:szCs w:val="22"/>
              </w:rPr>
            </w:pPr>
            <w:r>
              <w:rPr>
                <w:rFonts w:ascii="Times New Roman" w:hAnsi="Times New Roman"/>
                <w:color w:val="000000"/>
                <w:sz w:val="22"/>
                <w:szCs w:val="22"/>
              </w:rPr>
              <w:t>1</w:t>
            </w:r>
          </w:p>
        </w:tc>
        <w:tc>
          <w:tcPr>
            <w:tcW w:w="0" w:type="auto"/>
          </w:tcPr>
          <w:p w:rsidR="00FC2F89" w:rsidRPr="005E78FE" w:rsidP="00F761EB" w14:paraId="2A786FA8" w14:textId="7147B518">
            <w:pPr>
              <w:rPr>
                <w:rFonts w:ascii="Times New Roman" w:hAnsi="Times New Roman"/>
                <w:color w:val="000000"/>
                <w:sz w:val="22"/>
                <w:szCs w:val="22"/>
              </w:rPr>
            </w:pPr>
            <w:r>
              <w:rPr>
                <w:rFonts w:ascii="Times New Roman" w:hAnsi="Times New Roman"/>
                <w:color w:val="000000"/>
                <w:sz w:val="22"/>
                <w:szCs w:val="22"/>
              </w:rPr>
              <w:t>Instrument-Level Investment Portfolio</w:t>
            </w:r>
          </w:p>
        </w:tc>
        <w:tc>
          <w:tcPr>
            <w:tcW w:w="0" w:type="auto"/>
          </w:tcPr>
          <w:p w:rsidR="00FC2F89" w:rsidRPr="005E78FE" w:rsidP="00F761EB" w14:paraId="69603A9F" w14:textId="77777777">
            <w:pPr>
              <w:rPr>
                <w:rFonts w:ascii="Times New Roman" w:hAnsi="Times New Roman"/>
                <w:color w:val="000000"/>
                <w:sz w:val="22"/>
                <w:szCs w:val="22"/>
              </w:rPr>
            </w:pPr>
            <w:r w:rsidRPr="005E78FE">
              <w:rPr>
                <w:rFonts w:ascii="Times New Roman" w:hAnsi="Times New Roman"/>
                <w:color w:val="000000"/>
                <w:sz w:val="22"/>
                <w:szCs w:val="22"/>
              </w:rPr>
              <w:t>Assets</w:t>
            </w:r>
          </w:p>
        </w:tc>
        <w:tc>
          <w:tcPr>
            <w:tcW w:w="0" w:type="auto"/>
          </w:tcPr>
          <w:p w:rsidR="00FC2F89" w:rsidRPr="005E78FE" w:rsidP="00F761EB" w14:paraId="7C83438E" w14:textId="2ED9141C">
            <w:pPr>
              <w:rPr>
                <w:rFonts w:ascii="Times New Roman" w:hAnsi="Times New Roman"/>
                <w:color w:val="000000"/>
                <w:sz w:val="22"/>
                <w:szCs w:val="22"/>
              </w:rPr>
            </w:pPr>
            <w:r>
              <w:rPr>
                <w:rFonts w:ascii="Times New Roman" w:hAnsi="Times New Roman"/>
                <w:color w:val="000000"/>
                <w:sz w:val="22"/>
                <w:szCs w:val="22"/>
              </w:rPr>
              <w:t>12/31/2023 Snapshot</w:t>
            </w:r>
          </w:p>
        </w:tc>
      </w:tr>
      <w:tr w14:paraId="08EF946C" w14:textId="77777777" w:rsidTr="00F761EB">
        <w:tblPrEx>
          <w:tblW w:w="0" w:type="auto"/>
          <w:tblLook w:val="04A0"/>
        </w:tblPrEx>
        <w:tc>
          <w:tcPr>
            <w:tcW w:w="0" w:type="auto"/>
          </w:tcPr>
          <w:p w:rsidR="00FC2F89" w:rsidRPr="005E78FE" w:rsidP="000B1DC1" w14:paraId="1E029AD0" w14:textId="4017BB5A">
            <w:pPr>
              <w:jc w:val="center"/>
              <w:rPr>
                <w:rFonts w:ascii="Times New Roman" w:hAnsi="Times New Roman"/>
                <w:color w:val="000000"/>
                <w:sz w:val="22"/>
                <w:szCs w:val="22"/>
              </w:rPr>
            </w:pPr>
            <w:r>
              <w:rPr>
                <w:rFonts w:ascii="Times New Roman" w:hAnsi="Times New Roman"/>
                <w:color w:val="000000"/>
                <w:sz w:val="22"/>
                <w:szCs w:val="22"/>
              </w:rPr>
              <w:t>2</w:t>
            </w:r>
          </w:p>
        </w:tc>
        <w:tc>
          <w:tcPr>
            <w:tcW w:w="0" w:type="auto"/>
          </w:tcPr>
          <w:p w:rsidR="00FC2F89" w:rsidRPr="005E78FE" w:rsidP="000B1DC1" w14:paraId="64F9D502" w14:textId="42DE3CF4">
            <w:pPr>
              <w:rPr>
                <w:rFonts w:ascii="Times New Roman" w:hAnsi="Times New Roman"/>
                <w:color w:val="000000"/>
                <w:sz w:val="22"/>
                <w:szCs w:val="22"/>
              </w:rPr>
            </w:pPr>
            <w:bookmarkStart w:id="2" w:name="_Hlk142407279"/>
            <w:r>
              <w:rPr>
                <w:rFonts w:ascii="Times New Roman" w:hAnsi="Times New Roman"/>
                <w:color w:val="000000"/>
                <w:sz w:val="22"/>
                <w:szCs w:val="22"/>
              </w:rPr>
              <w:t xml:space="preserve">Account-level </w:t>
            </w:r>
            <w:r w:rsidRPr="005E78FE">
              <w:rPr>
                <w:rFonts w:ascii="Times New Roman" w:hAnsi="Times New Roman"/>
                <w:color w:val="000000"/>
                <w:sz w:val="22"/>
                <w:szCs w:val="22"/>
              </w:rPr>
              <w:t xml:space="preserve">Cash </w:t>
            </w:r>
            <w:r>
              <w:rPr>
                <w:rFonts w:ascii="Times New Roman" w:hAnsi="Times New Roman"/>
                <w:color w:val="000000"/>
                <w:sz w:val="22"/>
                <w:szCs w:val="22"/>
              </w:rPr>
              <w:t>and Cash Equivalents</w:t>
            </w:r>
            <w:bookmarkEnd w:id="2"/>
          </w:p>
        </w:tc>
        <w:tc>
          <w:tcPr>
            <w:tcW w:w="0" w:type="auto"/>
          </w:tcPr>
          <w:p w:rsidR="00FC2F89" w:rsidRPr="005E78FE" w:rsidP="000B1DC1" w14:paraId="5F6D9773" w14:textId="40FA8E08">
            <w:pPr>
              <w:rPr>
                <w:rFonts w:ascii="Times New Roman" w:hAnsi="Times New Roman"/>
                <w:color w:val="000000"/>
                <w:sz w:val="22"/>
                <w:szCs w:val="22"/>
              </w:rPr>
            </w:pPr>
            <w:r>
              <w:rPr>
                <w:rFonts w:ascii="Times New Roman" w:hAnsi="Times New Roman"/>
                <w:color w:val="000000"/>
                <w:sz w:val="22"/>
                <w:szCs w:val="22"/>
              </w:rPr>
              <w:t>Assets</w:t>
            </w:r>
          </w:p>
        </w:tc>
        <w:tc>
          <w:tcPr>
            <w:tcW w:w="0" w:type="auto"/>
          </w:tcPr>
          <w:p w:rsidR="00FC2F89" w:rsidRPr="005E78FE" w:rsidP="000B1DC1" w14:paraId="6C68BB8A" w14:textId="6FBFBA52">
            <w:pPr>
              <w:rPr>
                <w:rFonts w:ascii="Times New Roman" w:hAnsi="Times New Roman"/>
                <w:color w:val="000000"/>
                <w:sz w:val="22"/>
                <w:szCs w:val="22"/>
              </w:rPr>
            </w:pPr>
            <w:r>
              <w:rPr>
                <w:rFonts w:ascii="Times New Roman" w:hAnsi="Times New Roman"/>
                <w:color w:val="000000"/>
                <w:sz w:val="22"/>
                <w:szCs w:val="22"/>
              </w:rPr>
              <w:t>12/31/2023 Snapshot</w:t>
            </w:r>
          </w:p>
        </w:tc>
      </w:tr>
      <w:tr w14:paraId="13DC3D9D" w14:textId="77777777" w:rsidTr="00F761EB">
        <w:tblPrEx>
          <w:tblW w:w="0" w:type="auto"/>
          <w:tblLook w:val="04A0"/>
        </w:tblPrEx>
        <w:tc>
          <w:tcPr>
            <w:tcW w:w="0" w:type="auto"/>
          </w:tcPr>
          <w:p w:rsidR="00FC2F89" w:rsidRPr="005E78FE" w:rsidP="000B1DC1" w14:paraId="0F8E5A69" w14:textId="3A74DB71">
            <w:pPr>
              <w:jc w:val="center"/>
              <w:rPr>
                <w:rFonts w:ascii="Times New Roman" w:hAnsi="Times New Roman"/>
                <w:color w:val="000000"/>
                <w:sz w:val="22"/>
                <w:szCs w:val="22"/>
              </w:rPr>
            </w:pPr>
            <w:r>
              <w:rPr>
                <w:rFonts w:ascii="Times New Roman" w:hAnsi="Times New Roman"/>
                <w:color w:val="000000"/>
                <w:sz w:val="22"/>
                <w:szCs w:val="22"/>
              </w:rPr>
              <w:t>3</w:t>
            </w:r>
          </w:p>
        </w:tc>
        <w:tc>
          <w:tcPr>
            <w:tcW w:w="0" w:type="auto"/>
          </w:tcPr>
          <w:p w:rsidR="00FC2F89" w:rsidRPr="005E78FE" w:rsidP="000B1DC1" w14:paraId="632F3626" w14:textId="669936A7">
            <w:pPr>
              <w:rPr>
                <w:rFonts w:ascii="Times New Roman" w:hAnsi="Times New Roman"/>
                <w:color w:val="000000"/>
                <w:sz w:val="22"/>
                <w:szCs w:val="22"/>
              </w:rPr>
            </w:pPr>
            <w:r w:rsidRPr="005E78FE">
              <w:rPr>
                <w:rFonts w:ascii="Times New Roman" w:hAnsi="Times New Roman"/>
                <w:color w:val="000000"/>
                <w:sz w:val="22"/>
                <w:szCs w:val="22"/>
              </w:rPr>
              <w:t xml:space="preserve">Instrument-Level </w:t>
            </w:r>
            <w:r>
              <w:rPr>
                <w:rFonts w:ascii="Times New Roman" w:hAnsi="Times New Roman"/>
                <w:color w:val="000000"/>
                <w:sz w:val="22"/>
                <w:szCs w:val="22"/>
              </w:rPr>
              <w:t>Borrowings</w:t>
            </w:r>
          </w:p>
        </w:tc>
        <w:tc>
          <w:tcPr>
            <w:tcW w:w="0" w:type="auto"/>
          </w:tcPr>
          <w:p w:rsidR="00FC2F89" w:rsidRPr="005E78FE" w:rsidP="000B1DC1" w14:paraId="253D3F00" w14:textId="77777777">
            <w:pPr>
              <w:rPr>
                <w:rFonts w:ascii="Times New Roman" w:hAnsi="Times New Roman"/>
                <w:color w:val="000000"/>
                <w:sz w:val="22"/>
                <w:szCs w:val="22"/>
              </w:rPr>
            </w:pPr>
            <w:r w:rsidRPr="005E78FE">
              <w:rPr>
                <w:rFonts w:ascii="Times New Roman" w:hAnsi="Times New Roman"/>
                <w:color w:val="000000"/>
                <w:sz w:val="22"/>
                <w:szCs w:val="22"/>
              </w:rPr>
              <w:t>Liabilities</w:t>
            </w:r>
          </w:p>
        </w:tc>
        <w:tc>
          <w:tcPr>
            <w:tcW w:w="0" w:type="auto"/>
          </w:tcPr>
          <w:p w:rsidR="00FC2F89" w:rsidRPr="005E78FE" w:rsidP="000B1DC1" w14:paraId="4A17F343" w14:textId="41D1AB17">
            <w:pPr>
              <w:rPr>
                <w:rFonts w:ascii="Times New Roman" w:hAnsi="Times New Roman"/>
                <w:color w:val="000000"/>
                <w:sz w:val="22"/>
                <w:szCs w:val="22"/>
              </w:rPr>
            </w:pPr>
            <w:r>
              <w:rPr>
                <w:rFonts w:ascii="Times New Roman" w:hAnsi="Times New Roman"/>
                <w:color w:val="000000"/>
                <w:sz w:val="22"/>
                <w:szCs w:val="22"/>
              </w:rPr>
              <w:t>12/31/2023 Snapshot</w:t>
            </w:r>
          </w:p>
        </w:tc>
      </w:tr>
      <w:tr w14:paraId="46A9D7B5" w14:textId="77777777" w:rsidTr="00FC2F89">
        <w:tblPrEx>
          <w:tblW w:w="0" w:type="auto"/>
          <w:tblLook w:val="04A0"/>
        </w:tblPrEx>
        <w:tc>
          <w:tcPr>
            <w:tcW w:w="0" w:type="auto"/>
            <w:tcBorders>
              <w:bottom w:val="single" w:sz="4" w:space="0" w:color="auto"/>
            </w:tcBorders>
          </w:tcPr>
          <w:p w:rsidR="00FC2F89" w:rsidRPr="005E78FE" w:rsidP="00601DEC" w14:paraId="019C7574" w14:textId="427E8FAE">
            <w:pPr>
              <w:jc w:val="center"/>
              <w:rPr>
                <w:rFonts w:ascii="Times New Roman" w:hAnsi="Times New Roman"/>
                <w:color w:val="000000"/>
                <w:sz w:val="22"/>
                <w:szCs w:val="22"/>
              </w:rPr>
            </w:pPr>
            <w:r>
              <w:rPr>
                <w:rFonts w:ascii="Times New Roman" w:hAnsi="Times New Roman"/>
                <w:color w:val="000000"/>
                <w:sz w:val="22"/>
                <w:szCs w:val="22"/>
              </w:rPr>
              <w:t>4</w:t>
            </w:r>
          </w:p>
        </w:tc>
        <w:tc>
          <w:tcPr>
            <w:tcW w:w="0" w:type="auto"/>
            <w:tcBorders>
              <w:bottom w:val="single" w:sz="4" w:space="0" w:color="auto"/>
            </w:tcBorders>
          </w:tcPr>
          <w:p w:rsidR="00FC2F89" w:rsidRPr="005E78FE" w:rsidP="00601DEC" w14:paraId="6A528D40" w14:textId="0493ABDF">
            <w:pPr>
              <w:rPr>
                <w:rFonts w:ascii="Times New Roman" w:hAnsi="Times New Roman"/>
                <w:color w:val="000000"/>
                <w:sz w:val="22"/>
                <w:szCs w:val="22"/>
              </w:rPr>
            </w:pPr>
            <w:r w:rsidRPr="005E78FE">
              <w:rPr>
                <w:rFonts w:ascii="Times New Roman" w:hAnsi="Times New Roman"/>
                <w:color w:val="000000"/>
                <w:sz w:val="22"/>
                <w:szCs w:val="22"/>
              </w:rPr>
              <w:t>Credit Card Revolver Percentage</w:t>
            </w:r>
          </w:p>
        </w:tc>
        <w:tc>
          <w:tcPr>
            <w:tcW w:w="0" w:type="auto"/>
            <w:tcBorders>
              <w:bottom w:val="single" w:sz="4" w:space="0" w:color="auto"/>
            </w:tcBorders>
          </w:tcPr>
          <w:p w:rsidR="00FC2F89" w:rsidRPr="005E78FE" w:rsidP="00601DEC" w14:paraId="7C01AD3C" w14:textId="77777777">
            <w:pPr>
              <w:rPr>
                <w:rFonts w:ascii="Times New Roman" w:hAnsi="Times New Roman"/>
                <w:color w:val="000000"/>
                <w:sz w:val="22"/>
                <w:szCs w:val="22"/>
              </w:rPr>
            </w:pPr>
            <w:r w:rsidRPr="005E78FE">
              <w:rPr>
                <w:rFonts w:ascii="Times New Roman" w:hAnsi="Times New Roman"/>
                <w:color w:val="000000"/>
                <w:sz w:val="22"/>
                <w:szCs w:val="22"/>
              </w:rPr>
              <w:t>Assets</w:t>
            </w:r>
          </w:p>
        </w:tc>
        <w:tc>
          <w:tcPr>
            <w:tcW w:w="0" w:type="auto"/>
            <w:tcBorders>
              <w:bottom w:val="single" w:sz="4" w:space="0" w:color="auto"/>
            </w:tcBorders>
          </w:tcPr>
          <w:p w:rsidR="00FC2F89" w:rsidRPr="005E78FE" w:rsidP="00601DEC" w14:paraId="61243FA0" w14:textId="2FDB53B1">
            <w:pPr>
              <w:rPr>
                <w:rFonts w:ascii="Times New Roman" w:hAnsi="Times New Roman"/>
                <w:color w:val="000000"/>
                <w:sz w:val="22"/>
                <w:szCs w:val="22"/>
              </w:rPr>
            </w:pPr>
            <w:r>
              <w:rPr>
                <w:rFonts w:ascii="Times New Roman" w:hAnsi="Times New Roman"/>
                <w:color w:val="000000"/>
                <w:sz w:val="22"/>
                <w:szCs w:val="22"/>
              </w:rPr>
              <w:t>Monthly data for</w:t>
            </w:r>
            <w:r w:rsidR="00701038">
              <w:rPr>
                <w:rFonts w:ascii="Times New Roman" w:hAnsi="Times New Roman"/>
                <w:color w:val="000000"/>
                <w:sz w:val="22"/>
                <w:szCs w:val="22"/>
              </w:rPr>
              <w:t xml:space="preserve"> 12</w:t>
            </w:r>
            <w:r>
              <w:rPr>
                <w:rFonts w:ascii="Times New Roman" w:hAnsi="Times New Roman"/>
                <w:color w:val="000000"/>
                <w:sz w:val="22"/>
                <w:szCs w:val="22"/>
              </w:rPr>
              <w:t xml:space="preserve"> </w:t>
            </w:r>
            <w:r w:rsidR="00701038">
              <w:rPr>
                <w:rFonts w:ascii="Times New Roman" w:hAnsi="Times New Roman"/>
                <w:color w:val="000000"/>
                <w:sz w:val="22"/>
                <w:szCs w:val="22"/>
              </w:rPr>
              <w:t>months</w:t>
            </w:r>
            <w:r>
              <w:rPr>
                <w:rFonts w:ascii="Times New Roman" w:hAnsi="Times New Roman"/>
                <w:color w:val="000000"/>
                <w:sz w:val="22"/>
                <w:szCs w:val="22"/>
              </w:rPr>
              <w:t xml:space="preserve"> through 12/31/2023</w:t>
            </w:r>
          </w:p>
        </w:tc>
      </w:tr>
    </w:tbl>
    <w:p w:rsidR="00D11B00" w14:paraId="646E2862" w14:textId="77777777">
      <w:pPr>
        <w:rPr>
          <w:rFonts w:ascii="Arial" w:hAnsi="Arial"/>
          <w:b/>
          <w:color w:val="305197"/>
          <w:sz w:val="40"/>
        </w:rPr>
      </w:pPr>
      <w:r>
        <w:br w:type="page"/>
      </w:r>
    </w:p>
    <w:p w:rsidR="009B01E4" w14:paraId="1BCF6C7F" w14:textId="50D286DA">
      <w:pPr>
        <w:pStyle w:val="Heading1"/>
      </w:pPr>
      <w:r>
        <w:t xml:space="preserve">1. </w:t>
      </w:r>
      <w:r w:rsidR="00701038">
        <w:t xml:space="preserve">Instrument-Level </w:t>
      </w:r>
      <w:r w:rsidRPr="00E2758F" w:rsidR="00701038">
        <w:t>Investment Portfolio</w:t>
      </w:r>
    </w:p>
    <w:p w:rsidR="00DA2D5E" w:rsidRPr="00DA58EB" w:rsidP="00DA2D5E" w14:paraId="2AB979C1" w14:textId="0C5AE17A">
      <w:pPr>
        <w:rPr>
          <w:rFonts w:ascii="Times New Roman" w:hAnsi="Times New Roman"/>
        </w:rPr>
      </w:pPr>
      <w:r w:rsidRPr="00DA58EB">
        <w:rPr>
          <w:rFonts w:ascii="Times New Roman" w:hAnsi="Times New Roman"/>
        </w:rPr>
        <w:t xml:space="preserve">Use the </w:t>
      </w:r>
      <w:r w:rsidRPr="00DA58EB" w:rsidR="00D11B00">
        <w:rPr>
          <w:rFonts w:ascii="Times New Roman" w:hAnsi="Times New Roman"/>
        </w:rPr>
        <w:t xml:space="preserve">Investment template provided by NCUA to provide an </w:t>
      </w:r>
      <w:r w:rsidR="000613FD">
        <w:rPr>
          <w:rFonts w:ascii="Times New Roman" w:hAnsi="Times New Roman"/>
        </w:rPr>
        <w:t>instrument-level</w:t>
      </w:r>
      <w:r w:rsidRPr="00DA58EB" w:rsidR="00D11B00">
        <w:rPr>
          <w:rFonts w:ascii="Times New Roman" w:hAnsi="Times New Roman"/>
        </w:rPr>
        <w:t xml:space="preserve"> snapshot of your institution’s investment portfolio</w:t>
      </w:r>
      <w:r w:rsidRPr="00DA58EB" w:rsidR="00AF7AE4">
        <w:rPr>
          <w:rFonts w:ascii="Times New Roman" w:hAnsi="Times New Roman"/>
        </w:rPr>
        <w:t xml:space="preserve"> as of the requested December 31 snapshot date</w:t>
      </w:r>
      <w:r w:rsidRPr="00DA58EB" w:rsidR="00D11B00">
        <w:rPr>
          <w:rFonts w:ascii="Times New Roman" w:hAnsi="Times New Roman"/>
        </w:rPr>
        <w:t xml:space="preserve">. </w:t>
      </w:r>
      <w:r w:rsidR="00C96335">
        <w:rPr>
          <w:rFonts w:ascii="Times New Roman" w:hAnsi="Times New Roman"/>
        </w:rPr>
        <w:t xml:space="preserve"> </w:t>
      </w:r>
      <w:r w:rsidRPr="00DA58EB" w:rsidR="00D11B00">
        <w:rPr>
          <w:rFonts w:ascii="Times New Roman" w:hAnsi="Times New Roman"/>
        </w:rPr>
        <w:t>Include data in your investment portfolio, employee benefit</w:t>
      </w:r>
      <w:r w:rsidR="00C96335">
        <w:rPr>
          <w:rFonts w:ascii="Times New Roman" w:hAnsi="Times New Roman"/>
        </w:rPr>
        <w:t>-</w:t>
      </w:r>
      <w:r w:rsidRPr="00DA58EB" w:rsidR="00D11B00">
        <w:rPr>
          <w:rFonts w:ascii="Times New Roman" w:hAnsi="Times New Roman"/>
        </w:rPr>
        <w:t>related investments</w:t>
      </w:r>
      <w:r w:rsidR="000613FD">
        <w:rPr>
          <w:rFonts w:ascii="Times New Roman" w:hAnsi="Times New Roman"/>
        </w:rPr>
        <w:t>,</w:t>
      </w:r>
      <w:r w:rsidRPr="00DA58EB" w:rsidR="00D11B00">
        <w:rPr>
          <w:rFonts w:ascii="Times New Roman" w:hAnsi="Times New Roman"/>
        </w:rPr>
        <w:t xml:space="preserve"> and charitable donation accounts.</w:t>
      </w:r>
    </w:p>
    <w:p w:rsidR="00903BC1" w:rsidRPr="00DA58EB" w:rsidP="00DA2D5E" w14:paraId="4EA3524B" w14:textId="6A98DF22">
      <w:pPr>
        <w:rPr>
          <w:rFonts w:ascii="Times New Roman" w:hAnsi="Times New Roman"/>
        </w:rPr>
      </w:pPr>
    </w:p>
    <w:p w:rsidR="00903BC1" w:rsidRPr="00DA58EB" w:rsidP="00DA2D5E" w14:paraId="05B51E08" w14:textId="581D6C28">
      <w:pPr>
        <w:rPr>
          <w:rFonts w:ascii="Times New Roman" w:hAnsi="Times New Roman"/>
        </w:rPr>
      </w:pPr>
      <w:r w:rsidRPr="00DA58EB">
        <w:rPr>
          <w:rFonts w:ascii="Times New Roman" w:hAnsi="Times New Roman"/>
        </w:rPr>
        <w:t>Exclude</w:t>
      </w:r>
      <w:r w:rsidRPr="00DA58EB">
        <w:rPr>
          <w:rFonts w:ascii="Times New Roman" w:hAnsi="Times New Roman"/>
        </w:rPr>
        <w:t xml:space="preserve"> any cash and cash equivalents, including time deposits, that</w:t>
      </w:r>
      <w:r w:rsidRPr="00DA58EB" w:rsidR="00FC7648">
        <w:rPr>
          <w:rFonts w:ascii="Times New Roman" w:hAnsi="Times New Roman"/>
        </w:rPr>
        <w:t xml:space="preserve"> are reported</w:t>
      </w:r>
      <w:r w:rsidRPr="00DA58EB">
        <w:rPr>
          <w:rFonts w:ascii="Times New Roman" w:hAnsi="Times New Roman"/>
        </w:rPr>
        <w:t xml:space="preserve"> in the Cash and Cash deposits section of the Call Report, Statement of Financial Condition</w:t>
      </w:r>
      <w:r w:rsidRPr="00DA58EB">
        <w:rPr>
          <w:rFonts w:ascii="Times New Roman" w:hAnsi="Times New Roman"/>
        </w:rPr>
        <w:t>. These accounts are reported</w:t>
      </w:r>
      <w:r w:rsidRPr="00DA58EB">
        <w:rPr>
          <w:rFonts w:ascii="Times New Roman" w:hAnsi="Times New Roman"/>
        </w:rPr>
        <w:t xml:space="preserve"> in the Cash template (Item </w:t>
      </w:r>
      <w:r w:rsidRPr="00DA58EB">
        <w:rPr>
          <w:rFonts w:ascii="Times New Roman" w:hAnsi="Times New Roman"/>
        </w:rPr>
        <w:fldChar w:fldCharType="begin"/>
      </w:r>
      <w:r w:rsidRPr="00DA58EB">
        <w:rPr>
          <w:rFonts w:ascii="Times New Roman" w:hAnsi="Times New Roman"/>
        </w:rPr>
        <w:instrText xml:space="preserve"> REF _Ref143505903 \h </w:instrText>
      </w:r>
      <w:r w:rsidR="00DA58EB">
        <w:rPr>
          <w:rFonts w:ascii="Times New Roman" w:hAnsi="Times New Roman"/>
        </w:rPr>
        <w:instrText xml:space="preserve"> \* MERGEFORMAT </w:instrText>
      </w:r>
      <w:r w:rsidRPr="00DA58EB">
        <w:rPr>
          <w:rFonts w:ascii="Times New Roman" w:hAnsi="Times New Roman"/>
        </w:rPr>
        <w:fldChar w:fldCharType="separate"/>
      </w:r>
      <w:r w:rsidRPr="00DA58EB">
        <w:rPr>
          <w:rFonts w:ascii="Times New Roman" w:hAnsi="Times New Roman"/>
        </w:rPr>
        <w:t>2. Account-level Cash and Cash Equivalents</w:t>
      </w:r>
      <w:r w:rsidRPr="00DA58EB">
        <w:rPr>
          <w:rFonts w:ascii="Times New Roman" w:hAnsi="Times New Roman"/>
        </w:rPr>
        <w:fldChar w:fldCharType="end"/>
      </w:r>
      <w:r w:rsidRPr="00DA58EB">
        <w:rPr>
          <w:rFonts w:ascii="Times New Roman" w:hAnsi="Times New Roman"/>
        </w:rPr>
        <w:t>).</w:t>
      </w:r>
    </w:p>
    <w:p w:rsidR="006823E0" w:rsidP="00D11B00" w14:paraId="39D5E635" w14:textId="27B3F835">
      <w:pPr>
        <w:rPr>
          <w:rFonts w:ascii="Times New Roman" w:hAnsi="Times New Roman"/>
        </w:rPr>
      </w:pPr>
    </w:p>
    <w:p w:rsidR="00D11B00" w:rsidP="001A4D18" w14:paraId="6364B9AE" w14:textId="2C9C98C4">
      <w:pPr>
        <w:pStyle w:val="Heading1"/>
      </w:pPr>
      <w:bookmarkStart w:id="3" w:name="_Ref143505903"/>
      <w:r>
        <w:t>2</w:t>
      </w:r>
      <w:r>
        <w:t xml:space="preserve">. </w:t>
      </w:r>
      <w:r w:rsidRPr="007B727B" w:rsidR="007B727B">
        <w:t>Account-level Cash and Cash Equivalents</w:t>
      </w:r>
      <w:bookmarkEnd w:id="3"/>
    </w:p>
    <w:p w:rsidR="00D11B00" w:rsidP="00D11B00" w14:paraId="3E45DD8C" w14:textId="3A84EC01">
      <w:pPr>
        <w:rPr>
          <w:rFonts w:ascii="Times New Roman" w:hAnsi="Times New Roman"/>
        </w:rPr>
      </w:pPr>
      <w:r>
        <w:rPr>
          <w:rFonts w:ascii="Times New Roman" w:hAnsi="Times New Roman"/>
        </w:rPr>
        <w:t xml:space="preserve">Use the Cash template provided by NCUA to provide an </w:t>
      </w:r>
      <w:r w:rsidR="000613FD">
        <w:rPr>
          <w:rFonts w:ascii="Times New Roman" w:hAnsi="Times New Roman"/>
        </w:rPr>
        <w:t>account-level</w:t>
      </w:r>
      <w:r>
        <w:rPr>
          <w:rFonts w:ascii="Times New Roman" w:hAnsi="Times New Roman"/>
        </w:rPr>
        <w:t xml:space="preserve"> snapshot of your institution’s </w:t>
      </w:r>
      <w:r w:rsidR="00E766E8">
        <w:rPr>
          <w:rFonts w:ascii="Times New Roman" w:hAnsi="Times New Roman"/>
        </w:rPr>
        <w:t xml:space="preserve">cash </w:t>
      </w:r>
      <w:r w:rsidR="000B62A7">
        <w:rPr>
          <w:rFonts w:ascii="Times New Roman" w:hAnsi="Times New Roman"/>
        </w:rPr>
        <w:t xml:space="preserve">asset </w:t>
      </w:r>
      <w:r w:rsidR="00E766E8">
        <w:rPr>
          <w:rFonts w:ascii="Times New Roman" w:hAnsi="Times New Roman"/>
        </w:rPr>
        <w:t>accounts held at other institutions</w:t>
      </w:r>
      <w:r w:rsidR="000B62A7">
        <w:rPr>
          <w:rFonts w:ascii="Times New Roman" w:hAnsi="Times New Roman"/>
        </w:rPr>
        <w:t xml:space="preserve">, </w:t>
      </w:r>
      <w:r w:rsidR="00E766E8">
        <w:rPr>
          <w:rFonts w:ascii="Times New Roman" w:hAnsi="Times New Roman"/>
        </w:rPr>
        <w:t>time deposit assets</w:t>
      </w:r>
      <w:r w:rsidR="008D18B9">
        <w:rPr>
          <w:rFonts w:ascii="Times New Roman" w:hAnsi="Times New Roman"/>
        </w:rPr>
        <w:t>,</w:t>
      </w:r>
      <w:r w:rsidR="000B62A7">
        <w:rPr>
          <w:rFonts w:ascii="Times New Roman" w:hAnsi="Times New Roman"/>
        </w:rPr>
        <w:t xml:space="preserve"> or all other deposit assets</w:t>
      </w:r>
      <w:r w:rsidR="00AF7AE4">
        <w:rPr>
          <w:rFonts w:ascii="Times New Roman" w:hAnsi="Times New Roman"/>
        </w:rPr>
        <w:t xml:space="preserve"> as of the requested December 31 snapshot date</w:t>
      </w:r>
      <w:r>
        <w:rPr>
          <w:rFonts w:ascii="Times New Roman" w:hAnsi="Times New Roman"/>
        </w:rPr>
        <w:t>.</w:t>
      </w:r>
    </w:p>
    <w:p w:rsidR="00FC7648" w:rsidP="00D11B00" w14:paraId="07C313EF" w14:textId="61E06322">
      <w:pPr>
        <w:rPr>
          <w:rFonts w:ascii="Times New Roman" w:hAnsi="Times New Roman"/>
        </w:rPr>
      </w:pPr>
    </w:p>
    <w:p w:rsidR="00E2758F" w:rsidP="00E2758F" w14:paraId="19A64818" w14:textId="16326704">
      <w:r>
        <w:rPr>
          <w:rFonts w:ascii="Times New Roman" w:hAnsi="Times New Roman"/>
        </w:rPr>
        <w:t>This should include a</w:t>
      </w:r>
      <w:r w:rsidR="00E766E8">
        <w:rPr>
          <w:rFonts w:ascii="Times New Roman" w:hAnsi="Times New Roman"/>
        </w:rPr>
        <w:t>ccount-level detail for any</w:t>
      </w:r>
      <w:r>
        <w:rPr>
          <w:rFonts w:ascii="Times New Roman" w:hAnsi="Times New Roman"/>
        </w:rPr>
        <w:t xml:space="preserve"> cash </w:t>
      </w:r>
      <w:r w:rsidR="000B62A7">
        <w:rPr>
          <w:rFonts w:ascii="Times New Roman" w:hAnsi="Times New Roman"/>
        </w:rPr>
        <w:t xml:space="preserve">assets </w:t>
      </w:r>
      <w:r w:rsidR="00E766E8">
        <w:rPr>
          <w:rFonts w:ascii="Times New Roman" w:hAnsi="Times New Roman"/>
        </w:rPr>
        <w:t>on deposit</w:t>
      </w:r>
      <w:r w:rsidR="000B62A7">
        <w:rPr>
          <w:rFonts w:ascii="Times New Roman" w:hAnsi="Times New Roman"/>
        </w:rPr>
        <w:t xml:space="preserve"> at other institutions, </w:t>
      </w:r>
      <w:r w:rsidR="00E766E8">
        <w:rPr>
          <w:rFonts w:ascii="Times New Roman" w:hAnsi="Times New Roman"/>
        </w:rPr>
        <w:t>time</w:t>
      </w:r>
      <w:r>
        <w:rPr>
          <w:rFonts w:ascii="Times New Roman" w:hAnsi="Times New Roman"/>
        </w:rPr>
        <w:t xml:space="preserve"> deposits</w:t>
      </w:r>
      <w:r w:rsidR="008D18B9">
        <w:rPr>
          <w:rFonts w:ascii="Times New Roman" w:hAnsi="Times New Roman"/>
        </w:rPr>
        <w:t>,</w:t>
      </w:r>
      <w:r w:rsidR="000B62A7">
        <w:rPr>
          <w:rFonts w:ascii="Times New Roman" w:hAnsi="Times New Roman"/>
        </w:rPr>
        <w:t xml:space="preserve"> or all other deposit assets</w:t>
      </w:r>
      <w:r>
        <w:rPr>
          <w:rFonts w:ascii="Times New Roman" w:hAnsi="Times New Roman"/>
        </w:rPr>
        <w:t xml:space="preserve">, that are reported in the </w:t>
      </w:r>
      <w:r w:rsidR="00E766E8">
        <w:rPr>
          <w:rFonts w:ascii="Times New Roman" w:hAnsi="Times New Roman"/>
        </w:rPr>
        <w:t xml:space="preserve">Cash on Deposit or Time Deposits sections of the </w:t>
      </w:r>
      <w:r>
        <w:rPr>
          <w:rFonts w:ascii="Times New Roman" w:hAnsi="Times New Roman"/>
        </w:rPr>
        <w:t xml:space="preserve">Cash and </w:t>
      </w:r>
      <w:r w:rsidR="00E766E8">
        <w:rPr>
          <w:rFonts w:ascii="Times New Roman" w:hAnsi="Times New Roman"/>
        </w:rPr>
        <w:t>Deposits Asset</w:t>
      </w:r>
      <w:r>
        <w:rPr>
          <w:rFonts w:ascii="Times New Roman" w:hAnsi="Times New Roman"/>
        </w:rPr>
        <w:t xml:space="preserve"> section of the Call Report, Statement of Financial Condition.</w:t>
      </w:r>
    </w:p>
    <w:p w:rsidR="00E2758F" w:rsidP="001A4D18" w14:paraId="2FC6B6DB" w14:textId="08924FF4">
      <w:pPr>
        <w:pStyle w:val="Heading1"/>
      </w:pPr>
      <w:r>
        <w:t>3</w:t>
      </w:r>
      <w:r>
        <w:t xml:space="preserve">. Instrument-Level </w:t>
      </w:r>
      <w:r w:rsidR="00D11B00">
        <w:t>Borrowings</w:t>
      </w:r>
    </w:p>
    <w:p w:rsidR="00E2758F" w:rsidRPr="00E2758F" w:rsidP="00E2758F" w14:paraId="6D85CA9F" w14:textId="26A6B2C3">
      <w:pPr>
        <w:rPr>
          <w:rFonts w:ascii="Times New Roman" w:hAnsi="Times New Roman"/>
        </w:rPr>
      </w:pPr>
      <w:r>
        <w:rPr>
          <w:rFonts w:ascii="Times New Roman" w:hAnsi="Times New Roman"/>
        </w:rPr>
        <w:t xml:space="preserve">Use the Borrowings template provided by NCUA to </w:t>
      </w:r>
      <w:r w:rsidRPr="00E2758F">
        <w:rPr>
          <w:rFonts w:ascii="Times New Roman" w:hAnsi="Times New Roman"/>
        </w:rPr>
        <w:t xml:space="preserve">Please </w:t>
      </w:r>
      <w:r w:rsidR="00A67C6A">
        <w:rPr>
          <w:rFonts w:ascii="Times New Roman" w:hAnsi="Times New Roman"/>
        </w:rPr>
        <w:t>provide</w:t>
      </w:r>
      <w:r w:rsidRPr="00E2758F">
        <w:rPr>
          <w:rFonts w:ascii="Times New Roman" w:hAnsi="Times New Roman"/>
        </w:rPr>
        <w:t xml:space="preserve"> </w:t>
      </w:r>
      <w:r w:rsidR="000613FD">
        <w:rPr>
          <w:rFonts w:ascii="Times New Roman" w:hAnsi="Times New Roman"/>
        </w:rPr>
        <w:t>instrument-level</w:t>
      </w:r>
      <w:r>
        <w:rPr>
          <w:rFonts w:ascii="Times New Roman" w:hAnsi="Times New Roman"/>
        </w:rPr>
        <w:t xml:space="preserve"> data on your institution’s borrowings</w:t>
      </w:r>
      <w:r w:rsidR="00AF7AE4">
        <w:rPr>
          <w:rFonts w:ascii="Times New Roman" w:hAnsi="Times New Roman"/>
        </w:rPr>
        <w:t xml:space="preserve"> as of the requested December 31 snapshot date</w:t>
      </w:r>
      <w:r>
        <w:rPr>
          <w:rFonts w:ascii="Times New Roman" w:hAnsi="Times New Roman"/>
        </w:rPr>
        <w:t>.</w:t>
      </w:r>
    </w:p>
    <w:p w:rsidR="00E2758F" w:rsidP="00E2758F" w14:paraId="773158F6" w14:textId="0601B3B6"/>
    <w:p w:rsidR="00644914" w:rsidRPr="0094172B" w:rsidP="0094172B" w14:paraId="70BD7788" w14:textId="77777777"/>
    <w:p w:rsidR="00110090" w:rsidRPr="00D11B00" w:rsidP="001A4D18" w14:paraId="36D6C144" w14:textId="6FF90EF7">
      <w:pPr>
        <w:pStyle w:val="Heading1"/>
      </w:pPr>
      <w:bookmarkStart w:id="4" w:name="_Hlk120694281"/>
      <w:r>
        <w:t>4</w:t>
      </w:r>
      <w:r w:rsidR="00E2758F">
        <w:t xml:space="preserve">. </w:t>
      </w:r>
      <w:bookmarkEnd w:id="4"/>
      <w:r w:rsidRPr="0094172B" w:rsidR="0094172B">
        <w:t>Credit Card Revolver Percentage</w:t>
      </w:r>
    </w:p>
    <w:p w:rsidR="00E2758F" w:rsidRPr="00DA58EB" w:rsidP="00D11B00" w14:paraId="7472344D" w14:textId="5CB65A84">
      <w:pPr>
        <w:rPr>
          <w:rFonts w:ascii="Times New Roman" w:hAnsi="Times New Roman"/>
        </w:rPr>
      </w:pPr>
      <w:r w:rsidRPr="00DA58EB">
        <w:rPr>
          <w:rFonts w:ascii="Times New Roman" w:hAnsi="Times New Roman"/>
        </w:rPr>
        <w:t>Provide the</w:t>
      </w:r>
      <w:r w:rsidRPr="00DA58EB" w:rsidR="000B1DC1">
        <w:rPr>
          <w:rFonts w:ascii="Times New Roman" w:hAnsi="Times New Roman"/>
        </w:rPr>
        <w:t xml:space="preserve"> percentage of the credit card portfolio balance associated with revolvers (i.e., % of portfolio bearing interest, as opposed to transactor balances for which no interest is incurred by the borrower as </w:t>
      </w:r>
      <w:r w:rsidR="000613FD">
        <w:rPr>
          <w:rFonts w:ascii="Times New Roman" w:hAnsi="Times New Roman"/>
        </w:rPr>
        <w:t xml:space="preserve">the </w:t>
      </w:r>
      <w:r w:rsidRPr="00DA58EB" w:rsidR="000B1DC1">
        <w:rPr>
          <w:rFonts w:ascii="Times New Roman" w:hAnsi="Times New Roman"/>
        </w:rPr>
        <w:t xml:space="preserve">balance </w:t>
      </w:r>
      <w:r w:rsidR="00C96335">
        <w:rPr>
          <w:rFonts w:ascii="Times New Roman" w:hAnsi="Times New Roman"/>
        </w:rPr>
        <w:t xml:space="preserve">is paid off </w:t>
      </w:r>
      <w:r w:rsidRPr="00DA58EB" w:rsidR="000B1DC1">
        <w:rPr>
          <w:rFonts w:ascii="Times New Roman" w:hAnsi="Times New Roman"/>
        </w:rPr>
        <w:t xml:space="preserve">each period). </w:t>
      </w:r>
      <w:r w:rsidR="00C96335">
        <w:rPr>
          <w:rFonts w:ascii="Times New Roman" w:hAnsi="Times New Roman"/>
        </w:rPr>
        <w:t xml:space="preserve"> </w:t>
      </w:r>
      <w:r w:rsidRPr="00DA58EB">
        <w:rPr>
          <w:rFonts w:ascii="Times New Roman" w:hAnsi="Times New Roman"/>
        </w:rPr>
        <w:t xml:space="preserve">Please provide the </w:t>
      </w:r>
      <w:r w:rsidRPr="00DA58EB" w:rsidR="00701038">
        <w:rPr>
          <w:rFonts w:ascii="Times New Roman" w:hAnsi="Times New Roman"/>
        </w:rPr>
        <w:t xml:space="preserve">monthly breakdown for the 12 months ending with </w:t>
      </w:r>
      <w:r w:rsidR="000613FD">
        <w:rPr>
          <w:rFonts w:ascii="Times New Roman" w:hAnsi="Times New Roman"/>
        </w:rPr>
        <w:t xml:space="preserve">the </w:t>
      </w:r>
      <w:r w:rsidRPr="00DA58EB" w:rsidR="00701038">
        <w:rPr>
          <w:rFonts w:ascii="Times New Roman" w:hAnsi="Times New Roman"/>
        </w:rPr>
        <w:t xml:space="preserve">snapshot date indicated in </w:t>
      </w:r>
      <w:r w:rsidRPr="00DA58EB" w:rsidR="00701038">
        <w:rPr>
          <w:rFonts w:ascii="Times New Roman" w:hAnsi="Times New Roman"/>
        </w:rPr>
        <w:fldChar w:fldCharType="begin"/>
      </w:r>
      <w:r w:rsidRPr="00DA58EB" w:rsidR="00701038">
        <w:rPr>
          <w:rFonts w:ascii="Times New Roman" w:hAnsi="Times New Roman"/>
        </w:rPr>
        <w:instrText xml:space="preserve"> REF _Ref119659188 \h </w:instrText>
      </w:r>
      <w:r w:rsidR="00DA58EB">
        <w:rPr>
          <w:rFonts w:ascii="Times New Roman" w:hAnsi="Times New Roman"/>
        </w:rPr>
        <w:instrText xml:space="preserve"> \* MERGEFORMAT </w:instrText>
      </w:r>
      <w:r w:rsidRPr="00DA58EB" w:rsidR="00701038">
        <w:rPr>
          <w:rFonts w:ascii="Times New Roman" w:hAnsi="Times New Roman"/>
        </w:rPr>
        <w:fldChar w:fldCharType="separate"/>
      </w:r>
      <w:r w:rsidRPr="00DA58EB" w:rsidR="00701038">
        <w:rPr>
          <w:rFonts w:ascii="Times New Roman" w:hAnsi="Times New Roman"/>
        </w:rPr>
        <w:t xml:space="preserve">Table </w:t>
      </w:r>
      <w:r w:rsidRPr="00DA58EB" w:rsidR="00701038">
        <w:rPr>
          <w:rFonts w:ascii="Times New Roman" w:hAnsi="Times New Roman"/>
          <w:noProof/>
        </w:rPr>
        <w:t>1</w:t>
      </w:r>
      <w:r w:rsidRPr="00DA58EB" w:rsidR="00701038">
        <w:rPr>
          <w:rFonts w:ascii="Times New Roman" w:hAnsi="Times New Roman"/>
        </w:rPr>
        <w:fldChar w:fldCharType="end"/>
      </w:r>
      <w:r w:rsidRPr="00DA58EB" w:rsidR="00701038">
        <w:rPr>
          <w:rFonts w:ascii="Times New Roman" w:hAnsi="Times New Roman"/>
        </w:rPr>
        <w:t xml:space="preserve">. </w:t>
      </w:r>
      <w:r w:rsidR="00C96335">
        <w:rPr>
          <w:rFonts w:ascii="Times New Roman" w:hAnsi="Times New Roman"/>
        </w:rPr>
        <w:t xml:space="preserve"> </w:t>
      </w:r>
      <w:r w:rsidRPr="00DA58EB" w:rsidR="00701038">
        <w:rPr>
          <w:rFonts w:ascii="Times New Roman" w:hAnsi="Times New Roman"/>
        </w:rPr>
        <w:t>O</w:t>
      </w:r>
      <w:r w:rsidRPr="00DA58EB">
        <w:rPr>
          <w:rFonts w:ascii="Times New Roman" w:hAnsi="Times New Roman"/>
        </w:rPr>
        <w:t xml:space="preserve">nly provide annual values </w:t>
      </w:r>
      <w:r w:rsidRPr="00DA58EB" w:rsidR="00701038">
        <w:rPr>
          <w:rFonts w:ascii="Times New Roman" w:hAnsi="Times New Roman"/>
        </w:rPr>
        <w:t xml:space="preserve">summarizing the entire 12-month period ending with the snapshot date </w:t>
      </w:r>
      <w:r w:rsidRPr="00DA58EB">
        <w:rPr>
          <w:rFonts w:ascii="Times New Roman" w:hAnsi="Times New Roman"/>
        </w:rPr>
        <w:t>if you are unable to calculate the</w:t>
      </w:r>
      <w:r w:rsidRPr="00DA58EB" w:rsidR="00701038">
        <w:rPr>
          <w:rFonts w:ascii="Times New Roman" w:hAnsi="Times New Roman"/>
        </w:rPr>
        <w:t xml:space="preserve"> requested</w:t>
      </w:r>
      <w:r w:rsidRPr="00DA58EB">
        <w:rPr>
          <w:rFonts w:ascii="Times New Roman" w:hAnsi="Times New Roman"/>
        </w:rPr>
        <w:t xml:space="preserve"> value monthly.</w:t>
      </w:r>
    </w:p>
    <w:p w:rsidR="00644914" w:rsidRPr="00DA58EB" w:rsidP="00D11B00" w14:paraId="60961A07" w14:textId="77777777">
      <w:pPr>
        <w:rPr>
          <w:rFonts w:ascii="Times New Roman" w:hAnsi="Times New Roman"/>
        </w:rPr>
      </w:pPr>
    </w:p>
    <w:p w:rsidR="00644914" w:rsidRPr="00DA58EB" w:rsidP="00D11B00" w14:paraId="3F13BDAA" w14:textId="0E16C17A">
      <w:pPr>
        <w:rPr>
          <w:rFonts w:ascii="Times New Roman" w:hAnsi="Times New Roman"/>
        </w:rPr>
      </w:pPr>
      <w:r w:rsidRPr="00DA58EB">
        <w:rPr>
          <w:rFonts w:ascii="Times New Roman" w:hAnsi="Times New Roman"/>
        </w:rPr>
        <w:t xml:space="preserve">If your credit union does not have an internal policy for classifying credit cards as revolvers (accounts bearing interest income, in contrast to transactor accounts that don’t earn interest, but have transaction income) the percentage can be calculated using the percentage of credit card balances that incurred interest each month. </w:t>
      </w:r>
      <w:r w:rsidR="00C96335">
        <w:rPr>
          <w:rFonts w:ascii="Times New Roman" w:hAnsi="Times New Roman"/>
        </w:rPr>
        <w:t xml:space="preserve"> </w:t>
      </w:r>
      <w:r w:rsidRPr="00DA58EB">
        <w:rPr>
          <w:rFonts w:ascii="Times New Roman" w:hAnsi="Times New Roman"/>
        </w:rPr>
        <w:t xml:space="preserve">However, if your credit union has an internal policy for classifying credit cards as revolvers it should be used to report the percentage for each monthly period. </w:t>
      </w:r>
      <w:r w:rsidR="00C96335">
        <w:rPr>
          <w:rFonts w:ascii="Times New Roman" w:hAnsi="Times New Roman"/>
        </w:rPr>
        <w:t xml:space="preserve"> </w:t>
      </w:r>
      <w:r w:rsidRPr="00DA58EB">
        <w:rPr>
          <w:rFonts w:ascii="Times New Roman" w:hAnsi="Times New Roman"/>
        </w:rPr>
        <w:t>Calculate the percentage as a percentage of credit card balances, not counts.</w:t>
      </w:r>
    </w:p>
    <w:p w:rsidR="00110090" w:rsidP="00B10BEB" w14:paraId="32561290" w14:textId="502BEE39">
      <w:pPr>
        <w:ind w:left="360" w:hanging="360"/>
        <w:rPr>
          <w:rFonts w:ascii="Times New Roman" w:hAnsi="Times New Roman"/>
        </w:rPr>
      </w:pPr>
    </w:p>
    <w:p w:rsidR="007B727B" w:rsidRPr="00D11B00" w:rsidP="001A4D18" w14:paraId="12A256A5" w14:textId="7B4268A4">
      <w:pPr>
        <w:pStyle w:val="Heading1"/>
      </w:pPr>
      <w:r>
        <w:t>5</w:t>
      </w:r>
      <w:r>
        <w:t>. Reporting Format</w:t>
      </w:r>
    </w:p>
    <w:p w:rsidR="00701038" w:rsidP="00701038" w14:paraId="0D6F8F34" w14:textId="71949924">
      <w:pPr>
        <w:rPr>
          <w:rFonts w:ascii="Times New Roman" w:hAnsi="Times New Roman"/>
        </w:rPr>
      </w:pPr>
      <w:r>
        <w:rPr>
          <w:rFonts w:ascii="Times New Roman" w:hAnsi="Times New Roman"/>
        </w:rPr>
        <w:t>NCUA has provided reporting templates for items 1, 2, 3</w:t>
      </w:r>
      <w:r w:rsidR="000613FD">
        <w:rPr>
          <w:rFonts w:ascii="Times New Roman" w:hAnsi="Times New Roman"/>
        </w:rPr>
        <w:t>,</w:t>
      </w:r>
      <w:r>
        <w:rPr>
          <w:rFonts w:ascii="Times New Roman" w:hAnsi="Times New Roman"/>
        </w:rPr>
        <w:t xml:space="preserve"> and </w:t>
      </w:r>
      <w:r w:rsidR="000B62A7">
        <w:rPr>
          <w:rFonts w:ascii="Times New Roman" w:hAnsi="Times New Roman"/>
        </w:rPr>
        <w:t>4</w:t>
      </w:r>
      <w:r>
        <w:rPr>
          <w:rFonts w:ascii="Times New Roman" w:hAnsi="Times New Roman"/>
        </w:rPr>
        <w:t xml:space="preserve">. </w:t>
      </w:r>
      <w:r w:rsidR="00C96335">
        <w:rPr>
          <w:rFonts w:ascii="Times New Roman" w:hAnsi="Times New Roman"/>
        </w:rPr>
        <w:t xml:space="preserve"> </w:t>
      </w:r>
      <w:r>
        <w:rPr>
          <w:rFonts w:ascii="Times New Roman" w:hAnsi="Times New Roman"/>
        </w:rPr>
        <w:t xml:space="preserve">Credit unions should provide the data requested in each template. </w:t>
      </w:r>
      <w:r w:rsidR="00C96335">
        <w:rPr>
          <w:rFonts w:ascii="Times New Roman" w:hAnsi="Times New Roman"/>
        </w:rPr>
        <w:t xml:space="preserve"> </w:t>
      </w:r>
      <w:r w:rsidRPr="005E6D4F">
        <w:rPr>
          <w:rFonts w:ascii="Times New Roman" w:hAnsi="Times New Roman"/>
        </w:rPr>
        <w:t xml:space="preserve">Each template defines the column names, types, definitions, and ordering that must be submitted in each file. </w:t>
      </w:r>
      <w:r w:rsidR="00C96335">
        <w:rPr>
          <w:rFonts w:ascii="Times New Roman" w:hAnsi="Times New Roman"/>
        </w:rPr>
        <w:t xml:space="preserve"> </w:t>
      </w:r>
      <w:r w:rsidRPr="005E6D4F">
        <w:rPr>
          <w:rFonts w:ascii="Times New Roman" w:hAnsi="Times New Roman"/>
        </w:rPr>
        <w:t xml:space="preserve">This </w:t>
      </w:r>
      <w:r>
        <w:rPr>
          <w:rFonts w:ascii="Times New Roman" w:hAnsi="Times New Roman"/>
        </w:rPr>
        <w:t xml:space="preserve">section </w:t>
      </w:r>
      <w:r w:rsidRPr="005E6D4F">
        <w:rPr>
          <w:rFonts w:ascii="Times New Roman" w:hAnsi="Times New Roman"/>
        </w:rPr>
        <w:t>provide</w:t>
      </w:r>
      <w:r>
        <w:rPr>
          <w:rFonts w:ascii="Times New Roman" w:hAnsi="Times New Roman"/>
        </w:rPr>
        <w:t>s</w:t>
      </w:r>
      <w:r w:rsidRPr="005E6D4F">
        <w:rPr>
          <w:rFonts w:ascii="Times New Roman" w:hAnsi="Times New Roman"/>
        </w:rPr>
        <w:t xml:space="preserve"> additional </w:t>
      </w:r>
      <w:r w:rsidR="000613FD">
        <w:rPr>
          <w:rFonts w:ascii="Times New Roman" w:hAnsi="Times New Roman"/>
        </w:rPr>
        <w:t>instructions</w:t>
      </w:r>
      <w:r w:rsidRPr="005E6D4F" w:rsidR="000613FD">
        <w:rPr>
          <w:rFonts w:ascii="Times New Roman" w:hAnsi="Times New Roman"/>
        </w:rPr>
        <w:t xml:space="preserve"> </w:t>
      </w:r>
      <w:r w:rsidRPr="005E6D4F">
        <w:rPr>
          <w:rFonts w:ascii="Times New Roman" w:hAnsi="Times New Roman"/>
        </w:rPr>
        <w:t>that should</w:t>
      </w:r>
      <w:r>
        <w:rPr>
          <w:rFonts w:ascii="Times New Roman" w:hAnsi="Times New Roman"/>
        </w:rPr>
        <w:t xml:space="preserve"> be</w:t>
      </w:r>
      <w:r w:rsidRPr="005E6D4F">
        <w:rPr>
          <w:rFonts w:ascii="Times New Roman" w:hAnsi="Times New Roman"/>
        </w:rPr>
        <w:t xml:space="preserve"> follow</w:t>
      </w:r>
      <w:r>
        <w:rPr>
          <w:rFonts w:ascii="Times New Roman" w:hAnsi="Times New Roman"/>
        </w:rPr>
        <w:t>ed</w:t>
      </w:r>
      <w:r w:rsidRPr="005E6D4F">
        <w:rPr>
          <w:rFonts w:ascii="Times New Roman" w:hAnsi="Times New Roman"/>
        </w:rPr>
        <w:t xml:space="preserve"> when generating submission data. </w:t>
      </w:r>
    </w:p>
    <w:p w:rsidR="007B727B" w:rsidP="00FD7FE6" w14:paraId="405EDF1E" w14:textId="24009F6E">
      <w:pPr>
        <w:rPr>
          <w:rFonts w:ascii="Times New Roman" w:hAnsi="Times New Roman"/>
        </w:rPr>
      </w:pPr>
    </w:p>
    <w:p w:rsidR="00FD7FE6" w:rsidRPr="00CF5E8F" w:rsidP="00CF5E8F" w14:paraId="46F10159" w14:textId="0279B12B">
      <w:pPr>
        <w:rPr>
          <w:rFonts w:ascii="Times New Roman" w:hAnsi="Times New Roman"/>
        </w:rPr>
      </w:pPr>
      <w:r w:rsidRPr="00CF5E8F">
        <w:rPr>
          <w:rFonts w:ascii="Times New Roman" w:hAnsi="Times New Roman"/>
        </w:rPr>
        <w:t>Credit unions should submit one file per template per year (by the date requested in the overview) with data as of December 31</w:t>
      </w:r>
      <w:r w:rsidRPr="00CF5E8F">
        <w:rPr>
          <w:rFonts w:ascii="Times New Roman" w:hAnsi="Times New Roman"/>
          <w:vertAlign w:val="superscript"/>
        </w:rPr>
        <w:t>st</w:t>
      </w:r>
      <w:r w:rsidRPr="00CF5E8F">
        <w:rPr>
          <w:rFonts w:ascii="Times New Roman" w:hAnsi="Times New Roman"/>
        </w:rPr>
        <w:t xml:space="preserve"> of the requested year.</w:t>
      </w:r>
      <w:r w:rsidR="00CF5E8F">
        <w:rPr>
          <w:rFonts w:ascii="Times New Roman" w:hAnsi="Times New Roman"/>
        </w:rPr>
        <w:t xml:space="preserve"> </w:t>
      </w:r>
      <w:r w:rsidR="00C96335">
        <w:rPr>
          <w:rFonts w:ascii="Times New Roman" w:hAnsi="Times New Roman"/>
        </w:rPr>
        <w:t xml:space="preserve"> </w:t>
      </w:r>
      <w:r w:rsidR="00C81813">
        <w:rPr>
          <w:rFonts w:ascii="Times New Roman" w:hAnsi="Times New Roman"/>
        </w:rPr>
        <w:t>Also make sure that:</w:t>
      </w:r>
    </w:p>
    <w:p w:rsidR="00FD7FE6" w:rsidP="00FD7FE6" w14:paraId="0A4CB56F" w14:textId="347DCCA5">
      <w:pPr>
        <w:pStyle w:val="ListParagraph"/>
        <w:numPr>
          <w:ilvl w:val="0"/>
          <w:numId w:val="11"/>
        </w:numPr>
        <w:rPr>
          <w:rFonts w:ascii="Times New Roman" w:hAnsi="Times New Roman"/>
        </w:rPr>
      </w:pPr>
      <w:r>
        <w:rPr>
          <w:rFonts w:ascii="Times New Roman" w:hAnsi="Times New Roman"/>
        </w:rPr>
        <w:t xml:space="preserve">Each template </w:t>
      </w:r>
      <w:r w:rsidR="00C81813">
        <w:rPr>
          <w:rFonts w:ascii="Times New Roman" w:hAnsi="Times New Roman"/>
        </w:rPr>
        <w:t>is submitted</w:t>
      </w:r>
      <w:r>
        <w:rPr>
          <w:rFonts w:ascii="Times New Roman" w:hAnsi="Times New Roman"/>
        </w:rPr>
        <w:t xml:space="preserve"> as a separate CSV file, with a first row that includes the column names provided in the template</w:t>
      </w:r>
      <w:r w:rsidR="00CF5E8F">
        <w:rPr>
          <w:rFonts w:ascii="Times New Roman" w:hAnsi="Times New Roman"/>
        </w:rPr>
        <w:t xml:space="preserve"> in the order they appear in the template</w:t>
      </w:r>
      <w:r>
        <w:rPr>
          <w:rFonts w:ascii="Times New Roman" w:hAnsi="Times New Roman"/>
        </w:rPr>
        <w:t>.</w:t>
      </w:r>
    </w:p>
    <w:p w:rsidR="00FD7FE6" w:rsidP="00CF5E8F" w14:paraId="6A63746B" w14:textId="0A8B6DF4">
      <w:pPr>
        <w:pStyle w:val="ListParagraph"/>
        <w:numPr>
          <w:ilvl w:val="0"/>
          <w:numId w:val="11"/>
        </w:numPr>
        <w:rPr>
          <w:rFonts w:ascii="Times New Roman" w:hAnsi="Times New Roman"/>
        </w:rPr>
      </w:pPr>
      <w:r>
        <w:rPr>
          <w:rFonts w:ascii="Times New Roman" w:hAnsi="Times New Roman"/>
        </w:rPr>
        <w:t>Each file is named</w:t>
      </w:r>
      <w:r>
        <w:rPr>
          <w:rFonts w:ascii="Times New Roman" w:hAnsi="Times New Roman"/>
        </w:rPr>
        <w:t xml:space="preserve"> using the pattern </w:t>
      </w:r>
      <w:r>
        <w:rPr>
          <w:rFonts w:ascii="Times New Roman" w:hAnsi="Times New Roman"/>
        </w:rPr>
        <w:t>JoinNumber_Template_YYYYMM</w:t>
      </w:r>
      <w:r>
        <w:rPr>
          <w:rFonts w:ascii="Times New Roman" w:hAnsi="Times New Roman"/>
        </w:rPr>
        <w:t>_</w:t>
      </w:r>
      <w:r w:rsidRPr="00FD7FE6">
        <w:rPr>
          <w:rFonts w:ascii="Times New Roman" w:hAnsi="Times New Roman"/>
        </w:rPr>
        <w:t xml:space="preserve"> </w:t>
      </w:r>
      <w:r w:rsidRPr="00AB67A9">
        <w:rPr>
          <w:rFonts w:ascii="Times New Roman" w:hAnsi="Times New Roman"/>
        </w:rPr>
        <w:t>YYYYMMDDHHMMSS.</w:t>
      </w:r>
      <w:r>
        <w:rPr>
          <w:rFonts w:ascii="Times New Roman" w:hAnsi="Times New Roman"/>
        </w:rPr>
        <w:t>csv, where:</w:t>
      </w:r>
    </w:p>
    <w:p w:rsidR="00FD7FE6" w:rsidP="00CF5E8F" w14:paraId="691D3B08" w14:textId="5E733E92">
      <w:pPr>
        <w:pStyle w:val="ListParagraph"/>
        <w:numPr>
          <w:ilvl w:val="1"/>
          <w:numId w:val="11"/>
        </w:numPr>
        <w:rPr>
          <w:rFonts w:ascii="Times New Roman" w:hAnsi="Times New Roman"/>
        </w:rPr>
      </w:pPr>
      <w:r>
        <w:rPr>
          <w:rFonts w:ascii="Times New Roman" w:hAnsi="Times New Roman"/>
        </w:rPr>
        <w:t>JoinNumber</w:t>
      </w:r>
      <w:r>
        <w:rPr>
          <w:rFonts w:ascii="Times New Roman" w:hAnsi="Times New Roman"/>
        </w:rPr>
        <w:t xml:space="preserve"> is the unique integer number assigned to your credit union</w:t>
      </w:r>
      <w:r w:rsidR="00C81813">
        <w:rPr>
          <w:rFonts w:ascii="Times New Roman" w:hAnsi="Times New Roman"/>
        </w:rPr>
        <w:t>,</w:t>
      </w:r>
    </w:p>
    <w:p w:rsidR="00FD7FE6" w:rsidP="00CF5E8F" w14:paraId="7ADC3042" w14:textId="7D588C7B">
      <w:pPr>
        <w:pStyle w:val="ListParagraph"/>
        <w:numPr>
          <w:ilvl w:val="1"/>
          <w:numId w:val="11"/>
        </w:numPr>
        <w:rPr>
          <w:rFonts w:ascii="Times New Roman" w:hAnsi="Times New Roman"/>
        </w:rPr>
      </w:pPr>
      <w:r>
        <w:rPr>
          <w:rFonts w:ascii="Times New Roman" w:hAnsi="Times New Roman"/>
        </w:rPr>
        <w:t xml:space="preserve">Template should be replaced by the template name (one of Investments, Cash, Borrowings, or </w:t>
      </w:r>
      <w:r>
        <w:rPr>
          <w:rFonts w:ascii="Times New Roman" w:hAnsi="Times New Roman"/>
        </w:rPr>
        <w:t>Credit_Card_Revolver</w:t>
      </w:r>
      <w:r>
        <w:rPr>
          <w:rFonts w:ascii="Times New Roman" w:hAnsi="Times New Roman"/>
        </w:rPr>
        <w:t>)</w:t>
      </w:r>
      <w:r w:rsidR="00C81813">
        <w:rPr>
          <w:rFonts w:ascii="Times New Roman" w:hAnsi="Times New Roman"/>
        </w:rPr>
        <w:t>,</w:t>
      </w:r>
    </w:p>
    <w:p w:rsidR="00FD7FE6" w:rsidP="00CF5E8F" w14:paraId="028861D7" w14:textId="45E31A9E">
      <w:pPr>
        <w:pStyle w:val="ListParagraph"/>
        <w:numPr>
          <w:ilvl w:val="1"/>
          <w:numId w:val="11"/>
        </w:numPr>
        <w:rPr>
          <w:rFonts w:ascii="Times New Roman" w:hAnsi="Times New Roman"/>
        </w:rPr>
      </w:pPr>
      <w:r>
        <w:rPr>
          <w:rFonts w:ascii="Times New Roman" w:hAnsi="Times New Roman"/>
        </w:rPr>
        <w:t>YYYYMM is the formatted snapshot year and month</w:t>
      </w:r>
      <w:r w:rsidR="00C81813">
        <w:rPr>
          <w:rFonts w:ascii="Times New Roman" w:hAnsi="Times New Roman"/>
        </w:rPr>
        <w:t>,</w:t>
      </w:r>
    </w:p>
    <w:p w:rsidR="00FD7FE6" w:rsidP="00CF5E8F" w14:paraId="5EB2957F" w14:textId="56A31574">
      <w:pPr>
        <w:pStyle w:val="ListParagraph"/>
        <w:numPr>
          <w:ilvl w:val="1"/>
          <w:numId w:val="11"/>
        </w:numPr>
        <w:rPr>
          <w:rFonts w:ascii="Times New Roman" w:hAnsi="Times New Roman"/>
        </w:rPr>
      </w:pPr>
      <w:r w:rsidRPr="00AB67A9">
        <w:rPr>
          <w:rFonts w:ascii="Times New Roman" w:hAnsi="Times New Roman"/>
        </w:rPr>
        <w:t>YYYYMMDDHHMMSS</w:t>
      </w:r>
      <w:r>
        <w:rPr>
          <w:rFonts w:ascii="Times New Roman" w:hAnsi="Times New Roman"/>
        </w:rPr>
        <w:t xml:space="preserve"> is the formatted </w:t>
      </w:r>
      <w:r w:rsidR="00C81813">
        <w:rPr>
          <w:rFonts w:ascii="Times New Roman" w:hAnsi="Times New Roman"/>
        </w:rPr>
        <w:t xml:space="preserve">file creation </w:t>
      </w:r>
      <w:r>
        <w:rPr>
          <w:rFonts w:ascii="Times New Roman" w:hAnsi="Times New Roman"/>
        </w:rPr>
        <w:t>date and</w:t>
      </w:r>
      <w:r w:rsidR="00C81813">
        <w:rPr>
          <w:rFonts w:ascii="Times New Roman" w:hAnsi="Times New Roman"/>
        </w:rPr>
        <w:t xml:space="preserve"> time</w:t>
      </w:r>
      <w:r>
        <w:rPr>
          <w:rFonts w:ascii="Times New Roman" w:hAnsi="Times New Roman"/>
        </w:rPr>
        <w:t>.</w:t>
      </w:r>
    </w:p>
    <w:p w:rsidR="00653309" w:rsidRPr="00653309" w:rsidP="00653309" w14:paraId="497AE4C6" w14:textId="77777777">
      <w:pPr>
        <w:rPr>
          <w:rFonts w:ascii="Times New Roman" w:hAnsi="Times New Roman"/>
        </w:rPr>
      </w:pPr>
    </w:p>
    <w:p w:rsidR="00CF5E8F" w:rsidP="00CF5E8F" w14:paraId="1F3AF4C0" w14:textId="5369C75B">
      <w:pPr>
        <w:rPr>
          <w:rFonts w:ascii="Times New Roman" w:hAnsi="Times New Roman"/>
        </w:rPr>
      </w:pPr>
    </w:p>
    <w:p w:rsidR="00CF5E8F" w:rsidRPr="00701038" w:rsidP="00653309" w14:paraId="1DB3798E" w14:textId="371A0A7D">
      <w:pPr>
        <w:pStyle w:val="Caption"/>
        <w:keepNext/>
        <w:rPr>
          <w:sz w:val="22"/>
          <w:szCs w:val="22"/>
        </w:rPr>
      </w:pPr>
      <w:r w:rsidRPr="00701038">
        <w:rPr>
          <w:sz w:val="22"/>
          <w:szCs w:val="22"/>
        </w:rPr>
        <w:t xml:space="preserve">Table </w:t>
      </w:r>
      <w:r w:rsidRPr="00701038" w:rsidR="00AF7AE4">
        <w:rPr>
          <w:sz w:val="22"/>
          <w:szCs w:val="22"/>
        </w:rPr>
        <w:fldChar w:fldCharType="begin"/>
      </w:r>
      <w:r w:rsidRPr="00701038" w:rsidR="00AF7AE4">
        <w:rPr>
          <w:sz w:val="22"/>
          <w:szCs w:val="22"/>
        </w:rPr>
        <w:instrText xml:space="preserve"> SEQ Table \* ARABIC </w:instrText>
      </w:r>
      <w:r w:rsidRPr="00701038" w:rsidR="00AF7AE4">
        <w:rPr>
          <w:sz w:val="22"/>
          <w:szCs w:val="22"/>
        </w:rPr>
        <w:fldChar w:fldCharType="separate"/>
      </w:r>
      <w:r w:rsidR="0009146A">
        <w:rPr>
          <w:noProof/>
          <w:sz w:val="22"/>
          <w:szCs w:val="22"/>
        </w:rPr>
        <w:t>2</w:t>
      </w:r>
      <w:r w:rsidRPr="00701038" w:rsidR="00AF7AE4">
        <w:rPr>
          <w:noProof/>
          <w:sz w:val="22"/>
          <w:szCs w:val="22"/>
        </w:rPr>
        <w:fldChar w:fldCharType="end"/>
      </w:r>
      <w:r w:rsidRPr="00701038">
        <w:rPr>
          <w:sz w:val="22"/>
          <w:szCs w:val="22"/>
        </w:rPr>
        <w:t>: Field Formatting Conventions for Annual Reporting Templates</w:t>
      </w:r>
    </w:p>
    <w:tbl>
      <w:tblPr>
        <w:tblStyle w:val="PlainTable3"/>
        <w:tblW w:w="0" w:type="auto"/>
        <w:tblCellMar>
          <w:top w:w="29" w:type="dxa"/>
          <w:bottom w:w="29" w:type="dxa"/>
        </w:tblCellMar>
        <w:tblLook w:val="04A0"/>
      </w:tblPr>
      <w:tblGrid>
        <w:gridCol w:w="1870"/>
        <w:gridCol w:w="6626"/>
      </w:tblGrid>
      <w:tr w14:paraId="461E72AB" w14:textId="77777777" w:rsidTr="00CF5E8F">
        <w:tblPrEx>
          <w:tblW w:w="0" w:type="auto"/>
          <w:tblCellMar>
            <w:top w:w="29" w:type="dxa"/>
            <w:bottom w:w="29" w:type="dxa"/>
          </w:tblCellMar>
          <w:tblLook w:val="04A0"/>
        </w:tblPrEx>
        <w:tc>
          <w:tcPr>
            <w:tcW w:w="1870" w:type="dxa"/>
            <w:tcBorders>
              <w:top w:val="single" w:sz="4" w:space="0" w:color="auto"/>
            </w:tcBorders>
          </w:tcPr>
          <w:p w:rsidR="00CF5E8F" w:rsidRPr="00AB67A9" w:rsidP="00335D75" w14:paraId="7045BEB3" w14:textId="77777777">
            <w:pPr>
              <w:rPr>
                <w:rFonts w:ascii="Times New Roman" w:hAnsi="Times New Roman"/>
              </w:rPr>
            </w:pPr>
            <w:r w:rsidRPr="00AB67A9">
              <w:rPr>
                <w:rFonts w:ascii="Times New Roman" w:hAnsi="Times New Roman"/>
              </w:rPr>
              <w:t xml:space="preserve">Convention </w:t>
            </w:r>
          </w:p>
        </w:tc>
        <w:tc>
          <w:tcPr>
            <w:tcW w:w="6626" w:type="dxa"/>
            <w:tcBorders>
              <w:top w:val="single" w:sz="4" w:space="0" w:color="auto"/>
            </w:tcBorders>
          </w:tcPr>
          <w:p w:rsidR="00CF5E8F" w:rsidRPr="00AB67A9" w:rsidP="00335D75" w14:paraId="3EB1CD51" w14:textId="77777777">
            <w:pPr>
              <w:rPr>
                <w:rFonts w:ascii="Times New Roman" w:hAnsi="Times New Roman"/>
              </w:rPr>
            </w:pPr>
            <w:r w:rsidRPr="00AB67A9">
              <w:rPr>
                <w:rFonts w:ascii="Times New Roman" w:hAnsi="Times New Roman"/>
              </w:rPr>
              <w:t>Description</w:t>
            </w:r>
          </w:p>
        </w:tc>
      </w:tr>
      <w:tr w14:paraId="0CE7A133" w14:textId="77777777" w:rsidTr="00CF5E8F">
        <w:tblPrEx>
          <w:tblW w:w="0" w:type="auto"/>
          <w:tblCellMar>
            <w:top w:w="29" w:type="dxa"/>
            <w:bottom w:w="29" w:type="dxa"/>
          </w:tblCellMar>
          <w:tblLook w:val="04A0"/>
        </w:tblPrEx>
        <w:tc>
          <w:tcPr>
            <w:tcW w:w="1870" w:type="dxa"/>
          </w:tcPr>
          <w:p w:rsidR="00CF5E8F" w:rsidRPr="00AB67A9" w:rsidP="00335D75" w14:paraId="1921E696" w14:textId="77777777">
            <w:pPr>
              <w:rPr>
                <w:rFonts w:ascii="Times New Roman" w:hAnsi="Times New Roman"/>
              </w:rPr>
            </w:pPr>
            <w:r w:rsidRPr="00AB67A9">
              <w:rPr>
                <w:rFonts w:ascii="Times New Roman" w:hAnsi="Times New Roman"/>
              </w:rPr>
              <w:t>ID fields</w:t>
            </w:r>
          </w:p>
        </w:tc>
        <w:tc>
          <w:tcPr>
            <w:tcW w:w="6626" w:type="dxa"/>
          </w:tcPr>
          <w:p w:rsidR="00CF5E8F" w:rsidRPr="00CF5E8F" w:rsidP="00335D75" w14:paraId="4497C183" w14:textId="26DFB3FF">
            <w:pPr>
              <w:rPr>
                <w:rFonts w:ascii="Times New Roman" w:hAnsi="Times New Roman"/>
              </w:rPr>
            </w:pPr>
            <w:r w:rsidRPr="00CF5E8F">
              <w:rPr>
                <w:rFonts w:ascii="Times New Roman" w:hAnsi="Times New Roman"/>
              </w:rPr>
              <w:t>The ID fields should remain the same over time for the same item (account, investment instrument, borrowing instrument).</w:t>
            </w:r>
            <w:r w:rsidR="00C96335">
              <w:rPr>
                <w:rFonts w:ascii="Times New Roman" w:hAnsi="Times New Roman"/>
              </w:rPr>
              <w:t xml:space="preserve"> </w:t>
            </w:r>
            <w:r w:rsidRPr="00CF5E8F">
              <w:rPr>
                <w:rFonts w:ascii="Times New Roman" w:hAnsi="Times New Roman"/>
              </w:rPr>
              <w:t xml:space="preserve"> For investments, report the actual CUSIP</w:t>
            </w:r>
            <w:r w:rsidR="000613FD">
              <w:rPr>
                <w:rFonts w:ascii="Times New Roman" w:hAnsi="Times New Roman"/>
              </w:rPr>
              <w:t xml:space="preserve"> if the investment has one. For </w:t>
            </w:r>
            <w:r w:rsidR="000B62A7">
              <w:rPr>
                <w:rFonts w:ascii="Times New Roman" w:hAnsi="Times New Roman"/>
              </w:rPr>
              <w:t>other</w:t>
            </w:r>
            <w:r w:rsidR="000613FD">
              <w:rPr>
                <w:rFonts w:ascii="Times New Roman" w:hAnsi="Times New Roman"/>
              </w:rPr>
              <w:t xml:space="preserve"> accounts, d</w:t>
            </w:r>
            <w:r w:rsidRPr="00CF5E8F">
              <w:rPr>
                <w:rFonts w:ascii="Times New Roman" w:hAnsi="Times New Roman"/>
              </w:rPr>
              <w:t>o not include actual account or borrowing IDs.</w:t>
            </w:r>
          </w:p>
        </w:tc>
      </w:tr>
      <w:tr w14:paraId="5253CD79" w14:textId="77777777" w:rsidTr="00CF5E8F">
        <w:tblPrEx>
          <w:tblW w:w="0" w:type="auto"/>
          <w:tblCellMar>
            <w:top w:w="29" w:type="dxa"/>
            <w:bottom w:w="29" w:type="dxa"/>
          </w:tblCellMar>
          <w:tblLook w:val="04A0"/>
        </w:tblPrEx>
        <w:tc>
          <w:tcPr>
            <w:tcW w:w="1870" w:type="dxa"/>
          </w:tcPr>
          <w:p w:rsidR="00CF5E8F" w:rsidRPr="00AB67A9" w:rsidP="00335D75" w14:paraId="2D1FD681" w14:textId="77777777">
            <w:pPr>
              <w:rPr>
                <w:rFonts w:ascii="Times New Roman" w:hAnsi="Times New Roman"/>
              </w:rPr>
            </w:pPr>
            <w:r w:rsidRPr="00AB67A9">
              <w:rPr>
                <w:rFonts w:ascii="Times New Roman" w:hAnsi="Times New Roman"/>
              </w:rPr>
              <w:t>Conformed Fields</w:t>
            </w:r>
          </w:p>
        </w:tc>
        <w:tc>
          <w:tcPr>
            <w:tcW w:w="6626" w:type="dxa"/>
          </w:tcPr>
          <w:p w:rsidR="00CF5E8F" w:rsidRPr="00AB67A9" w:rsidP="00CF5E8F" w14:paraId="3974D673" w14:textId="0615F57E">
            <w:pPr>
              <w:rPr>
                <w:rFonts w:ascii="Times New Roman" w:hAnsi="Times New Roman"/>
              </w:rPr>
            </w:pPr>
            <w:r w:rsidRPr="00CF5E8F">
              <w:rPr>
                <w:rFonts w:ascii="Times New Roman" w:hAnsi="Times New Roman"/>
              </w:rPr>
              <w:t xml:space="preserve">The templates indicate that certain fields have a restricted range of allowed values (e.g., must be one of a few options). </w:t>
            </w:r>
            <w:r w:rsidR="00C96335">
              <w:rPr>
                <w:rFonts w:ascii="Times New Roman" w:hAnsi="Times New Roman"/>
              </w:rPr>
              <w:t xml:space="preserve"> </w:t>
            </w:r>
            <w:r w:rsidRPr="00CF5E8F">
              <w:rPr>
                <w:rFonts w:ascii="Times New Roman" w:hAnsi="Times New Roman"/>
              </w:rPr>
              <w:t>Report these fields as one of the specified options.</w:t>
            </w:r>
          </w:p>
        </w:tc>
      </w:tr>
      <w:tr w14:paraId="33EC1D23" w14:textId="77777777" w:rsidTr="00CF5E8F">
        <w:tblPrEx>
          <w:tblW w:w="0" w:type="auto"/>
          <w:tblCellMar>
            <w:top w:w="29" w:type="dxa"/>
            <w:bottom w:w="29" w:type="dxa"/>
          </w:tblCellMar>
          <w:tblLook w:val="04A0"/>
        </w:tblPrEx>
        <w:tc>
          <w:tcPr>
            <w:tcW w:w="1870" w:type="dxa"/>
          </w:tcPr>
          <w:p w:rsidR="00CF5E8F" w:rsidRPr="00AB67A9" w:rsidP="00335D75" w14:paraId="73FE70AC" w14:textId="77777777">
            <w:pPr>
              <w:rPr>
                <w:rFonts w:ascii="Times New Roman" w:hAnsi="Times New Roman"/>
              </w:rPr>
            </w:pPr>
            <w:r w:rsidRPr="00AB67A9">
              <w:rPr>
                <w:rFonts w:ascii="Times New Roman" w:hAnsi="Times New Roman"/>
              </w:rPr>
              <w:t>Missing ValueS</w:t>
            </w:r>
          </w:p>
        </w:tc>
        <w:tc>
          <w:tcPr>
            <w:tcW w:w="6626" w:type="dxa"/>
          </w:tcPr>
          <w:p w:rsidR="00CF5E8F" w:rsidRPr="00AB67A9" w:rsidP="00335D75" w14:paraId="03356EE6" w14:textId="1377A490">
            <w:pPr>
              <w:rPr>
                <w:rFonts w:ascii="Times New Roman" w:eastAsia="Calibri" w:hAnsi="Times New Roman"/>
              </w:rPr>
            </w:pPr>
            <w:r w:rsidRPr="00AB67A9">
              <w:rPr>
                <w:rFonts w:ascii="Times New Roman" w:hAnsi="Times New Roman"/>
              </w:rPr>
              <w:t>If a field allows missing values, present missing fields as blank</w:t>
            </w:r>
            <w:r>
              <w:rPr>
                <w:rFonts w:ascii="Times New Roman" w:hAnsi="Times New Roman"/>
              </w:rPr>
              <w:t xml:space="preserve"> between delimiters</w:t>
            </w:r>
            <w:r w:rsidRPr="00AB67A9">
              <w:rPr>
                <w:rFonts w:ascii="Times New Roman" w:hAnsi="Times New Roman"/>
              </w:rPr>
              <w:t>.</w:t>
            </w:r>
            <w:r w:rsidR="00C96335">
              <w:rPr>
                <w:rFonts w:ascii="Times New Roman" w:hAnsi="Times New Roman"/>
              </w:rPr>
              <w:t xml:space="preserve"> </w:t>
            </w:r>
            <w:r w:rsidRPr="00AB67A9">
              <w:rPr>
                <w:rFonts w:ascii="Times New Roman" w:hAnsi="Times New Roman"/>
              </w:rPr>
              <w:t xml:space="preserve"> Do not provide a default value (</w:t>
            </w:r>
            <w:r w:rsidRPr="00AB67A9">
              <w:rPr>
                <w:rFonts w:ascii="Times New Roman" w:hAnsi="Times New Roman"/>
              </w:rPr>
              <w:t>e.g.</w:t>
            </w:r>
            <w:r w:rsidRPr="00AB67A9">
              <w:rPr>
                <w:rFonts w:ascii="Times New Roman" w:hAnsi="Times New Roman"/>
              </w:rPr>
              <w:t xml:space="preserve"> 0 or the word Null) for missing values.</w:t>
            </w:r>
          </w:p>
        </w:tc>
      </w:tr>
      <w:tr w14:paraId="45224E82" w14:textId="77777777" w:rsidTr="00CF5E8F">
        <w:tblPrEx>
          <w:tblW w:w="0" w:type="auto"/>
          <w:tblCellMar>
            <w:top w:w="29" w:type="dxa"/>
            <w:bottom w:w="29" w:type="dxa"/>
          </w:tblCellMar>
          <w:tblLook w:val="04A0"/>
        </w:tblPrEx>
        <w:tc>
          <w:tcPr>
            <w:tcW w:w="1870" w:type="dxa"/>
          </w:tcPr>
          <w:p w:rsidR="00CF5E8F" w:rsidRPr="00AB67A9" w:rsidP="00335D75" w14:paraId="0426884F" w14:textId="77777777">
            <w:pPr>
              <w:rPr>
                <w:rFonts w:ascii="Times New Roman" w:hAnsi="Times New Roman"/>
              </w:rPr>
            </w:pPr>
            <w:r w:rsidRPr="00AB67A9">
              <w:rPr>
                <w:rFonts w:ascii="Times New Roman" w:hAnsi="Times New Roman"/>
              </w:rPr>
              <w:t>Date fields</w:t>
            </w:r>
          </w:p>
        </w:tc>
        <w:tc>
          <w:tcPr>
            <w:tcW w:w="6626" w:type="dxa"/>
          </w:tcPr>
          <w:p w:rsidR="00CF5E8F" w:rsidRPr="00AB67A9" w:rsidP="00335D75" w14:paraId="5547F8D8" w14:textId="6FF0EE38">
            <w:pPr>
              <w:rPr>
                <w:rFonts w:ascii="Times New Roman" w:eastAsia="Calibri" w:hAnsi="Times New Roman"/>
              </w:rPr>
            </w:pPr>
            <w:r w:rsidRPr="00AB67A9">
              <w:rPr>
                <w:rFonts w:ascii="Times New Roman" w:hAnsi="Times New Roman"/>
              </w:rPr>
              <w:t xml:space="preserve">All date fields should be submitted as integers </w:t>
            </w:r>
            <w:r>
              <w:rPr>
                <w:rFonts w:ascii="Times New Roman" w:hAnsi="Times New Roman"/>
              </w:rPr>
              <w:t>in</w:t>
            </w:r>
            <w:r w:rsidRPr="00AB67A9">
              <w:rPr>
                <w:rFonts w:ascii="Times New Roman" w:hAnsi="Times New Roman"/>
              </w:rPr>
              <w:t xml:space="preserve"> YYYYMMDD </w:t>
            </w:r>
            <w:r>
              <w:rPr>
                <w:rFonts w:ascii="Times New Roman" w:hAnsi="Times New Roman"/>
              </w:rPr>
              <w:t xml:space="preserve">format </w:t>
            </w:r>
            <w:r w:rsidRPr="00AB67A9">
              <w:rPr>
                <w:rFonts w:ascii="Times New Roman" w:hAnsi="Times New Roman"/>
              </w:rPr>
              <w:t>(</w:t>
            </w:r>
            <w:r w:rsidRPr="00AB67A9">
              <w:rPr>
                <w:rFonts w:ascii="Times New Roman" w:hAnsi="Times New Roman"/>
              </w:rPr>
              <w:t>e.g.</w:t>
            </w:r>
            <w:r w:rsidRPr="00AB67A9">
              <w:rPr>
                <w:rFonts w:ascii="Times New Roman" w:hAnsi="Times New Roman"/>
              </w:rPr>
              <w:t xml:space="preserve"> 2022-5-16 would be the integer 20220516). </w:t>
            </w:r>
            <w:r w:rsidR="00C96335">
              <w:rPr>
                <w:rFonts w:ascii="Times New Roman" w:hAnsi="Times New Roman"/>
              </w:rPr>
              <w:t xml:space="preserve"> </w:t>
            </w:r>
            <w:r w:rsidRPr="00AB67A9">
              <w:rPr>
                <w:rFonts w:ascii="Times New Roman" w:hAnsi="Times New Roman"/>
              </w:rPr>
              <w:t>Since the date fields are being submitted as integers they are not quoted.</w:t>
            </w:r>
          </w:p>
        </w:tc>
      </w:tr>
      <w:tr w14:paraId="6C360C62" w14:textId="77777777" w:rsidTr="00CF5E8F">
        <w:tblPrEx>
          <w:tblW w:w="0" w:type="auto"/>
          <w:tblCellMar>
            <w:top w:w="29" w:type="dxa"/>
            <w:bottom w:w="29" w:type="dxa"/>
          </w:tblCellMar>
          <w:tblLook w:val="04A0"/>
        </w:tblPrEx>
        <w:tc>
          <w:tcPr>
            <w:tcW w:w="1870" w:type="dxa"/>
          </w:tcPr>
          <w:p w:rsidR="00CF5E8F" w:rsidRPr="00AB67A9" w:rsidP="00335D75" w14:paraId="502ABB79" w14:textId="77777777">
            <w:pPr>
              <w:rPr>
                <w:rFonts w:ascii="Times New Roman" w:hAnsi="Times New Roman"/>
              </w:rPr>
            </w:pPr>
            <w:r w:rsidRPr="00AB67A9">
              <w:rPr>
                <w:rFonts w:ascii="Times New Roman" w:hAnsi="Times New Roman"/>
              </w:rPr>
              <w:t>Text fields</w:t>
            </w:r>
          </w:p>
        </w:tc>
        <w:tc>
          <w:tcPr>
            <w:tcW w:w="6626" w:type="dxa"/>
          </w:tcPr>
          <w:p w:rsidR="00CF5E8F" w:rsidRPr="00CF5E8F" w:rsidP="00CF5E8F" w14:paraId="301E6BFC" w14:textId="6F090A36">
            <w:pPr>
              <w:rPr>
                <w:rFonts w:ascii="Times New Roman" w:hAnsi="Times New Roman"/>
              </w:rPr>
            </w:pPr>
            <w:r w:rsidRPr="00CF5E8F">
              <w:rPr>
                <w:rFonts w:ascii="Times New Roman" w:hAnsi="Times New Roman"/>
              </w:rPr>
              <w:t xml:space="preserve">Enclose text fields in </w:t>
            </w:r>
            <w:r w:rsidR="000613FD">
              <w:rPr>
                <w:rFonts w:ascii="Times New Roman" w:hAnsi="Times New Roman"/>
              </w:rPr>
              <w:t>double-quotes</w:t>
            </w:r>
            <w:r w:rsidRPr="00CF5E8F">
              <w:rPr>
                <w:rFonts w:ascii="Times New Roman" w:hAnsi="Times New Roman"/>
              </w:rPr>
              <w:t>.</w:t>
            </w:r>
          </w:p>
          <w:p w:rsidR="00CF5E8F" w:rsidRPr="00AB67A9" w:rsidP="00CF5E8F" w14:paraId="59F37756" w14:textId="05C6A116">
            <w:pPr>
              <w:pStyle w:val="ListParagraph"/>
              <w:ind w:left="300"/>
              <w:contextualSpacing/>
              <w:rPr>
                <w:rFonts w:ascii="Times New Roman" w:hAnsi="Times New Roman"/>
              </w:rPr>
            </w:pPr>
          </w:p>
        </w:tc>
      </w:tr>
      <w:tr w14:paraId="313DD0D8" w14:textId="77777777" w:rsidTr="00CF5E8F">
        <w:tblPrEx>
          <w:tblW w:w="0" w:type="auto"/>
          <w:tblCellMar>
            <w:top w:w="29" w:type="dxa"/>
            <w:bottom w:w="29" w:type="dxa"/>
          </w:tblCellMar>
          <w:tblLook w:val="04A0"/>
        </w:tblPrEx>
        <w:tc>
          <w:tcPr>
            <w:tcW w:w="1870" w:type="dxa"/>
            <w:tcBorders>
              <w:bottom w:val="single" w:sz="4" w:space="0" w:color="auto"/>
            </w:tcBorders>
          </w:tcPr>
          <w:p w:rsidR="00CF5E8F" w:rsidRPr="00AB67A9" w:rsidP="00335D75" w14:paraId="70860C40" w14:textId="77777777">
            <w:pPr>
              <w:rPr>
                <w:rFonts w:ascii="Times New Roman" w:hAnsi="Times New Roman"/>
              </w:rPr>
            </w:pPr>
            <w:r w:rsidRPr="00AB67A9">
              <w:rPr>
                <w:rFonts w:ascii="Times New Roman" w:hAnsi="Times New Roman"/>
              </w:rPr>
              <w:t>Numeric Fields</w:t>
            </w:r>
          </w:p>
        </w:tc>
        <w:tc>
          <w:tcPr>
            <w:tcW w:w="6626" w:type="dxa"/>
            <w:tcBorders>
              <w:bottom w:val="single" w:sz="4" w:space="0" w:color="auto"/>
            </w:tcBorders>
          </w:tcPr>
          <w:p w:rsidR="00CF5E8F" w:rsidRPr="00AB67A9" w:rsidP="00335D75" w14:paraId="6190EECE" w14:textId="77777777">
            <w:pPr>
              <w:rPr>
                <w:rFonts w:ascii="Times New Roman" w:hAnsi="Times New Roman"/>
              </w:rPr>
            </w:pPr>
            <w:r w:rsidRPr="00AB67A9">
              <w:rPr>
                <w:rFonts w:ascii="Times New Roman" w:hAnsi="Times New Roman"/>
              </w:rPr>
              <w:t>All numeric fields should follow the following conventions:</w:t>
            </w:r>
          </w:p>
          <w:p w:rsidR="00CF5E8F" w:rsidRPr="00AB67A9" w:rsidP="00CF5E8F" w14:paraId="102642E9" w14:textId="77777777">
            <w:pPr>
              <w:pStyle w:val="ListParagraph"/>
              <w:numPr>
                <w:ilvl w:val="0"/>
                <w:numId w:val="12"/>
              </w:numPr>
              <w:ind w:left="167" w:hanging="167"/>
              <w:contextualSpacing/>
              <w:rPr>
                <w:rFonts w:ascii="Times New Roman" w:hAnsi="Times New Roman"/>
              </w:rPr>
            </w:pPr>
            <w:r w:rsidRPr="00AB67A9">
              <w:rPr>
                <w:rFonts w:ascii="Times New Roman" w:hAnsi="Times New Roman"/>
              </w:rPr>
              <w:t>Do not enclose numeric fields in quotes.</w:t>
            </w:r>
          </w:p>
          <w:p w:rsidR="00CF5E8F" w:rsidRPr="00AB67A9" w:rsidP="00CF5E8F" w14:paraId="26E1919A" w14:textId="08EFC63F">
            <w:pPr>
              <w:pStyle w:val="ListParagraph"/>
              <w:numPr>
                <w:ilvl w:val="0"/>
                <w:numId w:val="12"/>
              </w:numPr>
              <w:ind w:left="167" w:hanging="167"/>
              <w:contextualSpacing/>
              <w:rPr>
                <w:rFonts w:ascii="Times New Roman" w:hAnsi="Times New Roman"/>
              </w:rPr>
            </w:pPr>
            <w:r w:rsidRPr="00AB67A9">
              <w:rPr>
                <w:rFonts w:ascii="Times New Roman" w:hAnsi="Times New Roman"/>
              </w:rPr>
              <w:t xml:space="preserve">All fields measured in percent (e.g., interest rate or loan-to-value fields) should be entered with the whole percentage to the left of the decimal and the fractional amount to the right. </w:t>
            </w:r>
            <w:r w:rsidR="00C96335">
              <w:rPr>
                <w:rFonts w:ascii="Times New Roman" w:hAnsi="Times New Roman"/>
              </w:rPr>
              <w:t xml:space="preserve"> </w:t>
            </w:r>
            <w:r w:rsidRPr="00AB67A9">
              <w:rPr>
                <w:rFonts w:ascii="Times New Roman" w:hAnsi="Times New Roman"/>
              </w:rPr>
              <w:t xml:space="preserve">Round the fractional amount to 4 decimal places. </w:t>
            </w:r>
          </w:p>
          <w:p w:rsidR="00CF5E8F" w:rsidRPr="00AB67A9" w:rsidP="00CF5E8F" w14:paraId="369B9A30" w14:textId="77777777">
            <w:pPr>
              <w:pStyle w:val="ListParagraph"/>
              <w:numPr>
                <w:ilvl w:val="1"/>
                <w:numId w:val="13"/>
              </w:numPr>
              <w:ind w:left="612"/>
              <w:contextualSpacing/>
              <w:rPr>
                <w:rFonts w:ascii="Times New Roman" w:hAnsi="Times New Roman"/>
              </w:rPr>
            </w:pPr>
            <w:r w:rsidRPr="00AB67A9">
              <w:rPr>
                <w:rFonts w:ascii="Times New Roman" w:hAnsi="Times New Roman"/>
              </w:rPr>
              <w:t>E.g., 3 1/16% should be entered as 3.0625.</w:t>
            </w:r>
          </w:p>
          <w:p w:rsidR="00CF5E8F" w:rsidRPr="00AB67A9" w:rsidP="00CF5E8F" w14:paraId="0A76E3BB" w14:textId="2CF91ECD">
            <w:pPr>
              <w:pStyle w:val="ListParagraph"/>
              <w:numPr>
                <w:ilvl w:val="0"/>
                <w:numId w:val="12"/>
              </w:numPr>
              <w:ind w:left="167" w:hanging="167"/>
              <w:contextualSpacing/>
              <w:rPr>
                <w:rFonts w:ascii="Times New Roman" w:hAnsi="Times New Roman"/>
              </w:rPr>
            </w:pPr>
            <w:r w:rsidRPr="00AB67A9">
              <w:rPr>
                <w:rFonts w:ascii="Times New Roman" w:hAnsi="Times New Roman"/>
              </w:rPr>
              <w:t>Non-integer numeric fields should omit commas but can include decimal points.</w:t>
            </w:r>
            <w:r w:rsidR="00C96335">
              <w:rPr>
                <w:rFonts w:ascii="Times New Roman" w:hAnsi="Times New Roman"/>
              </w:rPr>
              <w:t xml:space="preserve"> </w:t>
            </w:r>
            <w:r w:rsidRPr="00AB67A9">
              <w:rPr>
                <w:rFonts w:ascii="Times New Roman" w:hAnsi="Times New Roman"/>
              </w:rPr>
              <w:t xml:space="preserve"> Follow the template field definitions on </w:t>
            </w:r>
            <w:r w:rsidR="000613FD">
              <w:rPr>
                <w:rFonts w:ascii="Times New Roman" w:hAnsi="Times New Roman"/>
              </w:rPr>
              <w:t xml:space="preserve">the </w:t>
            </w:r>
            <w:r w:rsidRPr="00AB67A9">
              <w:rPr>
                <w:rFonts w:ascii="Times New Roman" w:hAnsi="Times New Roman"/>
              </w:rPr>
              <w:t>number of allowed decimal places.</w:t>
            </w:r>
          </w:p>
          <w:p w:rsidR="00CF5E8F" w:rsidRPr="00AB67A9" w:rsidP="00CF5E8F" w14:paraId="0E0B2A91" w14:textId="77777777">
            <w:pPr>
              <w:pStyle w:val="ListParagraph"/>
              <w:numPr>
                <w:ilvl w:val="0"/>
                <w:numId w:val="12"/>
              </w:numPr>
              <w:ind w:left="167" w:hanging="167"/>
              <w:contextualSpacing/>
              <w:rPr>
                <w:rFonts w:ascii="Times New Roman" w:hAnsi="Times New Roman"/>
              </w:rPr>
            </w:pPr>
            <w:r w:rsidRPr="00AB67A9">
              <w:rPr>
                <w:rFonts w:ascii="Times New Roman" w:hAnsi="Times New Roman"/>
              </w:rPr>
              <w:t>Fields measured in dollars should be rounded to two decimal places and not include a dollar sign or comma.</w:t>
            </w:r>
          </w:p>
          <w:p w:rsidR="00CF5E8F" w:rsidRPr="00AB67A9" w:rsidP="00CF5E8F" w14:paraId="5D6CC7E7" w14:textId="77777777">
            <w:pPr>
              <w:pStyle w:val="ListParagraph"/>
              <w:numPr>
                <w:ilvl w:val="1"/>
                <w:numId w:val="13"/>
              </w:numPr>
              <w:ind w:left="612"/>
              <w:contextualSpacing/>
              <w:rPr>
                <w:rFonts w:ascii="Times New Roman" w:eastAsia="Calibri" w:hAnsi="Times New Roman"/>
              </w:rPr>
            </w:pPr>
            <w:r w:rsidRPr="00AB67A9">
              <w:rPr>
                <w:rFonts w:ascii="Times New Roman" w:hAnsi="Times New Roman"/>
              </w:rPr>
              <w:t>E.g., Two thousand three-hundred and eighty-seven dollars and fifty-two cents would be represented as 2387.52.</w:t>
            </w:r>
          </w:p>
        </w:tc>
      </w:tr>
    </w:tbl>
    <w:p w:rsidR="00FD7FE6" w:rsidP="00FD7FE6" w14:paraId="4CE46C5E" w14:textId="54F5848D">
      <w:pPr>
        <w:rPr>
          <w:rFonts w:ascii="Times New Roman" w:hAnsi="Times New Roman"/>
        </w:rPr>
      </w:pPr>
    </w:p>
    <w:p w:rsidR="00FD5620" w:rsidP="001A4D18" w14:paraId="78CD3D59" w14:textId="5A940237">
      <w:pPr>
        <w:pStyle w:val="Heading1"/>
      </w:pPr>
      <w:r>
        <w:t>7. Call Report Reconciliation</w:t>
      </w:r>
    </w:p>
    <w:p w:rsidR="00653309" w:rsidRPr="00DA58EB" w:rsidP="00653309" w14:paraId="7C1F2B88" w14:textId="61A3D717">
      <w:pPr>
        <w:rPr>
          <w:rFonts w:ascii="Times New Roman" w:hAnsi="Times New Roman"/>
        </w:rPr>
      </w:pPr>
      <w:r w:rsidRPr="00DA58EB">
        <w:rPr>
          <w:rFonts w:ascii="Times New Roman" w:hAnsi="Times New Roman"/>
        </w:rPr>
        <w:t xml:space="preserve">The standardized templates for the annual supplemental collection are designed to collect the granular, </w:t>
      </w:r>
      <w:r w:rsidR="000613FD">
        <w:rPr>
          <w:rFonts w:ascii="Times New Roman" w:hAnsi="Times New Roman"/>
        </w:rPr>
        <w:t>account-level</w:t>
      </w:r>
      <w:r w:rsidRPr="00DA58EB">
        <w:rPr>
          <w:rFonts w:ascii="Times New Roman" w:hAnsi="Times New Roman"/>
        </w:rPr>
        <w:t xml:space="preserve"> detail for several Call Report items. </w:t>
      </w:r>
      <w:r w:rsidR="00C96335">
        <w:rPr>
          <w:rFonts w:ascii="Times New Roman" w:hAnsi="Times New Roman"/>
        </w:rPr>
        <w:t xml:space="preserve"> </w:t>
      </w:r>
      <w:r w:rsidRPr="00DA58EB">
        <w:rPr>
          <w:rFonts w:ascii="Times New Roman" w:hAnsi="Times New Roman"/>
        </w:rPr>
        <w:t xml:space="preserve">The aggregate of the values reported in the templates should align with the values reported in the Call Report. </w:t>
      </w:r>
      <w:r w:rsidR="00C96335">
        <w:rPr>
          <w:rFonts w:ascii="Times New Roman" w:hAnsi="Times New Roman"/>
        </w:rPr>
        <w:t xml:space="preserve"> </w:t>
      </w:r>
      <w:r w:rsidRPr="00DA58EB">
        <w:rPr>
          <w:rFonts w:ascii="Times New Roman" w:hAnsi="Times New Roman"/>
        </w:rPr>
        <w:t xml:space="preserve">The sub-sections below provide high-level information on the alignment between the </w:t>
      </w:r>
      <w:r w:rsidR="000613FD">
        <w:rPr>
          <w:rFonts w:ascii="Times New Roman" w:hAnsi="Times New Roman"/>
        </w:rPr>
        <w:t>NCUA-provided</w:t>
      </w:r>
      <w:r w:rsidRPr="00DA58EB">
        <w:rPr>
          <w:rFonts w:ascii="Times New Roman" w:hAnsi="Times New Roman"/>
        </w:rPr>
        <w:t xml:space="preserve"> templates and the applicable Call Report accounts.</w:t>
      </w:r>
      <w:r w:rsidRPr="00DA58EB" w:rsidR="008D1AE0">
        <w:rPr>
          <w:rFonts w:ascii="Times New Roman" w:hAnsi="Times New Roman"/>
        </w:rPr>
        <w:t xml:space="preserve"> </w:t>
      </w:r>
      <w:r w:rsidR="00C96335">
        <w:rPr>
          <w:rFonts w:ascii="Times New Roman" w:hAnsi="Times New Roman"/>
        </w:rPr>
        <w:t xml:space="preserve"> </w:t>
      </w:r>
      <w:r w:rsidRPr="00DA58EB" w:rsidR="008D1AE0">
        <w:rPr>
          <w:rFonts w:ascii="Times New Roman" w:hAnsi="Times New Roman"/>
        </w:rPr>
        <w:t xml:space="preserve">The provided reconciliation information is intended to </w:t>
      </w:r>
      <w:r w:rsidRPr="00DA58EB" w:rsidR="006834C0">
        <w:rPr>
          <w:rFonts w:ascii="Times New Roman" w:hAnsi="Times New Roman"/>
        </w:rPr>
        <w:t xml:space="preserve">help credit unions </w:t>
      </w:r>
      <w:r w:rsidRPr="00DA58EB" w:rsidR="008D1AE0">
        <w:rPr>
          <w:rFonts w:ascii="Times New Roman" w:hAnsi="Times New Roman"/>
        </w:rPr>
        <w:t>ensure the whole population of accounts is provided</w:t>
      </w:r>
      <w:r w:rsidRPr="00DA58EB" w:rsidR="003E580E">
        <w:rPr>
          <w:rFonts w:ascii="Times New Roman" w:hAnsi="Times New Roman"/>
        </w:rPr>
        <w:t xml:space="preserve"> in the templates</w:t>
      </w:r>
      <w:r w:rsidRPr="00DA58EB" w:rsidR="008D1AE0">
        <w:rPr>
          <w:rFonts w:ascii="Times New Roman" w:hAnsi="Times New Roman"/>
        </w:rPr>
        <w:t>.</w:t>
      </w:r>
    </w:p>
    <w:p w:rsidR="006834C0" w:rsidP="00653309" w14:paraId="2311C009" w14:textId="77777777"/>
    <w:p w:rsidR="0086494D" w:rsidP="0086494D" w14:paraId="01B374CB" w14:textId="7F33AA74">
      <w:pPr>
        <w:pStyle w:val="Heading2"/>
      </w:pPr>
      <w:r>
        <w:t>Investment Template</w:t>
      </w:r>
    </w:p>
    <w:p w:rsidR="006834C0" w:rsidRPr="006834C0" w:rsidP="006834C0" w14:paraId="6BEF480C" w14:textId="37768842">
      <w:pPr>
        <w:rPr>
          <w:rFonts w:ascii="Times New Roman" w:hAnsi="Times New Roman"/>
        </w:rPr>
      </w:pPr>
      <w:r w:rsidRPr="006834C0">
        <w:rPr>
          <w:rFonts w:ascii="Times New Roman" w:hAnsi="Times New Roman"/>
        </w:rPr>
        <w:t>The investment template is designed to capture instrument-level investment data on credit union liquidity investment portfolios, employee benefit plan investments, charitable donation account investments</w:t>
      </w:r>
      <w:r w:rsidR="000613FD">
        <w:rPr>
          <w:rFonts w:ascii="Times New Roman" w:hAnsi="Times New Roman"/>
        </w:rPr>
        <w:t>,</w:t>
      </w:r>
      <w:r w:rsidRPr="006834C0">
        <w:rPr>
          <w:rFonts w:ascii="Times New Roman" w:hAnsi="Times New Roman"/>
        </w:rPr>
        <w:t xml:space="preserve"> and all other investments.</w:t>
      </w:r>
      <w:r w:rsidR="00C96335">
        <w:rPr>
          <w:rFonts w:ascii="Times New Roman" w:hAnsi="Times New Roman"/>
        </w:rPr>
        <w:t xml:space="preserve"> </w:t>
      </w:r>
      <w:r w:rsidRPr="006834C0">
        <w:rPr>
          <w:rFonts w:ascii="Times New Roman" w:hAnsi="Times New Roman"/>
        </w:rPr>
        <w:t xml:space="preserve"> Because the data on employee benefit plan investments and charitable donation account investments are reported in separate sections</w:t>
      </w:r>
      <w:r>
        <w:rPr>
          <w:rFonts w:ascii="Times New Roman" w:hAnsi="Times New Roman"/>
        </w:rPr>
        <w:t xml:space="preserve"> of the Call Report, information on reconciling those sub-populations of the investment template are provided separately.</w:t>
      </w:r>
    </w:p>
    <w:p w:rsidR="0009146A" w:rsidP="0009146A" w14:paraId="684F1AB9" w14:textId="2844A15D">
      <w:pPr>
        <w:pStyle w:val="Heading3"/>
      </w:pPr>
      <w:r>
        <w:t>Liquidity Investment Portfolio and All Other Investments</w:t>
      </w:r>
    </w:p>
    <w:p w:rsidR="006834C0" w:rsidRPr="00DA58EB" w:rsidP="0086494D" w14:paraId="4C51D2C1" w14:textId="648410E0">
      <w:pPr>
        <w:rPr>
          <w:rFonts w:ascii="Times New Roman" w:hAnsi="Times New Roman"/>
        </w:rPr>
      </w:pPr>
      <w:r w:rsidRPr="00DA58EB">
        <w:rPr>
          <w:rFonts w:ascii="Times New Roman" w:hAnsi="Times New Roman"/>
        </w:rPr>
        <w:t>The value of</w:t>
      </w:r>
      <w:r w:rsidRPr="00DA58EB" w:rsidR="000D09E1">
        <w:rPr>
          <w:rFonts w:ascii="Times New Roman" w:hAnsi="Times New Roman"/>
        </w:rPr>
        <w:t xml:space="preserve"> a</w:t>
      </w:r>
      <w:r w:rsidRPr="00DA58EB" w:rsidR="0009146A">
        <w:rPr>
          <w:rFonts w:ascii="Times New Roman" w:hAnsi="Times New Roman"/>
        </w:rPr>
        <w:t xml:space="preserve">ll investments, other than those used to fund employee benefit or deferred compensation plans, or charitable donations </w:t>
      </w:r>
      <w:r w:rsidR="000613FD">
        <w:rPr>
          <w:rFonts w:ascii="Times New Roman" w:hAnsi="Times New Roman"/>
        </w:rPr>
        <w:t>accounts</w:t>
      </w:r>
      <w:r w:rsidRPr="00DA58EB" w:rsidR="000613FD">
        <w:rPr>
          <w:rFonts w:ascii="Times New Roman" w:hAnsi="Times New Roman"/>
        </w:rPr>
        <w:t xml:space="preserve"> </w:t>
      </w:r>
      <w:r w:rsidRPr="00DA58EB" w:rsidR="0009146A">
        <w:rPr>
          <w:rFonts w:ascii="Times New Roman" w:hAnsi="Times New Roman"/>
        </w:rPr>
        <w:t xml:space="preserve">should align with Call Report, Schedule B, </w:t>
      </w:r>
      <w:r w:rsidR="000613FD">
        <w:rPr>
          <w:rFonts w:ascii="Times New Roman" w:hAnsi="Times New Roman"/>
        </w:rPr>
        <w:t>Sections</w:t>
      </w:r>
      <w:r w:rsidRPr="00DA58EB" w:rsidR="000613FD">
        <w:rPr>
          <w:rFonts w:ascii="Times New Roman" w:hAnsi="Times New Roman"/>
        </w:rPr>
        <w:t xml:space="preserve"> </w:t>
      </w:r>
      <w:r w:rsidRPr="00DA58EB" w:rsidR="0009146A">
        <w:rPr>
          <w:rFonts w:ascii="Times New Roman" w:hAnsi="Times New Roman"/>
        </w:rPr>
        <w:t>1 and 2.</w:t>
      </w:r>
    </w:p>
    <w:p w:rsidR="006834C0" w:rsidRPr="00DA58EB" w:rsidP="0086494D" w14:paraId="315F18BC" w14:textId="77777777">
      <w:pPr>
        <w:rPr>
          <w:rFonts w:ascii="Times New Roman" w:hAnsi="Times New Roman"/>
        </w:rPr>
      </w:pPr>
    </w:p>
    <w:p w:rsidR="0009146A" w:rsidRPr="00DA58EB" w:rsidP="0086494D" w14:paraId="0C565D89" w14:textId="3E736F31">
      <w:pPr>
        <w:rPr>
          <w:rFonts w:ascii="Times New Roman" w:hAnsi="Times New Roman"/>
        </w:rPr>
      </w:pPr>
      <w:r w:rsidRPr="00DA58EB">
        <w:rPr>
          <w:rFonts w:ascii="Times New Roman" w:hAnsi="Times New Roman"/>
        </w:rPr>
        <w:t xml:space="preserve">To make sure the entire population of liquidity investments has been provided, please verify that </w:t>
      </w:r>
      <w:r w:rsidR="000613FD">
        <w:rPr>
          <w:rFonts w:ascii="Times New Roman" w:hAnsi="Times New Roman"/>
        </w:rPr>
        <w:t xml:space="preserve">the </w:t>
      </w:r>
      <w:r w:rsidRPr="00DA58EB" w:rsidR="00746C41">
        <w:rPr>
          <w:rFonts w:ascii="Times New Roman" w:hAnsi="Times New Roman"/>
        </w:rPr>
        <w:t>aggregate value of</w:t>
      </w:r>
      <w:r w:rsidRPr="00DA58EB">
        <w:rPr>
          <w:rFonts w:ascii="Times New Roman" w:hAnsi="Times New Roman"/>
        </w:rPr>
        <w:t xml:space="preserve"> equity securities, trading debt securities, </w:t>
      </w:r>
      <w:r w:rsidR="000613FD">
        <w:rPr>
          <w:rFonts w:ascii="Times New Roman" w:hAnsi="Times New Roman"/>
        </w:rPr>
        <w:t>available-for-sale</w:t>
      </w:r>
      <w:r w:rsidRPr="00DA58EB">
        <w:rPr>
          <w:rFonts w:ascii="Times New Roman" w:hAnsi="Times New Roman"/>
        </w:rPr>
        <w:t xml:space="preserve"> investments</w:t>
      </w:r>
      <w:r w:rsidR="000613FD">
        <w:rPr>
          <w:rFonts w:ascii="Times New Roman" w:hAnsi="Times New Roman"/>
        </w:rPr>
        <w:t>,</w:t>
      </w:r>
      <w:r w:rsidRPr="00DA58EB">
        <w:rPr>
          <w:rFonts w:ascii="Times New Roman" w:hAnsi="Times New Roman"/>
        </w:rPr>
        <w:t xml:space="preserve"> and </w:t>
      </w:r>
      <w:r w:rsidR="000613FD">
        <w:rPr>
          <w:rFonts w:ascii="Times New Roman" w:hAnsi="Times New Roman"/>
        </w:rPr>
        <w:t>held-to-maturity</w:t>
      </w:r>
      <w:r w:rsidRPr="00DA58EB">
        <w:rPr>
          <w:rFonts w:ascii="Times New Roman" w:hAnsi="Times New Roman"/>
        </w:rPr>
        <w:t xml:space="preserve"> investments align with </w:t>
      </w:r>
      <w:r w:rsidRPr="00DA58EB" w:rsidR="00746C41">
        <w:rPr>
          <w:rFonts w:ascii="Times New Roman" w:hAnsi="Times New Roman"/>
        </w:rPr>
        <w:t>the Call Report</w:t>
      </w:r>
      <w:r w:rsidRPr="00DA58EB" w:rsidR="004C5BC4">
        <w:rPr>
          <w:rFonts w:ascii="Times New Roman" w:hAnsi="Times New Roman"/>
        </w:rPr>
        <w:t xml:space="preserve"> data in Schedule B</w:t>
      </w:r>
      <w:r w:rsidRPr="00DA58EB" w:rsidR="00746C41">
        <w:rPr>
          <w:rFonts w:ascii="Times New Roman" w:hAnsi="Times New Roman"/>
        </w:rPr>
        <w:t>.</w:t>
      </w:r>
      <w:r w:rsidR="00C96335">
        <w:rPr>
          <w:rFonts w:ascii="Times New Roman" w:hAnsi="Times New Roman"/>
        </w:rPr>
        <w:t xml:space="preserve"> </w:t>
      </w:r>
      <w:r w:rsidRPr="00DA58EB" w:rsidR="00746C41">
        <w:rPr>
          <w:rFonts w:ascii="Times New Roman" w:hAnsi="Times New Roman"/>
        </w:rPr>
        <w:t xml:space="preserve"> These sub-populations can be identified using the population of investments where CONFORM_INVESTMENT_ACCOUNT is 3</w:t>
      </w:r>
      <w:r w:rsidR="00DA58EB">
        <w:rPr>
          <w:rFonts w:ascii="Times New Roman" w:hAnsi="Times New Roman"/>
        </w:rPr>
        <w:t>, 4</w:t>
      </w:r>
      <w:r w:rsidR="000613FD">
        <w:rPr>
          <w:rFonts w:ascii="Times New Roman" w:hAnsi="Times New Roman"/>
        </w:rPr>
        <w:t>,</w:t>
      </w:r>
      <w:r w:rsidR="00DA58EB">
        <w:rPr>
          <w:rFonts w:ascii="Times New Roman" w:hAnsi="Times New Roman"/>
        </w:rPr>
        <w:t xml:space="preserve"> or 5</w:t>
      </w:r>
      <w:r w:rsidRPr="00DA58EB" w:rsidR="00746C41">
        <w:rPr>
          <w:rFonts w:ascii="Times New Roman" w:hAnsi="Times New Roman"/>
        </w:rPr>
        <w:t xml:space="preserve"> and then aggregating the outstanding values based on the assigned CONFORM_ACCOUNTING_DESIGNATION field. </w:t>
      </w:r>
      <w:r w:rsidR="00C96335">
        <w:rPr>
          <w:rFonts w:ascii="Times New Roman" w:hAnsi="Times New Roman"/>
        </w:rPr>
        <w:t xml:space="preserve"> </w:t>
      </w:r>
      <w:r w:rsidRPr="00DA58EB" w:rsidR="004B38F9">
        <w:rPr>
          <w:rFonts w:ascii="Times New Roman" w:hAnsi="Times New Roman"/>
        </w:rPr>
        <w:t>When comparing the values to the Call Report, use the aggregate value from the appropriate template field depending on the sub-portfolio</w:t>
      </w:r>
      <w:r w:rsidR="000613FD">
        <w:rPr>
          <w:rFonts w:ascii="Times New Roman" w:hAnsi="Times New Roman"/>
        </w:rPr>
        <w:t>’</w:t>
      </w:r>
      <w:r w:rsidRPr="00DA58EB" w:rsidR="004B38F9">
        <w:rPr>
          <w:rFonts w:ascii="Times New Roman" w:hAnsi="Times New Roman"/>
        </w:rPr>
        <w:t>s accounting designation</w:t>
      </w:r>
      <w:r w:rsidRPr="00DA58EB" w:rsidR="004C5BC4">
        <w:rPr>
          <w:rFonts w:ascii="Times New Roman" w:hAnsi="Times New Roman"/>
        </w:rPr>
        <w:t xml:space="preserve"> </w:t>
      </w:r>
      <w:r w:rsidRPr="00DA58EB" w:rsidR="00DA58EB">
        <w:rPr>
          <w:rFonts w:ascii="Times New Roman" w:hAnsi="Times New Roman"/>
        </w:rPr>
        <w:t>and</w:t>
      </w:r>
      <w:r w:rsidRPr="00DA58EB" w:rsidR="004C5BC4">
        <w:rPr>
          <w:rFonts w:ascii="Times New Roman" w:hAnsi="Times New Roman"/>
        </w:rPr>
        <w:t xml:space="preserve"> </w:t>
      </w:r>
      <w:r w:rsidRPr="00DA58EB" w:rsidR="00C96335">
        <w:rPr>
          <w:rFonts w:ascii="Times New Roman" w:hAnsi="Times New Roman"/>
        </w:rPr>
        <w:t>consider</w:t>
      </w:r>
      <w:r w:rsidRPr="00DA58EB" w:rsidR="004C5BC4">
        <w:rPr>
          <w:rFonts w:ascii="Times New Roman" w:hAnsi="Times New Roman"/>
        </w:rPr>
        <w:t xml:space="preserve"> the CURR_CREDIT_LOSS_ALLOWANCE field as applicable</w:t>
      </w:r>
      <w:r w:rsidRPr="00DA58EB" w:rsidR="004B38F9">
        <w:rPr>
          <w:rFonts w:ascii="Times New Roman" w:hAnsi="Times New Roman"/>
        </w:rPr>
        <w:t>.</w:t>
      </w:r>
    </w:p>
    <w:p w:rsidR="00254C7C" w:rsidP="0086494D" w14:paraId="7B25F170" w14:textId="6D7D73EE">
      <w:pPr>
        <w:pStyle w:val="Heading3"/>
      </w:pPr>
      <w:r>
        <w:t xml:space="preserve">Investments Used to Fund Employee </w:t>
      </w:r>
      <w:r w:rsidR="000613FD">
        <w:t xml:space="preserve">Benefits </w:t>
      </w:r>
      <w:r>
        <w:t>o</w:t>
      </w:r>
      <w:r w:rsidR="00DA58EB">
        <w:t>r</w:t>
      </w:r>
      <w:r>
        <w:t xml:space="preserve"> Deferred Compensation Plans</w:t>
      </w:r>
    </w:p>
    <w:p w:rsidR="00254C7C" w:rsidRPr="00DA58EB" w:rsidP="00254C7C" w14:paraId="72350F29" w14:textId="1C6FB399">
      <w:pPr>
        <w:rPr>
          <w:rFonts w:ascii="Times New Roman" w:hAnsi="Times New Roman"/>
        </w:rPr>
      </w:pPr>
      <w:r w:rsidRPr="00DA58EB">
        <w:rPr>
          <w:rFonts w:ascii="Times New Roman" w:hAnsi="Times New Roman"/>
        </w:rPr>
        <w:t xml:space="preserve">The sum of the </w:t>
      </w:r>
      <w:r w:rsidRPr="00DA58EB" w:rsidR="00636048">
        <w:rPr>
          <w:rFonts w:ascii="Times New Roman" w:hAnsi="Times New Roman"/>
        </w:rPr>
        <w:t>recorded</w:t>
      </w:r>
      <w:r w:rsidRPr="00DA58EB">
        <w:rPr>
          <w:rFonts w:ascii="Times New Roman" w:hAnsi="Times New Roman"/>
        </w:rPr>
        <w:t xml:space="preserve"> value (CURR_BOOK_VALUE) of investments reported as used to fund employee benefit plans or deferred compensation (as indicated by </w:t>
      </w:r>
      <w:r w:rsidRPr="00DA58EB" w:rsidR="0086494D">
        <w:rPr>
          <w:rFonts w:ascii="Times New Roman" w:hAnsi="Times New Roman"/>
        </w:rPr>
        <w:t xml:space="preserve">the field </w:t>
      </w:r>
      <w:r w:rsidRPr="00DA58EB">
        <w:rPr>
          <w:rFonts w:ascii="Times New Roman" w:hAnsi="Times New Roman"/>
        </w:rPr>
        <w:t>CONFORM_INVESTMENT_ACCOUNT) should align with the reporting of the Call Report, Schedule B</w:t>
      </w:r>
      <w:r w:rsidRPr="00DA58EB" w:rsidR="00746C41">
        <w:rPr>
          <w:rFonts w:ascii="Times New Roman" w:hAnsi="Times New Roman"/>
        </w:rPr>
        <w:t>,</w:t>
      </w:r>
      <w:r w:rsidRPr="00DA58EB">
        <w:rPr>
          <w:rFonts w:ascii="Times New Roman" w:hAnsi="Times New Roman"/>
        </w:rPr>
        <w:t xml:space="preserve"> Section 4.</w:t>
      </w:r>
      <w:r w:rsidR="00C96335">
        <w:rPr>
          <w:rFonts w:ascii="Times New Roman" w:hAnsi="Times New Roman"/>
        </w:rPr>
        <w:t xml:space="preserve"> </w:t>
      </w:r>
      <w:r w:rsidRPr="00DA58EB">
        <w:rPr>
          <w:rFonts w:ascii="Times New Roman" w:hAnsi="Times New Roman"/>
        </w:rPr>
        <w:t xml:space="preserve"> </w:t>
      </w:r>
      <w:r w:rsidRPr="00DA58EB" w:rsidR="003A1386">
        <w:rPr>
          <w:rFonts w:ascii="Times New Roman" w:hAnsi="Times New Roman"/>
        </w:rPr>
        <w:t xml:space="preserve">See </w:t>
      </w:r>
      <w:r w:rsidRPr="00DA58EB" w:rsidR="003A1386">
        <w:rPr>
          <w:rFonts w:ascii="Times New Roman" w:hAnsi="Times New Roman"/>
        </w:rPr>
        <w:fldChar w:fldCharType="begin"/>
      </w:r>
      <w:r w:rsidRPr="00DA58EB" w:rsidR="003A1386">
        <w:rPr>
          <w:rFonts w:ascii="Times New Roman" w:hAnsi="Times New Roman"/>
        </w:rPr>
        <w:instrText xml:space="preserve"> REF _Ref143505553 \h </w:instrText>
      </w:r>
      <w:r w:rsidRPr="00DA58EB" w:rsidR="00DA58EB">
        <w:rPr>
          <w:rFonts w:ascii="Times New Roman" w:hAnsi="Times New Roman"/>
        </w:rPr>
        <w:instrText xml:space="preserve"> \* MERGEFORMAT </w:instrText>
      </w:r>
      <w:r w:rsidRPr="00DA58EB" w:rsidR="003A1386">
        <w:rPr>
          <w:rFonts w:ascii="Times New Roman" w:hAnsi="Times New Roman"/>
        </w:rPr>
        <w:fldChar w:fldCharType="separate"/>
      </w:r>
      <w:r w:rsidRPr="00DA58EB" w:rsidR="00746C41">
        <w:rPr>
          <w:rFonts w:ascii="Times New Roman" w:hAnsi="Times New Roman"/>
        </w:rPr>
        <w:t xml:space="preserve">Table </w:t>
      </w:r>
      <w:r w:rsidRPr="00DA58EB" w:rsidR="00746C41">
        <w:rPr>
          <w:rFonts w:ascii="Times New Roman" w:hAnsi="Times New Roman"/>
          <w:noProof/>
        </w:rPr>
        <w:t>3</w:t>
      </w:r>
      <w:r w:rsidRPr="00DA58EB" w:rsidR="003A1386">
        <w:rPr>
          <w:rFonts w:ascii="Times New Roman" w:hAnsi="Times New Roman"/>
        </w:rPr>
        <w:fldChar w:fldCharType="end"/>
      </w:r>
      <w:r w:rsidRPr="00DA58EB" w:rsidR="003A1386">
        <w:rPr>
          <w:rFonts w:ascii="Times New Roman" w:hAnsi="Times New Roman"/>
        </w:rPr>
        <w:t xml:space="preserve"> for a crosswalk between CONFORM_INSTRUMENT_TYPE and the Call Report accounts.</w:t>
      </w:r>
    </w:p>
    <w:p w:rsidR="003A1386" w:rsidP="00254C7C" w14:paraId="12A29917" w14:textId="77777777">
      <w:pPr>
        <w:rPr>
          <w:rFonts w:ascii="Times New Roman" w:hAnsi="Times New Roman"/>
        </w:rPr>
      </w:pPr>
    </w:p>
    <w:p w:rsidR="003A1386" w:rsidRPr="003A1386" w:rsidP="003A1386" w14:paraId="16410120" w14:textId="79CA91F6">
      <w:pPr>
        <w:pStyle w:val="Caption"/>
        <w:keepNext/>
        <w:rPr>
          <w:sz w:val="22"/>
          <w:szCs w:val="22"/>
        </w:rPr>
      </w:pPr>
      <w:bookmarkStart w:id="5" w:name="_Ref143505553"/>
      <w:r w:rsidRPr="003A1386">
        <w:rPr>
          <w:sz w:val="22"/>
          <w:szCs w:val="22"/>
        </w:rPr>
        <w:t xml:space="preserve">Table </w:t>
      </w:r>
      <w:r w:rsidRPr="003A1386">
        <w:rPr>
          <w:sz w:val="22"/>
          <w:szCs w:val="22"/>
        </w:rPr>
        <w:fldChar w:fldCharType="begin"/>
      </w:r>
      <w:r w:rsidRPr="003A1386">
        <w:rPr>
          <w:sz w:val="22"/>
          <w:szCs w:val="22"/>
        </w:rPr>
        <w:instrText xml:space="preserve"> SEQ Table \* ARABIC </w:instrText>
      </w:r>
      <w:r w:rsidRPr="003A1386">
        <w:rPr>
          <w:sz w:val="22"/>
          <w:szCs w:val="22"/>
        </w:rPr>
        <w:fldChar w:fldCharType="separate"/>
      </w:r>
      <w:r w:rsidR="00746C41">
        <w:rPr>
          <w:noProof/>
          <w:sz w:val="22"/>
          <w:szCs w:val="22"/>
        </w:rPr>
        <w:t>3</w:t>
      </w:r>
      <w:r w:rsidRPr="003A1386">
        <w:rPr>
          <w:sz w:val="22"/>
          <w:szCs w:val="22"/>
        </w:rPr>
        <w:fldChar w:fldCharType="end"/>
      </w:r>
      <w:bookmarkEnd w:id="5"/>
      <w:r w:rsidRPr="003A1386">
        <w:rPr>
          <w:sz w:val="22"/>
          <w:szCs w:val="22"/>
        </w:rPr>
        <w:t>: Call Report Reconciliation for Employee Benefit and Deferred Compensation Investments</w:t>
      </w:r>
    </w:p>
    <w:tbl>
      <w:tblPr>
        <w:tblStyle w:val="PlainTable3"/>
        <w:tblW w:w="0" w:type="auto"/>
        <w:tblCellMar>
          <w:top w:w="29" w:type="dxa"/>
          <w:bottom w:w="29" w:type="dxa"/>
        </w:tblCellMar>
        <w:tblLook w:val="04A0"/>
      </w:tblPr>
      <w:tblGrid>
        <w:gridCol w:w="3959"/>
        <w:gridCol w:w="2515"/>
        <w:gridCol w:w="2022"/>
      </w:tblGrid>
      <w:tr w14:paraId="6AD02DFE" w14:textId="77777777" w:rsidTr="00AE010B">
        <w:tblPrEx>
          <w:tblW w:w="0" w:type="auto"/>
          <w:tblCellMar>
            <w:top w:w="29" w:type="dxa"/>
            <w:bottom w:w="29" w:type="dxa"/>
          </w:tblCellMar>
          <w:tblLook w:val="04A0"/>
        </w:tblPrEx>
        <w:tc>
          <w:tcPr>
            <w:tcW w:w="0" w:type="auto"/>
            <w:tcBorders>
              <w:top w:val="single" w:sz="4" w:space="0" w:color="auto"/>
            </w:tcBorders>
          </w:tcPr>
          <w:p w:rsidR="003A1386" w:rsidRPr="00AB67A9" w:rsidP="00AE010B" w14:paraId="7FFE45CD" w14:textId="5A99FBB4">
            <w:pPr>
              <w:rPr>
                <w:rFonts w:ascii="Times New Roman" w:hAnsi="Times New Roman"/>
              </w:rPr>
            </w:pPr>
            <w:r>
              <w:rPr>
                <w:rFonts w:ascii="Times New Roman" w:hAnsi="Times New Roman"/>
              </w:rPr>
              <w:t>Investment Type</w:t>
            </w:r>
          </w:p>
        </w:tc>
        <w:tc>
          <w:tcPr>
            <w:tcW w:w="0" w:type="auto"/>
            <w:tcBorders>
              <w:top w:val="single" w:sz="4" w:space="0" w:color="auto"/>
            </w:tcBorders>
          </w:tcPr>
          <w:p w:rsidR="003A1386" w:rsidRPr="00AB67A9" w:rsidP="00AE010B" w14:paraId="58C8B628" w14:textId="601BFDFE">
            <w:pPr>
              <w:jc w:val="center"/>
              <w:rPr>
                <w:rFonts w:ascii="Times New Roman" w:hAnsi="Times New Roman"/>
                <w:b w:val="0"/>
                <w:bCs w:val="0"/>
                <w:caps w:val="0"/>
              </w:rPr>
            </w:pPr>
            <w:r>
              <w:rPr>
                <w:rFonts w:ascii="Times New Roman" w:hAnsi="Times New Roman"/>
              </w:rPr>
              <w:t>Conform Instrument Type</w:t>
            </w:r>
          </w:p>
        </w:tc>
        <w:tc>
          <w:tcPr>
            <w:tcW w:w="0" w:type="auto"/>
            <w:tcBorders>
              <w:top w:val="single" w:sz="4" w:space="0" w:color="auto"/>
            </w:tcBorders>
          </w:tcPr>
          <w:p w:rsidR="003A1386" w:rsidRPr="00AB67A9" w:rsidP="00AE010B" w14:paraId="2700F553" w14:textId="77777777">
            <w:pPr>
              <w:jc w:val="center"/>
              <w:rPr>
                <w:rFonts w:ascii="Times New Roman" w:hAnsi="Times New Roman"/>
                <w:b w:val="0"/>
                <w:bCs w:val="0"/>
                <w:caps w:val="0"/>
              </w:rPr>
            </w:pPr>
            <w:r>
              <w:rPr>
                <w:rFonts w:ascii="Times New Roman" w:hAnsi="Times New Roman"/>
              </w:rPr>
              <w:t>Call Report Account</w:t>
            </w:r>
          </w:p>
        </w:tc>
      </w:tr>
      <w:tr w14:paraId="3A6E9028" w14:textId="77777777" w:rsidTr="00AE010B">
        <w:tblPrEx>
          <w:tblW w:w="0" w:type="auto"/>
          <w:tblCellMar>
            <w:top w:w="29" w:type="dxa"/>
            <w:bottom w:w="29" w:type="dxa"/>
          </w:tblCellMar>
          <w:tblLook w:val="04A0"/>
        </w:tblPrEx>
        <w:tc>
          <w:tcPr>
            <w:tcW w:w="0" w:type="auto"/>
          </w:tcPr>
          <w:p w:rsidR="003A1386" w:rsidRPr="00AB67A9" w:rsidP="00AE010B" w14:paraId="4F8155FE" w14:textId="59053D2F">
            <w:pPr>
              <w:rPr>
                <w:rFonts w:ascii="Times New Roman" w:hAnsi="Times New Roman"/>
              </w:rPr>
            </w:pPr>
            <w:r>
              <w:rPr>
                <w:rFonts w:ascii="Times New Roman" w:hAnsi="Times New Roman"/>
              </w:rPr>
              <w:t>Securities</w:t>
            </w:r>
          </w:p>
        </w:tc>
        <w:tc>
          <w:tcPr>
            <w:tcW w:w="0" w:type="auto"/>
          </w:tcPr>
          <w:p w:rsidR="003A1386" w:rsidRPr="00CF5E8F" w:rsidP="00AE010B" w14:paraId="2FCCE0B1" w14:textId="344346CC">
            <w:pPr>
              <w:jc w:val="center"/>
              <w:rPr>
                <w:rFonts w:ascii="Times New Roman" w:hAnsi="Times New Roman"/>
              </w:rPr>
            </w:pPr>
            <w:r>
              <w:rPr>
                <w:rFonts w:ascii="Times New Roman" w:hAnsi="Times New Roman"/>
              </w:rPr>
              <w:t>1-5, 7-13</w:t>
            </w:r>
          </w:p>
        </w:tc>
        <w:tc>
          <w:tcPr>
            <w:tcW w:w="0" w:type="auto"/>
          </w:tcPr>
          <w:p w:rsidR="003A1386" w:rsidRPr="00CF5E8F" w:rsidP="00AE010B" w14:paraId="61D4C3F6" w14:textId="1F56D0CB">
            <w:pPr>
              <w:jc w:val="center"/>
              <w:rPr>
                <w:rFonts w:ascii="Times New Roman" w:hAnsi="Times New Roman"/>
              </w:rPr>
            </w:pPr>
            <w:r>
              <w:rPr>
                <w:rFonts w:ascii="Times New Roman" w:hAnsi="Times New Roman"/>
              </w:rPr>
              <w:t>789C</w:t>
            </w:r>
          </w:p>
        </w:tc>
      </w:tr>
      <w:tr w14:paraId="55439A8F" w14:textId="77777777" w:rsidTr="00AE010B">
        <w:tblPrEx>
          <w:tblW w:w="0" w:type="auto"/>
          <w:tblCellMar>
            <w:top w:w="29" w:type="dxa"/>
            <w:bottom w:w="29" w:type="dxa"/>
          </w:tblCellMar>
          <w:tblLook w:val="04A0"/>
        </w:tblPrEx>
        <w:tc>
          <w:tcPr>
            <w:tcW w:w="0" w:type="auto"/>
          </w:tcPr>
          <w:p w:rsidR="003A1386" w:rsidRPr="00AB67A9" w:rsidP="00AE010B" w14:paraId="3E9D1590" w14:textId="581FBD0E">
            <w:pPr>
              <w:rPr>
                <w:rFonts w:ascii="Times New Roman" w:hAnsi="Times New Roman"/>
              </w:rPr>
            </w:pPr>
            <w:r>
              <w:rPr>
                <w:rFonts w:ascii="Times New Roman" w:hAnsi="Times New Roman"/>
              </w:rPr>
              <w:t>Other Investments</w:t>
            </w:r>
          </w:p>
        </w:tc>
        <w:tc>
          <w:tcPr>
            <w:tcW w:w="0" w:type="auto"/>
          </w:tcPr>
          <w:p w:rsidR="003A1386" w:rsidRPr="00AB67A9" w:rsidP="00AE010B" w14:paraId="2B5116A5" w14:textId="5075B3E9">
            <w:pPr>
              <w:jc w:val="center"/>
              <w:rPr>
                <w:rFonts w:ascii="Times New Roman" w:hAnsi="Times New Roman"/>
              </w:rPr>
            </w:pPr>
            <w:r>
              <w:rPr>
                <w:rFonts w:ascii="Times New Roman" w:hAnsi="Times New Roman"/>
              </w:rPr>
              <w:t>6, 14, 18</w:t>
            </w:r>
            <w:r w:rsidR="00DA7239">
              <w:rPr>
                <w:rFonts w:ascii="Times New Roman" w:hAnsi="Times New Roman"/>
              </w:rPr>
              <w:t>, 19</w:t>
            </w:r>
          </w:p>
        </w:tc>
        <w:tc>
          <w:tcPr>
            <w:tcW w:w="0" w:type="auto"/>
          </w:tcPr>
          <w:p w:rsidR="003A1386" w:rsidRPr="00AB67A9" w:rsidP="00AE010B" w14:paraId="60DE8FE8" w14:textId="135495DB">
            <w:pPr>
              <w:jc w:val="center"/>
              <w:rPr>
                <w:rFonts w:ascii="Times New Roman" w:hAnsi="Times New Roman"/>
              </w:rPr>
            </w:pPr>
            <w:r>
              <w:rPr>
                <w:rFonts w:ascii="Times New Roman" w:hAnsi="Times New Roman"/>
              </w:rPr>
              <w:t>789D</w:t>
            </w:r>
          </w:p>
        </w:tc>
      </w:tr>
      <w:tr w14:paraId="4A6B4280" w14:textId="77777777" w:rsidTr="00AE010B">
        <w:tblPrEx>
          <w:tblW w:w="0" w:type="auto"/>
          <w:tblCellMar>
            <w:top w:w="29" w:type="dxa"/>
            <w:bottom w:w="29" w:type="dxa"/>
          </w:tblCellMar>
          <w:tblLook w:val="04A0"/>
        </w:tblPrEx>
        <w:tc>
          <w:tcPr>
            <w:tcW w:w="0" w:type="auto"/>
          </w:tcPr>
          <w:p w:rsidR="003A1386" w:rsidRPr="00AB67A9" w:rsidP="00AE010B" w14:paraId="1D8D53A4" w14:textId="246D8CB5">
            <w:pPr>
              <w:rPr>
                <w:rFonts w:ascii="Times New Roman" w:hAnsi="Times New Roman"/>
              </w:rPr>
            </w:pPr>
            <w:r>
              <w:rPr>
                <w:rFonts w:ascii="Times New Roman" w:hAnsi="Times New Roman"/>
              </w:rPr>
              <w:t>Split-dollar life insurance – collateral assignment</w:t>
            </w:r>
          </w:p>
        </w:tc>
        <w:tc>
          <w:tcPr>
            <w:tcW w:w="0" w:type="auto"/>
          </w:tcPr>
          <w:p w:rsidR="003A1386" w:rsidRPr="00AB67A9" w:rsidP="00AE010B" w14:paraId="51CE7F70" w14:textId="167FDB25">
            <w:pPr>
              <w:jc w:val="center"/>
              <w:rPr>
                <w:rFonts w:ascii="Times New Roman" w:eastAsia="Calibri" w:hAnsi="Times New Roman"/>
              </w:rPr>
            </w:pPr>
            <w:r>
              <w:rPr>
                <w:rFonts w:ascii="Times New Roman" w:eastAsia="Calibri" w:hAnsi="Times New Roman"/>
              </w:rPr>
              <w:t>16</w:t>
            </w:r>
          </w:p>
        </w:tc>
        <w:tc>
          <w:tcPr>
            <w:tcW w:w="0" w:type="auto"/>
          </w:tcPr>
          <w:p w:rsidR="003A1386" w:rsidRPr="00AB67A9" w:rsidP="00AE010B" w14:paraId="79FBC2C0" w14:textId="3164B5A2">
            <w:pPr>
              <w:jc w:val="center"/>
              <w:rPr>
                <w:rFonts w:ascii="Times New Roman" w:eastAsia="Calibri" w:hAnsi="Times New Roman"/>
              </w:rPr>
            </w:pPr>
            <w:r>
              <w:rPr>
                <w:rFonts w:ascii="Times New Roman" w:eastAsia="Calibri" w:hAnsi="Times New Roman"/>
              </w:rPr>
              <w:t>789E</w:t>
            </w:r>
          </w:p>
        </w:tc>
      </w:tr>
      <w:tr w14:paraId="45C79BA6" w14:textId="77777777" w:rsidTr="003A1386">
        <w:tblPrEx>
          <w:tblW w:w="0" w:type="auto"/>
          <w:tblCellMar>
            <w:top w:w="29" w:type="dxa"/>
            <w:bottom w:w="29" w:type="dxa"/>
          </w:tblCellMar>
          <w:tblLook w:val="04A0"/>
        </w:tblPrEx>
        <w:tc>
          <w:tcPr>
            <w:tcW w:w="0" w:type="auto"/>
          </w:tcPr>
          <w:p w:rsidR="003A1386" w:rsidRPr="00AB67A9" w:rsidP="00AE010B" w14:paraId="0FE300FE" w14:textId="17D1455B">
            <w:pPr>
              <w:rPr>
                <w:rFonts w:ascii="Times New Roman" w:hAnsi="Times New Roman"/>
              </w:rPr>
            </w:pPr>
            <w:r>
              <w:rPr>
                <w:rFonts w:ascii="Times New Roman" w:hAnsi="Times New Roman"/>
              </w:rPr>
              <w:t>Split-dollar life insurance – endorsement</w:t>
            </w:r>
          </w:p>
        </w:tc>
        <w:tc>
          <w:tcPr>
            <w:tcW w:w="0" w:type="auto"/>
          </w:tcPr>
          <w:p w:rsidR="003A1386" w:rsidRPr="00E57EAC" w:rsidP="00AE010B" w14:paraId="12A9D79C" w14:textId="2E6A54AE">
            <w:pPr>
              <w:contextualSpacing/>
              <w:jc w:val="center"/>
              <w:rPr>
                <w:rFonts w:ascii="Times New Roman" w:eastAsia="Calibri" w:hAnsi="Times New Roman"/>
              </w:rPr>
            </w:pPr>
            <w:r>
              <w:rPr>
                <w:rFonts w:ascii="Times New Roman" w:eastAsia="Calibri" w:hAnsi="Times New Roman"/>
              </w:rPr>
              <w:t>15</w:t>
            </w:r>
          </w:p>
        </w:tc>
        <w:tc>
          <w:tcPr>
            <w:tcW w:w="0" w:type="auto"/>
          </w:tcPr>
          <w:p w:rsidR="003A1386" w:rsidRPr="00E57EAC" w:rsidP="00AE010B" w14:paraId="18C12C27" w14:textId="53AAACB5">
            <w:pPr>
              <w:contextualSpacing/>
              <w:jc w:val="center"/>
              <w:rPr>
                <w:rFonts w:ascii="Times New Roman" w:eastAsia="Calibri" w:hAnsi="Times New Roman"/>
              </w:rPr>
            </w:pPr>
            <w:r>
              <w:rPr>
                <w:rFonts w:ascii="Times New Roman" w:eastAsia="Calibri" w:hAnsi="Times New Roman"/>
              </w:rPr>
              <w:t>789E1</w:t>
            </w:r>
          </w:p>
        </w:tc>
      </w:tr>
      <w:tr w14:paraId="7AB05009" w14:textId="77777777" w:rsidTr="00AE010B">
        <w:tblPrEx>
          <w:tblW w:w="0" w:type="auto"/>
          <w:tblCellMar>
            <w:top w:w="29" w:type="dxa"/>
            <w:bottom w:w="29" w:type="dxa"/>
          </w:tblCellMar>
          <w:tblLook w:val="04A0"/>
        </w:tblPrEx>
        <w:tc>
          <w:tcPr>
            <w:tcW w:w="0" w:type="auto"/>
            <w:tcBorders>
              <w:bottom w:val="single" w:sz="4" w:space="0" w:color="auto"/>
            </w:tcBorders>
          </w:tcPr>
          <w:p w:rsidR="003A1386" w:rsidP="00AE010B" w14:paraId="3C96BD2B" w14:textId="6BB1FFBE">
            <w:pPr>
              <w:rPr>
                <w:rFonts w:ascii="Times New Roman" w:hAnsi="Times New Roman"/>
              </w:rPr>
            </w:pPr>
            <w:r>
              <w:rPr>
                <w:rFonts w:ascii="Times New Roman" w:hAnsi="Times New Roman"/>
              </w:rPr>
              <w:t>All other insurance</w:t>
            </w:r>
          </w:p>
        </w:tc>
        <w:tc>
          <w:tcPr>
            <w:tcW w:w="0" w:type="auto"/>
            <w:tcBorders>
              <w:bottom w:val="single" w:sz="4" w:space="0" w:color="auto"/>
            </w:tcBorders>
          </w:tcPr>
          <w:p w:rsidR="003A1386" w:rsidP="00AE010B" w14:paraId="7DE3DCDB" w14:textId="58C44EF1">
            <w:pPr>
              <w:contextualSpacing/>
              <w:jc w:val="center"/>
              <w:rPr>
                <w:rFonts w:ascii="Times New Roman" w:eastAsia="Calibri" w:hAnsi="Times New Roman"/>
              </w:rPr>
            </w:pPr>
            <w:r>
              <w:rPr>
                <w:rFonts w:ascii="Times New Roman" w:eastAsia="Calibri" w:hAnsi="Times New Roman"/>
              </w:rPr>
              <w:t>17</w:t>
            </w:r>
          </w:p>
        </w:tc>
        <w:tc>
          <w:tcPr>
            <w:tcW w:w="0" w:type="auto"/>
            <w:tcBorders>
              <w:bottom w:val="single" w:sz="4" w:space="0" w:color="auto"/>
            </w:tcBorders>
          </w:tcPr>
          <w:p w:rsidR="003A1386" w:rsidP="00AE010B" w14:paraId="299CAD47" w14:textId="5E370AEB">
            <w:pPr>
              <w:contextualSpacing/>
              <w:jc w:val="center"/>
              <w:rPr>
                <w:rFonts w:ascii="Times New Roman" w:eastAsia="Calibri" w:hAnsi="Times New Roman"/>
              </w:rPr>
            </w:pPr>
            <w:r>
              <w:rPr>
                <w:rFonts w:ascii="Times New Roman" w:eastAsia="Calibri" w:hAnsi="Times New Roman"/>
              </w:rPr>
              <w:t>789E2</w:t>
            </w:r>
          </w:p>
        </w:tc>
      </w:tr>
    </w:tbl>
    <w:p w:rsidR="003A1386" w:rsidP="00254C7C" w14:paraId="195F81AB" w14:textId="77777777">
      <w:pPr>
        <w:rPr>
          <w:rFonts w:ascii="Times New Roman" w:hAnsi="Times New Roman"/>
        </w:rPr>
      </w:pPr>
    </w:p>
    <w:p w:rsidR="00254C7C" w:rsidRPr="00254C7C" w:rsidP="0086494D" w14:paraId="6360BC94" w14:textId="2403A304">
      <w:pPr>
        <w:pStyle w:val="Heading3"/>
      </w:pPr>
      <w:r>
        <w:t>Charitable Donation Accounts</w:t>
      </w:r>
    </w:p>
    <w:p w:rsidR="00FD5620" w:rsidP="00FD7FE6" w14:paraId="69EB0936" w14:textId="71E8D9D4">
      <w:pPr>
        <w:rPr>
          <w:rFonts w:ascii="Times New Roman" w:hAnsi="Times New Roman"/>
        </w:rPr>
      </w:pPr>
      <w:r>
        <w:rPr>
          <w:rFonts w:ascii="Times New Roman" w:hAnsi="Times New Roman"/>
        </w:rPr>
        <w:t xml:space="preserve">The sum of the </w:t>
      </w:r>
      <w:r w:rsidR="00636048">
        <w:rPr>
          <w:rFonts w:ascii="Times New Roman" w:hAnsi="Times New Roman"/>
        </w:rPr>
        <w:t>recorded</w:t>
      </w:r>
      <w:r>
        <w:rPr>
          <w:rFonts w:ascii="Times New Roman" w:hAnsi="Times New Roman"/>
        </w:rPr>
        <w:t xml:space="preserve"> value (CURR_BOOK_VALUE) of investments reported as part of charitable donation accounts (as indicated by</w:t>
      </w:r>
      <w:r w:rsidR="0086494D">
        <w:rPr>
          <w:rFonts w:ascii="Times New Roman" w:hAnsi="Times New Roman"/>
        </w:rPr>
        <w:t xml:space="preserve"> the field </w:t>
      </w:r>
      <w:r>
        <w:rPr>
          <w:rFonts w:ascii="Times New Roman" w:hAnsi="Times New Roman"/>
        </w:rPr>
        <w:t>CONFORM_INVESTMENT_ACCOUNT) should align with account 789H reported in Call Report, Schedule B</w:t>
      </w:r>
      <w:r w:rsidR="006B2158">
        <w:rPr>
          <w:rFonts w:ascii="Times New Roman" w:hAnsi="Times New Roman"/>
        </w:rPr>
        <w:t>,</w:t>
      </w:r>
      <w:r>
        <w:rPr>
          <w:rFonts w:ascii="Times New Roman" w:hAnsi="Times New Roman"/>
        </w:rPr>
        <w:t xml:space="preserve"> Section 4.</w:t>
      </w:r>
    </w:p>
    <w:p w:rsidR="0086494D" w:rsidP="00FD7FE6" w14:paraId="0C0E0282" w14:textId="1082FB10">
      <w:pPr>
        <w:rPr>
          <w:rFonts w:ascii="Times New Roman" w:hAnsi="Times New Roman"/>
        </w:rPr>
      </w:pPr>
    </w:p>
    <w:p w:rsidR="0086494D" w:rsidP="0086494D" w14:paraId="1E197D6B" w14:textId="55DE3F22">
      <w:pPr>
        <w:pStyle w:val="Heading2"/>
      </w:pPr>
      <w:r>
        <w:t>Cash Template</w:t>
      </w:r>
    </w:p>
    <w:p w:rsidR="0086494D" w:rsidRPr="00DA58EB" w:rsidP="00FD7FE6" w14:paraId="0BE65362" w14:textId="0449B121">
      <w:pPr>
        <w:rPr>
          <w:rFonts w:ascii="Times New Roman" w:hAnsi="Times New Roman"/>
        </w:rPr>
      </w:pPr>
      <w:r w:rsidRPr="00DA58EB">
        <w:rPr>
          <w:rFonts w:ascii="Times New Roman" w:hAnsi="Times New Roman"/>
        </w:rPr>
        <w:t xml:space="preserve">The sum of the current balance of cash and cash equivalents </w:t>
      </w:r>
      <w:r w:rsidRPr="00DA58EB" w:rsidR="00D22074">
        <w:rPr>
          <w:rFonts w:ascii="Times New Roman" w:hAnsi="Times New Roman"/>
        </w:rPr>
        <w:t xml:space="preserve">(CURR_BAL) </w:t>
      </w:r>
      <w:r w:rsidRPr="00DA58EB">
        <w:rPr>
          <w:rFonts w:ascii="Times New Roman" w:hAnsi="Times New Roman"/>
        </w:rPr>
        <w:t xml:space="preserve">should </w:t>
      </w:r>
      <w:r w:rsidRPr="00DA58EB" w:rsidR="00D22074">
        <w:rPr>
          <w:rFonts w:ascii="Times New Roman" w:hAnsi="Times New Roman"/>
        </w:rPr>
        <w:t>align with the</w:t>
      </w:r>
      <w:r w:rsidRPr="00DA58EB">
        <w:rPr>
          <w:rFonts w:ascii="Times New Roman" w:hAnsi="Times New Roman"/>
        </w:rPr>
        <w:t xml:space="preserve"> values reported in the Call Report</w:t>
      </w:r>
      <w:r w:rsidRPr="00DA58EB" w:rsidR="00EF3841">
        <w:rPr>
          <w:rFonts w:ascii="Times New Roman" w:hAnsi="Times New Roman"/>
        </w:rPr>
        <w:t>, Statement of Financial Condition</w:t>
      </w:r>
      <w:r w:rsidRPr="00DA58EB">
        <w:rPr>
          <w:rFonts w:ascii="Times New Roman" w:hAnsi="Times New Roman"/>
        </w:rPr>
        <w:t>.</w:t>
      </w:r>
      <w:r w:rsidR="00C96335">
        <w:rPr>
          <w:rFonts w:ascii="Times New Roman" w:hAnsi="Times New Roman"/>
        </w:rPr>
        <w:t xml:space="preserve"> </w:t>
      </w:r>
      <w:r w:rsidRPr="00DA58EB" w:rsidR="00FF4EF8">
        <w:rPr>
          <w:rFonts w:ascii="Times New Roman" w:hAnsi="Times New Roman"/>
        </w:rPr>
        <w:t xml:space="preserve"> See </w:t>
      </w:r>
      <w:r w:rsidRPr="00DA58EB" w:rsidR="00FF4EF8">
        <w:rPr>
          <w:rFonts w:ascii="Times New Roman" w:hAnsi="Times New Roman"/>
        </w:rPr>
        <w:fldChar w:fldCharType="begin"/>
      </w:r>
      <w:r w:rsidRPr="00DA58EB" w:rsidR="00FF4EF8">
        <w:rPr>
          <w:rFonts w:ascii="Times New Roman" w:hAnsi="Times New Roman"/>
        </w:rPr>
        <w:instrText xml:space="preserve"> REF _Ref143505211 \h </w:instrText>
      </w:r>
      <w:r w:rsidRPr="00DA58EB" w:rsidR="00DA58EB">
        <w:rPr>
          <w:rFonts w:ascii="Times New Roman" w:hAnsi="Times New Roman"/>
        </w:rPr>
        <w:instrText xml:space="preserve"> \* MERGEFORMAT </w:instrText>
      </w:r>
      <w:r w:rsidRPr="00DA58EB" w:rsidR="00FF4EF8">
        <w:rPr>
          <w:rFonts w:ascii="Times New Roman" w:hAnsi="Times New Roman"/>
        </w:rPr>
        <w:fldChar w:fldCharType="separate"/>
      </w:r>
      <w:r w:rsidRPr="00DA58EB" w:rsidR="00746C41">
        <w:rPr>
          <w:rFonts w:ascii="Times New Roman" w:hAnsi="Times New Roman"/>
        </w:rPr>
        <w:t xml:space="preserve">Table </w:t>
      </w:r>
      <w:r w:rsidRPr="00DA58EB" w:rsidR="00746C41">
        <w:rPr>
          <w:rFonts w:ascii="Times New Roman" w:hAnsi="Times New Roman"/>
          <w:noProof/>
        </w:rPr>
        <w:t>4</w:t>
      </w:r>
      <w:r w:rsidRPr="00DA58EB" w:rsidR="00FF4EF8">
        <w:rPr>
          <w:rFonts w:ascii="Times New Roman" w:hAnsi="Times New Roman"/>
        </w:rPr>
        <w:fldChar w:fldCharType="end"/>
      </w:r>
      <w:r w:rsidRPr="00DA58EB" w:rsidR="00FF4EF8">
        <w:rPr>
          <w:rFonts w:ascii="Times New Roman" w:hAnsi="Times New Roman"/>
        </w:rPr>
        <w:t xml:space="preserve"> for a crosswalk between the CONFORM_ACCOUNT_TYPE values and Call Report accounts.</w:t>
      </w:r>
    </w:p>
    <w:p w:rsidR="0086494D" w:rsidRPr="00FF4EF8" w:rsidP="00FF4EF8" w14:paraId="2809D4A3" w14:textId="3CAA32D3">
      <w:pPr>
        <w:rPr>
          <w:rFonts w:ascii="Times New Roman" w:hAnsi="Times New Roman"/>
        </w:rPr>
      </w:pPr>
    </w:p>
    <w:p w:rsidR="00FF4EF8" w:rsidRPr="00FF4EF8" w:rsidP="00FF4EF8" w14:paraId="675049F9" w14:textId="23A85FC8">
      <w:pPr>
        <w:pStyle w:val="Caption"/>
        <w:keepNext/>
        <w:rPr>
          <w:sz w:val="22"/>
          <w:szCs w:val="22"/>
        </w:rPr>
      </w:pPr>
      <w:bookmarkStart w:id="6" w:name="_Ref143505211"/>
      <w:r w:rsidRPr="00FF4EF8">
        <w:rPr>
          <w:sz w:val="22"/>
          <w:szCs w:val="22"/>
        </w:rPr>
        <w:t xml:space="preserve">Table </w:t>
      </w:r>
      <w:r w:rsidRPr="00FF4EF8">
        <w:rPr>
          <w:sz w:val="22"/>
          <w:szCs w:val="22"/>
        </w:rPr>
        <w:fldChar w:fldCharType="begin"/>
      </w:r>
      <w:r w:rsidRPr="00FF4EF8">
        <w:rPr>
          <w:sz w:val="22"/>
          <w:szCs w:val="22"/>
        </w:rPr>
        <w:instrText xml:space="preserve"> SEQ Table \* ARABIC </w:instrText>
      </w:r>
      <w:r w:rsidRPr="00FF4EF8">
        <w:rPr>
          <w:sz w:val="22"/>
          <w:szCs w:val="22"/>
        </w:rPr>
        <w:fldChar w:fldCharType="separate"/>
      </w:r>
      <w:r w:rsidR="00746C41">
        <w:rPr>
          <w:noProof/>
          <w:sz w:val="22"/>
          <w:szCs w:val="22"/>
        </w:rPr>
        <w:t>4</w:t>
      </w:r>
      <w:r w:rsidRPr="00FF4EF8">
        <w:rPr>
          <w:sz w:val="22"/>
          <w:szCs w:val="22"/>
        </w:rPr>
        <w:fldChar w:fldCharType="end"/>
      </w:r>
      <w:bookmarkEnd w:id="6"/>
      <w:r w:rsidRPr="00FF4EF8">
        <w:rPr>
          <w:sz w:val="22"/>
          <w:szCs w:val="22"/>
        </w:rPr>
        <w:t>: Call Report Reconciliation for Cash Template</w:t>
      </w:r>
    </w:p>
    <w:tbl>
      <w:tblPr>
        <w:tblStyle w:val="PlainTable3"/>
        <w:tblW w:w="0" w:type="auto"/>
        <w:tblCellMar>
          <w:top w:w="29" w:type="dxa"/>
          <w:bottom w:w="29" w:type="dxa"/>
        </w:tblCellMar>
        <w:tblLook w:val="04A0"/>
      </w:tblPr>
      <w:tblGrid>
        <w:gridCol w:w="2584"/>
        <w:gridCol w:w="3057"/>
        <w:gridCol w:w="2855"/>
      </w:tblGrid>
      <w:tr w14:paraId="378BD246" w14:textId="77777777" w:rsidTr="00FF4EF8">
        <w:tblPrEx>
          <w:tblW w:w="0" w:type="auto"/>
          <w:tblCellMar>
            <w:top w:w="29" w:type="dxa"/>
            <w:bottom w:w="29" w:type="dxa"/>
          </w:tblCellMar>
          <w:tblLook w:val="04A0"/>
        </w:tblPrEx>
        <w:tc>
          <w:tcPr>
            <w:tcW w:w="0" w:type="auto"/>
            <w:tcBorders>
              <w:top w:val="single" w:sz="4" w:space="0" w:color="auto"/>
            </w:tcBorders>
          </w:tcPr>
          <w:p w:rsidR="00FF4EF8" w:rsidRPr="00AB67A9" w:rsidP="00AE010B" w14:paraId="40A0D9D8" w14:textId="77777777">
            <w:pPr>
              <w:rPr>
                <w:rFonts w:ascii="Times New Roman" w:hAnsi="Times New Roman"/>
              </w:rPr>
            </w:pPr>
            <w:r>
              <w:rPr>
                <w:rFonts w:ascii="Times New Roman" w:hAnsi="Times New Roman"/>
              </w:rPr>
              <w:t>Source</w:t>
            </w:r>
            <w:r w:rsidRPr="00AB67A9">
              <w:rPr>
                <w:rFonts w:ascii="Times New Roman" w:hAnsi="Times New Roman"/>
              </w:rPr>
              <w:t xml:space="preserve"> </w:t>
            </w:r>
          </w:p>
        </w:tc>
        <w:tc>
          <w:tcPr>
            <w:tcW w:w="0" w:type="auto"/>
            <w:tcBorders>
              <w:top w:val="single" w:sz="4" w:space="0" w:color="auto"/>
            </w:tcBorders>
          </w:tcPr>
          <w:p w:rsidR="00FF4EF8" w:rsidRPr="00AB67A9" w:rsidP="00AE010B" w14:paraId="75D217CB" w14:textId="5387612C">
            <w:pPr>
              <w:jc w:val="center"/>
              <w:rPr>
                <w:rFonts w:ascii="Times New Roman" w:hAnsi="Times New Roman"/>
                <w:b w:val="0"/>
                <w:bCs w:val="0"/>
                <w:caps w:val="0"/>
              </w:rPr>
            </w:pPr>
            <w:r>
              <w:rPr>
                <w:rFonts w:ascii="Times New Roman" w:hAnsi="Times New Roman"/>
              </w:rPr>
              <w:t>Conform Account Type</w:t>
            </w:r>
          </w:p>
        </w:tc>
        <w:tc>
          <w:tcPr>
            <w:tcW w:w="0" w:type="auto"/>
            <w:tcBorders>
              <w:top w:val="single" w:sz="4" w:space="0" w:color="auto"/>
            </w:tcBorders>
          </w:tcPr>
          <w:p w:rsidR="00FF4EF8" w:rsidRPr="00AB67A9" w:rsidP="00AE010B" w14:paraId="17E7CF45" w14:textId="73005BC6">
            <w:pPr>
              <w:jc w:val="center"/>
              <w:rPr>
                <w:rFonts w:ascii="Times New Roman" w:hAnsi="Times New Roman"/>
                <w:b w:val="0"/>
                <w:bCs w:val="0"/>
                <w:caps w:val="0"/>
              </w:rPr>
            </w:pPr>
            <w:r>
              <w:rPr>
                <w:rFonts w:ascii="Times New Roman" w:hAnsi="Times New Roman"/>
              </w:rPr>
              <w:t>Call Report Account</w:t>
            </w:r>
          </w:p>
        </w:tc>
      </w:tr>
      <w:tr w14:paraId="683479FA" w14:textId="77777777" w:rsidTr="00FF4EF8">
        <w:tblPrEx>
          <w:tblW w:w="0" w:type="auto"/>
          <w:tblCellMar>
            <w:top w:w="29" w:type="dxa"/>
            <w:bottom w:w="29" w:type="dxa"/>
          </w:tblCellMar>
          <w:tblLook w:val="04A0"/>
        </w:tblPrEx>
        <w:tc>
          <w:tcPr>
            <w:tcW w:w="0" w:type="auto"/>
          </w:tcPr>
          <w:p w:rsidR="00FF4EF8" w:rsidRPr="00AB67A9" w:rsidP="00AE010B" w14:paraId="32D4528C" w14:textId="42FEF22A">
            <w:pPr>
              <w:rPr>
                <w:rFonts w:ascii="Times New Roman" w:hAnsi="Times New Roman"/>
              </w:rPr>
            </w:pPr>
            <w:r>
              <w:rPr>
                <w:rFonts w:ascii="Times New Roman" w:hAnsi="Times New Roman"/>
              </w:rPr>
              <w:t>Cash on Deposit</w:t>
            </w:r>
          </w:p>
        </w:tc>
        <w:tc>
          <w:tcPr>
            <w:tcW w:w="0" w:type="auto"/>
          </w:tcPr>
          <w:p w:rsidR="00FF4EF8" w:rsidRPr="00AB67A9" w:rsidP="00AE010B" w14:paraId="166F85E6" w14:textId="62A1743C">
            <w:pPr>
              <w:jc w:val="center"/>
              <w:rPr>
                <w:rFonts w:ascii="Times New Roman" w:hAnsi="Times New Roman"/>
              </w:rPr>
            </w:pPr>
            <w:r>
              <w:rPr>
                <w:rFonts w:ascii="Times New Roman" w:hAnsi="Times New Roman"/>
              </w:rPr>
              <w:t>1, 2, 3 or 5</w:t>
            </w:r>
          </w:p>
        </w:tc>
        <w:tc>
          <w:tcPr>
            <w:tcW w:w="0" w:type="auto"/>
          </w:tcPr>
          <w:p w:rsidR="00FF4EF8" w:rsidRPr="00AB67A9" w:rsidP="00AE010B" w14:paraId="4F709581" w14:textId="78775205">
            <w:pPr>
              <w:jc w:val="center"/>
              <w:rPr>
                <w:rFonts w:ascii="Times New Roman" w:hAnsi="Times New Roman"/>
              </w:rPr>
            </w:pPr>
            <w:r>
              <w:rPr>
                <w:rFonts w:ascii="Times New Roman" w:hAnsi="Times New Roman"/>
              </w:rPr>
              <w:t>730B</w:t>
            </w:r>
          </w:p>
        </w:tc>
      </w:tr>
      <w:tr w14:paraId="11427BEC" w14:textId="77777777" w:rsidTr="00FF4EF8">
        <w:tblPrEx>
          <w:tblW w:w="0" w:type="auto"/>
          <w:tblCellMar>
            <w:top w:w="29" w:type="dxa"/>
            <w:bottom w:w="29" w:type="dxa"/>
          </w:tblCellMar>
          <w:tblLook w:val="04A0"/>
        </w:tblPrEx>
        <w:tc>
          <w:tcPr>
            <w:tcW w:w="0" w:type="auto"/>
          </w:tcPr>
          <w:p w:rsidR="00FF4EF8" w:rsidRPr="00AB67A9" w:rsidP="00AE010B" w14:paraId="40386CB3" w14:textId="0D66F3A0">
            <w:pPr>
              <w:rPr>
                <w:rFonts w:ascii="Times New Roman" w:hAnsi="Times New Roman"/>
              </w:rPr>
            </w:pPr>
            <w:r>
              <w:rPr>
                <w:rFonts w:ascii="Times New Roman" w:hAnsi="Times New Roman"/>
              </w:rPr>
              <w:t>Time Deposits</w:t>
            </w:r>
          </w:p>
        </w:tc>
        <w:tc>
          <w:tcPr>
            <w:tcW w:w="0" w:type="auto"/>
          </w:tcPr>
          <w:p w:rsidR="00FF4EF8" w:rsidRPr="00AB67A9" w:rsidP="00AE010B" w14:paraId="4FAED2B0" w14:textId="457468A1">
            <w:pPr>
              <w:jc w:val="center"/>
              <w:rPr>
                <w:rFonts w:ascii="Times New Roman" w:eastAsia="Calibri" w:hAnsi="Times New Roman"/>
              </w:rPr>
            </w:pPr>
            <w:r>
              <w:rPr>
                <w:rFonts w:ascii="Times New Roman" w:eastAsia="Calibri" w:hAnsi="Times New Roman"/>
              </w:rPr>
              <w:t>4, 6, 8</w:t>
            </w:r>
          </w:p>
        </w:tc>
        <w:tc>
          <w:tcPr>
            <w:tcW w:w="0" w:type="auto"/>
          </w:tcPr>
          <w:p w:rsidR="00FF4EF8" w:rsidRPr="00AB67A9" w:rsidP="00AE010B" w14:paraId="00D5849B" w14:textId="22A1321E">
            <w:pPr>
              <w:jc w:val="center"/>
              <w:rPr>
                <w:rFonts w:ascii="Times New Roman" w:eastAsia="Calibri" w:hAnsi="Times New Roman"/>
              </w:rPr>
            </w:pPr>
            <w:r>
              <w:rPr>
                <w:rFonts w:ascii="Times New Roman" w:eastAsia="Calibri" w:hAnsi="Times New Roman"/>
              </w:rPr>
              <w:t>AS0007</w:t>
            </w:r>
          </w:p>
        </w:tc>
      </w:tr>
      <w:tr w14:paraId="4B35A1FF" w14:textId="77777777" w:rsidTr="00FF4EF8">
        <w:tblPrEx>
          <w:tblW w:w="0" w:type="auto"/>
          <w:tblCellMar>
            <w:top w:w="29" w:type="dxa"/>
            <w:bottom w:w="29" w:type="dxa"/>
          </w:tblCellMar>
          <w:tblLook w:val="04A0"/>
        </w:tblPrEx>
        <w:tc>
          <w:tcPr>
            <w:tcW w:w="0" w:type="auto"/>
            <w:tcBorders>
              <w:bottom w:val="single" w:sz="4" w:space="0" w:color="auto"/>
            </w:tcBorders>
          </w:tcPr>
          <w:p w:rsidR="00FF4EF8" w:rsidRPr="00AB67A9" w:rsidP="00AE010B" w14:paraId="552073CE" w14:textId="49708C16">
            <w:pPr>
              <w:rPr>
                <w:rFonts w:ascii="Times New Roman" w:hAnsi="Times New Roman"/>
              </w:rPr>
            </w:pPr>
            <w:r>
              <w:rPr>
                <w:rFonts w:ascii="Times New Roman" w:hAnsi="Times New Roman"/>
              </w:rPr>
              <w:t>All other Deposits</w:t>
            </w:r>
          </w:p>
        </w:tc>
        <w:tc>
          <w:tcPr>
            <w:tcW w:w="0" w:type="auto"/>
            <w:tcBorders>
              <w:bottom w:val="single" w:sz="4" w:space="0" w:color="auto"/>
            </w:tcBorders>
          </w:tcPr>
          <w:p w:rsidR="00FF4EF8" w:rsidRPr="00E57EAC" w:rsidP="00AE010B" w14:paraId="59078598" w14:textId="0461F2BF">
            <w:pPr>
              <w:contextualSpacing/>
              <w:jc w:val="center"/>
              <w:rPr>
                <w:rFonts w:ascii="Times New Roman" w:eastAsia="Calibri" w:hAnsi="Times New Roman"/>
              </w:rPr>
            </w:pPr>
            <w:r>
              <w:rPr>
                <w:rFonts w:ascii="Times New Roman" w:eastAsia="Calibri" w:hAnsi="Times New Roman"/>
              </w:rPr>
              <w:t>9</w:t>
            </w:r>
          </w:p>
        </w:tc>
        <w:tc>
          <w:tcPr>
            <w:tcW w:w="0" w:type="auto"/>
            <w:tcBorders>
              <w:bottom w:val="single" w:sz="4" w:space="0" w:color="auto"/>
            </w:tcBorders>
          </w:tcPr>
          <w:p w:rsidR="00FF4EF8" w:rsidRPr="00E57EAC" w:rsidP="00AE010B" w14:paraId="109CF74E" w14:textId="79F72175">
            <w:pPr>
              <w:contextualSpacing/>
              <w:jc w:val="center"/>
              <w:rPr>
                <w:rFonts w:ascii="Times New Roman" w:eastAsia="Calibri" w:hAnsi="Times New Roman"/>
              </w:rPr>
            </w:pPr>
            <w:r>
              <w:rPr>
                <w:rFonts w:ascii="Times New Roman" w:eastAsia="Calibri" w:hAnsi="Times New Roman"/>
              </w:rPr>
              <w:t>AS0008</w:t>
            </w:r>
          </w:p>
        </w:tc>
      </w:tr>
    </w:tbl>
    <w:p w:rsidR="00FF4EF8" w:rsidRPr="00FF4EF8" w:rsidP="00FF4EF8" w14:paraId="7BFD5488" w14:textId="77777777">
      <w:pPr>
        <w:rPr>
          <w:rFonts w:ascii="Times New Roman" w:hAnsi="Times New Roman"/>
        </w:rPr>
      </w:pPr>
    </w:p>
    <w:p w:rsidR="00E00103" w:rsidP="00E00103" w14:paraId="600A2A3B" w14:textId="1A3A5FEF">
      <w:pPr>
        <w:rPr>
          <w:rFonts w:ascii="Times New Roman" w:hAnsi="Times New Roman"/>
        </w:rPr>
      </w:pPr>
    </w:p>
    <w:p w:rsidR="00E00103" w:rsidP="00E00103" w14:paraId="43A35FFA" w14:textId="122170D2">
      <w:pPr>
        <w:pStyle w:val="Heading2"/>
      </w:pPr>
      <w:r>
        <w:t>Borrowings Template</w:t>
      </w:r>
    </w:p>
    <w:p w:rsidR="00E00103" w:rsidRPr="00DA58EB" w:rsidP="00E00103" w14:paraId="4C7F1DB4" w14:textId="1A1CE97A">
      <w:pPr>
        <w:rPr>
          <w:rFonts w:ascii="Times New Roman" w:hAnsi="Times New Roman"/>
        </w:rPr>
      </w:pPr>
      <w:r w:rsidRPr="00DA58EB">
        <w:rPr>
          <w:rFonts w:ascii="Times New Roman" w:hAnsi="Times New Roman"/>
        </w:rPr>
        <w:t xml:space="preserve">The sum of the reported borrowings (CURR_BAL) </w:t>
      </w:r>
      <w:r w:rsidRPr="00DA58EB" w:rsidR="00E57EAC">
        <w:rPr>
          <w:rFonts w:ascii="Times New Roman" w:hAnsi="Times New Roman"/>
        </w:rPr>
        <w:t xml:space="preserve">and pledged assets (CURR_PLEDGED_ASSETS) </w:t>
      </w:r>
      <w:r w:rsidRPr="00DA58EB" w:rsidR="003D5954">
        <w:rPr>
          <w:rFonts w:ascii="Times New Roman" w:hAnsi="Times New Roman"/>
        </w:rPr>
        <w:t xml:space="preserve">should align with the values reported in the Call Report, Schedule C Section 4 </w:t>
      </w:r>
      <w:r w:rsidRPr="00DA58EB" w:rsidR="00E57EAC">
        <w:rPr>
          <w:rFonts w:ascii="Times New Roman" w:hAnsi="Times New Roman"/>
        </w:rPr>
        <w:t>for each borrowing source</w:t>
      </w:r>
      <w:r w:rsidRPr="00DA58EB" w:rsidR="00FF4EF8">
        <w:rPr>
          <w:rFonts w:ascii="Times New Roman" w:hAnsi="Times New Roman"/>
        </w:rPr>
        <w:t xml:space="preserve">. </w:t>
      </w:r>
      <w:r w:rsidR="00C96335">
        <w:rPr>
          <w:rFonts w:ascii="Times New Roman" w:hAnsi="Times New Roman"/>
        </w:rPr>
        <w:t xml:space="preserve"> </w:t>
      </w:r>
      <w:r w:rsidRPr="00DA58EB" w:rsidR="003D5954">
        <w:rPr>
          <w:rFonts w:ascii="Times New Roman" w:hAnsi="Times New Roman"/>
        </w:rPr>
        <w:t>See</w:t>
      </w:r>
      <w:r w:rsidRPr="00DA58EB" w:rsidR="00E57EAC">
        <w:rPr>
          <w:rFonts w:ascii="Times New Roman" w:hAnsi="Times New Roman"/>
        </w:rPr>
        <w:t xml:space="preserve"> </w:t>
      </w:r>
      <w:r w:rsidRPr="00DA58EB" w:rsidR="00FF4EF8">
        <w:rPr>
          <w:rFonts w:ascii="Times New Roman" w:hAnsi="Times New Roman"/>
        </w:rPr>
        <w:fldChar w:fldCharType="begin"/>
      </w:r>
      <w:r w:rsidRPr="00DA58EB" w:rsidR="00FF4EF8">
        <w:rPr>
          <w:rFonts w:ascii="Times New Roman" w:hAnsi="Times New Roman"/>
        </w:rPr>
        <w:instrText xml:space="preserve"> REF _Ref143504952 \h </w:instrText>
      </w:r>
      <w:r w:rsidRPr="00DA58EB" w:rsidR="00DA58EB">
        <w:rPr>
          <w:rFonts w:ascii="Times New Roman" w:hAnsi="Times New Roman"/>
        </w:rPr>
        <w:instrText xml:space="preserve"> \* MERGEFORMAT </w:instrText>
      </w:r>
      <w:r w:rsidRPr="00DA58EB" w:rsidR="00FF4EF8">
        <w:rPr>
          <w:rFonts w:ascii="Times New Roman" w:hAnsi="Times New Roman"/>
        </w:rPr>
        <w:fldChar w:fldCharType="separate"/>
      </w:r>
      <w:r w:rsidRPr="00DA58EB" w:rsidR="00746C41">
        <w:rPr>
          <w:rFonts w:ascii="Times New Roman" w:hAnsi="Times New Roman"/>
        </w:rPr>
        <w:t xml:space="preserve">Table </w:t>
      </w:r>
      <w:r w:rsidRPr="00DA58EB" w:rsidR="00746C41">
        <w:rPr>
          <w:rFonts w:ascii="Times New Roman" w:hAnsi="Times New Roman"/>
          <w:noProof/>
        </w:rPr>
        <w:t>5</w:t>
      </w:r>
      <w:r w:rsidRPr="00DA58EB" w:rsidR="00FF4EF8">
        <w:rPr>
          <w:rFonts w:ascii="Times New Roman" w:hAnsi="Times New Roman"/>
        </w:rPr>
        <w:fldChar w:fldCharType="end"/>
      </w:r>
      <w:r w:rsidRPr="00DA58EB" w:rsidR="00FF4EF8">
        <w:rPr>
          <w:rFonts w:ascii="Times New Roman" w:hAnsi="Times New Roman"/>
        </w:rPr>
        <w:t xml:space="preserve"> </w:t>
      </w:r>
      <w:r w:rsidRPr="00DA58EB" w:rsidR="003D5954">
        <w:rPr>
          <w:rFonts w:ascii="Times New Roman" w:hAnsi="Times New Roman"/>
        </w:rPr>
        <w:t xml:space="preserve">for </w:t>
      </w:r>
      <w:r w:rsidRPr="00DA58EB" w:rsidR="00FF4EF8">
        <w:rPr>
          <w:rFonts w:ascii="Times New Roman" w:hAnsi="Times New Roman"/>
        </w:rPr>
        <w:t>a crosswalk between CONFORM_ACCOUNT_PROVIDER and the Call Report accounts</w:t>
      </w:r>
      <w:r w:rsidRPr="00DA58EB" w:rsidR="00E57EAC">
        <w:rPr>
          <w:rFonts w:ascii="Times New Roman" w:hAnsi="Times New Roman"/>
        </w:rPr>
        <w:t>.</w:t>
      </w:r>
    </w:p>
    <w:p w:rsidR="00FD7FE6" w:rsidP="00FD7FE6" w14:paraId="0BD7CB95" w14:textId="632557FF">
      <w:pPr>
        <w:rPr>
          <w:rFonts w:ascii="Times New Roman" w:hAnsi="Times New Roman"/>
        </w:rPr>
      </w:pPr>
    </w:p>
    <w:p w:rsidR="003D5954" w:rsidRPr="003D5954" w:rsidP="003D5954" w14:paraId="55655389" w14:textId="2BD6213E">
      <w:pPr>
        <w:pStyle w:val="Caption"/>
        <w:keepNext/>
        <w:rPr>
          <w:sz w:val="22"/>
          <w:szCs w:val="22"/>
        </w:rPr>
      </w:pPr>
      <w:bookmarkStart w:id="7" w:name="_Ref143504952"/>
      <w:r w:rsidRPr="003D5954">
        <w:rPr>
          <w:sz w:val="22"/>
          <w:szCs w:val="22"/>
        </w:rPr>
        <w:t xml:space="preserve">Table </w:t>
      </w:r>
      <w:r w:rsidRPr="003D5954">
        <w:rPr>
          <w:sz w:val="22"/>
          <w:szCs w:val="22"/>
        </w:rPr>
        <w:fldChar w:fldCharType="begin"/>
      </w:r>
      <w:r w:rsidRPr="003D5954">
        <w:rPr>
          <w:sz w:val="22"/>
          <w:szCs w:val="22"/>
        </w:rPr>
        <w:instrText xml:space="preserve"> SEQ Table \* ARABIC </w:instrText>
      </w:r>
      <w:r w:rsidRPr="003D5954">
        <w:rPr>
          <w:sz w:val="22"/>
          <w:szCs w:val="22"/>
        </w:rPr>
        <w:fldChar w:fldCharType="separate"/>
      </w:r>
      <w:r w:rsidR="00746C41">
        <w:rPr>
          <w:noProof/>
          <w:sz w:val="22"/>
          <w:szCs w:val="22"/>
        </w:rPr>
        <w:t>5</w:t>
      </w:r>
      <w:r w:rsidRPr="003D5954">
        <w:rPr>
          <w:sz w:val="22"/>
          <w:szCs w:val="22"/>
        </w:rPr>
        <w:fldChar w:fldCharType="end"/>
      </w:r>
      <w:bookmarkEnd w:id="7"/>
      <w:r w:rsidRPr="003D5954">
        <w:rPr>
          <w:sz w:val="22"/>
          <w:szCs w:val="22"/>
        </w:rPr>
        <w:t>: Call Report Reconciliation of Borrowings Template</w:t>
      </w:r>
    </w:p>
    <w:tbl>
      <w:tblPr>
        <w:tblStyle w:val="PlainTable3"/>
        <w:tblW w:w="0" w:type="auto"/>
        <w:tblCellMar>
          <w:top w:w="29" w:type="dxa"/>
          <w:bottom w:w="29" w:type="dxa"/>
        </w:tblCellMar>
        <w:tblLook w:val="04A0"/>
      </w:tblPr>
      <w:tblGrid>
        <w:gridCol w:w="2816"/>
        <w:gridCol w:w="2533"/>
        <w:gridCol w:w="1390"/>
        <w:gridCol w:w="1757"/>
      </w:tblGrid>
      <w:tr w14:paraId="1F9D37AD" w14:textId="77777777" w:rsidTr="00EF3841">
        <w:tblPrEx>
          <w:tblW w:w="0" w:type="auto"/>
          <w:tblCellMar>
            <w:top w:w="29" w:type="dxa"/>
            <w:bottom w:w="29" w:type="dxa"/>
          </w:tblCellMar>
          <w:tblLook w:val="04A0"/>
        </w:tblPrEx>
        <w:tc>
          <w:tcPr>
            <w:tcW w:w="0" w:type="auto"/>
            <w:tcBorders>
              <w:top w:val="single" w:sz="4" w:space="0" w:color="auto"/>
            </w:tcBorders>
          </w:tcPr>
          <w:p w:rsidR="00E57EAC" w:rsidRPr="00AB67A9" w:rsidP="00AE010B" w14:paraId="6666D8A9" w14:textId="099B899C">
            <w:pPr>
              <w:rPr>
                <w:rFonts w:ascii="Times New Roman" w:hAnsi="Times New Roman"/>
              </w:rPr>
            </w:pPr>
            <w:r>
              <w:rPr>
                <w:rFonts w:ascii="Times New Roman" w:hAnsi="Times New Roman"/>
              </w:rPr>
              <w:t>Source</w:t>
            </w:r>
            <w:r w:rsidRPr="00AB67A9">
              <w:rPr>
                <w:rFonts w:ascii="Times New Roman" w:hAnsi="Times New Roman"/>
              </w:rPr>
              <w:t xml:space="preserve"> </w:t>
            </w:r>
          </w:p>
        </w:tc>
        <w:tc>
          <w:tcPr>
            <w:tcW w:w="2533" w:type="dxa"/>
            <w:tcBorders>
              <w:top w:val="single" w:sz="4" w:space="0" w:color="auto"/>
            </w:tcBorders>
          </w:tcPr>
          <w:p w:rsidR="00E57EAC" w:rsidRPr="00AB67A9" w:rsidP="003D5954" w14:paraId="768372AB" w14:textId="1D758479">
            <w:pPr>
              <w:jc w:val="center"/>
              <w:rPr>
                <w:rFonts w:ascii="Times New Roman" w:hAnsi="Times New Roman"/>
                <w:b w:val="0"/>
                <w:bCs w:val="0"/>
                <w:caps w:val="0"/>
              </w:rPr>
            </w:pPr>
            <w:r>
              <w:rPr>
                <w:rFonts w:ascii="Times New Roman" w:hAnsi="Times New Roman"/>
              </w:rPr>
              <w:t>Conform Account Provider</w:t>
            </w:r>
          </w:p>
        </w:tc>
        <w:tc>
          <w:tcPr>
            <w:tcW w:w="1390" w:type="dxa"/>
            <w:tcBorders>
              <w:top w:val="single" w:sz="4" w:space="0" w:color="auto"/>
            </w:tcBorders>
          </w:tcPr>
          <w:p w:rsidR="00E57EAC" w:rsidRPr="00AB67A9" w:rsidP="003D5954" w14:paraId="2BD30CF3" w14:textId="438A181C">
            <w:pPr>
              <w:jc w:val="center"/>
              <w:rPr>
                <w:rFonts w:ascii="Times New Roman" w:hAnsi="Times New Roman"/>
                <w:b w:val="0"/>
                <w:bCs w:val="0"/>
                <w:caps w:val="0"/>
              </w:rPr>
            </w:pPr>
            <w:r w:rsidRPr="00E57EAC">
              <w:rPr>
                <w:rFonts w:ascii="Times New Roman" w:hAnsi="Times New Roman"/>
              </w:rPr>
              <w:t>Balance</w:t>
            </w:r>
          </w:p>
        </w:tc>
        <w:tc>
          <w:tcPr>
            <w:tcW w:w="0" w:type="auto"/>
            <w:tcBorders>
              <w:top w:val="single" w:sz="4" w:space="0" w:color="auto"/>
            </w:tcBorders>
          </w:tcPr>
          <w:p w:rsidR="00E57EAC" w:rsidRPr="00AB67A9" w:rsidP="003D5954" w14:paraId="1292AA55" w14:textId="4A45D3C4">
            <w:pPr>
              <w:jc w:val="center"/>
              <w:rPr>
                <w:rFonts w:ascii="Times New Roman" w:hAnsi="Times New Roman"/>
              </w:rPr>
            </w:pPr>
            <w:r>
              <w:rPr>
                <w:rFonts w:ascii="Times New Roman" w:hAnsi="Times New Roman"/>
              </w:rPr>
              <w:t>Pledged Assets</w:t>
            </w:r>
          </w:p>
        </w:tc>
      </w:tr>
      <w:tr w14:paraId="72C18DC5" w14:textId="77777777" w:rsidTr="00EF3841">
        <w:tblPrEx>
          <w:tblW w:w="0" w:type="auto"/>
          <w:tblCellMar>
            <w:top w:w="29" w:type="dxa"/>
            <w:bottom w:w="29" w:type="dxa"/>
          </w:tblCellMar>
          <w:tblLook w:val="04A0"/>
        </w:tblPrEx>
        <w:tc>
          <w:tcPr>
            <w:tcW w:w="0" w:type="auto"/>
          </w:tcPr>
          <w:p w:rsidR="00E57EAC" w:rsidRPr="00AB67A9" w:rsidP="00AE010B" w14:paraId="6D6DB58C" w14:textId="2A462ED0">
            <w:pPr>
              <w:rPr>
                <w:rFonts w:ascii="Times New Roman" w:hAnsi="Times New Roman"/>
              </w:rPr>
            </w:pPr>
            <w:r>
              <w:rPr>
                <w:rFonts w:ascii="Times New Roman" w:hAnsi="Times New Roman"/>
              </w:rPr>
              <w:t>Corporate Credit Unions</w:t>
            </w:r>
          </w:p>
        </w:tc>
        <w:tc>
          <w:tcPr>
            <w:tcW w:w="2533" w:type="dxa"/>
          </w:tcPr>
          <w:p w:rsidR="00E57EAC" w:rsidRPr="00CF5E8F" w:rsidP="00EF3841" w14:paraId="5C6D6BB4" w14:textId="4067C922">
            <w:pPr>
              <w:jc w:val="center"/>
              <w:rPr>
                <w:rFonts w:ascii="Times New Roman" w:hAnsi="Times New Roman"/>
              </w:rPr>
            </w:pPr>
            <w:r>
              <w:rPr>
                <w:rFonts w:ascii="Times New Roman" w:hAnsi="Times New Roman"/>
              </w:rPr>
              <w:t>3</w:t>
            </w:r>
          </w:p>
        </w:tc>
        <w:tc>
          <w:tcPr>
            <w:tcW w:w="1390" w:type="dxa"/>
          </w:tcPr>
          <w:p w:rsidR="00E57EAC" w:rsidRPr="00CF5E8F" w:rsidP="003D5954" w14:paraId="6CC9C94E" w14:textId="3F711AFF">
            <w:pPr>
              <w:jc w:val="center"/>
              <w:rPr>
                <w:rFonts w:ascii="Times New Roman" w:hAnsi="Times New Roman"/>
              </w:rPr>
            </w:pPr>
            <w:r>
              <w:rPr>
                <w:rFonts w:ascii="Times New Roman" w:hAnsi="Times New Roman"/>
              </w:rPr>
              <w:t>885A</w:t>
            </w:r>
          </w:p>
        </w:tc>
        <w:tc>
          <w:tcPr>
            <w:tcW w:w="0" w:type="auto"/>
          </w:tcPr>
          <w:p w:rsidR="00E57EAC" w:rsidRPr="00CF5E8F" w:rsidP="003D5954" w14:paraId="24DAA390" w14:textId="726CC8A5">
            <w:pPr>
              <w:jc w:val="center"/>
              <w:rPr>
                <w:rFonts w:ascii="Times New Roman" w:hAnsi="Times New Roman"/>
              </w:rPr>
            </w:pPr>
            <w:r>
              <w:rPr>
                <w:rFonts w:ascii="Times New Roman" w:hAnsi="Times New Roman"/>
              </w:rPr>
              <w:t>LQ0035</w:t>
            </w:r>
          </w:p>
        </w:tc>
      </w:tr>
      <w:tr w14:paraId="4B24EDD7" w14:textId="77777777" w:rsidTr="00EF3841">
        <w:tblPrEx>
          <w:tblW w:w="0" w:type="auto"/>
          <w:tblCellMar>
            <w:top w:w="29" w:type="dxa"/>
            <w:bottom w:w="29" w:type="dxa"/>
          </w:tblCellMar>
          <w:tblLook w:val="04A0"/>
        </w:tblPrEx>
        <w:tc>
          <w:tcPr>
            <w:tcW w:w="0" w:type="auto"/>
          </w:tcPr>
          <w:p w:rsidR="00E57EAC" w:rsidRPr="00AB67A9" w:rsidP="00AE010B" w14:paraId="0668C331" w14:textId="5D2A7025">
            <w:pPr>
              <w:rPr>
                <w:rFonts w:ascii="Times New Roman" w:hAnsi="Times New Roman"/>
              </w:rPr>
            </w:pPr>
            <w:r>
              <w:rPr>
                <w:rFonts w:ascii="Times New Roman" w:hAnsi="Times New Roman"/>
              </w:rPr>
              <w:t>Natural Person Credit Unions</w:t>
            </w:r>
          </w:p>
        </w:tc>
        <w:tc>
          <w:tcPr>
            <w:tcW w:w="2533" w:type="dxa"/>
          </w:tcPr>
          <w:p w:rsidR="00E57EAC" w:rsidRPr="00AB67A9" w:rsidP="00EF3841" w14:paraId="32342379" w14:textId="689BF983">
            <w:pPr>
              <w:jc w:val="center"/>
              <w:rPr>
                <w:rFonts w:ascii="Times New Roman" w:hAnsi="Times New Roman"/>
              </w:rPr>
            </w:pPr>
            <w:r>
              <w:rPr>
                <w:rFonts w:ascii="Times New Roman" w:hAnsi="Times New Roman"/>
              </w:rPr>
              <w:t>2</w:t>
            </w:r>
          </w:p>
        </w:tc>
        <w:tc>
          <w:tcPr>
            <w:tcW w:w="1390" w:type="dxa"/>
          </w:tcPr>
          <w:p w:rsidR="00E57EAC" w:rsidRPr="00AB67A9" w:rsidP="003D5954" w14:paraId="15419B0C" w14:textId="3B023E6B">
            <w:pPr>
              <w:jc w:val="center"/>
              <w:rPr>
                <w:rFonts w:ascii="Times New Roman" w:hAnsi="Times New Roman"/>
              </w:rPr>
            </w:pPr>
            <w:r>
              <w:rPr>
                <w:rFonts w:ascii="Times New Roman" w:hAnsi="Times New Roman"/>
              </w:rPr>
              <w:t>885A1</w:t>
            </w:r>
          </w:p>
        </w:tc>
        <w:tc>
          <w:tcPr>
            <w:tcW w:w="0" w:type="auto"/>
          </w:tcPr>
          <w:p w:rsidR="00E57EAC" w:rsidRPr="00AB67A9" w:rsidP="003D5954" w14:paraId="7C14F5C1" w14:textId="50726E48">
            <w:pPr>
              <w:jc w:val="center"/>
              <w:rPr>
                <w:rFonts w:ascii="Times New Roman" w:hAnsi="Times New Roman"/>
              </w:rPr>
            </w:pPr>
            <w:r>
              <w:rPr>
                <w:rFonts w:ascii="Times New Roman" w:hAnsi="Times New Roman"/>
              </w:rPr>
              <w:t>LQ0039</w:t>
            </w:r>
          </w:p>
        </w:tc>
      </w:tr>
      <w:tr w14:paraId="00B32B63" w14:textId="77777777" w:rsidTr="00EF3841">
        <w:tblPrEx>
          <w:tblW w:w="0" w:type="auto"/>
          <w:tblCellMar>
            <w:top w:w="29" w:type="dxa"/>
            <w:bottom w:w="29" w:type="dxa"/>
          </w:tblCellMar>
          <w:tblLook w:val="04A0"/>
        </w:tblPrEx>
        <w:tc>
          <w:tcPr>
            <w:tcW w:w="0" w:type="auto"/>
          </w:tcPr>
          <w:p w:rsidR="00E57EAC" w:rsidRPr="00AB67A9" w:rsidP="00AE010B" w14:paraId="62C52D57" w14:textId="5AF6BD3B">
            <w:pPr>
              <w:rPr>
                <w:rFonts w:ascii="Times New Roman" w:hAnsi="Times New Roman"/>
              </w:rPr>
            </w:pPr>
            <w:r>
              <w:rPr>
                <w:rFonts w:ascii="Times New Roman" w:hAnsi="Times New Roman"/>
              </w:rPr>
              <w:t>Federal Home Loan Bank</w:t>
            </w:r>
          </w:p>
        </w:tc>
        <w:tc>
          <w:tcPr>
            <w:tcW w:w="2533" w:type="dxa"/>
          </w:tcPr>
          <w:p w:rsidR="00E57EAC" w:rsidRPr="00AB67A9" w:rsidP="00EF3841" w14:paraId="09AED77E" w14:textId="42C00077">
            <w:pPr>
              <w:jc w:val="center"/>
              <w:rPr>
                <w:rFonts w:ascii="Times New Roman" w:eastAsia="Calibri" w:hAnsi="Times New Roman"/>
              </w:rPr>
            </w:pPr>
            <w:r>
              <w:rPr>
                <w:rFonts w:ascii="Times New Roman" w:eastAsia="Calibri" w:hAnsi="Times New Roman"/>
              </w:rPr>
              <w:t>5</w:t>
            </w:r>
          </w:p>
        </w:tc>
        <w:tc>
          <w:tcPr>
            <w:tcW w:w="1390" w:type="dxa"/>
          </w:tcPr>
          <w:p w:rsidR="00E57EAC" w:rsidRPr="00AB67A9" w:rsidP="003D5954" w14:paraId="138DB57F" w14:textId="1C81158D">
            <w:pPr>
              <w:jc w:val="center"/>
              <w:rPr>
                <w:rFonts w:ascii="Times New Roman" w:eastAsia="Calibri" w:hAnsi="Times New Roman"/>
              </w:rPr>
            </w:pPr>
            <w:r>
              <w:rPr>
                <w:rFonts w:ascii="Times New Roman" w:eastAsia="Calibri" w:hAnsi="Times New Roman"/>
              </w:rPr>
              <w:t>885A3</w:t>
            </w:r>
          </w:p>
        </w:tc>
        <w:tc>
          <w:tcPr>
            <w:tcW w:w="0" w:type="auto"/>
          </w:tcPr>
          <w:p w:rsidR="00E57EAC" w:rsidRPr="00AB67A9" w:rsidP="003D5954" w14:paraId="41695373" w14:textId="08093BF5">
            <w:pPr>
              <w:jc w:val="center"/>
              <w:rPr>
                <w:rFonts w:ascii="Times New Roman" w:eastAsia="Calibri" w:hAnsi="Times New Roman"/>
              </w:rPr>
            </w:pPr>
            <w:r>
              <w:rPr>
                <w:rFonts w:ascii="Times New Roman" w:eastAsia="Calibri" w:hAnsi="Times New Roman"/>
              </w:rPr>
              <w:t>LQ0043</w:t>
            </w:r>
          </w:p>
        </w:tc>
      </w:tr>
      <w:tr w14:paraId="48B2D7AA" w14:textId="77777777" w:rsidTr="00EF3841">
        <w:tblPrEx>
          <w:tblW w:w="0" w:type="auto"/>
          <w:tblCellMar>
            <w:top w:w="29" w:type="dxa"/>
            <w:bottom w:w="29" w:type="dxa"/>
          </w:tblCellMar>
          <w:tblLook w:val="04A0"/>
        </w:tblPrEx>
        <w:tc>
          <w:tcPr>
            <w:tcW w:w="0" w:type="auto"/>
          </w:tcPr>
          <w:p w:rsidR="00E57EAC" w:rsidRPr="00AB67A9" w:rsidP="00AE010B" w14:paraId="749428D0" w14:textId="76302DF2">
            <w:pPr>
              <w:rPr>
                <w:rFonts w:ascii="Times New Roman" w:hAnsi="Times New Roman"/>
              </w:rPr>
            </w:pPr>
            <w:r>
              <w:rPr>
                <w:rFonts w:ascii="Times New Roman" w:hAnsi="Times New Roman"/>
              </w:rPr>
              <w:t>Central Liquidity Facility</w:t>
            </w:r>
          </w:p>
        </w:tc>
        <w:tc>
          <w:tcPr>
            <w:tcW w:w="2533" w:type="dxa"/>
          </w:tcPr>
          <w:p w:rsidR="00E57EAC" w:rsidRPr="00AB67A9" w:rsidP="00EF3841" w14:paraId="0CC3C4F3" w14:textId="5ADEA1F5">
            <w:pPr>
              <w:jc w:val="center"/>
              <w:rPr>
                <w:rFonts w:ascii="Times New Roman" w:eastAsia="Calibri" w:hAnsi="Times New Roman"/>
              </w:rPr>
            </w:pPr>
            <w:r>
              <w:rPr>
                <w:rFonts w:ascii="Times New Roman" w:eastAsia="Calibri" w:hAnsi="Times New Roman"/>
              </w:rPr>
              <w:t>6</w:t>
            </w:r>
          </w:p>
        </w:tc>
        <w:tc>
          <w:tcPr>
            <w:tcW w:w="1390" w:type="dxa"/>
          </w:tcPr>
          <w:p w:rsidR="00E57EAC" w:rsidRPr="00AB67A9" w:rsidP="003D5954" w14:paraId="4D675520" w14:textId="1D9BF129">
            <w:pPr>
              <w:jc w:val="center"/>
              <w:rPr>
                <w:rFonts w:ascii="Times New Roman" w:eastAsia="Calibri" w:hAnsi="Times New Roman"/>
              </w:rPr>
            </w:pPr>
            <w:r>
              <w:rPr>
                <w:rFonts w:ascii="Times New Roman" w:eastAsia="Calibri" w:hAnsi="Times New Roman"/>
              </w:rPr>
              <w:t>LQ0044</w:t>
            </w:r>
          </w:p>
        </w:tc>
        <w:tc>
          <w:tcPr>
            <w:tcW w:w="0" w:type="auto"/>
          </w:tcPr>
          <w:p w:rsidR="00E57EAC" w:rsidRPr="00AB67A9" w:rsidP="003D5954" w14:paraId="72EEA813" w14:textId="06A707BF">
            <w:pPr>
              <w:jc w:val="center"/>
              <w:rPr>
                <w:rFonts w:ascii="Times New Roman" w:eastAsia="Calibri" w:hAnsi="Times New Roman"/>
              </w:rPr>
            </w:pPr>
            <w:r>
              <w:rPr>
                <w:rFonts w:ascii="Times New Roman" w:eastAsia="Calibri" w:hAnsi="Times New Roman"/>
              </w:rPr>
              <w:t>LQ0045</w:t>
            </w:r>
          </w:p>
        </w:tc>
      </w:tr>
      <w:tr w14:paraId="6BF24273" w14:textId="77777777" w:rsidTr="00EF3841">
        <w:tblPrEx>
          <w:tblW w:w="0" w:type="auto"/>
          <w:tblCellMar>
            <w:top w:w="29" w:type="dxa"/>
            <w:bottom w:w="29" w:type="dxa"/>
          </w:tblCellMar>
          <w:tblLook w:val="04A0"/>
        </w:tblPrEx>
        <w:tc>
          <w:tcPr>
            <w:tcW w:w="0" w:type="auto"/>
          </w:tcPr>
          <w:p w:rsidR="00E57EAC" w:rsidRPr="00AB67A9" w:rsidP="00AE010B" w14:paraId="10086ADB" w14:textId="7C1C922D">
            <w:pPr>
              <w:rPr>
                <w:rFonts w:ascii="Times New Roman" w:hAnsi="Times New Roman"/>
              </w:rPr>
            </w:pPr>
            <w:r>
              <w:rPr>
                <w:rFonts w:ascii="Times New Roman" w:hAnsi="Times New Roman"/>
              </w:rPr>
              <w:t>Federal Reserve</w:t>
            </w:r>
          </w:p>
        </w:tc>
        <w:tc>
          <w:tcPr>
            <w:tcW w:w="2533" w:type="dxa"/>
          </w:tcPr>
          <w:p w:rsidR="00E57EAC" w:rsidRPr="00EF3841" w:rsidP="00EF3841" w14:paraId="0147BDDE" w14:textId="650CECB0">
            <w:pPr>
              <w:contextualSpacing/>
              <w:jc w:val="center"/>
              <w:rPr>
                <w:rFonts w:ascii="Times New Roman" w:hAnsi="Times New Roman"/>
              </w:rPr>
            </w:pPr>
            <w:r>
              <w:rPr>
                <w:rFonts w:ascii="Times New Roman" w:hAnsi="Times New Roman"/>
              </w:rPr>
              <w:t>4</w:t>
            </w:r>
          </w:p>
        </w:tc>
        <w:tc>
          <w:tcPr>
            <w:tcW w:w="1390" w:type="dxa"/>
          </w:tcPr>
          <w:p w:rsidR="00E57EAC" w:rsidRPr="00EF3841" w:rsidP="00EF3841" w14:paraId="384B9E0E" w14:textId="0C37A632">
            <w:pPr>
              <w:contextualSpacing/>
              <w:jc w:val="center"/>
              <w:rPr>
                <w:rFonts w:ascii="Times New Roman" w:hAnsi="Times New Roman"/>
              </w:rPr>
            </w:pPr>
            <w:r>
              <w:rPr>
                <w:rFonts w:ascii="Times New Roman" w:hAnsi="Times New Roman"/>
              </w:rPr>
              <w:t>LQ0046</w:t>
            </w:r>
          </w:p>
        </w:tc>
        <w:tc>
          <w:tcPr>
            <w:tcW w:w="0" w:type="auto"/>
          </w:tcPr>
          <w:p w:rsidR="00E57EAC" w:rsidRPr="00AB67A9" w:rsidP="00D47614" w14:paraId="1D80A979" w14:textId="6FCCC72C">
            <w:pPr>
              <w:pStyle w:val="ListParagraph"/>
              <w:ind w:left="300"/>
              <w:contextualSpacing/>
              <w:rPr>
                <w:rFonts w:ascii="Times New Roman" w:hAnsi="Times New Roman"/>
              </w:rPr>
            </w:pPr>
            <w:r>
              <w:rPr>
                <w:rFonts w:ascii="Times New Roman" w:hAnsi="Times New Roman"/>
              </w:rPr>
              <w:t xml:space="preserve"> </w:t>
            </w:r>
            <w:r w:rsidR="003D5954">
              <w:rPr>
                <w:rFonts w:ascii="Times New Roman" w:hAnsi="Times New Roman"/>
              </w:rPr>
              <w:t>LQ0047</w:t>
            </w:r>
          </w:p>
        </w:tc>
      </w:tr>
      <w:tr w14:paraId="11AAC00A" w14:textId="77777777" w:rsidTr="00EF3841">
        <w:tblPrEx>
          <w:tblW w:w="0" w:type="auto"/>
          <w:tblCellMar>
            <w:top w:w="29" w:type="dxa"/>
            <w:bottom w:w="29" w:type="dxa"/>
          </w:tblCellMar>
          <w:tblLook w:val="04A0"/>
        </w:tblPrEx>
        <w:tc>
          <w:tcPr>
            <w:tcW w:w="0" w:type="auto"/>
            <w:tcBorders>
              <w:bottom w:val="single" w:sz="4" w:space="0" w:color="auto"/>
            </w:tcBorders>
          </w:tcPr>
          <w:p w:rsidR="00E57EAC" w:rsidRPr="00AB67A9" w:rsidP="00AE010B" w14:paraId="47EC1828" w14:textId="0CEAADD7">
            <w:pPr>
              <w:rPr>
                <w:rFonts w:ascii="Times New Roman" w:hAnsi="Times New Roman"/>
              </w:rPr>
            </w:pPr>
            <w:r>
              <w:rPr>
                <w:rFonts w:ascii="Times New Roman" w:hAnsi="Times New Roman"/>
              </w:rPr>
              <w:t>All other</w:t>
            </w:r>
          </w:p>
        </w:tc>
        <w:tc>
          <w:tcPr>
            <w:tcW w:w="2533" w:type="dxa"/>
            <w:tcBorders>
              <w:bottom w:val="single" w:sz="4" w:space="0" w:color="auto"/>
            </w:tcBorders>
          </w:tcPr>
          <w:p w:rsidR="00E57EAC" w:rsidRPr="00E57EAC" w:rsidP="00EF3841" w14:paraId="46B57DA8" w14:textId="29DC3A27">
            <w:pPr>
              <w:contextualSpacing/>
              <w:jc w:val="center"/>
              <w:rPr>
                <w:rFonts w:ascii="Times New Roman" w:eastAsia="Calibri" w:hAnsi="Times New Roman"/>
              </w:rPr>
            </w:pPr>
            <w:r>
              <w:rPr>
                <w:rFonts w:ascii="Times New Roman" w:eastAsia="Calibri" w:hAnsi="Times New Roman"/>
              </w:rPr>
              <w:t>1 and 7</w:t>
            </w:r>
          </w:p>
        </w:tc>
        <w:tc>
          <w:tcPr>
            <w:tcW w:w="1390" w:type="dxa"/>
            <w:tcBorders>
              <w:bottom w:val="single" w:sz="4" w:space="0" w:color="auto"/>
            </w:tcBorders>
          </w:tcPr>
          <w:p w:rsidR="00E57EAC" w:rsidRPr="00E57EAC" w:rsidP="003D5954" w14:paraId="3BA2623C" w14:textId="1BB2B403">
            <w:pPr>
              <w:contextualSpacing/>
              <w:jc w:val="center"/>
              <w:rPr>
                <w:rFonts w:ascii="Times New Roman" w:eastAsia="Calibri" w:hAnsi="Times New Roman"/>
              </w:rPr>
            </w:pPr>
            <w:r>
              <w:rPr>
                <w:rFonts w:ascii="Times New Roman" w:eastAsia="Calibri" w:hAnsi="Times New Roman"/>
              </w:rPr>
              <w:t>885A2</w:t>
            </w:r>
          </w:p>
        </w:tc>
        <w:tc>
          <w:tcPr>
            <w:tcW w:w="0" w:type="auto"/>
            <w:tcBorders>
              <w:bottom w:val="single" w:sz="4" w:space="0" w:color="auto"/>
            </w:tcBorders>
          </w:tcPr>
          <w:p w:rsidR="00E57EAC" w:rsidRPr="00E57EAC" w:rsidP="003D5954" w14:paraId="217B48F6" w14:textId="2F9FD92A">
            <w:pPr>
              <w:contextualSpacing/>
              <w:jc w:val="center"/>
              <w:rPr>
                <w:rFonts w:ascii="Times New Roman" w:eastAsia="Calibri" w:hAnsi="Times New Roman"/>
              </w:rPr>
            </w:pPr>
            <w:r>
              <w:rPr>
                <w:rFonts w:ascii="Times New Roman" w:eastAsia="Calibri" w:hAnsi="Times New Roman"/>
              </w:rPr>
              <w:t>LQ0053</w:t>
            </w:r>
          </w:p>
        </w:tc>
      </w:tr>
    </w:tbl>
    <w:p w:rsidR="00E57EAC" w:rsidP="00FD7FE6" w14:paraId="2AADBE36" w14:textId="77777777">
      <w:pPr>
        <w:rPr>
          <w:rFonts w:ascii="Times New Roman" w:hAnsi="Times New Roman"/>
        </w:rPr>
      </w:pPr>
    </w:p>
    <w:p w:rsidR="009B01E4" w:rsidRPr="009B01E4" w:rsidP="009B01E4" w14:paraId="121162EF" w14:textId="77777777">
      <w:pPr>
        <w:pStyle w:val="Body1"/>
      </w:pPr>
      <w:r>
        <w:rPr>
          <w:noProof/>
        </w:rPr>
        <w:drawing>
          <wp:inline distT="0" distB="0" distL="0" distR="0">
            <wp:extent cx="5394960" cy="61595"/>
            <wp:effectExtent l="0" t="0" r="0" b="0"/>
            <wp:docPr id="64" name="Picture 6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Report Template_end of story.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394960" cy="61595"/>
                    </a:xfrm>
                    <a:prstGeom prst="rect">
                      <a:avLst/>
                    </a:prstGeom>
                  </pic:spPr>
                </pic:pic>
              </a:graphicData>
            </a:graphic>
          </wp:inline>
        </w:drawing>
      </w:r>
    </w:p>
    <w:sectPr w:rsidSect="00B10BEB">
      <w:footerReference w:type="default" r:id="rId15"/>
      <w:type w:val="continuous"/>
      <w:pgSz w:w="12240" w:h="15840" w:code="1"/>
      <w:pgMar w:top="2246" w:right="1728" w:bottom="1440" w:left="1728" w:header="288" w:footer="144" w:gutter="288"/>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421BE" w:rsidP="000064AD" w14:paraId="5CAB36F2" w14:textId="77777777">
      <w:r>
        <w:separator/>
      </w:r>
    </w:p>
    <w:p w:rsidR="00F421BE" w14:paraId="2F67D5C1" w14:textId="77777777"/>
  </w:endnote>
  <w:endnote w:type="continuationSeparator" w:id="1">
    <w:p w:rsidR="00F421BE" w:rsidP="000064AD" w14:paraId="7754FC77" w14:textId="77777777">
      <w:r>
        <w:continuationSeparator/>
      </w:r>
    </w:p>
    <w:p w:rsidR="00F421BE" w14:paraId="126664B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F32" w14:paraId="6B64D067" w14:textId="77777777">
    <w:pPr>
      <w:pStyle w:val="Foote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-116952</wp:posOffset>
          </wp:positionV>
          <wp:extent cx="7772400" cy="740664"/>
          <wp:effectExtent l="0" t="0" r="0" b="2540"/>
          <wp:wrapNone/>
          <wp:docPr id="49" name="Picture 4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Report Template_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74066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727B" w:rsidRPr="002C7FB3" w:rsidP="007B727B" w14:paraId="086CEBF2" w14:textId="77777777">
    <w:pPr>
      <w:pStyle w:val="Footer"/>
      <w:framePr w:w="427" w:h="773" w:hRule="exact" w:wrap="around" w:vAnchor="text" w:hAnchor="page" w:x="5509" w:y="1"/>
      <w:tabs>
        <w:tab w:val="left" w:pos="90"/>
      </w:tabs>
      <w:jc w:val="center"/>
      <w:rPr>
        <w:rStyle w:val="PageNumber"/>
        <w:color w:val="FFFFFF"/>
      </w:rPr>
    </w:pPr>
    <w:r w:rsidRPr="002C7FB3">
      <w:rPr>
        <w:rStyle w:val="PageNumber"/>
        <w:color w:val="FFFFFF"/>
      </w:rPr>
      <w:fldChar w:fldCharType="begin"/>
    </w:r>
    <w:r w:rsidRPr="002C7FB3">
      <w:rPr>
        <w:rStyle w:val="PageNumber"/>
        <w:color w:val="FFFFFF"/>
      </w:rPr>
      <w:instrText xml:space="preserve">PAGE  </w:instrText>
    </w:r>
    <w:r w:rsidRPr="002C7FB3">
      <w:rPr>
        <w:rStyle w:val="PageNumber"/>
        <w:color w:val="FFFFFF"/>
      </w:rPr>
      <w:fldChar w:fldCharType="separate"/>
    </w:r>
    <w:r>
      <w:rPr>
        <w:rStyle w:val="PageNumber"/>
        <w:color w:val="FFFFFF"/>
      </w:rPr>
      <w:t>1</w:t>
    </w:r>
    <w:r w:rsidRPr="002C7FB3">
      <w:rPr>
        <w:rStyle w:val="PageNumber"/>
        <w:color w:val="FFFFFF"/>
      </w:rPr>
      <w:fldChar w:fldCharType="end"/>
    </w:r>
  </w:p>
  <w:p w:rsidR="00FC7ACC" w:rsidP="00A156BB" w14:paraId="577E855F" w14:textId="77777777">
    <w:pPr>
      <w:pStyle w:val="Footer"/>
      <w:tabs>
        <w:tab w:val="clear" w:pos="4320"/>
        <w:tab w:val="center" w:pos="5715"/>
        <w:tab w:val="clear" w:pos="8640"/>
        <w:tab w:val="right" w:pos="11430"/>
      </w:tabs>
      <w:ind w:right="360" w:firstLine="360"/>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-484097</wp:posOffset>
          </wp:positionV>
          <wp:extent cx="7769860" cy="739856"/>
          <wp:effectExtent l="0" t="0" r="2540" b="3175"/>
          <wp:wrapNone/>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ort Template_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9860" cy="73985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2673350</wp:posOffset>
              </wp:positionH>
              <wp:positionV relativeFrom="paragraph">
                <wp:posOffset>-320622</wp:posOffset>
              </wp:positionV>
              <wp:extent cx="2471737" cy="334010"/>
              <wp:effectExtent l="0" t="0" r="0" b="889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471737" cy="33401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FC7ACC" w:rsidRPr="00646C22" w:rsidP="00DD29AF" w14:textId="6361DC62">
                          <w:pPr>
                            <w:rPr>
                              <w:rFonts w:asciiTheme="majorHAnsi" w:hAnsiTheme="majorHAnsi"/>
                            </w:rPr>
                          </w:pPr>
                          <w:r>
                            <w:rPr>
                              <w:rFonts w:asciiTheme="majorHAnsi" w:hAnsiTheme="majorHAnsi" w:cs="Calibri"/>
                              <w:color w:val="FFFFFF"/>
                            </w:rPr>
                            <w:t>December 202</w:t>
                          </w:r>
                          <w:r w:rsidR="00D11B00">
                            <w:rPr>
                              <w:rFonts w:asciiTheme="majorHAnsi" w:hAnsiTheme="majorHAnsi" w:cs="Calibri"/>
                              <w:color w:va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94.6pt;height:26.3pt;margin-top:-25.25pt;margin-left:210.5pt;mso-height-percent:0;mso-height-relative:margin;mso-width-percent:0;mso-width-relative:margin;mso-wrap-distance-bottom:0;mso-wrap-distance-left:9pt;mso-wrap-distance-right:9pt;mso-wrap-distance-top:0;mso-wrap-style:square;position:absolute;visibility:visible;v-text-anchor:top;z-index:251660288" filled="f" stroked="f">
              <v:textbox>
                <w:txbxContent>
                  <w:p w:rsidR="00FC7ACC" w:rsidRPr="00646C22" w:rsidP="00DD29AF" w14:paraId="4D2656C6" w14:textId="6361DC62">
                    <w:pPr>
                      <w:rPr>
                        <w:rFonts w:asciiTheme="majorHAnsi" w:hAnsiTheme="majorHAnsi"/>
                      </w:rPr>
                    </w:pPr>
                    <w:r>
                      <w:rPr>
                        <w:rFonts w:asciiTheme="majorHAnsi" w:hAnsiTheme="majorHAnsi" w:cs="Calibri"/>
                        <w:color w:val="FFFFFF"/>
                      </w:rPr>
                      <w:t>December 202</w:t>
                    </w:r>
                    <w:r w:rsidR="00D11B00">
                      <w:rPr>
                        <w:rFonts w:asciiTheme="majorHAnsi" w:hAnsiTheme="majorHAnsi" w:cs="Calibri"/>
                        <w:color w:val="FFFFFF"/>
                      </w:rPr>
                      <w:t>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21BE" w:rsidP="000064AD" w14:paraId="24CEB953" w14:textId="77777777">
      <w:r>
        <w:separator/>
      </w:r>
    </w:p>
    <w:p w:rsidR="00F421BE" w14:paraId="29A87C72" w14:textId="77777777"/>
  </w:footnote>
  <w:footnote w:type="continuationSeparator" w:id="1">
    <w:p w:rsidR="00F421BE" w:rsidP="000064AD" w14:paraId="0109B806" w14:textId="77777777">
      <w:r>
        <w:continuationSeparator/>
      </w:r>
    </w:p>
    <w:p w:rsidR="00F421BE" w14:paraId="6CE57F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EB1" w14:paraId="04DC60CC" w14:textId="681000AF">
    <w:pPr>
      <w:spacing w:line="14" w:lineRule="auto"/>
      <w:rPr>
        <w:sz w:val="20"/>
        <w:szCs w:val="20"/>
      </w:rPr>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-183515</wp:posOffset>
          </wp:positionV>
          <wp:extent cx="7770251" cy="1163343"/>
          <wp:effectExtent l="0" t="0" r="2540" b="0"/>
          <wp:wrapNone/>
          <wp:docPr id="54" name="Picture 5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Report Template_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0251" cy="11633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EB1" w14:paraId="10FAC011" w14:textId="77777777">
    <w:pPr>
      <w:pStyle w:val="Heade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-396240</wp:posOffset>
          </wp:positionV>
          <wp:extent cx="7772400" cy="1164336"/>
          <wp:effectExtent l="0" t="0" r="0" b="0"/>
          <wp:wrapNone/>
          <wp:docPr id="47" name="Picture 47" descr="National Credit Union Administr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port Template_head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1643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650B9"/>
    <w:multiLevelType w:val="hybridMultilevel"/>
    <w:tmpl w:val="161EF1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F74F12"/>
    <w:multiLevelType w:val="hybridMultilevel"/>
    <w:tmpl w:val="7C08A940"/>
    <w:lvl w:ilvl="0">
      <w:start w:val="1"/>
      <w:numFmt w:val="bullet"/>
      <w:lvlText w:val=""/>
      <w:lvlJc w:val="left"/>
      <w:pPr>
        <w:ind w:left="300" w:hanging="360"/>
      </w:pPr>
      <w:rPr>
        <w:rFonts w:ascii="Symbol" w:hAnsi="Symbol" w:hint="default"/>
      </w:rPr>
    </w:lvl>
    <w:lvl w:ilvl="1">
      <w:start w:val="1"/>
      <w:numFmt w:val="bullet"/>
      <w:lvlText w:val=""/>
      <w:lvlJc w:val="left"/>
      <w:pPr>
        <w:ind w:left="1020" w:hanging="360"/>
      </w:pPr>
      <w:rPr>
        <w:rFonts w:ascii="Symbol" w:hAnsi="Symbol" w:hint="default"/>
      </w:rPr>
    </w:lvl>
    <w:lvl w:ilvl="2" w:tentative="1">
      <w:start w:val="1"/>
      <w:numFmt w:val="bullet"/>
      <w:lvlText w:val=""/>
      <w:lvlJc w:val="left"/>
      <w:pPr>
        <w:ind w:left="1740" w:hanging="360"/>
      </w:pPr>
      <w:rPr>
        <w:rFonts w:ascii="Wingdings" w:hAnsi="Wingdings" w:hint="default"/>
      </w:rPr>
    </w:lvl>
    <w:lvl w:ilvl="3" w:tentative="1">
      <w:start w:val="1"/>
      <w:numFmt w:val="bullet"/>
      <w:lvlText w:val=""/>
      <w:lvlJc w:val="left"/>
      <w:pPr>
        <w:ind w:left="2460" w:hanging="360"/>
      </w:pPr>
      <w:rPr>
        <w:rFonts w:ascii="Symbol" w:hAnsi="Symbol" w:hint="default"/>
      </w:rPr>
    </w:lvl>
    <w:lvl w:ilvl="4" w:tentative="1">
      <w:start w:val="1"/>
      <w:numFmt w:val="bullet"/>
      <w:lvlText w:val="o"/>
      <w:lvlJc w:val="left"/>
      <w:pPr>
        <w:ind w:left="3180" w:hanging="360"/>
      </w:pPr>
      <w:rPr>
        <w:rFonts w:ascii="Courier New" w:hAnsi="Courier New" w:cs="Courier New" w:hint="default"/>
      </w:rPr>
    </w:lvl>
    <w:lvl w:ilvl="5" w:tentative="1">
      <w:start w:val="1"/>
      <w:numFmt w:val="bullet"/>
      <w:lvlText w:val=""/>
      <w:lvlJc w:val="left"/>
      <w:pPr>
        <w:ind w:left="3900" w:hanging="360"/>
      </w:pPr>
      <w:rPr>
        <w:rFonts w:ascii="Wingdings" w:hAnsi="Wingdings" w:hint="default"/>
      </w:rPr>
    </w:lvl>
    <w:lvl w:ilvl="6" w:tentative="1">
      <w:start w:val="1"/>
      <w:numFmt w:val="bullet"/>
      <w:lvlText w:val=""/>
      <w:lvlJc w:val="left"/>
      <w:pPr>
        <w:ind w:left="4620" w:hanging="360"/>
      </w:pPr>
      <w:rPr>
        <w:rFonts w:ascii="Symbol" w:hAnsi="Symbol" w:hint="default"/>
      </w:rPr>
    </w:lvl>
    <w:lvl w:ilvl="7" w:tentative="1">
      <w:start w:val="1"/>
      <w:numFmt w:val="bullet"/>
      <w:lvlText w:val="o"/>
      <w:lvlJc w:val="left"/>
      <w:pPr>
        <w:ind w:left="5340" w:hanging="360"/>
      </w:pPr>
      <w:rPr>
        <w:rFonts w:ascii="Courier New" w:hAnsi="Courier New" w:cs="Courier New" w:hint="default"/>
      </w:rPr>
    </w:lvl>
    <w:lvl w:ilvl="8" w:tentative="1">
      <w:start w:val="1"/>
      <w:numFmt w:val="bullet"/>
      <w:lvlText w:val=""/>
      <w:lvlJc w:val="left"/>
      <w:pPr>
        <w:ind w:left="6060" w:hanging="360"/>
      </w:pPr>
      <w:rPr>
        <w:rFonts w:ascii="Wingdings" w:hAnsi="Wingdings" w:hint="default"/>
      </w:rPr>
    </w:lvl>
  </w:abstractNum>
  <w:abstractNum w:abstractNumId="2">
    <w:nsid w:val="228A47C7"/>
    <w:multiLevelType w:val="hybridMultilevel"/>
    <w:tmpl w:val="987AFE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3B2674"/>
    <w:multiLevelType w:val="multilevel"/>
    <w:tmpl w:val="E21A93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2C4E5538"/>
    <w:multiLevelType w:val="hybridMultilevel"/>
    <w:tmpl w:val="18A83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7A4B19"/>
    <w:multiLevelType w:val="hybridMultilevel"/>
    <w:tmpl w:val="9CD89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F821A1"/>
    <w:multiLevelType w:val="hybridMultilevel"/>
    <w:tmpl w:val="C16E0A5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A145F3"/>
    <w:multiLevelType w:val="hybridMultilevel"/>
    <w:tmpl w:val="2834A47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593F27"/>
    <w:multiLevelType w:val="hybridMultilevel"/>
    <w:tmpl w:val="D97CF2AE"/>
    <w:lvl w:ilvl="0">
      <w:start w:val="1"/>
      <w:numFmt w:val="bullet"/>
      <w:pStyle w:val="bulletlvl1"/>
      <w:lvlText w:val=""/>
      <w:lvlJc w:val="left"/>
      <w:pPr>
        <w:ind w:left="720" w:hanging="360"/>
      </w:pPr>
      <w:rPr>
        <w:rFonts w:ascii="Symbol" w:hAnsi="Symbol" w:hint="default"/>
        <w:color w:val="18284B"/>
        <w:w w:val="100"/>
        <w:position w:val="0"/>
        <w:sz w:val="20"/>
        <w:szCs w:val="24"/>
      </w:rPr>
    </w:lvl>
    <w:lvl w:ilvl="1">
      <w:start w:val="1"/>
      <w:numFmt w:val="bullet"/>
      <w:pStyle w:val="bulletlvl2"/>
      <w:lvlText w:val=""/>
      <w:lvlJc w:val="left"/>
      <w:pPr>
        <w:ind w:left="1440" w:hanging="360"/>
      </w:pPr>
      <w:rPr>
        <w:rFonts w:ascii="Symbol" w:hAnsi="Symbol" w:hint="default"/>
        <w:color w:val="497AE4"/>
        <w:sz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64F7D2A"/>
    <w:multiLevelType w:val="hybridMultilevel"/>
    <w:tmpl w:val="02A48C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9A4C9E"/>
    <w:multiLevelType w:val="hybridMultilevel"/>
    <w:tmpl w:val="42228D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7F0960"/>
    <w:multiLevelType w:val="hybridMultilevel"/>
    <w:tmpl w:val="887EC3F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D97C52"/>
    <w:multiLevelType w:val="hybridMultilevel"/>
    <w:tmpl w:val="2424C896"/>
    <w:lvl w:ilvl="0">
      <w:start w:val="1"/>
      <w:numFmt w:val="decimal"/>
      <w:lvlText w:val="%1."/>
      <w:lvlJc w:val="left"/>
      <w:pPr>
        <w:ind w:left="366" w:hanging="360"/>
      </w:pPr>
      <w:rPr>
        <w:rFonts w:hint="default"/>
      </w:rPr>
    </w:lvl>
    <w:lvl w:ilvl="1" w:tentative="1">
      <w:start w:val="1"/>
      <w:numFmt w:val="lowerLetter"/>
      <w:lvlText w:val="%2."/>
      <w:lvlJc w:val="left"/>
      <w:pPr>
        <w:ind w:left="1086" w:hanging="360"/>
      </w:pPr>
    </w:lvl>
    <w:lvl w:ilvl="2" w:tentative="1">
      <w:start w:val="1"/>
      <w:numFmt w:val="lowerRoman"/>
      <w:lvlText w:val="%3."/>
      <w:lvlJc w:val="right"/>
      <w:pPr>
        <w:ind w:left="1806" w:hanging="180"/>
      </w:pPr>
    </w:lvl>
    <w:lvl w:ilvl="3" w:tentative="1">
      <w:start w:val="1"/>
      <w:numFmt w:val="decimal"/>
      <w:lvlText w:val="%4."/>
      <w:lvlJc w:val="left"/>
      <w:pPr>
        <w:ind w:left="2526" w:hanging="360"/>
      </w:pPr>
    </w:lvl>
    <w:lvl w:ilvl="4" w:tentative="1">
      <w:start w:val="1"/>
      <w:numFmt w:val="lowerLetter"/>
      <w:lvlText w:val="%5."/>
      <w:lvlJc w:val="left"/>
      <w:pPr>
        <w:ind w:left="3246" w:hanging="360"/>
      </w:pPr>
    </w:lvl>
    <w:lvl w:ilvl="5" w:tentative="1">
      <w:start w:val="1"/>
      <w:numFmt w:val="lowerRoman"/>
      <w:lvlText w:val="%6."/>
      <w:lvlJc w:val="right"/>
      <w:pPr>
        <w:ind w:left="3966" w:hanging="180"/>
      </w:pPr>
    </w:lvl>
    <w:lvl w:ilvl="6" w:tentative="1">
      <w:start w:val="1"/>
      <w:numFmt w:val="decimal"/>
      <w:lvlText w:val="%7."/>
      <w:lvlJc w:val="left"/>
      <w:pPr>
        <w:ind w:left="4686" w:hanging="360"/>
      </w:pPr>
    </w:lvl>
    <w:lvl w:ilvl="7" w:tentative="1">
      <w:start w:val="1"/>
      <w:numFmt w:val="lowerLetter"/>
      <w:lvlText w:val="%8."/>
      <w:lvlJc w:val="left"/>
      <w:pPr>
        <w:ind w:left="5406" w:hanging="360"/>
      </w:pPr>
    </w:lvl>
    <w:lvl w:ilvl="8" w:tentative="1">
      <w:start w:val="1"/>
      <w:numFmt w:val="lowerRoman"/>
      <w:lvlText w:val="%9."/>
      <w:lvlJc w:val="right"/>
      <w:pPr>
        <w:ind w:left="6126" w:hanging="180"/>
      </w:pPr>
    </w:lvl>
  </w:abstractNum>
  <w:abstractNum w:abstractNumId="13">
    <w:nsid w:val="62EE1101"/>
    <w:multiLevelType w:val="hybridMultilevel"/>
    <w:tmpl w:val="B0985E4E"/>
    <w:lvl w:ilvl="0">
      <w:start w:val="5"/>
      <w:numFmt w:val="decimal"/>
      <w:lvlText w:val="%1."/>
      <w:lvlJc w:val="left"/>
      <w:pPr>
        <w:ind w:left="444" w:hanging="444"/>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4403EFA"/>
    <w:multiLevelType w:val="hybridMultilevel"/>
    <w:tmpl w:val="1C705512"/>
    <w:lvl w:ilvl="0">
      <w:start w:val="1"/>
      <w:numFmt w:val="bullet"/>
      <w:pStyle w:val="TOC2"/>
      <w:lvlText w:val=""/>
      <w:lvlJc w:val="left"/>
      <w:pPr>
        <w:ind w:left="648" w:hanging="288"/>
      </w:pPr>
      <w:rPr>
        <w:rFonts w:ascii="Symbol" w:hAnsi="Symbol" w:hint="default"/>
        <w:w w:val="100"/>
        <w:sz w:val="20"/>
        <w:szCs w:val="20"/>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15">
    <w:nsid w:val="64A30D49"/>
    <w:multiLevelType w:val="hybridMultilevel"/>
    <w:tmpl w:val="D9145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5C7F95"/>
    <w:multiLevelType w:val="hybridMultilevel"/>
    <w:tmpl w:val="B19089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DA626E3"/>
    <w:multiLevelType w:val="hybridMultilevel"/>
    <w:tmpl w:val="94BED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0742588">
    <w:abstractNumId w:val="8"/>
  </w:num>
  <w:num w:numId="2" w16cid:durableId="1645348547">
    <w:abstractNumId w:val="14"/>
  </w:num>
  <w:num w:numId="3" w16cid:durableId="1556693611">
    <w:abstractNumId w:val="16"/>
  </w:num>
  <w:num w:numId="4" w16cid:durableId="1959602122">
    <w:abstractNumId w:val="3"/>
  </w:num>
  <w:num w:numId="5" w16cid:durableId="1053768929">
    <w:abstractNumId w:val="2"/>
  </w:num>
  <w:num w:numId="6" w16cid:durableId="834225820">
    <w:abstractNumId w:val="11"/>
  </w:num>
  <w:num w:numId="7" w16cid:durableId="1017540236">
    <w:abstractNumId w:val="6"/>
  </w:num>
  <w:num w:numId="8" w16cid:durableId="936714779">
    <w:abstractNumId w:val="7"/>
  </w:num>
  <w:num w:numId="9" w16cid:durableId="819231243">
    <w:abstractNumId w:val="15"/>
  </w:num>
  <w:num w:numId="10" w16cid:durableId="706758816">
    <w:abstractNumId w:val="10"/>
  </w:num>
  <w:num w:numId="11" w16cid:durableId="278689237">
    <w:abstractNumId w:val="5"/>
  </w:num>
  <w:num w:numId="12" w16cid:durableId="1622571378">
    <w:abstractNumId w:val="1"/>
  </w:num>
  <w:num w:numId="13" w16cid:durableId="1300695406">
    <w:abstractNumId w:val="17"/>
  </w:num>
  <w:num w:numId="14" w16cid:durableId="370572794">
    <w:abstractNumId w:val="4"/>
  </w:num>
  <w:num w:numId="15" w16cid:durableId="836729291">
    <w:abstractNumId w:val="9"/>
  </w:num>
  <w:num w:numId="16" w16cid:durableId="1956979076">
    <w:abstractNumId w:val="0"/>
  </w:num>
  <w:num w:numId="17" w16cid:durableId="289096351">
    <w:abstractNumId w:val="13"/>
  </w:num>
  <w:num w:numId="18" w16cid:durableId="14684322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8F"/>
    <w:rsid w:val="00003E1D"/>
    <w:rsid w:val="00004A03"/>
    <w:rsid w:val="000055AC"/>
    <w:rsid w:val="000064AD"/>
    <w:rsid w:val="000111E3"/>
    <w:rsid w:val="000153BC"/>
    <w:rsid w:val="000161E0"/>
    <w:rsid w:val="000167D0"/>
    <w:rsid w:val="00017CC2"/>
    <w:rsid w:val="00021565"/>
    <w:rsid w:val="000262AB"/>
    <w:rsid w:val="00026910"/>
    <w:rsid w:val="00030601"/>
    <w:rsid w:val="000311EC"/>
    <w:rsid w:val="00031DB0"/>
    <w:rsid w:val="000323AB"/>
    <w:rsid w:val="0003341B"/>
    <w:rsid w:val="000339CE"/>
    <w:rsid w:val="00034A9E"/>
    <w:rsid w:val="00035E9B"/>
    <w:rsid w:val="00040EB4"/>
    <w:rsid w:val="000437DE"/>
    <w:rsid w:val="000443D3"/>
    <w:rsid w:val="00046DE1"/>
    <w:rsid w:val="00050794"/>
    <w:rsid w:val="0005291C"/>
    <w:rsid w:val="00053024"/>
    <w:rsid w:val="00054D23"/>
    <w:rsid w:val="000613FD"/>
    <w:rsid w:val="00063B77"/>
    <w:rsid w:val="000704A6"/>
    <w:rsid w:val="000727F5"/>
    <w:rsid w:val="000759D2"/>
    <w:rsid w:val="00084267"/>
    <w:rsid w:val="0009146A"/>
    <w:rsid w:val="0009284C"/>
    <w:rsid w:val="0009500E"/>
    <w:rsid w:val="00095013"/>
    <w:rsid w:val="000A02D6"/>
    <w:rsid w:val="000A5337"/>
    <w:rsid w:val="000A6F35"/>
    <w:rsid w:val="000A7D61"/>
    <w:rsid w:val="000B0510"/>
    <w:rsid w:val="000B1DC1"/>
    <w:rsid w:val="000B2C43"/>
    <w:rsid w:val="000B35BF"/>
    <w:rsid w:val="000B381D"/>
    <w:rsid w:val="000B3C31"/>
    <w:rsid w:val="000B62A7"/>
    <w:rsid w:val="000C0997"/>
    <w:rsid w:val="000C37E4"/>
    <w:rsid w:val="000C4FC6"/>
    <w:rsid w:val="000C5F3E"/>
    <w:rsid w:val="000D09E1"/>
    <w:rsid w:val="000D33D9"/>
    <w:rsid w:val="000E0FED"/>
    <w:rsid w:val="000E3D5C"/>
    <w:rsid w:val="000E6712"/>
    <w:rsid w:val="000F33E1"/>
    <w:rsid w:val="000F4279"/>
    <w:rsid w:val="000F5107"/>
    <w:rsid w:val="001028BF"/>
    <w:rsid w:val="00105B9A"/>
    <w:rsid w:val="00110090"/>
    <w:rsid w:val="00110F68"/>
    <w:rsid w:val="00113C3C"/>
    <w:rsid w:val="00113CAB"/>
    <w:rsid w:val="001149EB"/>
    <w:rsid w:val="00117C5A"/>
    <w:rsid w:val="0012044D"/>
    <w:rsid w:val="00120BC9"/>
    <w:rsid w:val="00124D89"/>
    <w:rsid w:val="001259C4"/>
    <w:rsid w:val="00127982"/>
    <w:rsid w:val="001306BC"/>
    <w:rsid w:val="00133536"/>
    <w:rsid w:val="00147303"/>
    <w:rsid w:val="00152CD4"/>
    <w:rsid w:val="001617D6"/>
    <w:rsid w:val="00164314"/>
    <w:rsid w:val="0017530B"/>
    <w:rsid w:val="00177B9D"/>
    <w:rsid w:val="00180540"/>
    <w:rsid w:val="001812CB"/>
    <w:rsid w:val="001866C0"/>
    <w:rsid w:val="00186798"/>
    <w:rsid w:val="0019598C"/>
    <w:rsid w:val="001A237F"/>
    <w:rsid w:val="001A4D18"/>
    <w:rsid w:val="001A6803"/>
    <w:rsid w:val="001B0223"/>
    <w:rsid w:val="001B2C5D"/>
    <w:rsid w:val="001B587B"/>
    <w:rsid w:val="001B5C81"/>
    <w:rsid w:val="001C0924"/>
    <w:rsid w:val="001C5EE2"/>
    <w:rsid w:val="001D1026"/>
    <w:rsid w:val="001D1325"/>
    <w:rsid w:val="001D18B9"/>
    <w:rsid w:val="001D5E42"/>
    <w:rsid w:val="001E1DD2"/>
    <w:rsid w:val="001E40F5"/>
    <w:rsid w:val="001E53B9"/>
    <w:rsid w:val="001E64C0"/>
    <w:rsid w:val="001F04C6"/>
    <w:rsid w:val="001F2A98"/>
    <w:rsid w:val="001F705A"/>
    <w:rsid w:val="001F7EA6"/>
    <w:rsid w:val="0020034F"/>
    <w:rsid w:val="0020141B"/>
    <w:rsid w:val="00201806"/>
    <w:rsid w:val="00205A42"/>
    <w:rsid w:val="00207716"/>
    <w:rsid w:val="00212890"/>
    <w:rsid w:val="0021393F"/>
    <w:rsid w:val="0021400C"/>
    <w:rsid w:val="00214026"/>
    <w:rsid w:val="00214B75"/>
    <w:rsid w:val="0021568C"/>
    <w:rsid w:val="00216296"/>
    <w:rsid w:val="0021678C"/>
    <w:rsid w:val="002177D8"/>
    <w:rsid w:val="00220AF1"/>
    <w:rsid w:val="00220EDC"/>
    <w:rsid w:val="0022172C"/>
    <w:rsid w:val="00223967"/>
    <w:rsid w:val="00223EE7"/>
    <w:rsid w:val="002250CE"/>
    <w:rsid w:val="0022527C"/>
    <w:rsid w:val="002273E6"/>
    <w:rsid w:val="00230927"/>
    <w:rsid w:val="00233F6F"/>
    <w:rsid w:val="00236616"/>
    <w:rsid w:val="00236DDE"/>
    <w:rsid w:val="002375A8"/>
    <w:rsid w:val="002376A7"/>
    <w:rsid w:val="0024035F"/>
    <w:rsid w:val="00240F05"/>
    <w:rsid w:val="0024149C"/>
    <w:rsid w:val="00244FE3"/>
    <w:rsid w:val="0025007B"/>
    <w:rsid w:val="002532AD"/>
    <w:rsid w:val="002541AB"/>
    <w:rsid w:val="00254C7C"/>
    <w:rsid w:val="002570AB"/>
    <w:rsid w:val="00262333"/>
    <w:rsid w:val="00271F62"/>
    <w:rsid w:val="0027207A"/>
    <w:rsid w:val="00273443"/>
    <w:rsid w:val="00275AF1"/>
    <w:rsid w:val="00277016"/>
    <w:rsid w:val="00282499"/>
    <w:rsid w:val="002826CA"/>
    <w:rsid w:val="00283906"/>
    <w:rsid w:val="00290FED"/>
    <w:rsid w:val="00293F3B"/>
    <w:rsid w:val="00295736"/>
    <w:rsid w:val="00296A5B"/>
    <w:rsid w:val="0029786E"/>
    <w:rsid w:val="002A0F8D"/>
    <w:rsid w:val="002A5319"/>
    <w:rsid w:val="002A6EC7"/>
    <w:rsid w:val="002B062A"/>
    <w:rsid w:val="002B0F77"/>
    <w:rsid w:val="002B1F64"/>
    <w:rsid w:val="002B41D1"/>
    <w:rsid w:val="002B5BD3"/>
    <w:rsid w:val="002B5EBD"/>
    <w:rsid w:val="002C2148"/>
    <w:rsid w:val="002C38A2"/>
    <w:rsid w:val="002C4093"/>
    <w:rsid w:val="002C4A72"/>
    <w:rsid w:val="002C7FB3"/>
    <w:rsid w:val="002D292E"/>
    <w:rsid w:val="002D4594"/>
    <w:rsid w:val="002D4C62"/>
    <w:rsid w:val="002D5261"/>
    <w:rsid w:val="002D6483"/>
    <w:rsid w:val="002E07FB"/>
    <w:rsid w:val="002E196B"/>
    <w:rsid w:val="002E2038"/>
    <w:rsid w:val="002E5972"/>
    <w:rsid w:val="002E7115"/>
    <w:rsid w:val="002E755C"/>
    <w:rsid w:val="002F155F"/>
    <w:rsid w:val="002F2213"/>
    <w:rsid w:val="002F2980"/>
    <w:rsid w:val="002F3ABD"/>
    <w:rsid w:val="002F4059"/>
    <w:rsid w:val="002F5403"/>
    <w:rsid w:val="002F5BC3"/>
    <w:rsid w:val="003014A3"/>
    <w:rsid w:val="00303050"/>
    <w:rsid w:val="00306075"/>
    <w:rsid w:val="00306DB4"/>
    <w:rsid w:val="003113CA"/>
    <w:rsid w:val="0031403B"/>
    <w:rsid w:val="00314E85"/>
    <w:rsid w:val="00316D36"/>
    <w:rsid w:val="003171B1"/>
    <w:rsid w:val="003212F1"/>
    <w:rsid w:val="00323849"/>
    <w:rsid w:val="00324FC7"/>
    <w:rsid w:val="00325BEA"/>
    <w:rsid w:val="003262EB"/>
    <w:rsid w:val="00326B7C"/>
    <w:rsid w:val="00327819"/>
    <w:rsid w:val="0033283C"/>
    <w:rsid w:val="00332A29"/>
    <w:rsid w:val="00333A90"/>
    <w:rsid w:val="00335D75"/>
    <w:rsid w:val="0033645E"/>
    <w:rsid w:val="00336CC5"/>
    <w:rsid w:val="00336D8C"/>
    <w:rsid w:val="00340E45"/>
    <w:rsid w:val="00342544"/>
    <w:rsid w:val="00344D31"/>
    <w:rsid w:val="00345FD9"/>
    <w:rsid w:val="00347DBB"/>
    <w:rsid w:val="00365037"/>
    <w:rsid w:val="0036574F"/>
    <w:rsid w:val="00370A96"/>
    <w:rsid w:val="00371374"/>
    <w:rsid w:val="0037330A"/>
    <w:rsid w:val="00375610"/>
    <w:rsid w:val="00380959"/>
    <w:rsid w:val="0039285F"/>
    <w:rsid w:val="00393C03"/>
    <w:rsid w:val="00394345"/>
    <w:rsid w:val="00395129"/>
    <w:rsid w:val="003953FE"/>
    <w:rsid w:val="0039607B"/>
    <w:rsid w:val="003A0DAA"/>
    <w:rsid w:val="003A1386"/>
    <w:rsid w:val="003A3DBA"/>
    <w:rsid w:val="003A49A3"/>
    <w:rsid w:val="003A5AE1"/>
    <w:rsid w:val="003B494C"/>
    <w:rsid w:val="003B6C40"/>
    <w:rsid w:val="003C09EC"/>
    <w:rsid w:val="003C2045"/>
    <w:rsid w:val="003C510D"/>
    <w:rsid w:val="003C62D6"/>
    <w:rsid w:val="003C7930"/>
    <w:rsid w:val="003D0A45"/>
    <w:rsid w:val="003D1721"/>
    <w:rsid w:val="003D2E6C"/>
    <w:rsid w:val="003D322E"/>
    <w:rsid w:val="003D4772"/>
    <w:rsid w:val="003D5954"/>
    <w:rsid w:val="003E3D50"/>
    <w:rsid w:val="003E580E"/>
    <w:rsid w:val="003E7141"/>
    <w:rsid w:val="003F0D7E"/>
    <w:rsid w:val="003F24B5"/>
    <w:rsid w:val="003F783C"/>
    <w:rsid w:val="003F7A39"/>
    <w:rsid w:val="0040019C"/>
    <w:rsid w:val="004007F9"/>
    <w:rsid w:val="00402AD8"/>
    <w:rsid w:val="00411316"/>
    <w:rsid w:val="00416423"/>
    <w:rsid w:val="00426C12"/>
    <w:rsid w:val="00426E88"/>
    <w:rsid w:val="004409B7"/>
    <w:rsid w:val="0044367E"/>
    <w:rsid w:val="004439EA"/>
    <w:rsid w:val="00451549"/>
    <w:rsid w:val="00451610"/>
    <w:rsid w:val="004537DE"/>
    <w:rsid w:val="00453A8C"/>
    <w:rsid w:val="00454707"/>
    <w:rsid w:val="00456ABD"/>
    <w:rsid w:val="00462E5C"/>
    <w:rsid w:val="00463118"/>
    <w:rsid w:val="00464BDC"/>
    <w:rsid w:val="00465098"/>
    <w:rsid w:val="00465331"/>
    <w:rsid w:val="0046689A"/>
    <w:rsid w:val="0046729D"/>
    <w:rsid w:val="004678EE"/>
    <w:rsid w:val="00470ADA"/>
    <w:rsid w:val="00472866"/>
    <w:rsid w:val="00472EDC"/>
    <w:rsid w:val="00474EE5"/>
    <w:rsid w:val="0047600F"/>
    <w:rsid w:val="00483290"/>
    <w:rsid w:val="00485271"/>
    <w:rsid w:val="00490017"/>
    <w:rsid w:val="0049134D"/>
    <w:rsid w:val="004925DE"/>
    <w:rsid w:val="00493E86"/>
    <w:rsid w:val="00497F36"/>
    <w:rsid w:val="004A1583"/>
    <w:rsid w:val="004A2AB7"/>
    <w:rsid w:val="004B2A5F"/>
    <w:rsid w:val="004B38F9"/>
    <w:rsid w:val="004B797A"/>
    <w:rsid w:val="004C2196"/>
    <w:rsid w:val="004C2F76"/>
    <w:rsid w:val="004C5BC4"/>
    <w:rsid w:val="004C68F4"/>
    <w:rsid w:val="004C6F12"/>
    <w:rsid w:val="004D0DF3"/>
    <w:rsid w:val="004D3155"/>
    <w:rsid w:val="004D4943"/>
    <w:rsid w:val="004D4BB2"/>
    <w:rsid w:val="004E2D0B"/>
    <w:rsid w:val="004E3057"/>
    <w:rsid w:val="004F080A"/>
    <w:rsid w:val="004F6BE7"/>
    <w:rsid w:val="005051C8"/>
    <w:rsid w:val="00505718"/>
    <w:rsid w:val="00511AFC"/>
    <w:rsid w:val="00513873"/>
    <w:rsid w:val="00513CA9"/>
    <w:rsid w:val="00520338"/>
    <w:rsid w:val="005220E1"/>
    <w:rsid w:val="00524991"/>
    <w:rsid w:val="00527F4B"/>
    <w:rsid w:val="0053072A"/>
    <w:rsid w:val="00533F7F"/>
    <w:rsid w:val="00534646"/>
    <w:rsid w:val="0054304D"/>
    <w:rsid w:val="00545597"/>
    <w:rsid w:val="00545847"/>
    <w:rsid w:val="00546AB9"/>
    <w:rsid w:val="00547622"/>
    <w:rsid w:val="00551163"/>
    <w:rsid w:val="00553836"/>
    <w:rsid w:val="00561155"/>
    <w:rsid w:val="005617BC"/>
    <w:rsid w:val="00564DDD"/>
    <w:rsid w:val="005774CC"/>
    <w:rsid w:val="0058042E"/>
    <w:rsid w:val="00582733"/>
    <w:rsid w:val="00585FB5"/>
    <w:rsid w:val="00586EB1"/>
    <w:rsid w:val="00586F24"/>
    <w:rsid w:val="00586F95"/>
    <w:rsid w:val="0059040A"/>
    <w:rsid w:val="00590852"/>
    <w:rsid w:val="00590FCF"/>
    <w:rsid w:val="00597258"/>
    <w:rsid w:val="005A0E29"/>
    <w:rsid w:val="005A5736"/>
    <w:rsid w:val="005B3074"/>
    <w:rsid w:val="005B4E17"/>
    <w:rsid w:val="005C0C4B"/>
    <w:rsid w:val="005C1F91"/>
    <w:rsid w:val="005C3E2F"/>
    <w:rsid w:val="005C42D3"/>
    <w:rsid w:val="005C537A"/>
    <w:rsid w:val="005C58BF"/>
    <w:rsid w:val="005C67CA"/>
    <w:rsid w:val="005D18EA"/>
    <w:rsid w:val="005D4454"/>
    <w:rsid w:val="005D5952"/>
    <w:rsid w:val="005D7397"/>
    <w:rsid w:val="005E2645"/>
    <w:rsid w:val="005E6D4F"/>
    <w:rsid w:val="005E78FE"/>
    <w:rsid w:val="005F3FC2"/>
    <w:rsid w:val="005F4D01"/>
    <w:rsid w:val="005F5968"/>
    <w:rsid w:val="005F7312"/>
    <w:rsid w:val="005F7A56"/>
    <w:rsid w:val="00600D56"/>
    <w:rsid w:val="00601DEC"/>
    <w:rsid w:val="00603441"/>
    <w:rsid w:val="00605244"/>
    <w:rsid w:val="00605F14"/>
    <w:rsid w:val="0061084E"/>
    <w:rsid w:val="00611D2C"/>
    <w:rsid w:val="00612D4D"/>
    <w:rsid w:val="0061560C"/>
    <w:rsid w:val="006163FA"/>
    <w:rsid w:val="00616F8A"/>
    <w:rsid w:val="006226C1"/>
    <w:rsid w:val="006237EB"/>
    <w:rsid w:val="00623A3F"/>
    <w:rsid w:val="00636048"/>
    <w:rsid w:val="0063691E"/>
    <w:rsid w:val="00644914"/>
    <w:rsid w:val="00644DE9"/>
    <w:rsid w:val="006467C8"/>
    <w:rsid w:val="00646C22"/>
    <w:rsid w:val="00651967"/>
    <w:rsid w:val="0065289E"/>
    <w:rsid w:val="00653309"/>
    <w:rsid w:val="00654EE9"/>
    <w:rsid w:val="00655354"/>
    <w:rsid w:val="00656230"/>
    <w:rsid w:val="00660594"/>
    <w:rsid w:val="0066147E"/>
    <w:rsid w:val="00663553"/>
    <w:rsid w:val="00671B3A"/>
    <w:rsid w:val="006734EB"/>
    <w:rsid w:val="0067399D"/>
    <w:rsid w:val="006766FB"/>
    <w:rsid w:val="00681714"/>
    <w:rsid w:val="006823E0"/>
    <w:rsid w:val="006830A4"/>
    <w:rsid w:val="006834C0"/>
    <w:rsid w:val="00683D7E"/>
    <w:rsid w:val="00684068"/>
    <w:rsid w:val="00684F50"/>
    <w:rsid w:val="00686379"/>
    <w:rsid w:val="00686CA8"/>
    <w:rsid w:val="00686D8F"/>
    <w:rsid w:val="00690981"/>
    <w:rsid w:val="006918C7"/>
    <w:rsid w:val="00693413"/>
    <w:rsid w:val="00693F66"/>
    <w:rsid w:val="00696122"/>
    <w:rsid w:val="006A2C47"/>
    <w:rsid w:val="006A3D4F"/>
    <w:rsid w:val="006A7F2B"/>
    <w:rsid w:val="006B2158"/>
    <w:rsid w:val="006C0E63"/>
    <w:rsid w:val="006C1D7F"/>
    <w:rsid w:val="006C4B79"/>
    <w:rsid w:val="006C4DDF"/>
    <w:rsid w:val="006C51B3"/>
    <w:rsid w:val="006C51C3"/>
    <w:rsid w:val="006C5AAE"/>
    <w:rsid w:val="006C7147"/>
    <w:rsid w:val="006C7F37"/>
    <w:rsid w:val="006D0042"/>
    <w:rsid w:val="006D1145"/>
    <w:rsid w:val="006D11FE"/>
    <w:rsid w:val="006D4BD3"/>
    <w:rsid w:val="006D6AC7"/>
    <w:rsid w:val="006E424F"/>
    <w:rsid w:val="006E776E"/>
    <w:rsid w:val="006F1C00"/>
    <w:rsid w:val="006F282B"/>
    <w:rsid w:val="006F4366"/>
    <w:rsid w:val="006F55C6"/>
    <w:rsid w:val="00701038"/>
    <w:rsid w:val="00701CFB"/>
    <w:rsid w:val="007050B6"/>
    <w:rsid w:val="00713E4A"/>
    <w:rsid w:val="007141FF"/>
    <w:rsid w:val="007162B4"/>
    <w:rsid w:val="00716AEA"/>
    <w:rsid w:val="00717F6E"/>
    <w:rsid w:val="00720BE2"/>
    <w:rsid w:val="00730652"/>
    <w:rsid w:val="007316CD"/>
    <w:rsid w:val="007370A0"/>
    <w:rsid w:val="007370A8"/>
    <w:rsid w:val="00737CB8"/>
    <w:rsid w:val="0074035C"/>
    <w:rsid w:val="0074202E"/>
    <w:rsid w:val="00744394"/>
    <w:rsid w:val="00746C41"/>
    <w:rsid w:val="00751427"/>
    <w:rsid w:val="00751F0F"/>
    <w:rsid w:val="00753302"/>
    <w:rsid w:val="0075551C"/>
    <w:rsid w:val="00763F02"/>
    <w:rsid w:val="007641B1"/>
    <w:rsid w:val="0076516F"/>
    <w:rsid w:val="0076618C"/>
    <w:rsid w:val="007735FB"/>
    <w:rsid w:val="00776F0A"/>
    <w:rsid w:val="007770A7"/>
    <w:rsid w:val="00777726"/>
    <w:rsid w:val="00783E3A"/>
    <w:rsid w:val="0078442B"/>
    <w:rsid w:val="00784798"/>
    <w:rsid w:val="00784BF9"/>
    <w:rsid w:val="00784D92"/>
    <w:rsid w:val="007924A6"/>
    <w:rsid w:val="007955B3"/>
    <w:rsid w:val="007A0499"/>
    <w:rsid w:val="007A0F87"/>
    <w:rsid w:val="007A1250"/>
    <w:rsid w:val="007A16A6"/>
    <w:rsid w:val="007A36A9"/>
    <w:rsid w:val="007B01E2"/>
    <w:rsid w:val="007B04FB"/>
    <w:rsid w:val="007B1917"/>
    <w:rsid w:val="007B3113"/>
    <w:rsid w:val="007B4100"/>
    <w:rsid w:val="007B6DC2"/>
    <w:rsid w:val="007B727B"/>
    <w:rsid w:val="007B77D5"/>
    <w:rsid w:val="007C1123"/>
    <w:rsid w:val="007C218E"/>
    <w:rsid w:val="007C3E3E"/>
    <w:rsid w:val="007C4E8F"/>
    <w:rsid w:val="007C6B52"/>
    <w:rsid w:val="007C71DB"/>
    <w:rsid w:val="007D1EC3"/>
    <w:rsid w:val="007D44E3"/>
    <w:rsid w:val="007E02F4"/>
    <w:rsid w:val="007E0AB4"/>
    <w:rsid w:val="007E1488"/>
    <w:rsid w:val="007E2E88"/>
    <w:rsid w:val="007E3668"/>
    <w:rsid w:val="007E4083"/>
    <w:rsid w:val="007E7EC5"/>
    <w:rsid w:val="007F3089"/>
    <w:rsid w:val="008002CB"/>
    <w:rsid w:val="00802598"/>
    <w:rsid w:val="00802D59"/>
    <w:rsid w:val="00807750"/>
    <w:rsid w:val="008102A8"/>
    <w:rsid w:val="008102C7"/>
    <w:rsid w:val="008124A6"/>
    <w:rsid w:val="00815CED"/>
    <w:rsid w:val="00817A06"/>
    <w:rsid w:val="00821010"/>
    <w:rsid w:val="00821260"/>
    <w:rsid w:val="008239CF"/>
    <w:rsid w:val="00825243"/>
    <w:rsid w:val="00827D61"/>
    <w:rsid w:val="00836215"/>
    <w:rsid w:val="0084000B"/>
    <w:rsid w:val="008413CE"/>
    <w:rsid w:val="0084383C"/>
    <w:rsid w:val="00844B1F"/>
    <w:rsid w:val="008520BB"/>
    <w:rsid w:val="00853316"/>
    <w:rsid w:val="00854703"/>
    <w:rsid w:val="00855A61"/>
    <w:rsid w:val="00856DAE"/>
    <w:rsid w:val="0086041C"/>
    <w:rsid w:val="008621C7"/>
    <w:rsid w:val="0086494D"/>
    <w:rsid w:val="008662EA"/>
    <w:rsid w:val="00871CEC"/>
    <w:rsid w:val="00874D11"/>
    <w:rsid w:val="008810D8"/>
    <w:rsid w:val="00886A3D"/>
    <w:rsid w:val="00890A75"/>
    <w:rsid w:val="00891056"/>
    <w:rsid w:val="008A6D48"/>
    <w:rsid w:val="008A7003"/>
    <w:rsid w:val="008A7DFC"/>
    <w:rsid w:val="008B1148"/>
    <w:rsid w:val="008B2172"/>
    <w:rsid w:val="008B22C1"/>
    <w:rsid w:val="008B3509"/>
    <w:rsid w:val="008B506E"/>
    <w:rsid w:val="008B50CB"/>
    <w:rsid w:val="008B6438"/>
    <w:rsid w:val="008B79DA"/>
    <w:rsid w:val="008C2639"/>
    <w:rsid w:val="008C4BEC"/>
    <w:rsid w:val="008C6D28"/>
    <w:rsid w:val="008D065F"/>
    <w:rsid w:val="008D18B9"/>
    <w:rsid w:val="008D1970"/>
    <w:rsid w:val="008D1AE0"/>
    <w:rsid w:val="008D20CC"/>
    <w:rsid w:val="008D3173"/>
    <w:rsid w:val="008D3A35"/>
    <w:rsid w:val="008D5E7C"/>
    <w:rsid w:val="008D6296"/>
    <w:rsid w:val="008D651D"/>
    <w:rsid w:val="008D76A7"/>
    <w:rsid w:val="008E3144"/>
    <w:rsid w:val="008E340E"/>
    <w:rsid w:val="008E3DFA"/>
    <w:rsid w:val="008E48A1"/>
    <w:rsid w:val="008E5061"/>
    <w:rsid w:val="008F085E"/>
    <w:rsid w:val="008F110F"/>
    <w:rsid w:val="008F2D30"/>
    <w:rsid w:val="008F4F25"/>
    <w:rsid w:val="008F5403"/>
    <w:rsid w:val="00903BC1"/>
    <w:rsid w:val="00904F50"/>
    <w:rsid w:val="00910297"/>
    <w:rsid w:val="0091374E"/>
    <w:rsid w:val="00913ED0"/>
    <w:rsid w:val="009216F5"/>
    <w:rsid w:val="00922146"/>
    <w:rsid w:val="0092593F"/>
    <w:rsid w:val="00931A12"/>
    <w:rsid w:val="0094172B"/>
    <w:rsid w:val="009417ED"/>
    <w:rsid w:val="00943441"/>
    <w:rsid w:val="00943ED0"/>
    <w:rsid w:val="00945914"/>
    <w:rsid w:val="00945D3E"/>
    <w:rsid w:val="0094619E"/>
    <w:rsid w:val="00946B7F"/>
    <w:rsid w:val="00957C08"/>
    <w:rsid w:val="00960155"/>
    <w:rsid w:val="00960DCA"/>
    <w:rsid w:val="00961608"/>
    <w:rsid w:val="0096426F"/>
    <w:rsid w:val="00964EED"/>
    <w:rsid w:val="00965E49"/>
    <w:rsid w:val="00966507"/>
    <w:rsid w:val="00967EB8"/>
    <w:rsid w:val="00970F6A"/>
    <w:rsid w:val="009738D4"/>
    <w:rsid w:val="00981933"/>
    <w:rsid w:val="00985772"/>
    <w:rsid w:val="00986612"/>
    <w:rsid w:val="0098778B"/>
    <w:rsid w:val="0099611A"/>
    <w:rsid w:val="00996C5D"/>
    <w:rsid w:val="00997176"/>
    <w:rsid w:val="009A0A7C"/>
    <w:rsid w:val="009A0EB5"/>
    <w:rsid w:val="009A1680"/>
    <w:rsid w:val="009A2862"/>
    <w:rsid w:val="009A2E1E"/>
    <w:rsid w:val="009A5D92"/>
    <w:rsid w:val="009A66D9"/>
    <w:rsid w:val="009B0090"/>
    <w:rsid w:val="009B01A6"/>
    <w:rsid w:val="009B01E4"/>
    <w:rsid w:val="009B16CC"/>
    <w:rsid w:val="009B44A9"/>
    <w:rsid w:val="009C1A78"/>
    <w:rsid w:val="009C256D"/>
    <w:rsid w:val="009C2B8C"/>
    <w:rsid w:val="009C36E1"/>
    <w:rsid w:val="009C599A"/>
    <w:rsid w:val="009C60BB"/>
    <w:rsid w:val="009D27C5"/>
    <w:rsid w:val="009D5B89"/>
    <w:rsid w:val="009E4939"/>
    <w:rsid w:val="009E5077"/>
    <w:rsid w:val="009E6086"/>
    <w:rsid w:val="009E65DC"/>
    <w:rsid w:val="009E7568"/>
    <w:rsid w:val="009E7691"/>
    <w:rsid w:val="009E7A3A"/>
    <w:rsid w:val="009F3ADE"/>
    <w:rsid w:val="00A032D4"/>
    <w:rsid w:val="00A064EB"/>
    <w:rsid w:val="00A06EAF"/>
    <w:rsid w:val="00A0722F"/>
    <w:rsid w:val="00A156BB"/>
    <w:rsid w:val="00A16CBB"/>
    <w:rsid w:val="00A221DD"/>
    <w:rsid w:val="00A23AAB"/>
    <w:rsid w:val="00A2421C"/>
    <w:rsid w:val="00A25679"/>
    <w:rsid w:val="00A36F28"/>
    <w:rsid w:val="00A3797A"/>
    <w:rsid w:val="00A4187E"/>
    <w:rsid w:val="00A45E80"/>
    <w:rsid w:val="00A53803"/>
    <w:rsid w:val="00A54C19"/>
    <w:rsid w:val="00A63FD4"/>
    <w:rsid w:val="00A67C6A"/>
    <w:rsid w:val="00A75B1E"/>
    <w:rsid w:val="00A75D15"/>
    <w:rsid w:val="00A77A8E"/>
    <w:rsid w:val="00A8209E"/>
    <w:rsid w:val="00A821BD"/>
    <w:rsid w:val="00A8387E"/>
    <w:rsid w:val="00A84A36"/>
    <w:rsid w:val="00A91EF7"/>
    <w:rsid w:val="00A9397A"/>
    <w:rsid w:val="00A962EC"/>
    <w:rsid w:val="00A96D38"/>
    <w:rsid w:val="00AA0378"/>
    <w:rsid w:val="00AA15DD"/>
    <w:rsid w:val="00AA19EC"/>
    <w:rsid w:val="00AA1ADD"/>
    <w:rsid w:val="00AA3CB6"/>
    <w:rsid w:val="00AA4A57"/>
    <w:rsid w:val="00AA67D4"/>
    <w:rsid w:val="00AB0F1C"/>
    <w:rsid w:val="00AB2DDD"/>
    <w:rsid w:val="00AB3AD1"/>
    <w:rsid w:val="00AB4066"/>
    <w:rsid w:val="00AB4891"/>
    <w:rsid w:val="00AB67A9"/>
    <w:rsid w:val="00AB7839"/>
    <w:rsid w:val="00AC28F9"/>
    <w:rsid w:val="00AC59D4"/>
    <w:rsid w:val="00AC5B6B"/>
    <w:rsid w:val="00AC7B32"/>
    <w:rsid w:val="00AD00EB"/>
    <w:rsid w:val="00AD3F9A"/>
    <w:rsid w:val="00AE010B"/>
    <w:rsid w:val="00AE066B"/>
    <w:rsid w:val="00AE10C7"/>
    <w:rsid w:val="00AE220F"/>
    <w:rsid w:val="00AE25A6"/>
    <w:rsid w:val="00AE2F46"/>
    <w:rsid w:val="00AE3FC4"/>
    <w:rsid w:val="00AE7749"/>
    <w:rsid w:val="00AF39FA"/>
    <w:rsid w:val="00AF48B2"/>
    <w:rsid w:val="00AF4C6B"/>
    <w:rsid w:val="00AF5697"/>
    <w:rsid w:val="00AF65F1"/>
    <w:rsid w:val="00AF7AE4"/>
    <w:rsid w:val="00B0255B"/>
    <w:rsid w:val="00B063C9"/>
    <w:rsid w:val="00B1086A"/>
    <w:rsid w:val="00B10BEB"/>
    <w:rsid w:val="00B136AD"/>
    <w:rsid w:val="00B152AC"/>
    <w:rsid w:val="00B1635F"/>
    <w:rsid w:val="00B30BE6"/>
    <w:rsid w:val="00B3239F"/>
    <w:rsid w:val="00B348F2"/>
    <w:rsid w:val="00B42592"/>
    <w:rsid w:val="00B43290"/>
    <w:rsid w:val="00B470E6"/>
    <w:rsid w:val="00B532C3"/>
    <w:rsid w:val="00B554CD"/>
    <w:rsid w:val="00B558C3"/>
    <w:rsid w:val="00B56159"/>
    <w:rsid w:val="00B61F1D"/>
    <w:rsid w:val="00B62809"/>
    <w:rsid w:val="00B62DA9"/>
    <w:rsid w:val="00B659DD"/>
    <w:rsid w:val="00B669A8"/>
    <w:rsid w:val="00B71337"/>
    <w:rsid w:val="00B71FBB"/>
    <w:rsid w:val="00B72313"/>
    <w:rsid w:val="00B7365C"/>
    <w:rsid w:val="00B74C18"/>
    <w:rsid w:val="00B7612D"/>
    <w:rsid w:val="00B77336"/>
    <w:rsid w:val="00B82992"/>
    <w:rsid w:val="00B82C4A"/>
    <w:rsid w:val="00B84B35"/>
    <w:rsid w:val="00B9502E"/>
    <w:rsid w:val="00B961C7"/>
    <w:rsid w:val="00BA0E1B"/>
    <w:rsid w:val="00BA521A"/>
    <w:rsid w:val="00BA52CF"/>
    <w:rsid w:val="00BA67DC"/>
    <w:rsid w:val="00BA76B1"/>
    <w:rsid w:val="00BA7978"/>
    <w:rsid w:val="00BB2F72"/>
    <w:rsid w:val="00BB3780"/>
    <w:rsid w:val="00BB667B"/>
    <w:rsid w:val="00BB6F1F"/>
    <w:rsid w:val="00BB796C"/>
    <w:rsid w:val="00BB7D78"/>
    <w:rsid w:val="00BC4C0C"/>
    <w:rsid w:val="00BC5C17"/>
    <w:rsid w:val="00BC6FDA"/>
    <w:rsid w:val="00BC7857"/>
    <w:rsid w:val="00BD44DA"/>
    <w:rsid w:val="00BD7B52"/>
    <w:rsid w:val="00BD7DD6"/>
    <w:rsid w:val="00BE19A5"/>
    <w:rsid w:val="00BE1D98"/>
    <w:rsid w:val="00BE3B49"/>
    <w:rsid w:val="00BE4135"/>
    <w:rsid w:val="00BE5923"/>
    <w:rsid w:val="00BE7049"/>
    <w:rsid w:val="00BE7EC4"/>
    <w:rsid w:val="00BF0953"/>
    <w:rsid w:val="00BF2A1F"/>
    <w:rsid w:val="00BF3A8E"/>
    <w:rsid w:val="00BF45BD"/>
    <w:rsid w:val="00BF4F69"/>
    <w:rsid w:val="00BF7CC8"/>
    <w:rsid w:val="00C01D1A"/>
    <w:rsid w:val="00C03D30"/>
    <w:rsid w:val="00C05F42"/>
    <w:rsid w:val="00C17721"/>
    <w:rsid w:val="00C20C72"/>
    <w:rsid w:val="00C26460"/>
    <w:rsid w:val="00C26C0B"/>
    <w:rsid w:val="00C279DC"/>
    <w:rsid w:val="00C30ADF"/>
    <w:rsid w:val="00C32ED0"/>
    <w:rsid w:val="00C34754"/>
    <w:rsid w:val="00C34B8C"/>
    <w:rsid w:val="00C3553A"/>
    <w:rsid w:val="00C40152"/>
    <w:rsid w:val="00C422DC"/>
    <w:rsid w:val="00C45996"/>
    <w:rsid w:val="00C52068"/>
    <w:rsid w:val="00C5209B"/>
    <w:rsid w:val="00C53F1D"/>
    <w:rsid w:val="00C60688"/>
    <w:rsid w:val="00C60EA2"/>
    <w:rsid w:val="00C61F9F"/>
    <w:rsid w:val="00C62F5A"/>
    <w:rsid w:val="00C755E6"/>
    <w:rsid w:val="00C81605"/>
    <w:rsid w:val="00C81813"/>
    <w:rsid w:val="00C826DA"/>
    <w:rsid w:val="00C828D6"/>
    <w:rsid w:val="00C839F9"/>
    <w:rsid w:val="00C9072C"/>
    <w:rsid w:val="00C927CE"/>
    <w:rsid w:val="00C9320F"/>
    <w:rsid w:val="00C96335"/>
    <w:rsid w:val="00CA4FDC"/>
    <w:rsid w:val="00CB13CA"/>
    <w:rsid w:val="00CB3A30"/>
    <w:rsid w:val="00CC3FA5"/>
    <w:rsid w:val="00CC4E43"/>
    <w:rsid w:val="00CC524E"/>
    <w:rsid w:val="00CD18E7"/>
    <w:rsid w:val="00CD3FCD"/>
    <w:rsid w:val="00CD4C66"/>
    <w:rsid w:val="00CD7965"/>
    <w:rsid w:val="00CD7C58"/>
    <w:rsid w:val="00CD7DFB"/>
    <w:rsid w:val="00CE0847"/>
    <w:rsid w:val="00CE0C0E"/>
    <w:rsid w:val="00CE4CDD"/>
    <w:rsid w:val="00CF1738"/>
    <w:rsid w:val="00CF23CC"/>
    <w:rsid w:val="00CF2775"/>
    <w:rsid w:val="00CF4736"/>
    <w:rsid w:val="00CF4A1C"/>
    <w:rsid w:val="00CF5E8F"/>
    <w:rsid w:val="00CF6D0F"/>
    <w:rsid w:val="00D02BA5"/>
    <w:rsid w:val="00D04D99"/>
    <w:rsid w:val="00D058F9"/>
    <w:rsid w:val="00D05A2D"/>
    <w:rsid w:val="00D06C5F"/>
    <w:rsid w:val="00D11258"/>
    <w:rsid w:val="00D11B00"/>
    <w:rsid w:val="00D15704"/>
    <w:rsid w:val="00D1666C"/>
    <w:rsid w:val="00D22074"/>
    <w:rsid w:val="00D24846"/>
    <w:rsid w:val="00D25810"/>
    <w:rsid w:val="00D41F2A"/>
    <w:rsid w:val="00D43135"/>
    <w:rsid w:val="00D4320F"/>
    <w:rsid w:val="00D46464"/>
    <w:rsid w:val="00D46A98"/>
    <w:rsid w:val="00D47614"/>
    <w:rsid w:val="00D478FA"/>
    <w:rsid w:val="00D511F4"/>
    <w:rsid w:val="00D5181A"/>
    <w:rsid w:val="00D5462D"/>
    <w:rsid w:val="00D554A9"/>
    <w:rsid w:val="00D63EFA"/>
    <w:rsid w:val="00D66D5C"/>
    <w:rsid w:val="00D71831"/>
    <w:rsid w:val="00D71E3A"/>
    <w:rsid w:val="00D83D78"/>
    <w:rsid w:val="00D8636C"/>
    <w:rsid w:val="00D978F0"/>
    <w:rsid w:val="00DA1BB1"/>
    <w:rsid w:val="00DA2D5E"/>
    <w:rsid w:val="00DA58EB"/>
    <w:rsid w:val="00DA7239"/>
    <w:rsid w:val="00DB3F8A"/>
    <w:rsid w:val="00DB45E6"/>
    <w:rsid w:val="00DB6FE1"/>
    <w:rsid w:val="00DC0256"/>
    <w:rsid w:val="00DC0E83"/>
    <w:rsid w:val="00DC17B8"/>
    <w:rsid w:val="00DC2D78"/>
    <w:rsid w:val="00DC5DA3"/>
    <w:rsid w:val="00DC7221"/>
    <w:rsid w:val="00DC782C"/>
    <w:rsid w:val="00DD29AF"/>
    <w:rsid w:val="00DD3EA8"/>
    <w:rsid w:val="00DD45AB"/>
    <w:rsid w:val="00DE29CC"/>
    <w:rsid w:val="00DE3DF0"/>
    <w:rsid w:val="00DE4768"/>
    <w:rsid w:val="00DE5D53"/>
    <w:rsid w:val="00DF44CE"/>
    <w:rsid w:val="00DF4C01"/>
    <w:rsid w:val="00DF615F"/>
    <w:rsid w:val="00DF69D4"/>
    <w:rsid w:val="00DF7406"/>
    <w:rsid w:val="00E00103"/>
    <w:rsid w:val="00E00220"/>
    <w:rsid w:val="00E00C26"/>
    <w:rsid w:val="00E02016"/>
    <w:rsid w:val="00E07AA2"/>
    <w:rsid w:val="00E123A3"/>
    <w:rsid w:val="00E12B5E"/>
    <w:rsid w:val="00E13AD8"/>
    <w:rsid w:val="00E15C9E"/>
    <w:rsid w:val="00E22CC7"/>
    <w:rsid w:val="00E25AD8"/>
    <w:rsid w:val="00E263CB"/>
    <w:rsid w:val="00E26683"/>
    <w:rsid w:val="00E2758F"/>
    <w:rsid w:val="00E31820"/>
    <w:rsid w:val="00E3556E"/>
    <w:rsid w:val="00E40400"/>
    <w:rsid w:val="00E462B2"/>
    <w:rsid w:val="00E46CC9"/>
    <w:rsid w:val="00E472E9"/>
    <w:rsid w:val="00E47D29"/>
    <w:rsid w:val="00E47E00"/>
    <w:rsid w:val="00E50191"/>
    <w:rsid w:val="00E54233"/>
    <w:rsid w:val="00E57EAC"/>
    <w:rsid w:val="00E62C50"/>
    <w:rsid w:val="00E636AB"/>
    <w:rsid w:val="00E63D5A"/>
    <w:rsid w:val="00E65588"/>
    <w:rsid w:val="00E6631C"/>
    <w:rsid w:val="00E66687"/>
    <w:rsid w:val="00E6783B"/>
    <w:rsid w:val="00E70BF8"/>
    <w:rsid w:val="00E70E05"/>
    <w:rsid w:val="00E754C9"/>
    <w:rsid w:val="00E75FE5"/>
    <w:rsid w:val="00E766E8"/>
    <w:rsid w:val="00E80877"/>
    <w:rsid w:val="00E82C5E"/>
    <w:rsid w:val="00E85898"/>
    <w:rsid w:val="00E86206"/>
    <w:rsid w:val="00E93656"/>
    <w:rsid w:val="00E94487"/>
    <w:rsid w:val="00E964FB"/>
    <w:rsid w:val="00EA022F"/>
    <w:rsid w:val="00EA049C"/>
    <w:rsid w:val="00EA4C4A"/>
    <w:rsid w:val="00EB394B"/>
    <w:rsid w:val="00EB6CD5"/>
    <w:rsid w:val="00EC09B3"/>
    <w:rsid w:val="00EC26C9"/>
    <w:rsid w:val="00EC3B88"/>
    <w:rsid w:val="00EC4501"/>
    <w:rsid w:val="00ED24E9"/>
    <w:rsid w:val="00ED4394"/>
    <w:rsid w:val="00ED4D73"/>
    <w:rsid w:val="00ED5072"/>
    <w:rsid w:val="00ED615A"/>
    <w:rsid w:val="00ED67ED"/>
    <w:rsid w:val="00EE5C6F"/>
    <w:rsid w:val="00EE5DBE"/>
    <w:rsid w:val="00EE5E01"/>
    <w:rsid w:val="00EF1864"/>
    <w:rsid w:val="00EF3841"/>
    <w:rsid w:val="00EF6196"/>
    <w:rsid w:val="00EF71D0"/>
    <w:rsid w:val="00F07DA2"/>
    <w:rsid w:val="00F07F87"/>
    <w:rsid w:val="00F13030"/>
    <w:rsid w:val="00F13FAE"/>
    <w:rsid w:val="00F145F9"/>
    <w:rsid w:val="00F14E84"/>
    <w:rsid w:val="00F159E3"/>
    <w:rsid w:val="00F15F34"/>
    <w:rsid w:val="00F16868"/>
    <w:rsid w:val="00F22CD3"/>
    <w:rsid w:val="00F259D4"/>
    <w:rsid w:val="00F338AC"/>
    <w:rsid w:val="00F35029"/>
    <w:rsid w:val="00F35346"/>
    <w:rsid w:val="00F37A3E"/>
    <w:rsid w:val="00F40135"/>
    <w:rsid w:val="00F40775"/>
    <w:rsid w:val="00F41E77"/>
    <w:rsid w:val="00F421BE"/>
    <w:rsid w:val="00F42688"/>
    <w:rsid w:val="00F4791D"/>
    <w:rsid w:val="00F538B6"/>
    <w:rsid w:val="00F547E0"/>
    <w:rsid w:val="00F54F32"/>
    <w:rsid w:val="00F56DF2"/>
    <w:rsid w:val="00F6078D"/>
    <w:rsid w:val="00F62510"/>
    <w:rsid w:val="00F64E17"/>
    <w:rsid w:val="00F740F0"/>
    <w:rsid w:val="00F742DD"/>
    <w:rsid w:val="00F74E6F"/>
    <w:rsid w:val="00F756FF"/>
    <w:rsid w:val="00F761EB"/>
    <w:rsid w:val="00F768F3"/>
    <w:rsid w:val="00F90494"/>
    <w:rsid w:val="00F90C06"/>
    <w:rsid w:val="00F94A24"/>
    <w:rsid w:val="00FA0EA6"/>
    <w:rsid w:val="00FA108E"/>
    <w:rsid w:val="00FA18D8"/>
    <w:rsid w:val="00FA2E12"/>
    <w:rsid w:val="00FA4C79"/>
    <w:rsid w:val="00FA514B"/>
    <w:rsid w:val="00FA65B3"/>
    <w:rsid w:val="00FB397E"/>
    <w:rsid w:val="00FB6BFA"/>
    <w:rsid w:val="00FB784D"/>
    <w:rsid w:val="00FC0CEB"/>
    <w:rsid w:val="00FC2F89"/>
    <w:rsid w:val="00FC504E"/>
    <w:rsid w:val="00FC559F"/>
    <w:rsid w:val="00FC7648"/>
    <w:rsid w:val="00FC7ACC"/>
    <w:rsid w:val="00FD44BE"/>
    <w:rsid w:val="00FD4737"/>
    <w:rsid w:val="00FD4D24"/>
    <w:rsid w:val="00FD5620"/>
    <w:rsid w:val="00FD63EA"/>
    <w:rsid w:val="00FD653D"/>
    <w:rsid w:val="00FD7B1D"/>
    <w:rsid w:val="00FD7FE6"/>
    <w:rsid w:val="00FE0B54"/>
    <w:rsid w:val="00FE54D7"/>
    <w:rsid w:val="00FF07EF"/>
    <w:rsid w:val="00FF2F8E"/>
    <w:rsid w:val="00FF3DBE"/>
    <w:rsid w:val="00FF4EF8"/>
    <w:rsid w:val="00FF5F9C"/>
    <w:rsid w:val="00FF7C3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D0F7603"/>
  <w15:docId w15:val="{7EE7414D-E178-4533-AE09-A6C080C1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F35"/>
    <w:rPr>
      <w:sz w:val="24"/>
      <w:szCs w:val="24"/>
    </w:rPr>
  </w:style>
  <w:style w:type="paragraph" w:styleId="Heading1">
    <w:name w:val="heading 1"/>
    <w:basedOn w:val="Title1"/>
    <w:next w:val="Normal"/>
    <w:link w:val="Heading1Char"/>
    <w:autoRedefine/>
    <w:uiPriority w:val="9"/>
    <w:qFormat/>
    <w:rsid w:val="001A4D18"/>
    <w:pPr>
      <w:keepNext/>
      <w:ind w:firstLine="6"/>
      <w:outlineLvl w:val="0"/>
    </w:pPr>
  </w:style>
  <w:style w:type="paragraph" w:styleId="Heading2">
    <w:name w:val="heading 2"/>
    <w:basedOn w:val="Subhead1"/>
    <w:next w:val="Normal"/>
    <w:link w:val="Heading2Char"/>
    <w:uiPriority w:val="9"/>
    <w:unhideWhenUsed/>
    <w:qFormat/>
    <w:rsid w:val="003D1721"/>
    <w:pPr>
      <w:outlineLvl w:val="1"/>
    </w:pPr>
  </w:style>
  <w:style w:type="paragraph" w:styleId="Heading3">
    <w:name w:val="heading 3"/>
    <w:basedOn w:val="Subhead2"/>
    <w:next w:val="Normal"/>
    <w:link w:val="Heading3Char"/>
    <w:uiPriority w:val="9"/>
    <w:unhideWhenUsed/>
    <w:qFormat/>
    <w:rsid w:val="000443D3"/>
    <w:pPr>
      <w:outlineLvl w:val="2"/>
    </w:pPr>
  </w:style>
  <w:style w:type="paragraph" w:styleId="Heading4">
    <w:name w:val="heading 4"/>
    <w:basedOn w:val="MinorSubhead1"/>
    <w:next w:val="Normal"/>
    <w:link w:val="Heading4Char"/>
    <w:uiPriority w:val="9"/>
    <w:unhideWhenUsed/>
    <w:qFormat/>
    <w:rsid w:val="005617B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4AD"/>
    <w:rPr>
      <w:rFonts w:ascii="Lucida Grande" w:hAnsi="Lucida Grande"/>
      <w:sz w:val="18"/>
      <w:szCs w:val="18"/>
    </w:rPr>
  </w:style>
  <w:style w:type="character" w:customStyle="1" w:styleId="BalloonTextChar">
    <w:name w:val="Balloon Text Char"/>
    <w:link w:val="BalloonText"/>
    <w:uiPriority w:val="99"/>
    <w:semiHidden/>
    <w:rsid w:val="000064AD"/>
    <w:rPr>
      <w:rFonts w:ascii="Lucida Grande" w:hAnsi="Lucida Grande"/>
      <w:sz w:val="18"/>
      <w:szCs w:val="18"/>
    </w:rPr>
  </w:style>
  <w:style w:type="paragraph" w:styleId="Header">
    <w:name w:val="header"/>
    <w:basedOn w:val="Normal"/>
    <w:link w:val="HeaderChar"/>
    <w:uiPriority w:val="99"/>
    <w:unhideWhenUsed/>
    <w:rsid w:val="000064AD"/>
    <w:pPr>
      <w:tabs>
        <w:tab w:val="center" w:pos="4320"/>
        <w:tab w:val="right" w:pos="8640"/>
      </w:tabs>
    </w:pPr>
  </w:style>
  <w:style w:type="character" w:customStyle="1" w:styleId="HeaderChar">
    <w:name w:val="Header Char"/>
    <w:basedOn w:val="DefaultParagraphFont"/>
    <w:link w:val="Header"/>
    <w:uiPriority w:val="99"/>
    <w:rsid w:val="000064AD"/>
  </w:style>
  <w:style w:type="paragraph" w:styleId="Footer">
    <w:name w:val="footer"/>
    <w:basedOn w:val="Normal"/>
    <w:link w:val="FooterChar"/>
    <w:uiPriority w:val="99"/>
    <w:unhideWhenUsed/>
    <w:rsid w:val="000064AD"/>
    <w:pPr>
      <w:tabs>
        <w:tab w:val="center" w:pos="4320"/>
        <w:tab w:val="right" w:pos="8640"/>
      </w:tabs>
    </w:pPr>
  </w:style>
  <w:style w:type="character" w:customStyle="1" w:styleId="FooterChar">
    <w:name w:val="Footer Char"/>
    <w:basedOn w:val="DefaultParagraphFont"/>
    <w:link w:val="Footer"/>
    <w:uiPriority w:val="99"/>
    <w:rsid w:val="000064AD"/>
  </w:style>
  <w:style w:type="character" w:styleId="PageNumber">
    <w:name w:val="page number"/>
    <w:uiPriority w:val="99"/>
    <w:semiHidden/>
    <w:unhideWhenUsed/>
    <w:rsid w:val="009A0A7C"/>
  </w:style>
  <w:style w:type="paragraph" w:customStyle="1" w:styleId="NoParagraphStyle">
    <w:name w:val="[No Paragraph Style]"/>
    <w:rsid w:val="00CF23C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2A0F8D"/>
  </w:style>
  <w:style w:type="paragraph" w:styleId="TOC1">
    <w:name w:val="toc 1"/>
    <w:next w:val="Body1"/>
    <w:autoRedefine/>
    <w:uiPriority w:val="39"/>
    <w:unhideWhenUsed/>
    <w:qFormat/>
    <w:rsid w:val="002F5BC3"/>
    <w:pPr>
      <w:tabs>
        <w:tab w:val="right" w:leader="dot" w:pos="7920"/>
      </w:tabs>
      <w:spacing w:before="120" w:after="120"/>
    </w:pPr>
    <w:rPr>
      <w:rFonts w:ascii="Times New Roman" w:hAnsi="Times New Roman"/>
      <w:color w:val="000000" w:themeColor="text1"/>
      <w:sz w:val="24"/>
      <w:szCs w:val="24"/>
    </w:rPr>
  </w:style>
  <w:style w:type="paragraph" w:styleId="TOC2">
    <w:name w:val="toc 2"/>
    <w:basedOn w:val="TOC1"/>
    <w:next w:val="Normal"/>
    <w:autoRedefine/>
    <w:uiPriority w:val="39"/>
    <w:unhideWhenUsed/>
    <w:rsid w:val="00F40775"/>
    <w:pPr>
      <w:numPr>
        <w:numId w:val="2"/>
      </w:numPr>
    </w:pPr>
    <w:rPr>
      <w:szCs w:val="22"/>
    </w:rPr>
  </w:style>
  <w:style w:type="paragraph" w:styleId="TOC3">
    <w:name w:val="toc 3"/>
    <w:basedOn w:val="Normal"/>
    <w:next w:val="Normal"/>
    <w:autoRedefine/>
    <w:uiPriority w:val="39"/>
    <w:unhideWhenUsed/>
    <w:rsid w:val="002A0F8D"/>
    <w:pPr>
      <w:ind w:left="480"/>
    </w:pPr>
    <w:rPr>
      <w:sz w:val="22"/>
      <w:szCs w:val="22"/>
    </w:rPr>
  </w:style>
  <w:style w:type="paragraph" w:styleId="TOC4">
    <w:name w:val="toc 4"/>
    <w:basedOn w:val="Normal"/>
    <w:next w:val="Normal"/>
    <w:autoRedefine/>
    <w:uiPriority w:val="39"/>
    <w:unhideWhenUsed/>
    <w:rsid w:val="002A0F8D"/>
    <w:pPr>
      <w:ind w:left="720"/>
    </w:pPr>
    <w:rPr>
      <w:sz w:val="20"/>
      <w:szCs w:val="20"/>
    </w:rPr>
  </w:style>
  <w:style w:type="paragraph" w:styleId="TOC5">
    <w:name w:val="toc 5"/>
    <w:basedOn w:val="Normal"/>
    <w:next w:val="Normal"/>
    <w:autoRedefine/>
    <w:uiPriority w:val="39"/>
    <w:unhideWhenUsed/>
    <w:rsid w:val="002A0F8D"/>
    <w:pPr>
      <w:ind w:left="960"/>
    </w:pPr>
    <w:rPr>
      <w:sz w:val="20"/>
      <w:szCs w:val="20"/>
    </w:rPr>
  </w:style>
  <w:style w:type="paragraph" w:styleId="TOC6">
    <w:name w:val="toc 6"/>
    <w:basedOn w:val="Normal"/>
    <w:next w:val="Normal"/>
    <w:autoRedefine/>
    <w:uiPriority w:val="39"/>
    <w:unhideWhenUsed/>
    <w:rsid w:val="002A0F8D"/>
    <w:pPr>
      <w:ind w:left="1200"/>
    </w:pPr>
    <w:rPr>
      <w:sz w:val="20"/>
      <w:szCs w:val="20"/>
    </w:rPr>
  </w:style>
  <w:style w:type="paragraph" w:styleId="TOC7">
    <w:name w:val="toc 7"/>
    <w:basedOn w:val="Normal"/>
    <w:next w:val="Normal"/>
    <w:autoRedefine/>
    <w:uiPriority w:val="39"/>
    <w:unhideWhenUsed/>
    <w:rsid w:val="002A0F8D"/>
    <w:pPr>
      <w:ind w:left="1440"/>
    </w:pPr>
    <w:rPr>
      <w:sz w:val="20"/>
      <w:szCs w:val="20"/>
    </w:rPr>
  </w:style>
  <w:style w:type="paragraph" w:styleId="TOC8">
    <w:name w:val="toc 8"/>
    <w:basedOn w:val="Normal"/>
    <w:next w:val="Normal"/>
    <w:autoRedefine/>
    <w:uiPriority w:val="39"/>
    <w:unhideWhenUsed/>
    <w:rsid w:val="002A0F8D"/>
    <w:pPr>
      <w:ind w:left="1680"/>
    </w:pPr>
    <w:rPr>
      <w:sz w:val="20"/>
      <w:szCs w:val="20"/>
    </w:rPr>
  </w:style>
  <w:style w:type="paragraph" w:styleId="TOC9">
    <w:name w:val="toc 9"/>
    <w:basedOn w:val="Normal"/>
    <w:next w:val="Normal"/>
    <w:autoRedefine/>
    <w:uiPriority w:val="39"/>
    <w:unhideWhenUsed/>
    <w:rsid w:val="002A0F8D"/>
    <w:pPr>
      <w:ind w:left="1920"/>
    </w:pPr>
    <w:rPr>
      <w:sz w:val="20"/>
      <w:szCs w:val="20"/>
    </w:rPr>
  </w:style>
  <w:style w:type="character" w:customStyle="1" w:styleId="Heading1Char">
    <w:name w:val="Heading 1 Char"/>
    <w:link w:val="Heading1"/>
    <w:uiPriority w:val="9"/>
    <w:rsid w:val="001A4D18"/>
    <w:rPr>
      <w:rFonts w:ascii="Arial" w:hAnsi="Arial"/>
      <w:b/>
      <w:color w:val="305197"/>
      <w:sz w:val="40"/>
      <w:szCs w:val="24"/>
    </w:rPr>
  </w:style>
  <w:style w:type="paragraph" w:styleId="TOCHeading">
    <w:name w:val="TOC Heading"/>
    <w:basedOn w:val="Heading1"/>
    <w:next w:val="Normal"/>
    <w:uiPriority w:val="39"/>
    <w:unhideWhenUsed/>
    <w:qFormat/>
    <w:rsid w:val="002A0F8D"/>
    <w:pPr>
      <w:keepLines/>
      <w:spacing w:before="480" w:after="0" w:line="276" w:lineRule="auto"/>
      <w:outlineLvl w:val="9"/>
    </w:pPr>
    <w:rPr>
      <w:color w:val="365F91"/>
      <w:sz w:val="28"/>
      <w:szCs w:val="28"/>
    </w:rPr>
  </w:style>
  <w:style w:type="paragraph" w:styleId="ListParagraph">
    <w:name w:val="List Paragraph"/>
    <w:aliases w:val="H1 List,H3 N"/>
    <w:basedOn w:val="Normal"/>
    <w:link w:val="ListParagraphChar"/>
    <w:uiPriority w:val="34"/>
    <w:qFormat/>
    <w:rsid w:val="00853316"/>
    <w:pPr>
      <w:ind w:left="720"/>
    </w:pPr>
  </w:style>
  <w:style w:type="character" w:customStyle="1" w:styleId="ListParagraphChar">
    <w:name w:val="List Paragraph Char"/>
    <w:aliases w:val="H1 List Char,H3 N Char"/>
    <w:basedOn w:val="DefaultParagraphFont"/>
    <w:link w:val="ListParagraph"/>
    <w:uiPriority w:val="34"/>
    <w:rsid w:val="007B77D5"/>
    <w:rPr>
      <w:sz w:val="24"/>
      <w:szCs w:val="24"/>
    </w:rPr>
  </w:style>
  <w:style w:type="paragraph" w:customStyle="1" w:styleId="Body1">
    <w:name w:val="Body 1"/>
    <w:rsid w:val="00946B7F"/>
    <w:pPr>
      <w:spacing w:line="276" w:lineRule="auto"/>
      <w:outlineLvl w:val="0"/>
    </w:pPr>
    <w:rPr>
      <w:rFonts w:ascii="Arial" w:eastAsia="Arial Unicode MS" w:hAnsi="Arial"/>
      <w:color w:val="000000"/>
      <w:sz w:val="22"/>
      <w:u w:color="000000"/>
    </w:rPr>
  </w:style>
  <w:style w:type="paragraph" w:styleId="Caption">
    <w:name w:val="caption"/>
    <w:basedOn w:val="Normal"/>
    <w:next w:val="Normal"/>
    <w:uiPriority w:val="35"/>
    <w:unhideWhenUsed/>
    <w:qFormat/>
    <w:rsid w:val="00342544"/>
    <w:pPr>
      <w:spacing w:after="200"/>
    </w:pPr>
    <w:rPr>
      <w:rFonts w:ascii="Arial" w:eastAsia="Perpetua" w:hAnsi="Arial" w:cs="Arial"/>
      <w:b/>
      <w:bCs/>
      <w:color w:val="4F81BD"/>
      <w:sz w:val="18"/>
      <w:szCs w:val="18"/>
    </w:rPr>
  </w:style>
  <w:style w:type="paragraph" w:styleId="FootnoteText">
    <w:name w:val="footnote text"/>
    <w:basedOn w:val="Normal"/>
    <w:link w:val="FootnoteTextChar"/>
    <w:uiPriority w:val="99"/>
    <w:semiHidden/>
    <w:unhideWhenUsed/>
    <w:rsid w:val="00931A12"/>
    <w:rPr>
      <w:rFonts w:ascii="Arial" w:eastAsia="Perpetua" w:hAnsi="Arial" w:cs="Arial"/>
      <w:sz w:val="20"/>
      <w:szCs w:val="20"/>
    </w:rPr>
  </w:style>
  <w:style w:type="character" w:customStyle="1" w:styleId="FootnoteTextChar">
    <w:name w:val="Footnote Text Char"/>
    <w:basedOn w:val="DefaultParagraphFont"/>
    <w:link w:val="FootnoteText"/>
    <w:uiPriority w:val="99"/>
    <w:semiHidden/>
    <w:rsid w:val="00931A12"/>
    <w:rPr>
      <w:rFonts w:ascii="Arial" w:eastAsia="Perpetua" w:hAnsi="Arial" w:cs="Arial"/>
    </w:rPr>
  </w:style>
  <w:style w:type="character" w:styleId="FootnoteReference">
    <w:name w:val="footnote reference"/>
    <w:uiPriority w:val="99"/>
    <w:semiHidden/>
    <w:unhideWhenUsed/>
    <w:rsid w:val="00931A12"/>
    <w:rPr>
      <w:vertAlign w:val="superscript"/>
    </w:rPr>
  </w:style>
  <w:style w:type="character" w:styleId="Emphasis">
    <w:name w:val="Emphasis"/>
    <w:basedOn w:val="DefaultParagraphFont"/>
    <w:uiPriority w:val="20"/>
    <w:qFormat/>
    <w:rsid w:val="00AA4A57"/>
    <w:rPr>
      <w:i/>
      <w:iCs/>
    </w:rPr>
  </w:style>
  <w:style w:type="character" w:styleId="CommentReference">
    <w:name w:val="annotation reference"/>
    <w:basedOn w:val="DefaultParagraphFont"/>
    <w:uiPriority w:val="99"/>
    <w:semiHidden/>
    <w:unhideWhenUsed/>
    <w:rsid w:val="00AA4A57"/>
    <w:rPr>
      <w:sz w:val="16"/>
      <w:szCs w:val="16"/>
    </w:rPr>
  </w:style>
  <w:style w:type="paragraph" w:styleId="CommentText">
    <w:name w:val="annotation text"/>
    <w:basedOn w:val="Normal"/>
    <w:link w:val="CommentTextChar"/>
    <w:uiPriority w:val="99"/>
    <w:unhideWhenUsed/>
    <w:rsid w:val="00AA4A57"/>
    <w:rPr>
      <w:sz w:val="20"/>
      <w:szCs w:val="20"/>
    </w:rPr>
  </w:style>
  <w:style w:type="character" w:customStyle="1" w:styleId="CommentTextChar">
    <w:name w:val="Comment Text Char"/>
    <w:basedOn w:val="DefaultParagraphFont"/>
    <w:link w:val="CommentText"/>
    <w:uiPriority w:val="99"/>
    <w:rsid w:val="00AA4A57"/>
  </w:style>
  <w:style w:type="paragraph" w:styleId="CommentSubject">
    <w:name w:val="annotation subject"/>
    <w:basedOn w:val="CommentText"/>
    <w:next w:val="CommentText"/>
    <w:link w:val="CommentSubjectChar"/>
    <w:uiPriority w:val="99"/>
    <w:semiHidden/>
    <w:unhideWhenUsed/>
    <w:rsid w:val="00AA4A57"/>
    <w:rPr>
      <w:b/>
      <w:bCs/>
    </w:rPr>
  </w:style>
  <w:style w:type="character" w:customStyle="1" w:styleId="CommentSubjectChar">
    <w:name w:val="Comment Subject Char"/>
    <w:basedOn w:val="CommentTextChar"/>
    <w:link w:val="CommentSubject"/>
    <w:uiPriority w:val="99"/>
    <w:semiHidden/>
    <w:rsid w:val="00AA4A57"/>
    <w:rPr>
      <w:b/>
      <w:bCs/>
    </w:rPr>
  </w:style>
  <w:style w:type="table" w:customStyle="1" w:styleId="TableGrid2">
    <w:name w:val="Table Grid2"/>
    <w:basedOn w:val="TableNormal"/>
    <w:next w:val="TableGrid"/>
    <w:uiPriority w:val="59"/>
    <w:rsid w:val="00A064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06C5F"/>
    <w:rPr>
      <w:rFonts w:cs="Times New Roman"/>
      <w:color w:val="0000FF"/>
      <w:u w:val="single"/>
    </w:rPr>
  </w:style>
  <w:style w:type="paragraph" w:styleId="NormalWeb">
    <w:name w:val="Normal (Web)"/>
    <w:basedOn w:val="Normal"/>
    <w:uiPriority w:val="99"/>
    <w:rsid w:val="0022172C"/>
    <w:pPr>
      <w:spacing w:before="100" w:beforeAutospacing="1" w:after="100" w:afterAutospacing="1"/>
    </w:pPr>
    <w:rPr>
      <w:rFonts w:ascii="Arial" w:eastAsia="Times New Roman" w:hAnsi="Arial" w:cs="Arial"/>
      <w:sz w:val="22"/>
      <w:szCs w:val="22"/>
    </w:rPr>
  </w:style>
  <w:style w:type="character" w:customStyle="1" w:styleId="defaultchar">
    <w:name w:val="default__char"/>
    <w:rsid w:val="0022172C"/>
  </w:style>
  <w:style w:type="paragraph" w:customStyle="1" w:styleId="bodytext">
    <w:name w:val="bodytext"/>
    <w:basedOn w:val="Normal"/>
    <w:uiPriority w:val="99"/>
    <w:rsid w:val="0022172C"/>
    <w:pPr>
      <w:spacing w:before="100" w:beforeAutospacing="1" w:after="100" w:afterAutospacing="1"/>
    </w:pPr>
    <w:rPr>
      <w:rFonts w:ascii="Helvetica" w:eastAsia="Perpetua" w:hAnsi="Helvetica"/>
      <w:color w:val="000000"/>
      <w:sz w:val="20"/>
      <w:szCs w:val="20"/>
    </w:rPr>
  </w:style>
  <w:style w:type="paragraph" w:styleId="BodyText0">
    <w:name w:val="Body Text"/>
    <w:basedOn w:val="Normal"/>
    <w:link w:val="BodyTextChar"/>
    <w:autoRedefine/>
    <w:uiPriority w:val="1"/>
    <w:qFormat/>
    <w:rsid w:val="00402AD8"/>
    <w:pPr>
      <w:widowControl w:val="0"/>
      <w:spacing w:before="100" w:beforeAutospacing="1" w:after="100" w:afterAutospacing="1"/>
    </w:pPr>
    <w:rPr>
      <w:rFonts w:ascii="Times New Roman" w:eastAsia="Times New Roman" w:hAnsi="Times New Roman"/>
    </w:rPr>
  </w:style>
  <w:style w:type="character" w:customStyle="1" w:styleId="BodyTextChar">
    <w:name w:val="Body Text Char"/>
    <w:basedOn w:val="DefaultParagraphFont"/>
    <w:link w:val="BodyText0"/>
    <w:uiPriority w:val="1"/>
    <w:rsid w:val="00402AD8"/>
    <w:rPr>
      <w:rFonts w:ascii="Times New Roman" w:eastAsia="Times New Roman" w:hAnsi="Times New Roman"/>
      <w:sz w:val="24"/>
      <w:szCs w:val="24"/>
    </w:rPr>
  </w:style>
  <w:style w:type="paragraph" w:styleId="Revision">
    <w:name w:val="Revision"/>
    <w:hidden/>
    <w:uiPriority w:val="99"/>
    <w:semiHidden/>
    <w:rsid w:val="009E65DC"/>
    <w:rPr>
      <w:sz w:val="24"/>
      <w:szCs w:val="24"/>
    </w:rPr>
  </w:style>
  <w:style w:type="character" w:styleId="FollowedHyperlink">
    <w:name w:val="FollowedHyperlink"/>
    <w:basedOn w:val="DefaultParagraphFont"/>
    <w:uiPriority w:val="99"/>
    <w:semiHidden/>
    <w:unhideWhenUsed/>
    <w:rsid w:val="008B3509"/>
    <w:rPr>
      <w:color w:val="800080" w:themeColor="followedHyperlink"/>
      <w:u w:val="single"/>
    </w:rPr>
  </w:style>
  <w:style w:type="paragraph" w:customStyle="1" w:styleId="TableParagraph">
    <w:name w:val="Table Paragraph"/>
    <w:basedOn w:val="Normal"/>
    <w:uiPriority w:val="1"/>
    <w:qFormat/>
    <w:rsid w:val="008520BB"/>
    <w:pPr>
      <w:widowControl w:val="0"/>
    </w:pPr>
    <w:rPr>
      <w:rFonts w:asciiTheme="minorHAnsi" w:eastAsiaTheme="minorHAnsi" w:hAnsiTheme="minorHAnsi" w:cstheme="minorBidi"/>
      <w:sz w:val="22"/>
      <w:szCs w:val="22"/>
    </w:rPr>
  </w:style>
  <w:style w:type="paragraph" w:customStyle="1" w:styleId="Title1">
    <w:name w:val="Title1"/>
    <w:next w:val="NoParagraphStyle"/>
    <w:qFormat/>
    <w:rsid w:val="002E755C"/>
    <w:pPr>
      <w:pBdr>
        <w:bottom w:val="single" w:sz="12" w:space="4" w:color="305197"/>
      </w:pBdr>
      <w:spacing w:after="360"/>
    </w:pPr>
    <w:rPr>
      <w:rFonts w:ascii="Arial" w:hAnsi="Arial"/>
      <w:b/>
      <w:color w:val="305197"/>
      <w:sz w:val="40"/>
      <w:szCs w:val="24"/>
    </w:rPr>
  </w:style>
  <w:style w:type="paragraph" w:customStyle="1" w:styleId="Subhead1">
    <w:name w:val="Subhead 1"/>
    <w:qFormat/>
    <w:rsid w:val="002E755C"/>
    <w:pPr>
      <w:pBdr>
        <w:bottom w:val="single" w:sz="4" w:space="1" w:color="497AE4"/>
      </w:pBdr>
      <w:spacing w:after="120"/>
    </w:pPr>
    <w:rPr>
      <w:rFonts w:ascii="Times New Roman" w:hAnsi="Times New Roman"/>
      <w:b/>
      <w:sz w:val="32"/>
      <w:szCs w:val="32"/>
    </w:rPr>
  </w:style>
  <w:style w:type="paragraph" w:customStyle="1" w:styleId="Subhead2">
    <w:name w:val="Subhead 2"/>
    <w:next w:val="NoParagraphStyle"/>
    <w:autoRedefine/>
    <w:qFormat/>
    <w:rsid w:val="000443D3"/>
    <w:pPr>
      <w:spacing w:before="100" w:beforeAutospacing="1" w:after="100" w:afterAutospacing="1"/>
    </w:pPr>
    <w:rPr>
      <w:rFonts w:ascii="Times New Roman" w:eastAsia="Times New Roman" w:hAnsi="Times New Roman"/>
      <w:b/>
      <w:color w:val="497AE4"/>
      <w:sz w:val="28"/>
      <w:szCs w:val="28"/>
    </w:rPr>
  </w:style>
  <w:style w:type="paragraph" w:customStyle="1" w:styleId="MinorSubhead1">
    <w:name w:val="Minor Subhead 1"/>
    <w:next w:val="NoParagraphStyle"/>
    <w:qFormat/>
    <w:rsid w:val="0099611A"/>
    <w:pPr>
      <w:spacing w:before="5"/>
    </w:pPr>
    <w:rPr>
      <w:rFonts w:ascii="Times New Roman" w:eastAsia="Times New Roman" w:hAnsi="Times New Roman"/>
      <w:sz w:val="28"/>
      <w:szCs w:val="28"/>
    </w:rPr>
  </w:style>
  <w:style w:type="paragraph" w:customStyle="1" w:styleId="bulletlvl1">
    <w:name w:val="bullet lvl 1"/>
    <w:next w:val="NoParagraphStyle"/>
    <w:qFormat/>
    <w:rsid w:val="00F40775"/>
    <w:pPr>
      <w:widowControl w:val="0"/>
      <w:numPr>
        <w:numId w:val="1"/>
      </w:numPr>
      <w:spacing w:before="5"/>
    </w:pPr>
    <w:rPr>
      <w:rFonts w:ascii="Times New Roman" w:eastAsia="Times New Roman" w:hAnsi="Times New Roman"/>
      <w:sz w:val="24"/>
      <w:szCs w:val="24"/>
    </w:rPr>
  </w:style>
  <w:style w:type="paragraph" w:customStyle="1" w:styleId="bulletlvl2">
    <w:name w:val="bullet lvl 2"/>
    <w:basedOn w:val="bulletlvl1"/>
    <w:next w:val="NoParagraphStyle"/>
    <w:qFormat/>
    <w:rsid w:val="00F40775"/>
    <w:pPr>
      <w:numPr>
        <w:ilvl w:val="1"/>
      </w:numPr>
    </w:pPr>
  </w:style>
  <w:style w:type="character" w:customStyle="1" w:styleId="Heading2Char">
    <w:name w:val="Heading 2 Char"/>
    <w:basedOn w:val="DefaultParagraphFont"/>
    <w:link w:val="Heading2"/>
    <w:uiPriority w:val="9"/>
    <w:rsid w:val="003D1721"/>
    <w:rPr>
      <w:rFonts w:ascii="Times New Roman" w:hAnsi="Times New Roman"/>
      <w:b/>
      <w:sz w:val="32"/>
      <w:szCs w:val="32"/>
    </w:rPr>
  </w:style>
  <w:style w:type="character" w:customStyle="1" w:styleId="Heading3Char">
    <w:name w:val="Heading 3 Char"/>
    <w:basedOn w:val="DefaultParagraphFont"/>
    <w:link w:val="Heading3"/>
    <w:uiPriority w:val="9"/>
    <w:rsid w:val="000443D3"/>
    <w:rPr>
      <w:rFonts w:ascii="Times New Roman" w:eastAsia="Times New Roman" w:hAnsi="Times New Roman"/>
      <w:b/>
      <w:color w:val="497AE4"/>
      <w:sz w:val="28"/>
      <w:szCs w:val="28"/>
    </w:rPr>
  </w:style>
  <w:style w:type="paragraph" w:styleId="Title">
    <w:name w:val="Title"/>
    <w:basedOn w:val="Normal"/>
    <w:next w:val="Normal"/>
    <w:link w:val="TitleChar"/>
    <w:uiPriority w:val="10"/>
    <w:rsid w:val="005617BC"/>
    <w:rPr>
      <w:color w:val="18284B"/>
      <w:sz w:val="100"/>
      <w:szCs w:val="100"/>
    </w:rPr>
  </w:style>
  <w:style w:type="character" w:customStyle="1" w:styleId="TitleChar">
    <w:name w:val="Title Char"/>
    <w:basedOn w:val="DefaultParagraphFont"/>
    <w:link w:val="Title"/>
    <w:uiPriority w:val="10"/>
    <w:rsid w:val="005617BC"/>
    <w:rPr>
      <w:color w:val="18284B"/>
      <w:sz w:val="100"/>
      <w:szCs w:val="100"/>
    </w:rPr>
  </w:style>
  <w:style w:type="character" w:customStyle="1" w:styleId="Heading4Char">
    <w:name w:val="Heading 4 Char"/>
    <w:basedOn w:val="DefaultParagraphFont"/>
    <w:link w:val="Heading4"/>
    <w:uiPriority w:val="9"/>
    <w:rsid w:val="005617BC"/>
    <w:rPr>
      <w:rFonts w:ascii="Times New Roman" w:eastAsia="Times New Roman" w:hAnsi="Times New Roman"/>
      <w:sz w:val="28"/>
      <w:szCs w:val="28"/>
    </w:rPr>
  </w:style>
  <w:style w:type="table" w:styleId="PlainTable5">
    <w:name w:val="Plain Table 5"/>
    <w:basedOn w:val="TableNormal"/>
    <w:uiPriority w:val="45"/>
    <w:rsid w:val="00F761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761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0B1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image" Target="media/image3.jpeg" /><Relationship Id="rId14" Type="http://schemas.openxmlformats.org/officeDocument/2006/relationships/hyperlink" Target="mailto:ONESData@ncua.gov" TargetMode="Externa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documents\templates\Central%20Office%20Documents\Blank%20Report%20Template%2050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8086F8AC51F542A0100F1C6B37E4E3" ma:contentTypeVersion="2" ma:contentTypeDescription="Create a new document." ma:contentTypeScope="" ma:versionID="b059fc7c5580dfbc94ea401f9dc4a8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625C3-51FF-41F0-BA13-C4F651950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ACB962-2C32-492C-87E3-D0E6A04A8041}">
  <ds:schemaRefs>
    <ds:schemaRef ds:uri="http://schemas.microsoft.com/sharepoint/v3/contenttype/forms"/>
  </ds:schemaRefs>
</ds:datastoreItem>
</file>

<file path=customXml/itemProps3.xml><?xml version="1.0" encoding="utf-8"?>
<ds:datastoreItem xmlns:ds="http://schemas.openxmlformats.org/officeDocument/2006/customXml" ds:itemID="{D6B519C9-D380-4CF8-972C-AD3BEDF254AF}">
  <ds:schemaRefs>
    <ds:schemaRef ds:uri="http://schemas.openxmlformats.org/officeDocument/2006/bibliography"/>
  </ds:schemaRefs>
</ds:datastoreItem>
</file>

<file path=customXml/itemProps4.xml><?xml version="1.0" encoding="utf-8"?>
<ds:datastoreItem xmlns:ds="http://schemas.openxmlformats.org/officeDocument/2006/customXml" ds:itemID="{4D676844-AD92-4505-A96F-879D80D11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Report Template 508</Template>
  <TotalTime>0</TotalTime>
  <Pages>9</Pages>
  <Words>1730</Words>
  <Characters>9766</Characters>
  <Application>Microsoft Office Word</Application>
  <DocSecurity>0</DocSecurity>
  <Lines>310</Lines>
  <Paragraphs>154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NCUA Report</dc:subject>
  <dc:creator>Kuhns, Ryan N</dc:creator>
  <cp:keywords>NCUA, Report</cp:keywords>
  <cp:lastModifiedBy>Kuhns, Ryan N</cp:lastModifiedBy>
  <cp:revision>2</cp:revision>
  <cp:lastPrinted>2017-12-13T01:25:00Z</cp:lastPrinted>
  <dcterms:created xsi:type="dcterms:W3CDTF">2024-01-08T14:55:00Z</dcterms:created>
  <dcterms:modified xsi:type="dcterms:W3CDTF">2024-01-08T14:55:00Z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0x010100EF8086F8AC51F542A0100F1C6B37E4E3</vt:lpwstr>
  </property>
  <property fmtid="{D5CDD505-2E9C-101B-9397-08002B2CF9AE}" pid="3" name="GrammarlyDocumentId">
    <vt:lpwstr>7d8ee2e0570dd9afdbb06f7332eaaa414ac6d288818b22bc21e88ba92d158f13</vt:lpwstr>
  </property>
</Properties>
</file>