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030B" w:rsidRPr="00417B03" w:rsidP="009C01A7" w14:paraId="527653E9" w14:textId="20FF343D">
      <w:pPr>
        <w:pStyle w:val="Heading1-IPR"/>
      </w:pPr>
      <w:r w:rsidRPr="00417B03">
        <w:t>Appendix F</w:t>
      </w:r>
      <w:r w:rsidRPr="00417B03">
        <w:t>.</w:t>
      </w:r>
      <w:r w:rsidRPr="00417B03" w:rsidR="00094900">
        <w:t>1</w:t>
      </w:r>
      <w:r w:rsidRPr="00417B03" w:rsidR="006D45A4">
        <w:t>9</w:t>
      </w:r>
      <w:r w:rsidRPr="00417B03">
        <w:t xml:space="preserve">. Advance Material for Second </w:t>
      </w:r>
      <w:r w:rsidRPr="00417B03" w:rsidR="009C01A7">
        <w:t xml:space="preserve">Concept Mapping </w:t>
      </w:r>
      <w:r w:rsidRPr="00417B03">
        <w:t>Meeting</w:t>
      </w:r>
      <w:r w:rsidRPr="00417B03" w:rsidR="00ED317D">
        <w:t xml:space="preserve"> in Spanish</w:t>
      </w:r>
    </w:p>
    <w:p w:rsidR="00782214" w:rsidRPr="00417B03" w:rsidP="007D030B" w14:paraId="2BE1DFA7" w14:textId="7AF20ED3">
      <w:pPr>
        <w:jc w:val="center"/>
        <w:rPr>
          <w:b/>
          <w:bCs/>
          <w:lang w:val="es-ES"/>
        </w:rPr>
      </w:pPr>
      <w:r w:rsidRPr="00417B03">
        <w:rPr>
          <w:b/>
          <w:bCs/>
          <w:lang w:val="es-ES"/>
        </w:rPr>
        <w:t>Visualización</w:t>
      </w:r>
      <w:r w:rsidRPr="00417B03" w:rsidR="00552C86">
        <w:rPr>
          <w:b/>
          <w:bCs/>
          <w:lang w:val="es-ES"/>
        </w:rPr>
        <w:t xml:space="preserve"> de Datos Resultan</w:t>
      </w:r>
      <w:r w:rsidRPr="00417B03" w:rsidR="00C455E1">
        <w:rPr>
          <w:b/>
          <w:bCs/>
          <w:lang w:val="es-ES"/>
        </w:rPr>
        <w:t>t</w:t>
      </w:r>
      <w:r w:rsidRPr="00417B03" w:rsidR="00F63B0A">
        <w:rPr>
          <w:b/>
          <w:bCs/>
          <w:lang w:val="es-ES"/>
        </w:rPr>
        <w:t>e</w:t>
      </w:r>
      <w:r w:rsidRPr="00417B03" w:rsidR="00552C86">
        <w:rPr>
          <w:b/>
          <w:bCs/>
          <w:lang w:val="es-ES"/>
        </w:rPr>
        <w:t xml:space="preserve"> de las Actividades de</w:t>
      </w:r>
      <w:r w:rsidRPr="00417B03">
        <w:rPr>
          <w:b/>
          <w:bCs/>
          <w:lang w:val="es-ES"/>
        </w:rPr>
        <w:t>l</w:t>
      </w:r>
      <w:r w:rsidRPr="00417B03" w:rsidR="00552C86">
        <w:rPr>
          <w:b/>
          <w:bCs/>
          <w:lang w:val="es-ES"/>
        </w:rPr>
        <w:t xml:space="preserve"> </w:t>
      </w:r>
      <w:r w:rsidRPr="00417B03">
        <w:rPr>
          <w:b/>
          <w:bCs/>
          <w:lang w:val="es-ES"/>
        </w:rPr>
        <w:t>Map</w:t>
      </w:r>
      <w:r w:rsidR="00C96A93">
        <w:rPr>
          <w:b/>
          <w:bCs/>
          <w:lang w:val="es-ES"/>
        </w:rPr>
        <w:t xml:space="preserve">eo Conceptual Colectivo </w:t>
      </w:r>
      <w:r w:rsidRPr="00417B03">
        <w:rPr>
          <w:b/>
          <w:bCs/>
          <w:lang w:val="es-ES"/>
        </w:rPr>
        <w:t xml:space="preserve">con las Partes Interesadas: Prioridades Políticas </w:t>
      </w:r>
      <w:r w:rsidRPr="00417B03" w:rsidR="00283342">
        <w:rPr>
          <w:b/>
          <w:bCs/>
          <w:lang w:val="es-ES"/>
        </w:rPr>
        <w:t>para Influir en</w:t>
      </w:r>
      <w:r w:rsidRPr="00417B03">
        <w:rPr>
          <w:b/>
          <w:bCs/>
          <w:lang w:val="es-ES"/>
        </w:rPr>
        <w:t xml:space="preserve"> la Seguridad Alimentaria en Puerto Rico</w:t>
      </w:r>
    </w:p>
    <w:p w:rsidR="00782214" w:rsidRPr="00417B03" w:rsidP="00782214" w14:paraId="03807A26" w14:textId="31E576E2">
      <w:pPr>
        <w:rPr>
          <w:lang w:val="es-ES"/>
        </w:rPr>
      </w:pPr>
      <w:r w:rsidRPr="00417B03">
        <w:rPr>
          <w:lang w:val="es-ES"/>
        </w:rPr>
        <w:t xml:space="preserve">Gracias por </w:t>
      </w:r>
      <w:r w:rsidRPr="00417B03" w:rsidR="002E5B0C">
        <w:rPr>
          <w:lang w:val="es-ES"/>
        </w:rPr>
        <w:t>el</w:t>
      </w:r>
      <w:r w:rsidRPr="00417B03">
        <w:rPr>
          <w:lang w:val="es-ES"/>
        </w:rPr>
        <w:t xml:space="preserve"> tiempo y esfuerzo que </w:t>
      </w:r>
      <w:r w:rsidRPr="00417B03" w:rsidR="002E5B0C">
        <w:rPr>
          <w:lang w:val="es-ES"/>
        </w:rPr>
        <w:t>han dedicado</w:t>
      </w:r>
      <w:r w:rsidRPr="00417B03">
        <w:rPr>
          <w:lang w:val="es-ES"/>
        </w:rPr>
        <w:t xml:space="preserve"> </w:t>
      </w:r>
      <w:r w:rsidRPr="00417B03" w:rsidR="00414184">
        <w:rPr>
          <w:lang w:val="es-ES"/>
        </w:rPr>
        <w:t>al mapa conceptual sobre las políticas y pr</w:t>
      </w:r>
      <w:r w:rsidRPr="00417B03" w:rsidR="002E5B0C">
        <w:rPr>
          <w:lang w:val="es-ES"/>
        </w:rPr>
        <w:t>á</w:t>
      </w:r>
      <w:r w:rsidRPr="00417B03" w:rsidR="00414184">
        <w:rPr>
          <w:lang w:val="es-ES"/>
        </w:rPr>
        <w:t xml:space="preserve">cticas que </w:t>
      </w:r>
      <w:r w:rsidRPr="00417B03" w:rsidR="00787D6B">
        <w:rPr>
          <w:lang w:val="es-ES"/>
        </w:rPr>
        <w:t>pueden influir en</w:t>
      </w:r>
      <w:r w:rsidRPr="00417B03" w:rsidR="00414184">
        <w:rPr>
          <w:lang w:val="es-ES"/>
        </w:rPr>
        <w:t xml:space="preserve"> la seguridad alimentaria de Puerto Rico. </w:t>
      </w:r>
      <w:r w:rsidRPr="00417B03" w:rsidR="00D0670E">
        <w:rPr>
          <w:lang w:val="es-ES"/>
        </w:rPr>
        <w:t>Este informe incluye</w:t>
      </w:r>
      <w:r w:rsidRPr="00417B03" w:rsidR="000D303B">
        <w:rPr>
          <w:lang w:val="es-ES"/>
        </w:rPr>
        <w:t xml:space="preserve"> una serie de visualizaciones de datos que resultaron de</w:t>
      </w:r>
      <w:r w:rsidRPr="00417B03" w:rsidR="00E84A36">
        <w:rPr>
          <w:lang w:val="es-ES"/>
        </w:rPr>
        <w:t xml:space="preserve"> las actividades de i</w:t>
      </w:r>
      <w:r w:rsidRPr="00417B03" w:rsidR="000D303B">
        <w:rPr>
          <w:lang w:val="es-ES"/>
        </w:rPr>
        <w:t xml:space="preserve">ntercambio de ideas, </w:t>
      </w:r>
      <w:r w:rsidRPr="00417B03" w:rsidR="00E84A36">
        <w:rPr>
          <w:lang w:val="es-ES"/>
        </w:rPr>
        <w:t>ordenación, y c</w:t>
      </w:r>
      <w:r w:rsidRPr="00417B03" w:rsidR="00787D6B">
        <w:rPr>
          <w:lang w:val="es-ES"/>
        </w:rPr>
        <w:t>lasificación</w:t>
      </w:r>
      <w:r w:rsidRPr="00417B03" w:rsidR="00383D5B">
        <w:rPr>
          <w:lang w:val="es-ES"/>
        </w:rPr>
        <w:t xml:space="preserve">. </w:t>
      </w:r>
      <w:r w:rsidRPr="00417B03" w:rsidR="007D5FC6">
        <w:rPr>
          <w:lang w:val="es-ES"/>
        </w:rPr>
        <w:t xml:space="preserve">Por favor repase esta información </w:t>
      </w:r>
      <w:r w:rsidRPr="00417B03" w:rsidR="00210B1D">
        <w:rPr>
          <w:lang w:val="es-ES"/>
        </w:rPr>
        <w:t xml:space="preserve">antes de nuestra próxima </w:t>
      </w:r>
      <w:r w:rsidRPr="00417B03" w:rsidR="00410D78">
        <w:rPr>
          <w:lang w:val="es-ES"/>
        </w:rPr>
        <w:t>reunión</w:t>
      </w:r>
      <w:r w:rsidRPr="00417B03" w:rsidR="00210B1D">
        <w:rPr>
          <w:lang w:val="es-ES"/>
        </w:rPr>
        <w:t xml:space="preserve"> de partes interesadas programada para [</w:t>
      </w:r>
      <w:r w:rsidRPr="00417B03" w:rsidR="00410D78">
        <w:rPr>
          <w:lang w:val="es-ES"/>
        </w:rPr>
        <w:t>FECHA</w:t>
      </w:r>
      <w:r w:rsidRPr="00417B03" w:rsidR="00210B1D">
        <w:rPr>
          <w:lang w:val="es-ES"/>
        </w:rPr>
        <w:t>]</w:t>
      </w:r>
      <w:r w:rsidRPr="00417B03" w:rsidR="00410D78">
        <w:rPr>
          <w:lang w:val="es-ES"/>
        </w:rPr>
        <w:t xml:space="preserve"> y prepárese para compartir comentarios sobre los resultados. </w:t>
      </w:r>
    </w:p>
    <w:p w:rsidR="00410D78" w:rsidRPr="00417B03" w:rsidP="00782214" w14:paraId="0ADCBDC5" w14:textId="58CD6798">
      <w:pPr>
        <w:rPr>
          <w:lang w:val="es-ES"/>
        </w:rPr>
      </w:pPr>
      <w:r w:rsidRPr="00417B03">
        <w:rPr>
          <w:lang w:val="es-ES"/>
        </w:rPr>
        <w:t xml:space="preserve">Durante la </w:t>
      </w:r>
      <w:r w:rsidRPr="00417B03" w:rsidR="003467C1">
        <w:rPr>
          <w:lang w:val="es-ES"/>
        </w:rPr>
        <w:t>reunión</w:t>
      </w:r>
      <w:r w:rsidRPr="00417B03">
        <w:rPr>
          <w:lang w:val="es-ES"/>
        </w:rPr>
        <w:t xml:space="preserve">, le </w:t>
      </w:r>
      <w:r w:rsidRPr="00417B03" w:rsidR="003467C1">
        <w:rPr>
          <w:lang w:val="es-ES"/>
        </w:rPr>
        <w:t>pediremos</w:t>
      </w:r>
      <w:r w:rsidRPr="00417B03">
        <w:rPr>
          <w:lang w:val="es-ES"/>
        </w:rPr>
        <w:t xml:space="preserve"> que participe en discusiones </w:t>
      </w:r>
      <w:r w:rsidRPr="00417B03" w:rsidR="003467C1">
        <w:rPr>
          <w:lang w:val="es-ES"/>
        </w:rPr>
        <w:t xml:space="preserve">de </w:t>
      </w:r>
      <w:r w:rsidRPr="00417B03" w:rsidR="003F731A">
        <w:rPr>
          <w:lang w:val="es-ES"/>
        </w:rPr>
        <w:t>las siguientes preguntas</w:t>
      </w:r>
      <w:r w:rsidRPr="00417B03" w:rsidR="003467C1">
        <w:rPr>
          <w:lang w:val="es-ES"/>
        </w:rPr>
        <w:t xml:space="preserve">: </w:t>
      </w:r>
    </w:p>
    <w:p w:rsidR="003467C1" w:rsidRPr="00417B03" w:rsidP="004B1AF8" w14:paraId="799729F5" w14:textId="5E6C23C9">
      <w:pPr>
        <w:pStyle w:val="NumbersRed-IPR"/>
        <w:numPr>
          <w:ilvl w:val="0"/>
          <w:numId w:val="31"/>
        </w:numPr>
        <w:rPr>
          <w:lang w:val="es-ES"/>
        </w:rPr>
      </w:pPr>
      <w:r w:rsidRPr="00417B03">
        <w:rPr>
          <w:lang w:val="es-ES"/>
        </w:rPr>
        <w:t>¿Representan</w:t>
      </w:r>
      <w:r w:rsidRPr="00417B03" w:rsidR="009C22B1">
        <w:rPr>
          <w:lang w:val="es-ES"/>
        </w:rPr>
        <w:t xml:space="preserve"> </w:t>
      </w:r>
      <w:r w:rsidRPr="00417B03">
        <w:rPr>
          <w:lang w:val="es-ES"/>
        </w:rPr>
        <w:t xml:space="preserve">las agrupaciones </w:t>
      </w:r>
      <w:r w:rsidRPr="00417B03" w:rsidR="006B2473">
        <w:rPr>
          <w:lang w:val="es-ES"/>
        </w:rPr>
        <w:t xml:space="preserve">una </w:t>
      </w:r>
      <w:r w:rsidRPr="00417B03" w:rsidR="009C22B1">
        <w:rPr>
          <w:lang w:val="es-ES"/>
        </w:rPr>
        <w:t>imag</w:t>
      </w:r>
      <w:r w:rsidRPr="00417B03">
        <w:rPr>
          <w:lang w:val="es-ES"/>
        </w:rPr>
        <w:t>en</w:t>
      </w:r>
      <w:r w:rsidRPr="00417B03" w:rsidR="009C22B1">
        <w:rPr>
          <w:lang w:val="es-ES"/>
        </w:rPr>
        <w:t xml:space="preserve"> complet</w:t>
      </w:r>
      <w:r w:rsidRPr="00417B03">
        <w:rPr>
          <w:lang w:val="es-ES"/>
        </w:rPr>
        <w:t>a</w:t>
      </w:r>
      <w:r w:rsidRPr="00417B03" w:rsidR="009C22B1">
        <w:rPr>
          <w:lang w:val="es-ES"/>
        </w:rPr>
        <w:t xml:space="preserve"> de</w:t>
      </w:r>
      <w:r w:rsidRPr="00417B03" w:rsidR="00D16EF0">
        <w:rPr>
          <w:lang w:val="es-ES"/>
        </w:rPr>
        <w:t>l panorama de</w:t>
      </w:r>
      <w:r w:rsidRPr="00417B03" w:rsidR="009C22B1">
        <w:rPr>
          <w:lang w:val="es-ES"/>
        </w:rPr>
        <w:t xml:space="preserve"> la seguridad alimentaria </w:t>
      </w:r>
      <w:r w:rsidRPr="00417B03">
        <w:rPr>
          <w:lang w:val="es-ES"/>
        </w:rPr>
        <w:t xml:space="preserve">en Puerto Rico? </w:t>
      </w:r>
      <w:r w:rsidRPr="00417B03" w:rsidR="00994749">
        <w:rPr>
          <w:lang w:val="es-ES"/>
        </w:rPr>
        <w:t>¿</w:t>
      </w:r>
      <w:r w:rsidRPr="00417B03" w:rsidR="00D16EF0">
        <w:rPr>
          <w:lang w:val="es-ES"/>
        </w:rPr>
        <w:t>En qué acertamos</w:t>
      </w:r>
      <w:r w:rsidRPr="00417B03" w:rsidR="00994749">
        <w:rPr>
          <w:lang w:val="es-ES"/>
        </w:rPr>
        <w:t>? ¿Qué nos falt</w:t>
      </w:r>
      <w:r w:rsidRPr="00417B03" w:rsidR="00D16EF0">
        <w:rPr>
          <w:lang w:val="es-ES"/>
        </w:rPr>
        <w:t>ó</w:t>
      </w:r>
      <w:r w:rsidRPr="00417B03" w:rsidR="00994749">
        <w:rPr>
          <w:lang w:val="es-ES"/>
        </w:rPr>
        <w:t>?</w:t>
      </w:r>
    </w:p>
    <w:p w:rsidR="00994749" w:rsidRPr="00417B03" w:rsidP="004B1AF8" w14:paraId="0AEE37DB" w14:textId="45993128">
      <w:pPr>
        <w:pStyle w:val="NumbersRed-IPR"/>
        <w:numPr>
          <w:ilvl w:val="0"/>
          <w:numId w:val="31"/>
        </w:numPr>
        <w:rPr>
          <w:lang w:val="es-ES"/>
        </w:rPr>
      </w:pPr>
      <w:r w:rsidRPr="00417B03">
        <w:rPr>
          <w:lang w:val="es-ES"/>
        </w:rPr>
        <w:t>Cu</w:t>
      </w:r>
      <w:r w:rsidRPr="00417B03" w:rsidR="005827D1">
        <w:rPr>
          <w:lang w:val="es-ES"/>
        </w:rPr>
        <w:t>a</w:t>
      </w:r>
      <w:r w:rsidRPr="00417B03">
        <w:rPr>
          <w:lang w:val="es-ES"/>
        </w:rPr>
        <w:t xml:space="preserve">ndo </w:t>
      </w:r>
      <w:r w:rsidRPr="00417B03" w:rsidR="00D16EF0">
        <w:rPr>
          <w:lang w:val="es-ES"/>
        </w:rPr>
        <w:t>observa</w:t>
      </w:r>
      <w:r w:rsidRPr="00417B03">
        <w:rPr>
          <w:lang w:val="es-ES"/>
        </w:rPr>
        <w:t xml:space="preserve"> los mapas de agrupaciones y </w:t>
      </w:r>
      <w:r w:rsidRPr="00417B03" w:rsidR="007832EC">
        <w:rPr>
          <w:lang w:val="es-ES"/>
        </w:rPr>
        <w:t xml:space="preserve">piensan en la relación </w:t>
      </w:r>
      <w:r w:rsidRPr="00417B03">
        <w:rPr>
          <w:lang w:val="es-ES"/>
        </w:rPr>
        <w:t>(</w:t>
      </w:r>
      <w:r w:rsidRPr="00417B03" w:rsidR="007B6128">
        <w:rPr>
          <w:lang w:val="es-ES"/>
        </w:rPr>
        <w:t>es decir, la distancia)</w:t>
      </w:r>
      <w:r w:rsidRPr="00417B03" w:rsidR="0041510A">
        <w:rPr>
          <w:lang w:val="es-ES"/>
        </w:rPr>
        <w:t xml:space="preserve"> entre agrupaciones, </w:t>
      </w:r>
      <w:r w:rsidRPr="00417B03" w:rsidR="00301C24">
        <w:rPr>
          <w:lang w:val="es-ES"/>
        </w:rPr>
        <w:t>¿</w:t>
      </w:r>
      <w:r w:rsidRPr="00417B03" w:rsidR="0041510A">
        <w:rPr>
          <w:lang w:val="es-ES"/>
        </w:rPr>
        <w:t xml:space="preserve">hay </w:t>
      </w:r>
      <w:r w:rsidRPr="00417B03" w:rsidR="00301C24">
        <w:rPr>
          <w:lang w:val="es-ES"/>
        </w:rPr>
        <w:t xml:space="preserve">alguna sorpresa o relación que no esperaba ver? </w:t>
      </w:r>
      <w:r w:rsidRPr="00417B03" w:rsidR="007B6128">
        <w:rPr>
          <w:lang w:val="es-ES"/>
        </w:rPr>
        <w:t xml:space="preserve"> </w:t>
      </w:r>
    </w:p>
    <w:p w:rsidR="00301C24" w:rsidRPr="00417B03" w:rsidP="004B1AF8" w14:paraId="255E4B1B" w14:textId="606EBC40">
      <w:pPr>
        <w:pStyle w:val="NumbersRed-IPR"/>
        <w:numPr>
          <w:ilvl w:val="0"/>
          <w:numId w:val="31"/>
        </w:numPr>
        <w:rPr>
          <w:lang w:val="es-ES"/>
        </w:rPr>
      </w:pPr>
      <w:r w:rsidRPr="00417B03">
        <w:rPr>
          <w:lang w:val="es-ES"/>
        </w:rPr>
        <w:t xml:space="preserve">Cuando </w:t>
      </w:r>
      <w:r w:rsidRPr="00417B03" w:rsidR="00E955E1">
        <w:rPr>
          <w:lang w:val="es-ES"/>
        </w:rPr>
        <w:t>lee</w:t>
      </w:r>
      <w:r w:rsidRPr="00417B03">
        <w:rPr>
          <w:lang w:val="es-ES"/>
        </w:rPr>
        <w:t xml:space="preserve"> las declaraciones en la </w:t>
      </w:r>
      <w:r w:rsidRPr="00417B03" w:rsidR="00E955E1">
        <w:rPr>
          <w:lang w:val="es-ES"/>
        </w:rPr>
        <w:t>“</w:t>
      </w:r>
      <w:r w:rsidRPr="00417B03" w:rsidR="00E955E1">
        <w:rPr>
          <w:lang w:val="es-ES"/>
        </w:rPr>
        <w:t>Go-Zone</w:t>
      </w:r>
      <w:r w:rsidRPr="00417B03" w:rsidR="00E955E1">
        <w:rPr>
          <w:lang w:val="es-ES"/>
        </w:rPr>
        <w:t>”</w:t>
      </w:r>
      <w:r w:rsidRPr="00417B03" w:rsidR="00FD2FA2">
        <w:rPr>
          <w:lang w:val="es-ES"/>
        </w:rPr>
        <w:t>, ¿</w:t>
      </w:r>
      <w:r w:rsidRPr="00417B03" w:rsidR="00C356DE">
        <w:rPr>
          <w:lang w:val="es-ES"/>
        </w:rPr>
        <w:t xml:space="preserve">es </w:t>
      </w:r>
      <w:r w:rsidRPr="00417B03" w:rsidR="00E955E1">
        <w:rPr>
          <w:lang w:val="es-ES"/>
        </w:rPr>
        <w:t>consciente</w:t>
      </w:r>
      <w:r w:rsidRPr="00417B03" w:rsidR="00C356DE">
        <w:rPr>
          <w:lang w:val="es-ES"/>
        </w:rPr>
        <w:t xml:space="preserve"> </w:t>
      </w:r>
      <w:r w:rsidRPr="00417B03" w:rsidR="00E955E1">
        <w:rPr>
          <w:lang w:val="es-ES"/>
        </w:rPr>
        <w:t xml:space="preserve">de </w:t>
      </w:r>
      <w:r w:rsidRPr="00417B03" w:rsidR="00C356DE">
        <w:rPr>
          <w:lang w:val="es-ES"/>
        </w:rPr>
        <w:t xml:space="preserve">alguna que actualmente </w:t>
      </w:r>
      <w:r w:rsidRPr="00417B03" w:rsidR="0071788D">
        <w:rPr>
          <w:lang w:val="es-ES"/>
        </w:rPr>
        <w:t>se est</w:t>
      </w:r>
      <w:r w:rsidRPr="00417B03" w:rsidR="00E20737">
        <w:rPr>
          <w:lang w:val="es-ES"/>
        </w:rPr>
        <w:t xml:space="preserve">é </w:t>
      </w:r>
      <w:r w:rsidRPr="00417B03" w:rsidR="006318A8">
        <w:rPr>
          <w:lang w:val="es-ES"/>
        </w:rPr>
        <w:t>considerando</w:t>
      </w:r>
      <w:r w:rsidRPr="00417B03" w:rsidR="0071788D">
        <w:rPr>
          <w:lang w:val="es-ES"/>
        </w:rPr>
        <w:t xml:space="preserve"> o </w:t>
      </w:r>
      <w:r w:rsidRPr="00417B03" w:rsidR="006318A8">
        <w:rPr>
          <w:lang w:val="es-ES"/>
        </w:rPr>
        <w:t xml:space="preserve">probando? </w:t>
      </w:r>
      <w:r w:rsidRPr="00417B03" w:rsidR="0071788D">
        <w:rPr>
          <w:lang w:val="es-ES"/>
        </w:rPr>
        <w:t xml:space="preserve"> </w:t>
      </w:r>
    </w:p>
    <w:p w:rsidR="00221292" w:rsidRPr="00417B03" w:rsidP="004B1AF8" w14:paraId="24E7FEAE" w14:textId="0AF29D9D">
      <w:pPr>
        <w:pStyle w:val="NumbersRed-IPR"/>
        <w:numPr>
          <w:ilvl w:val="0"/>
          <w:numId w:val="31"/>
        </w:numPr>
        <w:rPr>
          <w:lang w:val="es-ES"/>
        </w:rPr>
      </w:pPr>
      <w:r w:rsidRPr="00417B03">
        <w:rPr>
          <w:lang w:val="es-ES"/>
        </w:rPr>
        <w:t xml:space="preserve">Cuando </w:t>
      </w:r>
      <w:r w:rsidRPr="00417B03" w:rsidR="005827D1">
        <w:rPr>
          <w:lang w:val="es-ES"/>
        </w:rPr>
        <w:t xml:space="preserve">compara las </w:t>
      </w:r>
      <w:r w:rsidRPr="00417B03">
        <w:rPr>
          <w:lang w:val="es-ES"/>
        </w:rPr>
        <w:t>mapas de</w:t>
      </w:r>
      <w:r w:rsidRPr="00417B03" w:rsidR="00E20737">
        <w:rPr>
          <w:lang w:val="es-ES"/>
        </w:rPr>
        <w:t>l “</w:t>
      </w:r>
      <w:r w:rsidRPr="00417B03" w:rsidR="00E20737">
        <w:rPr>
          <w:lang w:val="es-ES"/>
        </w:rPr>
        <w:t>Go-Zone</w:t>
      </w:r>
      <w:r w:rsidRPr="00417B03" w:rsidR="00E20737">
        <w:rPr>
          <w:lang w:val="es-ES"/>
        </w:rPr>
        <w:t xml:space="preserve">” </w:t>
      </w:r>
      <w:r w:rsidRPr="00417B03">
        <w:rPr>
          <w:lang w:val="es-ES"/>
        </w:rPr>
        <w:t>de di</w:t>
      </w:r>
      <w:r w:rsidRPr="00417B03" w:rsidR="0003448F">
        <w:rPr>
          <w:lang w:val="es-ES"/>
        </w:rPr>
        <w:t xml:space="preserve">stintos </w:t>
      </w:r>
      <w:r w:rsidRPr="00417B03">
        <w:rPr>
          <w:lang w:val="es-ES"/>
        </w:rPr>
        <w:t xml:space="preserve">grupos, ¿hay diferencias que </w:t>
      </w:r>
      <w:r w:rsidRPr="00417B03" w:rsidR="0003448F">
        <w:rPr>
          <w:lang w:val="es-ES"/>
        </w:rPr>
        <w:t xml:space="preserve">se destacan </w:t>
      </w:r>
      <w:r w:rsidRPr="00417B03" w:rsidR="00440665">
        <w:rPr>
          <w:lang w:val="es-ES"/>
        </w:rPr>
        <w:t xml:space="preserve">y que </w:t>
      </w:r>
      <w:r w:rsidRPr="00417B03">
        <w:rPr>
          <w:lang w:val="es-ES"/>
        </w:rPr>
        <w:t xml:space="preserve">deberíamos </w:t>
      </w:r>
      <w:r w:rsidRPr="00417B03" w:rsidR="00440665">
        <w:rPr>
          <w:lang w:val="es-ES"/>
        </w:rPr>
        <w:t>tomar en cuenta</w:t>
      </w:r>
      <w:r w:rsidRPr="00417B03">
        <w:rPr>
          <w:lang w:val="es-ES"/>
        </w:rPr>
        <w:t xml:space="preserve">? </w:t>
      </w:r>
    </w:p>
    <w:p w:rsidR="006318A8" w:rsidRPr="00417B03" w:rsidP="004B1AF8" w14:paraId="72B470F9" w14:textId="597C5A5B">
      <w:pPr>
        <w:pStyle w:val="NumbersRed-IPR"/>
        <w:numPr>
          <w:ilvl w:val="0"/>
          <w:numId w:val="31"/>
        </w:numPr>
        <w:rPr>
          <w:lang w:val="es-ES"/>
        </w:rPr>
      </w:pPr>
      <w:r w:rsidRPr="00417B03">
        <w:rPr>
          <w:lang w:val="es-ES"/>
        </w:rPr>
        <w:t>¿</w:t>
      </w:r>
      <w:r w:rsidRPr="00417B03" w:rsidR="00440665">
        <w:rPr>
          <w:lang w:val="es-ES"/>
        </w:rPr>
        <w:t>Qué</w:t>
      </w:r>
      <w:r w:rsidRPr="00417B03">
        <w:rPr>
          <w:lang w:val="es-ES"/>
        </w:rPr>
        <w:t xml:space="preserve"> </w:t>
      </w:r>
      <w:r w:rsidRPr="00417B03" w:rsidR="00297B4D">
        <w:rPr>
          <w:lang w:val="es-ES"/>
        </w:rPr>
        <w:t xml:space="preserve">similitudes y diferencias </w:t>
      </w:r>
      <w:r w:rsidRPr="00417B03" w:rsidR="009227F1">
        <w:rPr>
          <w:lang w:val="es-ES"/>
        </w:rPr>
        <w:t>observa</w:t>
      </w:r>
      <w:r w:rsidRPr="00417B03" w:rsidR="006B5D9C">
        <w:rPr>
          <w:lang w:val="es-ES"/>
        </w:rPr>
        <w:t xml:space="preserve"> </w:t>
      </w:r>
      <w:r w:rsidRPr="00417B03" w:rsidR="00297B4D">
        <w:rPr>
          <w:lang w:val="es-ES"/>
        </w:rPr>
        <w:t xml:space="preserve">en </w:t>
      </w:r>
      <w:r w:rsidRPr="00417B03" w:rsidR="00440665">
        <w:rPr>
          <w:lang w:val="es-ES"/>
        </w:rPr>
        <w:t xml:space="preserve">la forma en que </w:t>
      </w:r>
      <w:r w:rsidRPr="00417B03" w:rsidR="00297B4D">
        <w:rPr>
          <w:lang w:val="es-ES"/>
        </w:rPr>
        <w:t>los di</w:t>
      </w:r>
      <w:r w:rsidRPr="00417B03" w:rsidR="00C33A33">
        <w:rPr>
          <w:lang w:val="es-ES"/>
        </w:rPr>
        <w:t>stinto</w:t>
      </w:r>
      <w:r w:rsidRPr="00417B03" w:rsidR="00297B4D">
        <w:rPr>
          <w:lang w:val="es-ES"/>
        </w:rPr>
        <w:t>s grupos de partes interesadas ha</w:t>
      </w:r>
      <w:r w:rsidRPr="00417B03" w:rsidR="00C33A33">
        <w:rPr>
          <w:lang w:val="es-ES"/>
        </w:rPr>
        <w:t>n</w:t>
      </w:r>
      <w:r w:rsidRPr="00417B03" w:rsidR="00297B4D">
        <w:rPr>
          <w:lang w:val="es-ES"/>
        </w:rPr>
        <w:t xml:space="preserve"> ordenado las recomendaciones políticas y administrativas? </w:t>
      </w:r>
      <w:r w:rsidRPr="00417B03" w:rsidR="005827D1">
        <w:rPr>
          <w:lang w:val="es-ES"/>
        </w:rPr>
        <w:t xml:space="preserve"> </w:t>
      </w:r>
    </w:p>
    <w:p w:rsidR="00DF1CAE" w:rsidRPr="00417B03" w:rsidP="004B1AF8" w14:paraId="3716892E" w14:textId="02CB777C">
      <w:pPr>
        <w:pStyle w:val="NumbersRed-IPR"/>
        <w:numPr>
          <w:ilvl w:val="0"/>
          <w:numId w:val="31"/>
        </w:numPr>
        <w:rPr>
          <w:lang w:val="es-ES"/>
        </w:rPr>
      </w:pPr>
      <w:r w:rsidRPr="00417B03">
        <w:rPr>
          <w:lang w:val="es-ES"/>
        </w:rPr>
        <w:t>Basándose en</w:t>
      </w:r>
      <w:r w:rsidRPr="00417B03" w:rsidR="00EC200D">
        <w:rPr>
          <w:lang w:val="es-ES"/>
        </w:rPr>
        <w:t xml:space="preserve"> toda</w:t>
      </w:r>
      <w:r w:rsidRPr="00417B03">
        <w:rPr>
          <w:lang w:val="es-ES"/>
        </w:rPr>
        <w:t xml:space="preserve"> la información presentada, </w:t>
      </w:r>
      <w:r w:rsidRPr="00417B03" w:rsidR="00EC200D">
        <w:rPr>
          <w:lang w:val="es-ES"/>
        </w:rPr>
        <w:t>¿Cuáles</w:t>
      </w:r>
      <w:r w:rsidRPr="00417B03">
        <w:rPr>
          <w:lang w:val="es-ES"/>
        </w:rPr>
        <w:t xml:space="preserve"> </w:t>
      </w:r>
      <w:r w:rsidRPr="00417B03" w:rsidR="009227F1">
        <w:rPr>
          <w:lang w:val="es-ES"/>
        </w:rPr>
        <w:t>sería</w:t>
      </w:r>
      <w:r w:rsidRPr="00417B03" w:rsidR="00EC200D">
        <w:rPr>
          <w:lang w:val="es-ES"/>
        </w:rPr>
        <w:t>n</w:t>
      </w:r>
      <w:r w:rsidRPr="00417B03">
        <w:rPr>
          <w:lang w:val="es-ES"/>
        </w:rPr>
        <w:t xml:space="preserve"> </w:t>
      </w:r>
      <w:r w:rsidRPr="00417B03" w:rsidR="006B5D9C">
        <w:rPr>
          <w:lang w:val="es-ES"/>
        </w:rPr>
        <w:t>sus recomendaciones</w:t>
      </w:r>
      <w:r w:rsidRPr="00417B03">
        <w:rPr>
          <w:lang w:val="es-ES"/>
        </w:rPr>
        <w:t xml:space="preserve"> para cambios de política</w:t>
      </w:r>
      <w:r w:rsidRPr="00417B03" w:rsidR="00B2417D">
        <w:rPr>
          <w:lang w:val="es-ES"/>
        </w:rPr>
        <w:t>s</w:t>
      </w:r>
      <w:r w:rsidRPr="00417B03">
        <w:rPr>
          <w:lang w:val="es-ES"/>
        </w:rPr>
        <w:t xml:space="preserve">, </w:t>
      </w:r>
      <w:r w:rsidRPr="00417B03" w:rsidR="009227F1">
        <w:rPr>
          <w:lang w:val="es-ES"/>
        </w:rPr>
        <w:t xml:space="preserve">sistemas, o </w:t>
      </w:r>
      <w:r w:rsidRPr="00417B03" w:rsidR="00CD3B59">
        <w:rPr>
          <w:lang w:val="es-ES"/>
        </w:rPr>
        <w:t>medio</w:t>
      </w:r>
      <w:r w:rsidRPr="00417B03" w:rsidR="009227F1">
        <w:rPr>
          <w:lang w:val="es-ES"/>
        </w:rPr>
        <w:t xml:space="preserve">ambientales? </w:t>
      </w:r>
    </w:p>
    <w:p w:rsidR="00B2417D" w:rsidRPr="00417B03" w:rsidP="00C36593" w14:paraId="2605EFDC" w14:textId="5CF77979">
      <w:pPr>
        <w:rPr>
          <w:lang w:val="es-ES"/>
        </w:rPr>
      </w:pPr>
      <w:r w:rsidRPr="00417B03">
        <w:rPr>
          <w:b/>
          <w:bCs/>
          <w:lang w:val="es-ES"/>
        </w:rPr>
        <w:t xml:space="preserve">Declaraciones y agrupaciones. </w:t>
      </w:r>
      <w:r w:rsidRPr="00417B03" w:rsidR="00EC38C8">
        <w:rPr>
          <w:lang w:val="es-ES"/>
        </w:rPr>
        <w:t xml:space="preserve">La tabla 1 </w:t>
      </w:r>
      <w:r w:rsidRPr="00417B03" w:rsidR="00E11483">
        <w:rPr>
          <w:lang w:val="es-ES"/>
        </w:rPr>
        <w:t>es un ejemplo de</w:t>
      </w:r>
      <w:r w:rsidRPr="00417B03" w:rsidR="00EC38C8">
        <w:rPr>
          <w:lang w:val="es-ES"/>
        </w:rPr>
        <w:t xml:space="preserve"> un resumen de declaraciones usadas en </w:t>
      </w:r>
      <w:r w:rsidRPr="00417B03" w:rsidR="00DF0FE7">
        <w:rPr>
          <w:lang w:val="es-ES"/>
        </w:rPr>
        <w:t xml:space="preserve">la fase de </w:t>
      </w:r>
      <w:r w:rsidRPr="00417B03" w:rsidR="00340E03">
        <w:rPr>
          <w:lang w:val="es-ES"/>
        </w:rPr>
        <w:t>escala</w:t>
      </w:r>
      <w:r w:rsidRPr="00417B03" w:rsidR="003F2FAD">
        <w:rPr>
          <w:lang w:val="es-ES"/>
        </w:rPr>
        <w:t>miento</w:t>
      </w:r>
      <w:r w:rsidRPr="00417B03" w:rsidR="00EC38C8">
        <w:rPr>
          <w:lang w:val="es-ES"/>
        </w:rPr>
        <w:t xml:space="preserve"> multidimensional</w:t>
      </w:r>
      <w:r w:rsidRPr="00417B03" w:rsidR="00340E03">
        <w:rPr>
          <w:lang w:val="es-ES"/>
        </w:rPr>
        <w:t xml:space="preserve"> y</w:t>
      </w:r>
      <w:r w:rsidRPr="00417B03" w:rsidR="00145877">
        <w:rPr>
          <w:lang w:val="es-ES"/>
        </w:rPr>
        <w:t xml:space="preserve"> </w:t>
      </w:r>
      <w:r w:rsidRPr="00417B03" w:rsidR="00340E03">
        <w:rPr>
          <w:lang w:val="es-ES"/>
        </w:rPr>
        <w:t xml:space="preserve">análisis de datos. </w:t>
      </w:r>
      <w:r w:rsidRPr="00417B03" w:rsidR="00145877">
        <w:rPr>
          <w:lang w:val="es-ES"/>
        </w:rPr>
        <w:t>Se gener</w:t>
      </w:r>
      <w:r w:rsidRPr="00417B03" w:rsidR="00DF19B0">
        <w:rPr>
          <w:lang w:val="es-ES"/>
        </w:rPr>
        <w:t>ó</w:t>
      </w:r>
      <w:r w:rsidRPr="00417B03" w:rsidR="00145877">
        <w:rPr>
          <w:lang w:val="es-ES"/>
        </w:rPr>
        <w:t xml:space="preserve"> un total de 186 declaraciones durante </w:t>
      </w:r>
      <w:r w:rsidRPr="00417B03" w:rsidR="006516AE">
        <w:rPr>
          <w:lang w:val="es-ES"/>
        </w:rPr>
        <w:t>el periodo de intercambio de ideas. El equipo de investigación repas</w:t>
      </w:r>
      <w:r w:rsidRPr="00417B03" w:rsidR="00F42C3B">
        <w:rPr>
          <w:lang w:val="es-ES"/>
        </w:rPr>
        <w:t>ó</w:t>
      </w:r>
      <w:r w:rsidRPr="00417B03" w:rsidR="006516AE">
        <w:rPr>
          <w:lang w:val="es-ES"/>
        </w:rPr>
        <w:t xml:space="preserve"> cada declaración, y</w:t>
      </w:r>
      <w:r w:rsidRPr="00417B03" w:rsidR="003B1BF6">
        <w:rPr>
          <w:lang w:val="es-ES"/>
        </w:rPr>
        <w:t xml:space="preserve"> se elabo</w:t>
      </w:r>
      <w:r w:rsidRPr="00417B03" w:rsidR="00F42C3B">
        <w:rPr>
          <w:lang w:val="es-ES"/>
        </w:rPr>
        <w:t>ró</w:t>
      </w:r>
      <w:r w:rsidRPr="00417B03" w:rsidR="003B1BF6">
        <w:rPr>
          <w:lang w:val="es-ES"/>
        </w:rPr>
        <w:t xml:space="preserve"> un conjunto de 120 declaraciones a través de (1) la reducción de ideas repetidas y (2) </w:t>
      </w:r>
      <w:r w:rsidRPr="00417B03" w:rsidR="00474436">
        <w:rPr>
          <w:lang w:val="es-ES"/>
        </w:rPr>
        <w:t>la separación de</w:t>
      </w:r>
      <w:r w:rsidRPr="00417B03" w:rsidR="00E36DF8">
        <w:rPr>
          <w:lang w:val="es-ES"/>
        </w:rPr>
        <w:t xml:space="preserve"> declaraciones que </w:t>
      </w:r>
      <w:r w:rsidRPr="00417B03" w:rsidR="001F59DE">
        <w:rPr>
          <w:lang w:val="es-ES"/>
        </w:rPr>
        <w:t>contienen</w:t>
      </w:r>
      <w:r w:rsidRPr="00417B03" w:rsidR="00E36DF8">
        <w:rPr>
          <w:lang w:val="es-ES"/>
        </w:rPr>
        <w:t xml:space="preserve"> múltiples ideas</w:t>
      </w:r>
      <w:r w:rsidRPr="00417B03" w:rsidR="001F59DE">
        <w:rPr>
          <w:lang w:val="es-ES"/>
        </w:rPr>
        <w:t xml:space="preserve"> (por ejemplo, la declaración “aumentar financiación y contratar </w:t>
      </w:r>
      <w:r w:rsidRPr="00417B03" w:rsidR="0092542E">
        <w:rPr>
          <w:lang w:val="es-ES"/>
        </w:rPr>
        <w:t>más</w:t>
      </w:r>
      <w:r w:rsidRPr="00417B03" w:rsidR="001F59DE">
        <w:rPr>
          <w:lang w:val="es-ES"/>
        </w:rPr>
        <w:t xml:space="preserve"> personal” </w:t>
      </w:r>
      <w:r w:rsidRPr="00417B03" w:rsidR="00685344">
        <w:rPr>
          <w:lang w:val="es-ES"/>
        </w:rPr>
        <w:t>ser</w:t>
      </w:r>
      <w:r w:rsidRPr="00417B03" w:rsidR="00474436">
        <w:rPr>
          <w:lang w:val="es-ES"/>
        </w:rPr>
        <w:t>í</w:t>
      </w:r>
      <w:r w:rsidRPr="00417B03" w:rsidR="00685344">
        <w:rPr>
          <w:lang w:val="es-ES"/>
        </w:rPr>
        <w:t xml:space="preserve">a separada en dos declaraciones, “aumentar </w:t>
      </w:r>
      <w:r w:rsidRPr="00417B03" w:rsidR="0092542E">
        <w:rPr>
          <w:lang w:val="es-ES"/>
        </w:rPr>
        <w:t>financiación</w:t>
      </w:r>
      <w:r w:rsidRPr="00417B03" w:rsidR="00685344">
        <w:rPr>
          <w:lang w:val="es-ES"/>
        </w:rPr>
        <w:t xml:space="preserve">” y “contratar </w:t>
      </w:r>
      <w:r w:rsidRPr="00417B03" w:rsidR="0092542E">
        <w:rPr>
          <w:lang w:val="es-ES"/>
        </w:rPr>
        <w:t>más</w:t>
      </w:r>
      <w:r w:rsidRPr="00417B03" w:rsidR="00685344">
        <w:rPr>
          <w:lang w:val="es-ES"/>
        </w:rPr>
        <w:t xml:space="preserve"> personal”</w:t>
      </w:r>
      <w:r w:rsidRPr="00417B03" w:rsidR="001F59DE">
        <w:rPr>
          <w:lang w:val="es-ES"/>
        </w:rPr>
        <w:t>)</w:t>
      </w:r>
      <w:r w:rsidRPr="00417B03" w:rsidR="0092542E">
        <w:rPr>
          <w:lang w:val="es-ES"/>
        </w:rPr>
        <w:t xml:space="preserve">. Además de las declaraciones, </w:t>
      </w:r>
      <w:r w:rsidRPr="00417B03" w:rsidR="00DF0FE7">
        <w:rPr>
          <w:lang w:val="es-ES"/>
        </w:rPr>
        <w:t xml:space="preserve">la </w:t>
      </w:r>
      <w:r w:rsidRPr="00417B03" w:rsidR="0092542E">
        <w:rPr>
          <w:lang w:val="es-ES"/>
        </w:rPr>
        <w:t xml:space="preserve">tabla 1 indica </w:t>
      </w:r>
      <w:r w:rsidRPr="00417B03" w:rsidR="00420D93">
        <w:rPr>
          <w:lang w:val="es-ES"/>
        </w:rPr>
        <w:t xml:space="preserve">la agrupación en que se encuentra la declaración y la </w:t>
      </w:r>
      <w:r w:rsidRPr="00417B03" w:rsidR="00DF0FE7">
        <w:rPr>
          <w:lang w:val="es-ES"/>
        </w:rPr>
        <w:t>valoración</w:t>
      </w:r>
      <w:r w:rsidRPr="00417B03" w:rsidR="00420D93">
        <w:rPr>
          <w:lang w:val="es-ES"/>
        </w:rPr>
        <w:t xml:space="preserve"> promedia de la declaración sobre el posible impacto y la viabilidad de implementación. </w:t>
      </w:r>
    </w:p>
    <w:p w:rsidR="007D030B" w:rsidRPr="00417B03" w:rsidP="00894218" w14:paraId="04461C31" w14:textId="2690E39D">
      <w:pPr>
        <w:pStyle w:val="TableTitle-IPR"/>
        <w:rPr>
          <w:lang w:val="es-ES"/>
        </w:rPr>
      </w:pPr>
      <w:r w:rsidRPr="00417B03">
        <w:rPr>
          <w:lang w:val="es-ES"/>
        </w:rPr>
        <w:t>Tabla 1</w:t>
      </w:r>
      <w:r w:rsidRPr="00417B03">
        <w:rPr>
          <w:lang w:val="es-ES"/>
        </w:rPr>
        <w:t xml:space="preserve">. </w:t>
      </w:r>
      <w:r w:rsidRPr="00417B03" w:rsidR="00DF0FE7">
        <w:rPr>
          <w:lang w:val="es-ES"/>
        </w:rPr>
        <w:t xml:space="preserve">Ejemplo de </w:t>
      </w:r>
      <w:r w:rsidRPr="00417B03">
        <w:rPr>
          <w:lang w:val="es-ES"/>
        </w:rPr>
        <w:t xml:space="preserve">Declaraciones, </w:t>
      </w:r>
      <w:r w:rsidRPr="00417B03" w:rsidR="00C07DA1">
        <w:rPr>
          <w:lang w:val="es-ES"/>
        </w:rPr>
        <w:t xml:space="preserve">Agrupaciones, y </w:t>
      </w:r>
      <w:r w:rsidRPr="00417B03" w:rsidR="00DF0FE7">
        <w:rPr>
          <w:lang w:val="es-ES"/>
        </w:rPr>
        <w:t>Valoraciones</w:t>
      </w:r>
      <w:r w:rsidRPr="00417B03" w:rsidR="00C07DA1">
        <w:rPr>
          <w:lang w:val="es-ES"/>
        </w:rPr>
        <w:t xml:space="preserve"> Promedias </w:t>
      </w:r>
    </w:p>
    <w:tbl>
      <w:tblPr>
        <w:tblStyle w:val="InsightTable24"/>
        <w:tblW w:w="0" w:type="auto"/>
        <w:tblLook w:val="04A0"/>
      </w:tblPr>
      <w:tblGrid>
        <w:gridCol w:w="1200"/>
        <w:gridCol w:w="3468"/>
        <w:gridCol w:w="1969"/>
        <w:gridCol w:w="1066"/>
        <w:gridCol w:w="1599"/>
      </w:tblGrid>
      <w:tr w14:paraId="5405A597" w14:textId="77777777" w:rsidTr="0016340C">
        <w:tblPrEx>
          <w:tblW w:w="0" w:type="auto"/>
          <w:tblLook w:val="04A0"/>
        </w:tblPrEx>
        <w:trPr>
          <w:tblHeader/>
        </w:trPr>
        <w:tc>
          <w:tcPr>
            <w:tcW w:w="1200" w:type="dxa"/>
          </w:tcPr>
          <w:p w:rsidR="007D030B" w:rsidRPr="00417B03" w:rsidP="005A37BD" w14:paraId="10B43B67" w14:textId="4B7F8D3D">
            <w:pPr>
              <w:pStyle w:val="TableHeaderRow-IPR"/>
              <w:rPr>
                <w:lang w:val="es-ES"/>
              </w:rPr>
            </w:pPr>
            <w:r w:rsidRPr="00417B03">
              <w:rPr>
                <w:lang w:val="es-ES"/>
              </w:rPr>
              <w:t>Numero de la Declaración</w:t>
            </w:r>
          </w:p>
        </w:tc>
        <w:tc>
          <w:tcPr>
            <w:tcW w:w="3468" w:type="dxa"/>
          </w:tcPr>
          <w:p w:rsidR="007D030B" w:rsidRPr="00417B03" w:rsidP="005A37BD" w14:paraId="6D578959" w14:textId="0BB456B1">
            <w:pPr>
              <w:pStyle w:val="TableHeaderRow-IPR"/>
              <w:rPr>
                <w:lang w:val="es-ES"/>
              </w:rPr>
            </w:pPr>
            <w:r w:rsidRPr="00417B03">
              <w:rPr>
                <w:lang w:val="es-ES"/>
              </w:rPr>
              <w:t>Declaración</w:t>
            </w:r>
            <w:r w:rsidRPr="00417B03">
              <w:rPr>
                <w:lang w:val="es-ES"/>
              </w:rPr>
              <w:t>/Idea</w:t>
            </w:r>
          </w:p>
        </w:tc>
        <w:tc>
          <w:tcPr>
            <w:tcW w:w="1969" w:type="dxa"/>
          </w:tcPr>
          <w:p w:rsidR="007D030B" w:rsidRPr="00417B03" w:rsidP="005A37BD" w14:paraId="523D1E9B" w14:textId="7748D4E1">
            <w:pPr>
              <w:pStyle w:val="TableHeaderRow-IPR"/>
              <w:rPr>
                <w:lang w:val="es-ES"/>
              </w:rPr>
            </w:pPr>
            <w:r w:rsidRPr="00417B03">
              <w:rPr>
                <w:lang w:val="es-ES"/>
              </w:rPr>
              <w:t>Agrupación</w:t>
            </w:r>
          </w:p>
        </w:tc>
        <w:tc>
          <w:tcPr>
            <w:tcW w:w="1066" w:type="dxa"/>
          </w:tcPr>
          <w:p w:rsidR="007D030B" w:rsidRPr="00417B03" w:rsidP="005A37BD" w14:paraId="0DCC0324" w14:textId="593BC7CC">
            <w:pPr>
              <w:pStyle w:val="TableHeaderRow-IPR"/>
              <w:rPr>
                <w:lang w:val="es-ES"/>
              </w:rPr>
            </w:pPr>
            <w:r w:rsidRPr="00417B03">
              <w:rPr>
                <w:lang w:val="es-ES"/>
              </w:rPr>
              <w:t>Posible</w:t>
            </w:r>
            <w:r w:rsidRPr="00417B03">
              <w:rPr>
                <w:lang w:val="es-ES"/>
              </w:rPr>
              <w:t xml:space="preserve"> Impact</w:t>
            </w:r>
            <w:r w:rsidRPr="00417B03">
              <w:rPr>
                <w:lang w:val="es-ES"/>
              </w:rPr>
              <w:t>o</w:t>
            </w:r>
          </w:p>
        </w:tc>
        <w:tc>
          <w:tcPr>
            <w:tcW w:w="1599" w:type="dxa"/>
          </w:tcPr>
          <w:p w:rsidR="007D030B" w:rsidRPr="00417B03" w:rsidP="005A37BD" w14:paraId="66A145F5" w14:textId="3B8C0A01">
            <w:pPr>
              <w:pStyle w:val="TableHeaderRow-IPR"/>
              <w:rPr>
                <w:lang w:val="es-ES"/>
              </w:rPr>
            </w:pPr>
            <w:r w:rsidRPr="00417B03">
              <w:rPr>
                <w:lang w:val="es-ES"/>
              </w:rPr>
              <w:t>Viabilidad de Implementación</w:t>
            </w:r>
          </w:p>
        </w:tc>
      </w:tr>
      <w:tr w14:paraId="24B79828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7D030B" w:rsidRPr="00417B03" w:rsidP="005A37BD" w14:paraId="77AE66AC" w14:textId="77777777">
            <w:pPr>
              <w:pStyle w:val="TableTextBullet1"/>
              <w:jc w:val="center"/>
            </w:pPr>
            <w:r w:rsidRPr="00417B03">
              <w:t>1</w:t>
            </w:r>
          </w:p>
        </w:tc>
        <w:tc>
          <w:tcPr>
            <w:tcW w:w="3468" w:type="dxa"/>
          </w:tcPr>
          <w:p w:rsidR="007D030B" w:rsidRPr="00417B03" w:rsidP="00C07DA1" w14:paraId="78A5C5FF" w14:textId="66A5280E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Aumentar el </w:t>
            </w:r>
            <w:r w:rsidRPr="00417B03" w:rsidR="00214C51">
              <w:rPr>
                <w:lang w:val="es-ES"/>
              </w:rPr>
              <w:t>acceso</w:t>
            </w:r>
            <w:r w:rsidRPr="00417B03">
              <w:rPr>
                <w:lang w:val="es-ES"/>
              </w:rPr>
              <w:t xml:space="preserve"> a alimentos en comunidades rurales</w:t>
            </w:r>
          </w:p>
        </w:tc>
        <w:tc>
          <w:tcPr>
            <w:tcW w:w="1969" w:type="dxa"/>
          </w:tcPr>
          <w:p w:rsidR="007D030B" w:rsidRPr="00417B03" w:rsidP="007D030B" w14:paraId="0AA9CF09" w14:textId="639160F8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Acceso</w:t>
            </w:r>
          </w:p>
        </w:tc>
        <w:tc>
          <w:tcPr>
            <w:tcW w:w="1066" w:type="dxa"/>
          </w:tcPr>
          <w:p w:rsidR="007D030B" w:rsidRPr="00417B03" w:rsidP="007D030B" w14:paraId="2F784870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2.37</w:t>
            </w:r>
          </w:p>
        </w:tc>
        <w:tc>
          <w:tcPr>
            <w:tcW w:w="1599" w:type="dxa"/>
          </w:tcPr>
          <w:p w:rsidR="007D030B" w:rsidRPr="00417B03" w:rsidP="007D030B" w14:paraId="347FC50F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1.21</w:t>
            </w:r>
          </w:p>
        </w:tc>
      </w:tr>
      <w:tr w14:paraId="12F32419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7D030B" w:rsidRPr="00417B03" w:rsidP="005A37BD" w14:paraId="325509DA" w14:textId="77777777">
            <w:pPr>
              <w:pStyle w:val="TableTextBullet1"/>
              <w:jc w:val="center"/>
            </w:pPr>
            <w:r w:rsidRPr="00417B03">
              <w:t>2</w:t>
            </w:r>
          </w:p>
        </w:tc>
        <w:tc>
          <w:tcPr>
            <w:tcW w:w="3468" w:type="dxa"/>
          </w:tcPr>
          <w:p w:rsidR="007D030B" w:rsidRPr="00417B03" w:rsidP="007D030B" w14:paraId="0367C970" w14:textId="5B533DA5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Aumentar la</w:t>
            </w:r>
            <w:r w:rsidRPr="00417B03" w:rsidR="00A6252C">
              <w:rPr>
                <w:lang w:val="es-ES"/>
              </w:rPr>
              <w:t xml:space="preserve"> </w:t>
            </w:r>
            <w:r w:rsidRPr="00417B03" w:rsidR="00043FBA">
              <w:rPr>
                <w:lang w:val="es-ES"/>
              </w:rPr>
              <w:t>financiación</w:t>
            </w:r>
            <w:r w:rsidRPr="00417B03" w:rsidR="00A6252C">
              <w:rPr>
                <w:lang w:val="es-ES"/>
              </w:rPr>
              <w:t xml:space="preserve"> </w:t>
            </w:r>
            <w:r w:rsidRPr="00417B03" w:rsidR="00043FBA">
              <w:rPr>
                <w:lang w:val="es-ES"/>
              </w:rPr>
              <w:t>administrativa</w:t>
            </w:r>
          </w:p>
        </w:tc>
        <w:tc>
          <w:tcPr>
            <w:tcW w:w="1969" w:type="dxa"/>
          </w:tcPr>
          <w:p w:rsidR="007D030B" w:rsidRPr="00417B03" w:rsidP="007D030B" w14:paraId="3FA78DFA" w14:textId="33F55C21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Administración</w:t>
            </w:r>
            <w:r w:rsidRPr="00417B03" w:rsidR="00A6252C">
              <w:rPr>
                <w:lang w:val="es-ES"/>
              </w:rPr>
              <w:t xml:space="preserve"> de Programa</w:t>
            </w:r>
            <w:r w:rsidRPr="00417B03" w:rsidR="00E93C73">
              <w:rPr>
                <w:lang w:val="es-ES"/>
              </w:rPr>
              <w:t>s</w:t>
            </w:r>
          </w:p>
        </w:tc>
        <w:tc>
          <w:tcPr>
            <w:tcW w:w="1066" w:type="dxa"/>
          </w:tcPr>
          <w:p w:rsidR="007D030B" w:rsidRPr="00417B03" w:rsidP="007D030B" w14:paraId="19FE83D1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2.06</w:t>
            </w:r>
          </w:p>
        </w:tc>
        <w:tc>
          <w:tcPr>
            <w:tcW w:w="1599" w:type="dxa"/>
          </w:tcPr>
          <w:p w:rsidR="007D030B" w:rsidRPr="00417B03" w:rsidP="007D030B" w14:paraId="5413B427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4.99</w:t>
            </w:r>
          </w:p>
        </w:tc>
      </w:tr>
      <w:tr w14:paraId="71B8EB7A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7D030B" w:rsidRPr="00417B03" w:rsidP="005A37BD" w14:paraId="14BC8417" w14:textId="77777777">
            <w:pPr>
              <w:pStyle w:val="TableTextBullet1"/>
              <w:jc w:val="center"/>
            </w:pPr>
            <w:r w:rsidRPr="00417B03">
              <w:t>3</w:t>
            </w:r>
          </w:p>
        </w:tc>
        <w:tc>
          <w:tcPr>
            <w:tcW w:w="3468" w:type="dxa"/>
          </w:tcPr>
          <w:p w:rsidR="007D030B" w:rsidRPr="00417B03" w:rsidP="00043FBA" w14:paraId="1F2411E4" w14:textId="7A04C01A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Ense</w:t>
            </w:r>
            <w:r w:rsidRPr="00417B03" w:rsidR="00E93C73">
              <w:rPr>
                <w:lang w:val="es-ES"/>
              </w:rPr>
              <w:t>ñ</w:t>
            </w:r>
            <w:r w:rsidRPr="00417B03">
              <w:rPr>
                <w:lang w:val="es-ES"/>
              </w:rPr>
              <w:t xml:space="preserve">ar </w:t>
            </w:r>
            <w:r w:rsidRPr="00417B03" w:rsidR="00E93C73">
              <w:rPr>
                <w:lang w:val="es-ES"/>
              </w:rPr>
              <w:t>a almacenar/conservar</w:t>
            </w:r>
            <w:r w:rsidRPr="00417B03" w:rsidR="00043FBA">
              <w:rPr>
                <w:lang w:val="es-ES"/>
              </w:rPr>
              <w:t xml:space="preserve"> de alimentos </w:t>
            </w:r>
          </w:p>
        </w:tc>
        <w:tc>
          <w:tcPr>
            <w:tcW w:w="1969" w:type="dxa"/>
          </w:tcPr>
          <w:p w:rsidR="007D030B" w:rsidRPr="00417B03" w:rsidP="007D030B" w14:paraId="45CF1FC2" w14:textId="110DE423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Educación</w:t>
            </w:r>
            <w:r w:rsidRPr="00417B03" w:rsidR="00A6252C">
              <w:rPr>
                <w:lang w:val="es-ES"/>
              </w:rPr>
              <w:t xml:space="preserve"> </w:t>
            </w:r>
          </w:p>
        </w:tc>
        <w:tc>
          <w:tcPr>
            <w:tcW w:w="1066" w:type="dxa"/>
          </w:tcPr>
          <w:p w:rsidR="007D030B" w:rsidRPr="00417B03" w:rsidP="007D030B" w14:paraId="36023DB4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3.56</w:t>
            </w:r>
          </w:p>
        </w:tc>
        <w:tc>
          <w:tcPr>
            <w:tcW w:w="1599" w:type="dxa"/>
          </w:tcPr>
          <w:p w:rsidR="007D030B" w:rsidRPr="00417B03" w:rsidP="007D030B" w14:paraId="0F05EF45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4.37</w:t>
            </w:r>
          </w:p>
        </w:tc>
      </w:tr>
      <w:tr w14:paraId="452F176B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7D030B" w:rsidRPr="00417B03" w:rsidP="005A37BD" w14:paraId="5E2E971D" w14:textId="77777777">
            <w:pPr>
              <w:pStyle w:val="TableTextBullet1"/>
              <w:jc w:val="center"/>
            </w:pPr>
            <w:r w:rsidRPr="00417B03">
              <w:t>4</w:t>
            </w:r>
          </w:p>
        </w:tc>
        <w:tc>
          <w:tcPr>
            <w:tcW w:w="3468" w:type="dxa"/>
          </w:tcPr>
          <w:p w:rsidR="007D030B" w:rsidRPr="00417B03" w:rsidP="007D030B" w14:paraId="3C680DAD" w14:textId="0B6BAFF8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Fomentar</w:t>
            </w:r>
            <w:r w:rsidRPr="00417B03" w:rsidR="00043FBA">
              <w:rPr>
                <w:lang w:val="es-ES"/>
              </w:rPr>
              <w:t xml:space="preserve"> el desarrollo de supermercados </w:t>
            </w:r>
          </w:p>
        </w:tc>
        <w:tc>
          <w:tcPr>
            <w:tcW w:w="1969" w:type="dxa"/>
          </w:tcPr>
          <w:p w:rsidR="007D030B" w:rsidRPr="00417B03" w:rsidP="007D030B" w14:paraId="7EE16D07" w14:textId="3439FFCB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Acceso</w:t>
            </w:r>
          </w:p>
        </w:tc>
        <w:tc>
          <w:tcPr>
            <w:tcW w:w="1066" w:type="dxa"/>
          </w:tcPr>
          <w:p w:rsidR="007D030B" w:rsidRPr="00417B03" w:rsidP="007D030B" w14:paraId="292094D0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4.27</w:t>
            </w:r>
          </w:p>
        </w:tc>
        <w:tc>
          <w:tcPr>
            <w:tcW w:w="1599" w:type="dxa"/>
          </w:tcPr>
          <w:p w:rsidR="007D030B" w:rsidRPr="00417B03" w:rsidP="007D030B" w14:paraId="61F9BF5C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4.58</w:t>
            </w:r>
          </w:p>
        </w:tc>
      </w:tr>
      <w:tr w14:paraId="4F26620D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7D030B" w:rsidRPr="00417B03" w:rsidP="005A37BD" w14:paraId="3AA24C66" w14:textId="77777777">
            <w:pPr>
              <w:pStyle w:val="TableTextBullet1"/>
              <w:jc w:val="center"/>
            </w:pPr>
            <w:r w:rsidRPr="00417B03">
              <w:t>5</w:t>
            </w:r>
          </w:p>
        </w:tc>
        <w:tc>
          <w:tcPr>
            <w:tcW w:w="3468" w:type="dxa"/>
          </w:tcPr>
          <w:p w:rsidR="007D030B" w:rsidRPr="00417B03" w:rsidP="000D492C" w14:paraId="7F59A770" w14:textId="08083898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Vincular </w:t>
            </w:r>
            <w:r w:rsidRPr="00417B03" w:rsidR="000D492C">
              <w:rPr>
                <w:lang w:val="es-ES"/>
              </w:rPr>
              <w:t>la seguridad de la vivienda a la seguridad alimentaria</w:t>
            </w:r>
          </w:p>
        </w:tc>
        <w:tc>
          <w:tcPr>
            <w:tcW w:w="1969" w:type="dxa"/>
          </w:tcPr>
          <w:p w:rsidR="007D030B" w:rsidRPr="00417B03" w:rsidP="007D030B" w14:paraId="2D797158" w14:textId="3867509E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Políticas</w:t>
            </w:r>
            <w:r w:rsidRPr="00417B03" w:rsidR="001D7900">
              <w:rPr>
                <w:lang w:val="es-ES"/>
              </w:rPr>
              <w:t xml:space="preserve"> federales </w:t>
            </w:r>
          </w:p>
        </w:tc>
        <w:tc>
          <w:tcPr>
            <w:tcW w:w="1066" w:type="dxa"/>
          </w:tcPr>
          <w:p w:rsidR="007D030B" w:rsidRPr="00417B03" w:rsidP="007D030B" w14:paraId="26FE07F9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2.33</w:t>
            </w:r>
          </w:p>
        </w:tc>
        <w:tc>
          <w:tcPr>
            <w:tcW w:w="1599" w:type="dxa"/>
          </w:tcPr>
          <w:p w:rsidR="007D030B" w:rsidRPr="00417B03" w:rsidP="007D030B" w14:paraId="7A84AE79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3.61</w:t>
            </w:r>
          </w:p>
        </w:tc>
      </w:tr>
      <w:tr w14:paraId="46994B8B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7D030B" w:rsidRPr="00417B03" w:rsidP="005A37BD" w14:paraId="0E8C5D93" w14:textId="77777777">
            <w:pPr>
              <w:pStyle w:val="TableTextBullet1"/>
              <w:jc w:val="center"/>
            </w:pPr>
            <w:r w:rsidRPr="00417B03">
              <w:t>6</w:t>
            </w:r>
          </w:p>
        </w:tc>
        <w:tc>
          <w:tcPr>
            <w:tcW w:w="3468" w:type="dxa"/>
          </w:tcPr>
          <w:p w:rsidR="007D030B" w:rsidRPr="00417B03" w:rsidP="00901822" w14:paraId="39EE8381" w14:textId="5D46AAF2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Colaborar con </w:t>
            </w:r>
            <w:r w:rsidRPr="00417B03" w:rsidR="00901822">
              <w:rPr>
                <w:lang w:val="es-ES"/>
              </w:rPr>
              <w:t xml:space="preserve">organizaciones </w:t>
            </w:r>
            <w:r w:rsidRPr="00417B03" w:rsidR="0025178B">
              <w:rPr>
                <w:lang w:val="es-ES"/>
              </w:rPr>
              <w:t>locales sin fines de lucro</w:t>
            </w:r>
            <w:r w:rsidRPr="00417B03" w:rsidR="00901822">
              <w:rPr>
                <w:lang w:val="es-ES"/>
              </w:rPr>
              <w:t xml:space="preserve"> para desarrollar programas de doble</w:t>
            </w:r>
            <w:r w:rsidRPr="00417B03" w:rsidR="002964EA">
              <w:rPr>
                <w:lang w:val="es-ES"/>
              </w:rPr>
              <w:t xml:space="preserve"> pago </w:t>
            </w:r>
            <w:r w:rsidRPr="00417B03" w:rsidR="00901822">
              <w:rPr>
                <w:lang w:val="es-ES"/>
              </w:rPr>
              <w:t xml:space="preserve">para frutas y vegetables </w:t>
            </w:r>
          </w:p>
        </w:tc>
        <w:tc>
          <w:tcPr>
            <w:tcW w:w="1969" w:type="dxa"/>
          </w:tcPr>
          <w:p w:rsidR="007D030B" w:rsidRPr="00417B03" w:rsidP="007D030B" w14:paraId="0E37C10F" w14:textId="7699D6AC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Organizaciones no </w:t>
            </w:r>
            <w:r w:rsidRPr="00417B03" w:rsidR="008A51C4">
              <w:rPr>
                <w:lang w:val="es-ES"/>
              </w:rPr>
              <w:t xml:space="preserve">gubernamentales locales </w:t>
            </w:r>
          </w:p>
        </w:tc>
        <w:tc>
          <w:tcPr>
            <w:tcW w:w="1066" w:type="dxa"/>
          </w:tcPr>
          <w:p w:rsidR="007D030B" w:rsidRPr="00417B03" w:rsidP="007D030B" w14:paraId="0BF62416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1.27</w:t>
            </w:r>
          </w:p>
        </w:tc>
        <w:tc>
          <w:tcPr>
            <w:tcW w:w="1599" w:type="dxa"/>
          </w:tcPr>
          <w:p w:rsidR="007D030B" w:rsidRPr="00417B03" w:rsidP="007D030B" w14:paraId="7CD305FA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3.67</w:t>
            </w:r>
          </w:p>
        </w:tc>
      </w:tr>
      <w:tr w14:paraId="28B24920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7D030B" w:rsidRPr="00417B03" w:rsidP="005A37BD" w14:paraId="01F3F9ED" w14:textId="77777777">
            <w:pPr>
              <w:pStyle w:val="TableTextBullet1"/>
              <w:jc w:val="center"/>
            </w:pPr>
            <w:r w:rsidRPr="00417B03">
              <w:t>7</w:t>
            </w:r>
          </w:p>
        </w:tc>
        <w:tc>
          <w:tcPr>
            <w:tcW w:w="3468" w:type="dxa"/>
          </w:tcPr>
          <w:p w:rsidR="007D030B" w:rsidRPr="00417B03" w:rsidP="007D030B" w14:paraId="07C7B831" w14:textId="40F1C248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Financiar programas similares al</w:t>
            </w:r>
            <w:r w:rsidRPr="00417B03">
              <w:rPr>
                <w:lang w:val="es-ES"/>
              </w:rPr>
              <w:t xml:space="preserve"> SNAP-</w:t>
            </w:r>
            <w:r w:rsidRPr="00417B03" w:rsidR="004B1AF8">
              <w:rPr>
                <w:lang w:val="es-ES"/>
              </w:rPr>
              <w:t>E</w:t>
            </w:r>
            <w:r w:rsidRPr="00417B03">
              <w:rPr>
                <w:lang w:val="es-ES"/>
              </w:rPr>
              <w:t xml:space="preserve">d </w:t>
            </w:r>
          </w:p>
        </w:tc>
        <w:tc>
          <w:tcPr>
            <w:tcW w:w="1969" w:type="dxa"/>
          </w:tcPr>
          <w:p w:rsidR="007D030B" w:rsidRPr="00417B03" w:rsidP="007D030B" w14:paraId="13F1E109" w14:textId="1C5FDC1B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Educación</w:t>
            </w:r>
          </w:p>
        </w:tc>
        <w:tc>
          <w:tcPr>
            <w:tcW w:w="1066" w:type="dxa"/>
          </w:tcPr>
          <w:p w:rsidR="007D030B" w:rsidRPr="00417B03" w:rsidP="007D030B" w14:paraId="4152C757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1.21</w:t>
            </w:r>
          </w:p>
        </w:tc>
        <w:tc>
          <w:tcPr>
            <w:tcW w:w="1599" w:type="dxa"/>
          </w:tcPr>
          <w:p w:rsidR="007D030B" w:rsidRPr="00417B03" w:rsidP="007D030B" w14:paraId="1FB61E3A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4.11</w:t>
            </w:r>
          </w:p>
        </w:tc>
      </w:tr>
      <w:tr w14:paraId="29FFCCFC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16340C" w:rsidRPr="00417B03" w:rsidP="0016340C" w14:paraId="5AAC10FD" w14:textId="77777777">
            <w:pPr>
              <w:pStyle w:val="TableTextBullet1"/>
              <w:jc w:val="center"/>
            </w:pPr>
            <w:r w:rsidRPr="00417B03">
              <w:t>8</w:t>
            </w:r>
          </w:p>
        </w:tc>
        <w:tc>
          <w:tcPr>
            <w:tcW w:w="3468" w:type="dxa"/>
          </w:tcPr>
          <w:p w:rsidR="0016340C" w:rsidRPr="00417B03" w:rsidP="0016340C" w14:paraId="161494E0" w14:textId="76CBA36F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Establecer nuev</w:t>
            </w:r>
            <w:r w:rsidRPr="00417B03" w:rsidR="002976B5">
              <w:rPr>
                <w:lang w:val="es-ES"/>
              </w:rPr>
              <w:t>o</w:t>
            </w:r>
            <w:r w:rsidRPr="00417B03">
              <w:rPr>
                <w:lang w:val="es-ES"/>
              </w:rPr>
              <w:t xml:space="preserve">s métodos para determinar el beneficio mensual </w:t>
            </w:r>
          </w:p>
        </w:tc>
        <w:tc>
          <w:tcPr>
            <w:tcW w:w="1969" w:type="dxa"/>
          </w:tcPr>
          <w:p w:rsidR="0016340C" w:rsidRPr="00417B03" w:rsidP="0016340C" w14:paraId="2EA01C7C" w14:textId="47F40863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Políticas federales </w:t>
            </w:r>
          </w:p>
        </w:tc>
        <w:tc>
          <w:tcPr>
            <w:tcW w:w="1066" w:type="dxa"/>
          </w:tcPr>
          <w:p w:rsidR="0016340C" w:rsidRPr="00417B03" w:rsidP="0016340C" w14:paraId="4F7182FC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4.37</w:t>
            </w:r>
          </w:p>
        </w:tc>
        <w:tc>
          <w:tcPr>
            <w:tcW w:w="1599" w:type="dxa"/>
          </w:tcPr>
          <w:p w:rsidR="0016340C" w:rsidRPr="00417B03" w:rsidP="0016340C" w14:paraId="50BAD164" w14:textId="77777777">
            <w:pPr>
              <w:pStyle w:val="TableTextBullet1"/>
            </w:pPr>
            <w:r w:rsidRPr="00417B03">
              <w:rPr>
                <w:rFonts w:cs="Calibri"/>
                <w:color w:val="000000"/>
              </w:rPr>
              <w:t>1.24</w:t>
            </w:r>
          </w:p>
        </w:tc>
      </w:tr>
      <w:tr w14:paraId="4959AAB3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7D030B" w:rsidRPr="00417B03" w:rsidP="005A37BD" w14:paraId="07450C7A" w14:textId="4F4FE204">
            <w:pPr>
              <w:pStyle w:val="TableTextBullet1"/>
              <w:jc w:val="center"/>
            </w:pPr>
            <w:r w:rsidRPr="00417B03">
              <w:t>…</w:t>
            </w:r>
          </w:p>
        </w:tc>
        <w:tc>
          <w:tcPr>
            <w:tcW w:w="3468" w:type="dxa"/>
          </w:tcPr>
          <w:p w:rsidR="007D030B" w:rsidRPr="00417B03" w:rsidP="007D030B" w14:paraId="7EFC4F67" w14:textId="77777777">
            <w:pPr>
              <w:pStyle w:val="TableTextBullet1"/>
              <w:rPr>
                <w:lang w:val="es-ES"/>
              </w:rPr>
            </w:pPr>
          </w:p>
        </w:tc>
        <w:tc>
          <w:tcPr>
            <w:tcW w:w="1969" w:type="dxa"/>
          </w:tcPr>
          <w:p w:rsidR="007D030B" w:rsidRPr="00417B03" w:rsidP="007D030B" w14:paraId="307F0D44" w14:textId="77777777">
            <w:pPr>
              <w:pStyle w:val="TableTextBullet1"/>
            </w:pPr>
          </w:p>
        </w:tc>
        <w:tc>
          <w:tcPr>
            <w:tcW w:w="1066" w:type="dxa"/>
          </w:tcPr>
          <w:p w:rsidR="007D030B" w:rsidRPr="00417B03" w:rsidP="007D030B" w14:paraId="152CC472" w14:textId="77777777">
            <w:pPr>
              <w:pStyle w:val="TableTextBullet1"/>
              <w:rPr>
                <w:rFonts w:cs="Calibri"/>
                <w:color w:val="000000"/>
              </w:rPr>
            </w:pPr>
          </w:p>
        </w:tc>
        <w:tc>
          <w:tcPr>
            <w:tcW w:w="1599" w:type="dxa"/>
          </w:tcPr>
          <w:p w:rsidR="007D030B" w:rsidRPr="00417B03" w:rsidP="007D030B" w14:paraId="7178FB9D" w14:textId="77777777">
            <w:pPr>
              <w:pStyle w:val="TableTextBullet1"/>
              <w:rPr>
                <w:rFonts w:cs="Calibri"/>
                <w:color w:val="000000"/>
              </w:rPr>
            </w:pPr>
          </w:p>
        </w:tc>
      </w:tr>
      <w:tr w14:paraId="4699539B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16340C" w:rsidRPr="00417B03" w:rsidP="0016340C" w14:paraId="2F897937" w14:textId="43BE5EBB">
            <w:pPr>
              <w:pStyle w:val="TableTextBullet1"/>
              <w:jc w:val="center"/>
            </w:pPr>
            <w:r w:rsidRPr="00417B03">
              <w:t>113</w:t>
            </w:r>
          </w:p>
        </w:tc>
        <w:tc>
          <w:tcPr>
            <w:tcW w:w="3468" w:type="dxa"/>
          </w:tcPr>
          <w:p w:rsidR="0016340C" w:rsidRPr="00417B03" w:rsidP="0016340C" w14:paraId="47FBFDAF" w14:textId="5FA9E5B8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Modificar los requisitos de elegibilidad </w:t>
            </w:r>
          </w:p>
        </w:tc>
        <w:tc>
          <w:tcPr>
            <w:tcW w:w="1969" w:type="dxa"/>
          </w:tcPr>
          <w:p w:rsidR="0016340C" w:rsidRPr="00417B03" w:rsidP="0016340C" w14:paraId="29400016" w14:textId="16D849A4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Políticas federales </w:t>
            </w:r>
          </w:p>
        </w:tc>
        <w:tc>
          <w:tcPr>
            <w:tcW w:w="1066" w:type="dxa"/>
          </w:tcPr>
          <w:p w:rsidR="0016340C" w:rsidRPr="00417B03" w:rsidP="0016340C" w14:paraId="175019D8" w14:textId="67FDCDDD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4.18</w:t>
            </w:r>
          </w:p>
        </w:tc>
        <w:tc>
          <w:tcPr>
            <w:tcW w:w="1599" w:type="dxa"/>
          </w:tcPr>
          <w:p w:rsidR="0016340C" w:rsidRPr="00417B03" w:rsidP="0016340C" w14:paraId="76FC42BD" w14:textId="0ECF8655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3.11</w:t>
            </w:r>
          </w:p>
        </w:tc>
      </w:tr>
      <w:tr w14:paraId="264581F8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16340C" w:rsidRPr="00417B03" w:rsidP="0016340C" w14:paraId="7F8F8014" w14:textId="5397BFF7">
            <w:pPr>
              <w:pStyle w:val="TableTextBullet1"/>
              <w:jc w:val="center"/>
            </w:pPr>
            <w:r w:rsidRPr="00417B03">
              <w:t>114</w:t>
            </w:r>
          </w:p>
        </w:tc>
        <w:tc>
          <w:tcPr>
            <w:tcW w:w="3468" w:type="dxa"/>
          </w:tcPr>
          <w:p w:rsidR="0016340C" w:rsidRPr="00417B03" w:rsidP="0016340C" w14:paraId="3F317E45" w14:textId="5566893B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Colaborar con comercios locales para aumentar las opciones saludables </w:t>
            </w:r>
          </w:p>
        </w:tc>
        <w:tc>
          <w:tcPr>
            <w:tcW w:w="1969" w:type="dxa"/>
          </w:tcPr>
          <w:p w:rsidR="0016340C" w:rsidRPr="00417B03" w:rsidP="0016340C" w14:paraId="68C5F268" w14:textId="32562BC7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Comercio saludable</w:t>
            </w:r>
          </w:p>
        </w:tc>
        <w:tc>
          <w:tcPr>
            <w:tcW w:w="1066" w:type="dxa"/>
          </w:tcPr>
          <w:p w:rsidR="0016340C" w:rsidRPr="00417B03" w:rsidP="0016340C" w14:paraId="0CF17BB7" w14:textId="0DB27F21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2.93</w:t>
            </w:r>
          </w:p>
        </w:tc>
        <w:tc>
          <w:tcPr>
            <w:tcW w:w="1599" w:type="dxa"/>
          </w:tcPr>
          <w:p w:rsidR="0016340C" w:rsidRPr="00417B03" w:rsidP="0016340C" w14:paraId="2723DF98" w14:textId="13C3D056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2.72</w:t>
            </w:r>
          </w:p>
        </w:tc>
      </w:tr>
      <w:tr w14:paraId="09BECBDE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16340C" w:rsidRPr="00417B03" w:rsidP="0016340C" w14:paraId="22281C16" w14:textId="779FB52C">
            <w:pPr>
              <w:pStyle w:val="TableTextBullet1"/>
              <w:jc w:val="center"/>
            </w:pPr>
            <w:r w:rsidRPr="00417B03">
              <w:t>115</w:t>
            </w:r>
          </w:p>
        </w:tc>
        <w:tc>
          <w:tcPr>
            <w:tcW w:w="3468" w:type="dxa"/>
          </w:tcPr>
          <w:p w:rsidR="0016340C" w:rsidRPr="00417B03" w:rsidP="0016340C" w14:paraId="77CA4517" w14:textId="14573197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Proporcionar educación nutricional culturalmente </w:t>
            </w:r>
            <w:r w:rsidRPr="00417B03" w:rsidR="007741B7">
              <w:rPr>
                <w:lang w:val="es-ES"/>
              </w:rPr>
              <w:t>apropiada</w:t>
            </w:r>
          </w:p>
        </w:tc>
        <w:tc>
          <w:tcPr>
            <w:tcW w:w="1969" w:type="dxa"/>
          </w:tcPr>
          <w:p w:rsidR="0016340C" w:rsidRPr="00417B03" w:rsidP="0016340C" w14:paraId="25C9800A" w14:textId="4D39D411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Educación</w:t>
            </w:r>
          </w:p>
        </w:tc>
        <w:tc>
          <w:tcPr>
            <w:tcW w:w="1066" w:type="dxa"/>
          </w:tcPr>
          <w:p w:rsidR="0016340C" w:rsidRPr="00417B03" w:rsidP="0016340C" w14:paraId="3E41BCB3" w14:textId="0CFCA9F5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3.59</w:t>
            </w:r>
          </w:p>
        </w:tc>
        <w:tc>
          <w:tcPr>
            <w:tcW w:w="1599" w:type="dxa"/>
          </w:tcPr>
          <w:p w:rsidR="0016340C" w:rsidRPr="00417B03" w:rsidP="0016340C" w14:paraId="7AF0FA49" w14:textId="5410D03A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2.86</w:t>
            </w:r>
          </w:p>
        </w:tc>
      </w:tr>
      <w:tr w14:paraId="3E84EE4D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16340C" w:rsidRPr="00417B03" w:rsidP="0016340C" w14:paraId="27C1BCCE" w14:textId="0CB6D937">
            <w:pPr>
              <w:pStyle w:val="TableTextBullet1"/>
              <w:jc w:val="center"/>
            </w:pPr>
            <w:r w:rsidRPr="00417B03">
              <w:t>116</w:t>
            </w:r>
          </w:p>
        </w:tc>
        <w:tc>
          <w:tcPr>
            <w:tcW w:w="3468" w:type="dxa"/>
          </w:tcPr>
          <w:p w:rsidR="0016340C" w:rsidRPr="00417B03" w:rsidP="0016340C" w14:paraId="4E74E8BA" w14:textId="4E7CA7AE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Ampliar</w:t>
            </w:r>
            <w:r w:rsidRPr="00417B03" w:rsidR="004A7243">
              <w:rPr>
                <w:lang w:val="es-ES"/>
              </w:rPr>
              <w:t xml:space="preserve"> la divulgación</w:t>
            </w:r>
            <w:r w:rsidRPr="00417B03" w:rsidR="00FD259A">
              <w:rPr>
                <w:lang w:val="es-ES"/>
              </w:rPr>
              <w:t xml:space="preserve"> y </w:t>
            </w:r>
            <w:r w:rsidRPr="00417B03" w:rsidR="004A7243">
              <w:rPr>
                <w:lang w:val="es-ES"/>
              </w:rPr>
              <w:t>notificación</w:t>
            </w:r>
            <w:r w:rsidRPr="00417B03" w:rsidR="00FD259A">
              <w:rPr>
                <w:lang w:val="es-ES"/>
              </w:rPr>
              <w:t xml:space="preserve"> </w:t>
            </w:r>
          </w:p>
        </w:tc>
        <w:tc>
          <w:tcPr>
            <w:tcW w:w="1969" w:type="dxa"/>
          </w:tcPr>
          <w:p w:rsidR="0016340C" w:rsidRPr="00417B03" w:rsidP="0016340C" w14:paraId="761102C1" w14:textId="5D756DBD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Comunicación</w:t>
            </w:r>
          </w:p>
        </w:tc>
        <w:tc>
          <w:tcPr>
            <w:tcW w:w="1066" w:type="dxa"/>
          </w:tcPr>
          <w:p w:rsidR="0016340C" w:rsidRPr="00417B03" w:rsidP="0016340C" w14:paraId="05A3A87E" w14:textId="1BF77B0B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1.38</w:t>
            </w:r>
          </w:p>
        </w:tc>
        <w:tc>
          <w:tcPr>
            <w:tcW w:w="1599" w:type="dxa"/>
          </w:tcPr>
          <w:p w:rsidR="0016340C" w:rsidRPr="00417B03" w:rsidP="0016340C" w14:paraId="72839F58" w14:textId="00381690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4.74</w:t>
            </w:r>
          </w:p>
        </w:tc>
      </w:tr>
      <w:tr w14:paraId="69254FBC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16340C" w:rsidRPr="00417B03" w:rsidP="0016340C" w14:paraId="6672B6C5" w14:textId="5770CDF7">
            <w:pPr>
              <w:pStyle w:val="TableTextBullet1"/>
              <w:jc w:val="center"/>
            </w:pPr>
            <w:r w:rsidRPr="00417B03">
              <w:t>117</w:t>
            </w:r>
          </w:p>
        </w:tc>
        <w:tc>
          <w:tcPr>
            <w:tcW w:w="3468" w:type="dxa"/>
          </w:tcPr>
          <w:p w:rsidR="0016340C" w:rsidRPr="00417B03" w:rsidP="0016340C" w14:paraId="59DA8BA4" w14:textId="36C23DF6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Crear un programa separado para </w:t>
            </w:r>
            <w:r w:rsidRPr="00417B03" w:rsidR="00536831">
              <w:rPr>
                <w:lang w:val="es-ES"/>
              </w:rPr>
              <w:t>ayuda</w:t>
            </w:r>
            <w:r w:rsidRPr="00417B03">
              <w:rPr>
                <w:lang w:val="es-ES"/>
              </w:rPr>
              <w:t xml:space="preserve"> en cas</w:t>
            </w:r>
            <w:r w:rsidRPr="00417B03" w:rsidR="00536831">
              <w:rPr>
                <w:lang w:val="es-ES"/>
              </w:rPr>
              <w:t>o</w:t>
            </w:r>
            <w:r w:rsidRPr="00417B03">
              <w:rPr>
                <w:lang w:val="es-ES"/>
              </w:rPr>
              <w:t xml:space="preserve"> de desastre </w:t>
            </w:r>
          </w:p>
        </w:tc>
        <w:tc>
          <w:tcPr>
            <w:tcW w:w="1969" w:type="dxa"/>
          </w:tcPr>
          <w:p w:rsidR="0016340C" w:rsidRPr="00417B03" w:rsidP="0016340C" w14:paraId="302C0359" w14:textId="40BE27B1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Políticas federales </w:t>
            </w:r>
          </w:p>
        </w:tc>
        <w:tc>
          <w:tcPr>
            <w:tcW w:w="1066" w:type="dxa"/>
          </w:tcPr>
          <w:p w:rsidR="0016340C" w:rsidRPr="00417B03" w:rsidP="0016340C" w14:paraId="23892EF9" w14:textId="6CBC49A7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4.76</w:t>
            </w:r>
          </w:p>
        </w:tc>
        <w:tc>
          <w:tcPr>
            <w:tcW w:w="1599" w:type="dxa"/>
          </w:tcPr>
          <w:p w:rsidR="0016340C" w:rsidRPr="00417B03" w:rsidP="0016340C" w14:paraId="60DBBE6D" w14:textId="0E6269DB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4.25</w:t>
            </w:r>
          </w:p>
        </w:tc>
      </w:tr>
      <w:tr w14:paraId="42D7CADB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16340C" w:rsidRPr="00417B03" w:rsidP="0016340C" w14:paraId="05921D8D" w14:textId="6B8E163D">
            <w:pPr>
              <w:pStyle w:val="TableTextBullet1"/>
              <w:jc w:val="center"/>
            </w:pPr>
            <w:r w:rsidRPr="00417B03">
              <w:t>118</w:t>
            </w:r>
          </w:p>
        </w:tc>
        <w:tc>
          <w:tcPr>
            <w:tcW w:w="3468" w:type="dxa"/>
          </w:tcPr>
          <w:p w:rsidR="0016340C" w:rsidRPr="00417B03" w:rsidP="0016340C" w14:paraId="5184608C" w14:textId="1DC01440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Proporcionar </w:t>
            </w:r>
            <w:r w:rsidRPr="00417B03" w:rsidR="00536831">
              <w:rPr>
                <w:lang w:val="es-ES"/>
              </w:rPr>
              <w:t>adiestramiento</w:t>
            </w:r>
            <w:r w:rsidRPr="00417B03">
              <w:rPr>
                <w:lang w:val="es-ES"/>
              </w:rPr>
              <w:t xml:space="preserve"> adicional para el personal de</w:t>
            </w:r>
            <w:r w:rsidRPr="00417B03" w:rsidR="004B580C">
              <w:rPr>
                <w:lang w:val="es-ES"/>
              </w:rPr>
              <w:t>l</w:t>
            </w:r>
            <w:r w:rsidRPr="00417B03">
              <w:rPr>
                <w:lang w:val="es-ES"/>
              </w:rPr>
              <w:t xml:space="preserve"> programa</w:t>
            </w:r>
          </w:p>
        </w:tc>
        <w:tc>
          <w:tcPr>
            <w:tcW w:w="1969" w:type="dxa"/>
          </w:tcPr>
          <w:p w:rsidR="0016340C" w:rsidRPr="00417B03" w:rsidP="0016340C" w14:paraId="5E78A8C9" w14:textId="3C3CB19A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 xml:space="preserve">Administración del Programa </w:t>
            </w:r>
          </w:p>
        </w:tc>
        <w:tc>
          <w:tcPr>
            <w:tcW w:w="1066" w:type="dxa"/>
          </w:tcPr>
          <w:p w:rsidR="0016340C" w:rsidRPr="00417B03" w:rsidP="0016340C" w14:paraId="55EFFD43" w14:textId="42AA2685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4.25</w:t>
            </w:r>
          </w:p>
        </w:tc>
        <w:tc>
          <w:tcPr>
            <w:tcW w:w="1599" w:type="dxa"/>
          </w:tcPr>
          <w:p w:rsidR="0016340C" w:rsidRPr="00417B03" w:rsidP="0016340C" w14:paraId="72D3CFCC" w14:textId="14948EAA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1.45</w:t>
            </w:r>
          </w:p>
        </w:tc>
      </w:tr>
      <w:tr w14:paraId="4E9B12C6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16340C" w:rsidRPr="00417B03" w:rsidP="0016340C" w14:paraId="370322B5" w14:textId="2E2C1624">
            <w:pPr>
              <w:pStyle w:val="TableTextBullet1"/>
              <w:jc w:val="center"/>
            </w:pPr>
            <w:r w:rsidRPr="00417B03">
              <w:t>119</w:t>
            </w:r>
          </w:p>
        </w:tc>
        <w:tc>
          <w:tcPr>
            <w:tcW w:w="3468" w:type="dxa"/>
          </w:tcPr>
          <w:p w:rsidR="0016340C" w:rsidRPr="00417B03" w:rsidP="0016340C" w14:paraId="0E574A74" w14:textId="43F49E5F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Desarrollar nuevos métodos de comunicación con beneficiarios</w:t>
            </w:r>
          </w:p>
        </w:tc>
        <w:tc>
          <w:tcPr>
            <w:tcW w:w="1969" w:type="dxa"/>
          </w:tcPr>
          <w:p w:rsidR="0016340C" w:rsidRPr="00417B03" w:rsidP="0016340C" w14:paraId="45D00FAB" w14:textId="00900BE7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Comunicación</w:t>
            </w:r>
          </w:p>
        </w:tc>
        <w:tc>
          <w:tcPr>
            <w:tcW w:w="1066" w:type="dxa"/>
          </w:tcPr>
          <w:p w:rsidR="0016340C" w:rsidRPr="00417B03" w:rsidP="0016340C" w14:paraId="59F5F08E" w14:textId="7D1113D4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1.45</w:t>
            </w:r>
          </w:p>
        </w:tc>
        <w:tc>
          <w:tcPr>
            <w:tcW w:w="1599" w:type="dxa"/>
          </w:tcPr>
          <w:p w:rsidR="0016340C" w:rsidRPr="00417B03" w:rsidP="0016340C" w14:paraId="4B1A64D5" w14:textId="1332B3A4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3.12</w:t>
            </w:r>
          </w:p>
        </w:tc>
      </w:tr>
      <w:tr w14:paraId="777A8024" w14:textId="77777777" w:rsidTr="0016340C">
        <w:tblPrEx>
          <w:tblW w:w="0" w:type="auto"/>
          <w:tblLook w:val="04A0"/>
        </w:tblPrEx>
        <w:trPr>
          <w:trHeight w:val="288"/>
        </w:trPr>
        <w:tc>
          <w:tcPr>
            <w:tcW w:w="1200" w:type="dxa"/>
          </w:tcPr>
          <w:p w:rsidR="0016340C" w:rsidRPr="00417B03" w:rsidP="0016340C" w14:paraId="7A9E45D1" w14:textId="3192DBFE">
            <w:pPr>
              <w:pStyle w:val="TableTextBullet1"/>
              <w:jc w:val="center"/>
            </w:pPr>
            <w:r w:rsidRPr="00417B03">
              <w:t>120</w:t>
            </w:r>
          </w:p>
        </w:tc>
        <w:tc>
          <w:tcPr>
            <w:tcW w:w="3468" w:type="dxa"/>
          </w:tcPr>
          <w:p w:rsidR="0016340C" w:rsidRPr="00417B03" w:rsidP="0016340C" w14:paraId="24E96DFF" w14:textId="2705ABD2">
            <w:pPr>
              <w:pStyle w:val="TableTextBullet1"/>
              <w:rPr>
                <w:lang w:val="es-ES"/>
              </w:rPr>
            </w:pPr>
            <w:r w:rsidRPr="00417B03">
              <w:rPr>
                <w:lang w:val="es-ES"/>
              </w:rPr>
              <w:t>Convertir el PAN a un programa de derecho</w:t>
            </w:r>
          </w:p>
        </w:tc>
        <w:tc>
          <w:tcPr>
            <w:tcW w:w="1969" w:type="dxa"/>
          </w:tcPr>
          <w:p w:rsidR="0016340C" w:rsidRPr="00417B03" w:rsidP="0016340C" w14:paraId="2A2D87E9" w14:textId="236FBDCF">
            <w:pPr>
              <w:pStyle w:val="TableTextBullet1"/>
            </w:pPr>
            <w:r w:rsidRPr="00417B03">
              <w:rPr>
                <w:lang w:val="es-ES"/>
              </w:rPr>
              <w:t xml:space="preserve">Políticas federales </w:t>
            </w:r>
          </w:p>
        </w:tc>
        <w:tc>
          <w:tcPr>
            <w:tcW w:w="1066" w:type="dxa"/>
          </w:tcPr>
          <w:p w:rsidR="0016340C" w:rsidRPr="00417B03" w:rsidP="0016340C" w14:paraId="2FC3B8EE" w14:textId="10FE194D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3.12</w:t>
            </w:r>
          </w:p>
        </w:tc>
        <w:tc>
          <w:tcPr>
            <w:tcW w:w="1599" w:type="dxa"/>
          </w:tcPr>
          <w:p w:rsidR="0016340C" w:rsidRPr="00417B03" w:rsidP="0016340C" w14:paraId="029A60A6" w14:textId="7F1D52F8">
            <w:pPr>
              <w:pStyle w:val="TableTextBullet1"/>
              <w:rPr>
                <w:rFonts w:cs="Calibri"/>
                <w:color w:val="000000"/>
              </w:rPr>
            </w:pPr>
            <w:r w:rsidRPr="00417B03">
              <w:rPr>
                <w:rFonts w:cs="Calibri"/>
                <w:color w:val="000000"/>
              </w:rPr>
              <w:t>3.17</w:t>
            </w:r>
          </w:p>
        </w:tc>
      </w:tr>
    </w:tbl>
    <w:p w:rsidR="00F5368B" w:rsidRPr="00417B03" w:rsidP="008035E0" w14:paraId="39CD29CA" w14:textId="383CE438">
      <w:pPr>
        <w:spacing w:before="240"/>
        <w:rPr>
          <w:lang w:val="es-ES"/>
        </w:rPr>
      </w:pPr>
      <w:r w:rsidRPr="00417B03">
        <w:rPr>
          <w:b/>
          <w:bCs/>
          <w:lang w:val="es-PR"/>
        </w:rPr>
        <w:t xml:space="preserve">Mapas de </w:t>
      </w:r>
      <w:r w:rsidRPr="00417B03">
        <w:rPr>
          <w:b/>
          <w:bCs/>
          <w:lang w:val="es-PR"/>
        </w:rPr>
        <w:t>Agrupaciones</w:t>
      </w:r>
      <w:r w:rsidRPr="00417B03" w:rsidR="007D030B">
        <w:rPr>
          <w:lang w:val="es-PR"/>
        </w:rPr>
        <w:t xml:space="preserve">. </w:t>
      </w:r>
      <w:r w:rsidRPr="00417B03" w:rsidR="006945D7">
        <w:rPr>
          <w:lang w:val="es-PR"/>
        </w:rPr>
        <w:t>La g</w:t>
      </w:r>
      <w:r w:rsidRPr="00417B03">
        <w:rPr>
          <w:lang w:val="es-PR"/>
        </w:rPr>
        <w:t>ráfica</w:t>
      </w:r>
      <w:r w:rsidRPr="00417B03">
        <w:rPr>
          <w:lang w:val="es-PR"/>
        </w:rPr>
        <w:t xml:space="preserve"> 1 presenta </w:t>
      </w:r>
      <w:r w:rsidRPr="00417B03" w:rsidR="006945D7">
        <w:rPr>
          <w:lang w:val="es-PR"/>
        </w:rPr>
        <w:t xml:space="preserve">un ejemplo de </w:t>
      </w:r>
      <w:r w:rsidRPr="00417B03">
        <w:rPr>
          <w:lang w:val="es-PR"/>
        </w:rPr>
        <w:t xml:space="preserve">un mapa de agrupaciones con puntos de </w:t>
      </w:r>
      <w:r w:rsidRPr="00417B03">
        <w:rPr>
          <w:lang w:val="es-PR"/>
        </w:rPr>
        <w:t>datos</w:t>
      </w:r>
      <w:r w:rsidRPr="00417B03">
        <w:rPr>
          <w:lang w:val="es-PR"/>
        </w:rPr>
        <w:t xml:space="preserve"> indicando cuales </w:t>
      </w:r>
      <w:r w:rsidRPr="00417B03">
        <w:rPr>
          <w:lang w:val="es-PR"/>
        </w:rPr>
        <w:t>declaraciones</w:t>
      </w:r>
      <w:r w:rsidRPr="00417B03">
        <w:rPr>
          <w:lang w:val="es-PR"/>
        </w:rPr>
        <w:t xml:space="preserve"> </w:t>
      </w:r>
      <w:r w:rsidRPr="00417B03">
        <w:rPr>
          <w:lang w:val="es-PR"/>
        </w:rPr>
        <w:t>están</w:t>
      </w:r>
      <w:r w:rsidRPr="00417B03">
        <w:rPr>
          <w:lang w:val="es-PR"/>
        </w:rPr>
        <w:t xml:space="preserve"> </w:t>
      </w:r>
      <w:r w:rsidRPr="00417B03" w:rsidR="006945D7">
        <w:rPr>
          <w:lang w:val="es-PR"/>
        </w:rPr>
        <w:t xml:space="preserve">incluidas </w:t>
      </w:r>
      <w:r w:rsidRPr="00417B03" w:rsidR="007B6593">
        <w:rPr>
          <w:lang w:val="es-PR"/>
        </w:rPr>
        <w:t xml:space="preserve">dentro de una agrupación. El mapa de agrupaciones en </w:t>
      </w:r>
      <w:r w:rsidRPr="00417B03">
        <w:rPr>
          <w:lang w:val="es-PR"/>
        </w:rPr>
        <w:t>la gráfica 1 representa una solución</w:t>
      </w:r>
      <w:r w:rsidRPr="00417B03">
        <w:rPr>
          <w:lang w:val="es-ES"/>
        </w:rPr>
        <w:t xml:space="preserve"> de cinco</w:t>
      </w:r>
      <w:r w:rsidRPr="00417B03" w:rsidR="00AF1C7A">
        <w:rPr>
          <w:lang w:val="es-ES"/>
        </w:rPr>
        <w:t xml:space="preserve"> </w:t>
      </w:r>
      <w:r w:rsidRPr="00417B03">
        <w:rPr>
          <w:lang w:val="es-ES"/>
        </w:rPr>
        <w:t xml:space="preserve">agrupaciones. </w:t>
      </w:r>
      <w:r w:rsidRPr="00417B03" w:rsidR="00A90533">
        <w:rPr>
          <w:lang w:val="es-ES"/>
        </w:rPr>
        <w:t>Este mapa de agrupaciones fue creado a través del análisis de escala</w:t>
      </w:r>
      <w:r w:rsidRPr="00417B03" w:rsidR="00AF1C7A">
        <w:rPr>
          <w:lang w:val="es-ES"/>
        </w:rPr>
        <w:t>do</w:t>
      </w:r>
      <w:r w:rsidRPr="00417B03" w:rsidR="00A90533">
        <w:rPr>
          <w:lang w:val="es-ES"/>
        </w:rPr>
        <w:t xml:space="preserve"> multidimensional que utiliza </w:t>
      </w:r>
      <w:r w:rsidRPr="00417B03" w:rsidR="006E1132">
        <w:rPr>
          <w:lang w:val="es-ES"/>
        </w:rPr>
        <w:t xml:space="preserve">los datos ordenados proporcionados por las partes interesadas para generar grupos basados en </w:t>
      </w:r>
      <w:r w:rsidRPr="00417B03" w:rsidR="00D86753">
        <w:rPr>
          <w:lang w:val="es-ES"/>
        </w:rPr>
        <w:t>patrones</w:t>
      </w:r>
      <w:r w:rsidRPr="00417B03" w:rsidR="0011304E">
        <w:rPr>
          <w:lang w:val="es-ES"/>
        </w:rPr>
        <w:t xml:space="preserve"> comunes de similitud. </w:t>
      </w:r>
    </w:p>
    <w:p w:rsidR="007D030B" w:rsidRPr="00417B03" w:rsidP="007D030B" w14:paraId="39BF7A00" w14:textId="7CC609CB">
      <w:pPr>
        <w:pStyle w:val="FigureTitle-IPR"/>
        <w:rPr>
          <w:lang w:val="es-ES"/>
        </w:rPr>
      </w:pPr>
      <w:r w:rsidRPr="00417B03">
        <w:rPr>
          <w:lang w:val="es-PR"/>
        </w:rPr>
        <w:t xml:space="preserve">Gráfica </w:t>
      </w:r>
      <w:r w:rsidRPr="00417B03">
        <w:rPr>
          <w:lang w:val="es-ES"/>
        </w:rPr>
        <w:t>1.</w:t>
      </w:r>
      <w:r w:rsidRPr="00417B03">
        <w:rPr>
          <w:lang w:val="es-ES"/>
        </w:rPr>
        <w:t xml:space="preserve"> Ejemplo de un Mapa de Agrupaciones: Solución de Cinco-Agrupaciones</w:t>
      </w:r>
      <w:r w:rsidRPr="00417B03">
        <w:rPr>
          <w:lang w:val="es-ES"/>
        </w:rPr>
        <w:t xml:space="preserve"> </w:t>
      </w:r>
    </w:p>
    <w:p w:rsidR="007D030B" w:rsidRPr="00417B03" w:rsidP="00C36593" w14:paraId="01B81A29" w14:textId="77777777">
      <w:r w:rsidRPr="00417B03">
        <w:rPr>
          <w:noProof/>
        </w:rPr>
        <w:drawing>
          <wp:inline distT="0" distB="0" distL="0" distR="0">
            <wp:extent cx="4542970" cy="3122930"/>
            <wp:effectExtent l="0" t="0" r="0" b="1270"/>
            <wp:docPr id="2" name="Picture 2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rad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alphaModFix amt="53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476" cy="313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70A4" w:rsidRPr="00417B03" w:rsidP="008035E0" w14:paraId="640161F6" w14:textId="32E0B26C">
      <w:pPr>
        <w:keepNext/>
        <w:rPr>
          <w:lang w:val="es-ES"/>
        </w:rPr>
      </w:pPr>
      <w:r w:rsidRPr="00417B03">
        <w:rPr>
          <w:lang w:val="es-ES"/>
        </w:rPr>
        <w:t>El siguiente texto es un ejemplo de como los resultados de la agrupación puede</w:t>
      </w:r>
      <w:r w:rsidRPr="00417B03" w:rsidR="00031683">
        <w:rPr>
          <w:lang w:val="es-ES"/>
        </w:rPr>
        <w:t>n</w:t>
      </w:r>
      <w:r w:rsidRPr="00417B03">
        <w:rPr>
          <w:lang w:val="es-ES"/>
        </w:rPr>
        <w:t xml:space="preserve"> ser descrito</w:t>
      </w:r>
      <w:r w:rsidRPr="00417B03" w:rsidR="00031683">
        <w:rPr>
          <w:lang w:val="es-ES"/>
        </w:rPr>
        <w:t>s</w:t>
      </w:r>
      <w:r w:rsidRPr="00417B03">
        <w:rPr>
          <w:lang w:val="es-ES"/>
        </w:rPr>
        <w:t xml:space="preserve"> a las partes interesadas: </w:t>
      </w:r>
    </w:p>
    <w:p w:rsidR="001F70A4" w:rsidRPr="00417B03" w:rsidP="00295932" w14:paraId="1F9EF5A5" w14:textId="4E91D655">
      <w:pPr>
        <w:ind w:left="720"/>
        <w:rPr>
          <w:i/>
          <w:iCs/>
          <w:lang w:val="es-ES"/>
        </w:rPr>
      </w:pPr>
      <w:r w:rsidRPr="00417B03">
        <w:rPr>
          <w:i/>
          <w:iCs/>
          <w:lang w:val="es-ES"/>
        </w:rPr>
        <w:t>L</w:t>
      </w:r>
      <w:r w:rsidRPr="00417B03" w:rsidR="00CF3B4A">
        <w:rPr>
          <w:i/>
          <w:iCs/>
          <w:lang w:val="es-ES"/>
        </w:rPr>
        <w:t xml:space="preserve">as 120 declaraciones impresas </w:t>
      </w:r>
      <w:r w:rsidRPr="00417B03" w:rsidR="00942CCD">
        <w:rPr>
          <w:i/>
          <w:iCs/>
          <w:lang w:val="es-ES"/>
        </w:rPr>
        <w:t xml:space="preserve">se </w:t>
      </w:r>
      <w:r w:rsidRPr="00417B03" w:rsidR="00942CCD">
        <w:rPr>
          <w:i/>
          <w:iCs/>
          <w:lang w:val="es-ES"/>
        </w:rPr>
        <w:t>agruparon</w:t>
      </w:r>
      <w:r w:rsidRPr="00417B03" w:rsidR="00576EC8">
        <w:rPr>
          <w:i/>
          <w:iCs/>
          <w:lang w:val="es-ES"/>
        </w:rPr>
        <w:t>en</w:t>
      </w:r>
      <w:r w:rsidRPr="00417B03" w:rsidR="00576EC8">
        <w:rPr>
          <w:i/>
          <w:iCs/>
          <w:lang w:val="es-ES"/>
        </w:rPr>
        <w:t xml:space="preserve"> un promedio de</w:t>
      </w:r>
      <w:r w:rsidRPr="00417B03" w:rsidR="00785B90">
        <w:rPr>
          <w:i/>
          <w:iCs/>
          <w:lang w:val="es-ES"/>
        </w:rPr>
        <w:t xml:space="preserve"> </w:t>
      </w:r>
      <w:r w:rsidRPr="00417B03" w:rsidR="00CF03D6">
        <w:rPr>
          <w:i/>
          <w:iCs/>
          <w:lang w:val="es-ES"/>
        </w:rPr>
        <w:t>XX.yy</w:t>
      </w:r>
      <w:r w:rsidRPr="00417B03" w:rsidR="00CF03D6">
        <w:rPr>
          <w:i/>
          <w:iCs/>
          <w:lang w:val="es-ES"/>
        </w:rPr>
        <w:t xml:space="preserve"> (</w:t>
      </w:r>
      <w:r w:rsidRPr="00417B03" w:rsidR="00576EC8">
        <w:rPr>
          <w:i/>
          <w:iCs/>
          <w:lang w:val="es-ES"/>
        </w:rPr>
        <w:t>DE</w:t>
      </w:r>
      <w:r w:rsidRPr="00417B03" w:rsidR="00CF03D6">
        <w:rPr>
          <w:i/>
          <w:iCs/>
          <w:lang w:val="es-ES"/>
        </w:rPr>
        <w:t xml:space="preserve"> = </w:t>
      </w:r>
      <w:r w:rsidRPr="00417B03" w:rsidR="00CF03D6">
        <w:rPr>
          <w:i/>
          <w:iCs/>
          <w:lang w:val="es-ES"/>
        </w:rPr>
        <w:t>x.yy</w:t>
      </w:r>
      <w:r w:rsidRPr="00417B03" w:rsidR="00CF03D6">
        <w:rPr>
          <w:i/>
          <w:iCs/>
          <w:lang w:val="es-ES"/>
        </w:rPr>
        <w:t>)</w:t>
      </w:r>
      <w:r w:rsidRPr="00417B03" w:rsidR="00295932">
        <w:rPr>
          <w:i/>
          <w:iCs/>
          <w:lang w:val="es-ES"/>
        </w:rPr>
        <w:t xml:space="preserve"> </w:t>
      </w:r>
      <w:r w:rsidRPr="00417B03" w:rsidR="00E71217">
        <w:rPr>
          <w:i/>
          <w:iCs/>
          <w:lang w:val="es-ES"/>
        </w:rPr>
        <w:t>grupos</w:t>
      </w:r>
      <w:r w:rsidRPr="00417B03" w:rsidR="00785B90">
        <w:rPr>
          <w:i/>
          <w:iCs/>
          <w:lang w:val="es-ES"/>
        </w:rPr>
        <w:t xml:space="preserve"> </w:t>
      </w:r>
      <w:r w:rsidRPr="00417B03" w:rsidR="00C622E4">
        <w:rPr>
          <w:i/>
          <w:iCs/>
          <w:lang w:val="es-ES"/>
        </w:rPr>
        <w:t>(</w:t>
      </w:r>
      <w:r w:rsidRPr="00417B03" w:rsidR="00E71217">
        <w:rPr>
          <w:i/>
          <w:iCs/>
          <w:lang w:val="es-ES"/>
        </w:rPr>
        <w:t>intervalo</w:t>
      </w:r>
      <w:r w:rsidRPr="00417B03" w:rsidR="00C622E4">
        <w:rPr>
          <w:i/>
          <w:iCs/>
          <w:lang w:val="es-ES"/>
        </w:rPr>
        <w:t xml:space="preserve"> = 2–10). La cantidad de declaraciones por </w:t>
      </w:r>
      <w:r w:rsidRPr="00417B03" w:rsidR="002C531C">
        <w:rPr>
          <w:i/>
          <w:iCs/>
          <w:lang w:val="es-ES"/>
        </w:rPr>
        <w:t>agrupación</w:t>
      </w:r>
      <w:r w:rsidRPr="00417B03" w:rsidR="00C622E4">
        <w:rPr>
          <w:i/>
          <w:iCs/>
          <w:lang w:val="es-ES"/>
        </w:rPr>
        <w:t xml:space="preserve"> </w:t>
      </w:r>
      <w:r w:rsidRPr="00417B03" w:rsidR="00C16EBE">
        <w:rPr>
          <w:i/>
          <w:iCs/>
          <w:lang w:val="es-ES"/>
        </w:rPr>
        <w:t>variaba d</w:t>
      </w:r>
      <w:r w:rsidRPr="00417B03" w:rsidR="00E71217">
        <w:rPr>
          <w:i/>
          <w:iCs/>
          <w:lang w:val="es-ES"/>
        </w:rPr>
        <w:t>e</w:t>
      </w:r>
      <w:r w:rsidRPr="00417B03" w:rsidR="00C16EBE">
        <w:rPr>
          <w:i/>
          <w:iCs/>
          <w:lang w:val="es-ES"/>
        </w:rPr>
        <w:t xml:space="preserve"> Y a Z y t</w:t>
      </w:r>
      <w:r w:rsidRPr="00417B03" w:rsidR="00110B31">
        <w:rPr>
          <w:i/>
          <w:iCs/>
          <w:lang w:val="es-ES"/>
        </w:rPr>
        <w:t>uvo</w:t>
      </w:r>
      <w:r w:rsidRPr="00417B03" w:rsidR="00C16EBE">
        <w:rPr>
          <w:i/>
          <w:iCs/>
          <w:lang w:val="es-ES"/>
        </w:rPr>
        <w:t xml:space="preserve"> un </w:t>
      </w:r>
      <w:r w:rsidRPr="00417B03" w:rsidR="002C531C">
        <w:rPr>
          <w:i/>
          <w:iCs/>
          <w:lang w:val="es-ES"/>
        </w:rPr>
        <w:t>promedio</w:t>
      </w:r>
      <w:r w:rsidRPr="00417B03" w:rsidR="00C16EBE">
        <w:rPr>
          <w:i/>
          <w:iCs/>
          <w:lang w:val="es-ES"/>
        </w:rPr>
        <w:t xml:space="preserve"> de </w:t>
      </w:r>
      <w:r w:rsidRPr="00417B03" w:rsidR="00C16EBE">
        <w:rPr>
          <w:i/>
          <w:iCs/>
          <w:lang w:val="es-ES"/>
        </w:rPr>
        <w:t>XX.yy</w:t>
      </w:r>
      <w:r w:rsidRPr="00417B03" w:rsidR="00C16EBE">
        <w:rPr>
          <w:i/>
          <w:iCs/>
          <w:lang w:val="es-ES"/>
        </w:rPr>
        <w:t xml:space="preserve"> (</w:t>
      </w:r>
      <w:r w:rsidRPr="00417B03" w:rsidR="00110B31">
        <w:rPr>
          <w:i/>
          <w:iCs/>
          <w:lang w:val="es-ES"/>
        </w:rPr>
        <w:t>DE</w:t>
      </w:r>
      <w:r w:rsidRPr="00417B03" w:rsidR="00C16EBE">
        <w:rPr>
          <w:i/>
          <w:iCs/>
          <w:lang w:val="es-ES"/>
        </w:rPr>
        <w:t xml:space="preserve"> = </w:t>
      </w:r>
      <w:r w:rsidRPr="00417B03" w:rsidR="00C16EBE">
        <w:rPr>
          <w:i/>
          <w:iCs/>
          <w:lang w:val="es-ES"/>
        </w:rPr>
        <w:t>x.yy</w:t>
      </w:r>
      <w:r w:rsidRPr="00417B03" w:rsidR="00C16EBE">
        <w:rPr>
          <w:i/>
          <w:iCs/>
          <w:lang w:val="es-ES"/>
        </w:rPr>
        <w:t xml:space="preserve">). </w:t>
      </w:r>
      <w:r w:rsidRPr="00417B03" w:rsidR="00482D9C">
        <w:rPr>
          <w:i/>
          <w:iCs/>
          <w:lang w:val="es-ES"/>
        </w:rPr>
        <w:t>Basado en los montones de declaraciones hechos por los participantes, el análisis de MDS produ</w:t>
      </w:r>
      <w:r w:rsidRPr="00417B03" w:rsidR="00110B31">
        <w:rPr>
          <w:i/>
          <w:iCs/>
          <w:lang w:val="es-ES"/>
        </w:rPr>
        <w:t>jo</w:t>
      </w:r>
      <w:r w:rsidRPr="00417B03" w:rsidR="008D3BD2">
        <w:rPr>
          <w:i/>
          <w:iCs/>
          <w:lang w:val="es-ES"/>
        </w:rPr>
        <w:t xml:space="preserve"> un mapa de puntos interpretables que </w:t>
      </w:r>
      <w:r w:rsidRPr="00417B03" w:rsidR="00FD5899">
        <w:rPr>
          <w:i/>
          <w:iCs/>
          <w:lang w:val="es-ES"/>
        </w:rPr>
        <w:t>muestra</w:t>
      </w:r>
      <w:r w:rsidRPr="00417B03" w:rsidR="00110B31">
        <w:rPr>
          <w:i/>
          <w:iCs/>
          <w:lang w:val="es-ES"/>
        </w:rPr>
        <w:t>n</w:t>
      </w:r>
      <w:r w:rsidRPr="00417B03" w:rsidR="00FD5899">
        <w:rPr>
          <w:i/>
          <w:iCs/>
          <w:lang w:val="es-ES"/>
        </w:rPr>
        <w:t xml:space="preserve"> </w:t>
      </w:r>
      <w:r w:rsidRPr="00417B03" w:rsidR="003F19CB">
        <w:rPr>
          <w:i/>
          <w:iCs/>
          <w:lang w:val="es-ES"/>
        </w:rPr>
        <w:t xml:space="preserve">las 120 declaraciones (vea apéndice </w:t>
      </w:r>
      <w:r w:rsidRPr="00417B03" w:rsidR="00A54A4E">
        <w:rPr>
          <w:i/>
          <w:iCs/>
          <w:lang w:val="es-ES"/>
        </w:rPr>
        <w:t xml:space="preserve">A para la lista completa de declaraciones). Cada una de las 120 declaraciones </w:t>
      </w:r>
      <w:r w:rsidRPr="00417B03" w:rsidR="003A68A4">
        <w:rPr>
          <w:i/>
          <w:iCs/>
          <w:lang w:val="es-ES"/>
        </w:rPr>
        <w:t>se indica</w:t>
      </w:r>
      <w:r w:rsidRPr="00417B03" w:rsidR="00A54A4E">
        <w:rPr>
          <w:i/>
          <w:iCs/>
          <w:lang w:val="es-ES"/>
        </w:rPr>
        <w:t xml:space="preserve"> en el mapa por un punto y un n</w:t>
      </w:r>
      <w:r w:rsidRPr="00417B03" w:rsidR="003A68A4">
        <w:rPr>
          <w:i/>
          <w:iCs/>
          <w:lang w:val="es-ES"/>
        </w:rPr>
        <w:t>ú</w:t>
      </w:r>
      <w:r w:rsidRPr="00417B03" w:rsidR="00A54A4E">
        <w:rPr>
          <w:i/>
          <w:iCs/>
          <w:lang w:val="es-ES"/>
        </w:rPr>
        <w:t>mero (</w:t>
      </w:r>
      <w:r w:rsidRPr="00417B03" w:rsidR="003A68A4">
        <w:rPr>
          <w:i/>
          <w:iCs/>
          <w:lang w:val="es-ES"/>
        </w:rPr>
        <w:t>consultar</w:t>
      </w:r>
      <w:r w:rsidRPr="00417B03" w:rsidR="00A54A4E">
        <w:rPr>
          <w:i/>
          <w:iCs/>
          <w:lang w:val="es-ES"/>
        </w:rPr>
        <w:t xml:space="preserve"> gráfica 1).</w:t>
      </w:r>
    </w:p>
    <w:p w:rsidR="00EC55CE" w:rsidRPr="00417B03" w:rsidP="00295932" w14:paraId="5558028A" w14:textId="582BD35B">
      <w:pPr>
        <w:ind w:left="720"/>
        <w:rPr>
          <w:i/>
          <w:iCs/>
          <w:lang w:val="es-ES"/>
        </w:rPr>
      </w:pPr>
      <w:r w:rsidRPr="00417B03">
        <w:rPr>
          <w:i/>
          <w:iCs/>
          <w:lang w:val="es-ES"/>
        </w:rPr>
        <w:t>Las d</w:t>
      </w:r>
      <w:r w:rsidRPr="00417B03">
        <w:rPr>
          <w:i/>
          <w:iCs/>
          <w:lang w:val="es-ES"/>
        </w:rPr>
        <w:t>eclaracion</w:t>
      </w:r>
      <w:r w:rsidRPr="00417B03" w:rsidR="00223434">
        <w:rPr>
          <w:i/>
          <w:iCs/>
          <w:lang w:val="es-ES"/>
        </w:rPr>
        <w:t xml:space="preserve">es </w:t>
      </w:r>
      <w:r w:rsidRPr="00417B03" w:rsidR="00D33659">
        <w:rPr>
          <w:i/>
          <w:iCs/>
          <w:lang w:val="es-ES"/>
        </w:rPr>
        <w:t>más</w:t>
      </w:r>
      <w:r w:rsidRPr="00417B03" w:rsidR="00223434">
        <w:rPr>
          <w:i/>
          <w:iCs/>
          <w:lang w:val="es-ES"/>
        </w:rPr>
        <w:t xml:space="preserve"> </w:t>
      </w:r>
      <w:r w:rsidRPr="00417B03">
        <w:rPr>
          <w:i/>
          <w:iCs/>
          <w:lang w:val="es-ES"/>
        </w:rPr>
        <w:t>parecida</w:t>
      </w:r>
      <w:r w:rsidRPr="00417B03" w:rsidR="00223434">
        <w:rPr>
          <w:i/>
          <w:iCs/>
          <w:lang w:val="es-ES"/>
        </w:rPr>
        <w:t xml:space="preserve">s o relacionadas se encuentran </w:t>
      </w:r>
      <w:r w:rsidRPr="00417B03" w:rsidR="00D33659">
        <w:rPr>
          <w:i/>
          <w:iCs/>
          <w:lang w:val="es-ES"/>
        </w:rPr>
        <w:t>más</w:t>
      </w:r>
      <w:r w:rsidRPr="00417B03" w:rsidR="00D23602">
        <w:rPr>
          <w:i/>
          <w:iCs/>
          <w:lang w:val="es-ES"/>
        </w:rPr>
        <w:t xml:space="preserve"> cerca</w:t>
      </w:r>
      <w:r w:rsidRPr="00417B03" w:rsidR="00E66C37">
        <w:rPr>
          <w:i/>
          <w:iCs/>
          <w:lang w:val="es-ES"/>
        </w:rPr>
        <w:t xml:space="preserve"> </w:t>
      </w:r>
      <w:r w:rsidRPr="00417B03" w:rsidR="00C01C83">
        <w:rPr>
          <w:i/>
          <w:iCs/>
          <w:lang w:val="es-ES"/>
        </w:rPr>
        <w:t>unas de otras</w:t>
      </w:r>
      <w:r w:rsidRPr="00417B03" w:rsidR="00E66C37">
        <w:rPr>
          <w:i/>
          <w:iCs/>
          <w:lang w:val="es-ES"/>
        </w:rPr>
        <w:t xml:space="preserve"> en el mapa, reflejando un alt</w:t>
      </w:r>
      <w:r w:rsidRPr="00417B03" w:rsidR="00D33659">
        <w:rPr>
          <w:i/>
          <w:iCs/>
          <w:lang w:val="es-ES"/>
        </w:rPr>
        <w:t xml:space="preserve">o grado de similitud conceptual </w:t>
      </w:r>
      <w:r w:rsidRPr="00417B03" w:rsidR="00F4032A">
        <w:rPr>
          <w:i/>
          <w:iCs/>
          <w:lang w:val="es-ES"/>
        </w:rPr>
        <w:t>según</w:t>
      </w:r>
      <w:r w:rsidRPr="00417B03" w:rsidR="00D33659">
        <w:rPr>
          <w:i/>
          <w:iCs/>
          <w:lang w:val="es-ES"/>
        </w:rPr>
        <w:t xml:space="preserve"> los participantes</w:t>
      </w:r>
      <w:r w:rsidRPr="00417B03" w:rsidR="00235C2E">
        <w:rPr>
          <w:i/>
          <w:iCs/>
          <w:lang w:val="es-ES"/>
        </w:rPr>
        <w:t xml:space="preserve">. </w:t>
      </w:r>
      <w:r w:rsidRPr="00417B03" w:rsidR="00EF1DF0">
        <w:rPr>
          <w:i/>
          <w:iCs/>
          <w:lang w:val="es-ES"/>
        </w:rPr>
        <w:t>La distancia entre los puntos no cambiaría</w:t>
      </w:r>
      <w:r w:rsidRPr="00417B03" w:rsidR="00235C2E">
        <w:rPr>
          <w:i/>
          <w:iCs/>
          <w:lang w:val="es-ES"/>
        </w:rPr>
        <w:t xml:space="preserve"> si se </w:t>
      </w:r>
      <w:r w:rsidRPr="00417B03" w:rsidR="00E55A56">
        <w:rPr>
          <w:i/>
          <w:iCs/>
          <w:lang w:val="es-ES"/>
        </w:rPr>
        <w:t>girara el mapa o si se modificara la agrupación.</w:t>
      </w:r>
      <w:r w:rsidRPr="00417B03" w:rsidR="00EF1DF0">
        <w:rPr>
          <w:i/>
          <w:iCs/>
          <w:lang w:val="es-ES"/>
        </w:rPr>
        <w:t xml:space="preserve"> El mapa de agrupacion</w:t>
      </w:r>
      <w:r w:rsidRPr="00417B03" w:rsidR="004E0AB0">
        <w:rPr>
          <w:i/>
          <w:iCs/>
          <w:lang w:val="es-ES"/>
        </w:rPr>
        <w:t xml:space="preserve">es </w:t>
      </w:r>
      <w:r w:rsidRPr="00417B03" w:rsidR="00CF5CAA">
        <w:rPr>
          <w:i/>
          <w:iCs/>
          <w:lang w:val="es-ES"/>
        </w:rPr>
        <w:t>con</w:t>
      </w:r>
      <w:r w:rsidRPr="00417B03" w:rsidR="00F4032A">
        <w:rPr>
          <w:i/>
          <w:iCs/>
          <w:lang w:val="es-ES"/>
        </w:rPr>
        <w:t>sta</w:t>
      </w:r>
      <w:r w:rsidRPr="00417B03" w:rsidR="00CF5CAA">
        <w:rPr>
          <w:i/>
          <w:iCs/>
          <w:lang w:val="es-ES"/>
        </w:rPr>
        <w:t xml:space="preserve"> </w:t>
      </w:r>
      <w:r w:rsidRPr="00417B03" w:rsidR="00F4032A">
        <w:rPr>
          <w:i/>
          <w:iCs/>
          <w:lang w:val="es-ES"/>
        </w:rPr>
        <w:t>de</w:t>
      </w:r>
      <w:r w:rsidRPr="00417B03" w:rsidR="004E0AB0">
        <w:rPr>
          <w:i/>
          <w:iCs/>
          <w:lang w:val="es-ES"/>
        </w:rPr>
        <w:t xml:space="preserve"> </w:t>
      </w:r>
      <w:r w:rsidRPr="00417B03" w:rsidR="00E61E4E">
        <w:rPr>
          <w:i/>
          <w:iCs/>
          <w:lang w:val="es-ES"/>
        </w:rPr>
        <w:t>forma</w:t>
      </w:r>
      <w:r w:rsidRPr="00417B03" w:rsidR="00F4032A">
        <w:rPr>
          <w:i/>
          <w:iCs/>
          <w:lang w:val="es-ES"/>
        </w:rPr>
        <w:t>s</w:t>
      </w:r>
      <w:r w:rsidRPr="00417B03" w:rsidR="00E61E4E">
        <w:rPr>
          <w:i/>
          <w:iCs/>
          <w:lang w:val="es-ES"/>
        </w:rPr>
        <w:t xml:space="preserve"> </w:t>
      </w:r>
      <w:r w:rsidRPr="00417B03" w:rsidR="00610DD0">
        <w:rPr>
          <w:i/>
          <w:iCs/>
          <w:lang w:val="es-ES"/>
        </w:rPr>
        <w:t>geométricas</w:t>
      </w:r>
      <w:r w:rsidRPr="00417B03" w:rsidR="00E61E4E">
        <w:rPr>
          <w:i/>
          <w:iCs/>
          <w:lang w:val="es-ES"/>
        </w:rPr>
        <w:t xml:space="preserve"> irregulares </w:t>
      </w:r>
      <w:r w:rsidRPr="00417B03" w:rsidR="000D0DEF">
        <w:rPr>
          <w:i/>
          <w:iCs/>
          <w:lang w:val="es-ES"/>
        </w:rPr>
        <w:t>que definen</w:t>
      </w:r>
      <w:r w:rsidRPr="00417B03" w:rsidR="00B75CA3">
        <w:rPr>
          <w:i/>
          <w:iCs/>
          <w:lang w:val="es-ES"/>
        </w:rPr>
        <w:t xml:space="preserve"> los dominios conceptuales en el mapa de puntos. El equipo</w:t>
      </w:r>
      <w:r w:rsidRPr="00417B03" w:rsidR="003D379B">
        <w:rPr>
          <w:i/>
          <w:iCs/>
          <w:lang w:val="es-ES"/>
        </w:rPr>
        <w:t xml:space="preserve"> de investigación</w:t>
      </w:r>
      <w:r w:rsidRPr="00417B03" w:rsidR="00B75CA3">
        <w:rPr>
          <w:i/>
          <w:iCs/>
          <w:lang w:val="es-ES"/>
        </w:rPr>
        <w:t xml:space="preserve"> </w:t>
      </w:r>
      <w:r w:rsidRPr="00417B03" w:rsidR="00AB73D5">
        <w:rPr>
          <w:i/>
          <w:iCs/>
          <w:lang w:val="es-ES"/>
        </w:rPr>
        <w:t>escogió</w:t>
      </w:r>
      <w:r w:rsidRPr="00417B03" w:rsidR="00CF5CAA">
        <w:rPr>
          <w:i/>
          <w:iCs/>
          <w:lang w:val="es-ES"/>
        </w:rPr>
        <w:t xml:space="preserve"> la </w:t>
      </w:r>
      <w:r w:rsidRPr="00417B03" w:rsidR="00AB73D5">
        <w:rPr>
          <w:i/>
          <w:iCs/>
          <w:lang w:val="es-ES"/>
        </w:rPr>
        <w:t xml:space="preserve">solución de </w:t>
      </w:r>
      <w:r w:rsidRPr="00417B03" w:rsidR="00430BDE">
        <w:rPr>
          <w:i/>
          <w:iCs/>
          <w:lang w:val="es-ES"/>
        </w:rPr>
        <w:t>5</w:t>
      </w:r>
      <w:r w:rsidRPr="00417B03" w:rsidR="003D379B">
        <w:rPr>
          <w:i/>
          <w:iCs/>
          <w:lang w:val="es-ES"/>
        </w:rPr>
        <w:t xml:space="preserve"> </w:t>
      </w:r>
      <w:r w:rsidRPr="00417B03" w:rsidR="00AB73D5">
        <w:rPr>
          <w:i/>
          <w:iCs/>
          <w:lang w:val="es-ES"/>
        </w:rPr>
        <w:t xml:space="preserve">agrupaciones porque la solución de </w:t>
      </w:r>
      <w:r w:rsidRPr="00417B03" w:rsidR="00430BDE">
        <w:rPr>
          <w:i/>
          <w:iCs/>
          <w:lang w:val="es-ES"/>
        </w:rPr>
        <w:t>6</w:t>
      </w:r>
      <w:r w:rsidRPr="00417B03" w:rsidR="003D379B">
        <w:rPr>
          <w:i/>
          <w:iCs/>
          <w:lang w:val="es-ES"/>
        </w:rPr>
        <w:t xml:space="preserve"> </w:t>
      </w:r>
      <w:r w:rsidRPr="00417B03" w:rsidR="00AB73D5">
        <w:rPr>
          <w:i/>
          <w:iCs/>
          <w:lang w:val="es-ES"/>
        </w:rPr>
        <w:t xml:space="preserve">agrupaciones </w:t>
      </w:r>
      <w:r w:rsidRPr="00417B03" w:rsidR="00430BDE">
        <w:rPr>
          <w:i/>
          <w:iCs/>
          <w:lang w:val="es-ES"/>
        </w:rPr>
        <w:t>dividió</w:t>
      </w:r>
      <w:r w:rsidRPr="00417B03" w:rsidR="002C4169">
        <w:rPr>
          <w:i/>
          <w:iCs/>
          <w:lang w:val="es-ES"/>
        </w:rPr>
        <w:t xml:space="preserve"> la </w:t>
      </w:r>
      <w:r w:rsidRPr="00417B03" w:rsidR="00430BDE">
        <w:rPr>
          <w:i/>
          <w:iCs/>
          <w:lang w:val="es-ES"/>
        </w:rPr>
        <w:t xml:space="preserve">agrupación </w:t>
      </w:r>
      <w:r w:rsidRPr="00417B03" w:rsidR="002C4169">
        <w:rPr>
          <w:i/>
          <w:iCs/>
          <w:lang w:val="es-ES"/>
        </w:rPr>
        <w:t>1 en</w:t>
      </w:r>
      <w:r w:rsidRPr="00417B03" w:rsidR="00430BDE">
        <w:rPr>
          <w:i/>
          <w:iCs/>
          <w:lang w:val="es-ES"/>
        </w:rPr>
        <w:t xml:space="preserve"> 2 distintas agrupaciones, pero su contenido </w:t>
      </w:r>
      <w:r w:rsidRPr="00417B03" w:rsidR="00AE3083">
        <w:rPr>
          <w:i/>
          <w:iCs/>
          <w:lang w:val="es-ES"/>
        </w:rPr>
        <w:t>se entrecruzaba. L</w:t>
      </w:r>
      <w:r w:rsidRPr="00417B03" w:rsidR="0025598E">
        <w:rPr>
          <w:i/>
          <w:iCs/>
          <w:lang w:val="es-ES"/>
        </w:rPr>
        <w:t xml:space="preserve">a </w:t>
      </w:r>
      <w:r w:rsidRPr="00417B03" w:rsidR="00354A9B">
        <w:rPr>
          <w:i/>
          <w:iCs/>
          <w:lang w:val="es-ES"/>
        </w:rPr>
        <w:t>solución</w:t>
      </w:r>
      <w:r w:rsidRPr="00417B03" w:rsidR="0025598E">
        <w:rPr>
          <w:i/>
          <w:iCs/>
          <w:lang w:val="es-ES"/>
        </w:rPr>
        <w:t xml:space="preserve"> de </w:t>
      </w:r>
      <w:r w:rsidRPr="00417B03" w:rsidR="00AE3083">
        <w:rPr>
          <w:i/>
          <w:iCs/>
          <w:lang w:val="es-ES"/>
        </w:rPr>
        <w:t xml:space="preserve">4 </w:t>
      </w:r>
      <w:r w:rsidRPr="00417B03" w:rsidR="0025598E">
        <w:rPr>
          <w:i/>
          <w:iCs/>
          <w:lang w:val="es-ES"/>
        </w:rPr>
        <w:t>agrupaciones</w:t>
      </w:r>
      <w:r w:rsidRPr="00417B03" w:rsidR="00F914DB">
        <w:rPr>
          <w:i/>
          <w:iCs/>
          <w:lang w:val="es-ES"/>
        </w:rPr>
        <w:t xml:space="preserve"> reagrupaba</w:t>
      </w:r>
      <w:r w:rsidRPr="00417B03" w:rsidR="0025598E">
        <w:rPr>
          <w:i/>
          <w:iCs/>
          <w:lang w:val="es-ES"/>
        </w:rPr>
        <w:t xml:space="preserve"> las agrupaciones 11 y 10, que</w:t>
      </w:r>
      <w:r w:rsidRPr="00417B03" w:rsidR="00354A9B">
        <w:rPr>
          <w:i/>
          <w:iCs/>
          <w:lang w:val="es-ES"/>
        </w:rPr>
        <w:t xml:space="preserve"> parecen aportar </w:t>
      </w:r>
      <w:r w:rsidRPr="00417B03" w:rsidR="006008E2">
        <w:rPr>
          <w:i/>
          <w:iCs/>
          <w:lang w:val="es-ES"/>
        </w:rPr>
        <w:t>distintos elementos</w:t>
      </w:r>
      <w:r w:rsidRPr="00417B03" w:rsidR="00354A9B">
        <w:rPr>
          <w:i/>
          <w:iCs/>
          <w:lang w:val="es-ES"/>
        </w:rPr>
        <w:t xml:space="preserve"> a la conceptualización. </w:t>
      </w:r>
    </w:p>
    <w:p w:rsidR="00570E99" w:rsidRPr="00417B03" w:rsidP="00C36593" w14:paraId="1C817B54" w14:textId="49D96EC1">
      <w:pPr>
        <w:rPr>
          <w:lang w:val="es-ES"/>
        </w:rPr>
      </w:pPr>
      <w:r w:rsidRPr="00417B03">
        <w:rPr>
          <w:b/>
          <w:bCs/>
          <w:lang w:val="es-ES"/>
        </w:rPr>
        <w:t xml:space="preserve">Diagramas </w:t>
      </w:r>
      <w:r w:rsidRPr="00417B03" w:rsidR="002A008B">
        <w:rPr>
          <w:b/>
          <w:bCs/>
          <w:lang w:val="es-ES"/>
        </w:rPr>
        <w:t>“</w:t>
      </w:r>
      <w:r w:rsidRPr="00417B03" w:rsidR="002A008B">
        <w:rPr>
          <w:b/>
          <w:bCs/>
          <w:lang w:val="es-ES"/>
        </w:rPr>
        <w:t>Go-Zone</w:t>
      </w:r>
      <w:r w:rsidRPr="00417B03" w:rsidR="002A008B">
        <w:rPr>
          <w:b/>
          <w:bCs/>
          <w:lang w:val="es-ES"/>
        </w:rPr>
        <w:t>”</w:t>
      </w:r>
      <w:r w:rsidRPr="00417B03">
        <w:rPr>
          <w:b/>
          <w:bCs/>
          <w:lang w:val="es-ES"/>
        </w:rPr>
        <w:t xml:space="preserve">. </w:t>
      </w:r>
      <w:r w:rsidRPr="00417B03" w:rsidR="001216D9">
        <w:rPr>
          <w:lang w:val="es-ES"/>
        </w:rPr>
        <w:t xml:space="preserve">El diagrama </w:t>
      </w:r>
      <w:r w:rsidRPr="00417B03" w:rsidR="00E21345">
        <w:rPr>
          <w:lang w:val="es-ES"/>
        </w:rPr>
        <w:t>“</w:t>
      </w:r>
      <w:r w:rsidRPr="00417B03" w:rsidR="00E21345">
        <w:rPr>
          <w:lang w:val="es-ES"/>
        </w:rPr>
        <w:t>Go-Zone</w:t>
      </w:r>
      <w:r w:rsidRPr="00417B03" w:rsidR="00E21345">
        <w:rPr>
          <w:lang w:val="es-ES"/>
        </w:rPr>
        <w:t>”</w:t>
      </w:r>
      <w:r w:rsidRPr="00417B03" w:rsidR="001216D9">
        <w:rPr>
          <w:lang w:val="es-ES"/>
        </w:rPr>
        <w:t xml:space="preserve"> (</w:t>
      </w:r>
      <w:r w:rsidRPr="00417B03" w:rsidR="005D2BCC">
        <w:rPr>
          <w:lang w:val="es-ES"/>
        </w:rPr>
        <w:t>gráfica</w:t>
      </w:r>
      <w:r w:rsidRPr="00417B03" w:rsidR="001216D9">
        <w:rPr>
          <w:lang w:val="es-ES"/>
        </w:rPr>
        <w:t xml:space="preserve"> 2) es un</w:t>
      </w:r>
      <w:r w:rsidRPr="00417B03" w:rsidR="008B0DED">
        <w:rPr>
          <w:lang w:val="es-ES"/>
        </w:rPr>
        <w:t xml:space="preserve">a visualización eficaz para reconocer </w:t>
      </w:r>
      <w:r w:rsidRPr="00417B03" w:rsidR="009F61BB">
        <w:rPr>
          <w:lang w:val="es-ES"/>
        </w:rPr>
        <w:t>cuales ideas se consideran</w:t>
      </w:r>
      <w:r w:rsidRPr="00417B03" w:rsidR="00A04FEF">
        <w:rPr>
          <w:lang w:val="es-ES"/>
        </w:rPr>
        <w:t xml:space="preserve"> accionables</w:t>
      </w:r>
      <w:r w:rsidRPr="00417B03" w:rsidR="005D2BCC">
        <w:rPr>
          <w:lang w:val="es-ES"/>
        </w:rPr>
        <w:t xml:space="preserve"> por</w:t>
      </w:r>
      <w:r w:rsidRPr="00417B03" w:rsidR="009F61BB">
        <w:rPr>
          <w:lang w:val="es-ES"/>
        </w:rPr>
        <w:t xml:space="preserve"> las partes interesadas</w:t>
      </w:r>
      <w:r w:rsidRPr="00417B03" w:rsidR="005D64E3">
        <w:rPr>
          <w:lang w:val="es-ES"/>
        </w:rPr>
        <w:t>.</w:t>
      </w:r>
      <w:r w:rsidRPr="00417B03" w:rsidR="003F6BFE">
        <w:rPr>
          <w:lang w:val="es-ES"/>
        </w:rPr>
        <w:t xml:space="preserve"> Las ejes reflejan el criterio de </w:t>
      </w:r>
      <w:r w:rsidRPr="00417B03" w:rsidR="00A04FEF">
        <w:rPr>
          <w:lang w:val="es-ES"/>
        </w:rPr>
        <w:t>valoración</w:t>
      </w:r>
      <w:r w:rsidRPr="00417B03" w:rsidR="003F6BFE">
        <w:rPr>
          <w:lang w:val="es-ES"/>
        </w:rPr>
        <w:t xml:space="preserve"> y determinan la </w:t>
      </w:r>
      <w:r w:rsidRPr="00417B03" w:rsidR="003B40F5">
        <w:rPr>
          <w:lang w:val="es-ES"/>
        </w:rPr>
        <w:t>dimensión del espacio; en este caso, se gener</w:t>
      </w:r>
      <w:r w:rsidRPr="00417B03" w:rsidR="00A04FEF">
        <w:rPr>
          <w:lang w:val="es-ES"/>
        </w:rPr>
        <w:t>ó</w:t>
      </w:r>
      <w:r w:rsidRPr="00417B03" w:rsidR="003B40F5">
        <w:rPr>
          <w:lang w:val="es-ES"/>
        </w:rPr>
        <w:t xml:space="preserve"> un diagrama </w:t>
      </w:r>
      <w:r w:rsidRPr="00417B03" w:rsidR="00A04FEF">
        <w:rPr>
          <w:lang w:val="es-ES"/>
        </w:rPr>
        <w:t>bidimensional</w:t>
      </w:r>
      <w:r w:rsidRPr="00417B03" w:rsidR="003B40F5">
        <w:rPr>
          <w:lang w:val="es-ES"/>
        </w:rPr>
        <w:t xml:space="preserve">. Ejemplos de posibles dimensiones de </w:t>
      </w:r>
      <w:r w:rsidRPr="00417B03" w:rsidR="00195138">
        <w:rPr>
          <w:lang w:val="es-ES"/>
        </w:rPr>
        <w:t>valoración</w:t>
      </w:r>
      <w:r w:rsidRPr="00417B03" w:rsidR="003B40F5">
        <w:rPr>
          <w:lang w:val="es-ES"/>
        </w:rPr>
        <w:t xml:space="preserve"> son el posible impacto y la viabilidad de implementación</w:t>
      </w:r>
      <w:r w:rsidRPr="00417B03" w:rsidR="00BA2C0E">
        <w:rPr>
          <w:lang w:val="es-ES"/>
        </w:rPr>
        <w:t>.</w:t>
      </w:r>
      <w:r w:rsidRPr="00417B03" w:rsidR="00767E8B">
        <w:rPr>
          <w:lang w:val="es-ES"/>
        </w:rPr>
        <w:t xml:space="preserve"> Las líneas </w:t>
      </w:r>
      <w:r w:rsidRPr="00417B03" w:rsidR="00A70E2C">
        <w:rPr>
          <w:lang w:val="es-ES"/>
        </w:rPr>
        <w:t>bisectrices</w:t>
      </w:r>
      <w:r w:rsidRPr="00417B03" w:rsidR="00767E8B">
        <w:rPr>
          <w:lang w:val="es-ES"/>
        </w:rPr>
        <w:t xml:space="preserve"> indican </w:t>
      </w:r>
      <w:r w:rsidRPr="00417B03" w:rsidR="00300FA6">
        <w:rPr>
          <w:lang w:val="es-ES"/>
        </w:rPr>
        <w:t xml:space="preserve">la </w:t>
      </w:r>
      <w:r w:rsidRPr="00417B03" w:rsidR="00195138">
        <w:rPr>
          <w:lang w:val="es-ES"/>
        </w:rPr>
        <w:t>valoración</w:t>
      </w:r>
      <w:r w:rsidRPr="00417B03" w:rsidR="00300FA6">
        <w:rPr>
          <w:lang w:val="es-ES"/>
        </w:rPr>
        <w:t xml:space="preserve"> </w:t>
      </w:r>
      <w:r w:rsidRPr="00417B03" w:rsidR="00A70E2C">
        <w:rPr>
          <w:lang w:val="es-ES"/>
        </w:rPr>
        <w:t>media</w:t>
      </w:r>
      <w:r w:rsidRPr="00417B03" w:rsidR="00300FA6">
        <w:rPr>
          <w:lang w:val="es-ES"/>
        </w:rPr>
        <w:t xml:space="preserve"> </w:t>
      </w:r>
      <w:r w:rsidRPr="00417B03" w:rsidR="00A70E2C">
        <w:rPr>
          <w:lang w:val="es-ES"/>
        </w:rPr>
        <w:t>de los</w:t>
      </w:r>
      <w:r w:rsidRPr="00417B03" w:rsidR="00300FA6">
        <w:rPr>
          <w:lang w:val="es-ES"/>
        </w:rPr>
        <w:t xml:space="preserve"> criterio</w:t>
      </w:r>
      <w:r w:rsidRPr="00417B03" w:rsidR="00A70E2C">
        <w:rPr>
          <w:lang w:val="es-ES"/>
        </w:rPr>
        <w:t>s</w:t>
      </w:r>
      <w:r w:rsidRPr="00417B03" w:rsidR="00300FA6">
        <w:rPr>
          <w:lang w:val="es-ES"/>
        </w:rPr>
        <w:t xml:space="preserve">, y el </w:t>
      </w:r>
      <w:r w:rsidRPr="00417B03" w:rsidR="009C60A8">
        <w:rPr>
          <w:lang w:val="es-ES"/>
        </w:rPr>
        <w:t xml:space="preserve">cuadrante verde en la esquina superior </w:t>
      </w:r>
      <w:r w:rsidRPr="00417B03" w:rsidR="00D922FD">
        <w:rPr>
          <w:lang w:val="es-ES"/>
        </w:rPr>
        <w:t xml:space="preserve">izquierda representa </w:t>
      </w:r>
      <w:r w:rsidRPr="00417B03" w:rsidR="004B683B">
        <w:rPr>
          <w:lang w:val="es-ES"/>
        </w:rPr>
        <w:t>el</w:t>
      </w:r>
      <w:r w:rsidRPr="00417B03" w:rsidR="00D922FD">
        <w:rPr>
          <w:lang w:val="es-ES"/>
        </w:rPr>
        <w:t xml:space="preserve"> </w:t>
      </w:r>
      <w:r w:rsidRPr="00417B03" w:rsidR="00031474">
        <w:rPr>
          <w:lang w:val="es-ES"/>
        </w:rPr>
        <w:t>“</w:t>
      </w:r>
      <w:r w:rsidRPr="00417B03" w:rsidR="00031474">
        <w:rPr>
          <w:lang w:val="es-ES"/>
        </w:rPr>
        <w:t>Go-Zone</w:t>
      </w:r>
      <w:r w:rsidRPr="00417B03" w:rsidR="00031474">
        <w:rPr>
          <w:lang w:val="es-ES"/>
        </w:rPr>
        <w:t>”</w:t>
      </w:r>
      <w:r w:rsidRPr="00417B03" w:rsidR="00D922FD">
        <w:rPr>
          <w:lang w:val="es-ES"/>
        </w:rPr>
        <w:t xml:space="preserve">, que identifica las ideas con una </w:t>
      </w:r>
      <w:r w:rsidRPr="00417B03" w:rsidR="00031474">
        <w:rPr>
          <w:lang w:val="es-ES"/>
        </w:rPr>
        <w:t>valora</w:t>
      </w:r>
      <w:r w:rsidRPr="00417B03" w:rsidR="00D922FD">
        <w:rPr>
          <w:lang w:val="es-ES"/>
        </w:rPr>
        <w:t>ción alta (</w:t>
      </w:r>
      <w:r w:rsidRPr="00417B03" w:rsidR="00267B15">
        <w:rPr>
          <w:lang w:val="es-ES"/>
        </w:rPr>
        <w:t xml:space="preserve">superior al promedio) en </w:t>
      </w:r>
      <w:r w:rsidRPr="00417B03" w:rsidR="002211C9">
        <w:rPr>
          <w:lang w:val="es-ES"/>
        </w:rPr>
        <w:t xml:space="preserve">el posible impacto y la viabilidad de implementación. Al contrario, la zona gris </w:t>
      </w:r>
      <w:r w:rsidRPr="00417B03" w:rsidR="00995118">
        <w:rPr>
          <w:lang w:val="es-ES"/>
        </w:rPr>
        <w:t>identifica</w:t>
      </w:r>
      <w:r w:rsidRPr="00417B03" w:rsidR="002211C9">
        <w:rPr>
          <w:lang w:val="es-ES"/>
        </w:rPr>
        <w:t xml:space="preserve"> ideas con </w:t>
      </w:r>
      <w:r w:rsidRPr="00417B03" w:rsidR="00031474">
        <w:rPr>
          <w:lang w:val="es-ES"/>
        </w:rPr>
        <w:t>valoraci</w:t>
      </w:r>
      <w:r w:rsidRPr="00417B03" w:rsidR="002211C9">
        <w:rPr>
          <w:lang w:val="es-ES"/>
        </w:rPr>
        <w:t xml:space="preserve">ón baja </w:t>
      </w:r>
      <w:r w:rsidRPr="00417B03" w:rsidR="00995118">
        <w:rPr>
          <w:lang w:val="es-ES"/>
        </w:rPr>
        <w:t xml:space="preserve">en el posible impacto y la viabilidad de implementación. </w:t>
      </w:r>
    </w:p>
    <w:p w:rsidR="007D030B" w:rsidRPr="00417B03" w:rsidP="007D030B" w14:paraId="185BBDB7" w14:textId="7F756308">
      <w:pPr>
        <w:pStyle w:val="FigureTitle-IPR"/>
        <w:rPr>
          <w:lang w:val="es-ES"/>
        </w:rPr>
      </w:pPr>
      <w:r w:rsidRPr="00417B03">
        <w:rPr>
          <w:lang w:val="es-PR"/>
        </w:rPr>
        <w:t xml:space="preserve">Gráfica </w:t>
      </w:r>
      <w:r w:rsidRPr="00417B03">
        <w:rPr>
          <w:lang w:val="es-ES"/>
        </w:rPr>
        <w:t xml:space="preserve">2. </w:t>
      </w:r>
      <w:r w:rsidRPr="00417B03">
        <w:rPr>
          <w:lang w:val="es-ES"/>
        </w:rPr>
        <w:t xml:space="preserve">Ejemplo del </w:t>
      </w:r>
      <w:r w:rsidRPr="00417B03" w:rsidR="00587D4A">
        <w:rPr>
          <w:lang w:val="es-ES"/>
        </w:rPr>
        <w:t xml:space="preserve">Diagrama </w:t>
      </w:r>
      <w:r w:rsidRPr="00417B03" w:rsidR="00031474">
        <w:rPr>
          <w:lang w:val="es-ES"/>
        </w:rPr>
        <w:t>“</w:t>
      </w:r>
      <w:r w:rsidRPr="00417B03" w:rsidR="00031474">
        <w:rPr>
          <w:lang w:val="es-ES"/>
        </w:rPr>
        <w:t>Go-Zone</w:t>
      </w:r>
      <w:r w:rsidRPr="00417B03" w:rsidR="00031474">
        <w:rPr>
          <w:lang w:val="es-ES"/>
        </w:rPr>
        <w:t>”</w:t>
      </w:r>
      <w:r w:rsidRPr="00417B03" w:rsidR="00587D4A">
        <w:rPr>
          <w:lang w:val="es-ES"/>
        </w:rPr>
        <w:t xml:space="preserve"> </w:t>
      </w:r>
    </w:p>
    <w:p w:rsidR="007D030B" w:rsidRPr="00417B03" w:rsidP="00C36593" w14:paraId="1289C9C9" w14:textId="77777777">
      <w:r w:rsidRPr="00417B03">
        <w:rPr>
          <w:noProof/>
        </w:rPr>
        <w:drawing>
          <wp:inline distT="0" distB="0" distL="0" distR="0">
            <wp:extent cx="4761230" cy="3000057"/>
            <wp:effectExtent l="0" t="0" r="1270" b="0"/>
            <wp:docPr id="3" name="Picture 3" descr="Chart, treemap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treemap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763" cy="300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4ADD" w:rsidRPr="00417B03" w:rsidP="00C36593" w14:paraId="7AB72A45" w14:textId="5DADE9BE">
      <w:pPr>
        <w:rPr>
          <w:lang w:val="es-ES"/>
        </w:rPr>
      </w:pPr>
      <w:r w:rsidRPr="00417B03">
        <w:rPr>
          <w:lang w:val="es-ES"/>
        </w:rPr>
        <w:t xml:space="preserve">El siguiente texto es un ejemplo de como los resultados de la agrupación pueden ser descritos a las partes interesadas: </w:t>
      </w:r>
    </w:p>
    <w:p w:rsidR="004E46A2" w:rsidRPr="00417B03" w:rsidP="00DD6E29" w14:paraId="0713AA51" w14:textId="0A161E36">
      <w:pPr>
        <w:ind w:left="720"/>
        <w:rPr>
          <w:i/>
          <w:iCs/>
          <w:lang w:val="es-ES"/>
        </w:rPr>
      </w:pPr>
      <w:r w:rsidRPr="00417B03">
        <w:rPr>
          <w:i/>
          <w:iCs/>
          <w:lang w:val="es-ES"/>
        </w:rPr>
        <w:t xml:space="preserve">La gráfica 2 muestra </w:t>
      </w:r>
      <w:r w:rsidRPr="00417B03" w:rsidR="005B45A2">
        <w:rPr>
          <w:i/>
          <w:iCs/>
          <w:lang w:val="es-ES"/>
        </w:rPr>
        <w:t>el esquema d</w:t>
      </w:r>
      <w:r w:rsidRPr="00417B03" w:rsidR="004B683B">
        <w:rPr>
          <w:i/>
          <w:iCs/>
          <w:lang w:val="es-ES"/>
        </w:rPr>
        <w:t>el “</w:t>
      </w:r>
      <w:r w:rsidRPr="00417B03" w:rsidR="004B683B">
        <w:rPr>
          <w:i/>
          <w:iCs/>
          <w:lang w:val="es-ES"/>
        </w:rPr>
        <w:t>Go-Zone</w:t>
      </w:r>
      <w:r w:rsidRPr="00417B03" w:rsidR="004B683B">
        <w:rPr>
          <w:i/>
          <w:iCs/>
          <w:lang w:val="es-ES"/>
        </w:rPr>
        <w:t>”</w:t>
      </w:r>
      <w:r w:rsidRPr="00417B03" w:rsidR="005B45A2">
        <w:rPr>
          <w:i/>
          <w:iCs/>
          <w:lang w:val="es-ES"/>
        </w:rPr>
        <w:t xml:space="preserve"> para todas las declaraciones. </w:t>
      </w:r>
      <w:r w:rsidRPr="00417B03" w:rsidR="004B683B">
        <w:rPr>
          <w:i/>
          <w:iCs/>
          <w:lang w:val="es-ES"/>
        </w:rPr>
        <w:t>Cabe destacar que</w:t>
      </w:r>
      <w:r w:rsidRPr="00417B03" w:rsidR="005B45A2">
        <w:rPr>
          <w:i/>
          <w:iCs/>
          <w:lang w:val="es-ES"/>
        </w:rPr>
        <w:t xml:space="preserve">, </w:t>
      </w:r>
      <w:r w:rsidRPr="00417B03" w:rsidR="004B683B">
        <w:rPr>
          <w:i/>
          <w:iCs/>
          <w:lang w:val="es-ES"/>
        </w:rPr>
        <w:t xml:space="preserve">tal y </w:t>
      </w:r>
      <w:r w:rsidRPr="00417B03" w:rsidR="005B45A2">
        <w:rPr>
          <w:i/>
          <w:iCs/>
          <w:lang w:val="es-ES"/>
        </w:rPr>
        <w:t xml:space="preserve">como </w:t>
      </w:r>
      <w:r w:rsidRPr="00417B03" w:rsidR="004B683B">
        <w:rPr>
          <w:i/>
          <w:iCs/>
          <w:lang w:val="es-ES"/>
        </w:rPr>
        <w:t>muestra</w:t>
      </w:r>
      <w:r w:rsidRPr="00417B03" w:rsidR="00492D06">
        <w:rPr>
          <w:i/>
          <w:iCs/>
          <w:lang w:val="es-ES"/>
        </w:rPr>
        <w:t xml:space="preserve"> la gráfica, la mayoría de las declaraciones tienen un</w:t>
      </w:r>
      <w:r w:rsidRPr="00417B03" w:rsidR="007D4A38">
        <w:rPr>
          <w:i/>
          <w:iCs/>
          <w:lang w:val="es-ES"/>
        </w:rPr>
        <w:t>a</w:t>
      </w:r>
      <w:r w:rsidRPr="00417B03" w:rsidR="00492D06">
        <w:rPr>
          <w:i/>
          <w:iCs/>
          <w:lang w:val="es-ES"/>
        </w:rPr>
        <w:t xml:space="preserve"> calificación similar para el posible impacto y la viabilidad. Existen unas excepciones a </w:t>
      </w:r>
      <w:r w:rsidRPr="00417B03" w:rsidR="007D4A38">
        <w:rPr>
          <w:i/>
          <w:iCs/>
          <w:lang w:val="es-ES"/>
        </w:rPr>
        <w:t>esta tendencia; por ejemplo</w:t>
      </w:r>
      <w:r w:rsidRPr="00417B03" w:rsidR="00F810D8">
        <w:rPr>
          <w:i/>
          <w:iCs/>
          <w:lang w:val="es-ES"/>
        </w:rPr>
        <w:t>, la idea de un proces</w:t>
      </w:r>
      <w:r w:rsidRPr="00417B03" w:rsidR="00F13384">
        <w:rPr>
          <w:i/>
          <w:iCs/>
          <w:lang w:val="es-ES"/>
        </w:rPr>
        <w:t>o de solicitud</w:t>
      </w:r>
      <w:r w:rsidRPr="00417B03" w:rsidR="004B683B">
        <w:rPr>
          <w:i/>
          <w:iCs/>
          <w:lang w:val="es-ES"/>
        </w:rPr>
        <w:t xml:space="preserve"> </w:t>
      </w:r>
      <w:r w:rsidRPr="00417B03" w:rsidR="00F13384">
        <w:rPr>
          <w:i/>
          <w:iCs/>
          <w:lang w:val="es-ES"/>
        </w:rPr>
        <w:t xml:space="preserve">y </w:t>
      </w:r>
      <w:r w:rsidRPr="00417B03" w:rsidR="004B683B">
        <w:rPr>
          <w:i/>
          <w:iCs/>
          <w:lang w:val="es-ES"/>
        </w:rPr>
        <w:t xml:space="preserve">normas </w:t>
      </w:r>
      <w:r w:rsidRPr="00417B03" w:rsidR="00F13384">
        <w:rPr>
          <w:i/>
          <w:iCs/>
          <w:lang w:val="es-ES"/>
        </w:rPr>
        <w:t>de elegibilidad simplificad</w:t>
      </w:r>
      <w:r w:rsidRPr="00417B03" w:rsidR="004B683B">
        <w:rPr>
          <w:i/>
          <w:iCs/>
          <w:lang w:val="es-ES"/>
        </w:rPr>
        <w:t>o</w:t>
      </w:r>
      <w:r w:rsidRPr="00417B03" w:rsidR="00F13384">
        <w:rPr>
          <w:i/>
          <w:iCs/>
          <w:lang w:val="es-ES"/>
        </w:rPr>
        <w:t xml:space="preserve">s para el PAN (declaración 15) </w:t>
      </w:r>
      <w:r w:rsidRPr="00417B03" w:rsidR="004F3156">
        <w:rPr>
          <w:i/>
          <w:iCs/>
          <w:lang w:val="es-ES"/>
        </w:rPr>
        <w:t xml:space="preserve">tiene una </w:t>
      </w:r>
      <w:r w:rsidRPr="00417B03" w:rsidR="006E344B">
        <w:rPr>
          <w:i/>
          <w:iCs/>
          <w:lang w:val="es-ES"/>
        </w:rPr>
        <w:t xml:space="preserve">puntuación </w:t>
      </w:r>
      <w:r w:rsidRPr="00417B03" w:rsidR="004F3156">
        <w:rPr>
          <w:i/>
          <w:iCs/>
          <w:lang w:val="es-ES"/>
        </w:rPr>
        <w:t>m</w:t>
      </w:r>
      <w:r w:rsidRPr="00417B03" w:rsidR="004630C7">
        <w:rPr>
          <w:i/>
          <w:iCs/>
          <w:lang w:val="es-ES"/>
        </w:rPr>
        <w:t>ás alta</w:t>
      </w:r>
      <w:r w:rsidRPr="00417B03" w:rsidR="004F3156">
        <w:rPr>
          <w:i/>
          <w:iCs/>
          <w:lang w:val="es-ES"/>
        </w:rPr>
        <w:t xml:space="preserve"> </w:t>
      </w:r>
      <w:r w:rsidRPr="00417B03" w:rsidR="009761BD">
        <w:rPr>
          <w:i/>
          <w:iCs/>
          <w:lang w:val="es-ES"/>
        </w:rPr>
        <w:t>en</w:t>
      </w:r>
      <w:r w:rsidRPr="00417B03" w:rsidR="004F3156">
        <w:rPr>
          <w:i/>
          <w:iCs/>
          <w:lang w:val="es-ES"/>
        </w:rPr>
        <w:t xml:space="preserve"> </w:t>
      </w:r>
      <w:r w:rsidRPr="00417B03" w:rsidR="00CD1196">
        <w:rPr>
          <w:i/>
          <w:iCs/>
          <w:lang w:val="es-ES"/>
        </w:rPr>
        <w:t xml:space="preserve">posible impacto que en </w:t>
      </w:r>
      <w:r w:rsidRPr="00417B03" w:rsidR="004F3156">
        <w:rPr>
          <w:i/>
          <w:iCs/>
          <w:lang w:val="es-ES"/>
        </w:rPr>
        <w:t>la viabilidad de implementación</w:t>
      </w:r>
      <w:r w:rsidRPr="00417B03" w:rsidR="00895EFE">
        <w:rPr>
          <w:i/>
          <w:iCs/>
          <w:lang w:val="es-ES"/>
        </w:rPr>
        <w:t xml:space="preserve">, y </w:t>
      </w:r>
      <w:r w:rsidRPr="00417B03" w:rsidR="004630C7">
        <w:rPr>
          <w:i/>
          <w:iCs/>
          <w:lang w:val="es-ES"/>
        </w:rPr>
        <w:t xml:space="preserve">la </w:t>
      </w:r>
      <w:r w:rsidRPr="00417B03" w:rsidR="00895EFE">
        <w:rPr>
          <w:i/>
          <w:iCs/>
          <w:lang w:val="es-ES"/>
        </w:rPr>
        <w:t>comprensión de los</w:t>
      </w:r>
      <w:r w:rsidRPr="00417B03" w:rsidR="004630C7">
        <w:rPr>
          <w:i/>
          <w:iCs/>
          <w:lang w:val="es-ES"/>
        </w:rPr>
        <w:t xml:space="preserve"> factores</w:t>
      </w:r>
      <w:r w:rsidRPr="00417B03" w:rsidR="00895EFE">
        <w:rPr>
          <w:i/>
          <w:iCs/>
          <w:lang w:val="es-ES"/>
        </w:rPr>
        <w:t xml:space="preserve"> determinantes de la inseguridad alimentaria (declaración 6) tiene una puntuación m</w:t>
      </w:r>
      <w:r w:rsidRPr="00417B03" w:rsidR="00661449">
        <w:rPr>
          <w:i/>
          <w:iCs/>
          <w:lang w:val="es-ES"/>
        </w:rPr>
        <w:t>ás alta para la viabilidad</w:t>
      </w:r>
      <w:r w:rsidRPr="00417B03" w:rsidR="00895EFE">
        <w:rPr>
          <w:i/>
          <w:iCs/>
          <w:lang w:val="es-ES"/>
        </w:rPr>
        <w:t xml:space="preserve"> que</w:t>
      </w:r>
      <w:r w:rsidRPr="00417B03" w:rsidR="00CD1196">
        <w:rPr>
          <w:i/>
          <w:iCs/>
          <w:lang w:val="es-ES"/>
        </w:rPr>
        <w:t xml:space="preserve"> para</w:t>
      </w:r>
      <w:r w:rsidRPr="00417B03" w:rsidR="00895EFE">
        <w:rPr>
          <w:i/>
          <w:iCs/>
          <w:lang w:val="es-ES"/>
        </w:rPr>
        <w:t xml:space="preserve"> el posible impacto. Las declaraciones </w:t>
      </w:r>
      <w:r w:rsidRPr="00417B03" w:rsidR="00D9279E">
        <w:rPr>
          <w:i/>
          <w:iCs/>
          <w:lang w:val="es-ES"/>
        </w:rPr>
        <w:t>que tiene</w:t>
      </w:r>
      <w:r w:rsidRPr="00417B03" w:rsidR="00CD1196">
        <w:rPr>
          <w:i/>
          <w:iCs/>
          <w:lang w:val="es-ES"/>
        </w:rPr>
        <w:t>n</w:t>
      </w:r>
      <w:r w:rsidRPr="00417B03" w:rsidR="00D9279E">
        <w:rPr>
          <w:i/>
          <w:iCs/>
          <w:lang w:val="es-ES"/>
        </w:rPr>
        <w:t xml:space="preserve"> una calificación baja </w:t>
      </w:r>
      <w:r w:rsidRPr="00417B03" w:rsidR="00493994">
        <w:rPr>
          <w:i/>
          <w:iCs/>
          <w:lang w:val="es-ES"/>
        </w:rPr>
        <w:t>tanto para el posible impacto como</w:t>
      </w:r>
      <w:r w:rsidRPr="00417B03" w:rsidR="00CD1196">
        <w:rPr>
          <w:i/>
          <w:iCs/>
          <w:lang w:val="es-ES"/>
        </w:rPr>
        <w:t xml:space="preserve"> para</w:t>
      </w:r>
      <w:r w:rsidRPr="00417B03" w:rsidR="00493994">
        <w:rPr>
          <w:i/>
          <w:iCs/>
          <w:lang w:val="es-ES"/>
        </w:rPr>
        <w:t xml:space="preserve"> la viabilidad </w:t>
      </w:r>
      <w:r w:rsidRPr="00417B03" w:rsidR="008405D0">
        <w:rPr>
          <w:i/>
          <w:iCs/>
          <w:lang w:val="es-ES"/>
        </w:rPr>
        <w:t>se referían</w:t>
      </w:r>
      <w:r w:rsidRPr="00417B03" w:rsidR="00F663E0">
        <w:rPr>
          <w:i/>
          <w:iCs/>
          <w:lang w:val="es-ES"/>
        </w:rPr>
        <w:t xml:space="preserve"> </w:t>
      </w:r>
      <w:r w:rsidRPr="00417B03" w:rsidR="005C4FCB">
        <w:rPr>
          <w:i/>
          <w:iCs/>
          <w:lang w:val="es-ES"/>
        </w:rPr>
        <w:t>más</w:t>
      </w:r>
      <w:r w:rsidRPr="00417B03" w:rsidR="00F663E0">
        <w:rPr>
          <w:i/>
          <w:iCs/>
          <w:lang w:val="es-ES"/>
        </w:rPr>
        <w:t xml:space="preserve"> </w:t>
      </w:r>
      <w:r w:rsidRPr="00417B03" w:rsidR="008405D0">
        <w:rPr>
          <w:i/>
          <w:iCs/>
          <w:lang w:val="es-ES"/>
        </w:rPr>
        <w:t xml:space="preserve">a </w:t>
      </w:r>
      <w:r w:rsidRPr="00417B03" w:rsidR="00F663E0">
        <w:rPr>
          <w:i/>
          <w:iCs/>
          <w:lang w:val="es-ES"/>
        </w:rPr>
        <w:t xml:space="preserve">características </w:t>
      </w:r>
      <w:r w:rsidRPr="00417B03" w:rsidR="00B968B1">
        <w:rPr>
          <w:i/>
          <w:iCs/>
          <w:lang w:val="es-ES"/>
        </w:rPr>
        <w:t>individuales de l</w:t>
      </w:r>
      <w:r w:rsidRPr="00417B03" w:rsidR="008405D0">
        <w:rPr>
          <w:i/>
          <w:iCs/>
          <w:lang w:val="es-ES"/>
        </w:rPr>
        <w:t>o</w:t>
      </w:r>
      <w:r w:rsidRPr="00417B03" w:rsidR="00B968B1">
        <w:rPr>
          <w:i/>
          <w:iCs/>
          <w:lang w:val="es-ES"/>
        </w:rPr>
        <w:t xml:space="preserve">s residentes en </w:t>
      </w:r>
      <w:r w:rsidRPr="00417B03" w:rsidR="00CD1196">
        <w:rPr>
          <w:i/>
          <w:iCs/>
          <w:lang w:val="es-ES"/>
        </w:rPr>
        <w:t>zonas</w:t>
      </w:r>
      <w:r w:rsidRPr="00417B03" w:rsidR="00182B5F">
        <w:rPr>
          <w:i/>
          <w:iCs/>
          <w:lang w:val="es-ES"/>
        </w:rPr>
        <w:t xml:space="preserve"> </w:t>
      </w:r>
      <w:r w:rsidRPr="00417B03" w:rsidR="00B968B1">
        <w:rPr>
          <w:i/>
          <w:iCs/>
          <w:lang w:val="es-ES"/>
        </w:rPr>
        <w:t xml:space="preserve">rurales, como sus hábitos de viaje (declaración 68) o </w:t>
      </w:r>
      <w:r w:rsidRPr="00417B03" w:rsidR="005C4FCB">
        <w:rPr>
          <w:i/>
          <w:iCs/>
          <w:lang w:val="es-ES"/>
        </w:rPr>
        <w:t xml:space="preserve">su posición social (declaración 21), y </w:t>
      </w:r>
      <w:r w:rsidRPr="00417B03" w:rsidR="006E420D">
        <w:rPr>
          <w:i/>
          <w:iCs/>
          <w:lang w:val="es-ES"/>
        </w:rPr>
        <w:t xml:space="preserve">a </w:t>
      </w:r>
      <w:r w:rsidRPr="00417B03" w:rsidR="00DD6E29">
        <w:rPr>
          <w:i/>
          <w:iCs/>
          <w:lang w:val="es-ES"/>
        </w:rPr>
        <w:t>los factores sociopolíticos</w:t>
      </w:r>
      <w:r w:rsidRPr="00417B03" w:rsidR="005C4FCB">
        <w:rPr>
          <w:i/>
          <w:iCs/>
          <w:lang w:val="es-ES"/>
        </w:rPr>
        <w:t xml:space="preserve"> </w:t>
      </w:r>
      <w:r w:rsidRPr="00417B03" w:rsidR="00CD1196">
        <w:rPr>
          <w:i/>
          <w:iCs/>
          <w:lang w:val="es-ES"/>
        </w:rPr>
        <w:t>de zonas</w:t>
      </w:r>
      <w:r w:rsidRPr="00417B03" w:rsidR="005C4FCB">
        <w:rPr>
          <w:i/>
          <w:iCs/>
          <w:lang w:val="es-ES"/>
        </w:rPr>
        <w:t xml:space="preserve"> rurales, como </w:t>
      </w:r>
      <w:r w:rsidRPr="00417B03" w:rsidR="008B2995">
        <w:rPr>
          <w:i/>
          <w:iCs/>
          <w:lang w:val="es-ES"/>
        </w:rPr>
        <w:t>los hábitos del</w:t>
      </w:r>
      <w:r w:rsidRPr="00417B03" w:rsidR="005C4FCB">
        <w:rPr>
          <w:i/>
          <w:iCs/>
          <w:lang w:val="es-ES"/>
        </w:rPr>
        <w:t xml:space="preserve"> uso tradicional de la tierra</w:t>
      </w:r>
      <w:r w:rsidRPr="00417B03" w:rsidR="008B2995">
        <w:rPr>
          <w:i/>
          <w:iCs/>
          <w:lang w:val="es-ES"/>
        </w:rPr>
        <w:t xml:space="preserve"> (declaración 84), la </w:t>
      </w:r>
      <w:r w:rsidRPr="00417B03" w:rsidR="00D54214">
        <w:rPr>
          <w:i/>
          <w:iCs/>
          <w:lang w:val="es-ES"/>
        </w:rPr>
        <w:t xml:space="preserve">emigración de las </w:t>
      </w:r>
      <w:r w:rsidRPr="00417B03" w:rsidR="00970765">
        <w:rPr>
          <w:i/>
          <w:iCs/>
          <w:lang w:val="es-ES"/>
        </w:rPr>
        <w:t>zonas</w:t>
      </w:r>
      <w:r w:rsidRPr="00417B03" w:rsidR="00D54214">
        <w:rPr>
          <w:i/>
          <w:iCs/>
          <w:lang w:val="es-ES"/>
        </w:rPr>
        <w:t xml:space="preserve"> rurales (declaración 59), y el acceso a la</w:t>
      </w:r>
      <w:r w:rsidRPr="00417B03" w:rsidR="00970765">
        <w:rPr>
          <w:i/>
          <w:iCs/>
          <w:lang w:val="es-ES"/>
        </w:rPr>
        <w:t xml:space="preserve"> toma de</w:t>
      </w:r>
      <w:r w:rsidRPr="00417B03" w:rsidR="00DD6E29">
        <w:rPr>
          <w:i/>
          <w:iCs/>
          <w:lang w:val="es-ES"/>
        </w:rPr>
        <w:t xml:space="preserve"> decisiones políticas (declaración 4). </w:t>
      </w:r>
    </w:p>
    <w:p w:rsidR="004E46A2" w:rsidRPr="00417B03" w:rsidP="004E46A2" w14:paraId="512F01F9" w14:textId="1AE01A40">
      <w:pPr>
        <w:rPr>
          <w:lang w:val="es-ES"/>
        </w:rPr>
      </w:pPr>
    </w:p>
    <w:p w:rsidR="004E46A2" w:rsidRPr="00417B03" w:rsidP="004E46A2" w14:paraId="225BCAD0" w14:textId="368064EE">
      <w:pPr>
        <w:rPr>
          <w:lang w:val="es-ES"/>
        </w:rPr>
      </w:pPr>
    </w:p>
    <w:p w:rsidR="004E46A2" w:rsidRPr="00417B03" w:rsidP="004E46A2" w14:paraId="76ACD05B" w14:textId="5EC2215A">
      <w:pPr>
        <w:rPr>
          <w:lang w:val="es-ES"/>
        </w:rPr>
      </w:pPr>
    </w:p>
    <w:p w:rsidR="004E46A2" w:rsidRPr="00417B03" w:rsidP="004E46A2" w14:paraId="588661EB" w14:textId="3667679D">
      <w:pPr>
        <w:rPr>
          <w:lang w:val="es-ES"/>
        </w:rPr>
      </w:pPr>
    </w:p>
    <w:p w:rsidR="004E46A2" w:rsidRPr="00417B03" w:rsidP="004E46A2" w14:paraId="37FEB373" w14:textId="41370C35">
      <w:pPr>
        <w:rPr>
          <w:lang w:val="es-ES"/>
        </w:rPr>
      </w:pPr>
    </w:p>
    <w:p w:rsidR="004E46A2" w:rsidRPr="00417B03" w:rsidP="004E46A2" w14:paraId="77DC2764" w14:textId="53E014DF">
      <w:pPr>
        <w:rPr>
          <w:lang w:val="es-ES"/>
        </w:rPr>
      </w:pPr>
    </w:p>
    <w:p w:rsidR="004E46A2" w:rsidRPr="00417B03" w:rsidP="004E46A2" w14:paraId="568D9E6E" w14:textId="1203BFA0">
      <w:pPr>
        <w:rPr>
          <w:lang w:val="es-ES"/>
        </w:rPr>
      </w:pPr>
    </w:p>
    <w:p w:rsidR="004E46A2" w:rsidRPr="00417B03" w:rsidP="004E46A2" w14:paraId="34DB128D" w14:textId="53637241">
      <w:pPr>
        <w:rPr>
          <w:lang w:val="es-ES"/>
        </w:rPr>
      </w:pPr>
    </w:p>
    <w:p w:rsidR="004E46A2" w:rsidRPr="00417B03" w:rsidP="004E46A2" w14:paraId="292308F2" w14:textId="77777777">
      <w:pPr>
        <w:rPr>
          <w:lang w:val="es-ES"/>
        </w:rPr>
      </w:pPr>
    </w:p>
    <w:p w:rsidR="004E46A2" w:rsidRPr="004E46A2" w:rsidP="004E46A2" w14:paraId="20EFCC3D" w14:textId="3C0AEEEF">
      <w:r w:rsidRPr="00FC588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2773680"/>
                <wp:effectExtent l="0" t="0" r="0" b="762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736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D75" w:rsidRPr="00CB233C" w:rsidP="00333D75" w14:textId="77777777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id="0" w:name="_Hlk92280775"/>
                            <w:r w:rsidRPr="00CB233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="00333D75" w:rsidRPr="003F1295" w:rsidP="00333D75" w14:textId="4A654DA3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1" w:name="_Hlk92280740"/>
                            <w:bookmarkStart w:id="2" w:name="_Hlk92280741"/>
                            <w:bookmarkEnd w:id="0"/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. El tiempo requerido para completar esta recopilación de información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75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). No devuelva el formulario completado a esta dirección.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i1025" type="#_x0000_t202" style="width:468pt;height:218.4pt;mso-left-percent:-10001;mso-position-horizontal-relative:char;mso-position-vertical-relative:line;mso-top-percent:-10001;mso-wrap-style:square;visibility:visible;v-text-anchor:middle" fillcolor="#f2f2f2" stroked="f">
                <v:textbox>
                  <w:txbxContent>
                    <w:p w:rsidR="00333D75" w:rsidRPr="00CB233C" w:rsidP="00333D75" w14:paraId="58A09A94" w14:textId="77777777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id="0" w:name="_Hlk92280775"/>
                      <w:r w:rsidRPr="00CB233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="00333D75" w:rsidRPr="003F1295" w:rsidP="00333D75" w14:paraId="2457169B" w14:textId="4A654DA3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1" w:name="_Hlk92280740"/>
                      <w:bookmarkStart w:id="2" w:name="_Hlk92280741"/>
                      <w:bookmarkEnd w:id="0"/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. El tiempo requerido para completar esta recopilación de información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75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). No devuelva el formulario completado a esta dirección.</w:t>
                      </w:r>
                      <w:bookmarkEnd w:id="1"/>
                      <w:bookmarkEnd w:id="2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 w:rsidSect="00C05E5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altName w:val="Calibri"/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4179603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-50890845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755513485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p w:rsidR="00C36593" w:rsidRPr="00C05E57" w:rsidP="00C14E08" w14:paraId="008C36C3" w14:textId="016C5211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37024E">
                  <w:rPr>
                    <w:rStyle w:val="FooterTitle-IPRChar"/>
                    <w:szCs w:val="20"/>
                  </w:rPr>
                  <w:t>Appendix F</w:t>
                </w:r>
                <w:r w:rsidR="009C01A7">
                  <w:rPr>
                    <w:rStyle w:val="FooterTitle-IPRChar"/>
                    <w:szCs w:val="20"/>
                  </w:rPr>
                  <w:t>.</w:t>
                </w:r>
                <w:r w:rsidR="0003371C">
                  <w:rPr>
                    <w:rStyle w:val="FooterTitle-IPRChar"/>
                    <w:szCs w:val="20"/>
                  </w:rPr>
                  <w:t>1</w:t>
                </w:r>
                <w:r w:rsidR="006D45A4">
                  <w:rPr>
                    <w:rStyle w:val="FooterTitle-IPRChar"/>
                    <w:szCs w:val="20"/>
                  </w:rPr>
                  <w:t>9</w:t>
                </w:r>
                <w:r w:rsidR="009C01A7">
                  <w:rPr>
                    <w:rStyle w:val="FooterTitle-IPRChar"/>
                    <w:szCs w:val="20"/>
                  </w:rPr>
                  <w:t xml:space="preserve">. </w:t>
                </w:r>
                <w:r w:rsidRPr="009C01A7" w:rsidR="009C01A7">
                  <w:rPr>
                    <w:rStyle w:val="FooterTitle-IPRChar"/>
                    <w:szCs w:val="20"/>
                  </w:rPr>
                  <w:t>Advance Material for Second Concept Mapping Meeting</w:t>
                </w:r>
                <w:r w:rsidR="0003371C">
                  <w:rPr>
                    <w:rStyle w:val="FooterTitle-IPRChar"/>
                    <w:szCs w:val="20"/>
                  </w:rPr>
                  <w:t xml:space="preserve"> in Spanish</w:t>
                </w:r>
              </w:p>
            </w:sdtContent>
          </w:sdt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6593" w:rsidP="00191DB5" w14:paraId="4855DD6C" w14:textId="77777777">
    <w:pPr>
      <w:pStyle w:val="Header"/>
      <w:jc w:val="right"/>
    </w:pPr>
    <w:r w:rsidRPr="00C35DA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4318000</wp:posOffset>
              </wp:positionH>
              <wp:positionV relativeFrom="margin">
                <wp:posOffset>-660400</wp:posOffset>
              </wp:positionV>
              <wp:extent cx="1645920" cy="396240"/>
              <wp:effectExtent l="0" t="0" r="0" b="190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D75" w:rsidP="00333D75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C36593" w:rsidP="00333D75" w14:textId="125F989C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9/30/2025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29.6pt;height:31.2pt;margin-top:-52pt;margin-left:340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333D75" w:rsidP="00333D75" w14:paraId="22FB00EF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C36593" w:rsidP="00333D75" w14:paraId="3B7ACDCE" w14:textId="125F989C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3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79767A8"/>
    <w:multiLevelType w:val="multilevel"/>
    <w:tmpl w:val="F6DE30B6"/>
    <w:numStyleLink w:val="NumbersListStyleRed-IPR"/>
  </w:abstractNum>
  <w:abstractNum w:abstractNumId="6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7">
    <w:nsid w:val="153700A9"/>
    <w:multiLevelType w:val="hybridMultilevel"/>
    <w:tmpl w:val="6C101310"/>
    <w:styleLink w:val="NumbersListStyleRed-IPR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0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34D58"/>
    <w:multiLevelType w:val="multilevel"/>
    <w:tmpl w:val="0F5A555C"/>
    <w:numStyleLink w:val="BulletListStyleRed-IPR"/>
  </w:abstractNum>
  <w:abstractNum w:abstractNumId="12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3">
    <w:nsid w:val="26956133"/>
    <w:multiLevelType w:val="hybridMultilevel"/>
    <w:tmpl w:val="358E0996"/>
    <w:styleLink w:val="BulletListStyleRed-IPR11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24DB5"/>
    <w:multiLevelType w:val="hybridMultilevel"/>
    <w:tmpl w:val="0548F7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6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17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>
    <w:nsid w:val="43265317"/>
    <w:multiLevelType w:val="hybridMultilevel"/>
    <w:tmpl w:val="C02CD0AA"/>
    <w:styleLink w:val="TableRedBulletsList-IPR1"/>
    <w:lvl w:ilvl="0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0138A"/>
    <w:multiLevelType w:val="hybridMultilevel"/>
    <w:tmpl w:val="8744D554"/>
    <w:lvl w:ilvl="0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C6EB8"/>
    <w:multiLevelType w:val="multilevel"/>
    <w:tmpl w:val="B84CE8A6"/>
    <w:numStyleLink w:val="TableRedNumbersList-IPR"/>
  </w:abstractNum>
  <w:abstractNum w:abstractNumId="22">
    <w:nsid w:val="58765FD4"/>
    <w:multiLevelType w:val="hybridMultilevel"/>
    <w:tmpl w:val="94D8AD1A"/>
    <w:styleLink w:val="Numbers12ptCalibriList1"/>
    <w:lvl w:ilvl="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100A64"/>
    <w:multiLevelType w:val="hybridMultilevel"/>
    <w:tmpl w:val="ED847BEC"/>
    <w:styleLink w:val="BulletListStyleRed-IPR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F3746"/>
    <w:multiLevelType w:val="hybridMultilevel"/>
    <w:tmpl w:val="96A85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22C28"/>
    <w:multiLevelType w:val="hybridMultilevel"/>
    <w:tmpl w:val="53844880"/>
    <w:lvl w:ilvl="0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>
    <w:nsid w:val="726B33B4"/>
    <w:multiLevelType w:val="hybridMultilevel"/>
    <w:tmpl w:val="B282C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41CC7"/>
    <w:multiLevelType w:val="hybridMultilevel"/>
    <w:tmpl w:val="5F907C5E"/>
    <w:styleLink w:val="TableBlackBulletsList-IPR1"/>
    <w:lvl w:ilvl="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6978195">
    <w:abstractNumId w:val="22"/>
  </w:num>
  <w:num w:numId="2" w16cid:durableId="575361492">
    <w:abstractNumId w:val="27"/>
  </w:num>
  <w:num w:numId="3" w16cid:durableId="475032372">
    <w:abstractNumId w:val="18"/>
  </w:num>
  <w:num w:numId="4" w16cid:durableId="601453657">
    <w:abstractNumId w:val="13"/>
  </w:num>
  <w:num w:numId="5" w16cid:durableId="785931283">
    <w:abstractNumId w:val="23"/>
  </w:num>
  <w:num w:numId="6" w16cid:durableId="1421219149">
    <w:abstractNumId w:val="7"/>
  </w:num>
  <w:num w:numId="7" w16cid:durableId="466360480">
    <w:abstractNumId w:val="0"/>
  </w:num>
  <w:num w:numId="8" w16cid:durableId="1829245517">
    <w:abstractNumId w:val="16"/>
  </w:num>
  <w:num w:numId="9" w16cid:durableId="2101948308">
    <w:abstractNumId w:val="6"/>
  </w:num>
  <w:num w:numId="10" w16cid:durableId="1054162461">
    <w:abstractNumId w:val="9"/>
  </w:num>
  <w:num w:numId="11" w16cid:durableId="976762218">
    <w:abstractNumId w:val="2"/>
  </w:num>
  <w:num w:numId="12" w16cid:durableId="1796949403">
    <w:abstractNumId w:val="21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 w16cid:durableId="1202480339">
    <w:abstractNumId w:val="10"/>
  </w:num>
  <w:num w:numId="14" w16cid:durableId="2007636452">
    <w:abstractNumId w:val="3"/>
  </w:num>
  <w:num w:numId="15" w16cid:durableId="807864267">
    <w:abstractNumId w:val="4"/>
  </w:num>
  <w:num w:numId="16" w16cid:durableId="1131750755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1202329478">
    <w:abstractNumId w:val="11"/>
    <w:lvlOverride w:ilvl="0">
      <w:lvl w:ilvl="0">
        <w:start w:val="1"/>
        <w:numFmt w:val="bullet"/>
        <w:pStyle w:val="BulletsRed-IPR"/>
        <w:lvlText w:val=""/>
        <w:lvlJc w:val="left"/>
        <w:pPr>
          <w:ind w:left="36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 w16cid:durableId="416874686">
    <w:abstractNumId w:val="1"/>
  </w:num>
  <w:num w:numId="19" w16cid:durableId="1153643686">
    <w:abstractNumId w:val="17"/>
  </w:num>
  <w:num w:numId="20" w16cid:durableId="380832060">
    <w:abstractNumId w:val="20"/>
  </w:num>
  <w:num w:numId="21" w16cid:durableId="2113476910">
    <w:abstractNumId w:val="8"/>
  </w:num>
  <w:num w:numId="22" w16cid:durableId="282752">
    <w:abstractNumId w:val="19"/>
  </w:num>
  <w:num w:numId="23" w16cid:durableId="1603487870">
    <w:abstractNumId w:val="15"/>
  </w:num>
  <w:num w:numId="24" w16cid:durableId="255555507">
    <w:abstractNumId w:val="25"/>
  </w:num>
  <w:num w:numId="25" w16cid:durableId="1065178220">
    <w:abstractNumId w:val="12"/>
  </w:num>
  <w:num w:numId="26" w16cid:durableId="49614637">
    <w:abstractNumId w:val="11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start w:val="0"/>
        <w:numFmt w:val="decimal"/>
        <w:lvlJc w:val="left"/>
      </w:lvl>
    </w:lvlOverride>
    <w:lvlOverride w:ilvl="4">
      <w:lvl w:ilvl="4">
        <w:start w:val="0"/>
        <w:numFmt w:val="decimal"/>
        <w:lvlJc w:val="left"/>
      </w:lvl>
    </w:lvlOverride>
    <w:lvlOverride w:ilvl="5">
      <w:lvl w:ilvl="5">
        <w:start w:val="0"/>
        <w:numFmt w:val="decimal"/>
        <w:lvlJc w:val="left"/>
      </w:lvl>
    </w:lvlOverride>
    <w:lvlOverride w:ilvl="6">
      <w:lvl w:ilvl="6">
        <w:start w:val="0"/>
        <w:numFmt w:val="decimal"/>
        <w:lvlJc w:val="left"/>
      </w:lvl>
    </w:lvlOverride>
    <w:lvlOverride w:ilvl="7">
      <w:lvl w:ilvl="7">
        <w:start w:val="0"/>
        <w:numFmt w:val="decimal"/>
        <w:lvlJc w:val="left"/>
      </w:lvl>
    </w:lvlOverride>
    <w:lvlOverride w:ilvl="8">
      <w:lvl w:ilvl="8">
        <w:start w:val="0"/>
        <w:numFmt w:val="decimal"/>
        <w:lvlJc w:val="left"/>
      </w:lvl>
    </w:lvlOverride>
  </w:num>
  <w:num w:numId="27" w16cid:durableId="249045823">
    <w:abstractNumId w:val="14"/>
  </w:num>
  <w:num w:numId="28" w16cid:durableId="328405426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Jc w:val="left"/>
      </w:lvl>
    </w:lvlOverride>
    <w:lvlOverride w:ilvl="2">
      <w:startOverride w:val="1"/>
      <w:lvl w:ilvl="2">
        <w:start w:val="1"/>
        <w:numFmt w:val="decimal"/>
        <w:lvlJc w:val="left"/>
      </w:lvl>
    </w:lvlOverride>
    <w:lvlOverride w:ilvl="3">
      <w:startOverride w:val="1"/>
      <w:lvl w:ilvl="3">
        <w:start w:val="1"/>
        <w:numFmt w:val="decimal"/>
        <w:lvlJc w:val="left"/>
      </w:lvl>
    </w:lvlOverride>
    <w:lvlOverride w:ilvl="4">
      <w:startOverride w:val="1"/>
      <w:lvl w:ilvl="4">
        <w:start w:val="1"/>
        <w:numFmt w:val="decimal"/>
        <w:lvlJc w:val="left"/>
      </w:lvl>
    </w:lvlOverride>
    <w:lvlOverride w:ilvl="5">
      <w:startOverride w:val="1"/>
      <w:lvl w:ilvl="5">
        <w:start w:val="1"/>
        <w:numFmt w:val="decimal"/>
        <w:lvlJc w:val="left"/>
      </w:lvl>
    </w:lvlOverride>
    <w:lvlOverride w:ilvl="6">
      <w:startOverride w:val="1"/>
      <w:lvl w:ilvl="6">
        <w:start w:val="1"/>
        <w:numFmt w:val="decimal"/>
        <w:lvlJc w:val="left"/>
      </w:lvl>
    </w:lvlOverride>
    <w:lvlOverride w:ilvl="7">
      <w:startOverride w:val="1"/>
      <w:lvl w:ilvl="7">
        <w:start w:val="1"/>
        <w:numFmt w:val="decimal"/>
        <w:lvlJc w:val="left"/>
      </w:lvl>
    </w:lvlOverride>
    <w:lvlOverride w:ilvl="8">
      <w:startOverride w:val="1"/>
      <w:lvl w:ilvl="8">
        <w:start w:val="1"/>
        <w:numFmt w:val="decimal"/>
        <w:lvlJc w:val="left"/>
      </w:lvl>
    </w:lvlOverride>
  </w:num>
  <w:num w:numId="29" w16cid:durableId="1741369986">
    <w:abstractNumId w:val="26"/>
  </w:num>
  <w:num w:numId="30" w16cid:durableId="1066030525">
    <w:abstractNumId w:val="24"/>
  </w:num>
  <w:num w:numId="31" w16cid:durableId="31198547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0"/>
  <w:stylePaneSortMethod w:val="name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71F1"/>
    <w:rsid w:val="00022A1C"/>
    <w:rsid w:val="00022C1C"/>
    <w:rsid w:val="00023662"/>
    <w:rsid w:val="0003028D"/>
    <w:rsid w:val="00031474"/>
    <w:rsid w:val="00031683"/>
    <w:rsid w:val="0003371C"/>
    <w:rsid w:val="000338AB"/>
    <w:rsid w:val="0003448F"/>
    <w:rsid w:val="00035324"/>
    <w:rsid w:val="00035538"/>
    <w:rsid w:val="00036035"/>
    <w:rsid w:val="00037EC0"/>
    <w:rsid w:val="00040609"/>
    <w:rsid w:val="0004078C"/>
    <w:rsid w:val="00041885"/>
    <w:rsid w:val="00043FBA"/>
    <w:rsid w:val="0004462B"/>
    <w:rsid w:val="000525B8"/>
    <w:rsid w:val="00055B78"/>
    <w:rsid w:val="00060C40"/>
    <w:rsid w:val="00065895"/>
    <w:rsid w:val="00065AB6"/>
    <w:rsid w:val="00065C8B"/>
    <w:rsid w:val="00066A16"/>
    <w:rsid w:val="00066FFF"/>
    <w:rsid w:val="00071E43"/>
    <w:rsid w:val="00072CCF"/>
    <w:rsid w:val="00073652"/>
    <w:rsid w:val="000764CC"/>
    <w:rsid w:val="000765EA"/>
    <w:rsid w:val="00077F2E"/>
    <w:rsid w:val="00093BF9"/>
    <w:rsid w:val="00094900"/>
    <w:rsid w:val="00094CC1"/>
    <w:rsid w:val="00094CCB"/>
    <w:rsid w:val="00096125"/>
    <w:rsid w:val="000A0D8C"/>
    <w:rsid w:val="000A196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D0DEF"/>
    <w:rsid w:val="000D21D7"/>
    <w:rsid w:val="000D303B"/>
    <w:rsid w:val="000D33B3"/>
    <w:rsid w:val="000D492C"/>
    <w:rsid w:val="000D4AB0"/>
    <w:rsid w:val="000E22B1"/>
    <w:rsid w:val="000E22D8"/>
    <w:rsid w:val="000E2303"/>
    <w:rsid w:val="000E2ECA"/>
    <w:rsid w:val="000E3169"/>
    <w:rsid w:val="000E41B3"/>
    <w:rsid w:val="000E4D03"/>
    <w:rsid w:val="000F3CD2"/>
    <w:rsid w:val="000F60BE"/>
    <w:rsid w:val="00105286"/>
    <w:rsid w:val="00106F74"/>
    <w:rsid w:val="00110B31"/>
    <w:rsid w:val="00111BAD"/>
    <w:rsid w:val="0011304E"/>
    <w:rsid w:val="00113B8C"/>
    <w:rsid w:val="00115513"/>
    <w:rsid w:val="00115A8A"/>
    <w:rsid w:val="001216D9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40A1"/>
    <w:rsid w:val="00135A22"/>
    <w:rsid w:val="001446F9"/>
    <w:rsid w:val="00145877"/>
    <w:rsid w:val="001468F3"/>
    <w:rsid w:val="00150659"/>
    <w:rsid w:val="001526CD"/>
    <w:rsid w:val="00152DBF"/>
    <w:rsid w:val="00155A53"/>
    <w:rsid w:val="001578FD"/>
    <w:rsid w:val="00161429"/>
    <w:rsid w:val="0016169A"/>
    <w:rsid w:val="0016287B"/>
    <w:rsid w:val="0016340C"/>
    <w:rsid w:val="001635D6"/>
    <w:rsid w:val="0016406B"/>
    <w:rsid w:val="001673B5"/>
    <w:rsid w:val="00170CEF"/>
    <w:rsid w:val="00177BFB"/>
    <w:rsid w:val="00177F81"/>
    <w:rsid w:val="001803DF"/>
    <w:rsid w:val="00181850"/>
    <w:rsid w:val="00181C7D"/>
    <w:rsid w:val="00182B5F"/>
    <w:rsid w:val="00183810"/>
    <w:rsid w:val="001855BE"/>
    <w:rsid w:val="001857E6"/>
    <w:rsid w:val="00186F23"/>
    <w:rsid w:val="0019169E"/>
    <w:rsid w:val="00191BB3"/>
    <w:rsid w:val="00191DB5"/>
    <w:rsid w:val="0019274C"/>
    <w:rsid w:val="00195138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D7900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59DE"/>
    <w:rsid w:val="001F70A4"/>
    <w:rsid w:val="001F78E4"/>
    <w:rsid w:val="00200B2F"/>
    <w:rsid w:val="00202289"/>
    <w:rsid w:val="00202D95"/>
    <w:rsid w:val="00205E70"/>
    <w:rsid w:val="00210AE8"/>
    <w:rsid w:val="00210B1D"/>
    <w:rsid w:val="00214A36"/>
    <w:rsid w:val="00214C51"/>
    <w:rsid w:val="00214FC8"/>
    <w:rsid w:val="00217E15"/>
    <w:rsid w:val="002211C9"/>
    <w:rsid w:val="00221292"/>
    <w:rsid w:val="00221A78"/>
    <w:rsid w:val="002225BA"/>
    <w:rsid w:val="00223434"/>
    <w:rsid w:val="00224C95"/>
    <w:rsid w:val="00230AEF"/>
    <w:rsid w:val="00233A36"/>
    <w:rsid w:val="0023514D"/>
    <w:rsid w:val="00235C2E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178B"/>
    <w:rsid w:val="00254EFB"/>
    <w:rsid w:val="00254F6F"/>
    <w:rsid w:val="0025598E"/>
    <w:rsid w:val="00257C3F"/>
    <w:rsid w:val="00264C2F"/>
    <w:rsid w:val="00265A68"/>
    <w:rsid w:val="00267A45"/>
    <w:rsid w:val="00267B15"/>
    <w:rsid w:val="00270620"/>
    <w:rsid w:val="00271D63"/>
    <w:rsid w:val="00274661"/>
    <w:rsid w:val="00277946"/>
    <w:rsid w:val="002808A8"/>
    <w:rsid w:val="00280B19"/>
    <w:rsid w:val="00283342"/>
    <w:rsid w:val="002847D0"/>
    <w:rsid w:val="0028674A"/>
    <w:rsid w:val="002873D2"/>
    <w:rsid w:val="002879F5"/>
    <w:rsid w:val="002914EB"/>
    <w:rsid w:val="00293BDE"/>
    <w:rsid w:val="00294BAD"/>
    <w:rsid w:val="00295149"/>
    <w:rsid w:val="00295932"/>
    <w:rsid w:val="002964EA"/>
    <w:rsid w:val="0029752C"/>
    <w:rsid w:val="002976B5"/>
    <w:rsid w:val="0029785F"/>
    <w:rsid w:val="00297B4D"/>
    <w:rsid w:val="00297F7E"/>
    <w:rsid w:val="002A008B"/>
    <w:rsid w:val="002A171F"/>
    <w:rsid w:val="002A4002"/>
    <w:rsid w:val="002B112B"/>
    <w:rsid w:val="002B1BBE"/>
    <w:rsid w:val="002B554C"/>
    <w:rsid w:val="002C0754"/>
    <w:rsid w:val="002C309F"/>
    <w:rsid w:val="002C35B8"/>
    <w:rsid w:val="002C4169"/>
    <w:rsid w:val="002C531C"/>
    <w:rsid w:val="002D126E"/>
    <w:rsid w:val="002D1EB9"/>
    <w:rsid w:val="002D2008"/>
    <w:rsid w:val="002D2388"/>
    <w:rsid w:val="002D5D85"/>
    <w:rsid w:val="002D6110"/>
    <w:rsid w:val="002D6E8D"/>
    <w:rsid w:val="002D7582"/>
    <w:rsid w:val="002D79D2"/>
    <w:rsid w:val="002E4A32"/>
    <w:rsid w:val="002E576E"/>
    <w:rsid w:val="002E5B0C"/>
    <w:rsid w:val="002F0114"/>
    <w:rsid w:val="002F2047"/>
    <w:rsid w:val="002F3B5A"/>
    <w:rsid w:val="002F75BC"/>
    <w:rsid w:val="00300FA6"/>
    <w:rsid w:val="00301C24"/>
    <w:rsid w:val="003066FB"/>
    <w:rsid w:val="0031108B"/>
    <w:rsid w:val="00313F27"/>
    <w:rsid w:val="00313F43"/>
    <w:rsid w:val="0031517C"/>
    <w:rsid w:val="00317751"/>
    <w:rsid w:val="00320276"/>
    <w:rsid w:val="0032079A"/>
    <w:rsid w:val="003208EC"/>
    <w:rsid w:val="00320FE3"/>
    <w:rsid w:val="00326A62"/>
    <w:rsid w:val="00326B81"/>
    <w:rsid w:val="003273F1"/>
    <w:rsid w:val="00331518"/>
    <w:rsid w:val="0033162A"/>
    <w:rsid w:val="00333D75"/>
    <w:rsid w:val="00337D45"/>
    <w:rsid w:val="00340E03"/>
    <w:rsid w:val="00341D65"/>
    <w:rsid w:val="00341ED6"/>
    <w:rsid w:val="0034574D"/>
    <w:rsid w:val="00345EF5"/>
    <w:rsid w:val="003467C1"/>
    <w:rsid w:val="003472AC"/>
    <w:rsid w:val="0035171A"/>
    <w:rsid w:val="003526AF"/>
    <w:rsid w:val="00353B38"/>
    <w:rsid w:val="003541C9"/>
    <w:rsid w:val="00354A9B"/>
    <w:rsid w:val="0035726E"/>
    <w:rsid w:val="00357E67"/>
    <w:rsid w:val="0036104C"/>
    <w:rsid w:val="00363D63"/>
    <w:rsid w:val="00364773"/>
    <w:rsid w:val="0037024E"/>
    <w:rsid w:val="003718B5"/>
    <w:rsid w:val="00374DF5"/>
    <w:rsid w:val="00376BE5"/>
    <w:rsid w:val="00380C2F"/>
    <w:rsid w:val="003821D5"/>
    <w:rsid w:val="00382607"/>
    <w:rsid w:val="00382D11"/>
    <w:rsid w:val="00383410"/>
    <w:rsid w:val="00383C91"/>
    <w:rsid w:val="00383D4F"/>
    <w:rsid w:val="00383D5B"/>
    <w:rsid w:val="00387A72"/>
    <w:rsid w:val="0039001A"/>
    <w:rsid w:val="00392302"/>
    <w:rsid w:val="00392BE4"/>
    <w:rsid w:val="00393EB0"/>
    <w:rsid w:val="00393FAE"/>
    <w:rsid w:val="00395A01"/>
    <w:rsid w:val="003A1A22"/>
    <w:rsid w:val="003A1D15"/>
    <w:rsid w:val="003A68A4"/>
    <w:rsid w:val="003B0110"/>
    <w:rsid w:val="003B1BF6"/>
    <w:rsid w:val="003B40F5"/>
    <w:rsid w:val="003B4AB1"/>
    <w:rsid w:val="003B4BF1"/>
    <w:rsid w:val="003B4E82"/>
    <w:rsid w:val="003B5361"/>
    <w:rsid w:val="003B5469"/>
    <w:rsid w:val="003C1ABD"/>
    <w:rsid w:val="003C468C"/>
    <w:rsid w:val="003C6499"/>
    <w:rsid w:val="003D041D"/>
    <w:rsid w:val="003D1254"/>
    <w:rsid w:val="003D23D9"/>
    <w:rsid w:val="003D2591"/>
    <w:rsid w:val="003D34F7"/>
    <w:rsid w:val="003D379B"/>
    <w:rsid w:val="003D649E"/>
    <w:rsid w:val="003D7E45"/>
    <w:rsid w:val="003E30AD"/>
    <w:rsid w:val="003E3790"/>
    <w:rsid w:val="003E3BBA"/>
    <w:rsid w:val="003E551C"/>
    <w:rsid w:val="003E5A88"/>
    <w:rsid w:val="003E5F43"/>
    <w:rsid w:val="003E79F5"/>
    <w:rsid w:val="003F0A14"/>
    <w:rsid w:val="003F1295"/>
    <w:rsid w:val="003F19CB"/>
    <w:rsid w:val="003F2FAD"/>
    <w:rsid w:val="003F6BFE"/>
    <w:rsid w:val="003F731A"/>
    <w:rsid w:val="00403929"/>
    <w:rsid w:val="004041FC"/>
    <w:rsid w:val="00407417"/>
    <w:rsid w:val="00407B3F"/>
    <w:rsid w:val="00410D78"/>
    <w:rsid w:val="004110DA"/>
    <w:rsid w:val="00414184"/>
    <w:rsid w:val="0041510A"/>
    <w:rsid w:val="00415D73"/>
    <w:rsid w:val="00417B03"/>
    <w:rsid w:val="00417E57"/>
    <w:rsid w:val="00420D93"/>
    <w:rsid w:val="004217E7"/>
    <w:rsid w:val="00423955"/>
    <w:rsid w:val="00424050"/>
    <w:rsid w:val="00425AF6"/>
    <w:rsid w:val="00427600"/>
    <w:rsid w:val="00430BDE"/>
    <w:rsid w:val="00431F8D"/>
    <w:rsid w:val="00432A3B"/>
    <w:rsid w:val="00436072"/>
    <w:rsid w:val="00440665"/>
    <w:rsid w:val="00441547"/>
    <w:rsid w:val="00442715"/>
    <w:rsid w:val="004429E9"/>
    <w:rsid w:val="00445845"/>
    <w:rsid w:val="00450BA5"/>
    <w:rsid w:val="00452B9E"/>
    <w:rsid w:val="004555D0"/>
    <w:rsid w:val="004630C7"/>
    <w:rsid w:val="00466F08"/>
    <w:rsid w:val="00472E8C"/>
    <w:rsid w:val="0047386B"/>
    <w:rsid w:val="00473EAC"/>
    <w:rsid w:val="00474436"/>
    <w:rsid w:val="00475493"/>
    <w:rsid w:val="0048146D"/>
    <w:rsid w:val="004818C4"/>
    <w:rsid w:val="0048236F"/>
    <w:rsid w:val="00482D9C"/>
    <w:rsid w:val="00482E29"/>
    <w:rsid w:val="00483413"/>
    <w:rsid w:val="004835B4"/>
    <w:rsid w:val="00492D06"/>
    <w:rsid w:val="004938F5"/>
    <w:rsid w:val="00493994"/>
    <w:rsid w:val="00496542"/>
    <w:rsid w:val="004A0638"/>
    <w:rsid w:val="004A0842"/>
    <w:rsid w:val="004A50C4"/>
    <w:rsid w:val="004A7243"/>
    <w:rsid w:val="004A787E"/>
    <w:rsid w:val="004B08DD"/>
    <w:rsid w:val="004B0B7A"/>
    <w:rsid w:val="004B1AF8"/>
    <w:rsid w:val="004B4F0D"/>
    <w:rsid w:val="004B580C"/>
    <w:rsid w:val="004B683B"/>
    <w:rsid w:val="004B796B"/>
    <w:rsid w:val="004C14EA"/>
    <w:rsid w:val="004C5633"/>
    <w:rsid w:val="004C6396"/>
    <w:rsid w:val="004C66F1"/>
    <w:rsid w:val="004D23B3"/>
    <w:rsid w:val="004D23B8"/>
    <w:rsid w:val="004D4F58"/>
    <w:rsid w:val="004D52AA"/>
    <w:rsid w:val="004E07A0"/>
    <w:rsid w:val="004E0AB0"/>
    <w:rsid w:val="004E0E2F"/>
    <w:rsid w:val="004E0EB6"/>
    <w:rsid w:val="004E1573"/>
    <w:rsid w:val="004E1DE5"/>
    <w:rsid w:val="004E46A2"/>
    <w:rsid w:val="004E635E"/>
    <w:rsid w:val="004E68B3"/>
    <w:rsid w:val="004E79A4"/>
    <w:rsid w:val="004F0843"/>
    <w:rsid w:val="004F3156"/>
    <w:rsid w:val="004F37A1"/>
    <w:rsid w:val="004F6A35"/>
    <w:rsid w:val="005026F6"/>
    <w:rsid w:val="00502DB0"/>
    <w:rsid w:val="0050748F"/>
    <w:rsid w:val="00507AE2"/>
    <w:rsid w:val="00510876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36831"/>
    <w:rsid w:val="0054070F"/>
    <w:rsid w:val="00540CD6"/>
    <w:rsid w:val="00541033"/>
    <w:rsid w:val="00542621"/>
    <w:rsid w:val="00546602"/>
    <w:rsid w:val="00550446"/>
    <w:rsid w:val="00552C86"/>
    <w:rsid w:val="005546C4"/>
    <w:rsid w:val="0055666E"/>
    <w:rsid w:val="005610F2"/>
    <w:rsid w:val="00561B25"/>
    <w:rsid w:val="005622B1"/>
    <w:rsid w:val="00564182"/>
    <w:rsid w:val="005647C1"/>
    <w:rsid w:val="00565C4D"/>
    <w:rsid w:val="00565DEF"/>
    <w:rsid w:val="00566470"/>
    <w:rsid w:val="00566CE2"/>
    <w:rsid w:val="00567980"/>
    <w:rsid w:val="00570E99"/>
    <w:rsid w:val="00574C8D"/>
    <w:rsid w:val="00576EC8"/>
    <w:rsid w:val="00577988"/>
    <w:rsid w:val="005827D1"/>
    <w:rsid w:val="005847E7"/>
    <w:rsid w:val="00584FE4"/>
    <w:rsid w:val="005851DF"/>
    <w:rsid w:val="00585B39"/>
    <w:rsid w:val="00587A23"/>
    <w:rsid w:val="00587D4A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0AF4"/>
    <w:rsid w:val="005A20A4"/>
    <w:rsid w:val="005A37BD"/>
    <w:rsid w:val="005A490E"/>
    <w:rsid w:val="005A5BEE"/>
    <w:rsid w:val="005A6C06"/>
    <w:rsid w:val="005B2C56"/>
    <w:rsid w:val="005B45A2"/>
    <w:rsid w:val="005B645A"/>
    <w:rsid w:val="005C269F"/>
    <w:rsid w:val="005C417C"/>
    <w:rsid w:val="005C4FCB"/>
    <w:rsid w:val="005C5A0B"/>
    <w:rsid w:val="005D2989"/>
    <w:rsid w:val="005D2BCC"/>
    <w:rsid w:val="005D5997"/>
    <w:rsid w:val="005D631A"/>
    <w:rsid w:val="005D64E3"/>
    <w:rsid w:val="005D650A"/>
    <w:rsid w:val="005E0139"/>
    <w:rsid w:val="005F2F55"/>
    <w:rsid w:val="005F42DB"/>
    <w:rsid w:val="005F6211"/>
    <w:rsid w:val="005F6E75"/>
    <w:rsid w:val="006008E2"/>
    <w:rsid w:val="00600FF8"/>
    <w:rsid w:val="00604D57"/>
    <w:rsid w:val="00610673"/>
    <w:rsid w:val="006106FB"/>
    <w:rsid w:val="00610DD0"/>
    <w:rsid w:val="006126BF"/>
    <w:rsid w:val="0061347D"/>
    <w:rsid w:val="006150ED"/>
    <w:rsid w:val="00631202"/>
    <w:rsid w:val="006318A8"/>
    <w:rsid w:val="006344A0"/>
    <w:rsid w:val="006415B8"/>
    <w:rsid w:val="0064514E"/>
    <w:rsid w:val="00646E12"/>
    <w:rsid w:val="006516AE"/>
    <w:rsid w:val="00652E26"/>
    <w:rsid w:val="00653320"/>
    <w:rsid w:val="00653B3C"/>
    <w:rsid w:val="00654431"/>
    <w:rsid w:val="006559C7"/>
    <w:rsid w:val="006561E0"/>
    <w:rsid w:val="006563ED"/>
    <w:rsid w:val="00660C66"/>
    <w:rsid w:val="00661449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382F"/>
    <w:rsid w:val="00684E48"/>
    <w:rsid w:val="00685344"/>
    <w:rsid w:val="00686046"/>
    <w:rsid w:val="00692410"/>
    <w:rsid w:val="0069318F"/>
    <w:rsid w:val="00694127"/>
    <w:rsid w:val="006945D7"/>
    <w:rsid w:val="00694E47"/>
    <w:rsid w:val="00697B5D"/>
    <w:rsid w:val="006A06D4"/>
    <w:rsid w:val="006A19A8"/>
    <w:rsid w:val="006A1C82"/>
    <w:rsid w:val="006A3D4A"/>
    <w:rsid w:val="006A64EB"/>
    <w:rsid w:val="006B13A0"/>
    <w:rsid w:val="006B2473"/>
    <w:rsid w:val="006B2970"/>
    <w:rsid w:val="006B330C"/>
    <w:rsid w:val="006B527B"/>
    <w:rsid w:val="006B5313"/>
    <w:rsid w:val="006B5D9C"/>
    <w:rsid w:val="006B5FD6"/>
    <w:rsid w:val="006B6C71"/>
    <w:rsid w:val="006C1257"/>
    <w:rsid w:val="006C199A"/>
    <w:rsid w:val="006C273A"/>
    <w:rsid w:val="006C3940"/>
    <w:rsid w:val="006C5464"/>
    <w:rsid w:val="006D18B7"/>
    <w:rsid w:val="006D249C"/>
    <w:rsid w:val="006D32C0"/>
    <w:rsid w:val="006D38F0"/>
    <w:rsid w:val="006D45A4"/>
    <w:rsid w:val="006D5E8E"/>
    <w:rsid w:val="006D5FDB"/>
    <w:rsid w:val="006D775C"/>
    <w:rsid w:val="006D7CB5"/>
    <w:rsid w:val="006E062F"/>
    <w:rsid w:val="006E1132"/>
    <w:rsid w:val="006E1713"/>
    <w:rsid w:val="006E2B71"/>
    <w:rsid w:val="006E344B"/>
    <w:rsid w:val="006E38F7"/>
    <w:rsid w:val="006E420D"/>
    <w:rsid w:val="006E4D36"/>
    <w:rsid w:val="006E505E"/>
    <w:rsid w:val="006E7D42"/>
    <w:rsid w:val="006F20D9"/>
    <w:rsid w:val="006F3271"/>
    <w:rsid w:val="006F57B5"/>
    <w:rsid w:val="006F58D3"/>
    <w:rsid w:val="006F7C11"/>
    <w:rsid w:val="00702AEF"/>
    <w:rsid w:val="00704BED"/>
    <w:rsid w:val="0071788D"/>
    <w:rsid w:val="0072311B"/>
    <w:rsid w:val="00725A30"/>
    <w:rsid w:val="00725E90"/>
    <w:rsid w:val="00727D56"/>
    <w:rsid w:val="00734261"/>
    <w:rsid w:val="00744452"/>
    <w:rsid w:val="00745B65"/>
    <w:rsid w:val="0075272D"/>
    <w:rsid w:val="00752EC6"/>
    <w:rsid w:val="00755695"/>
    <w:rsid w:val="00757DBA"/>
    <w:rsid w:val="00757E0E"/>
    <w:rsid w:val="00761544"/>
    <w:rsid w:val="00761E9B"/>
    <w:rsid w:val="00763937"/>
    <w:rsid w:val="00767E8B"/>
    <w:rsid w:val="007701B2"/>
    <w:rsid w:val="00770FF4"/>
    <w:rsid w:val="00773251"/>
    <w:rsid w:val="00773F9C"/>
    <w:rsid w:val="007741B7"/>
    <w:rsid w:val="007770E1"/>
    <w:rsid w:val="00780202"/>
    <w:rsid w:val="00782214"/>
    <w:rsid w:val="007832EC"/>
    <w:rsid w:val="007846A1"/>
    <w:rsid w:val="00784C1F"/>
    <w:rsid w:val="00785B90"/>
    <w:rsid w:val="00786B0C"/>
    <w:rsid w:val="00786B9E"/>
    <w:rsid w:val="00787826"/>
    <w:rsid w:val="00787D6B"/>
    <w:rsid w:val="00790528"/>
    <w:rsid w:val="0079596B"/>
    <w:rsid w:val="0079797B"/>
    <w:rsid w:val="007A0310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6128"/>
    <w:rsid w:val="007B6593"/>
    <w:rsid w:val="007B785B"/>
    <w:rsid w:val="007C13E2"/>
    <w:rsid w:val="007C5BC7"/>
    <w:rsid w:val="007C671B"/>
    <w:rsid w:val="007D00DB"/>
    <w:rsid w:val="007D030B"/>
    <w:rsid w:val="007D1EF7"/>
    <w:rsid w:val="007D47A9"/>
    <w:rsid w:val="007D4A38"/>
    <w:rsid w:val="007D5E85"/>
    <w:rsid w:val="007D5FC6"/>
    <w:rsid w:val="007E6779"/>
    <w:rsid w:val="007E6BF5"/>
    <w:rsid w:val="007E7662"/>
    <w:rsid w:val="007F55B8"/>
    <w:rsid w:val="007F7473"/>
    <w:rsid w:val="007F7C44"/>
    <w:rsid w:val="0080060E"/>
    <w:rsid w:val="008008E1"/>
    <w:rsid w:val="00800CF4"/>
    <w:rsid w:val="008035E0"/>
    <w:rsid w:val="008069F1"/>
    <w:rsid w:val="00811F8F"/>
    <w:rsid w:val="00812E92"/>
    <w:rsid w:val="00814772"/>
    <w:rsid w:val="00817225"/>
    <w:rsid w:val="00817E14"/>
    <w:rsid w:val="008204AD"/>
    <w:rsid w:val="00820E25"/>
    <w:rsid w:val="00820F5A"/>
    <w:rsid w:val="00826618"/>
    <w:rsid w:val="00827252"/>
    <w:rsid w:val="0083024C"/>
    <w:rsid w:val="00830D01"/>
    <w:rsid w:val="008324DE"/>
    <w:rsid w:val="0083435C"/>
    <w:rsid w:val="00837700"/>
    <w:rsid w:val="00837892"/>
    <w:rsid w:val="00840006"/>
    <w:rsid w:val="0084044D"/>
    <w:rsid w:val="008405D0"/>
    <w:rsid w:val="008412A4"/>
    <w:rsid w:val="00843A1A"/>
    <w:rsid w:val="00844425"/>
    <w:rsid w:val="00844607"/>
    <w:rsid w:val="00845BC4"/>
    <w:rsid w:val="00852A65"/>
    <w:rsid w:val="008531D0"/>
    <w:rsid w:val="008553B9"/>
    <w:rsid w:val="00856021"/>
    <w:rsid w:val="00862737"/>
    <w:rsid w:val="00863F7A"/>
    <w:rsid w:val="00864545"/>
    <w:rsid w:val="00865DC9"/>
    <w:rsid w:val="008717E1"/>
    <w:rsid w:val="00873029"/>
    <w:rsid w:val="00873742"/>
    <w:rsid w:val="008811E4"/>
    <w:rsid w:val="00885D52"/>
    <w:rsid w:val="00886CF4"/>
    <w:rsid w:val="00890220"/>
    <w:rsid w:val="00890AC9"/>
    <w:rsid w:val="00890F20"/>
    <w:rsid w:val="00893D30"/>
    <w:rsid w:val="00894218"/>
    <w:rsid w:val="00895EFE"/>
    <w:rsid w:val="008A4242"/>
    <w:rsid w:val="008A51C4"/>
    <w:rsid w:val="008A6139"/>
    <w:rsid w:val="008B0DED"/>
    <w:rsid w:val="008B2995"/>
    <w:rsid w:val="008B2BA2"/>
    <w:rsid w:val="008B3A78"/>
    <w:rsid w:val="008B3CE2"/>
    <w:rsid w:val="008B442C"/>
    <w:rsid w:val="008B5D51"/>
    <w:rsid w:val="008B68DD"/>
    <w:rsid w:val="008C1637"/>
    <w:rsid w:val="008C1B6F"/>
    <w:rsid w:val="008C3AB3"/>
    <w:rsid w:val="008C4FF2"/>
    <w:rsid w:val="008C5DD0"/>
    <w:rsid w:val="008C681E"/>
    <w:rsid w:val="008C7D8E"/>
    <w:rsid w:val="008D1DF4"/>
    <w:rsid w:val="008D3BD2"/>
    <w:rsid w:val="008D456C"/>
    <w:rsid w:val="008D58F1"/>
    <w:rsid w:val="008D6AF4"/>
    <w:rsid w:val="008D7BDE"/>
    <w:rsid w:val="008E050D"/>
    <w:rsid w:val="008E66C2"/>
    <w:rsid w:val="008E7D06"/>
    <w:rsid w:val="008F174D"/>
    <w:rsid w:val="008F1857"/>
    <w:rsid w:val="008F51CF"/>
    <w:rsid w:val="008F7EFA"/>
    <w:rsid w:val="00900E54"/>
    <w:rsid w:val="00901822"/>
    <w:rsid w:val="00901D8A"/>
    <w:rsid w:val="00903BC9"/>
    <w:rsid w:val="00916B95"/>
    <w:rsid w:val="00917320"/>
    <w:rsid w:val="009173B8"/>
    <w:rsid w:val="00922410"/>
    <w:rsid w:val="0092254B"/>
    <w:rsid w:val="009227F1"/>
    <w:rsid w:val="00923053"/>
    <w:rsid w:val="00924AD8"/>
    <w:rsid w:val="0092542E"/>
    <w:rsid w:val="009259DD"/>
    <w:rsid w:val="00933733"/>
    <w:rsid w:val="00936697"/>
    <w:rsid w:val="0093686E"/>
    <w:rsid w:val="00936FEB"/>
    <w:rsid w:val="0094079B"/>
    <w:rsid w:val="00942CCD"/>
    <w:rsid w:val="00943753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65C23"/>
    <w:rsid w:val="00970765"/>
    <w:rsid w:val="0097251F"/>
    <w:rsid w:val="0097279F"/>
    <w:rsid w:val="009761BD"/>
    <w:rsid w:val="00980DDF"/>
    <w:rsid w:val="00982398"/>
    <w:rsid w:val="009837AF"/>
    <w:rsid w:val="009866F2"/>
    <w:rsid w:val="00994540"/>
    <w:rsid w:val="00994601"/>
    <w:rsid w:val="00994749"/>
    <w:rsid w:val="00995118"/>
    <w:rsid w:val="0099592C"/>
    <w:rsid w:val="00995CD1"/>
    <w:rsid w:val="009A0DA1"/>
    <w:rsid w:val="009A1108"/>
    <w:rsid w:val="009A19EE"/>
    <w:rsid w:val="009A259F"/>
    <w:rsid w:val="009A3741"/>
    <w:rsid w:val="009A381F"/>
    <w:rsid w:val="009A4ADD"/>
    <w:rsid w:val="009A5445"/>
    <w:rsid w:val="009A73AC"/>
    <w:rsid w:val="009A7712"/>
    <w:rsid w:val="009B0CE4"/>
    <w:rsid w:val="009B0D30"/>
    <w:rsid w:val="009B0FED"/>
    <w:rsid w:val="009B1AAD"/>
    <w:rsid w:val="009B1F71"/>
    <w:rsid w:val="009B2BCC"/>
    <w:rsid w:val="009B2C98"/>
    <w:rsid w:val="009B61B1"/>
    <w:rsid w:val="009B65A2"/>
    <w:rsid w:val="009B6CDD"/>
    <w:rsid w:val="009C01A7"/>
    <w:rsid w:val="009C0B59"/>
    <w:rsid w:val="009C22B1"/>
    <w:rsid w:val="009C475C"/>
    <w:rsid w:val="009C60A8"/>
    <w:rsid w:val="009D123A"/>
    <w:rsid w:val="009D14D7"/>
    <w:rsid w:val="009D1C7F"/>
    <w:rsid w:val="009D1D85"/>
    <w:rsid w:val="009D1E90"/>
    <w:rsid w:val="009D3A1D"/>
    <w:rsid w:val="009E2318"/>
    <w:rsid w:val="009E27C6"/>
    <w:rsid w:val="009E5DFF"/>
    <w:rsid w:val="009F26EB"/>
    <w:rsid w:val="009F4CB3"/>
    <w:rsid w:val="009F5805"/>
    <w:rsid w:val="009F61BB"/>
    <w:rsid w:val="00A03684"/>
    <w:rsid w:val="00A0397C"/>
    <w:rsid w:val="00A04349"/>
    <w:rsid w:val="00A04FEF"/>
    <w:rsid w:val="00A0610B"/>
    <w:rsid w:val="00A11D5A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291"/>
    <w:rsid w:val="00A34AD5"/>
    <w:rsid w:val="00A40390"/>
    <w:rsid w:val="00A430F2"/>
    <w:rsid w:val="00A44617"/>
    <w:rsid w:val="00A46221"/>
    <w:rsid w:val="00A4796D"/>
    <w:rsid w:val="00A5245E"/>
    <w:rsid w:val="00A540DF"/>
    <w:rsid w:val="00A54A4E"/>
    <w:rsid w:val="00A54E9E"/>
    <w:rsid w:val="00A55BE8"/>
    <w:rsid w:val="00A57756"/>
    <w:rsid w:val="00A57D43"/>
    <w:rsid w:val="00A57D99"/>
    <w:rsid w:val="00A6252C"/>
    <w:rsid w:val="00A63309"/>
    <w:rsid w:val="00A64571"/>
    <w:rsid w:val="00A64973"/>
    <w:rsid w:val="00A708D7"/>
    <w:rsid w:val="00A70E2C"/>
    <w:rsid w:val="00A716E3"/>
    <w:rsid w:val="00A72020"/>
    <w:rsid w:val="00A74361"/>
    <w:rsid w:val="00A74D84"/>
    <w:rsid w:val="00A76D13"/>
    <w:rsid w:val="00A77945"/>
    <w:rsid w:val="00A77B2C"/>
    <w:rsid w:val="00A809CF"/>
    <w:rsid w:val="00A84468"/>
    <w:rsid w:val="00A845C0"/>
    <w:rsid w:val="00A90533"/>
    <w:rsid w:val="00A90CC3"/>
    <w:rsid w:val="00A90F80"/>
    <w:rsid w:val="00A92E0D"/>
    <w:rsid w:val="00A93181"/>
    <w:rsid w:val="00A93212"/>
    <w:rsid w:val="00A95173"/>
    <w:rsid w:val="00A96970"/>
    <w:rsid w:val="00AA307B"/>
    <w:rsid w:val="00AA4F03"/>
    <w:rsid w:val="00AA5306"/>
    <w:rsid w:val="00AA6F6E"/>
    <w:rsid w:val="00AB140C"/>
    <w:rsid w:val="00AB189C"/>
    <w:rsid w:val="00AB282B"/>
    <w:rsid w:val="00AB360A"/>
    <w:rsid w:val="00AB73D5"/>
    <w:rsid w:val="00AC30C6"/>
    <w:rsid w:val="00AC3B84"/>
    <w:rsid w:val="00AC596C"/>
    <w:rsid w:val="00AC5C1C"/>
    <w:rsid w:val="00AC6D3C"/>
    <w:rsid w:val="00AC7106"/>
    <w:rsid w:val="00AD4E3D"/>
    <w:rsid w:val="00AD5389"/>
    <w:rsid w:val="00AD6BC3"/>
    <w:rsid w:val="00AD6D3B"/>
    <w:rsid w:val="00AE3083"/>
    <w:rsid w:val="00AE41CF"/>
    <w:rsid w:val="00AE5566"/>
    <w:rsid w:val="00AF02EB"/>
    <w:rsid w:val="00AF1C7A"/>
    <w:rsid w:val="00AF6B6F"/>
    <w:rsid w:val="00B01836"/>
    <w:rsid w:val="00B0199D"/>
    <w:rsid w:val="00B04037"/>
    <w:rsid w:val="00B04E2B"/>
    <w:rsid w:val="00B05743"/>
    <w:rsid w:val="00B06475"/>
    <w:rsid w:val="00B06F29"/>
    <w:rsid w:val="00B1098F"/>
    <w:rsid w:val="00B144BD"/>
    <w:rsid w:val="00B15515"/>
    <w:rsid w:val="00B1646B"/>
    <w:rsid w:val="00B173B9"/>
    <w:rsid w:val="00B22256"/>
    <w:rsid w:val="00B2417D"/>
    <w:rsid w:val="00B24C63"/>
    <w:rsid w:val="00B25483"/>
    <w:rsid w:val="00B26409"/>
    <w:rsid w:val="00B27715"/>
    <w:rsid w:val="00B30C6D"/>
    <w:rsid w:val="00B30E41"/>
    <w:rsid w:val="00B3120E"/>
    <w:rsid w:val="00B3413A"/>
    <w:rsid w:val="00B34ABC"/>
    <w:rsid w:val="00B34FE5"/>
    <w:rsid w:val="00B36EBC"/>
    <w:rsid w:val="00B40614"/>
    <w:rsid w:val="00B40C89"/>
    <w:rsid w:val="00B40DFE"/>
    <w:rsid w:val="00B46609"/>
    <w:rsid w:val="00B50C0A"/>
    <w:rsid w:val="00B50E63"/>
    <w:rsid w:val="00B53ECD"/>
    <w:rsid w:val="00B56D97"/>
    <w:rsid w:val="00B60FAD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5CA3"/>
    <w:rsid w:val="00B76A84"/>
    <w:rsid w:val="00B8012A"/>
    <w:rsid w:val="00B81225"/>
    <w:rsid w:val="00B81332"/>
    <w:rsid w:val="00B830B8"/>
    <w:rsid w:val="00B833D9"/>
    <w:rsid w:val="00B83FA7"/>
    <w:rsid w:val="00B92682"/>
    <w:rsid w:val="00B93AC6"/>
    <w:rsid w:val="00B966AF"/>
    <w:rsid w:val="00B968B1"/>
    <w:rsid w:val="00B9697A"/>
    <w:rsid w:val="00B96C8B"/>
    <w:rsid w:val="00B9755A"/>
    <w:rsid w:val="00B97C6F"/>
    <w:rsid w:val="00BA1868"/>
    <w:rsid w:val="00BA2C0E"/>
    <w:rsid w:val="00BA3117"/>
    <w:rsid w:val="00BA45E5"/>
    <w:rsid w:val="00BA460A"/>
    <w:rsid w:val="00BA4B2A"/>
    <w:rsid w:val="00BA6B3F"/>
    <w:rsid w:val="00BA6C57"/>
    <w:rsid w:val="00BB034D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C4C2C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596B"/>
    <w:rsid w:val="00BE6B2D"/>
    <w:rsid w:val="00BE78D5"/>
    <w:rsid w:val="00BF088B"/>
    <w:rsid w:val="00BF1A1D"/>
    <w:rsid w:val="00BF37B5"/>
    <w:rsid w:val="00BF5BB4"/>
    <w:rsid w:val="00C000E1"/>
    <w:rsid w:val="00C01C83"/>
    <w:rsid w:val="00C0236E"/>
    <w:rsid w:val="00C0242D"/>
    <w:rsid w:val="00C02F39"/>
    <w:rsid w:val="00C05256"/>
    <w:rsid w:val="00C058A0"/>
    <w:rsid w:val="00C05E57"/>
    <w:rsid w:val="00C06A83"/>
    <w:rsid w:val="00C07DA1"/>
    <w:rsid w:val="00C07F5B"/>
    <w:rsid w:val="00C11802"/>
    <w:rsid w:val="00C1299A"/>
    <w:rsid w:val="00C14631"/>
    <w:rsid w:val="00C14E08"/>
    <w:rsid w:val="00C151F5"/>
    <w:rsid w:val="00C15787"/>
    <w:rsid w:val="00C16EBE"/>
    <w:rsid w:val="00C17467"/>
    <w:rsid w:val="00C17CDF"/>
    <w:rsid w:val="00C27766"/>
    <w:rsid w:val="00C336AD"/>
    <w:rsid w:val="00C33A33"/>
    <w:rsid w:val="00C356DE"/>
    <w:rsid w:val="00C36593"/>
    <w:rsid w:val="00C369AD"/>
    <w:rsid w:val="00C37295"/>
    <w:rsid w:val="00C40E7A"/>
    <w:rsid w:val="00C43F9B"/>
    <w:rsid w:val="00C44EE1"/>
    <w:rsid w:val="00C455E1"/>
    <w:rsid w:val="00C47AB0"/>
    <w:rsid w:val="00C55356"/>
    <w:rsid w:val="00C55ADB"/>
    <w:rsid w:val="00C56A6F"/>
    <w:rsid w:val="00C60865"/>
    <w:rsid w:val="00C613F0"/>
    <w:rsid w:val="00C622E4"/>
    <w:rsid w:val="00C63FD1"/>
    <w:rsid w:val="00C655CF"/>
    <w:rsid w:val="00C67A5B"/>
    <w:rsid w:val="00C70EFC"/>
    <w:rsid w:val="00C7100C"/>
    <w:rsid w:val="00C71646"/>
    <w:rsid w:val="00C7517C"/>
    <w:rsid w:val="00C75CC3"/>
    <w:rsid w:val="00C761B9"/>
    <w:rsid w:val="00C8212F"/>
    <w:rsid w:val="00C82EFF"/>
    <w:rsid w:val="00C85162"/>
    <w:rsid w:val="00C901A9"/>
    <w:rsid w:val="00C96A93"/>
    <w:rsid w:val="00CA222F"/>
    <w:rsid w:val="00CA4BA0"/>
    <w:rsid w:val="00CA598A"/>
    <w:rsid w:val="00CB0301"/>
    <w:rsid w:val="00CB0FB4"/>
    <w:rsid w:val="00CB1A22"/>
    <w:rsid w:val="00CB233C"/>
    <w:rsid w:val="00CC16A6"/>
    <w:rsid w:val="00CC59F4"/>
    <w:rsid w:val="00CC6160"/>
    <w:rsid w:val="00CC70BC"/>
    <w:rsid w:val="00CD1196"/>
    <w:rsid w:val="00CD12C0"/>
    <w:rsid w:val="00CD160F"/>
    <w:rsid w:val="00CD3B59"/>
    <w:rsid w:val="00CD436B"/>
    <w:rsid w:val="00CD45CC"/>
    <w:rsid w:val="00CD52CC"/>
    <w:rsid w:val="00CD6CCB"/>
    <w:rsid w:val="00CD72EC"/>
    <w:rsid w:val="00CD7C53"/>
    <w:rsid w:val="00CE4396"/>
    <w:rsid w:val="00CF03D6"/>
    <w:rsid w:val="00CF0F1D"/>
    <w:rsid w:val="00CF2849"/>
    <w:rsid w:val="00CF3AB4"/>
    <w:rsid w:val="00CF3B4A"/>
    <w:rsid w:val="00CF59EC"/>
    <w:rsid w:val="00CF5CAA"/>
    <w:rsid w:val="00CF6506"/>
    <w:rsid w:val="00D00738"/>
    <w:rsid w:val="00D02AB8"/>
    <w:rsid w:val="00D0346D"/>
    <w:rsid w:val="00D05C42"/>
    <w:rsid w:val="00D0670E"/>
    <w:rsid w:val="00D101FF"/>
    <w:rsid w:val="00D136EF"/>
    <w:rsid w:val="00D14C1E"/>
    <w:rsid w:val="00D16EF0"/>
    <w:rsid w:val="00D206E4"/>
    <w:rsid w:val="00D22260"/>
    <w:rsid w:val="00D22D87"/>
    <w:rsid w:val="00D23602"/>
    <w:rsid w:val="00D239B7"/>
    <w:rsid w:val="00D23E4F"/>
    <w:rsid w:val="00D259F5"/>
    <w:rsid w:val="00D26586"/>
    <w:rsid w:val="00D274AB"/>
    <w:rsid w:val="00D303A2"/>
    <w:rsid w:val="00D305F9"/>
    <w:rsid w:val="00D31F94"/>
    <w:rsid w:val="00D33659"/>
    <w:rsid w:val="00D33FE7"/>
    <w:rsid w:val="00D350EB"/>
    <w:rsid w:val="00D35B8C"/>
    <w:rsid w:val="00D423E0"/>
    <w:rsid w:val="00D44A49"/>
    <w:rsid w:val="00D44D1F"/>
    <w:rsid w:val="00D5336A"/>
    <w:rsid w:val="00D5349D"/>
    <w:rsid w:val="00D54214"/>
    <w:rsid w:val="00D54F5F"/>
    <w:rsid w:val="00D62A73"/>
    <w:rsid w:val="00D62DC7"/>
    <w:rsid w:val="00D63F0F"/>
    <w:rsid w:val="00D64730"/>
    <w:rsid w:val="00D7130F"/>
    <w:rsid w:val="00D72259"/>
    <w:rsid w:val="00D74229"/>
    <w:rsid w:val="00D75DCB"/>
    <w:rsid w:val="00D810C7"/>
    <w:rsid w:val="00D8125E"/>
    <w:rsid w:val="00D8154A"/>
    <w:rsid w:val="00D84243"/>
    <w:rsid w:val="00D848B5"/>
    <w:rsid w:val="00D86753"/>
    <w:rsid w:val="00D872C5"/>
    <w:rsid w:val="00D90132"/>
    <w:rsid w:val="00D906D7"/>
    <w:rsid w:val="00D922FD"/>
    <w:rsid w:val="00D9279E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D6E29"/>
    <w:rsid w:val="00DE07A5"/>
    <w:rsid w:val="00DE5E78"/>
    <w:rsid w:val="00DF0FE7"/>
    <w:rsid w:val="00DF19B0"/>
    <w:rsid w:val="00DF1CAE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1483"/>
    <w:rsid w:val="00E128E7"/>
    <w:rsid w:val="00E133DA"/>
    <w:rsid w:val="00E17214"/>
    <w:rsid w:val="00E1738B"/>
    <w:rsid w:val="00E17AE2"/>
    <w:rsid w:val="00E20737"/>
    <w:rsid w:val="00E21345"/>
    <w:rsid w:val="00E2184C"/>
    <w:rsid w:val="00E24C44"/>
    <w:rsid w:val="00E26C79"/>
    <w:rsid w:val="00E31EF5"/>
    <w:rsid w:val="00E3264E"/>
    <w:rsid w:val="00E331F4"/>
    <w:rsid w:val="00E34064"/>
    <w:rsid w:val="00E34854"/>
    <w:rsid w:val="00E34DD4"/>
    <w:rsid w:val="00E3566A"/>
    <w:rsid w:val="00E364D1"/>
    <w:rsid w:val="00E36DF8"/>
    <w:rsid w:val="00E42DD1"/>
    <w:rsid w:val="00E445A8"/>
    <w:rsid w:val="00E5259C"/>
    <w:rsid w:val="00E52D29"/>
    <w:rsid w:val="00E5339B"/>
    <w:rsid w:val="00E53B1F"/>
    <w:rsid w:val="00E54165"/>
    <w:rsid w:val="00E551A2"/>
    <w:rsid w:val="00E55614"/>
    <w:rsid w:val="00E55A56"/>
    <w:rsid w:val="00E562CE"/>
    <w:rsid w:val="00E573E7"/>
    <w:rsid w:val="00E577AE"/>
    <w:rsid w:val="00E57D93"/>
    <w:rsid w:val="00E60B44"/>
    <w:rsid w:val="00E618CC"/>
    <w:rsid w:val="00E61E4E"/>
    <w:rsid w:val="00E636F3"/>
    <w:rsid w:val="00E64059"/>
    <w:rsid w:val="00E66C37"/>
    <w:rsid w:val="00E67442"/>
    <w:rsid w:val="00E70612"/>
    <w:rsid w:val="00E71217"/>
    <w:rsid w:val="00E71251"/>
    <w:rsid w:val="00E71626"/>
    <w:rsid w:val="00E75D90"/>
    <w:rsid w:val="00E766FF"/>
    <w:rsid w:val="00E77747"/>
    <w:rsid w:val="00E81437"/>
    <w:rsid w:val="00E81587"/>
    <w:rsid w:val="00E84A36"/>
    <w:rsid w:val="00E917A0"/>
    <w:rsid w:val="00E93C73"/>
    <w:rsid w:val="00E955E1"/>
    <w:rsid w:val="00E9682D"/>
    <w:rsid w:val="00E96CEF"/>
    <w:rsid w:val="00E9793A"/>
    <w:rsid w:val="00EA0641"/>
    <w:rsid w:val="00EA072F"/>
    <w:rsid w:val="00EA2942"/>
    <w:rsid w:val="00EA29EC"/>
    <w:rsid w:val="00EA2C94"/>
    <w:rsid w:val="00EA48FA"/>
    <w:rsid w:val="00EA6732"/>
    <w:rsid w:val="00EA7E0A"/>
    <w:rsid w:val="00EB04A9"/>
    <w:rsid w:val="00EB1C36"/>
    <w:rsid w:val="00EB2028"/>
    <w:rsid w:val="00EB2B2B"/>
    <w:rsid w:val="00EB3FBB"/>
    <w:rsid w:val="00EC1B26"/>
    <w:rsid w:val="00EC1E09"/>
    <w:rsid w:val="00EC200D"/>
    <w:rsid w:val="00EC38C8"/>
    <w:rsid w:val="00EC4628"/>
    <w:rsid w:val="00EC55CE"/>
    <w:rsid w:val="00ED1267"/>
    <w:rsid w:val="00ED2B08"/>
    <w:rsid w:val="00ED317D"/>
    <w:rsid w:val="00ED7A02"/>
    <w:rsid w:val="00EE0CE6"/>
    <w:rsid w:val="00EE12F0"/>
    <w:rsid w:val="00EE3560"/>
    <w:rsid w:val="00EE5A73"/>
    <w:rsid w:val="00EE62A0"/>
    <w:rsid w:val="00EE72F8"/>
    <w:rsid w:val="00EF0396"/>
    <w:rsid w:val="00EF0C32"/>
    <w:rsid w:val="00EF1DF0"/>
    <w:rsid w:val="00EF2065"/>
    <w:rsid w:val="00EF2C6E"/>
    <w:rsid w:val="00EF58E6"/>
    <w:rsid w:val="00EF655B"/>
    <w:rsid w:val="00F018B6"/>
    <w:rsid w:val="00F018EB"/>
    <w:rsid w:val="00F02DD0"/>
    <w:rsid w:val="00F04F32"/>
    <w:rsid w:val="00F059D7"/>
    <w:rsid w:val="00F06F60"/>
    <w:rsid w:val="00F128A8"/>
    <w:rsid w:val="00F13384"/>
    <w:rsid w:val="00F13B65"/>
    <w:rsid w:val="00F13C1F"/>
    <w:rsid w:val="00F1472C"/>
    <w:rsid w:val="00F16354"/>
    <w:rsid w:val="00F17890"/>
    <w:rsid w:val="00F17B1F"/>
    <w:rsid w:val="00F21615"/>
    <w:rsid w:val="00F23717"/>
    <w:rsid w:val="00F25004"/>
    <w:rsid w:val="00F2501B"/>
    <w:rsid w:val="00F2669A"/>
    <w:rsid w:val="00F272DE"/>
    <w:rsid w:val="00F27C95"/>
    <w:rsid w:val="00F31DA2"/>
    <w:rsid w:val="00F32C65"/>
    <w:rsid w:val="00F35312"/>
    <w:rsid w:val="00F4032A"/>
    <w:rsid w:val="00F40880"/>
    <w:rsid w:val="00F418CD"/>
    <w:rsid w:val="00F41939"/>
    <w:rsid w:val="00F42C3B"/>
    <w:rsid w:val="00F4435F"/>
    <w:rsid w:val="00F4450B"/>
    <w:rsid w:val="00F51507"/>
    <w:rsid w:val="00F51A13"/>
    <w:rsid w:val="00F5310C"/>
    <w:rsid w:val="00F5368B"/>
    <w:rsid w:val="00F5452C"/>
    <w:rsid w:val="00F57577"/>
    <w:rsid w:val="00F61B64"/>
    <w:rsid w:val="00F6371F"/>
    <w:rsid w:val="00F63B0A"/>
    <w:rsid w:val="00F663E0"/>
    <w:rsid w:val="00F670F0"/>
    <w:rsid w:val="00F76A11"/>
    <w:rsid w:val="00F76EF9"/>
    <w:rsid w:val="00F770B2"/>
    <w:rsid w:val="00F810D8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877B8"/>
    <w:rsid w:val="00F901A0"/>
    <w:rsid w:val="00F914DB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182B"/>
    <w:rsid w:val="00FC4E4A"/>
    <w:rsid w:val="00FD21B7"/>
    <w:rsid w:val="00FD259A"/>
    <w:rsid w:val="00FD2FA2"/>
    <w:rsid w:val="00FD3420"/>
    <w:rsid w:val="00FD3BB7"/>
    <w:rsid w:val="00FD5899"/>
    <w:rsid w:val="00FD66EC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hAnsi="Candara" w:eastAsiaTheme="majorEastAsi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hAnsi="Calibri" w:eastAsiaTheme="minorEastAsia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hAnsi="Calibri" w:eastAsiaTheme="minorEastAsia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hAnsi="Calibri" w:eastAsiaTheme="minorEastAsia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hAnsi="Calibri" w:eastAsiaTheme="minorEastAsia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C14E08"/>
    <w:pPr>
      <w:keepNext/>
      <w:spacing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hAnsi="Candara" w:eastAsiaTheme="majorEastAsi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  <w:ind w:left="720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hAnsi="Calibri"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3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hAnsi="Century Gothic" w:eastAsiaTheme="minorEastAsia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hAnsi="Century Gothic" w:eastAsiaTheme="minorEastAsia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hAnsi="Calibri" w:eastAsiaTheme="minorEastAsia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,F1,Footnote Text Char Char,Footnote Text2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 Char,F1 Char,Footnote Text Char Char Char,Footnote Text2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5A37BD"/>
    <w:pPr>
      <w:spacing w:after="0" w:line="240" w:lineRule="auto"/>
    </w:pPr>
    <w:rPr>
      <w:rFonts w:ascii="Calibri" w:hAnsi="Calibri"/>
      <w:sz w:val="16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5A37BD"/>
    <w:rPr>
      <w:rFonts w:ascii="Calibri" w:hAnsi="Calibri"/>
      <w:sz w:val="16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C14E08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hAnsi="Candara" w:eastAsiaTheme="majorEastAsi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hAnsi="Candara" w:eastAsiaTheme="majorEastAsi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hAnsi="Candara" w:eastAsiaTheme="majorEastAsi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hAnsi="Candara" w:eastAsiaTheme="majorEastAsi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hAnsi="Candara" w:eastAsiaTheme="majorEastAsi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eastAsiaTheme="minorEastAsi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hAnsi="Tahoma" w:eastAsiaTheme="minorEastAsi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hAnsi="Candara" w:eastAsiaTheme="majorEastAsi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5A0B"/>
    <w:rPr>
      <w:color w:val="605E5C"/>
      <w:shd w:val="clear" w:color="auto" w:fill="E1DFDD"/>
    </w:rPr>
  </w:style>
  <w:style w:type="character" w:customStyle="1" w:styleId="BodyTextChar0">
    <w:name w:val="BodyText Char"/>
    <w:basedOn w:val="DefaultParagraphFont"/>
    <w:link w:val="BodyText0"/>
    <w:locked/>
    <w:rsid w:val="00965C23"/>
    <w:rPr>
      <w:rFonts w:ascii="Calibri" w:hAnsi="Calibri" w:cs="Calibri"/>
    </w:rPr>
  </w:style>
  <w:style w:type="paragraph" w:customStyle="1" w:styleId="BodyText0">
    <w:name w:val="BodyText"/>
    <w:link w:val="BodyTextChar0"/>
    <w:qFormat/>
    <w:rsid w:val="00965C23"/>
    <w:pPr>
      <w:spacing w:after="240" w:line="240" w:lineRule="auto"/>
    </w:pPr>
    <w:rPr>
      <w:rFonts w:ascii="Calibri" w:hAnsi="Calibri" w:cs="Calibri"/>
    </w:rPr>
  </w:style>
  <w:style w:type="table" w:styleId="GridTableLight">
    <w:name w:val="Grid Table Light"/>
    <w:basedOn w:val="TableNormal"/>
    <w:uiPriority w:val="40"/>
    <w:rsid w:val="00965C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7D030B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708D7"/>
    <w:pPr>
      <w:spacing w:after="200"/>
    </w:pPr>
    <w:rPr>
      <w:rFonts w:ascii="Calibri" w:hAnsi="Calibri"/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47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4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7473"/>
    <w:rPr>
      <w:vertAlign w:val="superscript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191DB5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191DB5"/>
    <w:pPr>
      <w:spacing w:after="240" w:line="240" w:lineRule="auto"/>
      <w:ind w:firstLine="720"/>
    </w:pPr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0C655ECE2BF4293EF4165223094A8" ma:contentTypeVersion="1" ma:contentTypeDescription="Create a new document." ma:contentTypeScope="" ma:versionID="0525f139da6125d2996d0750d000b9ab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b78b83f7d8b472101d311868451ab979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7DC3D9-8FB7-471F-9460-DA6EF0FF4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2B8756-A224-4DAB-8C29-687D0DBFB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E1CDB5-C542-4B40-A51A-364E52E84524}">
  <ds:schemaRefs>
    <ds:schemaRef ds:uri="http://schemas.microsoft.com/office/2006/metadata/properties"/>
    <ds:schemaRef ds:uri="http://schemas.microsoft.com/office/infopath/2007/PartnerControls"/>
    <ds:schemaRef ds:uri="40006ece-1928-41e1-8cda-cb070eacd97c"/>
    <ds:schemaRef ds:uri="299e04b7-dea7-4eee-9d59-b8259a48e8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Corey, Kristen - FNS</cp:lastModifiedBy>
  <cp:revision>4</cp:revision>
  <cp:lastPrinted>2019-03-14T15:56:00Z</cp:lastPrinted>
  <dcterms:created xsi:type="dcterms:W3CDTF">2023-12-03T22:45:00Z</dcterms:created>
  <dcterms:modified xsi:type="dcterms:W3CDTF">2024-01-05T20:31:00Z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0x010100E450C655ECE2BF4293EF4165223094A8</vt:lpwstr>
  </property>
  <property fmtid="{D5CDD505-2E9C-101B-9397-08002B2CF9AE}" pid="3" name="MediaServiceImageTags">
    <vt:lpwstr/>
  </property>
  <property fmtid="{D5CDD505-2E9C-101B-9397-08002B2CF9AE}" pid="4" name="Order">
    <vt:r8>35400</vt:r8>
  </property>
</Properties>
</file>