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7734B" w:rsidP="0019165D" w14:paraId="2E2499CC" w14:textId="77777777">
      <w:pPr>
        <w:jc w:val="center"/>
        <w:rPr>
          <w:rFonts w:ascii="Times New Roman" w:hAnsi="Times New Roman"/>
          <w:b/>
          <w:szCs w:val="24"/>
        </w:rPr>
      </w:pPr>
    </w:p>
    <w:p w:rsidR="00E7734B" w:rsidP="0019165D" w14:paraId="4D2D04EB" w14:textId="77777777">
      <w:pPr>
        <w:jc w:val="center"/>
        <w:rPr>
          <w:rFonts w:ascii="Times New Roman" w:hAnsi="Times New Roman"/>
          <w:b/>
          <w:szCs w:val="24"/>
        </w:rPr>
      </w:pPr>
    </w:p>
    <w:p w:rsidR="00E7734B" w:rsidP="0019165D" w14:paraId="53229518" w14:textId="77777777">
      <w:pPr>
        <w:jc w:val="center"/>
        <w:rPr>
          <w:rFonts w:ascii="Times New Roman" w:hAnsi="Times New Roman"/>
          <w:b/>
          <w:szCs w:val="24"/>
        </w:rPr>
      </w:pPr>
    </w:p>
    <w:p w:rsidR="00E7734B" w:rsidP="0019165D" w14:paraId="70BE9EDF" w14:textId="77777777">
      <w:pPr>
        <w:jc w:val="center"/>
        <w:rPr>
          <w:rFonts w:ascii="Times New Roman" w:hAnsi="Times New Roman"/>
          <w:b/>
          <w:szCs w:val="24"/>
        </w:rPr>
      </w:pPr>
    </w:p>
    <w:p w:rsidR="00E7734B" w:rsidP="0019165D" w14:paraId="5BE1B317" w14:textId="77777777">
      <w:pPr>
        <w:jc w:val="center"/>
        <w:rPr>
          <w:rFonts w:ascii="Times New Roman" w:hAnsi="Times New Roman"/>
          <w:b/>
          <w:szCs w:val="24"/>
        </w:rPr>
      </w:pPr>
    </w:p>
    <w:p w:rsidR="00E7734B" w:rsidP="0019165D" w14:paraId="7CA070B6" w14:textId="77777777">
      <w:pPr>
        <w:jc w:val="center"/>
        <w:rPr>
          <w:rFonts w:ascii="Times New Roman" w:hAnsi="Times New Roman"/>
          <w:b/>
          <w:szCs w:val="24"/>
        </w:rPr>
      </w:pPr>
    </w:p>
    <w:p w:rsidR="00E7734B" w:rsidP="0019165D" w14:paraId="321103E2" w14:textId="77777777">
      <w:pPr>
        <w:jc w:val="center"/>
        <w:rPr>
          <w:rFonts w:ascii="Times New Roman" w:hAnsi="Times New Roman"/>
          <w:b/>
          <w:szCs w:val="24"/>
        </w:rPr>
      </w:pPr>
    </w:p>
    <w:p w:rsidR="00E7734B" w:rsidP="0019165D" w14:paraId="51CEC20D" w14:textId="77777777">
      <w:pPr>
        <w:jc w:val="center"/>
        <w:rPr>
          <w:rFonts w:ascii="Times New Roman" w:hAnsi="Times New Roman"/>
          <w:b/>
          <w:szCs w:val="24"/>
        </w:rPr>
      </w:pPr>
    </w:p>
    <w:p w:rsidR="00E7734B" w:rsidP="0019165D" w14:paraId="03F75B78" w14:textId="77777777">
      <w:pPr>
        <w:jc w:val="center"/>
        <w:rPr>
          <w:rFonts w:ascii="Times New Roman" w:hAnsi="Times New Roman"/>
          <w:b/>
          <w:szCs w:val="24"/>
        </w:rPr>
      </w:pPr>
    </w:p>
    <w:p w:rsidR="00E7734B" w:rsidP="0019165D" w14:paraId="437CCFE7" w14:textId="77777777">
      <w:pPr>
        <w:jc w:val="center"/>
        <w:rPr>
          <w:rFonts w:ascii="Times New Roman" w:hAnsi="Times New Roman"/>
          <w:b/>
          <w:szCs w:val="24"/>
        </w:rPr>
      </w:pPr>
    </w:p>
    <w:p w:rsidR="00E7734B" w:rsidP="0019165D" w14:paraId="2640AB6F" w14:textId="77777777">
      <w:pPr>
        <w:jc w:val="center"/>
        <w:rPr>
          <w:rFonts w:ascii="Times New Roman" w:hAnsi="Times New Roman"/>
          <w:b/>
          <w:szCs w:val="24"/>
        </w:rPr>
      </w:pPr>
    </w:p>
    <w:p w:rsidR="00E7734B" w:rsidP="0019165D" w14:paraId="19FD84FD" w14:textId="77777777">
      <w:pPr>
        <w:jc w:val="center"/>
        <w:rPr>
          <w:rFonts w:ascii="Times New Roman" w:hAnsi="Times New Roman"/>
          <w:b/>
          <w:szCs w:val="24"/>
        </w:rPr>
      </w:pPr>
    </w:p>
    <w:p w:rsidR="00E7734B" w:rsidP="0019165D" w14:paraId="2DE39236" w14:textId="77777777">
      <w:pPr>
        <w:jc w:val="center"/>
        <w:rPr>
          <w:rFonts w:ascii="Times New Roman" w:hAnsi="Times New Roman"/>
          <w:b/>
          <w:szCs w:val="24"/>
        </w:rPr>
      </w:pPr>
    </w:p>
    <w:p w:rsidR="00E7734B" w:rsidP="0019165D" w14:paraId="0E6CF338" w14:textId="77777777">
      <w:pPr>
        <w:jc w:val="center"/>
        <w:rPr>
          <w:rFonts w:ascii="Times New Roman" w:hAnsi="Times New Roman"/>
          <w:b/>
          <w:szCs w:val="24"/>
        </w:rPr>
      </w:pPr>
    </w:p>
    <w:p w:rsidR="00E7734B" w:rsidP="0019165D" w14:paraId="04BB5768" w14:textId="77777777">
      <w:pPr>
        <w:jc w:val="center"/>
        <w:rPr>
          <w:rFonts w:ascii="Times New Roman" w:hAnsi="Times New Roman"/>
          <w:szCs w:val="24"/>
        </w:rPr>
      </w:pPr>
      <w:r w:rsidRPr="00E7734B">
        <w:rPr>
          <w:rFonts w:ascii="Times New Roman" w:hAnsi="Times New Roman"/>
          <w:szCs w:val="24"/>
        </w:rPr>
        <w:t>Attachment A</w:t>
      </w:r>
    </w:p>
    <w:p w:rsidR="00E7734B" w:rsidRPr="00E7734B" w:rsidP="0019165D" w14:paraId="2214DCC4" w14:textId="77777777">
      <w:pPr>
        <w:jc w:val="center"/>
        <w:rPr>
          <w:rFonts w:ascii="Times New Roman" w:hAnsi="Times New Roman"/>
          <w:szCs w:val="24"/>
        </w:rPr>
      </w:pPr>
      <w:r>
        <w:rPr>
          <w:rFonts w:ascii="Times New Roman" w:hAnsi="Times New Roman"/>
          <w:szCs w:val="24"/>
        </w:rPr>
        <w:t>OSH Act</w:t>
      </w:r>
    </w:p>
    <w:p w:rsidR="00E7734B" w:rsidP="0019165D" w14:paraId="15661695" w14:textId="77777777">
      <w:pPr>
        <w:jc w:val="center"/>
        <w:rPr>
          <w:rFonts w:ascii="Times New Roman" w:hAnsi="Times New Roman"/>
          <w:b/>
          <w:szCs w:val="24"/>
        </w:rPr>
      </w:pPr>
    </w:p>
    <w:p w:rsidR="00E7734B" w:rsidP="0019165D" w14:paraId="087D21A2" w14:textId="77777777">
      <w:pPr>
        <w:jc w:val="center"/>
        <w:rPr>
          <w:rFonts w:ascii="Times New Roman" w:hAnsi="Times New Roman"/>
          <w:b/>
          <w:szCs w:val="24"/>
        </w:rPr>
      </w:pPr>
    </w:p>
    <w:p w:rsidR="00E7734B" w:rsidP="0019165D" w14:paraId="437FEC9D" w14:textId="77777777">
      <w:pPr>
        <w:jc w:val="center"/>
        <w:rPr>
          <w:rFonts w:ascii="Times New Roman" w:hAnsi="Times New Roman"/>
          <w:b/>
          <w:szCs w:val="24"/>
        </w:rPr>
      </w:pPr>
    </w:p>
    <w:p w:rsidR="00E7734B" w:rsidP="0019165D" w14:paraId="1DA515AF" w14:textId="77777777">
      <w:pPr>
        <w:jc w:val="center"/>
        <w:rPr>
          <w:rFonts w:ascii="Times New Roman" w:hAnsi="Times New Roman"/>
          <w:b/>
          <w:szCs w:val="24"/>
        </w:rPr>
      </w:pPr>
    </w:p>
    <w:p w:rsidR="00E7734B" w:rsidP="0019165D" w14:paraId="613D9B76" w14:textId="77777777">
      <w:pPr>
        <w:jc w:val="center"/>
        <w:rPr>
          <w:rFonts w:ascii="Times New Roman" w:hAnsi="Times New Roman"/>
          <w:b/>
          <w:szCs w:val="24"/>
        </w:rPr>
      </w:pPr>
    </w:p>
    <w:p w:rsidR="00E7734B" w:rsidP="0019165D" w14:paraId="1381E340" w14:textId="77777777">
      <w:pPr>
        <w:jc w:val="center"/>
        <w:rPr>
          <w:rFonts w:ascii="Times New Roman" w:hAnsi="Times New Roman"/>
          <w:b/>
          <w:szCs w:val="24"/>
        </w:rPr>
      </w:pPr>
    </w:p>
    <w:p w:rsidR="00E7734B" w:rsidP="0019165D" w14:paraId="78F7B882" w14:textId="77777777">
      <w:pPr>
        <w:jc w:val="center"/>
        <w:rPr>
          <w:rFonts w:ascii="Times New Roman" w:hAnsi="Times New Roman"/>
          <w:b/>
          <w:szCs w:val="24"/>
        </w:rPr>
      </w:pPr>
    </w:p>
    <w:p w:rsidR="00E7734B" w:rsidP="0019165D" w14:paraId="526E3E26" w14:textId="77777777">
      <w:pPr>
        <w:jc w:val="center"/>
        <w:rPr>
          <w:rFonts w:ascii="Times New Roman" w:hAnsi="Times New Roman"/>
          <w:b/>
          <w:szCs w:val="24"/>
        </w:rPr>
      </w:pPr>
    </w:p>
    <w:p w:rsidR="00E7734B" w:rsidP="0019165D" w14:paraId="6A53196F" w14:textId="77777777">
      <w:pPr>
        <w:jc w:val="center"/>
        <w:rPr>
          <w:rFonts w:ascii="Times New Roman" w:hAnsi="Times New Roman"/>
          <w:b/>
          <w:szCs w:val="24"/>
        </w:rPr>
      </w:pPr>
    </w:p>
    <w:p w:rsidR="00E7734B" w:rsidP="0019165D" w14:paraId="1103AB2B" w14:textId="77777777">
      <w:pPr>
        <w:jc w:val="center"/>
        <w:rPr>
          <w:rFonts w:ascii="Times New Roman" w:hAnsi="Times New Roman"/>
          <w:b/>
          <w:szCs w:val="24"/>
        </w:rPr>
      </w:pPr>
    </w:p>
    <w:p w:rsidR="00E7734B" w:rsidP="0019165D" w14:paraId="54CA3D0D" w14:textId="77777777">
      <w:pPr>
        <w:jc w:val="center"/>
        <w:rPr>
          <w:rFonts w:ascii="Times New Roman" w:hAnsi="Times New Roman"/>
          <w:b/>
          <w:szCs w:val="24"/>
        </w:rPr>
      </w:pPr>
    </w:p>
    <w:p w:rsidR="00E7734B" w:rsidP="0019165D" w14:paraId="6D9510E8" w14:textId="77777777">
      <w:pPr>
        <w:jc w:val="center"/>
        <w:rPr>
          <w:rFonts w:ascii="Times New Roman" w:hAnsi="Times New Roman"/>
          <w:b/>
          <w:szCs w:val="24"/>
        </w:rPr>
      </w:pPr>
    </w:p>
    <w:p w:rsidR="00E7734B" w:rsidP="0019165D" w14:paraId="0AB697C9" w14:textId="77777777">
      <w:pPr>
        <w:jc w:val="center"/>
        <w:rPr>
          <w:rFonts w:ascii="Times New Roman" w:hAnsi="Times New Roman"/>
          <w:b/>
          <w:szCs w:val="24"/>
        </w:rPr>
      </w:pPr>
    </w:p>
    <w:p w:rsidR="00E7734B" w:rsidP="0019165D" w14:paraId="19E9A51B" w14:textId="77777777">
      <w:pPr>
        <w:jc w:val="center"/>
        <w:rPr>
          <w:rFonts w:ascii="Times New Roman" w:hAnsi="Times New Roman"/>
          <w:b/>
          <w:szCs w:val="24"/>
        </w:rPr>
      </w:pPr>
    </w:p>
    <w:p w:rsidR="00E7734B" w:rsidP="0019165D" w14:paraId="336FC14B" w14:textId="77777777">
      <w:pPr>
        <w:jc w:val="center"/>
        <w:rPr>
          <w:rFonts w:ascii="Times New Roman" w:hAnsi="Times New Roman"/>
          <w:b/>
          <w:szCs w:val="24"/>
        </w:rPr>
      </w:pPr>
    </w:p>
    <w:p w:rsidR="00E7734B" w:rsidP="0019165D" w14:paraId="615734D5" w14:textId="77777777">
      <w:pPr>
        <w:jc w:val="center"/>
        <w:rPr>
          <w:rFonts w:ascii="Times New Roman" w:hAnsi="Times New Roman"/>
          <w:b/>
          <w:szCs w:val="24"/>
        </w:rPr>
      </w:pPr>
    </w:p>
    <w:p w:rsidR="00E7734B" w:rsidP="0019165D" w14:paraId="6992C05E" w14:textId="77777777">
      <w:pPr>
        <w:jc w:val="center"/>
        <w:rPr>
          <w:rFonts w:ascii="Times New Roman" w:hAnsi="Times New Roman"/>
          <w:b/>
          <w:szCs w:val="24"/>
        </w:rPr>
      </w:pPr>
    </w:p>
    <w:p w:rsidR="00E7734B" w:rsidP="0019165D" w14:paraId="3DEAD30E" w14:textId="77777777">
      <w:pPr>
        <w:jc w:val="center"/>
        <w:rPr>
          <w:rFonts w:ascii="Times New Roman" w:hAnsi="Times New Roman"/>
          <w:b/>
          <w:szCs w:val="24"/>
        </w:rPr>
      </w:pPr>
    </w:p>
    <w:p w:rsidR="00E7734B" w:rsidP="0019165D" w14:paraId="74AF920E" w14:textId="77777777">
      <w:pPr>
        <w:jc w:val="center"/>
        <w:rPr>
          <w:rFonts w:ascii="Times New Roman" w:hAnsi="Times New Roman"/>
          <w:b/>
          <w:szCs w:val="24"/>
        </w:rPr>
      </w:pPr>
    </w:p>
    <w:p w:rsidR="00E7734B" w:rsidP="0019165D" w14:paraId="0E83185A" w14:textId="77777777">
      <w:pPr>
        <w:jc w:val="center"/>
        <w:rPr>
          <w:rFonts w:ascii="Times New Roman" w:hAnsi="Times New Roman"/>
          <w:b/>
          <w:szCs w:val="24"/>
        </w:rPr>
      </w:pPr>
    </w:p>
    <w:p w:rsidR="00E7734B" w:rsidP="0019165D" w14:paraId="5649F283" w14:textId="77777777">
      <w:pPr>
        <w:jc w:val="center"/>
        <w:rPr>
          <w:rFonts w:ascii="Times New Roman" w:hAnsi="Times New Roman"/>
          <w:b/>
          <w:szCs w:val="24"/>
        </w:rPr>
      </w:pPr>
    </w:p>
    <w:p w:rsidR="00E7734B" w:rsidP="0019165D" w14:paraId="6DE95FCF" w14:textId="77777777">
      <w:pPr>
        <w:jc w:val="center"/>
        <w:rPr>
          <w:rFonts w:ascii="Times New Roman" w:hAnsi="Times New Roman"/>
          <w:b/>
          <w:szCs w:val="24"/>
        </w:rPr>
      </w:pPr>
    </w:p>
    <w:p w:rsidR="00E7734B" w:rsidP="0019165D" w14:paraId="2D0D6855" w14:textId="77777777">
      <w:pPr>
        <w:jc w:val="center"/>
        <w:rPr>
          <w:rFonts w:ascii="Times New Roman" w:hAnsi="Times New Roman"/>
          <w:b/>
          <w:szCs w:val="24"/>
        </w:rPr>
      </w:pPr>
    </w:p>
    <w:p w:rsidR="00E7734B" w:rsidP="0019165D" w14:paraId="76686083" w14:textId="77777777">
      <w:pPr>
        <w:jc w:val="center"/>
        <w:rPr>
          <w:rFonts w:ascii="Times New Roman" w:hAnsi="Times New Roman"/>
          <w:b/>
          <w:szCs w:val="24"/>
        </w:rPr>
      </w:pPr>
    </w:p>
    <w:p w:rsidR="00E7734B" w:rsidP="0019165D" w14:paraId="1D4B876A" w14:textId="77777777">
      <w:pPr>
        <w:jc w:val="center"/>
        <w:rPr>
          <w:rFonts w:ascii="Times New Roman" w:hAnsi="Times New Roman"/>
          <w:b/>
          <w:szCs w:val="24"/>
        </w:rPr>
      </w:pPr>
    </w:p>
    <w:p w:rsidR="00E7734B" w:rsidP="0019165D" w14:paraId="7596B0DE" w14:textId="77777777">
      <w:pPr>
        <w:jc w:val="center"/>
        <w:rPr>
          <w:rFonts w:ascii="Times New Roman" w:hAnsi="Times New Roman"/>
          <w:b/>
          <w:szCs w:val="24"/>
        </w:rPr>
      </w:pPr>
    </w:p>
    <w:p w:rsidR="00E7734B" w:rsidP="0019165D" w14:paraId="310C19CE" w14:textId="77777777">
      <w:pPr>
        <w:jc w:val="center"/>
        <w:rPr>
          <w:rFonts w:ascii="Times New Roman" w:hAnsi="Times New Roman"/>
          <w:b/>
          <w:szCs w:val="24"/>
        </w:rPr>
      </w:pPr>
    </w:p>
    <w:p w:rsidR="00E7734B" w:rsidP="0019165D" w14:paraId="3846AFB4" w14:textId="77777777">
      <w:pPr>
        <w:jc w:val="center"/>
        <w:rPr>
          <w:rFonts w:ascii="Times New Roman" w:hAnsi="Times New Roman"/>
          <w:b/>
          <w:szCs w:val="24"/>
        </w:rPr>
      </w:pPr>
    </w:p>
    <w:p w:rsidR="00E7734B" w:rsidP="0019165D" w14:paraId="0ACF6B41" w14:textId="77777777">
      <w:pPr>
        <w:jc w:val="center"/>
        <w:rPr>
          <w:rFonts w:ascii="Times New Roman" w:hAnsi="Times New Roman"/>
          <w:b/>
          <w:szCs w:val="24"/>
        </w:rPr>
      </w:pPr>
    </w:p>
    <w:p w:rsidR="00E7734B" w:rsidP="0019165D" w14:paraId="52524E71" w14:textId="77777777">
      <w:pPr>
        <w:jc w:val="center"/>
        <w:rPr>
          <w:rFonts w:ascii="Times New Roman" w:hAnsi="Times New Roman"/>
          <w:b/>
          <w:szCs w:val="24"/>
        </w:rPr>
      </w:pPr>
    </w:p>
    <w:p w:rsidR="00E7734B" w:rsidP="0019165D" w14:paraId="3A9816E0" w14:textId="77777777">
      <w:pPr>
        <w:jc w:val="center"/>
        <w:rPr>
          <w:rFonts w:ascii="Times New Roman" w:hAnsi="Times New Roman"/>
          <w:b/>
          <w:szCs w:val="24"/>
        </w:rPr>
      </w:pPr>
    </w:p>
    <w:p w:rsidR="00E7734B" w:rsidP="0019165D" w14:paraId="77B25056" w14:textId="77777777">
      <w:pPr>
        <w:jc w:val="center"/>
        <w:rPr>
          <w:rFonts w:ascii="Times New Roman" w:hAnsi="Times New Roman"/>
          <w:b/>
          <w:szCs w:val="24"/>
        </w:rPr>
      </w:pPr>
    </w:p>
    <w:p w:rsidR="0019165D" w:rsidP="0019165D" w14:paraId="0EC0DF98" w14:textId="77777777">
      <w:pPr>
        <w:jc w:val="center"/>
        <w:rPr>
          <w:rFonts w:ascii="Times New Roman" w:hAnsi="Times New Roman"/>
          <w:b/>
          <w:szCs w:val="24"/>
        </w:rPr>
      </w:pPr>
      <w:r>
        <w:rPr>
          <w:rFonts w:ascii="Times New Roman" w:hAnsi="Times New Roman"/>
          <w:b/>
          <w:szCs w:val="24"/>
        </w:rPr>
        <w:t>Section 20(a)(1) of the Occupational Safety and Health Act (29 U.S.C. 669)</w:t>
      </w:r>
    </w:p>
    <w:tbl>
      <w:tblPr>
        <w:tblW w:w="96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57"/>
        <w:gridCol w:w="7117"/>
        <w:gridCol w:w="2126"/>
      </w:tblGrid>
      <w:tr w14:paraId="143EFE1A" w14:textId="77777777" w:rsidTr="00281DBD">
        <w:tblPrEx>
          <w:tblW w:w="96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tblCellSpacing w:w="15" w:type="dxa"/>
        </w:trPr>
        <w:tc>
          <w:tcPr>
            <w:tcW w:w="0" w:type="auto"/>
            <w:gridSpan w:val="3"/>
            <w:vAlign w:val="center"/>
          </w:tcPr>
          <w:p w:rsidR="0019165D" w:rsidRPr="008929DF" w:rsidP="00BB504C" w14:paraId="184E7083" w14:textId="77777777">
            <w:pPr>
              <w:jc w:val="center"/>
              <w:rPr>
                <w:rFonts w:ascii="Verdana" w:hAnsi="Verdana"/>
                <w:color w:val="000000"/>
                <w:sz w:val="19"/>
                <w:szCs w:val="19"/>
              </w:rPr>
            </w:pPr>
            <w:bookmarkStart w:id="0" w:name="20"/>
            <w:r w:rsidRPr="008929DF">
              <w:rPr>
                <w:rFonts w:ascii="Verdana" w:hAnsi="Verdana"/>
                <w:b/>
                <w:bCs/>
                <w:color w:val="003399"/>
                <w:sz w:val="19"/>
                <w:szCs w:val="19"/>
              </w:rPr>
              <w:t>SEC. 20. Research and Related Activities</w:t>
            </w:r>
            <w:bookmarkEnd w:id="0"/>
          </w:p>
        </w:tc>
      </w:tr>
      <w:tr w14:paraId="3DA77A13" w14:textId="77777777" w:rsidTr="00281DBD">
        <w:tblPrEx>
          <w:tblW w:w="9600" w:type="dxa"/>
          <w:tblCellSpacing w:w="15" w:type="dxa"/>
          <w:tblCellMar>
            <w:top w:w="15" w:type="dxa"/>
            <w:left w:w="15" w:type="dxa"/>
            <w:bottom w:w="15" w:type="dxa"/>
            <w:right w:w="15" w:type="dxa"/>
          </w:tblCellMar>
          <w:tblLook w:val="0000"/>
        </w:tblPrEx>
        <w:trPr>
          <w:tblCellSpacing w:w="15" w:type="dxa"/>
        </w:trPr>
        <w:tc>
          <w:tcPr>
            <w:tcW w:w="0" w:type="auto"/>
            <w:gridSpan w:val="2"/>
            <w:vAlign w:val="center"/>
          </w:tcPr>
          <w:p w:rsidR="0019165D" w:rsidRPr="008929DF" w:rsidP="00BB504C" w14:paraId="4FA6DAE0" w14:textId="77777777">
            <w:pPr>
              <w:spacing w:after="240"/>
              <w:rPr>
                <w:rFonts w:ascii="Verdana" w:hAnsi="Verdana"/>
                <w:color w:val="000000"/>
                <w:sz w:val="19"/>
                <w:szCs w:val="19"/>
              </w:rPr>
            </w:pPr>
            <w:r w:rsidRPr="008929DF">
              <w:rPr>
                <w:rFonts w:ascii="Verdana" w:hAnsi="Verdana"/>
                <w:color w:val="000000"/>
                <w:sz w:val="19"/>
                <w:szCs w:val="19"/>
              </w:rPr>
              <w:t>(a) (1)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w:t>
            </w:r>
          </w:p>
        </w:tc>
        <w:tc>
          <w:tcPr>
            <w:tcW w:w="1500" w:type="dxa"/>
            <w:vMerge w:val="restart"/>
            <w:noWrap/>
          </w:tcPr>
          <w:p w:rsidR="0019165D" w:rsidRPr="008929DF" w:rsidP="00BB504C" w14:paraId="4F279C64" w14:textId="77777777">
            <w:pPr>
              <w:jc w:val="right"/>
              <w:rPr>
                <w:rFonts w:ascii="Verdana" w:hAnsi="Verdana"/>
                <w:color w:val="000000"/>
                <w:sz w:val="19"/>
                <w:szCs w:val="19"/>
              </w:rPr>
            </w:pPr>
            <w:r w:rsidRPr="008929DF">
              <w:rPr>
                <w:rFonts w:ascii="Verdana" w:hAnsi="Verdana"/>
                <w:color w:val="000000"/>
                <w:sz w:val="19"/>
                <w:szCs w:val="19"/>
              </w:rPr>
              <w:t>29 USC 669</w:t>
            </w:r>
          </w:p>
        </w:tc>
      </w:tr>
      <w:tr w14:paraId="727A04F3" w14:textId="77777777" w:rsidTr="00281DBD">
        <w:tblPrEx>
          <w:tblW w:w="9600" w:type="dxa"/>
          <w:tblCellSpacing w:w="15" w:type="dxa"/>
          <w:tblCellMar>
            <w:top w:w="15" w:type="dxa"/>
            <w:left w:w="15" w:type="dxa"/>
            <w:bottom w:w="15" w:type="dxa"/>
            <w:right w:w="15" w:type="dxa"/>
          </w:tblCellMar>
          <w:tblLook w:val="0000"/>
        </w:tblPrEx>
        <w:trPr>
          <w:tblCellSpacing w:w="15" w:type="dxa"/>
        </w:trPr>
        <w:tc>
          <w:tcPr>
            <w:tcW w:w="300" w:type="dxa"/>
            <w:vAlign w:val="center"/>
          </w:tcPr>
          <w:p w:rsidR="0019165D" w:rsidRPr="008929DF" w:rsidP="00BB504C" w14:paraId="5D030B42" w14:textId="77777777">
            <w:pPr>
              <w:rPr>
                <w:rFonts w:ascii="Times New Roman" w:hAnsi="Times New Roman"/>
                <w:szCs w:val="24"/>
              </w:rPr>
            </w:pPr>
            <w:r w:rsidRPr="008929DF">
              <w:rPr>
                <w:rFonts w:ascii="Times New Roman" w:hAnsi="Times New Roman"/>
                <w:szCs w:val="24"/>
              </w:rPr>
              <w:t> </w:t>
            </w:r>
          </w:p>
        </w:tc>
        <w:tc>
          <w:tcPr>
            <w:tcW w:w="7800" w:type="dxa"/>
          </w:tcPr>
          <w:p w:rsidR="0019165D" w:rsidRPr="008929DF" w:rsidP="00BB504C" w14:paraId="58D3D371" w14:textId="77777777">
            <w:pPr>
              <w:spacing w:after="240"/>
              <w:rPr>
                <w:rFonts w:ascii="Verdana" w:hAnsi="Verdana"/>
                <w:color w:val="000000"/>
                <w:sz w:val="19"/>
                <w:szCs w:val="19"/>
              </w:rPr>
            </w:pPr>
            <w:r w:rsidRPr="008929DF">
              <w:rPr>
                <w:rFonts w:ascii="Verdana" w:hAnsi="Verdana"/>
                <w:color w:val="000000"/>
                <w:sz w:val="19"/>
                <w:szCs w:val="19"/>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sidRPr="008929DF">
              <w:rPr>
                <w:rFonts w:ascii="Verdana" w:hAnsi="Verdana"/>
                <w:color w:val="000000"/>
                <w:sz w:val="19"/>
                <w:szCs w:val="19"/>
              </w:rPr>
              <w:br/>
            </w:r>
            <w:r w:rsidRPr="008929DF">
              <w:rPr>
                <w:rFonts w:ascii="Verdana" w:hAnsi="Verdana"/>
                <w:color w:val="000000"/>
                <w:sz w:val="19"/>
                <w:szCs w:val="19"/>
              </w:rPr>
              <w:b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r w:rsidRPr="008929DF">
              <w:rPr>
                <w:rFonts w:ascii="Verdana" w:hAnsi="Verdana"/>
                <w:color w:val="000000"/>
                <w:sz w:val="19"/>
                <w:szCs w:val="19"/>
              </w:rPr>
              <w:br/>
            </w:r>
            <w:r w:rsidRPr="008929DF">
              <w:rPr>
                <w:rFonts w:ascii="Verdana" w:hAnsi="Verdana"/>
                <w:color w:val="000000"/>
                <w:sz w:val="19"/>
                <w:szCs w:val="19"/>
              </w:rPr>
              <w:b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r w:rsidRPr="008929DF">
              <w:rPr>
                <w:rFonts w:ascii="Verdana" w:hAnsi="Verdana"/>
                <w:color w:val="000000"/>
                <w:sz w:val="19"/>
                <w:szCs w:val="19"/>
              </w:rPr>
              <w:br/>
            </w:r>
            <w:r w:rsidRPr="008929DF">
              <w:rPr>
                <w:rFonts w:ascii="Verdana" w:hAnsi="Verdana"/>
                <w:color w:val="000000"/>
                <w:sz w:val="19"/>
                <w:szCs w:val="19"/>
              </w:rPr>
              <w:b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w:t>
            </w:r>
            <w:r w:rsidRPr="008929DF">
              <w:rPr>
                <w:rFonts w:ascii="Verdana" w:hAnsi="Verdana"/>
                <w:color w:val="000000"/>
                <w:sz w:val="19"/>
                <w:szCs w:val="19"/>
              </w:rPr>
              <w:t>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w:t>
            </w:r>
            <w:r w:rsidRPr="008929DF">
              <w:rPr>
                <w:rFonts w:ascii="Verdana" w:hAnsi="Verdana"/>
                <w:color w:val="000000"/>
                <w:sz w:val="19"/>
                <w:szCs w:val="19"/>
              </w:rPr>
              <w:br/>
            </w:r>
            <w:r w:rsidRPr="008929DF">
              <w:rPr>
                <w:rFonts w:ascii="Verdana" w:hAnsi="Verdana"/>
                <w:color w:val="000000"/>
                <w:sz w:val="19"/>
                <w:szCs w:val="19"/>
              </w:rPr>
              <w:br/>
              <w:t>(6)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r w:rsidRPr="008929DF">
              <w:rPr>
                <w:rFonts w:ascii="Verdana" w:hAnsi="Verdana"/>
                <w:color w:val="000000"/>
                <w:sz w:val="19"/>
                <w:szCs w:val="19"/>
              </w:rPr>
              <w:br/>
            </w:r>
            <w:r w:rsidRPr="008929DF">
              <w:rPr>
                <w:rFonts w:ascii="Verdana" w:hAnsi="Verdana"/>
                <w:color w:val="000000"/>
                <w:sz w:val="19"/>
                <w:szCs w:val="19"/>
              </w:rPr>
              <w:br/>
              <w:t>(7) Within two years of enactment of the Act, and annually thereafter the Secretary of Health and Human Services shall conduct and publish industry wide studies of the effect of chronic or low-level exposure to industrial materials, processes, and stresses on the potential for illness, disease, or loss of functional capacity in aging adults.</w:t>
            </w:r>
          </w:p>
        </w:tc>
        <w:tc>
          <w:tcPr>
            <w:tcW w:w="0" w:type="auto"/>
            <w:vMerge/>
            <w:vAlign w:val="center"/>
          </w:tcPr>
          <w:p w:rsidR="0019165D" w:rsidRPr="008929DF" w:rsidP="00BB504C" w14:paraId="5163888A" w14:textId="77777777">
            <w:pPr>
              <w:rPr>
                <w:rFonts w:ascii="Verdana" w:hAnsi="Verdana"/>
                <w:color w:val="000000"/>
                <w:sz w:val="19"/>
                <w:szCs w:val="19"/>
              </w:rPr>
            </w:pPr>
          </w:p>
        </w:tc>
      </w:tr>
      <w:tr w14:paraId="67C1EBFA" w14:textId="77777777" w:rsidTr="00281DBD">
        <w:tblPrEx>
          <w:tblW w:w="9600" w:type="dxa"/>
          <w:tblCellSpacing w:w="15" w:type="dxa"/>
          <w:tblCellMar>
            <w:top w:w="15" w:type="dxa"/>
            <w:left w:w="15" w:type="dxa"/>
            <w:bottom w:w="15" w:type="dxa"/>
            <w:right w:w="15" w:type="dxa"/>
          </w:tblCellMar>
          <w:tblLook w:val="0000"/>
        </w:tblPrEx>
        <w:trPr>
          <w:tblCellSpacing w:w="15" w:type="dxa"/>
        </w:trPr>
        <w:tc>
          <w:tcPr>
            <w:tcW w:w="0" w:type="auto"/>
            <w:gridSpan w:val="2"/>
            <w:vAlign w:val="center"/>
          </w:tcPr>
          <w:p w:rsidR="0019165D" w:rsidRPr="008929DF" w:rsidP="00BB504C" w14:paraId="4E1CD0EB" w14:textId="77777777">
            <w:pPr>
              <w:spacing w:after="240"/>
              <w:rPr>
                <w:rFonts w:ascii="Verdana" w:hAnsi="Verdana"/>
                <w:color w:val="000000"/>
                <w:sz w:val="19"/>
                <w:szCs w:val="19"/>
              </w:rPr>
            </w:pPr>
            <w:r w:rsidRPr="008929DF">
              <w:rPr>
                <w:rFonts w:ascii="Verdana" w:hAnsi="Verdana"/>
                <w:color w:val="000000"/>
                <w:sz w:val="19"/>
                <w:szCs w:val="19"/>
              </w:rPr>
              <w:t>(b) The Secretary of Health and Human Services is authorized to make inspections and question employers and employees as provided in section 8 of this Act in order to carry out his functions and responsibilities under this section.</w:t>
            </w:r>
            <w:r w:rsidRPr="008929DF">
              <w:rPr>
                <w:rFonts w:ascii="Verdana" w:hAnsi="Verdana"/>
                <w:color w:val="000000"/>
                <w:sz w:val="19"/>
                <w:szCs w:val="19"/>
              </w:rPr>
              <w:br/>
            </w:r>
            <w:r w:rsidRPr="008929DF">
              <w:rPr>
                <w:rFonts w:ascii="Verdana" w:hAnsi="Verdana"/>
                <w:color w:val="000000"/>
                <w:sz w:val="19"/>
                <w:szCs w:val="19"/>
              </w:rPr>
              <w:br/>
              <w:t>(c)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r w:rsidRPr="008929DF">
              <w:rPr>
                <w:rFonts w:ascii="Verdana" w:hAnsi="Verdana"/>
                <w:color w:val="000000"/>
                <w:sz w:val="19"/>
                <w:szCs w:val="19"/>
              </w:rPr>
              <w:br/>
            </w:r>
            <w:r w:rsidRPr="008929DF">
              <w:rPr>
                <w:rFonts w:ascii="Verdana" w:hAnsi="Verdana"/>
                <w:color w:val="000000"/>
                <w:sz w:val="19"/>
                <w:szCs w:val="19"/>
              </w:rPr>
              <w:br/>
              <w:t>(d) Information obtained by the Secretary and the Secretary of Health and Human Services under this section shall be disseminated by the Secretary to employers and employees and organizations thereof.</w:t>
            </w:r>
            <w:r w:rsidRPr="008929DF">
              <w:rPr>
                <w:rFonts w:ascii="Verdana" w:hAnsi="Verdana"/>
                <w:color w:val="000000"/>
                <w:sz w:val="19"/>
                <w:szCs w:val="19"/>
              </w:rPr>
              <w:br/>
            </w:r>
            <w:r w:rsidRPr="008929DF">
              <w:rPr>
                <w:rFonts w:ascii="Verdana" w:hAnsi="Verdana"/>
                <w:color w:val="000000"/>
                <w:sz w:val="19"/>
                <w:szCs w:val="19"/>
              </w:rPr>
              <w:br/>
              <w:t>(e) The functions of the Secretary of Health and Human Services under this Act shall, to the extent feasible, be delegated to the Director of the National Institute for Occupational Safety and Health established by section 22 of this Act.</w:t>
            </w:r>
          </w:p>
        </w:tc>
        <w:tc>
          <w:tcPr>
            <w:tcW w:w="0" w:type="auto"/>
            <w:vMerge/>
            <w:vAlign w:val="center"/>
          </w:tcPr>
          <w:p w:rsidR="0019165D" w:rsidRPr="008929DF" w:rsidP="00BB504C" w14:paraId="42879DEA" w14:textId="77777777">
            <w:pPr>
              <w:rPr>
                <w:rFonts w:ascii="Verdana" w:hAnsi="Verdana"/>
                <w:color w:val="000000"/>
                <w:sz w:val="19"/>
                <w:szCs w:val="19"/>
              </w:rPr>
            </w:pPr>
          </w:p>
        </w:tc>
      </w:tr>
      <w:tr w14:paraId="3106A18D" w14:textId="77777777" w:rsidTr="00281DBD">
        <w:tblPrEx>
          <w:tblW w:w="9600" w:type="dxa"/>
          <w:tblCellSpacing w:w="15" w:type="dxa"/>
          <w:tblCellMar>
            <w:top w:w="15" w:type="dxa"/>
            <w:left w:w="15" w:type="dxa"/>
            <w:bottom w:w="15" w:type="dxa"/>
            <w:right w:w="15" w:type="dxa"/>
          </w:tblCellMar>
          <w:tblLook w:val="0000"/>
        </w:tblPrEx>
        <w:trPr>
          <w:trHeight w:val="450"/>
          <w:tblCellSpacing w:w="15" w:type="dxa"/>
        </w:trPr>
        <w:tc>
          <w:tcPr>
            <w:tcW w:w="0" w:type="auto"/>
            <w:gridSpan w:val="2"/>
            <w:vAlign w:val="center"/>
          </w:tcPr>
          <w:p w:rsidR="0019165D" w:rsidRPr="008929DF" w:rsidP="00BB504C" w14:paraId="1586CB16" w14:textId="77777777">
            <w:pPr>
              <w:jc w:val="center"/>
              <w:rPr>
                <w:rFonts w:ascii="Verdana" w:hAnsi="Verdana"/>
                <w:color w:val="000000"/>
                <w:sz w:val="19"/>
                <w:szCs w:val="19"/>
              </w:rPr>
            </w:pPr>
            <w:r w:rsidRPr="008929DF">
              <w:rPr>
                <w:rFonts w:ascii="Verdana" w:hAnsi="Verdana"/>
                <w:b/>
                <w:bCs/>
                <w:color w:val="000000"/>
                <w:sz w:val="19"/>
                <w:szCs w:val="19"/>
              </w:rPr>
              <w:t>EXPANDED RESEARCH ON WORKER SAFETY AND HEALTH</w:t>
            </w:r>
          </w:p>
        </w:tc>
        <w:tc>
          <w:tcPr>
            <w:tcW w:w="0" w:type="auto"/>
            <w:vMerge/>
            <w:vAlign w:val="center"/>
          </w:tcPr>
          <w:p w:rsidR="0019165D" w:rsidRPr="008929DF" w:rsidP="00BB504C" w14:paraId="6F29C8BB" w14:textId="77777777">
            <w:pPr>
              <w:rPr>
                <w:rFonts w:ascii="Verdana" w:hAnsi="Verdana"/>
                <w:color w:val="000000"/>
                <w:sz w:val="19"/>
                <w:szCs w:val="19"/>
              </w:rPr>
            </w:pPr>
          </w:p>
        </w:tc>
      </w:tr>
      <w:tr w14:paraId="7264C21B" w14:textId="77777777" w:rsidTr="00281DBD">
        <w:tblPrEx>
          <w:tblW w:w="9600" w:type="dxa"/>
          <w:tblCellSpacing w:w="15" w:type="dxa"/>
          <w:tblCellMar>
            <w:top w:w="15" w:type="dxa"/>
            <w:left w:w="15" w:type="dxa"/>
            <w:bottom w:w="15" w:type="dxa"/>
            <w:right w:w="15" w:type="dxa"/>
          </w:tblCellMar>
          <w:tblLook w:val="0000"/>
        </w:tblPrEx>
        <w:trPr>
          <w:tblCellSpacing w:w="15" w:type="dxa"/>
        </w:trPr>
        <w:tc>
          <w:tcPr>
            <w:tcW w:w="0" w:type="auto"/>
            <w:gridSpan w:val="2"/>
            <w:vAlign w:val="center"/>
          </w:tcPr>
          <w:p w:rsidR="0019165D" w:rsidRPr="008929DF" w:rsidP="00BB504C" w14:paraId="66705C30" w14:textId="77777777">
            <w:pPr>
              <w:spacing w:after="240"/>
              <w:rPr>
                <w:rFonts w:ascii="Verdana" w:hAnsi="Verdana"/>
                <w:color w:val="000000"/>
                <w:sz w:val="19"/>
                <w:szCs w:val="19"/>
              </w:rPr>
            </w:pPr>
            <w:r w:rsidRPr="008929DF">
              <w:rPr>
                <w:rFonts w:ascii="Verdana" w:hAnsi="Verdana"/>
                <w:color w:val="000000"/>
                <w:sz w:val="19"/>
                <w:szCs w:val="19"/>
              </w:rPr>
              <w:t>The Secretary of Health and Human Services (referred to in this section as the "Secretary"), acting through the Director of the National Institute of Occupational Safety and Health, shall enhance and expand research as deemed appropriate on the health and safety of workers who are at risk for bioterrorist threats or attacks in the workplace, including research on the health effects of measures taken to treat or protect such workers for diseases or disorders resulting from a bioterrorist threat or attack. Nothing in this section may be construed as establishing new regulatory authority for the Secretary or the Director to issue or modify any occupational safety and health rule or regulation.</w:t>
            </w:r>
          </w:p>
        </w:tc>
        <w:tc>
          <w:tcPr>
            <w:tcW w:w="0" w:type="auto"/>
          </w:tcPr>
          <w:p w:rsidR="0019165D" w:rsidRPr="008929DF" w:rsidP="00BB504C" w14:paraId="7F8D7F97" w14:textId="77777777">
            <w:pPr>
              <w:jc w:val="right"/>
              <w:rPr>
                <w:rFonts w:ascii="Verdana" w:hAnsi="Verdana"/>
                <w:color w:val="000000"/>
                <w:sz w:val="19"/>
                <w:szCs w:val="19"/>
              </w:rPr>
            </w:pPr>
            <w:r w:rsidRPr="008929DF">
              <w:rPr>
                <w:rFonts w:ascii="Verdana" w:hAnsi="Verdana"/>
                <w:color w:val="000000"/>
                <w:sz w:val="19"/>
                <w:szCs w:val="19"/>
              </w:rPr>
              <w:t>29 USC 669a</w:t>
            </w:r>
            <w:r w:rsidRPr="008929DF">
              <w:rPr>
                <w:rFonts w:ascii="Verdana" w:hAnsi="Verdana"/>
                <w:color w:val="000000"/>
                <w:sz w:val="19"/>
                <w:szCs w:val="19"/>
              </w:rPr>
              <w:br/>
            </w:r>
            <w:r w:rsidRPr="008929DF">
              <w:rPr>
                <w:rFonts w:ascii="Verdana" w:hAnsi="Verdana"/>
                <w:color w:val="000000"/>
                <w:sz w:val="19"/>
                <w:szCs w:val="19"/>
              </w:rPr>
              <w:br/>
              <w:t>Pub. L. 107-188, Title I, § 153 added this text</w:t>
            </w:r>
          </w:p>
        </w:tc>
      </w:tr>
    </w:tbl>
    <w:p w:rsidR="0019165D" w:rsidRPr="008929DF" w:rsidP="0019165D" w14:paraId="1E778890"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165D" w:rsidP="00BB504C" w14:paraId="50FB9A1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9165D" w:rsidP="0019165D" w14:paraId="5F53B9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165D" w:rsidP="00BB504C" w14:paraId="463FCBB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64D">
      <w:rPr>
        <w:rStyle w:val="PageNumber"/>
        <w:noProof/>
      </w:rPr>
      <w:t>1</w:t>
    </w:r>
    <w:r>
      <w:rPr>
        <w:rStyle w:val="PageNumber"/>
      </w:rPr>
      <w:fldChar w:fldCharType="end"/>
    </w:r>
  </w:p>
  <w:p w:rsidR="0019165D" w:rsidP="0019165D" w14:paraId="18777125"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2E1" w14:paraId="78015C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2E1" w14:paraId="48BD5F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2E1" w14:paraId="36641C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2E1" w14:paraId="7391610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5D"/>
    <w:rsid w:val="00141719"/>
    <w:rsid w:val="0019165D"/>
    <w:rsid w:val="00281DBD"/>
    <w:rsid w:val="002E064D"/>
    <w:rsid w:val="00700DA8"/>
    <w:rsid w:val="008929DF"/>
    <w:rsid w:val="009C7A16"/>
    <w:rsid w:val="00BB504C"/>
    <w:rsid w:val="00C25310"/>
    <w:rsid w:val="00D22B58"/>
    <w:rsid w:val="00DE62E1"/>
    <w:rsid w:val="00E773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FE40A1"/>
  <w15:chartTrackingRefBased/>
  <w15:docId w15:val="{553D2DFB-8D13-4960-AD83-3BC69E35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165D"/>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9165D"/>
    <w:pPr>
      <w:tabs>
        <w:tab w:val="center" w:pos="4320"/>
        <w:tab w:val="right" w:pos="8640"/>
      </w:tabs>
    </w:pPr>
  </w:style>
  <w:style w:type="paragraph" w:styleId="Footer">
    <w:name w:val="footer"/>
    <w:basedOn w:val="Normal"/>
    <w:rsid w:val="0019165D"/>
    <w:pPr>
      <w:tabs>
        <w:tab w:val="center" w:pos="4320"/>
        <w:tab w:val="right" w:pos="8640"/>
      </w:tabs>
    </w:pPr>
  </w:style>
  <w:style w:type="character" w:styleId="PageNumber">
    <w:name w:val="page number"/>
    <w:basedOn w:val="DefaultParagraphFont"/>
    <w:rsid w:val="0019165D"/>
  </w:style>
  <w:style w:type="paragraph" w:styleId="BalloonText">
    <w:name w:val="Balloon Text"/>
    <w:basedOn w:val="Normal"/>
    <w:semiHidden/>
    <w:rsid w:val="00281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20(a)(1) of the Occupational Safety and Health Act (29 U</vt:lpstr>
    </vt:vector>
  </TitlesOfParts>
  <Company>ITSO</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20(a)(1) of the Occupational Safety and Health Act (29 U</dc:title>
  <dc:creator>Audrey Reichard</dc:creator>
  <cp:lastModifiedBy>Clunis, Odion (CDC/DDPHSS/OS/OSI)</cp:lastModifiedBy>
  <cp:revision>2</cp:revision>
  <cp:lastPrinted>2018-05-02T16:41:00Z</cp:lastPrinted>
  <dcterms:created xsi:type="dcterms:W3CDTF">2023-02-14T17:50:00Z</dcterms:created>
  <dcterms:modified xsi:type="dcterms:W3CDTF">2023-02-14T17:50:00Z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695192a9-e2d0-45ee-b6e5-230b8c870714</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2023-02-14T17:50:54Z</vt:lpwstr>
  </property>
  <property fmtid="{D5CDD505-2E9C-101B-9397-08002B2CF9AE}" pid="8" name="MSIP_Label_8af03ff0-41c5-4c41-b55e-fabb8fae94be_SiteId">
    <vt:lpwstr>9ce70869-60db-44fd-abe8-d2767077fc8f</vt:lpwstr>
  </property>
</Properties>
</file>